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CCCC" w14:textId="77777777" w:rsidR="008B3B03" w:rsidRPr="003D4D62" w:rsidRDefault="008B3B03" w:rsidP="00BE6147">
      <w:pPr>
        <w:pStyle w:val="ShortReporHeadline"/>
      </w:pPr>
      <w:r w:rsidRPr="003D4D62">
        <w:t xml:space="preserve">INDEPENDENT </w:t>
      </w:r>
    </w:p>
    <w:p w14:paraId="7CFEA8D7" w14:textId="42FD3D39" w:rsidR="008B3B03" w:rsidRPr="003D4D62" w:rsidRDefault="008B3B03" w:rsidP="00BE6147">
      <w:pPr>
        <w:pStyle w:val="ShortReporHeadline"/>
      </w:pPr>
      <w:r w:rsidRPr="003D4D62">
        <w:t xml:space="preserve">QUANTITATIVE </w:t>
      </w:r>
    </w:p>
    <w:p w14:paraId="50A02E53" w14:textId="5F5B26A2" w:rsidR="008B3B03" w:rsidRDefault="008B3B03" w:rsidP="00D130D8">
      <w:pPr>
        <w:pStyle w:val="ShortReporHeadline"/>
        <w:ind w:left="-2268"/>
      </w:pPr>
      <w:r w:rsidRPr="003D4D62">
        <w:t>EVIDENCE-BASED</w:t>
      </w:r>
    </w:p>
    <w:p w14:paraId="1711F804" w14:textId="46E6035F" w:rsidR="008B3B03" w:rsidRDefault="00D130D8" w:rsidP="00A125AD">
      <w:pPr>
        <w:pStyle w:val="Reporttype"/>
        <w:spacing w:before="3480"/>
      </w:pPr>
      <w:r>
        <w:rPr>
          <w:noProof/>
        </w:rPr>
        <w:drawing>
          <wp:anchor distT="0" distB="0" distL="114300" distR="114300" simplePos="0" relativeHeight="251659264" behindDoc="0" locked="0" layoutInCell="1" allowOverlap="1" wp14:anchorId="2607C93A" wp14:editId="7A557475">
            <wp:simplePos x="0" y="0"/>
            <wp:positionH relativeFrom="page">
              <wp:align>left</wp:align>
            </wp:positionH>
            <wp:positionV relativeFrom="paragraph">
              <wp:posOffset>285239</wp:posOffset>
            </wp:positionV>
            <wp:extent cx="9410065" cy="215265"/>
            <wp:effectExtent l="0" t="0" r="0" b="0"/>
            <wp:wrapNone/>
            <wp:docPr id="2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1">
                      <a:extLst>
                        <a:ext uri="{C183D7F6-B498-43B3-948B-1728B52AA6E4}">
                          <adec:decorative xmlns:adec="http://schemas.microsoft.com/office/drawing/2017/decorative" val="1"/>
                        </a:ext>
                      </a:extLst>
                    </pic:cNvPr>
                    <pic:cNvPicPr>
                      <a:picLocks noChangeAspect="1"/>
                    </pic:cNvPicPr>
                  </pic:nvPicPr>
                  <pic:blipFill rotWithShape="1">
                    <a:blip r:embed="rId11">
                      <a:extLst>
                        <a:ext uri="{28A0092B-C50C-407E-A947-70E740481C1C}">
                          <a14:useLocalDpi xmlns:a14="http://schemas.microsoft.com/office/drawing/2010/main" val="0"/>
                        </a:ext>
                      </a:extLst>
                    </a:blip>
                    <a:srcRect l="1" t="60888" r="-6723" b="38334"/>
                    <a:stretch/>
                  </pic:blipFill>
                  <pic:spPr bwMode="auto">
                    <a:xfrm>
                      <a:off x="0" y="0"/>
                      <a:ext cx="9410065" cy="215265"/>
                    </a:xfrm>
                    <a:prstGeom prst="rect">
                      <a:avLst/>
                    </a:prstGeom>
                    <a:ln>
                      <a:noFill/>
                    </a:ln>
                    <a:extLst>
                      <a:ext uri="{53640926-AAD7-44D8-BBD7-CCE9431645EC}">
                        <a14:shadowObscured xmlns:a14="http://schemas.microsoft.com/office/drawing/2010/main"/>
                      </a:ext>
                    </a:extLst>
                  </pic:spPr>
                </pic:pic>
              </a:graphicData>
            </a:graphic>
          </wp:anchor>
        </w:drawing>
      </w:r>
      <w:r w:rsidR="008B3B03">
        <w:fldChar w:fldCharType="begin"/>
      </w:r>
      <w:r w:rsidR="008B3B03">
        <w:instrText xml:space="preserve"> DOCPROPERTY  ReportType </w:instrText>
      </w:r>
      <w:r w:rsidR="008B3B03">
        <w:fldChar w:fldCharType="separate"/>
      </w:r>
      <w:r w:rsidR="008B3B03">
        <w:t>final</w:t>
      </w:r>
      <w:r w:rsidR="008B3B03">
        <w:fldChar w:fldCharType="end"/>
      </w:r>
    </w:p>
    <w:p w14:paraId="27646E5F" w14:textId="77777777" w:rsidR="008B3B03" w:rsidRDefault="008B3B03" w:rsidP="00BE6147">
      <w:pPr>
        <w:pStyle w:val="Title"/>
      </w:pPr>
      <w:r>
        <w:fldChar w:fldCharType="begin"/>
      </w:r>
      <w:r>
        <w:instrText xml:space="preserve"> DOCPROPERTY  ReportTitle </w:instrText>
      </w:r>
      <w:r>
        <w:fldChar w:fldCharType="separate"/>
      </w:r>
      <w:r>
        <w:t>Australia-UAE free trade agreement</w:t>
      </w:r>
      <w:r>
        <w:fldChar w:fldCharType="end"/>
      </w:r>
    </w:p>
    <w:p w14:paraId="52EAFFD6" w14:textId="77777777" w:rsidR="008B3B03" w:rsidRDefault="008B3B03" w:rsidP="00BE6147">
      <w:pPr>
        <w:pStyle w:val="Subtitle"/>
      </w:pPr>
      <w:r>
        <w:fldChar w:fldCharType="begin"/>
      </w:r>
      <w:r>
        <w:instrText xml:space="preserve"> DOCPROPERTY  ReportSubtitle </w:instrText>
      </w:r>
      <w:r>
        <w:fldChar w:fldCharType="separate"/>
      </w:r>
      <w:r>
        <w:t>Feasibility analysis update</w:t>
      </w:r>
      <w:r>
        <w:fldChar w:fldCharType="end"/>
      </w:r>
    </w:p>
    <w:p w14:paraId="1C659FF8" w14:textId="77777777" w:rsidR="008B3B03" w:rsidRDefault="008B3B03" w:rsidP="00BE6147">
      <w:pPr>
        <w:pStyle w:val="Client"/>
        <w:spacing w:before="280"/>
      </w:pPr>
      <w:r w:rsidRPr="001647E4">
        <w:t>Prepared for</w:t>
      </w:r>
    </w:p>
    <w:p w14:paraId="01B69DCD" w14:textId="77777777" w:rsidR="008B3B03" w:rsidRDefault="008B3B03" w:rsidP="00BE6147">
      <w:pPr>
        <w:pStyle w:val="Client"/>
      </w:pPr>
      <w:r>
        <w:fldChar w:fldCharType="begin"/>
      </w:r>
      <w:r>
        <w:instrText xml:space="preserve"> DOCPROPERTY  PreparedFor </w:instrText>
      </w:r>
      <w:r>
        <w:fldChar w:fldCharType="separate"/>
      </w:r>
      <w:r>
        <w:t>Department of Foreign Affairs and Trade</w:t>
      </w:r>
      <w:r>
        <w:fldChar w:fldCharType="end"/>
      </w:r>
    </w:p>
    <w:p w14:paraId="55D0777F" w14:textId="77777777" w:rsidR="008B3B03" w:rsidRPr="0089278E" w:rsidRDefault="008B3B03" w:rsidP="00BE6147">
      <w:pPr>
        <w:pStyle w:val="Date"/>
      </w:pPr>
      <w:r>
        <w:fldChar w:fldCharType="begin"/>
      </w:r>
      <w:r>
        <w:instrText xml:space="preserve"> DOCPROPERTY  ReportDate </w:instrText>
      </w:r>
      <w:r>
        <w:fldChar w:fldCharType="separate"/>
      </w:r>
      <w:r>
        <w:t>30 August 2024</w:t>
      </w:r>
      <w:r>
        <w:fldChar w:fldCharType="end"/>
      </w:r>
    </w:p>
    <w:p w14:paraId="427EEDF4" w14:textId="77777777" w:rsidR="008B3B03" w:rsidRPr="00F062BF" w:rsidRDefault="008B3B03" w:rsidP="00231007">
      <w:pPr>
        <w:pStyle w:val="ShortReportCoverTagline"/>
        <w:spacing w:before="6120"/>
      </w:pPr>
      <w:r w:rsidRPr="00F062BF">
        <w:t>The Centre for International Economics</w:t>
      </w:r>
    </w:p>
    <w:p w14:paraId="1A7B7B8A" w14:textId="77777777" w:rsidR="008B3B03" w:rsidRPr="0014172B" w:rsidRDefault="008B3B03" w:rsidP="00BE6147">
      <w:pPr>
        <w:pStyle w:val="BodyText"/>
        <w:spacing w:before="0"/>
        <w:jc w:val="right"/>
        <w:rPr>
          <w:i/>
          <w:color w:val="6F6652" w:themeColor="accent5"/>
          <w:spacing w:val="10"/>
          <w:sz w:val="25"/>
        </w:rPr>
      </w:pPr>
      <w:r w:rsidRPr="0014172B">
        <w:rPr>
          <w:i/>
          <w:color w:val="6F6652" w:themeColor="accent5"/>
          <w:spacing w:val="10"/>
          <w:sz w:val="25"/>
        </w:rPr>
        <w:t>www.TheCIE.com.au</w:t>
      </w:r>
    </w:p>
    <w:p w14:paraId="37C8960E" w14:textId="75180F39" w:rsidR="002A5062" w:rsidRDefault="002A5062" w:rsidP="009A444C">
      <w:pPr>
        <w:pStyle w:val="BodyText"/>
        <w:spacing w:before="0" w:line="240" w:lineRule="auto"/>
      </w:pPr>
    </w:p>
    <w:p w14:paraId="253175B9" w14:textId="77777777" w:rsidR="008F1A78" w:rsidRDefault="008F1A78" w:rsidP="00656D2E">
      <w:pPr>
        <w:rPr>
          <w:lang w:bidi="fa-IR"/>
        </w:rPr>
        <w:sectPr w:rsidR="008F1A78" w:rsidSect="001B3438">
          <w:headerReference w:type="default" r:id="rId12"/>
          <w:footerReference w:type="even" r:id="rId13"/>
          <w:pgSz w:w="11906" w:h="16838" w:code="9"/>
          <w:pgMar w:top="1145" w:right="1701" w:bottom="284" w:left="2268" w:header="680" w:footer="57" w:gutter="0"/>
          <w:cols w:space="708"/>
          <w:docGrid w:linePitch="360"/>
        </w:sectPr>
      </w:pPr>
    </w:p>
    <w:p w14:paraId="757DFD7D" w14:textId="77777777" w:rsidR="00650F3E" w:rsidRPr="003B6F2E" w:rsidRDefault="00650F3E" w:rsidP="00AD1001">
      <w:pPr>
        <w:pStyle w:val="Heading1"/>
      </w:pPr>
      <w:bookmarkStart w:id="0" w:name="DeleteTOC"/>
      <w:r w:rsidRPr="003B6F2E">
        <w:lastRenderedPageBreak/>
        <w:t>Contents</w:t>
      </w:r>
    </w:p>
    <w:p w14:paraId="0A9781C7" w14:textId="1AAE5E8A" w:rsidR="00F72583" w:rsidRDefault="00650F3E">
      <w:pPr>
        <w:pStyle w:val="TOC1"/>
        <w:rPr>
          <w:rFonts w:asciiTheme="minorHAnsi" w:eastAsiaTheme="minorEastAsia" w:hAnsiTheme="minorHAnsi" w:cstheme="minorBidi"/>
          <w:noProof/>
          <w:kern w:val="2"/>
          <w:sz w:val="24"/>
          <w:lang w:eastAsia="zh-CN"/>
          <w14:ligatures w14:val="standardContextual"/>
        </w:rPr>
      </w:pPr>
      <w:r w:rsidRPr="00876B40">
        <w:fldChar w:fldCharType="begin"/>
      </w:r>
      <w:r w:rsidRPr="00876B40">
        <w:instrText xml:space="preserve"> TOC \t "Heading 1,1</w:instrText>
      </w:r>
      <w:r w:rsidR="00D22E66">
        <w:instrText>,</w:instrText>
      </w:r>
      <w:r w:rsidR="008D3341" w:rsidRPr="008D3341">
        <w:instrText>Heading 1 NotNumbered</w:instrText>
      </w:r>
      <w:r w:rsidR="008D3341">
        <w:instrText>,1</w:instrText>
      </w:r>
      <w:r w:rsidRPr="00876B40">
        <w:instrText xml:space="preserve">,Heading 2,2,Heading </w:instrText>
      </w:r>
      <w:r>
        <w:instrText>6</w:instrText>
      </w:r>
      <w:r w:rsidRPr="00876B40">
        <w:instrText xml:space="preserve">,1,Part Title,4" </w:instrText>
      </w:r>
      <w:r w:rsidRPr="00876B40">
        <w:fldChar w:fldCharType="separate"/>
      </w:r>
      <w:r w:rsidR="00F72583">
        <w:rPr>
          <w:noProof/>
          <w:lang w:bidi="fa-IR"/>
        </w:rPr>
        <w:t>Update report</w:t>
      </w:r>
      <w:r w:rsidR="00F72583">
        <w:rPr>
          <w:noProof/>
        </w:rPr>
        <w:tab/>
      </w:r>
      <w:r w:rsidR="00F72583">
        <w:rPr>
          <w:noProof/>
        </w:rPr>
        <w:fldChar w:fldCharType="begin"/>
      </w:r>
      <w:r w:rsidR="00F72583">
        <w:rPr>
          <w:noProof/>
        </w:rPr>
        <w:instrText xml:space="preserve"> PAGEREF _Toc175649970 \h </w:instrText>
      </w:r>
      <w:r w:rsidR="00F72583">
        <w:rPr>
          <w:noProof/>
        </w:rPr>
      </w:r>
      <w:r w:rsidR="00F72583">
        <w:rPr>
          <w:noProof/>
        </w:rPr>
        <w:fldChar w:fldCharType="separate"/>
      </w:r>
      <w:r w:rsidR="00586CBD">
        <w:rPr>
          <w:noProof/>
        </w:rPr>
        <w:t>1</w:t>
      </w:r>
      <w:r w:rsidR="00F72583">
        <w:rPr>
          <w:noProof/>
        </w:rPr>
        <w:fldChar w:fldCharType="end"/>
      </w:r>
    </w:p>
    <w:p w14:paraId="715A52E2" w14:textId="3A31E645" w:rsidR="00F72583" w:rsidRDefault="00F72583">
      <w:pPr>
        <w:pStyle w:val="TOC2"/>
        <w:rPr>
          <w:rFonts w:asciiTheme="minorHAnsi" w:eastAsiaTheme="minorEastAsia" w:hAnsiTheme="minorHAnsi" w:cstheme="minorBidi"/>
          <w:noProof/>
          <w:kern w:val="2"/>
          <w:sz w:val="24"/>
          <w:lang w:eastAsia="zh-CN"/>
          <w14:ligatures w14:val="standardContextual"/>
        </w:rPr>
      </w:pPr>
      <w:r>
        <w:rPr>
          <w:noProof/>
          <w:lang w:bidi="fa-IR"/>
        </w:rPr>
        <w:t>What’s been changed</w:t>
      </w:r>
      <w:r>
        <w:rPr>
          <w:noProof/>
        </w:rPr>
        <w:tab/>
      </w:r>
      <w:r>
        <w:rPr>
          <w:noProof/>
        </w:rPr>
        <w:fldChar w:fldCharType="begin"/>
      </w:r>
      <w:r>
        <w:rPr>
          <w:noProof/>
        </w:rPr>
        <w:instrText xml:space="preserve"> PAGEREF _Toc175649971 \h </w:instrText>
      </w:r>
      <w:r>
        <w:rPr>
          <w:noProof/>
        </w:rPr>
      </w:r>
      <w:r>
        <w:rPr>
          <w:noProof/>
        </w:rPr>
        <w:fldChar w:fldCharType="separate"/>
      </w:r>
      <w:r w:rsidR="00586CBD">
        <w:rPr>
          <w:noProof/>
        </w:rPr>
        <w:t>1</w:t>
      </w:r>
      <w:r>
        <w:rPr>
          <w:noProof/>
        </w:rPr>
        <w:fldChar w:fldCharType="end"/>
      </w:r>
    </w:p>
    <w:p w14:paraId="312A8CA8" w14:textId="024523A9" w:rsidR="00F72583" w:rsidRDefault="00F72583">
      <w:pPr>
        <w:pStyle w:val="TOC2"/>
        <w:rPr>
          <w:rFonts w:asciiTheme="minorHAnsi" w:eastAsiaTheme="minorEastAsia" w:hAnsiTheme="minorHAnsi" w:cstheme="minorBidi"/>
          <w:noProof/>
          <w:kern w:val="2"/>
          <w:sz w:val="24"/>
          <w:lang w:eastAsia="zh-CN"/>
          <w14:ligatures w14:val="standardContextual"/>
        </w:rPr>
      </w:pPr>
      <w:r>
        <w:rPr>
          <w:noProof/>
          <w:lang w:bidi="fa-IR"/>
        </w:rPr>
        <w:t>Updated results</w:t>
      </w:r>
      <w:r>
        <w:rPr>
          <w:noProof/>
        </w:rPr>
        <w:tab/>
      </w:r>
      <w:r>
        <w:rPr>
          <w:noProof/>
        </w:rPr>
        <w:fldChar w:fldCharType="begin"/>
      </w:r>
      <w:r>
        <w:rPr>
          <w:noProof/>
        </w:rPr>
        <w:instrText xml:space="preserve"> PAGEREF _Toc175649972 \h </w:instrText>
      </w:r>
      <w:r>
        <w:rPr>
          <w:noProof/>
        </w:rPr>
      </w:r>
      <w:r>
        <w:rPr>
          <w:noProof/>
        </w:rPr>
        <w:fldChar w:fldCharType="separate"/>
      </w:r>
      <w:r w:rsidR="00586CBD">
        <w:rPr>
          <w:noProof/>
        </w:rPr>
        <w:t>3</w:t>
      </w:r>
      <w:r>
        <w:rPr>
          <w:noProof/>
        </w:rPr>
        <w:fldChar w:fldCharType="end"/>
      </w:r>
    </w:p>
    <w:p w14:paraId="4862D9E1" w14:textId="0CD107E3" w:rsidR="00F72583" w:rsidRDefault="00F72583">
      <w:pPr>
        <w:pStyle w:val="TOC2"/>
        <w:rPr>
          <w:rFonts w:asciiTheme="minorHAnsi" w:eastAsiaTheme="minorEastAsia" w:hAnsiTheme="minorHAnsi" w:cstheme="minorBidi"/>
          <w:noProof/>
          <w:kern w:val="2"/>
          <w:sz w:val="24"/>
          <w:lang w:eastAsia="zh-CN"/>
          <w14:ligatures w14:val="standardContextual"/>
        </w:rPr>
      </w:pPr>
      <w:r>
        <w:rPr>
          <w:noProof/>
          <w:lang w:bidi="fa-IR"/>
        </w:rPr>
        <w:t>Conclusion</w:t>
      </w:r>
      <w:r>
        <w:rPr>
          <w:noProof/>
        </w:rPr>
        <w:tab/>
      </w:r>
      <w:r>
        <w:rPr>
          <w:noProof/>
        </w:rPr>
        <w:fldChar w:fldCharType="begin"/>
      </w:r>
      <w:r>
        <w:rPr>
          <w:noProof/>
        </w:rPr>
        <w:instrText xml:space="preserve"> PAGEREF _Toc175649973 \h </w:instrText>
      </w:r>
      <w:r>
        <w:rPr>
          <w:noProof/>
        </w:rPr>
      </w:r>
      <w:r>
        <w:rPr>
          <w:noProof/>
        </w:rPr>
        <w:fldChar w:fldCharType="separate"/>
      </w:r>
      <w:r w:rsidR="00586CBD">
        <w:rPr>
          <w:noProof/>
        </w:rPr>
        <w:t>7</w:t>
      </w:r>
      <w:r>
        <w:rPr>
          <w:noProof/>
        </w:rPr>
        <w:fldChar w:fldCharType="end"/>
      </w:r>
    </w:p>
    <w:p w14:paraId="134D6635" w14:textId="07FE4DCF" w:rsidR="00F72583" w:rsidRDefault="00F72583">
      <w:pPr>
        <w:pStyle w:val="TOC1"/>
        <w:rPr>
          <w:rFonts w:asciiTheme="minorHAnsi" w:eastAsiaTheme="minorEastAsia" w:hAnsiTheme="minorHAnsi" w:cstheme="minorBidi"/>
          <w:noProof/>
          <w:kern w:val="2"/>
          <w:sz w:val="24"/>
          <w:lang w:eastAsia="zh-CN"/>
          <w14:ligatures w14:val="standardContextual"/>
        </w:rPr>
      </w:pPr>
      <w:r>
        <w:rPr>
          <w:noProof/>
          <w:lang w:bidi="fa-IR"/>
        </w:rPr>
        <w:t>A</w:t>
      </w:r>
      <w:r>
        <w:rPr>
          <w:rFonts w:asciiTheme="minorHAnsi" w:eastAsiaTheme="minorEastAsia" w:hAnsiTheme="minorHAnsi" w:cstheme="minorBidi"/>
          <w:noProof/>
          <w:kern w:val="2"/>
          <w:sz w:val="24"/>
          <w:lang w:eastAsia="zh-CN"/>
          <w14:ligatures w14:val="standardContextual"/>
        </w:rPr>
        <w:tab/>
      </w:r>
      <w:r>
        <w:rPr>
          <w:noProof/>
          <w:lang w:bidi="fa-IR"/>
        </w:rPr>
        <w:t>Top 20 growing sectors in Australian exports: FTA scenarios</w:t>
      </w:r>
      <w:r>
        <w:rPr>
          <w:noProof/>
        </w:rPr>
        <w:tab/>
      </w:r>
      <w:r>
        <w:rPr>
          <w:noProof/>
        </w:rPr>
        <w:fldChar w:fldCharType="begin"/>
      </w:r>
      <w:r>
        <w:rPr>
          <w:noProof/>
        </w:rPr>
        <w:instrText xml:space="preserve"> PAGEREF _Toc175649974 \h </w:instrText>
      </w:r>
      <w:r>
        <w:rPr>
          <w:noProof/>
        </w:rPr>
      </w:r>
      <w:r>
        <w:rPr>
          <w:noProof/>
        </w:rPr>
        <w:fldChar w:fldCharType="separate"/>
      </w:r>
      <w:r w:rsidR="00586CBD">
        <w:rPr>
          <w:noProof/>
        </w:rPr>
        <w:t>9</w:t>
      </w:r>
      <w:r>
        <w:rPr>
          <w:noProof/>
        </w:rPr>
        <w:fldChar w:fldCharType="end"/>
      </w:r>
    </w:p>
    <w:p w14:paraId="7D72A8F4" w14:textId="1B56AE16" w:rsidR="00650F3E" w:rsidRPr="002B76B3" w:rsidRDefault="00650F3E" w:rsidP="004E7620">
      <w:pPr>
        <w:pStyle w:val="BodyText"/>
        <w:spacing w:before="480"/>
        <w:rPr>
          <w:rFonts w:ascii="Franklin Gothic Demi" w:hAnsi="Franklin Gothic Demi"/>
          <w:caps/>
          <w:spacing w:val="10"/>
          <w:sz w:val="22"/>
        </w:rPr>
      </w:pPr>
      <w:r w:rsidRPr="00876B40">
        <w:fldChar w:fldCharType="end"/>
      </w:r>
      <w:r w:rsidRPr="002B76B3">
        <w:rPr>
          <w:rFonts w:ascii="Franklin Gothic Demi" w:hAnsi="Franklin Gothic Demi"/>
          <w:caps/>
          <w:spacing w:val="10"/>
          <w:sz w:val="22"/>
        </w:rPr>
        <w:t>Boxes, charts and tables</w:t>
      </w:r>
    </w:p>
    <w:p w14:paraId="45700DBD" w14:textId="608C6265" w:rsidR="00F72583" w:rsidRDefault="005646E2">
      <w:pPr>
        <w:pStyle w:val="TableofFigures"/>
        <w:rPr>
          <w:rFonts w:eastAsiaTheme="minorEastAsia" w:cstheme="minorBidi"/>
          <w:noProof/>
          <w:kern w:val="2"/>
          <w:sz w:val="24"/>
          <w:szCs w:val="24"/>
          <w:lang w:eastAsia="zh-CN"/>
          <w14:ligatures w14:val="standardContextual"/>
        </w:rPr>
      </w:pPr>
      <w:r>
        <w:fldChar w:fldCharType="begin"/>
      </w:r>
      <w:r>
        <w:instrText xml:space="preserve"> TOC \t "Caption" \c </w:instrText>
      </w:r>
      <w:r>
        <w:fldChar w:fldCharType="separate"/>
      </w:r>
      <w:r w:rsidR="00F72583">
        <w:rPr>
          <w:noProof/>
        </w:rPr>
        <w:t>1</w:t>
      </w:r>
      <w:r w:rsidR="00F72583">
        <w:rPr>
          <w:rFonts w:eastAsiaTheme="minorEastAsia" w:cstheme="minorBidi"/>
          <w:noProof/>
          <w:kern w:val="2"/>
          <w:sz w:val="24"/>
          <w:szCs w:val="24"/>
          <w:lang w:eastAsia="zh-CN"/>
          <w14:ligatures w14:val="standardContextual"/>
        </w:rPr>
        <w:tab/>
      </w:r>
      <w:r w:rsidR="00F72583">
        <w:rPr>
          <w:noProof/>
        </w:rPr>
        <w:t>Comparison in the inputs</w:t>
      </w:r>
      <w:r w:rsidR="00F72583">
        <w:rPr>
          <w:noProof/>
        </w:rPr>
        <w:tab/>
      </w:r>
      <w:r w:rsidR="00F72583">
        <w:rPr>
          <w:noProof/>
        </w:rPr>
        <w:fldChar w:fldCharType="begin"/>
      </w:r>
      <w:r w:rsidR="00F72583">
        <w:rPr>
          <w:noProof/>
        </w:rPr>
        <w:instrText xml:space="preserve"> PAGEREF _Toc175649961 \h </w:instrText>
      </w:r>
      <w:r w:rsidR="00F72583">
        <w:rPr>
          <w:noProof/>
        </w:rPr>
      </w:r>
      <w:r w:rsidR="00F72583">
        <w:rPr>
          <w:noProof/>
        </w:rPr>
        <w:fldChar w:fldCharType="separate"/>
      </w:r>
      <w:r w:rsidR="00586CBD">
        <w:rPr>
          <w:noProof/>
        </w:rPr>
        <w:t>2</w:t>
      </w:r>
      <w:r w:rsidR="00F72583">
        <w:rPr>
          <w:noProof/>
        </w:rPr>
        <w:fldChar w:fldCharType="end"/>
      </w:r>
    </w:p>
    <w:p w14:paraId="76CBF7A1" w14:textId="2EDBD356" w:rsidR="00F72583" w:rsidRDefault="00F72583">
      <w:pPr>
        <w:pStyle w:val="TableofFigures"/>
        <w:rPr>
          <w:rFonts w:eastAsiaTheme="minorEastAsia" w:cstheme="minorBidi"/>
          <w:noProof/>
          <w:kern w:val="2"/>
          <w:sz w:val="24"/>
          <w:szCs w:val="24"/>
          <w:lang w:eastAsia="zh-CN"/>
          <w14:ligatures w14:val="standardContextual"/>
        </w:rPr>
      </w:pPr>
      <w:r>
        <w:rPr>
          <w:noProof/>
        </w:rPr>
        <w:t>2</w:t>
      </w:r>
      <w:r>
        <w:rPr>
          <w:rFonts w:eastAsiaTheme="minorEastAsia" w:cstheme="minorBidi"/>
          <w:noProof/>
          <w:kern w:val="2"/>
          <w:sz w:val="24"/>
          <w:szCs w:val="24"/>
          <w:lang w:eastAsia="zh-CN"/>
          <w14:ligatures w14:val="standardContextual"/>
        </w:rPr>
        <w:tab/>
      </w:r>
      <w:r>
        <w:rPr>
          <w:noProof/>
        </w:rPr>
        <w:t>Updated table 5.7: estimated annual increase in Australian exports to UAE</w:t>
      </w:r>
      <w:r>
        <w:rPr>
          <w:noProof/>
        </w:rPr>
        <w:tab/>
      </w:r>
      <w:r>
        <w:rPr>
          <w:noProof/>
        </w:rPr>
        <w:fldChar w:fldCharType="begin"/>
      </w:r>
      <w:r>
        <w:rPr>
          <w:noProof/>
        </w:rPr>
        <w:instrText xml:space="preserve"> PAGEREF _Toc175649962 \h </w:instrText>
      </w:r>
      <w:r>
        <w:rPr>
          <w:noProof/>
        </w:rPr>
      </w:r>
      <w:r>
        <w:rPr>
          <w:noProof/>
        </w:rPr>
        <w:fldChar w:fldCharType="separate"/>
      </w:r>
      <w:r w:rsidR="00586CBD">
        <w:rPr>
          <w:noProof/>
        </w:rPr>
        <w:t>3</w:t>
      </w:r>
      <w:r>
        <w:rPr>
          <w:noProof/>
        </w:rPr>
        <w:fldChar w:fldCharType="end"/>
      </w:r>
    </w:p>
    <w:p w14:paraId="09E7D1E1" w14:textId="43B57AE5" w:rsidR="00F72583" w:rsidRDefault="00F72583">
      <w:pPr>
        <w:pStyle w:val="TableofFigures"/>
        <w:rPr>
          <w:rFonts w:eastAsiaTheme="minorEastAsia" w:cstheme="minorBidi"/>
          <w:noProof/>
          <w:kern w:val="2"/>
          <w:sz w:val="24"/>
          <w:szCs w:val="24"/>
          <w:lang w:eastAsia="zh-CN"/>
          <w14:ligatures w14:val="standardContextual"/>
        </w:rPr>
      </w:pPr>
      <w:r>
        <w:rPr>
          <w:noProof/>
        </w:rPr>
        <w:t>3</w:t>
      </w:r>
      <w:r>
        <w:rPr>
          <w:rFonts w:eastAsiaTheme="minorEastAsia" w:cstheme="minorBidi"/>
          <w:noProof/>
          <w:kern w:val="2"/>
          <w:sz w:val="24"/>
          <w:szCs w:val="24"/>
          <w:lang w:eastAsia="zh-CN"/>
          <w14:ligatures w14:val="standardContextual"/>
        </w:rPr>
        <w:tab/>
      </w:r>
      <w:r>
        <w:rPr>
          <w:noProof/>
        </w:rPr>
        <w:t>Updated chart 5.8: Australia’s merchandise export increase over time implied by the offers in India CEPA</w:t>
      </w:r>
      <w:r>
        <w:rPr>
          <w:noProof/>
        </w:rPr>
        <w:tab/>
      </w:r>
      <w:r>
        <w:rPr>
          <w:noProof/>
        </w:rPr>
        <w:fldChar w:fldCharType="begin"/>
      </w:r>
      <w:r>
        <w:rPr>
          <w:noProof/>
        </w:rPr>
        <w:instrText xml:space="preserve"> PAGEREF _Toc175649963 \h </w:instrText>
      </w:r>
      <w:r>
        <w:rPr>
          <w:noProof/>
        </w:rPr>
      </w:r>
      <w:r>
        <w:rPr>
          <w:noProof/>
        </w:rPr>
        <w:fldChar w:fldCharType="separate"/>
      </w:r>
      <w:r w:rsidR="00586CBD">
        <w:rPr>
          <w:noProof/>
        </w:rPr>
        <w:t>5</w:t>
      </w:r>
      <w:r>
        <w:rPr>
          <w:noProof/>
        </w:rPr>
        <w:fldChar w:fldCharType="end"/>
      </w:r>
    </w:p>
    <w:p w14:paraId="1D6B57EB" w14:textId="235E4D65" w:rsidR="00F72583" w:rsidRDefault="00F72583">
      <w:pPr>
        <w:pStyle w:val="TableofFigures"/>
        <w:rPr>
          <w:rFonts w:eastAsiaTheme="minorEastAsia" w:cstheme="minorBidi"/>
          <w:noProof/>
          <w:kern w:val="2"/>
          <w:sz w:val="24"/>
          <w:szCs w:val="24"/>
          <w:lang w:eastAsia="zh-CN"/>
          <w14:ligatures w14:val="standardContextual"/>
        </w:rPr>
      </w:pPr>
      <w:r>
        <w:rPr>
          <w:noProof/>
        </w:rPr>
        <w:t>4</w:t>
      </w:r>
      <w:r>
        <w:rPr>
          <w:rFonts w:eastAsiaTheme="minorEastAsia" w:cstheme="minorBidi"/>
          <w:noProof/>
          <w:kern w:val="2"/>
          <w:sz w:val="24"/>
          <w:szCs w:val="24"/>
          <w:lang w:eastAsia="zh-CN"/>
          <w14:ligatures w14:val="standardContextual"/>
        </w:rPr>
        <w:tab/>
      </w:r>
      <w:r>
        <w:rPr>
          <w:noProof/>
        </w:rPr>
        <w:t>Updated table 5.9: Estimated increase in top Australian merchandise exports to the UAE</w:t>
      </w:r>
      <w:r>
        <w:rPr>
          <w:noProof/>
        </w:rPr>
        <w:tab/>
      </w:r>
      <w:r>
        <w:rPr>
          <w:noProof/>
        </w:rPr>
        <w:fldChar w:fldCharType="begin"/>
      </w:r>
      <w:r>
        <w:rPr>
          <w:noProof/>
        </w:rPr>
        <w:instrText xml:space="preserve"> PAGEREF _Toc175649964 \h </w:instrText>
      </w:r>
      <w:r>
        <w:rPr>
          <w:noProof/>
        </w:rPr>
      </w:r>
      <w:r>
        <w:rPr>
          <w:noProof/>
        </w:rPr>
        <w:fldChar w:fldCharType="separate"/>
      </w:r>
      <w:r w:rsidR="00586CBD">
        <w:rPr>
          <w:noProof/>
        </w:rPr>
        <w:t>5</w:t>
      </w:r>
      <w:r>
        <w:rPr>
          <w:noProof/>
        </w:rPr>
        <w:fldChar w:fldCharType="end"/>
      </w:r>
    </w:p>
    <w:p w14:paraId="3A18882C" w14:textId="6F38DAE0" w:rsidR="00F72583" w:rsidRDefault="00F72583">
      <w:pPr>
        <w:pStyle w:val="TableofFigures"/>
        <w:rPr>
          <w:rFonts w:eastAsiaTheme="minorEastAsia" w:cstheme="minorBidi"/>
          <w:noProof/>
          <w:kern w:val="2"/>
          <w:sz w:val="24"/>
          <w:szCs w:val="24"/>
          <w:lang w:eastAsia="zh-CN"/>
          <w14:ligatures w14:val="standardContextual"/>
        </w:rPr>
      </w:pPr>
      <w:r>
        <w:rPr>
          <w:noProof/>
        </w:rPr>
        <w:t>5</w:t>
      </w:r>
      <w:r>
        <w:rPr>
          <w:rFonts w:eastAsiaTheme="minorEastAsia" w:cstheme="minorBidi"/>
          <w:noProof/>
          <w:kern w:val="2"/>
          <w:sz w:val="24"/>
          <w:szCs w:val="24"/>
          <w:lang w:eastAsia="zh-CN"/>
          <w14:ligatures w14:val="standardContextual"/>
        </w:rPr>
        <w:tab/>
      </w:r>
      <w:r>
        <w:rPr>
          <w:noProof/>
        </w:rPr>
        <w:t>Updated table 5.10: Estimated top export increases following an FTA</w:t>
      </w:r>
      <w:r>
        <w:rPr>
          <w:noProof/>
        </w:rPr>
        <w:tab/>
      </w:r>
      <w:r>
        <w:rPr>
          <w:noProof/>
        </w:rPr>
        <w:fldChar w:fldCharType="begin"/>
      </w:r>
      <w:r>
        <w:rPr>
          <w:noProof/>
        </w:rPr>
        <w:instrText xml:space="preserve"> PAGEREF _Toc175649965 \h </w:instrText>
      </w:r>
      <w:r>
        <w:rPr>
          <w:noProof/>
        </w:rPr>
      </w:r>
      <w:r>
        <w:rPr>
          <w:noProof/>
        </w:rPr>
        <w:fldChar w:fldCharType="separate"/>
      </w:r>
      <w:r w:rsidR="00586CBD">
        <w:rPr>
          <w:noProof/>
        </w:rPr>
        <w:t>6</w:t>
      </w:r>
      <w:r>
        <w:rPr>
          <w:noProof/>
        </w:rPr>
        <w:fldChar w:fldCharType="end"/>
      </w:r>
    </w:p>
    <w:p w14:paraId="5A2CC37E" w14:textId="52AB0A3E" w:rsidR="00F72583" w:rsidRDefault="00F72583">
      <w:pPr>
        <w:pStyle w:val="TableofFigures"/>
        <w:rPr>
          <w:rFonts w:eastAsiaTheme="minorEastAsia" w:cstheme="minorBidi"/>
          <w:noProof/>
          <w:kern w:val="2"/>
          <w:sz w:val="24"/>
          <w:szCs w:val="24"/>
          <w:lang w:eastAsia="zh-CN"/>
          <w14:ligatures w14:val="standardContextual"/>
        </w:rPr>
      </w:pPr>
      <w:r>
        <w:rPr>
          <w:noProof/>
        </w:rPr>
        <w:t>A.1</w:t>
      </w:r>
      <w:r>
        <w:rPr>
          <w:rFonts w:eastAsiaTheme="minorEastAsia" w:cstheme="minorBidi"/>
          <w:noProof/>
          <w:kern w:val="2"/>
          <w:sz w:val="24"/>
          <w:szCs w:val="24"/>
          <w:lang w:eastAsia="zh-CN"/>
          <w14:ligatures w14:val="standardContextual"/>
        </w:rPr>
        <w:tab/>
      </w:r>
      <w:r>
        <w:rPr>
          <w:noProof/>
        </w:rPr>
        <w:t>Top 20 growing export sectors (SITC 3-digit) under tariff schedules provided by DFAT</w:t>
      </w:r>
      <w:r>
        <w:rPr>
          <w:noProof/>
        </w:rPr>
        <w:tab/>
      </w:r>
      <w:r>
        <w:rPr>
          <w:noProof/>
        </w:rPr>
        <w:fldChar w:fldCharType="begin"/>
      </w:r>
      <w:r>
        <w:rPr>
          <w:noProof/>
        </w:rPr>
        <w:instrText xml:space="preserve"> PAGEREF _Toc175649966 \h </w:instrText>
      </w:r>
      <w:r>
        <w:rPr>
          <w:noProof/>
        </w:rPr>
      </w:r>
      <w:r>
        <w:rPr>
          <w:noProof/>
        </w:rPr>
        <w:fldChar w:fldCharType="separate"/>
      </w:r>
      <w:r w:rsidR="00586CBD">
        <w:rPr>
          <w:noProof/>
        </w:rPr>
        <w:t>9</w:t>
      </w:r>
      <w:r>
        <w:rPr>
          <w:noProof/>
        </w:rPr>
        <w:fldChar w:fldCharType="end"/>
      </w:r>
    </w:p>
    <w:p w14:paraId="0254ABDE" w14:textId="60F9A625" w:rsidR="00F72583" w:rsidRDefault="00F72583">
      <w:pPr>
        <w:pStyle w:val="TableofFigures"/>
        <w:rPr>
          <w:rFonts w:eastAsiaTheme="minorEastAsia" w:cstheme="minorBidi"/>
          <w:noProof/>
          <w:kern w:val="2"/>
          <w:sz w:val="24"/>
          <w:szCs w:val="24"/>
          <w:lang w:eastAsia="zh-CN"/>
          <w14:ligatures w14:val="standardContextual"/>
        </w:rPr>
      </w:pPr>
      <w:r>
        <w:rPr>
          <w:noProof/>
        </w:rPr>
        <w:t>A.2</w:t>
      </w:r>
      <w:r>
        <w:rPr>
          <w:rFonts w:eastAsiaTheme="minorEastAsia" w:cstheme="minorBidi"/>
          <w:noProof/>
          <w:kern w:val="2"/>
          <w:sz w:val="24"/>
          <w:szCs w:val="24"/>
          <w:lang w:eastAsia="zh-CN"/>
          <w14:ligatures w14:val="standardContextual"/>
        </w:rPr>
        <w:tab/>
      </w:r>
      <w:r>
        <w:rPr>
          <w:noProof/>
        </w:rPr>
        <w:t>Top 20 growing export sectors (SITC 3-digit) under the Singapore FTA</w:t>
      </w:r>
      <w:r>
        <w:rPr>
          <w:noProof/>
        </w:rPr>
        <w:tab/>
      </w:r>
      <w:r>
        <w:rPr>
          <w:noProof/>
        </w:rPr>
        <w:fldChar w:fldCharType="begin"/>
      </w:r>
      <w:r>
        <w:rPr>
          <w:noProof/>
        </w:rPr>
        <w:instrText xml:space="preserve"> PAGEREF _Toc175649967 \h </w:instrText>
      </w:r>
      <w:r>
        <w:rPr>
          <w:noProof/>
        </w:rPr>
      </w:r>
      <w:r>
        <w:rPr>
          <w:noProof/>
        </w:rPr>
        <w:fldChar w:fldCharType="separate"/>
      </w:r>
      <w:r w:rsidR="00586CBD">
        <w:rPr>
          <w:noProof/>
        </w:rPr>
        <w:t>10</w:t>
      </w:r>
      <w:r>
        <w:rPr>
          <w:noProof/>
        </w:rPr>
        <w:fldChar w:fldCharType="end"/>
      </w:r>
    </w:p>
    <w:p w14:paraId="05521721" w14:textId="7ACB5203" w:rsidR="00F72583" w:rsidRDefault="00F72583">
      <w:pPr>
        <w:pStyle w:val="TableofFigures"/>
        <w:rPr>
          <w:rFonts w:eastAsiaTheme="minorEastAsia" w:cstheme="minorBidi"/>
          <w:noProof/>
          <w:kern w:val="2"/>
          <w:sz w:val="24"/>
          <w:szCs w:val="24"/>
          <w:lang w:eastAsia="zh-CN"/>
          <w14:ligatures w14:val="standardContextual"/>
        </w:rPr>
      </w:pPr>
      <w:r>
        <w:rPr>
          <w:noProof/>
        </w:rPr>
        <w:t>A.3</w:t>
      </w:r>
      <w:r>
        <w:rPr>
          <w:rFonts w:eastAsiaTheme="minorEastAsia" w:cstheme="minorBidi"/>
          <w:noProof/>
          <w:kern w:val="2"/>
          <w:sz w:val="24"/>
          <w:szCs w:val="24"/>
          <w:lang w:eastAsia="zh-CN"/>
          <w14:ligatures w14:val="standardContextual"/>
        </w:rPr>
        <w:tab/>
      </w:r>
      <w:r>
        <w:rPr>
          <w:noProof/>
        </w:rPr>
        <w:t>Top 20 growing export sectors (SITC 3-digit) under the EFTA FTA</w:t>
      </w:r>
      <w:r>
        <w:rPr>
          <w:noProof/>
        </w:rPr>
        <w:tab/>
      </w:r>
      <w:r>
        <w:rPr>
          <w:noProof/>
        </w:rPr>
        <w:fldChar w:fldCharType="begin"/>
      </w:r>
      <w:r>
        <w:rPr>
          <w:noProof/>
        </w:rPr>
        <w:instrText xml:space="preserve"> PAGEREF _Toc175649968 \h </w:instrText>
      </w:r>
      <w:r>
        <w:rPr>
          <w:noProof/>
        </w:rPr>
      </w:r>
      <w:r>
        <w:rPr>
          <w:noProof/>
        </w:rPr>
        <w:fldChar w:fldCharType="separate"/>
      </w:r>
      <w:r w:rsidR="00586CBD">
        <w:rPr>
          <w:noProof/>
        </w:rPr>
        <w:t>11</w:t>
      </w:r>
      <w:r>
        <w:rPr>
          <w:noProof/>
        </w:rPr>
        <w:fldChar w:fldCharType="end"/>
      </w:r>
    </w:p>
    <w:p w14:paraId="394DF84D" w14:textId="215CB671" w:rsidR="00F72583" w:rsidRDefault="00F72583">
      <w:pPr>
        <w:pStyle w:val="TableofFigures"/>
        <w:rPr>
          <w:rFonts w:eastAsiaTheme="minorEastAsia" w:cstheme="minorBidi"/>
          <w:noProof/>
          <w:kern w:val="2"/>
          <w:sz w:val="24"/>
          <w:szCs w:val="24"/>
          <w:lang w:eastAsia="zh-CN"/>
          <w14:ligatures w14:val="standardContextual"/>
        </w:rPr>
      </w:pPr>
      <w:r>
        <w:rPr>
          <w:noProof/>
        </w:rPr>
        <w:t>A.4</w:t>
      </w:r>
      <w:r>
        <w:rPr>
          <w:rFonts w:eastAsiaTheme="minorEastAsia" w:cstheme="minorBidi"/>
          <w:noProof/>
          <w:kern w:val="2"/>
          <w:sz w:val="24"/>
          <w:szCs w:val="24"/>
          <w:lang w:eastAsia="zh-CN"/>
          <w14:ligatures w14:val="standardContextual"/>
        </w:rPr>
        <w:tab/>
      </w:r>
      <w:r>
        <w:rPr>
          <w:noProof/>
        </w:rPr>
        <w:t>Top 20 growing export sectors (SITC 3-digit) under the Indian FTA in Year 10</w:t>
      </w:r>
      <w:r>
        <w:rPr>
          <w:noProof/>
        </w:rPr>
        <w:tab/>
      </w:r>
      <w:r>
        <w:rPr>
          <w:noProof/>
        </w:rPr>
        <w:fldChar w:fldCharType="begin"/>
      </w:r>
      <w:r>
        <w:rPr>
          <w:noProof/>
        </w:rPr>
        <w:instrText xml:space="preserve"> PAGEREF _Toc175649969 \h </w:instrText>
      </w:r>
      <w:r>
        <w:rPr>
          <w:noProof/>
        </w:rPr>
      </w:r>
      <w:r>
        <w:rPr>
          <w:noProof/>
        </w:rPr>
        <w:fldChar w:fldCharType="separate"/>
      </w:r>
      <w:r w:rsidR="00586CBD">
        <w:rPr>
          <w:noProof/>
        </w:rPr>
        <w:t>12</w:t>
      </w:r>
      <w:r>
        <w:rPr>
          <w:noProof/>
        </w:rPr>
        <w:fldChar w:fldCharType="end"/>
      </w:r>
    </w:p>
    <w:p w14:paraId="32C8A548" w14:textId="7F3B6BFD" w:rsidR="00650F3E" w:rsidRDefault="005646E2" w:rsidP="004E7620">
      <w:pPr>
        <w:pStyle w:val="TableofFigures"/>
        <w:rPr>
          <w:b/>
          <w:bCs/>
          <w:noProof/>
          <w:lang w:val="en-US"/>
        </w:rPr>
      </w:pPr>
      <w:r>
        <w:rPr>
          <w:b/>
          <w:bCs/>
          <w:noProof/>
          <w:lang w:val="en-US"/>
        </w:rPr>
        <w:fldChar w:fldCharType="end"/>
      </w:r>
    </w:p>
    <w:p w14:paraId="374B635F" w14:textId="77777777" w:rsidR="00650F3E" w:rsidRDefault="00650F3E" w:rsidP="00AD1001">
      <w:pPr>
        <w:pStyle w:val="Heading1"/>
        <w:sectPr w:rsidR="00650F3E" w:rsidSect="004E7620">
          <w:headerReference w:type="even" r:id="rId14"/>
          <w:headerReference w:type="default" r:id="rId15"/>
          <w:footerReference w:type="even" r:id="rId16"/>
          <w:footerReference w:type="default" r:id="rId17"/>
          <w:pgSz w:w="11906" w:h="16838" w:code="9"/>
          <w:pgMar w:top="2268" w:right="1701" w:bottom="1418" w:left="2268" w:header="680" w:footer="680" w:gutter="0"/>
          <w:pgNumType w:fmt="lowerRoman"/>
          <w:cols w:space="708"/>
          <w:docGrid w:linePitch="360"/>
        </w:sectPr>
      </w:pPr>
    </w:p>
    <w:p w14:paraId="622FF67F" w14:textId="412A568F" w:rsidR="002A5062" w:rsidRPr="00AD1001" w:rsidRDefault="009A444C" w:rsidP="00AD1001">
      <w:pPr>
        <w:pStyle w:val="Heading1"/>
      </w:pPr>
      <w:bookmarkStart w:id="1" w:name="_Toc175649970"/>
      <w:bookmarkEnd w:id="0"/>
      <w:r w:rsidRPr="00AD1001">
        <w:lastRenderedPageBreak/>
        <w:t>Update report</w:t>
      </w:r>
      <w:bookmarkEnd w:id="1"/>
    </w:p>
    <w:p w14:paraId="5F8A4EAA" w14:textId="7E2D8755" w:rsidR="009A444C" w:rsidRDefault="004260CC" w:rsidP="009A444C">
      <w:pPr>
        <w:pStyle w:val="BodyText"/>
        <w:rPr>
          <w:lang w:bidi="fa-IR"/>
        </w:rPr>
      </w:pPr>
      <w:r>
        <w:rPr>
          <w:lang w:bidi="fa-IR"/>
        </w:rPr>
        <w:t xml:space="preserve">The Centre for International Economics (CIE) completed a feasibility </w:t>
      </w:r>
      <w:r w:rsidR="0062229B">
        <w:rPr>
          <w:lang w:bidi="fa-IR"/>
        </w:rPr>
        <w:t>study on a potential Free Trade Agreement</w:t>
      </w:r>
      <w:r w:rsidR="0093691C">
        <w:rPr>
          <w:lang w:bidi="fa-IR"/>
        </w:rPr>
        <w:t xml:space="preserve"> (FTA) between Australia and </w:t>
      </w:r>
      <w:r w:rsidR="009F1B56">
        <w:rPr>
          <w:lang w:bidi="fa-IR"/>
        </w:rPr>
        <w:t xml:space="preserve">the </w:t>
      </w:r>
      <w:r w:rsidR="0093691C">
        <w:rPr>
          <w:lang w:bidi="fa-IR"/>
        </w:rPr>
        <w:t>United Arab Emirates (UAE)</w:t>
      </w:r>
      <w:r w:rsidR="00C16920">
        <w:rPr>
          <w:lang w:bidi="fa-IR"/>
        </w:rPr>
        <w:t xml:space="preserve"> on 27 February 2023.</w:t>
      </w:r>
      <w:r w:rsidR="00747EA3">
        <w:rPr>
          <w:rStyle w:val="FootnoteReference"/>
          <w:lang w:bidi="fa-IR"/>
        </w:rPr>
        <w:footnoteReference w:id="2"/>
      </w:r>
      <w:r w:rsidR="00C16920">
        <w:rPr>
          <w:lang w:bidi="fa-IR"/>
        </w:rPr>
        <w:t xml:space="preserve"> </w:t>
      </w:r>
    </w:p>
    <w:p w14:paraId="53F06F8F" w14:textId="64F392FF" w:rsidR="003648DD" w:rsidRDefault="003648DD" w:rsidP="009A444C">
      <w:pPr>
        <w:pStyle w:val="BodyText"/>
        <w:rPr>
          <w:lang w:bidi="fa-IR"/>
        </w:rPr>
      </w:pPr>
      <w:r>
        <w:rPr>
          <w:lang w:bidi="fa-IR"/>
        </w:rPr>
        <w:t xml:space="preserve">With the </w:t>
      </w:r>
      <w:r w:rsidR="00B639A8">
        <w:rPr>
          <w:lang w:bidi="fa-IR"/>
        </w:rPr>
        <w:t xml:space="preserve">negotiation entering the final stage, the Department </w:t>
      </w:r>
      <w:r w:rsidR="006E2381">
        <w:rPr>
          <w:lang w:bidi="fa-IR"/>
        </w:rPr>
        <w:t xml:space="preserve">of Foreign Affairs and Trade (DFAT) </w:t>
      </w:r>
      <w:r w:rsidR="00DB3331">
        <w:rPr>
          <w:lang w:bidi="fa-IR"/>
        </w:rPr>
        <w:t>commissioned</w:t>
      </w:r>
      <w:r w:rsidR="006E2381">
        <w:rPr>
          <w:lang w:bidi="fa-IR"/>
        </w:rPr>
        <w:t xml:space="preserve"> </w:t>
      </w:r>
      <w:r w:rsidR="00DB3331">
        <w:rPr>
          <w:lang w:bidi="fa-IR"/>
        </w:rPr>
        <w:t>the CIE to conduct a quick update of the original feasibility study</w:t>
      </w:r>
      <w:r w:rsidR="00254093">
        <w:rPr>
          <w:lang w:bidi="fa-IR"/>
        </w:rPr>
        <w:t>, using latest trade data</w:t>
      </w:r>
      <w:r w:rsidR="001A49C5">
        <w:rPr>
          <w:lang w:bidi="fa-IR"/>
        </w:rPr>
        <w:t xml:space="preserve"> (Australian exports to the UAE from 2021 to 2023 compiled by DFAT</w:t>
      </w:r>
      <w:r w:rsidR="001A49C5">
        <w:rPr>
          <w:rStyle w:val="FootnoteReference"/>
          <w:lang w:bidi="fa-IR"/>
        </w:rPr>
        <w:footnoteReference w:id="3"/>
      </w:r>
      <w:r w:rsidR="001A49C5">
        <w:rPr>
          <w:lang w:bidi="fa-IR"/>
        </w:rPr>
        <w:t>)</w:t>
      </w:r>
      <w:r w:rsidR="00DB3331">
        <w:rPr>
          <w:lang w:bidi="fa-IR"/>
        </w:rPr>
        <w:t>.</w:t>
      </w:r>
      <w:r w:rsidR="00254093">
        <w:rPr>
          <w:lang w:bidi="fa-IR"/>
        </w:rPr>
        <w:t xml:space="preserve"> This note provides a brief </w:t>
      </w:r>
      <w:r w:rsidR="00B2434C">
        <w:rPr>
          <w:lang w:bidi="fa-IR"/>
        </w:rPr>
        <w:t>introduction to the update</w:t>
      </w:r>
      <w:r w:rsidR="00612EFE">
        <w:rPr>
          <w:lang w:bidi="fa-IR"/>
        </w:rPr>
        <w:t>d</w:t>
      </w:r>
      <w:r w:rsidR="00B2434C">
        <w:rPr>
          <w:lang w:bidi="fa-IR"/>
        </w:rPr>
        <w:t xml:space="preserve"> </w:t>
      </w:r>
      <w:r w:rsidR="00AC268A">
        <w:rPr>
          <w:lang w:bidi="fa-IR"/>
        </w:rPr>
        <w:t xml:space="preserve">findings. </w:t>
      </w:r>
      <w:r w:rsidR="003A6A18">
        <w:rPr>
          <w:lang w:bidi="fa-IR"/>
        </w:rPr>
        <w:t>It</w:t>
      </w:r>
      <w:r w:rsidR="00AC268A">
        <w:rPr>
          <w:lang w:bidi="fa-IR"/>
        </w:rPr>
        <w:t xml:space="preserve"> should be read in conjunction with </w:t>
      </w:r>
      <w:r w:rsidR="001772CB">
        <w:rPr>
          <w:lang w:bidi="fa-IR"/>
        </w:rPr>
        <w:t>th</w:t>
      </w:r>
      <w:r w:rsidR="005D2886">
        <w:rPr>
          <w:lang w:bidi="fa-IR"/>
        </w:rPr>
        <w:t xml:space="preserve">e original report to </w:t>
      </w:r>
      <w:r w:rsidR="00B807FD">
        <w:rPr>
          <w:lang w:bidi="fa-IR"/>
        </w:rPr>
        <w:t>get more detailed information on the methodology</w:t>
      </w:r>
      <w:r w:rsidR="00612EFE">
        <w:rPr>
          <w:lang w:bidi="fa-IR"/>
        </w:rPr>
        <w:t xml:space="preserve"> and background.</w:t>
      </w:r>
    </w:p>
    <w:p w14:paraId="2F94BE74" w14:textId="5AE186A7" w:rsidR="00E741E8" w:rsidRDefault="00E741E8" w:rsidP="00AD1001">
      <w:pPr>
        <w:pStyle w:val="Heading2"/>
        <w:rPr>
          <w:lang w:bidi="fa-IR"/>
        </w:rPr>
      </w:pPr>
      <w:bookmarkStart w:id="2" w:name="_Toc175649971"/>
      <w:r>
        <w:rPr>
          <w:lang w:bidi="fa-IR"/>
        </w:rPr>
        <w:t>What’s been changed</w:t>
      </w:r>
      <w:bookmarkEnd w:id="2"/>
    </w:p>
    <w:p w14:paraId="64268085" w14:textId="69CC8882" w:rsidR="00E741E8" w:rsidRDefault="003A6A18" w:rsidP="00E741E8">
      <w:pPr>
        <w:pStyle w:val="BodyText"/>
        <w:rPr>
          <w:lang w:bidi="fa-IR"/>
        </w:rPr>
      </w:pPr>
      <w:r>
        <w:rPr>
          <w:lang w:bidi="fa-IR"/>
        </w:rPr>
        <w:t xml:space="preserve">The update follows the same approach </w:t>
      </w:r>
      <w:r w:rsidR="001C4EEA">
        <w:rPr>
          <w:lang w:bidi="fa-IR"/>
        </w:rPr>
        <w:t>as the original report in estimating the impact of an FTA on Australia</w:t>
      </w:r>
      <w:r w:rsidR="00A544FA">
        <w:rPr>
          <w:lang w:bidi="fa-IR"/>
        </w:rPr>
        <w:t xml:space="preserve">’s exports to the UAE. </w:t>
      </w:r>
      <w:r w:rsidR="00383F31">
        <w:rPr>
          <w:lang w:bidi="fa-IR"/>
        </w:rPr>
        <w:t xml:space="preserve">It involves </w:t>
      </w:r>
      <w:r w:rsidR="004F4387">
        <w:rPr>
          <w:lang w:bidi="fa-IR"/>
        </w:rPr>
        <w:t xml:space="preserve">compiling the </w:t>
      </w:r>
      <w:r w:rsidR="00402F09">
        <w:rPr>
          <w:lang w:bidi="fa-IR"/>
        </w:rPr>
        <w:t>latest trade data between Australia and the UAE</w:t>
      </w:r>
      <w:r w:rsidR="0098441C">
        <w:rPr>
          <w:lang w:bidi="fa-IR"/>
        </w:rPr>
        <w:t xml:space="preserve"> and</w:t>
      </w:r>
      <w:r w:rsidR="00402F09">
        <w:rPr>
          <w:lang w:bidi="fa-IR"/>
        </w:rPr>
        <w:t xml:space="preserve"> potential </w:t>
      </w:r>
      <w:r w:rsidR="00E40810">
        <w:rPr>
          <w:lang w:bidi="fa-IR"/>
        </w:rPr>
        <w:t xml:space="preserve">offer on tariff </w:t>
      </w:r>
      <w:r w:rsidR="00D63026">
        <w:rPr>
          <w:lang w:bidi="fa-IR"/>
        </w:rPr>
        <w:t xml:space="preserve">elimination, </w:t>
      </w:r>
      <w:r w:rsidR="00D24511">
        <w:rPr>
          <w:lang w:bidi="fa-IR"/>
        </w:rPr>
        <w:t xml:space="preserve">and then applying the </w:t>
      </w:r>
      <w:r w:rsidR="00095683">
        <w:rPr>
          <w:lang w:bidi="fa-IR"/>
        </w:rPr>
        <w:t xml:space="preserve">rate of substitution (also known as </w:t>
      </w:r>
      <w:proofErr w:type="spellStart"/>
      <w:r w:rsidR="00095C4A">
        <w:rPr>
          <w:lang w:bidi="fa-IR"/>
        </w:rPr>
        <w:t>Armington</w:t>
      </w:r>
      <w:proofErr w:type="spellEnd"/>
      <w:r w:rsidR="00095C4A">
        <w:rPr>
          <w:lang w:bidi="fa-IR"/>
        </w:rPr>
        <w:t xml:space="preserve"> </w:t>
      </w:r>
      <w:r w:rsidR="00D24511">
        <w:rPr>
          <w:lang w:bidi="fa-IR"/>
        </w:rPr>
        <w:t>elasticity</w:t>
      </w:r>
      <w:r w:rsidR="00DD55AA">
        <w:rPr>
          <w:lang w:bidi="fa-IR"/>
        </w:rPr>
        <w:t xml:space="preserve"> which specifies the degree</w:t>
      </w:r>
      <w:r w:rsidR="009401B9">
        <w:rPr>
          <w:lang w:bidi="fa-IR"/>
        </w:rPr>
        <w:t>s of substitution in demand between similar products produced in different countries</w:t>
      </w:r>
      <w:r w:rsidR="00B05B67">
        <w:rPr>
          <w:lang w:bidi="fa-IR"/>
        </w:rPr>
        <w:t xml:space="preserve"> in response to changes in the relative price</w:t>
      </w:r>
      <w:r w:rsidR="00095683">
        <w:rPr>
          <w:lang w:bidi="fa-IR"/>
        </w:rPr>
        <w:t>)</w:t>
      </w:r>
      <w:r w:rsidR="00E40810">
        <w:rPr>
          <w:lang w:bidi="fa-IR"/>
        </w:rPr>
        <w:t xml:space="preserve"> </w:t>
      </w:r>
      <w:r w:rsidR="00095C4A">
        <w:rPr>
          <w:lang w:bidi="fa-IR"/>
        </w:rPr>
        <w:t>to estimate the impacts.</w:t>
      </w:r>
    </w:p>
    <w:p w14:paraId="578C117B" w14:textId="0AE7A6D4" w:rsidR="0098441C" w:rsidRDefault="00900D1F" w:rsidP="00E741E8">
      <w:pPr>
        <w:pStyle w:val="BodyText"/>
        <w:rPr>
          <w:lang w:bidi="fa-IR"/>
        </w:rPr>
      </w:pPr>
      <w:r>
        <w:rPr>
          <w:lang w:bidi="fa-IR"/>
        </w:rPr>
        <w:t xml:space="preserve">The </w:t>
      </w:r>
      <w:r w:rsidR="0081105B">
        <w:rPr>
          <w:lang w:bidi="fa-IR"/>
        </w:rPr>
        <w:t>most significant</w:t>
      </w:r>
      <w:r>
        <w:rPr>
          <w:lang w:bidi="fa-IR"/>
        </w:rPr>
        <w:t xml:space="preserve"> change</w:t>
      </w:r>
      <w:r w:rsidR="0006472E">
        <w:rPr>
          <w:lang w:bidi="fa-IR"/>
        </w:rPr>
        <w:t>s</w:t>
      </w:r>
      <w:r>
        <w:rPr>
          <w:lang w:bidi="fa-IR"/>
        </w:rPr>
        <w:t xml:space="preserve"> to the </w:t>
      </w:r>
      <w:r w:rsidR="00ED0BD1">
        <w:rPr>
          <w:lang w:bidi="fa-IR"/>
        </w:rPr>
        <w:t>estimation</w:t>
      </w:r>
      <w:r>
        <w:rPr>
          <w:lang w:bidi="fa-IR"/>
        </w:rPr>
        <w:t xml:space="preserve"> </w:t>
      </w:r>
      <w:r w:rsidR="00D9227D">
        <w:rPr>
          <w:lang w:bidi="fa-IR"/>
        </w:rPr>
        <w:t>inputs</w:t>
      </w:r>
      <w:r w:rsidR="00ED0BD1">
        <w:rPr>
          <w:lang w:bidi="fa-IR"/>
        </w:rPr>
        <w:t xml:space="preserve"> </w:t>
      </w:r>
      <w:r w:rsidR="0006472E">
        <w:rPr>
          <w:lang w:bidi="fa-IR"/>
        </w:rPr>
        <w:t>are</w:t>
      </w:r>
      <w:r w:rsidR="00C1223F">
        <w:rPr>
          <w:lang w:bidi="fa-IR"/>
        </w:rPr>
        <w:t xml:space="preserve"> the export </w:t>
      </w:r>
      <w:r w:rsidR="00C83D82">
        <w:rPr>
          <w:lang w:bidi="fa-IR"/>
        </w:rPr>
        <w:t xml:space="preserve">value and </w:t>
      </w:r>
      <w:r w:rsidR="003A7D39">
        <w:rPr>
          <w:lang w:bidi="fa-IR"/>
        </w:rPr>
        <w:t>composition</w:t>
      </w:r>
      <w:r w:rsidR="00097735">
        <w:rPr>
          <w:lang w:bidi="fa-IR"/>
        </w:rPr>
        <w:t>.</w:t>
      </w:r>
      <w:r w:rsidR="00187AEA">
        <w:rPr>
          <w:lang w:bidi="fa-IR"/>
        </w:rPr>
        <w:t xml:space="preserve"> Total value of Australia’s exports to </w:t>
      </w:r>
      <w:r w:rsidR="00D664F7">
        <w:rPr>
          <w:lang w:bidi="fa-IR"/>
        </w:rPr>
        <w:t>the UAE has increased from $3.47</w:t>
      </w:r>
      <w:r w:rsidR="00CC0516">
        <w:rPr>
          <w:lang w:bidi="fa-IR"/>
        </w:rPr>
        <w:t> </w:t>
      </w:r>
      <w:r w:rsidR="00D664F7">
        <w:rPr>
          <w:lang w:bidi="fa-IR"/>
        </w:rPr>
        <w:t>billion (</w:t>
      </w:r>
      <w:r w:rsidR="00127DD3">
        <w:rPr>
          <w:lang w:bidi="fa-IR"/>
        </w:rPr>
        <w:t>five-year</w:t>
      </w:r>
      <w:r w:rsidR="00B869DE">
        <w:rPr>
          <w:lang w:bidi="fa-IR"/>
        </w:rPr>
        <w:t xml:space="preserve"> average from </w:t>
      </w:r>
      <w:r w:rsidR="00D664F7">
        <w:rPr>
          <w:lang w:bidi="fa-IR"/>
        </w:rPr>
        <w:t>2015</w:t>
      </w:r>
      <w:r w:rsidR="00B869DE">
        <w:rPr>
          <w:lang w:bidi="fa-IR"/>
        </w:rPr>
        <w:t xml:space="preserve"> to 20</w:t>
      </w:r>
      <w:r w:rsidR="00D664F7">
        <w:rPr>
          <w:lang w:bidi="fa-IR"/>
        </w:rPr>
        <w:t>19)</w:t>
      </w:r>
      <w:r w:rsidR="00B05AE7">
        <w:rPr>
          <w:lang w:bidi="fa-IR"/>
        </w:rPr>
        <w:t xml:space="preserve"> in the original analysis</w:t>
      </w:r>
      <w:r w:rsidR="00D664F7">
        <w:rPr>
          <w:lang w:bidi="fa-IR"/>
        </w:rPr>
        <w:t xml:space="preserve"> to </w:t>
      </w:r>
      <w:r w:rsidR="0006472E">
        <w:rPr>
          <w:lang w:bidi="fa-IR"/>
        </w:rPr>
        <w:t>$4.23 billion (2021-23</w:t>
      </w:r>
      <w:r w:rsidR="00BF353D">
        <w:rPr>
          <w:lang w:bidi="fa-IR"/>
        </w:rPr>
        <w:t xml:space="preserve"> average</w:t>
      </w:r>
      <w:r w:rsidR="0006472E">
        <w:rPr>
          <w:lang w:bidi="fa-IR"/>
        </w:rPr>
        <w:t>)</w:t>
      </w:r>
      <w:r w:rsidR="00D9227D">
        <w:rPr>
          <w:lang w:bidi="fa-IR"/>
        </w:rPr>
        <w:t>, representing a 22 per cent increase.</w:t>
      </w:r>
      <w:r w:rsidR="00F545A0">
        <w:rPr>
          <w:lang w:bidi="fa-IR"/>
        </w:rPr>
        <w:t xml:space="preserve"> This </w:t>
      </w:r>
      <w:r w:rsidR="00BF3424">
        <w:rPr>
          <w:lang w:bidi="fa-IR"/>
        </w:rPr>
        <w:t xml:space="preserve">increase </w:t>
      </w:r>
      <w:r w:rsidR="00F545A0">
        <w:rPr>
          <w:lang w:bidi="fa-IR"/>
        </w:rPr>
        <w:t>was driven by certain products</w:t>
      </w:r>
      <w:r w:rsidR="00BF3424">
        <w:rPr>
          <w:lang w:bidi="fa-IR"/>
        </w:rPr>
        <w:t xml:space="preserve"> </w:t>
      </w:r>
      <w:r w:rsidR="00F545A0">
        <w:rPr>
          <w:lang w:bidi="fa-IR"/>
        </w:rPr>
        <w:t xml:space="preserve">experiencing significantly higher-than-average growth in </w:t>
      </w:r>
      <w:r w:rsidR="00186B74">
        <w:rPr>
          <w:lang w:bidi="fa-IR"/>
        </w:rPr>
        <w:t xml:space="preserve">some </w:t>
      </w:r>
      <w:r w:rsidR="00F545A0">
        <w:rPr>
          <w:lang w:bidi="fa-IR"/>
        </w:rPr>
        <w:t xml:space="preserve">periods of 2021-23 than in 2015-19 and does not necessarily indicate </w:t>
      </w:r>
      <w:r w:rsidR="008E216B">
        <w:rPr>
          <w:lang w:bidi="fa-IR"/>
        </w:rPr>
        <w:t>an ongoing trend</w:t>
      </w:r>
      <w:r w:rsidR="00BF3424">
        <w:rPr>
          <w:lang w:bidi="fa-IR"/>
        </w:rPr>
        <w:t xml:space="preserve"> or </w:t>
      </w:r>
      <w:r w:rsidR="00514ED4">
        <w:rPr>
          <w:lang w:bidi="fa-IR"/>
        </w:rPr>
        <w:t xml:space="preserve">future exports. </w:t>
      </w:r>
    </w:p>
    <w:p w14:paraId="0F7F5C89" w14:textId="0C3F2A8F" w:rsidR="003A7D39" w:rsidRDefault="003A7D39" w:rsidP="00E741E8">
      <w:pPr>
        <w:pStyle w:val="BodyText"/>
        <w:rPr>
          <w:lang w:bidi="fa-IR"/>
        </w:rPr>
      </w:pPr>
      <w:r>
        <w:rPr>
          <w:lang w:bidi="fa-IR"/>
        </w:rPr>
        <w:t xml:space="preserve">More importantly, the composition of </w:t>
      </w:r>
      <w:r w:rsidR="007E7DB2">
        <w:rPr>
          <w:lang w:bidi="fa-IR"/>
        </w:rPr>
        <w:t xml:space="preserve">the exports has changed significantly, which </w:t>
      </w:r>
      <w:r w:rsidR="000E2E41">
        <w:rPr>
          <w:lang w:bidi="fa-IR"/>
        </w:rPr>
        <w:t>affect</w:t>
      </w:r>
      <w:r w:rsidR="003E6130">
        <w:rPr>
          <w:lang w:bidi="fa-IR"/>
        </w:rPr>
        <w:t>s the overall tariff level</w:t>
      </w:r>
      <w:r w:rsidR="00C60D90">
        <w:rPr>
          <w:lang w:bidi="fa-IR"/>
        </w:rPr>
        <w:t>.</w:t>
      </w:r>
    </w:p>
    <w:p w14:paraId="28E38379" w14:textId="68D50446" w:rsidR="00C60D90" w:rsidRDefault="0027129A" w:rsidP="00E741E8">
      <w:pPr>
        <w:pStyle w:val="BodyText"/>
        <w:rPr>
          <w:lang w:bidi="fa-IR"/>
        </w:rPr>
      </w:pPr>
      <w:r>
        <w:rPr>
          <w:lang w:bidi="fa-IR"/>
        </w:rPr>
        <w:t xml:space="preserve">As shown in table </w:t>
      </w:r>
      <w:r>
        <w:rPr>
          <w:lang w:bidi="fa-IR"/>
        </w:rPr>
        <w:fldChar w:fldCharType="begin"/>
      </w:r>
      <w:r>
        <w:rPr>
          <w:lang w:bidi="fa-IR"/>
        </w:rPr>
        <w:instrText xml:space="preserve"> REF _Caption1318 </w:instrText>
      </w:r>
      <w:r>
        <w:rPr>
          <w:lang w:bidi="fa-IR"/>
        </w:rPr>
        <w:fldChar w:fldCharType="separate"/>
      </w:r>
      <w:r w:rsidR="00586CBD">
        <w:rPr>
          <w:noProof/>
        </w:rPr>
        <w:t>1</w:t>
      </w:r>
      <w:r>
        <w:rPr>
          <w:lang w:bidi="fa-IR"/>
        </w:rPr>
        <w:fldChar w:fldCharType="end"/>
      </w:r>
      <w:r w:rsidR="008B54B1">
        <w:rPr>
          <w:lang w:bidi="fa-IR"/>
        </w:rPr>
        <w:t xml:space="preserve">, </w:t>
      </w:r>
      <w:r w:rsidR="003B065B">
        <w:rPr>
          <w:lang w:bidi="fa-IR"/>
        </w:rPr>
        <w:t xml:space="preserve">agricultural products account for 40 per cent of Australia’s total exports to the UAE in this update, compared to </w:t>
      </w:r>
      <w:r w:rsidR="00E35A67">
        <w:rPr>
          <w:lang w:bidi="fa-IR"/>
        </w:rPr>
        <w:t xml:space="preserve">only 30 per cent previously. </w:t>
      </w:r>
      <w:r w:rsidR="00DE46E3">
        <w:rPr>
          <w:lang w:bidi="fa-IR"/>
        </w:rPr>
        <w:t>Exports of s</w:t>
      </w:r>
      <w:r w:rsidR="00191E78">
        <w:rPr>
          <w:lang w:bidi="fa-IR"/>
        </w:rPr>
        <w:t xml:space="preserve">ome </w:t>
      </w:r>
      <w:r w:rsidR="005B12D0">
        <w:rPr>
          <w:lang w:bidi="fa-IR"/>
        </w:rPr>
        <w:t xml:space="preserve">agricultural commodities </w:t>
      </w:r>
      <w:r w:rsidR="009B1970">
        <w:rPr>
          <w:lang w:bidi="fa-IR"/>
        </w:rPr>
        <w:t>with</w:t>
      </w:r>
      <w:r w:rsidR="005B12D0">
        <w:rPr>
          <w:lang w:bidi="fa-IR"/>
        </w:rPr>
        <w:t xml:space="preserve"> high tariff rates have </w:t>
      </w:r>
      <w:r w:rsidR="00DE46E3">
        <w:rPr>
          <w:lang w:bidi="fa-IR"/>
        </w:rPr>
        <w:t xml:space="preserve">grown significantly, leading to higher </w:t>
      </w:r>
      <w:r w:rsidR="00C916FC">
        <w:rPr>
          <w:lang w:bidi="fa-IR"/>
        </w:rPr>
        <w:t>weighted average tariff rate</w:t>
      </w:r>
      <w:r w:rsidR="00150BF6">
        <w:rPr>
          <w:lang w:bidi="fa-IR"/>
        </w:rPr>
        <w:t xml:space="preserve"> for agricultural products </w:t>
      </w:r>
      <w:r w:rsidR="003929BB">
        <w:rPr>
          <w:lang w:bidi="fa-IR"/>
        </w:rPr>
        <w:t>–</w:t>
      </w:r>
      <w:r w:rsidR="00150BF6">
        <w:rPr>
          <w:lang w:bidi="fa-IR"/>
        </w:rPr>
        <w:t xml:space="preserve"> </w:t>
      </w:r>
      <w:r w:rsidR="003929BB">
        <w:rPr>
          <w:lang w:bidi="fa-IR"/>
        </w:rPr>
        <w:t>3.0</w:t>
      </w:r>
      <w:r w:rsidR="00891798">
        <w:rPr>
          <w:lang w:bidi="fa-IR"/>
        </w:rPr>
        <w:t>7</w:t>
      </w:r>
      <w:r w:rsidR="003929BB">
        <w:rPr>
          <w:lang w:bidi="fa-IR"/>
        </w:rPr>
        <w:t xml:space="preserve"> per cent in this update compared with 2.22 per cent previously.</w:t>
      </w:r>
    </w:p>
    <w:p w14:paraId="41ED060F" w14:textId="2DCEFAD1" w:rsidR="00866657" w:rsidRDefault="00866657" w:rsidP="00E741E8">
      <w:pPr>
        <w:pStyle w:val="BodyText"/>
        <w:rPr>
          <w:lang w:bidi="fa-IR"/>
        </w:rPr>
      </w:pPr>
      <w:r>
        <w:rPr>
          <w:lang w:bidi="fa-IR"/>
        </w:rPr>
        <w:t xml:space="preserve">On the other hand, </w:t>
      </w:r>
      <w:r w:rsidR="00156262">
        <w:rPr>
          <w:lang w:bidi="fa-IR"/>
        </w:rPr>
        <w:t>while the share of non-agricultural products is lower, the new</w:t>
      </w:r>
      <w:r w:rsidR="000E5D40">
        <w:rPr>
          <w:lang w:bidi="fa-IR"/>
        </w:rPr>
        <w:t xml:space="preserve"> export structure somehow favours</w:t>
      </w:r>
      <w:r w:rsidR="00156262">
        <w:rPr>
          <w:lang w:bidi="fa-IR"/>
        </w:rPr>
        <w:t xml:space="preserve"> </w:t>
      </w:r>
      <w:r w:rsidR="000E5D40">
        <w:rPr>
          <w:lang w:bidi="fa-IR"/>
        </w:rPr>
        <w:t xml:space="preserve">non-agricultural products, leading to a slightly lower </w:t>
      </w:r>
      <w:r w:rsidR="000E5D40">
        <w:rPr>
          <w:lang w:bidi="fa-IR"/>
        </w:rPr>
        <w:lastRenderedPageBreak/>
        <w:t xml:space="preserve">weighted average </w:t>
      </w:r>
      <w:r w:rsidR="00025FB1">
        <w:rPr>
          <w:lang w:bidi="fa-IR"/>
        </w:rPr>
        <w:t>tariff rate</w:t>
      </w:r>
      <w:r w:rsidR="00891FA1">
        <w:rPr>
          <w:lang w:bidi="fa-IR"/>
        </w:rPr>
        <w:t xml:space="preserve"> </w:t>
      </w:r>
      <w:r w:rsidR="00370818">
        <w:rPr>
          <w:lang w:bidi="fa-IR"/>
        </w:rPr>
        <w:t>–</w:t>
      </w:r>
      <w:r w:rsidR="00891FA1">
        <w:rPr>
          <w:lang w:bidi="fa-IR"/>
        </w:rPr>
        <w:t xml:space="preserve"> </w:t>
      </w:r>
      <w:r w:rsidR="00370818">
        <w:rPr>
          <w:lang w:bidi="fa-IR"/>
        </w:rPr>
        <w:t>3.</w:t>
      </w:r>
      <w:r w:rsidR="00891798">
        <w:rPr>
          <w:lang w:bidi="fa-IR"/>
        </w:rPr>
        <w:t>8</w:t>
      </w:r>
      <w:r w:rsidR="00370818">
        <w:rPr>
          <w:lang w:bidi="fa-IR"/>
        </w:rPr>
        <w:t xml:space="preserve"> per cent in this update compared with 4.18 per cent previously.</w:t>
      </w:r>
    </w:p>
    <w:p w14:paraId="5F923153" w14:textId="5A8A0FF1" w:rsidR="008B6C30" w:rsidRDefault="008B6C30" w:rsidP="008B6C30">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Pr="00695C93">
        <w:instrText>B</w:instrText>
      </w:r>
      <w:r>
        <w:fldChar w:fldCharType="end"/>
      </w:r>
      <w:r w:rsidRPr="00695C93">
        <w:instrText xml:space="preserve">." </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end"/>
      </w:r>
      <w:r w:rsidRPr="00695C93">
        <w:instrText xml:space="preserve"> </w:instrText>
      </w:r>
      <w:r w:rsidRPr="00695C93">
        <w:fldChar w:fldCharType="separate"/>
      </w:r>
      <w:r w:rsidR="00586CBD">
        <w:rPr>
          <w:noProof/>
        </w:rPr>
        <w:instrText>1</w:instrText>
      </w:r>
      <w:r w:rsidRPr="00695C93">
        <w:fldChar w:fldCharType="end"/>
      </w:r>
      <w:r w:rsidRPr="00695C93">
        <w:instrText xml:space="preserve">" "" </w:instrText>
      </w:r>
      <w:r w:rsidRPr="00695C93">
        <w:fldChar w:fldCharType="separate"/>
      </w:r>
      <w:bookmarkStart w:id="3" w:name="_Caption3089"/>
      <w:bookmarkStart w:id="4" w:name="_Caption8935"/>
      <w:bookmarkStart w:id="5" w:name="_Caption8638"/>
      <w:bookmarkStart w:id="6" w:name="_Caption1318"/>
      <w:bookmarkStart w:id="7" w:name="_Caption8937"/>
      <w:bookmarkStart w:id="8" w:name="_Caption2432"/>
      <w:bookmarkStart w:id="9" w:name="_Caption1441"/>
      <w:bookmarkStart w:id="10" w:name="_Toc175649961"/>
      <w:r w:rsidR="00586CBD">
        <w:rPr>
          <w:noProof/>
        </w:rPr>
        <w:t>1</w:t>
      </w:r>
      <w:bookmarkEnd w:id="3"/>
      <w:bookmarkEnd w:id="4"/>
      <w:bookmarkEnd w:id="5"/>
      <w:bookmarkEnd w:id="6"/>
      <w:bookmarkEnd w:id="7"/>
      <w:bookmarkEnd w:id="8"/>
      <w:bookmarkEnd w:id="9"/>
      <w:r w:rsidRPr="00695C93">
        <w:fldChar w:fldCharType="end"/>
      </w:r>
      <w:r w:rsidRPr="00695C93">
        <w:tab/>
      </w:r>
      <w:r w:rsidR="009A4312">
        <w:t>Comparison in the inputs</w:t>
      </w:r>
      <w:bookmarkEnd w:id="10"/>
    </w:p>
    <w:tbl>
      <w:tblPr>
        <w:tblW w:w="7938" w:type="dxa"/>
        <w:tblLook w:val="04E0" w:firstRow="1" w:lastRow="1" w:firstColumn="1" w:lastColumn="0" w:noHBand="0" w:noVBand="1"/>
      </w:tblPr>
      <w:tblGrid>
        <w:gridCol w:w="2663"/>
        <w:gridCol w:w="867"/>
        <w:gridCol w:w="835"/>
        <w:gridCol w:w="835"/>
        <w:gridCol w:w="859"/>
        <w:gridCol w:w="835"/>
        <w:gridCol w:w="1044"/>
      </w:tblGrid>
      <w:tr w:rsidR="008F2B9A" w:rsidRPr="008B6C30" w14:paraId="11BA9BD7" w14:textId="77777777" w:rsidTr="008F42F2">
        <w:trPr>
          <w:trHeight w:val="252"/>
        </w:trPr>
        <w:tc>
          <w:tcPr>
            <w:tcW w:w="2663" w:type="dxa"/>
            <w:shd w:val="clear" w:color="auto" w:fill="6F6652"/>
            <w:noWrap/>
            <w:tcMar>
              <w:left w:w="57" w:type="dxa"/>
              <w:right w:w="57" w:type="dxa"/>
            </w:tcMar>
            <w:hideMark/>
          </w:tcPr>
          <w:p w14:paraId="70EF03B2" w14:textId="376ECC32" w:rsidR="008F2B9A" w:rsidRPr="008B6C30" w:rsidRDefault="008F2B9A" w:rsidP="008B6C30">
            <w:pPr>
              <w:pStyle w:val="TableDataColumnHeading"/>
              <w:jc w:val="left"/>
            </w:pPr>
            <w:r w:rsidRPr="008B6C30">
              <w:t>Agricultural products</w:t>
            </w:r>
          </w:p>
        </w:tc>
        <w:tc>
          <w:tcPr>
            <w:tcW w:w="867" w:type="dxa"/>
            <w:shd w:val="clear" w:color="auto" w:fill="6F6652"/>
            <w:noWrap/>
            <w:tcMar>
              <w:left w:w="57" w:type="dxa"/>
              <w:right w:w="57" w:type="dxa"/>
            </w:tcMar>
            <w:vAlign w:val="center"/>
            <w:hideMark/>
          </w:tcPr>
          <w:p w14:paraId="1C6DA599" w14:textId="4B021E4A" w:rsidR="008F2B9A" w:rsidRPr="009A4312" w:rsidRDefault="008F2B9A" w:rsidP="008F2B9A">
            <w:pPr>
              <w:pStyle w:val="TableDataColumnHeading"/>
              <w:jc w:val="center"/>
              <w:rPr>
                <w:szCs w:val="16"/>
              </w:rPr>
            </w:pPr>
            <w:r w:rsidRPr="009A4312">
              <w:rPr>
                <w:szCs w:val="16"/>
              </w:rPr>
              <w:t>Previous</w:t>
            </w:r>
            <w:r>
              <w:rPr>
                <w:szCs w:val="16"/>
              </w:rPr>
              <w:t xml:space="preserve"> analysis</w:t>
            </w:r>
            <w:r>
              <w:rPr>
                <w:szCs w:val="16"/>
              </w:rPr>
              <w:t>:</w:t>
            </w:r>
            <w:r w:rsidRPr="009A4312">
              <w:rPr>
                <w:szCs w:val="16"/>
              </w:rPr>
              <w:t xml:space="preserve"> </w:t>
            </w:r>
            <w:r>
              <w:rPr>
                <w:szCs w:val="16"/>
              </w:rPr>
              <w:br/>
            </w:r>
            <w:r w:rsidRPr="009A4312">
              <w:rPr>
                <w:szCs w:val="16"/>
              </w:rPr>
              <w:t>Export</w:t>
            </w:r>
            <w:r>
              <w:rPr>
                <w:szCs w:val="16"/>
              </w:rPr>
              <w:t xml:space="preserve"> value</w:t>
            </w:r>
            <w:r w:rsidRPr="00E4232C">
              <w:rPr>
                <w:rStyle w:val="NoteLabel"/>
              </w:rPr>
              <w:t xml:space="preserve"> </w:t>
            </w:r>
            <w:r w:rsidRPr="00A04269">
              <w:rPr>
                <w:rStyle w:val="NoteLabel"/>
                <w:color w:val="FFFFFF" w:themeColor="background1"/>
              </w:rPr>
              <w:t>a</w:t>
            </w:r>
            <w:r>
              <w:rPr>
                <w:rStyle w:val="NoteLabel"/>
                <w:color w:val="FFFFFF" w:themeColor="background1"/>
              </w:rPr>
              <w:br/>
              <w:t>$m</w:t>
            </w:r>
          </w:p>
        </w:tc>
        <w:tc>
          <w:tcPr>
            <w:tcW w:w="835" w:type="dxa"/>
            <w:shd w:val="clear" w:color="auto" w:fill="6F6652"/>
            <w:noWrap/>
            <w:tcMar>
              <w:left w:w="57" w:type="dxa"/>
              <w:right w:w="57" w:type="dxa"/>
            </w:tcMar>
            <w:vAlign w:val="center"/>
            <w:hideMark/>
          </w:tcPr>
          <w:p w14:paraId="3576A1A5" w14:textId="03F6443F" w:rsidR="008F2B9A" w:rsidRPr="009A4312" w:rsidRDefault="008F2B9A" w:rsidP="008F2B9A">
            <w:pPr>
              <w:pStyle w:val="TableDataColumnHeading"/>
              <w:jc w:val="center"/>
              <w:rPr>
                <w:szCs w:val="16"/>
              </w:rPr>
            </w:pPr>
            <w:r w:rsidRPr="009A4312">
              <w:rPr>
                <w:szCs w:val="16"/>
              </w:rPr>
              <w:t>Previous</w:t>
            </w:r>
            <w:r>
              <w:rPr>
                <w:szCs w:val="16"/>
              </w:rPr>
              <w:t xml:space="preserve"> analysis</w:t>
            </w:r>
            <w:r>
              <w:rPr>
                <w:szCs w:val="16"/>
              </w:rPr>
              <w:t>: Export s</w:t>
            </w:r>
            <w:r w:rsidRPr="009A4312">
              <w:rPr>
                <w:szCs w:val="16"/>
              </w:rPr>
              <w:t>hare</w:t>
            </w:r>
            <w:r>
              <w:rPr>
                <w:szCs w:val="16"/>
              </w:rPr>
              <w:br/>
              <w:t>%</w:t>
            </w:r>
          </w:p>
        </w:tc>
        <w:tc>
          <w:tcPr>
            <w:tcW w:w="835" w:type="dxa"/>
            <w:shd w:val="clear" w:color="auto" w:fill="6F6652"/>
            <w:noWrap/>
            <w:tcMar>
              <w:left w:w="57" w:type="dxa"/>
              <w:right w:w="57" w:type="dxa"/>
            </w:tcMar>
            <w:vAlign w:val="center"/>
            <w:hideMark/>
          </w:tcPr>
          <w:p w14:paraId="23240039" w14:textId="311E14F3" w:rsidR="008F2B9A" w:rsidRPr="009A4312" w:rsidRDefault="008F2B9A" w:rsidP="008F2B9A">
            <w:pPr>
              <w:pStyle w:val="TableDataColumnHeading"/>
              <w:jc w:val="center"/>
              <w:rPr>
                <w:szCs w:val="16"/>
              </w:rPr>
            </w:pPr>
            <w:r w:rsidRPr="009A4312">
              <w:rPr>
                <w:szCs w:val="16"/>
              </w:rPr>
              <w:t>Previous</w:t>
            </w:r>
            <w:r>
              <w:rPr>
                <w:szCs w:val="16"/>
              </w:rPr>
              <w:t xml:space="preserve"> analysis</w:t>
            </w:r>
            <w:r>
              <w:rPr>
                <w:szCs w:val="16"/>
              </w:rPr>
              <w:t>:</w:t>
            </w:r>
            <w:r>
              <w:rPr>
                <w:szCs w:val="16"/>
              </w:rPr>
              <w:t xml:space="preserve"> </w:t>
            </w:r>
            <w:r w:rsidRPr="009A4312">
              <w:rPr>
                <w:szCs w:val="16"/>
              </w:rPr>
              <w:t>MFN</w:t>
            </w:r>
            <w:r>
              <w:rPr>
                <w:szCs w:val="16"/>
              </w:rPr>
              <w:br/>
              <w:t>%</w:t>
            </w:r>
          </w:p>
        </w:tc>
        <w:tc>
          <w:tcPr>
            <w:tcW w:w="859" w:type="dxa"/>
            <w:shd w:val="clear" w:color="auto" w:fill="6F6652"/>
            <w:noWrap/>
            <w:tcMar>
              <w:left w:w="57" w:type="dxa"/>
              <w:right w:w="57" w:type="dxa"/>
            </w:tcMar>
            <w:vAlign w:val="center"/>
            <w:hideMark/>
          </w:tcPr>
          <w:p w14:paraId="47F7F812" w14:textId="7ACCB9F0" w:rsidR="008F2B9A" w:rsidRPr="009A4312" w:rsidRDefault="008F2B9A" w:rsidP="008F2B9A">
            <w:pPr>
              <w:pStyle w:val="TableDataColumnHeading"/>
              <w:jc w:val="center"/>
              <w:rPr>
                <w:szCs w:val="16"/>
              </w:rPr>
            </w:pPr>
            <w:r>
              <w:rPr>
                <w:szCs w:val="16"/>
              </w:rPr>
              <w:t>This u</w:t>
            </w:r>
            <w:r w:rsidRPr="009A4312">
              <w:rPr>
                <w:szCs w:val="16"/>
              </w:rPr>
              <w:t>pdate</w:t>
            </w:r>
            <w:r>
              <w:rPr>
                <w:szCs w:val="16"/>
              </w:rPr>
              <w:t>:</w:t>
            </w:r>
            <w:r w:rsidRPr="009A4312">
              <w:rPr>
                <w:szCs w:val="16"/>
              </w:rPr>
              <w:t xml:space="preserve"> Export</w:t>
            </w:r>
            <w:r>
              <w:rPr>
                <w:szCs w:val="16"/>
              </w:rPr>
              <w:t xml:space="preserve"> value</w:t>
            </w:r>
            <w:r w:rsidRPr="00A04269">
              <w:rPr>
                <w:rStyle w:val="NoteLabel"/>
                <w:color w:val="FFFFFF" w:themeColor="background1"/>
              </w:rPr>
              <w:t xml:space="preserve"> </w:t>
            </w:r>
            <w:r>
              <w:rPr>
                <w:rStyle w:val="NoteLabel"/>
                <w:color w:val="FFFFFF" w:themeColor="background1"/>
              </w:rPr>
              <w:t>b</w:t>
            </w:r>
            <w:r>
              <w:rPr>
                <w:rStyle w:val="NoteLabel"/>
                <w:color w:val="FFFFFF" w:themeColor="background1"/>
              </w:rPr>
              <w:br/>
              <w:t>$m</w:t>
            </w:r>
          </w:p>
        </w:tc>
        <w:tc>
          <w:tcPr>
            <w:tcW w:w="835" w:type="dxa"/>
            <w:shd w:val="clear" w:color="auto" w:fill="6F6652"/>
            <w:noWrap/>
            <w:tcMar>
              <w:left w:w="57" w:type="dxa"/>
              <w:right w:w="57" w:type="dxa"/>
            </w:tcMar>
            <w:vAlign w:val="center"/>
            <w:hideMark/>
          </w:tcPr>
          <w:p w14:paraId="0EF492B3" w14:textId="19B81C73" w:rsidR="008F2B9A" w:rsidRPr="009A4312" w:rsidRDefault="008F2B9A" w:rsidP="008F2B9A">
            <w:pPr>
              <w:pStyle w:val="TableDataColumnHeading"/>
              <w:jc w:val="center"/>
              <w:rPr>
                <w:szCs w:val="16"/>
              </w:rPr>
            </w:pPr>
            <w:r>
              <w:rPr>
                <w:szCs w:val="16"/>
              </w:rPr>
              <w:t>This u</w:t>
            </w:r>
            <w:r w:rsidRPr="009A4312">
              <w:rPr>
                <w:szCs w:val="16"/>
              </w:rPr>
              <w:t>pdate</w:t>
            </w:r>
            <w:r>
              <w:rPr>
                <w:szCs w:val="16"/>
              </w:rPr>
              <w:t>: Export s</w:t>
            </w:r>
            <w:r w:rsidRPr="009A4312">
              <w:rPr>
                <w:szCs w:val="16"/>
              </w:rPr>
              <w:t>hare</w:t>
            </w:r>
            <w:r>
              <w:rPr>
                <w:szCs w:val="16"/>
              </w:rPr>
              <w:br/>
              <w:t>%</w:t>
            </w:r>
          </w:p>
        </w:tc>
        <w:tc>
          <w:tcPr>
            <w:tcW w:w="1044" w:type="dxa"/>
            <w:shd w:val="clear" w:color="auto" w:fill="6F6652"/>
            <w:noWrap/>
            <w:tcMar>
              <w:left w:w="57" w:type="dxa"/>
              <w:right w:w="57" w:type="dxa"/>
            </w:tcMar>
            <w:vAlign w:val="center"/>
            <w:hideMark/>
          </w:tcPr>
          <w:p w14:paraId="57AC8D6E" w14:textId="0EFF430C" w:rsidR="008F2B9A" w:rsidRPr="009A4312" w:rsidRDefault="008F2B9A" w:rsidP="008F2B9A">
            <w:pPr>
              <w:pStyle w:val="TableDataColumnHeading"/>
              <w:jc w:val="center"/>
              <w:rPr>
                <w:szCs w:val="16"/>
              </w:rPr>
            </w:pPr>
            <w:r>
              <w:rPr>
                <w:szCs w:val="16"/>
              </w:rPr>
              <w:t>This u</w:t>
            </w:r>
            <w:r w:rsidRPr="009A4312">
              <w:rPr>
                <w:szCs w:val="16"/>
              </w:rPr>
              <w:t>pdate</w:t>
            </w:r>
            <w:r>
              <w:rPr>
                <w:szCs w:val="16"/>
              </w:rPr>
              <w:t>:</w:t>
            </w:r>
            <w:r w:rsidRPr="009A4312">
              <w:rPr>
                <w:szCs w:val="16"/>
              </w:rPr>
              <w:t xml:space="preserve"> Base </w:t>
            </w:r>
            <w:r>
              <w:rPr>
                <w:szCs w:val="16"/>
              </w:rPr>
              <w:t xml:space="preserve">tariff </w:t>
            </w:r>
            <w:r w:rsidRPr="009A4312">
              <w:rPr>
                <w:szCs w:val="16"/>
              </w:rPr>
              <w:t>rate</w:t>
            </w:r>
            <w:r>
              <w:rPr>
                <w:szCs w:val="16"/>
              </w:rPr>
              <w:br/>
              <w:t>%</w:t>
            </w:r>
          </w:p>
        </w:tc>
      </w:tr>
      <w:tr w:rsidR="008F2B9A" w:rsidRPr="008B6C30" w14:paraId="6954908F" w14:textId="77777777" w:rsidTr="008F42F2">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FF798D" w14:textId="77777777" w:rsidR="008F2B9A" w:rsidRPr="008B6C30" w:rsidRDefault="008F2B9A" w:rsidP="00EB0620">
            <w:pPr>
              <w:pStyle w:val="TableDataEntries"/>
              <w:jc w:val="left"/>
            </w:pPr>
            <w:r w:rsidRPr="008B6C30">
              <w:t>Animal products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E6E580" w14:textId="77777777" w:rsidR="008F2B9A" w:rsidRPr="008B6C30" w:rsidRDefault="008F2B9A" w:rsidP="00EB0620">
            <w:pPr>
              <w:pStyle w:val="TableDataEntries"/>
            </w:pPr>
            <w:r w:rsidRPr="008B6C30">
              <w:t>441.92</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FF19B8" w14:textId="77777777" w:rsidR="008F2B9A" w:rsidRPr="008B6C30" w:rsidRDefault="008F2B9A" w:rsidP="00EB0620">
            <w:pPr>
              <w:pStyle w:val="TableDataEntries"/>
            </w:pPr>
            <w:r w:rsidRPr="008B6C30">
              <w:t>12.75</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8A86DB" w14:textId="77777777" w:rsidR="008F2B9A" w:rsidRPr="008B6C30" w:rsidRDefault="008F2B9A" w:rsidP="00EB0620">
            <w:pPr>
              <w:pStyle w:val="TableDataEntries"/>
            </w:pPr>
            <w:r w:rsidRPr="008B6C30">
              <w:t>1.80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DE1CBB" w14:textId="77777777" w:rsidR="008F2B9A" w:rsidRPr="008B6C30" w:rsidRDefault="008F2B9A" w:rsidP="00EB0620">
            <w:pPr>
              <w:pStyle w:val="TableDataEntries"/>
            </w:pPr>
            <w:r w:rsidRPr="008B6C30">
              <w:t>475.41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011A02" w14:textId="77777777" w:rsidR="008F2B9A" w:rsidRPr="008B6C30" w:rsidRDefault="008F2B9A" w:rsidP="00EB0620">
            <w:pPr>
              <w:pStyle w:val="TableDataEntries"/>
            </w:pPr>
            <w:r w:rsidRPr="008B6C30">
              <w:t>11.24</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4FA407" w14:textId="56981FF4" w:rsidR="008F2B9A" w:rsidRPr="008B6C30" w:rsidRDefault="008F2B9A" w:rsidP="00EB0620">
            <w:pPr>
              <w:pStyle w:val="TableDataEntries"/>
            </w:pPr>
            <w:r>
              <w:rPr>
                <w:szCs w:val="16"/>
              </w:rPr>
              <w:t>1.56</w:t>
            </w:r>
          </w:p>
        </w:tc>
      </w:tr>
      <w:tr w:rsidR="008F2B9A" w:rsidRPr="008B6C30" w14:paraId="2AB5698F" w14:textId="77777777" w:rsidTr="008F42F2">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3AAD11" w14:textId="77777777" w:rsidR="008F2B9A" w:rsidRPr="008B6C30" w:rsidRDefault="008F2B9A" w:rsidP="00EB0620">
            <w:pPr>
              <w:pStyle w:val="TableDataEntries"/>
              <w:jc w:val="left"/>
            </w:pPr>
            <w:r w:rsidRPr="008B6C30">
              <w:t>Dairy products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0E4D54" w14:textId="77777777" w:rsidR="008F2B9A" w:rsidRPr="008B6C30" w:rsidRDefault="008F2B9A" w:rsidP="00EB0620">
            <w:pPr>
              <w:pStyle w:val="TableDataEntries"/>
            </w:pPr>
            <w:r w:rsidRPr="008B6C30">
              <w:t>53.24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B95594" w14:textId="77777777" w:rsidR="008F2B9A" w:rsidRPr="008B6C30" w:rsidRDefault="008F2B9A" w:rsidP="00EB0620">
            <w:pPr>
              <w:pStyle w:val="TableDataEntries"/>
            </w:pPr>
            <w:r w:rsidRPr="008B6C30">
              <w:t>1.54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14BBDF" w14:textId="77777777" w:rsidR="008F2B9A" w:rsidRPr="008B6C30" w:rsidRDefault="008F2B9A" w:rsidP="00EB0620">
            <w:pPr>
              <w:pStyle w:val="TableDataEntries"/>
            </w:pPr>
            <w:r w:rsidRPr="008B6C30">
              <w:t>5.00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69ACEC" w14:textId="77777777" w:rsidR="008F2B9A" w:rsidRPr="008B6C30" w:rsidRDefault="008F2B9A" w:rsidP="00EB0620">
            <w:pPr>
              <w:pStyle w:val="TableDataEntries"/>
            </w:pPr>
            <w:r w:rsidRPr="008B6C30">
              <w:t>63.88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1BB572" w14:textId="77777777" w:rsidR="008F2B9A" w:rsidRPr="008B6C30" w:rsidRDefault="008F2B9A" w:rsidP="00EB0620">
            <w:pPr>
              <w:pStyle w:val="TableDataEntries"/>
            </w:pPr>
            <w:r w:rsidRPr="008B6C30">
              <w:t>1.51</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0CBCD7" w14:textId="42E22E29" w:rsidR="008F2B9A" w:rsidRPr="008B6C30" w:rsidRDefault="008F2B9A" w:rsidP="00EB0620">
            <w:pPr>
              <w:pStyle w:val="TableDataEntries"/>
            </w:pPr>
            <w:r>
              <w:rPr>
                <w:szCs w:val="16"/>
              </w:rPr>
              <w:t>5.00</w:t>
            </w:r>
          </w:p>
        </w:tc>
      </w:tr>
      <w:tr w:rsidR="008F2B9A" w:rsidRPr="008B6C30" w14:paraId="4F6FB188" w14:textId="77777777" w:rsidTr="008F42F2">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9F6A8B" w14:textId="77777777" w:rsidR="008F2B9A" w:rsidRPr="008B6C30" w:rsidRDefault="008F2B9A" w:rsidP="00EB0620">
            <w:pPr>
              <w:pStyle w:val="TableDataEntries"/>
              <w:jc w:val="left"/>
            </w:pPr>
            <w:r w:rsidRPr="008B6C30">
              <w:t>Fruits, vegetables, plants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C716EF" w14:textId="77777777" w:rsidR="008F2B9A" w:rsidRPr="008B6C30" w:rsidRDefault="008F2B9A" w:rsidP="00EB0620">
            <w:pPr>
              <w:pStyle w:val="TableDataEntries"/>
            </w:pPr>
            <w:r w:rsidRPr="008B6C30">
              <w:t>227.29</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C7B0C2" w14:textId="77777777" w:rsidR="008F2B9A" w:rsidRPr="008B6C30" w:rsidRDefault="008F2B9A" w:rsidP="00EB0620">
            <w:pPr>
              <w:pStyle w:val="TableDataEntries"/>
            </w:pPr>
            <w:r w:rsidRPr="008B6C30">
              <w:t>6.56</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D4C576" w14:textId="77777777" w:rsidR="008F2B9A" w:rsidRPr="008B6C30" w:rsidRDefault="008F2B9A" w:rsidP="00EB0620">
            <w:pPr>
              <w:pStyle w:val="TableDataEntries"/>
            </w:pPr>
            <w:r w:rsidRPr="008B6C30">
              <w:t>3.18</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282CD1" w14:textId="77777777" w:rsidR="008F2B9A" w:rsidRPr="008B6C30" w:rsidRDefault="008F2B9A" w:rsidP="00EB0620">
            <w:pPr>
              <w:pStyle w:val="TableDataEntries"/>
            </w:pPr>
            <w:r w:rsidRPr="008B6C30">
              <w:t>252.54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4C4358" w14:textId="77777777" w:rsidR="008F2B9A" w:rsidRPr="008B6C30" w:rsidRDefault="008F2B9A" w:rsidP="00EB0620">
            <w:pPr>
              <w:pStyle w:val="TableDataEntries"/>
            </w:pPr>
            <w:r w:rsidRPr="008B6C30">
              <w:t>5.97</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C02C49" w14:textId="14F05ABB" w:rsidR="008F2B9A" w:rsidRPr="008B6C30" w:rsidRDefault="008F2B9A" w:rsidP="00EB0620">
            <w:pPr>
              <w:pStyle w:val="TableDataEntries"/>
            </w:pPr>
            <w:r>
              <w:rPr>
                <w:szCs w:val="16"/>
              </w:rPr>
              <w:t>3.74</w:t>
            </w:r>
          </w:p>
        </w:tc>
      </w:tr>
      <w:tr w:rsidR="008F2B9A" w:rsidRPr="008B6C30" w14:paraId="623D5EC9" w14:textId="77777777" w:rsidTr="008F42F2">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FA7B6D" w14:textId="77777777" w:rsidR="008F2B9A" w:rsidRPr="008B6C30" w:rsidRDefault="008F2B9A" w:rsidP="00EB0620">
            <w:pPr>
              <w:pStyle w:val="TableDataEntries"/>
              <w:jc w:val="left"/>
            </w:pPr>
            <w:r w:rsidRPr="008B6C30">
              <w:t>Coffee, tea</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5DC4A9" w14:textId="77777777" w:rsidR="008F2B9A" w:rsidRPr="008B6C30" w:rsidRDefault="008F2B9A" w:rsidP="00EB0620">
            <w:pPr>
              <w:pStyle w:val="TableDataEntries"/>
            </w:pPr>
            <w:r w:rsidRPr="008B6C30">
              <w:t>2.41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4E6CDA" w14:textId="77777777" w:rsidR="008F2B9A" w:rsidRPr="008B6C30" w:rsidRDefault="008F2B9A" w:rsidP="00EB0620">
            <w:pPr>
              <w:pStyle w:val="TableDataEntries"/>
            </w:pPr>
            <w:r w:rsidRPr="008B6C30">
              <w:t>0.07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B2986C" w14:textId="77777777" w:rsidR="008F2B9A" w:rsidRPr="008B6C30" w:rsidRDefault="008F2B9A" w:rsidP="00EB0620">
            <w:pPr>
              <w:pStyle w:val="TableDataEntries"/>
            </w:pPr>
            <w:r w:rsidRPr="008B6C30">
              <w:t>2.73</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549133" w14:textId="77777777" w:rsidR="008F2B9A" w:rsidRPr="008B6C30" w:rsidRDefault="008F2B9A" w:rsidP="00EB0620">
            <w:pPr>
              <w:pStyle w:val="TableDataEntries"/>
            </w:pPr>
            <w:r w:rsidRPr="008B6C30">
              <w:t>2.42</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533AE0" w14:textId="77777777" w:rsidR="008F2B9A" w:rsidRPr="008B6C30" w:rsidRDefault="008F2B9A" w:rsidP="00EB0620">
            <w:pPr>
              <w:pStyle w:val="TableDataEntries"/>
            </w:pPr>
            <w:r w:rsidRPr="008B6C30">
              <w:t>0.06</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068C33" w14:textId="0D63EE5F" w:rsidR="008F2B9A" w:rsidRPr="008B6C30" w:rsidRDefault="008F2B9A" w:rsidP="00EB0620">
            <w:pPr>
              <w:pStyle w:val="TableDataEntries"/>
            </w:pPr>
            <w:r>
              <w:rPr>
                <w:szCs w:val="16"/>
              </w:rPr>
              <w:t>3.53</w:t>
            </w:r>
          </w:p>
        </w:tc>
      </w:tr>
      <w:tr w:rsidR="008F2B9A" w:rsidRPr="008B6C30" w14:paraId="3653A788" w14:textId="77777777" w:rsidTr="008F42F2">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6A3230" w14:textId="77777777" w:rsidR="008F2B9A" w:rsidRPr="008B6C30" w:rsidRDefault="008F2B9A" w:rsidP="00EB0620">
            <w:pPr>
              <w:pStyle w:val="TableDataEntries"/>
              <w:jc w:val="left"/>
            </w:pPr>
            <w:r w:rsidRPr="008B6C30">
              <w:t>Cereals and preparations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144E3A" w14:textId="77777777" w:rsidR="008F2B9A" w:rsidRPr="008B6C30" w:rsidRDefault="008F2B9A" w:rsidP="00EB0620">
            <w:pPr>
              <w:pStyle w:val="TableDataEntries"/>
            </w:pPr>
            <w:r w:rsidRPr="008B6C30">
              <w:t>184.07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09EB66" w14:textId="77777777" w:rsidR="008F2B9A" w:rsidRPr="008B6C30" w:rsidRDefault="008F2B9A" w:rsidP="00EB0620">
            <w:pPr>
              <w:pStyle w:val="TableDataEntries"/>
            </w:pPr>
            <w:r w:rsidRPr="008B6C30">
              <w:t>5.31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988A49" w14:textId="77777777" w:rsidR="008F2B9A" w:rsidRPr="008B6C30" w:rsidRDefault="008F2B9A" w:rsidP="00EB0620">
            <w:pPr>
              <w:pStyle w:val="TableDataEntries"/>
            </w:pPr>
            <w:r w:rsidRPr="008B6C30">
              <w:t>0.06</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21EE6E" w14:textId="77777777" w:rsidR="008F2B9A" w:rsidRPr="008B6C30" w:rsidRDefault="008F2B9A" w:rsidP="00EB0620">
            <w:pPr>
              <w:pStyle w:val="TableDataEntries"/>
            </w:pPr>
            <w:r w:rsidRPr="008B6C30">
              <w:t>253.07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C4C3C8" w14:textId="77777777" w:rsidR="008F2B9A" w:rsidRPr="008B6C30" w:rsidRDefault="008F2B9A" w:rsidP="00EB0620">
            <w:pPr>
              <w:pStyle w:val="TableDataEntries"/>
            </w:pPr>
            <w:r w:rsidRPr="008B6C30">
              <w:t>5.98</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97B6FB" w14:textId="51399A38" w:rsidR="008F2B9A" w:rsidRPr="008B6C30" w:rsidRDefault="008F2B9A" w:rsidP="00EB0620">
            <w:pPr>
              <w:pStyle w:val="TableDataEntries"/>
            </w:pPr>
            <w:r>
              <w:rPr>
                <w:szCs w:val="16"/>
              </w:rPr>
              <w:t>0.12</w:t>
            </w:r>
          </w:p>
        </w:tc>
      </w:tr>
      <w:tr w:rsidR="008F2B9A" w:rsidRPr="008B6C30" w14:paraId="20F7BDA1" w14:textId="77777777" w:rsidTr="008F42F2">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4ED90F" w14:textId="77777777" w:rsidR="008F2B9A" w:rsidRPr="008B6C30" w:rsidRDefault="008F2B9A" w:rsidP="00EB0620">
            <w:pPr>
              <w:pStyle w:val="TableDataEntries"/>
              <w:jc w:val="left"/>
            </w:pPr>
            <w:r w:rsidRPr="008B6C30">
              <w:t>Oilseeds, fats &amp; oils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E9E751" w14:textId="77777777" w:rsidR="008F2B9A" w:rsidRPr="008B6C30" w:rsidRDefault="008F2B9A" w:rsidP="00EB0620">
            <w:pPr>
              <w:pStyle w:val="TableDataEntries"/>
            </w:pPr>
            <w:r w:rsidRPr="008B6C30">
              <w:t>52.89</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5C0A95" w14:textId="77777777" w:rsidR="008F2B9A" w:rsidRPr="008B6C30" w:rsidRDefault="008F2B9A" w:rsidP="00EB0620">
            <w:pPr>
              <w:pStyle w:val="TableDataEntries"/>
            </w:pPr>
            <w:r w:rsidRPr="008B6C30">
              <w:t>1.53</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0ECF25" w14:textId="77777777" w:rsidR="008F2B9A" w:rsidRPr="008B6C30" w:rsidRDefault="008F2B9A" w:rsidP="00EB0620">
            <w:pPr>
              <w:pStyle w:val="TableDataEntries"/>
            </w:pPr>
            <w:r w:rsidRPr="008B6C30">
              <w:t>5.00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0161CB" w14:textId="77777777" w:rsidR="008F2B9A" w:rsidRPr="008B6C30" w:rsidRDefault="008F2B9A" w:rsidP="00EB0620">
            <w:pPr>
              <w:pStyle w:val="TableDataEntries"/>
            </w:pPr>
            <w:r w:rsidRPr="008B6C30">
              <w:t>630.65</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119936" w14:textId="77777777" w:rsidR="008F2B9A" w:rsidRPr="008B6C30" w:rsidRDefault="008F2B9A" w:rsidP="00EB0620">
            <w:pPr>
              <w:pStyle w:val="TableDataEntries"/>
            </w:pPr>
            <w:r w:rsidRPr="008B6C30">
              <w:t>14.91</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2F9F1C" w14:textId="4A645E56" w:rsidR="008F2B9A" w:rsidRPr="008B6C30" w:rsidRDefault="008F2B9A" w:rsidP="00EB0620">
            <w:pPr>
              <w:pStyle w:val="TableDataEntries"/>
            </w:pPr>
            <w:r>
              <w:rPr>
                <w:szCs w:val="16"/>
              </w:rPr>
              <w:t>5.00</w:t>
            </w:r>
          </w:p>
        </w:tc>
      </w:tr>
      <w:tr w:rsidR="008F2B9A" w:rsidRPr="008B6C30" w14:paraId="3D37E2EC" w14:textId="77777777" w:rsidTr="008F42F2">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3295C4" w14:textId="77777777" w:rsidR="008F2B9A" w:rsidRPr="008B6C30" w:rsidRDefault="008F2B9A" w:rsidP="00EB0620">
            <w:pPr>
              <w:pStyle w:val="TableDataEntries"/>
              <w:jc w:val="left"/>
            </w:pPr>
            <w:r w:rsidRPr="008B6C30">
              <w:t>Sugars and confectionary</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A85699" w14:textId="77777777" w:rsidR="008F2B9A" w:rsidRPr="008B6C30" w:rsidRDefault="008F2B9A" w:rsidP="00EB0620">
            <w:pPr>
              <w:pStyle w:val="TableDataEntries"/>
            </w:pPr>
            <w:r w:rsidRPr="008B6C30">
              <w:t>16.42</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0EEF9E" w14:textId="77777777" w:rsidR="008F2B9A" w:rsidRPr="008B6C30" w:rsidRDefault="008F2B9A" w:rsidP="00EB0620">
            <w:pPr>
              <w:pStyle w:val="TableDataEntries"/>
            </w:pPr>
            <w:r w:rsidRPr="008B6C30">
              <w:t>0.47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0B578A" w14:textId="77777777" w:rsidR="008F2B9A" w:rsidRPr="008B6C30" w:rsidRDefault="008F2B9A" w:rsidP="00EB0620">
            <w:pPr>
              <w:pStyle w:val="TableDataEntries"/>
            </w:pPr>
            <w:r w:rsidRPr="008B6C30">
              <w:t>5.00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F98BB5" w14:textId="77777777" w:rsidR="008F2B9A" w:rsidRPr="008B6C30" w:rsidRDefault="008F2B9A" w:rsidP="00EB0620">
            <w:pPr>
              <w:pStyle w:val="TableDataEntries"/>
            </w:pPr>
            <w:r w:rsidRPr="008B6C30">
              <w:t>9.59</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715F7D" w14:textId="77777777" w:rsidR="008F2B9A" w:rsidRPr="008B6C30" w:rsidRDefault="008F2B9A" w:rsidP="00EB0620">
            <w:pPr>
              <w:pStyle w:val="TableDataEntries"/>
            </w:pPr>
            <w:r w:rsidRPr="008B6C30">
              <w:t>0.23</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693C38" w14:textId="675B48F1" w:rsidR="008F2B9A" w:rsidRPr="008B6C30" w:rsidRDefault="008F2B9A" w:rsidP="00EB0620">
            <w:pPr>
              <w:pStyle w:val="TableDataEntries"/>
            </w:pPr>
            <w:r>
              <w:rPr>
                <w:szCs w:val="16"/>
              </w:rPr>
              <w:t>1.72</w:t>
            </w:r>
          </w:p>
        </w:tc>
      </w:tr>
      <w:tr w:rsidR="008F2B9A" w:rsidRPr="008B6C30" w14:paraId="5946E59D" w14:textId="77777777" w:rsidTr="008F42F2">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094284" w14:textId="77777777" w:rsidR="008F2B9A" w:rsidRPr="008B6C30" w:rsidRDefault="008F2B9A" w:rsidP="00EB0620">
            <w:pPr>
              <w:pStyle w:val="TableDataEntries"/>
              <w:jc w:val="left"/>
            </w:pPr>
            <w:r w:rsidRPr="008B6C30">
              <w:t>Beverages and tobacco</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498B89" w14:textId="77777777" w:rsidR="008F2B9A" w:rsidRPr="008B6C30" w:rsidRDefault="008F2B9A" w:rsidP="00EB0620">
            <w:pPr>
              <w:pStyle w:val="TableDataEntries"/>
            </w:pPr>
            <w:r w:rsidRPr="008B6C30">
              <w:t>31.04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7AC87C" w14:textId="77777777" w:rsidR="008F2B9A" w:rsidRPr="008B6C30" w:rsidRDefault="008F2B9A" w:rsidP="00EB0620">
            <w:pPr>
              <w:pStyle w:val="TableDataEntries"/>
            </w:pPr>
            <w:r w:rsidRPr="008B6C30">
              <w:t>0.90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69FBFD" w14:textId="77777777" w:rsidR="008F2B9A" w:rsidRPr="008B6C30" w:rsidRDefault="008F2B9A" w:rsidP="00EB0620">
            <w:pPr>
              <w:pStyle w:val="TableDataEntries"/>
            </w:pPr>
            <w:r w:rsidRPr="008B6C30">
              <w:t>2.84</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A49D5A" w14:textId="77777777" w:rsidR="008F2B9A" w:rsidRPr="008B6C30" w:rsidRDefault="008F2B9A" w:rsidP="00EB0620">
            <w:pPr>
              <w:pStyle w:val="TableDataEntries"/>
            </w:pPr>
            <w:r w:rsidRPr="008B6C30">
              <w:t>25.18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358D3D" w14:textId="77777777" w:rsidR="008F2B9A" w:rsidRPr="008B6C30" w:rsidRDefault="008F2B9A" w:rsidP="00EB0620">
            <w:pPr>
              <w:pStyle w:val="TableDataEntries"/>
            </w:pPr>
            <w:r w:rsidRPr="008B6C30">
              <w:t>0.60</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3784DA1" w14:textId="040F893F" w:rsidR="008F2B9A" w:rsidRPr="008B6C30" w:rsidRDefault="008F2B9A" w:rsidP="00EB0620">
            <w:pPr>
              <w:pStyle w:val="TableDataEntries"/>
            </w:pPr>
            <w:r>
              <w:rPr>
                <w:szCs w:val="16"/>
              </w:rPr>
              <w:t>1.51</w:t>
            </w:r>
          </w:p>
        </w:tc>
      </w:tr>
      <w:tr w:rsidR="008F2B9A" w:rsidRPr="008B6C30" w14:paraId="6BB9D9B0" w14:textId="77777777" w:rsidTr="008F42F2">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E3A6DB" w14:textId="77777777" w:rsidR="008F2B9A" w:rsidRPr="008B6C30" w:rsidRDefault="008F2B9A" w:rsidP="00EB0620">
            <w:pPr>
              <w:pStyle w:val="TableDataEntries"/>
              <w:jc w:val="left"/>
            </w:pPr>
            <w:r w:rsidRPr="008B6C30">
              <w:t>Cotton</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84EBD6" w14:textId="77777777" w:rsidR="008F2B9A" w:rsidRPr="008B6C30" w:rsidRDefault="008F2B9A" w:rsidP="00EB0620">
            <w:pPr>
              <w:pStyle w:val="TableDataEntries"/>
            </w:pPr>
            <w:r w:rsidRPr="008B6C30">
              <w:t>0.00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584723" w14:textId="77777777" w:rsidR="008F2B9A" w:rsidRPr="008B6C30" w:rsidRDefault="008F2B9A" w:rsidP="00EB0620">
            <w:pPr>
              <w:pStyle w:val="TableDataEntries"/>
            </w:pPr>
            <w:r w:rsidRPr="008B6C30">
              <w:t>0.00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ADCDC0" w14:textId="77777777" w:rsidR="008F2B9A" w:rsidRPr="008B6C30" w:rsidRDefault="008F2B9A" w:rsidP="00EB0620">
            <w:pPr>
              <w:pStyle w:val="TableDataEntries"/>
            </w:pPr>
            <w:r w:rsidRPr="008B6C30">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43AF2E" w14:textId="77777777" w:rsidR="008F2B9A" w:rsidRPr="008B6C30" w:rsidRDefault="008F2B9A" w:rsidP="00EB0620">
            <w:pPr>
              <w:pStyle w:val="TableDataEntries"/>
            </w:pPr>
            <w:r w:rsidRPr="008B6C30">
              <w:t>0.14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A4725F" w14:textId="77777777" w:rsidR="008F2B9A" w:rsidRPr="008B6C30" w:rsidRDefault="008F2B9A" w:rsidP="00EB0620">
            <w:pPr>
              <w:pStyle w:val="TableDataEntries"/>
            </w:pPr>
            <w:r w:rsidRPr="008B6C30">
              <w:t>0.00</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C46740" w14:textId="1834C4B9" w:rsidR="008F2B9A" w:rsidRPr="008B6C30" w:rsidRDefault="008F2B9A" w:rsidP="00EB0620">
            <w:pPr>
              <w:pStyle w:val="TableDataEntries"/>
            </w:pPr>
            <w:r>
              <w:rPr>
                <w:szCs w:val="16"/>
              </w:rPr>
              <w:t>5.00</w:t>
            </w:r>
          </w:p>
        </w:tc>
      </w:tr>
      <w:tr w:rsidR="008F2B9A" w:rsidRPr="008B6C30" w14:paraId="588FF5FF" w14:textId="77777777" w:rsidTr="008F42F2">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E1342A" w14:textId="77777777" w:rsidR="008F2B9A" w:rsidRPr="008B6C30" w:rsidRDefault="008F2B9A" w:rsidP="00EB0620">
            <w:pPr>
              <w:pStyle w:val="TableDataEntries"/>
              <w:jc w:val="left"/>
            </w:pPr>
            <w:r w:rsidRPr="008B6C30">
              <w:t>Other agricultural products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9B1996" w14:textId="77777777" w:rsidR="008F2B9A" w:rsidRPr="008B6C30" w:rsidRDefault="008F2B9A" w:rsidP="00EB0620">
            <w:pPr>
              <w:pStyle w:val="TableDataEntries"/>
            </w:pPr>
            <w:r w:rsidRPr="008B6C30">
              <w:t>12.91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31394E" w14:textId="77777777" w:rsidR="008F2B9A" w:rsidRPr="008B6C30" w:rsidRDefault="008F2B9A" w:rsidP="00EB0620">
            <w:pPr>
              <w:pStyle w:val="TableDataEntries"/>
            </w:pPr>
            <w:r w:rsidRPr="008B6C30">
              <w:t>0.37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702674" w14:textId="77777777" w:rsidR="008F2B9A" w:rsidRPr="008B6C30" w:rsidRDefault="008F2B9A" w:rsidP="00EB0620">
            <w:pPr>
              <w:pStyle w:val="TableDataEntries"/>
            </w:pPr>
            <w:r w:rsidRPr="008B6C30">
              <w:t>2.52</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20AC81" w14:textId="77777777" w:rsidR="008F2B9A" w:rsidRPr="008B6C30" w:rsidRDefault="008F2B9A" w:rsidP="00EB0620">
            <w:pPr>
              <w:pStyle w:val="TableDataEntries"/>
            </w:pPr>
            <w:r w:rsidRPr="008B6C30">
              <w:t>7.98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8685D6" w14:textId="77777777" w:rsidR="008F2B9A" w:rsidRPr="008B6C30" w:rsidRDefault="008F2B9A" w:rsidP="00EB0620">
            <w:pPr>
              <w:pStyle w:val="TableDataEntries"/>
            </w:pPr>
            <w:r w:rsidRPr="008B6C30">
              <w:t>0.19</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C94CB1" w14:textId="2BB822F9" w:rsidR="008F2B9A" w:rsidRPr="008B6C30" w:rsidRDefault="008F2B9A" w:rsidP="00EB0620">
            <w:pPr>
              <w:pStyle w:val="TableDataEntries"/>
            </w:pPr>
            <w:r>
              <w:rPr>
                <w:szCs w:val="16"/>
              </w:rPr>
              <w:t>3.60</w:t>
            </w:r>
          </w:p>
        </w:tc>
      </w:tr>
      <w:tr w:rsidR="008F2B9A" w:rsidRPr="00EB0620" w14:paraId="41F2093B" w14:textId="77777777" w:rsidTr="008F42F2">
        <w:trPr>
          <w:trHeight w:val="216"/>
        </w:trPr>
        <w:tc>
          <w:tcPr>
            <w:tcW w:w="266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5DD0D5B" w14:textId="77777777" w:rsidR="008F2B9A" w:rsidRPr="00EB0620" w:rsidRDefault="008F2B9A" w:rsidP="00EB0620">
            <w:pPr>
              <w:pStyle w:val="TableDataEntries"/>
              <w:jc w:val="left"/>
              <w:rPr>
                <w:rFonts w:ascii="Franklin Gothic Demi" w:hAnsi="Franklin Gothic Demi"/>
              </w:rPr>
            </w:pPr>
            <w:r w:rsidRPr="00EB0620">
              <w:rPr>
                <w:rFonts w:ascii="Franklin Gothic Demi" w:hAnsi="Franklin Gothic Demi"/>
              </w:rPr>
              <w:t>Total/Average of agricultural products</w:t>
            </w:r>
          </w:p>
        </w:tc>
        <w:tc>
          <w:tcPr>
            <w:tcW w:w="867"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C562E1B" w14:textId="77777777" w:rsidR="008F2B9A" w:rsidRPr="00EB0620" w:rsidRDefault="008F2B9A" w:rsidP="00EB0620">
            <w:pPr>
              <w:pStyle w:val="TableDataEntries"/>
              <w:rPr>
                <w:rFonts w:ascii="Franklin Gothic Demi" w:hAnsi="Franklin Gothic Demi"/>
              </w:rPr>
            </w:pPr>
            <w:r w:rsidRPr="00EB0620">
              <w:rPr>
                <w:rFonts w:ascii="Franklin Gothic Demi" w:hAnsi="Franklin Gothic Demi"/>
              </w:rPr>
              <w:t>1,022.19</w:t>
            </w:r>
          </w:p>
        </w:tc>
        <w:tc>
          <w:tcPr>
            <w:tcW w:w="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13397AE" w14:textId="77777777" w:rsidR="008F2B9A" w:rsidRPr="00EB0620" w:rsidRDefault="008F2B9A" w:rsidP="00EB0620">
            <w:pPr>
              <w:pStyle w:val="TableDataEntries"/>
              <w:rPr>
                <w:rFonts w:ascii="Franklin Gothic Demi" w:hAnsi="Franklin Gothic Demi"/>
              </w:rPr>
            </w:pPr>
            <w:r w:rsidRPr="00EB0620">
              <w:rPr>
                <w:rFonts w:ascii="Franklin Gothic Demi" w:hAnsi="Franklin Gothic Demi"/>
              </w:rPr>
              <w:t>29.49</w:t>
            </w:r>
          </w:p>
        </w:tc>
        <w:tc>
          <w:tcPr>
            <w:tcW w:w="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34EA7D5" w14:textId="77777777" w:rsidR="008F2B9A" w:rsidRPr="00EB0620" w:rsidRDefault="008F2B9A" w:rsidP="00EB0620">
            <w:pPr>
              <w:pStyle w:val="TableDataEntries"/>
              <w:rPr>
                <w:rFonts w:ascii="Franklin Gothic Demi" w:hAnsi="Franklin Gothic Demi"/>
              </w:rPr>
            </w:pPr>
            <w:r w:rsidRPr="00EB0620">
              <w:rPr>
                <w:rFonts w:ascii="Franklin Gothic Demi" w:hAnsi="Franklin Gothic Demi"/>
              </w:rPr>
              <w:t>2.22</w:t>
            </w:r>
          </w:p>
        </w:tc>
        <w:tc>
          <w:tcPr>
            <w:tcW w:w="85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0CE669A" w14:textId="77777777" w:rsidR="008F2B9A" w:rsidRPr="00EB0620" w:rsidRDefault="008F2B9A" w:rsidP="00EB0620">
            <w:pPr>
              <w:pStyle w:val="TableDataEntries"/>
              <w:rPr>
                <w:rFonts w:ascii="Franklin Gothic Demi" w:hAnsi="Franklin Gothic Demi"/>
              </w:rPr>
            </w:pPr>
            <w:r w:rsidRPr="00EB0620">
              <w:rPr>
                <w:rFonts w:ascii="Franklin Gothic Demi" w:hAnsi="Franklin Gothic Demi"/>
              </w:rPr>
              <w:t>1,720.87</w:t>
            </w:r>
          </w:p>
        </w:tc>
        <w:tc>
          <w:tcPr>
            <w:tcW w:w="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942D0ED" w14:textId="77777777" w:rsidR="008F2B9A" w:rsidRPr="00EB0620" w:rsidRDefault="008F2B9A" w:rsidP="00EB0620">
            <w:pPr>
              <w:pStyle w:val="TableDataEntries"/>
              <w:rPr>
                <w:rFonts w:ascii="Franklin Gothic Demi" w:hAnsi="Franklin Gothic Demi"/>
              </w:rPr>
            </w:pPr>
            <w:r w:rsidRPr="00EB0620">
              <w:rPr>
                <w:rFonts w:ascii="Franklin Gothic Demi" w:hAnsi="Franklin Gothic Demi"/>
              </w:rPr>
              <w:t>40.68</w:t>
            </w:r>
          </w:p>
        </w:tc>
        <w:tc>
          <w:tcPr>
            <w:tcW w:w="1044"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355E9AA" w14:textId="0C212400" w:rsidR="008F2B9A" w:rsidRPr="00EB0620" w:rsidRDefault="008F2B9A" w:rsidP="00EB0620">
            <w:pPr>
              <w:pStyle w:val="TableDataEntries"/>
              <w:rPr>
                <w:rFonts w:ascii="Franklin Gothic Demi" w:hAnsi="Franklin Gothic Demi"/>
              </w:rPr>
            </w:pPr>
            <w:r w:rsidRPr="00EB0620">
              <w:rPr>
                <w:rFonts w:ascii="Franklin Gothic Demi" w:hAnsi="Franklin Gothic Demi"/>
                <w:szCs w:val="16"/>
              </w:rPr>
              <w:t>3.07</w:t>
            </w:r>
          </w:p>
        </w:tc>
      </w:tr>
    </w:tbl>
    <w:p w14:paraId="5C2976B0" w14:textId="77777777" w:rsidR="00231007" w:rsidRDefault="00231007"/>
    <w:tbl>
      <w:tblPr>
        <w:tblW w:w="7938" w:type="dxa"/>
        <w:tblLook w:val="04E0" w:firstRow="1" w:lastRow="1" w:firstColumn="1" w:lastColumn="0" w:noHBand="0" w:noVBand="1"/>
      </w:tblPr>
      <w:tblGrid>
        <w:gridCol w:w="2663"/>
        <w:gridCol w:w="867"/>
        <w:gridCol w:w="835"/>
        <w:gridCol w:w="835"/>
        <w:gridCol w:w="859"/>
        <w:gridCol w:w="835"/>
        <w:gridCol w:w="1044"/>
      </w:tblGrid>
      <w:tr w:rsidR="008F42F2" w:rsidRPr="008B6C30" w14:paraId="27933A45" w14:textId="77777777" w:rsidTr="00ED4CE7">
        <w:trPr>
          <w:trHeight w:val="252"/>
        </w:trPr>
        <w:tc>
          <w:tcPr>
            <w:tcW w:w="2663" w:type="dxa"/>
            <w:shd w:val="clear" w:color="auto" w:fill="6F6652"/>
            <w:noWrap/>
            <w:tcMar>
              <w:left w:w="57" w:type="dxa"/>
              <w:right w:w="57" w:type="dxa"/>
            </w:tcMar>
            <w:hideMark/>
          </w:tcPr>
          <w:p w14:paraId="43D33785" w14:textId="2283BD25" w:rsidR="008F42F2" w:rsidRPr="008B6C30" w:rsidRDefault="00D97107" w:rsidP="006468FC">
            <w:pPr>
              <w:pStyle w:val="TableDataColumnHeading"/>
              <w:jc w:val="left"/>
            </w:pPr>
            <w:r>
              <w:t>Non-</w:t>
            </w:r>
            <w:r w:rsidR="008F42F2" w:rsidRPr="008B6C30">
              <w:t>Agricultural products</w:t>
            </w:r>
          </w:p>
        </w:tc>
        <w:tc>
          <w:tcPr>
            <w:tcW w:w="867" w:type="dxa"/>
            <w:shd w:val="clear" w:color="auto" w:fill="6F6652"/>
            <w:noWrap/>
            <w:tcMar>
              <w:left w:w="57" w:type="dxa"/>
              <w:right w:w="57" w:type="dxa"/>
            </w:tcMar>
            <w:vAlign w:val="center"/>
            <w:hideMark/>
          </w:tcPr>
          <w:p w14:paraId="1905B526" w14:textId="77777777" w:rsidR="008F42F2" w:rsidRPr="009A4312" w:rsidRDefault="008F42F2" w:rsidP="006468FC">
            <w:pPr>
              <w:pStyle w:val="TableDataColumnHeading"/>
              <w:jc w:val="center"/>
              <w:rPr>
                <w:szCs w:val="16"/>
              </w:rPr>
            </w:pPr>
            <w:r w:rsidRPr="009A4312">
              <w:rPr>
                <w:szCs w:val="16"/>
              </w:rPr>
              <w:t>Previous</w:t>
            </w:r>
            <w:r>
              <w:rPr>
                <w:szCs w:val="16"/>
              </w:rPr>
              <w:t xml:space="preserve"> analysis:</w:t>
            </w:r>
            <w:r w:rsidRPr="009A4312">
              <w:rPr>
                <w:szCs w:val="16"/>
              </w:rPr>
              <w:t xml:space="preserve"> </w:t>
            </w:r>
            <w:r>
              <w:rPr>
                <w:szCs w:val="16"/>
              </w:rPr>
              <w:br/>
            </w:r>
            <w:r w:rsidRPr="009A4312">
              <w:rPr>
                <w:szCs w:val="16"/>
              </w:rPr>
              <w:t>Export</w:t>
            </w:r>
            <w:r>
              <w:rPr>
                <w:szCs w:val="16"/>
              </w:rPr>
              <w:t xml:space="preserve"> value</w:t>
            </w:r>
            <w:r w:rsidRPr="00E4232C">
              <w:rPr>
                <w:rStyle w:val="NoteLabel"/>
              </w:rPr>
              <w:t xml:space="preserve"> </w:t>
            </w:r>
            <w:r w:rsidRPr="00A04269">
              <w:rPr>
                <w:rStyle w:val="NoteLabel"/>
                <w:color w:val="FFFFFF" w:themeColor="background1"/>
              </w:rPr>
              <w:t>a</w:t>
            </w:r>
            <w:r>
              <w:rPr>
                <w:rStyle w:val="NoteLabel"/>
                <w:color w:val="FFFFFF" w:themeColor="background1"/>
              </w:rPr>
              <w:br/>
              <w:t>$m</w:t>
            </w:r>
          </w:p>
        </w:tc>
        <w:tc>
          <w:tcPr>
            <w:tcW w:w="835" w:type="dxa"/>
            <w:shd w:val="clear" w:color="auto" w:fill="6F6652"/>
            <w:noWrap/>
            <w:tcMar>
              <w:left w:w="57" w:type="dxa"/>
              <w:right w:w="57" w:type="dxa"/>
            </w:tcMar>
            <w:vAlign w:val="center"/>
            <w:hideMark/>
          </w:tcPr>
          <w:p w14:paraId="0B031F64" w14:textId="77777777" w:rsidR="008F42F2" w:rsidRPr="009A4312" w:rsidRDefault="008F42F2" w:rsidP="006468FC">
            <w:pPr>
              <w:pStyle w:val="TableDataColumnHeading"/>
              <w:jc w:val="center"/>
              <w:rPr>
                <w:szCs w:val="16"/>
              </w:rPr>
            </w:pPr>
            <w:r w:rsidRPr="009A4312">
              <w:rPr>
                <w:szCs w:val="16"/>
              </w:rPr>
              <w:t>Previous</w:t>
            </w:r>
            <w:r>
              <w:rPr>
                <w:szCs w:val="16"/>
              </w:rPr>
              <w:t xml:space="preserve"> analysis: Export s</w:t>
            </w:r>
            <w:r w:rsidRPr="009A4312">
              <w:rPr>
                <w:szCs w:val="16"/>
              </w:rPr>
              <w:t>hare</w:t>
            </w:r>
            <w:r>
              <w:rPr>
                <w:szCs w:val="16"/>
              </w:rPr>
              <w:br/>
              <w:t>%</w:t>
            </w:r>
          </w:p>
        </w:tc>
        <w:tc>
          <w:tcPr>
            <w:tcW w:w="835" w:type="dxa"/>
            <w:shd w:val="clear" w:color="auto" w:fill="6F6652"/>
            <w:noWrap/>
            <w:tcMar>
              <w:left w:w="57" w:type="dxa"/>
              <w:right w:w="57" w:type="dxa"/>
            </w:tcMar>
            <w:vAlign w:val="center"/>
            <w:hideMark/>
          </w:tcPr>
          <w:p w14:paraId="11D7F5BB" w14:textId="77777777" w:rsidR="008F42F2" w:rsidRPr="009A4312" w:rsidRDefault="008F42F2" w:rsidP="006468FC">
            <w:pPr>
              <w:pStyle w:val="TableDataColumnHeading"/>
              <w:jc w:val="center"/>
              <w:rPr>
                <w:szCs w:val="16"/>
              </w:rPr>
            </w:pPr>
            <w:r w:rsidRPr="009A4312">
              <w:rPr>
                <w:szCs w:val="16"/>
              </w:rPr>
              <w:t>Previous</w:t>
            </w:r>
            <w:r>
              <w:rPr>
                <w:szCs w:val="16"/>
              </w:rPr>
              <w:t xml:space="preserve"> analysis: </w:t>
            </w:r>
            <w:r w:rsidRPr="009A4312">
              <w:rPr>
                <w:szCs w:val="16"/>
              </w:rPr>
              <w:t>MFN</w:t>
            </w:r>
            <w:r>
              <w:rPr>
                <w:szCs w:val="16"/>
              </w:rPr>
              <w:br/>
              <w:t>%</w:t>
            </w:r>
          </w:p>
        </w:tc>
        <w:tc>
          <w:tcPr>
            <w:tcW w:w="859" w:type="dxa"/>
            <w:shd w:val="clear" w:color="auto" w:fill="6F6652"/>
            <w:noWrap/>
            <w:tcMar>
              <w:left w:w="57" w:type="dxa"/>
              <w:right w:w="57" w:type="dxa"/>
            </w:tcMar>
            <w:vAlign w:val="center"/>
            <w:hideMark/>
          </w:tcPr>
          <w:p w14:paraId="24FAB577" w14:textId="77777777" w:rsidR="008F42F2" w:rsidRPr="009A4312" w:rsidRDefault="008F42F2" w:rsidP="006468FC">
            <w:pPr>
              <w:pStyle w:val="TableDataColumnHeading"/>
              <w:jc w:val="center"/>
              <w:rPr>
                <w:szCs w:val="16"/>
              </w:rPr>
            </w:pPr>
            <w:r>
              <w:rPr>
                <w:szCs w:val="16"/>
              </w:rPr>
              <w:t>This u</w:t>
            </w:r>
            <w:r w:rsidRPr="009A4312">
              <w:rPr>
                <w:szCs w:val="16"/>
              </w:rPr>
              <w:t>pdate</w:t>
            </w:r>
            <w:r>
              <w:rPr>
                <w:szCs w:val="16"/>
              </w:rPr>
              <w:t>:</w:t>
            </w:r>
            <w:r w:rsidRPr="009A4312">
              <w:rPr>
                <w:szCs w:val="16"/>
              </w:rPr>
              <w:t xml:space="preserve"> Export</w:t>
            </w:r>
            <w:r>
              <w:rPr>
                <w:szCs w:val="16"/>
              </w:rPr>
              <w:t xml:space="preserve"> value</w:t>
            </w:r>
            <w:r w:rsidRPr="00A04269">
              <w:rPr>
                <w:rStyle w:val="NoteLabel"/>
                <w:color w:val="FFFFFF" w:themeColor="background1"/>
              </w:rPr>
              <w:t xml:space="preserve"> </w:t>
            </w:r>
            <w:r>
              <w:rPr>
                <w:rStyle w:val="NoteLabel"/>
                <w:color w:val="FFFFFF" w:themeColor="background1"/>
              </w:rPr>
              <w:t>b</w:t>
            </w:r>
            <w:r>
              <w:rPr>
                <w:rStyle w:val="NoteLabel"/>
                <w:color w:val="FFFFFF" w:themeColor="background1"/>
              </w:rPr>
              <w:br/>
              <w:t>$m</w:t>
            </w:r>
          </w:p>
        </w:tc>
        <w:tc>
          <w:tcPr>
            <w:tcW w:w="835" w:type="dxa"/>
            <w:shd w:val="clear" w:color="auto" w:fill="6F6652"/>
            <w:noWrap/>
            <w:tcMar>
              <w:left w:w="57" w:type="dxa"/>
              <w:right w:w="57" w:type="dxa"/>
            </w:tcMar>
            <w:vAlign w:val="center"/>
            <w:hideMark/>
          </w:tcPr>
          <w:p w14:paraId="4110685A" w14:textId="77777777" w:rsidR="008F42F2" w:rsidRPr="009A4312" w:rsidRDefault="008F42F2" w:rsidP="006468FC">
            <w:pPr>
              <w:pStyle w:val="TableDataColumnHeading"/>
              <w:jc w:val="center"/>
              <w:rPr>
                <w:szCs w:val="16"/>
              </w:rPr>
            </w:pPr>
            <w:r>
              <w:rPr>
                <w:szCs w:val="16"/>
              </w:rPr>
              <w:t>This u</w:t>
            </w:r>
            <w:r w:rsidRPr="009A4312">
              <w:rPr>
                <w:szCs w:val="16"/>
              </w:rPr>
              <w:t>pdate</w:t>
            </w:r>
            <w:r>
              <w:rPr>
                <w:szCs w:val="16"/>
              </w:rPr>
              <w:t>: Export s</w:t>
            </w:r>
            <w:r w:rsidRPr="009A4312">
              <w:rPr>
                <w:szCs w:val="16"/>
              </w:rPr>
              <w:t>hare</w:t>
            </w:r>
            <w:r>
              <w:rPr>
                <w:szCs w:val="16"/>
              </w:rPr>
              <w:br/>
              <w:t>%</w:t>
            </w:r>
          </w:p>
        </w:tc>
        <w:tc>
          <w:tcPr>
            <w:tcW w:w="1044" w:type="dxa"/>
            <w:shd w:val="clear" w:color="auto" w:fill="6F6652"/>
            <w:noWrap/>
            <w:tcMar>
              <w:left w:w="57" w:type="dxa"/>
              <w:right w:w="57" w:type="dxa"/>
            </w:tcMar>
            <w:vAlign w:val="center"/>
            <w:hideMark/>
          </w:tcPr>
          <w:p w14:paraId="2D802188" w14:textId="77777777" w:rsidR="008F42F2" w:rsidRPr="009A4312" w:rsidRDefault="008F42F2" w:rsidP="006468FC">
            <w:pPr>
              <w:pStyle w:val="TableDataColumnHeading"/>
              <w:jc w:val="center"/>
              <w:rPr>
                <w:szCs w:val="16"/>
              </w:rPr>
            </w:pPr>
            <w:r>
              <w:rPr>
                <w:szCs w:val="16"/>
              </w:rPr>
              <w:t>This u</w:t>
            </w:r>
            <w:r w:rsidRPr="009A4312">
              <w:rPr>
                <w:szCs w:val="16"/>
              </w:rPr>
              <w:t>pdate</w:t>
            </w:r>
            <w:r>
              <w:rPr>
                <w:szCs w:val="16"/>
              </w:rPr>
              <w:t>:</w:t>
            </w:r>
            <w:r w:rsidRPr="009A4312">
              <w:rPr>
                <w:szCs w:val="16"/>
              </w:rPr>
              <w:t xml:space="preserve"> Base </w:t>
            </w:r>
            <w:r>
              <w:rPr>
                <w:szCs w:val="16"/>
              </w:rPr>
              <w:t xml:space="preserve">tariff </w:t>
            </w:r>
            <w:r w:rsidRPr="009A4312">
              <w:rPr>
                <w:szCs w:val="16"/>
              </w:rPr>
              <w:t>rate</w:t>
            </w:r>
            <w:r>
              <w:rPr>
                <w:szCs w:val="16"/>
              </w:rPr>
              <w:br/>
              <w:t>%</w:t>
            </w:r>
          </w:p>
        </w:tc>
      </w:tr>
      <w:tr w:rsidR="008F42F2" w:rsidRPr="008B6C30" w14:paraId="6FF164F0" w14:textId="77777777" w:rsidTr="00ED4CE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167881" w14:textId="77777777" w:rsidR="008F42F2" w:rsidRPr="008B6C30" w:rsidRDefault="008F42F2" w:rsidP="00EB0620">
            <w:pPr>
              <w:pStyle w:val="TableDataEntries"/>
              <w:jc w:val="left"/>
            </w:pPr>
            <w:r w:rsidRPr="008B6C30">
              <w:t>Fish and fish products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19C9D9" w14:textId="77777777" w:rsidR="008F42F2" w:rsidRPr="008B6C30" w:rsidRDefault="008F42F2" w:rsidP="00EB0620">
            <w:pPr>
              <w:pStyle w:val="TableDataEntries"/>
            </w:pPr>
            <w:r w:rsidRPr="008B6C30">
              <w:t>1.55</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6173A2" w14:textId="77777777" w:rsidR="008F42F2" w:rsidRPr="008B6C30" w:rsidRDefault="008F42F2" w:rsidP="00EB0620">
            <w:pPr>
              <w:pStyle w:val="TableDataEntries"/>
            </w:pPr>
            <w:r w:rsidRPr="008B6C30">
              <w:t>0.04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9DD39C" w14:textId="77777777" w:rsidR="008F42F2" w:rsidRPr="008B6C30" w:rsidRDefault="008F42F2" w:rsidP="00EB0620">
            <w:pPr>
              <w:pStyle w:val="TableDataEntries"/>
            </w:pPr>
            <w:r w:rsidRPr="008B6C30">
              <w:t>2.44</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354927" w14:textId="77777777" w:rsidR="008F42F2" w:rsidRPr="008B6C30" w:rsidRDefault="008F42F2" w:rsidP="00EB0620">
            <w:pPr>
              <w:pStyle w:val="TableDataEntries"/>
            </w:pPr>
            <w:r w:rsidRPr="008B6C30">
              <w:t>4.66</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4413B8" w14:textId="77777777" w:rsidR="008F42F2" w:rsidRPr="008B6C30" w:rsidRDefault="008F42F2" w:rsidP="00EB0620">
            <w:pPr>
              <w:pStyle w:val="TableDataEntries"/>
            </w:pPr>
            <w:r w:rsidRPr="008B6C30">
              <w:t>0.11</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B53650" w14:textId="2982F508" w:rsidR="008F42F2" w:rsidRPr="008B6C30" w:rsidRDefault="008F42F2" w:rsidP="00EB0620">
            <w:pPr>
              <w:pStyle w:val="TableDataEntries"/>
            </w:pPr>
            <w:r>
              <w:rPr>
                <w:szCs w:val="16"/>
              </w:rPr>
              <w:t>1.80</w:t>
            </w:r>
          </w:p>
        </w:tc>
      </w:tr>
      <w:tr w:rsidR="008F42F2" w:rsidRPr="008B6C30" w14:paraId="4BC91D21" w14:textId="77777777" w:rsidTr="00ED4CE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BA4F24" w14:textId="77777777" w:rsidR="008F42F2" w:rsidRPr="008B6C30" w:rsidRDefault="008F42F2" w:rsidP="00EB0620">
            <w:pPr>
              <w:pStyle w:val="TableDataEntries"/>
              <w:jc w:val="left"/>
            </w:pPr>
            <w:r w:rsidRPr="008B6C30">
              <w:t>Minerals and metals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7AC69B" w14:textId="77777777" w:rsidR="008F42F2" w:rsidRPr="008B6C30" w:rsidRDefault="008F42F2" w:rsidP="00EB0620">
            <w:pPr>
              <w:pStyle w:val="TableDataEntries"/>
            </w:pPr>
            <w:r w:rsidRPr="008B6C30">
              <w:t>1,549.00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2220CC" w14:textId="77777777" w:rsidR="008F42F2" w:rsidRPr="008B6C30" w:rsidRDefault="008F42F2" w:rsidP="00EB0620">
            <w:pPr>
              <w:pStyle w:val="TableDataEntries"/>
            </w:pPr>
            <w:r w:rsidRPr="008B6C30">
              <w:t>44.69</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50E895" w14:textId="77777777" w:rsidR="008F42F2" w:rsidRPr="008B6C30" w:rsidRDefault="008F42F2" w:rsidP="00EB0620">
            <w:pPr>
              <w:pStyle w:val="TableDataEntries"/>
            </w:pPr>
            <w:r w:rsidRPr="008B6C30">
              <w:t>4.66</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C31946" w14:textId="77777777" w:rsidR="008F42F2" w:rsidRPr="008B6C30" w:rsidRDefault="008F42F2" w:rsidP="00EB0620">
            <w:pPr>
              <w:pStyle w:val="TableDataEntries"/>
            </w:pPr>
            <w:r w:rsidRPr="008B6C30">
              <w:t>1,481.42</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AD6FA4" w14:textId="77777777" w:rsidR="008F42F2" w:rsidRPr="008B6C30" w:rsidRDefault="008F42F2" w:rsidP="00EB0620">
            <w:pPr>
              <w:pStyle w:val="TableDataEntries"/>
            </w:pPr>
            <w:r w:rsidRPr="008B6C30">
              <w:t>35.02</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A0BEEB" w14:textId="12CB5796" w:rsidR="008F42F2" w:rsidRPr="008B6C30" w:rsidRDefault="008F42F2" w:rsidP="00EB0620">
            <w:pPr>
              <w:pStyle w:val="TableDataEntries"/>
            </w:pPr>
            <w:r>
              <w:rPr>
                <w:szCs w:val="16"/>
              </w:rPr>
              <w:t>4.09</w:t>
            </w:r>
          </w:p>
        </w:tc>
      </w:tr>
      <w:tr w:rsidR="008F42F2" w:rsidRPr="008B6C30" w14:paraId="13BCD39A" w14:textId="77777777" w:rsidTr="00ED4CE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6F5A12" w14:textId="77777777" w:rsidR="008F42F2" w:rsidRPr="008B6C30" w:rsidRDefault="008F42F2" w:rsidP="00EB0620">
            <w:pPr>
              <w:pStyle w:val="TableDataEntries"/>
              <w:jc w:val="left"/>
            </w:pPr>
            <w:r w:rsidRPr="008B6C30">
              <w:t>Petroleum</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DF51A3" w14:textId="77777777" w:rsidR="008F42F2" w:rsidRPr="008B6C30" w:rsidRDefault="008F42F2" w:rsidP="00EB0620">
            <w:pPr>
              <w:pStyle w:val="TableDataEntries"/>
            </w:pPr>
            <w:r w:rsidRPr="008B6C30">
              <w:t>80.88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4B9FAD" w14:textId="77777777" w:rsidR="008F42F2" w:rsidRPr="008B6C30" w:rsidRDefault="008F42F2" w:rsidP="00EB0620">
            <w:pPr>
              <w:pStyle w:val="TableDataEntries"/>
            </w:pPr>
            <w:r w:rsidRPr="008B6C30">
              <w:t>2.33</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3971F0" w14:textId="77777777" w:rsidR="008F42F2" w:rsidRPr="008B6C30" w:rsidRDefault="008F42F2" w:rsidP="00EB0620">
            <w:pPr>
              <w:pStyle w:val="TableDataEntries"/>
            </w:pPr>
            <w:r w:rsidRPr="008B6C30">
              <w:t>5.00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C778BA" w14:textId="77777777" w:rsidR="008F42F2" w:rsidRPr="008B6C30" w:rsidRDefault="008F42F2" w:rsidP="00EB0620">
            <w:pPr>
              <w:pStyle w:val="TableDataEntries"/>
            </w:pPr>
            <w:r w:rsidRPr="008B6C30">
              <w:t>120.08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6F1BC4" w14:textId="77777777" w:rsidR="008F42F2" w:rsidRPr="008B6C30" w:rsidRDefault="008F42F2" w:rsidP="00EB0620">
            <w:pPr>
              <w:pStyle w:val="TableDataEntries"/>
            </w:pPr>
            <w:r w:rsidRPr="008B6C30">
              <w:t>2.84</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88D769" w14:textId="786470F4" w:rsidR="008F42F2" w:rsidRPr="008B6C30" w:rsidRDefault="008F42F2" w:rsidP="00EB0620">
            <w:pPr>
              <w:pStyle w:val="TableDataEntries"/>
            </w:pPr>
            <w:r>
              <w:rPr>
                <w:szCs w:val="16"/>
              </w:rPr>
              <w:t>5.00</w:t>
            </w:r>
          </w:p>
        </w:tc>
      </w:tr>
      <w:tr w:rsidR="008F42F2" w:rsidRPr="008B6C30" w14:paraId="04D5635E" w14:textId="77777777" w:rsidTr="00ED4CE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0E8978" w14:textId="77777777" w:rsidR="008F42F2" w:rsidRPr="008B6C30" w:rsidRDefault="008F42F2" w:rsidP="00EB0620">
            <w:pPr>
              <w:pStyle w:val="TableDataEntries"/>
              <w:jc w:val="left"/>
            </w:pPr>
            <w:r w:rsidRPr="008B6C30">
              <w:t>Chemicals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BCA839" w14:textId="77777777" w:rsidR="008F42F2" w:rsidRPr="008B6C30" w:rsidRDefault="008F42F2" w:rsidP="00EB0620">
            <w:pPr>
              <w:pStyle w:val="TableDataEntries"/>
            </w:pPr>
            <w:r w:rsidRPr="008B6C30">
              <w:t>97.21</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8E4E33" w14:textId="77777777" w:rsidR="008F42F2" w:rsidRPr="008B6C30" w:rsidRDefault="008F42F2" w:rsidP="00EB0620">
            <w:pPr>
              <w:pStyle w:val="TableDataEntries"/>
            </w:pPr>
            <w:r w:rsidRPr="008B6C30">
              <w:t>2.80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5ADCE8" w14:textId="77777777" w:rsidR="008F42F2" w:rsidRPr="008B6C30" w:rsidRDefault="008F42F2" w:rsidP="00EB0620">
            <w:pPr>
              <w:pStyle w:val="TableDataEntries"/>
            </w:pPr>
            <w:r w:rsidRPr="008B6C30">
              <w:t>3.00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6BD837" w14:textId="77777777" w:rsidR="008F42F2" w:rsidRPr="008B6C30" w:rsidRDefault="008F42F2" w:rsidP="00EB0620">
            <w:pPr>
              <w:pStyle w:val="TableDataEntries"/>
            </w:pPr>
            <w:r w:rsidRPr="008B6C30">
              <w:t>108.46</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52888E" w14:textId="77777777" w:rsidR="008F42F2" w:rsidRPr="008B6C30" w:rsidRDefault="008F42F2" w:rsidP="00EB0620">
            <w:pPr>
              <w:pStyle w:val="TableDataEntries"/>
            </w:pPr>
            <w:r w:rsidRPr="008B6C30">
              <w:t>2.56</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4D6982" w14:textId="14C9F3D7" w:rsidR="008F42F2" w:rsidRPr="008B6C30" w:rsidRDefault="008F42F2" w:rsidP="00EB0620">
            <w:pPr>
              <w:pStyle w:val="TableDataEntries"/>
            </w:pPr>
            <w:r>
              <w:rPr>
                <w:szCs w:val="16"/>
              </w:rPr>
              <w:t>3.27</w:t>
            </w:r>
          </w:p>
        </w:tc>
      </w:tr>
      <w:tr w:rsidR="008F42F2" w:rsidRPr="008B6C30" w14:paraId="2F7DBE6F" w14:textId="77777777" w:rsidTr="00ED4CE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51CE0A" w14:textId="77777777" w:rsidR="008F42F2" w:rsidRPr="008B6C30" w:rsidRDefault="008F42F2" w:rsidP="00EB0620">
            <w:pPr>
              <w:pStyle w:val="TableDataEntries"/>
              <w:jc w:val="left"/>
            </w:pPr>
            <w:r w:rsidRPr="008B6C30">
              <w:t>Wood, paper, etc.</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5A14A6" w14:textId="77777777" w:rsidR="008F42F2" w:rsidRPr="008B6C30" w:rsidRDefault="008F42F2" w:rsidP="00EB0620">
            <w:pPr>
              <w:pStyle w:val="TableDataEntries"/>
            </w:pPr>
            <w:r w:rsidRPr="008B6C30">
              <w:t>15.38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D6F4ED" w14:textId="77777777" w:rsidR="008F42F2" w:rsidRPr="008B6C30" w:rsidRDefault="008F42F2" w:rsidP="00EB0620">
            <w:pPr>
              <w:pStyle w:val="TableDataEntries"/>
            </w:pPr>
            <w:r w:rsidRPr="008B6C30">
              <w:t>0.44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7F1304" w14:textId="77777777" w:rsidR="008F42F2" w:rsidRPr="008B6C30" w:rsidRDefault="008F42F2" w:rsidP="00EB0620">
            <w:pPr>
              <w:pStyle w:val="TableDataEntries"/>
            </w:pPr>
            <w:r w:rsidRPr="008B6C30">
              <w:t>4.74</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C47154" w14:textId="77777777" w:rsidR="008F42F2" w:rsidRPr="008B6C30" w:rsidRDefault="008F42F2" w:rsidP="00EB0620">
            <w:pPr>
              <w:pStyle w:val="TableDataEntries"/>
            </w:pPr>
            <w:r w:rsidRPr="008B6C30">
              <w:t>21.33</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3C7D48" w14:textId="77777777" w:rsidR="008F42F2" w:rsidRPr="008B6C30" w:rsidRDefault="008F42F2" w:rsidP="00EB0620">
            <w:pPr>
              <w:pStyle w:val="TableDataEntries"/>
            </w:pPr>
            <w:r w:rsidRPr="008B6C30">
              <w:t>0.50</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9EFDDC" w14:textId="5E52E408" w:rsidR="008F42F2" w:rsidRPr="008B6C30" w:rsidRDefault="008F42F2" w:rsidP="00EB0620">
            <w:pPr>
              <w:pStyle w:val="TableDataEntries"/>
            </w:pPr>
            <w:r>
              <w:rPr>
                <w:szCs w:val="16"/>
              </w:rPr>
              <w:t>4.85</w:t>
            </w:r>
          </w:p>
        </w:tc>
      </w:tr>
      <w:tr w:rsidR="008F42F2" w:rsidRPr="008B6C30" w14:paraId="42A924D7" w14:textId="77777777" w:rsidTr="00ED4CE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FF762E" w14:textId="77777777" w:rsidR="008F42F2" w:rsidRPr="008B6C30" w:rsidRDefault="008F42F2" w:rsidP="00EB0620">
            <w:pPr>
              <w:pStyle w:val="TableDataEntries"/>
              <w:jc w:val="left"/>
            </w:pPr>
            <w:r w:rsidRPr="008B6C30">
              <w:t>Textiles</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656B9F" w14:textId="77777777" w:rsidR="008F42F2" w:rsidRPr="008B6C30" w:rsidRDefault="008F42F2" w:rsidP="00EB0620">
            <w:pPr>
              <w:pStyle w:val="TableDataEntries"/>
            </w:pPr>
            <w:r w:rsidRPr="008B6C30">
              <w:t>40.65</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DE9358" w14:textId="77777777" w:rsidR="008F42F2" w:rsidRPr="008B6C30" w:rsidRDefault="008F42F2" w:rsidP="00EB0620">
            <w:pPr>
              <w:pStyle w:val="TableDataEntries"/>
            </w:pPr>
            <w:r w:rsidRPr="008B6C30">
              <w:t>1.17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C775FA" w14:textId="77777777" w:rsidR="008F42F2" w:rsidRPr="008B6C30" w:rsidRDefault="008F42F2" w:rsidP="00EB0620">
            <w:pPr>
              <w:pStyle w:val="TableDataEntries"/>
            </w:pPr>
            <w:r w:rsidRPr="008B6C30">
              <w:t>4.99</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207CDB" w14:textId="77777777" w:rsidR="008F42F2" w:rsidRPr="008B6C30" w:rsidRDefault="008F42F2" w:rsidP="00EB0620">
            <w:pPr>
              <w:pStyle w:val="TableDataEntries"/>
            </w:pPr>
            <w:r w:rsidRPr="008B6C30">
              <w:t>73.15</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62C5CA" w14:textId="77777777" w:rsidR="008F42F2" w:rsidRPr="008B6C30" w:rsidRDefault="008F42F2" w:rsidP="00EB0620">
            <w:pPr>
              <w:pStyle w:val="TableDataEntries"/>
            </w:pPr>
            <w:r w:rsidRPr="008B6C30">
              <w:t>1.73</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4A7CF9" w14:textId="63AE22F6" w:rsidR="008F42F2" w:rsidRPr="008B6C30" w:rsidRDefault="008F42F2" w:rsidP="00EB0620">
            <w:pPr>
              <w:pStyle w:val="TableDataEntries"/>
            </w:pPr>
            <w:r>
              <w:rPr>
                <w:szCs w:val="16"/>
              </w:rPr>
              <w:t>5.00</w:t>
            </w:r>
          </w:p>
        </w:tc>
      </w:tr>
      <w:tr w:rsidR="008F42F2" w:rsidRPr="008B6C30" w14:paraId="0A31DD05" w14:textId="77777777" w:rsidTr="00ED4CE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F71169" w14:textId="77777777" w:rsidR="008F42F2" w:rsidRPr="008B6C30" w:rsidRDefault="008F42F2" w:rsidP="00EB0620">
            <w:pPr>
              <w:pStyle w:val="TableDataEntries"/>
              <w:jc w:val="left"/>
            </w:pPr>
            <w:r w:rsidRPr="008B6C30">
              <w:t>Clothing</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63EA06" w14:textId="77777777" w:rsidR="008F42F2" w:rsidRPr="008B6C30" w:rsidRDefault="008F42F2" w:rsidP="00EB0620">
            <w:pPr>
              <w:pStyle w:val="TableDataEntries"/>
            </w:pPr>
            <w:r w:rsidRPr="008B6C30">
              <w:t>4.38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15ABD8" w14:textId="77777777" w:rsidR="008F42F2" w:rsidRPr="008B6C30" w:rsidRDefault="008F42F2" w:rsidP="00EB0620">
            <w:pPr>
              <w:pStyle w:val="TableDataEntries"/>
            </w:pPr>
            <w:r w:rsidRPr="008B6C30">
              <w:t>0.13</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6E31C5" w14:textId="77777777" w:rsidR="008F42F2" w:rsidRPr="008B6C30" w:rsidRDefault="008F42F2" w:rsidP="00EB0620">
            <w:pPr>
              <w:pStyle w:val="TableDataEntries"/>
            </w:pPr>
            <w:r w:rsidRPr="008B6C30">
              <w:t>5.00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1031AD" w14:textId="77777777" w:rsidR="008F42F2" w:rsidRPr="008B6C30" w:rsidRDefault="008F42F2" w:rsidP="00EB0620">
            <w:pPr>
              <w:pStyle w:val="TableDataEntries"/>
            </w:pPr>
            <w:r w:rsidRPr="008B6C30">
              <w:t>8.89</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4EB290" w14:textId="77777777" w:rsidR="008F42F2" w:rsidRPr="008B6C30" w:rsidRDefault="008F42F2" w:rsidP="00EB0620">
            <w:pPr>
              <w:pStyle w:val="TableDataEntries"/>
            </w:pPr>
            <w:r w:rsidRPr="008B6C30">
              <w:t>0.21</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24E355" w14:textId="0FBBFD6F" w:rsidR="008F42F2" w:rsidRPr="008B6C30" w:rsidRDefault="008F42F2" w:rsidP="00EB0620">
            <w:pPr>
              <w:pStyle w:val="TableDataEntries"/>
            </w:pPr>
            <w:r>
              <w:rPr>
                <w:szCs w:val="16"/>
              </w:rPr>
              <w:t>5.00</w:t>
            </w:r>
          </w:p>
        </w:tc>
      </w:tr>
      <w:tr w:rsidR="008F42F2" w:rsidRPr="008B6C30" w14:paraId="2D871A81" w14:textId="77777777" w:rsidTr="00ED4CE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F8B194" w14:textId="77777777" w:rsidR="008F42F2" w:rsidRPr="008B6C30" w:rsidRDefault="008F42F2" w:rsidP="00EB0620">
            <w:pPr>
              <w:pStyle w:val="TableDataEntries"/>
              <w:jc w:val="left"/>
            </w:pPr>
            <w:r w:rsidRPr="008B6C30">
              <w:t>Leather, footwear, etc.</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C14D6A" w14:textId="77777777" w:rsidR="008F42F2" w:rsidRPr="008B6C30" w:rsidRDefault="008F42F2" w:rsidP="00EB0620">
            <w:pPr>
              <w:pStyle w:val="TableDataEntries"/>
            </w:pPr>
            <w:r w:rsidRPr="008B6C30">
              <w:t>4.20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C39C66" w14:textId="77777777" w:rsidR="008F42F2" w:rsidRPr="008B6C30" w:rsidRDefault="008F42F2" w:rsidP="00EB0620">
            <w:pPr>
              <w:pStyle w:val="TableDataEntries"/>
            </w:pPr>
            <w:r w:rsidRPr="008B6C30">
              <w:t>0.12</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53B413" w14:textId="77777777" w:rsidR="008F42F2" w:rsidRPr="008B6C30" w:rsidRDefault="008F42F2" w:rsidP="00EB0620">
            <w:pPr>
              <w:pStyle w:val="TableDataEntries"/>
            </w:pPr>
            <w:r w:rsidRPr="008B6C30">
              <w:t>4.82</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C3FAD2" w14:textId="77777777" w:rsidR="008F42F2" w:rsidRPr="008B6C30" w:rsidRDefault="008F42F2" w:rsidP="00EB0620">
            <w:pPr>
              <w:pStyle w:val="TableDataEntries"/>
            </w:pPr>
            <w:r w:rsidRPr="008B6C30">
              <w:t>10.07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7A057B" w14:textId="77777777" w:rsidR="008F42F2" w:rsidRPr="008B6C30" w:rsidRDefault="008F42F2" w:rsidP="00EB0620">
            <w:pPr>
              <w:pStyle w:val="TableDataEntries"/>
            </w:pPr>
            <w:r w:rsidRPr="008B6C30">
              <w:t>0.24</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4312C8E" w14:textId="3A6EC6A2" w:rsidR="008F42F2" w:rsidRPr="008B6C30" w:rsidRDefault="008F42F2" w:rsidP="00EB0620">
            <w:pPr>
              <w:pStyle w:val="TableDataEntries"/>
            </w:pPr>
            <w:r>
              <w:rPr>
                <w:szCs w:val="16"/>
              </w:rPr>
              <w:t>5.00</w:t>
            </w:r>
          </w:p>
        </w:tc>
      </w:tr>
      <w:tr w:rsidR="008F42F2" w:rsidRPr="008B6C30" w14:paraId="4683445B" w14:textId="77777777" w:rsidTr="00ED4CE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109550" w14:textId="77777777" w:rsidR="008F42F2" w:rsidRPr="008B6C30" w:rsidRDefault="008F42F2" w:rsidP="00EB0620">
            <w:pPr>
              <w:pStyle w:val="TableDataEntries"/>
              <w:jc w:val="left"/>
            </w:pPr>
            <w:r w:rsidRPr="008B6C30">
              <w:t>Non-electrical machinery</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3CFEB9" w14:textId="77777777" w:rsidR="008F42F2" w:rsidRPr="008B6C30" w:rsidRDefault="008F42F2" w:rsidP="00EB0620">
            <w:pPr>
              <w:pStyle w:val="TableDataEntries"/>
            </w:pPr>
            <w:r w:rsidRPr="008B6C30">
              <w:t>199.09</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04BED3" w14:textId="77777777" w:rsidR="008F42F2" w:rsidRPr="008B6C30" w:rsidRDefault="008F42F2" w:rsidP="00EB0620">
            <w:pPr>
              <w:pStyle w:val="TableDataEntries"/>
            </w:pPr>
            <w:r w:rsidRPr="008B6C30">
              <w:t>5.74</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19604C" w14:textId="77777777" w:rsidR="008F42F2" w:rsidRPr="008B6C30" w:rsidRDefault="008F42F2" w:rsidP="00EB0620">
            <w:pPr>
              <w:pStyle w:val="TableDataEntries"/>
            </w:pPr>
            <w:r w:rsidRPr="008B6C30">
              <w:t>2.23</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6531DE" w14:textId="77777777" w:rsidR="008F42F2" w:rsidRPr="008B6C30" w:rsidRDefault="008F42F2" w:rsidP="00EB0620">
            <w:pPr>
              <w:pStyle w:val="TableDataEntries"/>
            </w:pPr>
            <w:r w:rsidRPr="008B6C30">
              <w:t>148.78</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36E25A" w14:textId="77777777" w:rsidR="008F42F2" w:rsidRPr="008B6C30" w:rsidRDefault="008F42F2" w:rsidP="00EB0620">
            <w:pPr>
              <w:pStyle w:val="TableDataEntries"/>
            </w:pPr>
            <w:r w:rsidRPr="008B6C30">
              <w:t>3.52</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963BDC" w14:textId="5AB42EB1" w:rsidR="008F42F2" w:rsidRPr="008B6C30" w:rsidRDefault="008F42F2" w:rsidP="00EB0620">
            <w:pPr>
              <w:pStyle w:val="TableDataEntries"/>
            </w:pPr>
            <w:r>
              <w:rPr>
                <w:szCs w:val="16"/>
              </w:rPr>
              <w:t>1.66</w:t>
            </w:r>
          </w:p>
        </w:tc>
      </w:tr>
      <w:tr w:rsidR="008F42F2" w:rsidRPr="008B6C30" w14:paraId="28B720FE" w14:textId="77777777" w:rsidTr="00ED4CE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E2444E" w14:textId="77777777" w:rsidR="008F42F2" w:rsidRPr="008B6C30" w:rsidRDefault="008F42F2" w:rsidP="00EB0620">
            <w:pPr>
              <w:pStyle w:val="TableDataEntries"/>
              <w:jc w:val="left"/>
            </w:pPr>
            <w:r w:rsidRPr="008B6C30">
              <w:t>Electrical machinery</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6337BB" w14:textId="77777777" w:rsidR="008F42F2" w:rsidRPr="008B6C30" w:rsidRDefault="008F42F2" w:rsidP="00EB0620">
            <w:pPr>
              <w:pStyle w:val="TableDataEntries"/>
            </w:pPr>
            <w:r w:rsidRPr="008B6C30">
              <w:t>36.80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5DE124" w14:textId="77777777" w:rsidR="008F42F2" w:rsidRPr="008B6C30" w:rsidRDefault="008F42F2" w:rsidP="00EB0620">
            <w:pPr>
              <w:pStyle w:val="TableDataEntries"/>
            </w:pPr>
            <w:r w:rsidRPr="008B6C30">
              <w:t>1.06</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93049D" w14:textId="77777777" w:rsidR="008F42F2" w:rsidRPr="008B6C30" w:rsidRDefault="008F42F2" w:rsidP="00EB0620">
            <w:pPr>
              <w:pStyle w:val="TableDataEntries"/>
            </w:pPr>
            <w:r w:rsidRPr="008B6C30">
              <w:t>3.10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75D2B4" w14:textId="77777777" w:rsidR="008F42F2" w:rsidRPr="008B6C30" w:rsidRDefault="008F42F2" w:rsidP="00EB0620">
            <w:pPr>
              <w:pStyle w:val="TableDataEntries"/>
            </w:pPr>
            <w:r w:rsidRPr="008B6C30">
              <w:t>30.00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212236" w14:textId="77777777" w:rsidR="008F42F2" w:rsidRPr="008B6C30" w:rsidRDefault="008F42F2" w:rsidP="00EB0620">
            <w:pPr>
              <w:pStyle w:val="TableDataEntries"/>
            </w:pPr>
            <w:r w:rsidRPr="008B6C30">
              <w:t>0.71</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92A5978" w14:textId="610289C1" w:rsidR="008F42F2" w:rsidRPr="008B6C30" w:rsidRDefault="008F42F2" w:rsidP="00EB0620">
            <w:pPr>
              <w:pStyle w:val="TableDataEntries"/>
            </w:pPr>
            <w:r>
              <w:rPr>
                <w:szCs w:val="16"/>
              </w:rPr>
              <w:t>3.53</w:t>
            </w:r>
          </w:p>
        </w:tc>
      </w:tr>
      <w:tr w:rsidR="008F42F2" w:rsidRPr="008B6C30" w14:paraId="75DCBADC" w14:textId="77777777" w:rsidTr="00ED4CE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79864B" w14:textId="77777777" w:rsidR="008F42F2" w:rsidRPr="008B6C30" w:rsidRDefault="008F42F2" w:rsidP="00EB0620">
            <w:pPr>
              <w:pStyle w:val="TableDataEntries"/>
              <w:jc w:val="left"/>
            </w:pPr>
            <w:r w:rsidRPr="008B6C30">
              <w:t>Transport equipment</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21B2CE" w14:textId="77777777" w:rsidR="008F42F2" w:rsidRPr="008B6C30" w:rsidRDefault="008F42F2" w:rsidP="00EB0620">
            <w:pPr>
              <w:pStyle w:val="TableDataEntries"/>
            </w:pPr>
            <w:r w:rsidRPr="008B6C30">
              <w:t>261.86</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D54E38" w14:textId="77777777" w:rsidR="008F42F2" w:rsidRPr="008B6C30" w:rsidRDefault="008F42F2" w:rsidP="00EB0620">
            <w:pPr>
              <w:pStyle w:val="TableDataEntries"/>
            </w:pPr>
            <w:r w:rsidRPr="008B6C30">
              <w:t>7.56</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269BD3" w14:textId="77777777" w:rsidR="008F42F2" w:rsidRPr="008B6C30" w:rsidRDefault="008F42F2" w:rsidP="00EB0620">
            <w:pPr>
              <w:pStyle w:val="TableDataEntries"/>
            </w:pPr>
            <w:r w:rsidRPr="008B6C30">
              <w:t>4.93</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A4C99F" w14:textId="77777777" w:rsidR="008F42F2" w:rsidRPr="008B6C30" w:rsidRDefault="008F42F2" w:rsidP="00EB0620">
            <w:pPr>
              <w:pStyle w:val="TableDataEntries"/>
            </w:pPr>
            <w:r w:rsidRPr="008B6C30">
              <w:t>232.67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D7CD46" w14:textId="77777777" w:rsidR="008F42F2" w:rsidRPr="008B6C30" w:rsidRDefault="008F42F2" w:rsidP="00EB0620">
            <w:pPr>
              <w:pStyle w:val="TableDataEntries"/>
            </w:pPr>
            <w:r w:rsidRPr="008B6C30">
              <w:t>5.50</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EAE194" w14:textId="72AC6B89" w:rsidR="008F42F2" w:rsidRPr="008B6C30" w:rsidRDefault="008F42F2" w:rsidP="00EB0620">
            <w:pPr>
              <w:pStyle w:val="TableDataEntries"/>
            </w:pPr>
            <w:r>
              <w:rPr>
                <w:szCs w:val="16"/>
              </w:rPr>
              <w:t>5.00</w:t>
            </w:r>
          </w:p>
        </w:tc>
      </w:tr>
      <w:tr w:rsidR="008F42F2" w:rsidRPr="008B6C30" w14:paraId="03F1868F" w14:textId="77777777" w:rsidTr="00ED4CE7">
        <w:trPr>
          <w:trHeight w:val="216"/>
        </w:trPr>
        <w:tc>
          <w:tcPr>
            <w:tcW w:w="26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F990CB" w14:textId="77777777" w:rsidR="008F42F2" w:rsidRPr="008B6C30" w:rsidRDefault="008F42F2" w:rsidP="00EB0620">
            <w:pPr>
              <w:pStyle w:val="TableDataEntries"/>
              <w:jc w:val="left"/>
            </w:pPr>
            <w:r w:rsidRPr="008B6C30">
              <w:t>Manufactures, not elsewhere specified</w:t>
            </w:r>
          </w:p>
        </w:tc>
        <w:tc>
          <w:tcPr>
            <w:tcW w:w="86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3493CA" w14:textId="77777777" w:rsidR="008F42F2" w:rsidRPr="008B6C30" w:rsidRDefault="008F42F2" w:rsidP="00EB0620">
            <w:pPr>
              <w:pStyle w:val="TableDataEntries"/>
            </w:pPr>
            <w:r w:rsidRPr="008B6C30">
              <w:t>152.57</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167045" w14:textId="77777777" w:rsidR="008F42F2" w:rsidRPr="008B6C30" w:rsidRDefault="008F42F2" w:rsidP="00EB0620">
            <w:pPr>
              <w:pStyle w:val="TableDataEntries"/>
            </w:pPr>
            <w:r w:rsidRPr="008B6C30">
              <w:t>4.40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DDD046" w14:textId="77777777" w:rsidR="008F42F2" w:rsidRPr="008B6C30" w:rsidRDefault="008F42F2" w:rsidP="00EB0620">
            <w:pPr>
              <w:pStyle w:val="TableDataEntries"/>
            </w:pPr>
            <w:r w:rsidRPr="008B6C30">
              <w:t>0.80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1D974E" w14:textId="77777777" w:rsidR="008F42F2" w:rsidRPr="008B6C30" w:rsidRDefault="008F42F2" w:rsidP="00EB0620">
            <w:pPr>
              <w:pStyle w:val="TableDataEntries"/>
            </w:pPr>
            <w:r w:rsidRPr="008B6C30">
              <w:t>269.40</w:t>
            </w:r>
          </w:p>
        </w:tc>
        <w:tc>
          <w:tcPr>
            <w:tcW w:w="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42531E" w14:textId="77777777" w:rsidR="008F42F2" w:rsidRPr="008B6C30" w:rsidRDefault="008F42F2" w:rsidP="00EB0620">
            <w:pPr>
              <w:pStyle w:val="TableDataEntries"/>
            </w:pPr>
            <w:r w:rsidRPr="008B6C30">
              <w:t>6.37</w:t>
            </w:r>
          </w:p>
        </w:tc>
        <w:tc>
          <w:tcPr>
            <w:tcW w:w="104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7B8031" w14:textId="18CF1B62" w:rsidR="008F42F2" w:rsidRPr="008B6C30" w:rsidRDefault="008F42F2" w:rsidP="00EB0620">
            <w:pPr>
              <w:pStyle w:val="TableDataEntries"/>
            </w:pPr>
            <w:r>
              <w:rPr>
                <w:szCs w:val="16"/>
              </w:rPr>
              <w:t>1.62</w:t>
            </w:r>
          </w:p>
        </w:tc>
      </w:tr>
      <w:tr w:rsidR="008F42F2" w:rsidRPr="00EC6BA5" w14:paraId="41FE46AB" w14:textId="77777777" w:rsidTr="00ED4CE7">
        <w:trPr>
          <w:trHeight w:val="216"/>
        </w:trPr>
        <w:tc>
          <w:tcPr>
            <w:tcW w:w="266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3C3DC9C" w14:textId="77777777" w:rsidR="008F42F2" w:rsidRPr="00EC6BA5" w:rsidRDefault="008F42F2" w:rsidP="00EB0620">
            <w:pPr>
              <w:pStyle w:val="TableDataEntries"/>
              <w:jc w:val="left"/>
              <w:rPr>
                <w:rFonts w:ascii="Franklin Gothic Demi" w:hAnsi="Franklin Gothic Demi"/>
              </w:rPr>
            </w:pPr>
            <w:r w:rsidRPr="00EC6BA5">
              <w:rPr>
                <w:rFonts w:ascii="Franklin Gothic Demi" w:hAnsi="Franklin Gothic Demi"/>
              </w:rPr>
              <w:t>Total/Average of non-agricultural products</w:t>
            </w:r>
          </w:p>
        </w:tc>
        <w:tc>
          <w:tcPr>
            <w:tcW w:w="867"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BF34381" w14:textId="77777777" w:rsidR="008F42F2" w:rsidRPr="00EC6BA5" w:rsidRDefault="008F42F2" w:rsidP="00EB0620">
            <w:pPr>
              <w:pStyle w:val="TableDataEntries"/>
              <w:rPr>
                <w:rFonts w:ascii="Franklin Gothic Demi" w:hAnsi="Franklin Gothic Demi"/>
              </w:rPr>
            </w:pPr>
            <w:r w:rsidRPr="00EC6BA5">
              <w:rPr>
                <w:rFonts w:ascii="Franklin Gothic Demi" w:hAnsi="Franklin Gothic Demi"/>
              </w:rPr>
              <w:t>2,443.58</w:t>
            </w:r>
          </w:p>
        </w:tc>
        <w:tc>
          <w:tcPr>
            <w:tcW w:w="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E71AF36" w14:textId="77777777" w:rsidR="008F42F2" w:rsidRPr="00EC6BA5" w:rsidRDefault="008F42F2" w:rsidP="00EB0620">
            <w:pPr>
              <w:pStyle w:val="TableDataEntries"/>
              <w:rPr>
                <w:rFonts w:ascii="Franklin Gothic Demi" w:hAnsi="Franklin Gothic Demi"/>
              </w:rPr>
            </w:pPr>
            <w:r w:rsidRPr="00EC6BA5">
              <w:rPr>
                <w:rFonts w:ascii="Franklin Gothic Demi" w:hAnsi="Franklin Gothic Demi"/>
              </w:rPr>
              <w:t>70.51</w:t>
            </w:r>
          </w:p>
        </w:tc>
        <w:tc>
          <w:tcPr>
            <w:tcW w:w="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A5B947E" w14:textId="77777777" w:rsidR="008F42F2" w:rsidRPr="00EC6BA5" w:rsidRDefault="008F42F2" w:rsidP="00EB0620">
            <w:pPr>
              <w:pStyle w:val="TableDataEntries"/>
              <w:rPr>
                <w:rFonts w:ascii="Franklin Gothic Demi" w:hAnsi="Franklin Gothic Demi"/>
              </w:rPr>
            </w:pPr>
            <w:r w:rsidRPr="00EC6BA5">
              <w:rPr>
                <w:rFonts w:ascii="Franklin Gothic Demi" w:hAnsi="Franklin Gothic Demi"/>
              </w:rPr>
              <w:t>4.18</w:t>
            </w:r>
          </w:p>
        </w:tc>
        <w:tc>
          <w:tcPr>
            <w:tcW w:w="85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3A45235" w14:textId="77777777" w:rsidR="008F42F2" w:rsidRPr="00EC6BA5" w:rsidRDefault="008F42F2" w:rsidP="00EB0620">
            <w:pPr>
              <w:pStyle w:val="TableDataEntries"/>
              <w:rPr>
                <w:rFonts w:ascii="Franklin Gothic Demi" w:hAnsi="Franklin Gothic Demi"/>
              </w:rPr>
            </w:pPr>
            <w:r w:rsidRPr="00EC6BA5">
              <w:rPr>
                <w:rFonts w:ascii="Franklin Gothic Demi" w:hAnsi="Franklin Gothic Demi"/>
              </w:rPr>
              <w:t>2,508.90</w:t>
            </w:r>
          </w:p>
        </w:tc>
        <w:tc>
          <w:tcPr>
            <w:tcW w:w="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1F2AF2B" w14:textId="77777777" w:rsidR="008F42F2" w:rsidRPr="00EC6BA5" w:rsidRDefault="008F42F2" w:rsidP="00EB0620">
            <w:pPr>
              <w:pStyle w:val="TableDataEntries"/>
              <w:rPr>
                <w:rFonts w:ascii="Franklin Gothic Demi" w:hAnsi="Franklin Gothic Demi"/>
              </w:rPr>
            </w:pPr>
            <w:r w:rsidRPr="00EC6BA5">
              <w:rPr>
                <w:rFonts w:ascii="Franklin Gothic Demi" w:hAnsi="Franklin Gothic Demi"/>
              </w:rPr>
              <w:t>59.32</w:t>
            </w:r>
          </w:p>
        </w:tc>
        <w:tc>
          <w:tcPr>
            <w:tcW w:w="1044"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636DE63" w14:textId="0D2B84D3" w:rsidR="008F42F2" w:rsidRPr="00EC6BA5" w:rsidRDefault="008F42F2" w:rsidP="00EB0620">
            <w:pPr>
              <w:pStyle w:val="TableDataEntries"/>
              <w:rPr>
                <w:rFonts w:ascii="Franklin Gothic Demi" w:hAnsi="Franklin Gothic Demi"/>
              </w:rPr>
            </w:pPr>
            <w:r w:rsidRPr="00EB0620">
              <w:rPr>
                <w:rFonts w:ascii="Franklin Gothic Demi" w:hAnsi="Franklin Gothic Demi"/>
              </w:rPr>
              <w:t>3.80</w:t>
            </w:r>
          </w:p>
        </w:tc>
      </w:tr>
    </w:tbl>
    <w:p w14:paraId="7B234C20" w14:textId="77777777" w:rsidR="00D97107" w:rsidRDefault="00D97107"/>
    <w:tbl>
      <w:tblPr>
        <w:tblW w:w="7938" w:type="dxa"/>
        <w:tblLook w:val="04A0" w:firstRow="1" w:lastRow="0" w:firstColumn="1" w:lastColumn="0" w:noHBand="0" w:noVBand="1"/>
      </w:tblPr>
      <w:tblGrid>
        <w:gridCol w:w="2663"/>
        <w:gridCol w:w="867"/>
        <w:gridCol w:w="835"/>
        <w:gridCol w:w="835"/>
        <w:gridCol w:w="859"/>
        <w:gridCol w:w="835"/>
        <w:gridCol w:w="1044"/>
      </w:tblGrid>
      <w:tr w:rsidR="00D97107" w:rsidRPr="008B6C30" w14:paraId="7283FCFC" w14:textId="77777777" w:rsidTr="006468FC">
        <w:trPr>
          <w:trHeight w:val="252"/>
        </w:trPr>
        <w:tc>
          <w:tcPr>
            <w:tcW w:w="2663" w:type="dxa"/>
            <w:shd w:val="clear" w:color="auto" w:fill="6F6652"/>
            <w:noWrap/>
            <w:tcMar>
              <w:left w:w="57" w:type="dxa"/>
              <w:right w:w="57" w:type="dxa"/>
            </w:tcMar>
            <w:hideMark/>
          </w:tcPr>
          <w:p w14:paraId="0DF1A2E0" w14:textId="19365AF3" w:rsidR="00D97107" w:rsidRPr="008B6C30" w:rsidRDefault="00D97107" w:rsidP="006468FC">
            <w:pPr>
              <w:pStyle w:val="TableDataColumnHeading"/>
              <w:jc w:val="left"/>
            </w:pPr>
            <w:r>
              <w:lastRenderedPageBreak/>
              <w:t>Total</w:t>
            </w:r>
            <w:r w:rsidR="00ED4CE7">
              <w:t>s</w:t>
            </w:r>
          </w:p>
        </w:tc>
        <w:tc>
          <w:tcPr>
            <w:tcW w:w="867" w:type="dxa"/>
            <w:shd w:val="clear" w:color="auto" w:fill="6F6652"/>
            <w:noWrap/>
            <w:tcMar>
              <w:left w:w="57" w:type="dxa"/>
              <w:right w:w="57" w:type="dxa"/>
            </w:tcMar>
            <w:vAlign w:val="center"/>
            <w:hideMark/>
          </w:tcPr>
          <w:p w14:paraId="0A022752" w14:textId="77777777" w:rsidR="00D97107" w:rsidRPr="009A4312" w:rsidRDefault="00D97107" w:rsidP="006468FC">
            <w:pPr>
              <w:pStyle w:val="TableDataColumnHeading"/>
              <w:jc w:val="center"/>
              <w:rPr>
                <w:szCs w:val="16"/>
              </w:rPr>
            </w:pPr>
            <w:r w:rsidRPr="009A4312">
              <w:rPr>
                <w:szCs w:val="16"/>
              </w:rPr>
              <w:t>Previous</w:t>
            </w:r>
            <w:r>
              <w:rPr>
                <w:szCs w:val="16"/>
              </w:rPr>
              <w:t xml:space="preserve"> analysis:</w:t>
            </w:r>
            <w:r w:rsidRPr="009A4312">
              <w:rPr>
                <w:szCs w:val="16"/>
              </w:rPr>
              <w:t xml:space="preserve"> </w:t>
            </w:r>
            <w:r>
              <w:rPr>
                <w:szCs w:val="16"/>
              </w:rPr>
              <w:br/>
            </w:r>
            <w:r w:rsidRPr="009A4312">
              <w:rPr>
                <w:szCs w:val="16"/>
              </w:rPr>
              <w:t>Export</w:t>
            </w:r>
            <w:r>
              <w:rPr>
                <w:szCs w:val="16"/>
              </w:rPr>
              <w:t xml:space="preserve"> value</w:t>
            </w:r>
            <w:r w:rsidRPr="00E4232C">
              <w:rPr>
                <w:rStyle w:val="NoteLabel"/>
              </w:rPr>
              <w:t xml:space="preserve"> </w:t>
            </w:r>
            <w:r w:rsidRPr="00A04269">
              <w:rPr>
                <w:rStyle w:val="NoteLabel"/>
                <w:color w:val="FFFFFF" w:themeColor="background1"/>
              </w:rPr>
              <w:t>a</w:t>
            </w:r>
            <w:r>
              <w:rPr>
                <w:rStyle w:val="NoteLabel"/>
                <w:color w:val="FFFFFF" w:themeColor="background1"/>
              </w:rPr>
              <w:br/>
              <w:t>$m</w:t>
            </w:r>
          </w:p>
        </w:tc>
        <w:tc>
          <w:tcPr>
            <w:tcW w:w="835" w:type="dxa"/>
            <w:shd w:val="clear" w:color="auto" w:fill="6F6652"/>
            <w:noWrap/>
            <w:tcMar>
              <w:left w:w="57" w:type="dxa"/>
              <w:right w:w="57" w:type="dxa"/>
            </w:tcMar>
            <w:vAlign w:val="center"/>
            <w:hideMark/>
          </w:tcPr>
          <w:p w14:paraId="0FAB3442" w14:textId="77777777" w:rsidR="00D97107" w:rsidRPr="009A4312" w:rsidRDefault="00D97107" w:rsidP="006468FC">
            <w:pPr>
              <w:pStyle w:val="TableDataColumnHeading"/>
              <w:jc w:val="center"/>
              <w:rPr>
                <w:szCs w:val="16"/>
              </w:rPr>
            </w:pPr>
            <w:r w:rsidRPr="009A4312">
              <w:rPr>
                <w:szCs w:val="16"/>
              </w:rPr>
              <w:t>Previous</w:t>
            </w:r>
            <w:r>
              <w:rPr>
                <w:szCs w:val="16"/>
              </w:rPr>
              <w:t xml:space="preserve"> analysis: Export s</w:t>
            </w:r>
            <w:r w:rsidRPr="009A4312">
              <w:rPr>
                <w:szCs w:val="16"/>
              </w:rPr>
              <w:t>hare</w:t>
            </w:r>
            <w:r>
              <w:rPr>
                <w:szCs w:val="16"/>
              </w:rPr>
              <w:br/>
              <w:t>%</w:t>
            </w:r>
          </w:p>
        </w:tc>
        <w:tc>
          <w:tcPr>
            <w:tcW w:w="835" w:type="dxa"/>
            <w:shd w:val="clear" w:color="auto" w:fill="6F6652"/>
            <w:noWrap/>
            <w:tcMar>
              <w:left w:w="57" w:type="dxa"/>
              <w:right w:w="57" w:type="dxa"/>
            </w:tcMar>
            <w:vAlign w:val="center"/>
            <w:hideMark/>
          </w:tcPr>
          <w:p w14:paraId="360075AF" w14:textId="77777777" w:rsidR="00D97107" w:rsidRPr="009A4312" w:rsidRDefault="00D97107" w:rsidP="006468FC">
            <w:pPr>
              <w:pStyle w:val="TableDataColumnHeading"/>
              <w:jc w:val="center"/>
              <w:rPr>
                <w:szCs w:val="16"/>
              </w:rPr>
            </w:pPr>
            <w:r w:rsidRPr="009A4312">
              <w:rPr>
                <w:szCs w:val="16"/>
              </w:rPr>
              <w:t>Previous</w:t>
            </w:r>
            <w:r>
              <w:rPr>
                <w:szCs w:val="16"/>
              </w:rPr>
              <w:t xml:space="preserve"> analysis: </w:t>
            </w:r>
            <w:r w:rsidRPr="009A4312">
              <w:rPr>
                <w:szCs w:val="16"/>
              </w:rPr>
              <w:t>MFN</w:t>
            </w:r>
            <w:r>
              <w:rPr>
                <w:szCs w:val="16"/>
              </w:rPr>
              <w:br/>
              <w:t>%</w:t>
            </w:r>
          </w:p>
        </w:tc>
        <w:tc>
          <w:tcPr>
            <w:tcW w:w="859" w:type="dxa"/>
            <w:shd w:val="clear" w:color="auto" w:fill="6F6652"/>
            <w:noWrap/>
            <w:tcMar>
              <w:left w:w="57" w:type="dxa"/>
              <w:right w:w="57" w:type="dxa"/>
            </w:tcMar>
            <w:vAlign w:val="center"/>
            <w:hideMark/>
          </w:tcPr>
          <w:p w14:paraId="4AAF8CC5" w14:textId="77777777" w:rsidR="00D97107" w:rsidRPr="009A4312" w:rsidRDefault="00D97107" w:rsidP="006468FC">
            <w:pPr>
              <w:pStyle w:val="TableDataColumnHeading"/>
              <w:jc w:val="center"/>
              <w:rPr>
                <w:szCs w:val="16"/>
              </w:rPr>
            </w:pPr>
            <w:r>
              <w:rPr>
                <w:szCs w:val="16"/>
              </w:rPr>
              <w:t>This u</w:t>
            </w:r>
            <w:r w:rsidRPr="009A4312">
              <w:rPr>
                <w:szCs w:val="16"/>
              </w:rPr>
              <w:t>pdate</w:t>
            </w:r>
            <w:r>
              <w:rPr>
                <w:szCs w:val="16"/>
              </w:rPr>
              <w:t>:</w:t>
            </w:r>
            <w:r w:rsidRPr="009A4312">
              <w:rPr>
                <w:szCs w:val="16"/>
              </w:rPr>
              <w:t xml:space="preserve"> Export</w:t>
            </w:r>
            <w:r>
              <w:rPr>
                <w:szCs w:val="16"/>
              </w:rPr>
              <w:t xml:space="preserve"> value</w:t>
            </w:r>
            <w:r w:rsidRPr="00A04269">
              <w:rPr>
                <w:rStyle w:val="NoteLabel"/>
                <w:color w:val="FFFFFF" w:themeColor="background1"/>
              </w:rPr>
              <w:t xml:space="preserve"> </w:t>
            </w:r>
            <w:r>
              <w:rPr>
                <w:rStyle w:val="NoteLabel"/>
                <w:color w:val="FFFFFF" w:themeColor="background1"/>
              </w:rPr>
              <w:t>b</w:t>
            </w:r>
            <w:r>
              <w:rPr>
                <w:rStyle w:val="NoteLabel"/>
                <w:color w:val="FFFFFF" w:themeColor="background1"/>
              </w:rPr>
              <w:br/>
              <w:t>$m</w:t>
            </w:r>
          </w:p>
        </w:tc>
        <w:tc>
          <w:tcPr>
            <w:tcW w:w="835" w:type="dxa"/>
            <w:shd w:val="clear" w:color="auto" w:fill="6F6652"/>
            <w:noWrap/>
            <w:tcMar>
              <w:left w:w="57" w:type="dxa"/>
              <w:right w:w="57" w:type="dxa"/>
            </w:tcMar>
            <w:vAlign w:val="center"/>
            <w:hideMark/>
          </w:tcPr>
          <w:p w14:paraId="4BB8455F" w14:textId="77777777" w:rsidR="00D97107" w:rsidRPr="009A4312" w:rsidRDefault="00D97107" w:rsidP="006468FC">
            <w:pPr>
              <w:pStyle w:val="TableDataColumnHeading"/>
              <w:jc w:val="center"/>
              <w:rPr>
                <w:szCs w:val="16"/>
              </w:rPr>
            </w:pPr>
            <w:r>
              <w:rPr>
                <w:szCs w:val="16"/>
              </w:rPr>
              <w:t>This u</w:t>
            </w:r>
            <w:r w:rsidRPr="009A4312">
              <w:rPr>
                <w:szCs w:val="16"/>
              </w:rPr>
              <w:t>pdate</w:t>
            </w:r>
            <w:r>
              <w:rPr>
                <w:szCs w:val="16"/>
              </w:rPr>
              <w:t>: Export s</w:t>
            </w:r>
            <w:r w:rsidRPr="009A4312">
              <w:rPr>
                <w:szCs w:val="16"/>
              </w:rPr>
              <w:t>hare</w:t>
            </w:r>
            <w:r>
              <w:rPr>
                <w:szCs w:val="16"/>
              </w:rPr>
              <w:br/>
              <w:t>%</w:t>
            </w:r>
          </w:p>
        </w:tc>
        <w:tc>
          <w:tcPr>
            <w:tcW w:w="1044" w:type="dxa"/>
            <w:shd w:val="clear" w:color="auto" w:fill="6F6652"/>
            <w:noWrap/>
            <w:tcMar>
              <w:left w:w="57" w:type="dxa"/>
              <w:right w:w="57" w:type="dxa"/>
            </w:tcMar>
            <w:vAlign w:val="center"/>
            <w:hideMark/>
          </w:tcPr>
          <w:p w14:paraId="774A2540" w14:textId="77777777" w:rsidR="00D97107" w:rsidRPr="009A4312" w:rsidRDefault="00D97107" w:rsidP="006468FC">
            <w:pPr>
              <w:pStyle w:val="TableDataColumnHeading"/>
              <w:jc w:val="center"/>
              <w:rPr>
                <w:szCs w:val="16"/>
              </w:rPr>
            </w:pPr>
            <w:r>
              <w:rPr>
                <w:szCs w:val="16"/>
              </w:rPr>
              <w:t>This u</w:t>
            </w:r>
            <w:r w:rsidRPr="009A4312">
              <w:rPr>
                <w:szCs w:val="16"/>
              </w:rPr>
              <w:t>pdate</w:t>
            </w:r>
            <w:r>
              <w:rPr>
                <w:szCs w:val="16"/>
              </w:rPr>
              <w:t>:</w:t>
            </w:r>
            <w:r w:rsidRPr="009A4312">
              <w:rPr>
                <w:szCs w:val="16"/>
              </w:rPr>
              <w:t xml:space="preserve"> Base </w:t>
            </w:r>
            <w:r>
              <w:rPr>
                <w:szCs w:val="16"/>
              </w:rPr>
              <w:t xml:space="preserve">tariff </w:t>
            </w:r>
            <w:r w:rsidRPr="009A4312">
              <w:rPr>
                <w:szCs w:val="16"/>
              </w:rPr>
              <w:t>rate</w:t>
            </w:r>
            <w:r>
              <w:rPr>
                <w:szCs w:val="16"/>
              </w:rPr>
              <w:br/>
              <w:t>%</w:t>
            </w:r>
          </w:p>
        </w:tc>
      </w:tr>
      <w:tr w:rsidR="008F42F2" w:rsidRPr="00EB0620" w14:paraId="17F7B81F" w14:textId="77777777" w:rsidTr="008F42F2">
        <w:trPr>
          <w:trHeight w:val="216"/>
        </w:trPr>
        <w:tc>
          <w:tcPr>
            <w:tcW w:w="266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2E9EBA1" w14:textId="77777777" w:rsidR="008F42F2" w:rsidRPr="00EB0620" w:rsidRDefault="008F42F2" w:rsidP="00EB0620">
            <w:pPr>
              <w:pStyle w:val="TableDataEntries"/>
              <w:jc w:val="left"/>
              <w:rPr>
                <w:rFonts w:ascii="Franklin Gothic Demi" w:hAnsi="Franklin Gothic Demi"/>
              </w:rPr>
            </w:pPr>
            <w:r w:rsidRPr="00EB0620">
              <w:rPr>
                <w:rFonts w:ascii="Franklin Gothic Demi" w:hAnsi="Franklin Gothic Demi"/>
              </w:rPr>
              <w:t>Total/Average of all commodities</w:t>
            </w:r>
          </w:p>
        </w:tc>
        <w:tc>
          <w:tcPr>
            <w:tcW w:w="86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30173B3" w14:textId="77777777" w:rsidR="008F42F2" w:rsidRPr="00EB0620" w:rsidRDefault="008F42F2" w:rsidP="00EB0620">
            <w:pPr>
              <w:pStyle w:val="TableDataEntries"/>
              <w:rPr>
                <w:rFonts w:ascii="Franklin Gothic Demi" w:hAnsi="Franklin Gothic Demi"/>
              </w:rPr>
            </w:pPr>
            <w:r w:rsidRPr="00EB0620">
              <w:rPr>
                <w:rFonts w:ascii="Franklin Gothic Demi" w:hAnsi="Franklin Gothic Demi"/>
              </w:rPr>
              <w:t>3,465.77</w:t>
            </w:r>
          </w:p>
        </w:tc>
        <w:tc>
          <w:tcPr>
            <w:tcW w:w="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9C08FAB" w14:textId="77777777" w:rsidR="008F42F2" w:rsidRPr="00EB0620" w:rsidRDefault="008F42F2" w:rsidP="00EB0620">
            <w:pPr>
              <w:pStyle w:val="TableDataEntries"/>
              <w:rPr>
                <w:rFonts w:ascii="Franklin Gothic Demi" w:hAnsi="Franklin Gothic Demi"/>
              </w:rPr>
            </w:pPr>
            <w:r w:rsidRPr="00EB0620">
              <w:rPr>
                <w:rFonts w:ascii="Franklin Gothic Demi" w:hAnsi="Franklin Gothic Demi"/>
              </w:rPr>
              <w:t>100.00</w:t>
            </w:r>
          </w:p>
        </w:tc>
        <w:tc>
          <w:tcPr>
            <w:tcW w:w="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B544D7E" w14:textId="77777777" w:rsidR="008F42F2" w:rsidRPr="00EB0620" w:rsidRDefault="008F42F2" w:rsidP="00EB0620">
            <w:pPr>
              <w:pStyle w:val="TableDataEntries"/>
              <w:rPr>
                <w:rFonts w:ascii="Franklin Gothic Demi" w:hAnsi="Franklin Gothic Demi"/>
              </w:rPr>
            </w:pPr>
            <w:r w:rsidRPr="00EB0620">
              <w:rPr>
                <w:rFonts w:ascii="Franklin Gothic Demi" w:hAnsi="Franklin Gothic Demi"/>
              </w:rPr>
              <w:t>3.60</w:t>
            </w:r>
          </w:p>
        </w:tc>
        <w:tc>
          <w:tcPr>
            <w:tcW w:w="8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D93FDF2" w14:textId="77777777" w:rsidR="008F42F2" w:rsidRPr="00EB0620" w:rsidRDefault="008F42F2" w:rsidP="00EB0620">
            <w:pPr>
              <w:pStyle w:val="TableDataEntries"/>
              <w:rPr>
                <w:rFonts w:ascii="Franklin Gothic Demi" w:hAnsi="Franklin Gothic Demi"/>
              </w:rPr>
            </w:pPr>
            <w:r w:rsidRPr="00EB0620">
              <w:rPr>
                <w:rFonts w:ascii="Franklin Gothic Demi" w:hAnsi="Franklin Gothic Demi"/>
              </w:rPr>
              <w:t>4,229.77</w:t>
            </w:r>
          </w:p>
        </w:tc>
        <w:tc>
          <w:tcPr>
            <w:tcW w:w="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181F73D" w14:textId="77777777" w:rsidR="008F42F2" w:rsidRPr="00EB0620" w:rsidRDefault="008F42F2" w:rsidP="00EB0620">
            <w:pPr>
              <w:pStyle w:val="TableDataEntries"/>
              <w:rPr>
                <w:rFonts w:ascii="Franklin Gothic Demi" w:hAnsi="Franklin Gothic Demi"/>
              </w:rPr>
            </w:pPr>
            <w:r w:rsidRPr="00EB0620">
              <w:rPr>
                <w:rFonts w:ascii="Franklin Gothic Demi" w:hAnsi="Franklin Gothic Demi"/>
              </w:rPr>
              <w:t>100.00</w:t>
            </w:r>
          </w:p>
        </w:tc>
        <w:tc>
          <w:tcPr>
            <w:tcW w:w="104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21F6E68F" w14:textId="058568AB" w:rsidR="008F42F2" w:rsidRPr="00EB0620" w:rsidRDefault="008F42F2" w:rsidP="00EB0620">
            <w:pPr>
              <w:pStyle w:val="TableDataEntries"/>
              <w:rPr>
                <w:rFonts w:ascii="Franklin Gothic Demi" w:hAnsi="Franklin Gothic Demi"/>
              </w:rPr>
            </w:pPr>
            <w:r w:rsidRPr="00EB0620">
              <w:rPr>
                <w:rFonts w:ascii="Franklin Gothic Demi" w:hAnsi="Franklin Gothic Demi"/>
                <w:szCs w:val="16"/>
              </w:rPr>
              <w:t>3.50</w:t>
            </w:r>
          </w:p>
        </w:tc>
      </w:tr>
    </w:tbl>
    <w:p w14:paraId="1C6B8D10" w14:textId="19C0E6B2" w:rsidR="008B6C30" w:rsidRPr="00E4232C" w:rsidRDefault="008B6C30" w:rsidP="00BE6147">
      <w:pPr>
        <w:pStyle w:val="Note"/>
      </w:pPr>
      <w:proofErr w:type="spellStart"/>
      <w:proofErr w:type="gramStart"/>
      <w:r w:rsidRPr="00E4232C">
        <w:rPr>
          <w:rStyle w:val="NoteLabel"/>
        </w:rPr>
        <w:t>a</w:t>
      </w:r>
      <w:proofErr w:type="spellEnd"/>
      <w:proofErr w:type="gramEnd"/>
      <w:r>
        <w:t xml:space="preserve"> </w:t>
      </w:r>
      <w:r w:rsidR="00717E55">
        <w:t xml:space="preserve">Average value of Australia’s exports to the UAE from 2015 to 2019; </w:t>
      </w:r>
      <w:r w:rsidR="00717E55">
        <w:rPr>
          <w:rStyle w:val="NoteLabel"/>
        </w:rPr>
        <w:t>b</w:t>
      </w:r>
      <w:r w:rsidR="00717E55">
        <w:t xml:space="preserve"> Average value of Australia’s exports to the UAE from 2021 to 20</w:t>
      </w:r>
      <w:r w:rsidR="006E6D23">
        <w:t>23</w:t>
      </w:r>
    </w:p>
    <w:p w14:paraId="7D36447E" w14:textId="43E45FCC" w:rsidR="008B6C30" w:rsidRDefault="008B6C30" w:rsidP="008B6C30">
      <w:pPr>
        <w:pStyle w:val="Source"/>
        <w:rPr>
          <w:lang w:bidi="fa-IR"/>
        </w:rPr>
      </w:pPr>
      <w:r w:rsidRPr="008B6C30">
        <w:rPr>
          <w:i/>
          <w:lang w:bidi="fa-IR"/>
        </w:rPr>
        <w:t>Source:</w:t>
      </w:r>
      <w:r>
        <w:rPr>
          <w:lang w:bidi="fa-IR"/>
        </w:rPr>
        <w:t xml:space="preserve"> </w:t>
      </w:r>
      <w:r w:rsidR="006E6D23">
        <w:rPr>
          <w:lang w:bidi="fa-IR"/>
        </w:rPr>
        <w:t>CIE compilation based on DFAT and WTO data</w:t>
      </w:r>
    </w:p>
    <w:p w14:paraId="15B3ACA5" w14:textId="7F0F6B76" w:rsidR="005A66C4" w:rsidRDefault="005A66C4" w:rsidP="005A66C4">
      <w:pPr>
        <w:pStyle w:val="BodyText"/>
        <w:rPr>
          <w:lang w:bidi="fa-IR"/>
        </w:rPr>
      </w:pPr>
      <w:r>
        <w:rPr>
          <w:lang w:bidi="fa-IR"/>
        </w:rPr>
        <w:t>Overall, the average tariff rate for all Australian exports to the UAE is lower in this update – 3.</w:t>
      </w:r>
      <w:r w:rsidR="00871D84">
        <w:rPr>
          <w:lang w:bidi="fa-IR"/>
        </w:rPr>
        <w:t>5</w:t>
      </w:r>
      <w:r>
        <w:rPr>
          <w:lang w:bidi="fa-IR"/>
        </w:rPr>
        <w:t xml:space="preserve"> per cent versus 3.6 per cent previously.</w:t>
      </w:r>
    </w:p>
    <w:p w14:paraId="28F2E23A" w14:textId="77777777" w:rsidR="005A66C4" w:rsidRDefault="005A66C4" w:rsidP="005A66C4">
      <w:pPr>
        <w:pStyle w:val="BodyText"/>
        <w:rPr>
          <w:lang w:bidi="fa-IR"/>
        </w:rPr>
      </w:pPr>
      <w:r>
        <w:rPr>
          <w:lang w:bidi="fa-IR"/>
        </w:rPr>
        <w:t>The higher export value and different export structure have implications to the changes in the estimated impacts.</w:t>
      </w:r>
    </w:p>
    <w:p w14:paraId="49D8CEBE" w14:textId="0157E3CB" w:rsidR="0081105B" w:rsidRDefault="003448BE" w:rsidP="00E741E8">
      <w:pPr>
        <w:pStyle w:val="BodyText"/>
        <w:rPr>
          <w:lang w:bidi="fa-IR"/>
        </w:rPr>
      </w:pPr>
      <w:r>
        <w:rPr>
          <w:lang w:bidi="fa-IR"/>
        </w:rPr>
        <w:t xml:space="preserve">It should be </w:t>
      </w:r>
      <w:r w:rsidR="00F7672C">
        <w:rPr>
          <w:lang w:bidi="fa-IR"/>
        </w:rPr>
        <w:t>noted</w:t>
      </w:r>
      <w:r>
        <w:rPr>
          <w:lang w:bidi="fa-IR"/>
        </w:rPr>
        <w:t xml:space="preserve"> that,</w:t>
      </w:r>
      <w:r w:rsidR="00D36A6F">
        <w:rPr>
          <w:lang w:bidi="fa-IR"/>
        </w:rPr>
        <w:t xml:space="preserve"> while we are using a </w:t>
      </w:r>
      <w:r w:rsidR="00C76FE7">
        <w:rPr>
          <w:lang w:bidi="fa-IR"/>
        </w:rPr>
        <w:t>different set of tariff schedules provided by DFAT as the base tariff rate</w:t>
      </w:r>
      <w:r w:rsidR="00DE4F67">
        <w:rPr>
          <w:lang w:bidi="fa-IR"/>
        </w:rPr>
        <w:t xml:space="preserve"> (excluding those commodities marked as ‘prohibited’ or ‘special goods’</w:t>
      </w:r>
      <w:r w:rsidR="00DE4F67">
        <w:rPr>
          <w:rStyle w:val="FootnoteReference"/>
          <w:lang w:bidi="fa-IR"/>
        </w:rPr>
        <w:footnoteReference w:id="4"/>
      </w:r>
      <w:r w:rsidR="00DE4F67">
        <w:rPr>
          <w:lang w:bidi="fa-IR"/>
        </w:rPr>
        <w:t>)</w:t>
      </w:r>
      <w:r w:rsidR="00C76FE7">
        <w:rPr>
          <w:lang w:bidi="fa-IR"/>
        </w:rPr>
        <w:t xml:space="preserve">, </w:t>
      </w:r>
      <w:r w:rsidR="00A36956">
        <w:rPr>
          <w:lang w:bidi="fa-IR"/>
        </w:rPr>
        <w:t>the difference to the MFN rates used previously is very small</w:t>
      </w:r>
      <w:r w:rsidR="007638C3">
        <w:rPr>
          <w:lang w:bidi="fa-IR"/>
        </w:rPr>
        <w:t>.</w:t>
      </w:r>
      <w:r w:rsidR="00A36956">
        <w:rPr>
          <w:lang w:bidi="fa-IR"/>
        </w:rPr>
        <w:t xml:space="preserve"> </w:t>
      </w:r>
      <w:r w:rsidR="007638C3">
        <w:rPr>
          <w:lang w:bidi="fa-IR"/>
        </w:rPr>
        <w:t>I</w:t>
      </w:r>
      <w:r w:rsidR="00A36956">
        <w:rPr>
          <w:lang w:bidi="fa-IR"/>
        </w:rPr>
        <w:t>f using the same export profile</w:t>
      </w:r>
      <w:r w:rsidR="00B047C8">
        <w:rPr>
          <w:lang w:bidi="fa-IR"/>
        </w:rPr>
        <w:t xml:space="preserve"> of 2021 to 2023, </w:t>
      </w:r>
      <w:r w:rsidR="005A43F3">
        <w:rPr>
          <w:lang w:bidi="fa-IR"/>
        </w:rPr>
        <w:t xml:space="preserve">the weighted average MFN rate is </w:t>
      </w:r>
      <w:r w:rsidR="007B2272">
        <w:rPr>
          <w:lang w:bidi="fa-IR"/>
        </w:rPr>
        <w:t>very close</w:t>
      </w:r>
      <w:r w:rsidR="006F6224">
        <w:rPr>
          <w:lang w:bidi="fa-IR"/>
        </w:rPr>
        <w:t xml:space="preserve"> – 3.48 per cent versus 3.</w:t>
      </w:r>
      <w:r w:rsidR="00DE4F67">
        <w:rPr>
          <w:lang w:bidi="fa-IR"/>
        </w:rPr>
        <w:t>50</w:t>
      </w:r>
      <w:r w:rsidR="006F6224">
        <w:rPr>
          <w:lang w:bidi="fa-IR"/>
        </w:rPr>
        <w:t xml:space="preserve"> per cent reported in table </w:t>
      </w:r>
      <w:r w:rsidR="006F6224">
        <w:rPr>
          <w:lang w:bidi="fa-IR"/>
        </w:rPr>
        <w:fldChar w:fldCharType="begin"/>
      </w:r>
      <w:r w:rsidR="006F6224">
        <w:rPr>
          <w:lang w:bidi="fa-IR"/>
        </w:rPr>
        <w:instrText xml:space="preserve"> REF _Caption1318 </w:instrText>
      </w:r>
      <w:r w:rsidR="006F6224">
        <w:rPr>
          <w:lang w:bidi="fa-IR"/>
        </w:rPr>
        <w:fldChar w:fldCharType="separate"/>
      </w:r>
      <w:r w:rsidR="00586CBD">
        <w:rPr>
          <w:noProof/>
        </w:rPr>
        <w:t>1</w:t>
      </w:r>
      <w:r w:rsidR="006F6224">
        <w:rPr>
          <w:lang w:bidi="fa-IR"/>
        </w:rPr>
        <w:fldChar w:fldCharType="end"/>
      </w:r>
      <w:r w:rsidR="00A36956">
        <w:rPr>
          <w:lang w:bidi="fa-IR"/>
        </w:rPr>
        <w:t>.</w:t>
      </w:r>
    </w:p>
    <w:p w14:paraId="515A1B15" w14:textId="3C8AB715" w:rsidR="00E741E8" w:rsidRDefault="00E741E8" w:rsidP="00AD1001">
      <w:pPr>
        <w:pStyle w:val="Heading2"/>
        <w:rPr>
          <w:lang w:bidi="fa-IR"/>
        </w:rPr>
      </w:pPr>
      <w:bookmarkStart w:id="11" w:name="_Toc175649972"/>
      <w:r>
        <w:rPr>
          <w:lang w:bidi="fa-IR"/>
        </w:rPr>
        <w:t>Updated results</w:t>
      </w:r>
      <w:bookmarkEnd w:id="11"/>
    </w:p>
    <w:p w14:paraId="591652C1" w14:textId="36BCF55A" w:rsidR="00E741E8" w:rsidRDefault="00F2364B" w:rsidP="00E741E8">
      <w:pPr>
        <w:pStyle w:val="BodyText"/>
        <w:rPr>
          <w:lang w:bidi="fa-IR"/>
        </w:rPr>
      </w:pPr>
      <w:r>
        <w:rPr>
          <w:lang w:bidi="fa-IR"/>
        </w:rPr>
        <w:t xml:space="preserve">With </w:t>
      </w:r>
      <w:r w:rsidR="00705704">
        <w:rPr>
          <w:lang w:bidi="fa-IR"/>
        </w:rPr>
        <w:t xml:space="preserve">the new inputs, </w:t>
      </w:r>
      <w:r w:rsidR="00423DE6">
        <w:rPr>
          <w:lang w:bidi="fa-IR"/>
        </w:rPr>
        <w:t xml:space="preserve">the estimated increase in Australian exports to the UAE </w:t>
      </w:r>
      <w:r w:rsidR="00F545A0">
        <w:rPr>
          <w:lang w:bidi="fa-IR"/>
        </w:rPr>
        <w:t>could be as high as</w:t>
      </w:r>
      <w:r w:rsidR="00423DE6">
        <w:rPr>
          <w:lang w:bidi="fa-IR"/>
        </w:rPr>
        <w:t xml:space="preserve"> </w:t>
      </w:r>
      <w:r w:rsidR="0046663A">
        <w:rPr>
          <w:lang w:bidi="fa-IR"/>
        </w:rPr>
        <w:t>$6</w:t>
      </w:r>
      <w:r w:rsidR="00DE4F67">
        <w:rPr>
          <w:lang w:bidi="fa-IR"/>
        </w:rPr>
        <w:t>78</w:t>
      </w:r>
      <w:r w:rsidR="0046663A">
        <w:rPr>
          <w:lang w:bidi="fa-IR"/>
        </w:rPr>
        <w:t xml:space="preserve"> million per year following a</w:t>
      </w:r>
      <w:r w:rsidR="002679E7">
        <w:rPr>
          <w:lang w:bidi="fa-IR"/>
        </w:rPr>
        <w:t xml:space="preserve">n FTA with the UAE (table </w:t>
      </w:r>
      <w:r w:rsidR="002679E7">
        <w:rPr>
          <w:lang w:bidi="fa-IR"/>
        </w:rPr>
        <w:fldChar w:fldCharType="begin"/>
      </w:r>
      <w:r w:rsidR="002679E7">
        <w:rPr>
          <w:lang w:bidi="fa-IR"/>
        </w:rPr>
        <w:instrText xml:space="preserve"> REF _Caption9714 </w:instrText>
      </w:r>
      <w:r w:rsidR="002679E7">
        <w:rPr>
          <w:lang w:bidi="fa-IR"/>
        </w:rPr>
        <w:fldChar w:fldCharType="separate"/>
      </w:r>
      <w:r w:rsidR="00586CBD">
        <w:rPr>
          <w:noProof/>
        </w:rPr>
        <w:t>2</w:t>
      </w:r>
      <w:r w:rsidR="002679E7">
        <w:rPr>
          <w:lang w:bidi="fa-IR"/>
        </w:rPr>
        <w:fldChar w:fldCharType="end"/>
      </w:r>
      <w:r w:rsidR="002679E7">
        <w:rPr>
          <w:lang w:bidi="fa-IR"/>
        </w:rPr>
        <w:t>)</w:t>
      </w:r>
      <w:r w:rsidR="00A55EE4">
        <w:rPr>
          <w:lang w:bidi="fa-IR"/>
        </w:rPr>
        <w:t xml:space="preserve"> </w:t>
      </w:r>
      <w:r w:rsidR="00F545A0">
        <w:rPr>
          <w:lang w:bidi="fa-IR"/>
        </w:rPr>
        <w:t xml:space="preserve">– </w:t>
      </w:r>
      <w:r w:rsidR="00A55EE4">
        <w:rPr>
          <w:lang w:bidi="fa-IR"/>
        </w:rPr>
        <w:t>an increase of 3</w:t>
      </w:r>
      <w:r w:rsidR="00DE4F67">
        <w:rPr>
          <w:lang w:bidi="fa-IR"/>
        </w:rPr>
        <w:t>7.7</w:t>
      </w:r>
      <w:r w:rsidR="00A55EE4">
        <w:rPr>
          <w:lang w:bidi="fa-IR"/>
        </w:rPr>
        <w:t xml:space="preserve"> per cent from previous estimates.</w:t>
      </w:r>
    </w:p>
    <w:p w14:paraId="72C5EF7E" w14:textId="3DAB4B77" w:rsidR="00AB0DCF" w:rsidRDefault="00AB0DCF" w:rsidP="00AB0DCF">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Pr="00695C93">
        <w:instrText>B</w:instrText>
      </w:r>
      <w:r>
        <w:fldChar w:fldCharType="end"/>
      </w:r>
      <w:r w:rsidRPr="00695C93">
        <w:instrText xml:space="preserve">." </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end"/>
      </w:r>
      <w:r w:rsidRPr="00695C93">
        <w:instrText xml:space="preserve"> </w:instrText>
      </w:r>
      <w:r w:rsidRPr="00695C93">
        <w:fldChar w:fldCharType="separate"/>
      </w:r>
      <w:r w:rsidR="00586CBD">
        <w:rPr>
          <w:noProof/>
        </w:rPr>
        <w:instrText>2</w:instrText>
      </w:r>
      <w:r w:rsidRPr="00695C93">
        <w:fldChar w:fldCharType="end"/>
      </w:r>
      <w:r w:rsidRPr="00695C93">
        <w:instrText xml:space="preserve">" "" </w:instrText>
      </w:r>
      <w:r w:rsidRPr="00695C93">
        <w:fldChar w:fldCharType="separate"/>
      </w:r>
      <w:bookmarkStart w:id="12" w:name="_Caption5136"/>
      <w:bookmarkStart w:id="13" w:name="_Caption2794"/>
      <w:bookmarkStart w:id="14" w:name="_Caption9714"/>
      <w:bookmarkStart w:id="15" w:name="_Caption5453"/>
      <w:bookmarkStart w:id="16" w:name="_Caption0576"/>
      <w:bookmarkStart w:id="17" w:name="_Caption8130"/>
      <w:bookmarkStart w:id="18" w:name="_Toc175649962"/>
      <w:r w:rsidR="00586CBD">
        <w:rPr>
          <w:noProof/>
        </w:rPr>
        <w:t>2</w:t>
      </w:r>
      <w:bookmarkEnd w:id="12"/>
      <w:bookmarkEnd w:id="13"/>
      <w:bookmarkEnd w:id="14"/>
      <w:bookmarkEnd w:id="15"/>
      <w:bookmarkEnd w:id="16"/>
      <w:bookmarkEnd w:id="17"/>
      <w:r w:rsidRPr="00695C93">
        <w:fldChar w:fldCharType="end"/>
      </w:r>
      <w:r w:rsidRPr="00695C93">
        <w:tab/>
      </w:r>
      <w:r w:rsidR="00705704">
        <w:t>Updated table 5.7: estimated annual increase in Australian exports to UAE</w:t>
      </w:r>
      <w:bookmarkEnd w:id="18"/>
    </w:p>
    <w:tbl>
      <w:tblPr>
        <w:tblW w:w="7936" w:type="dxa"/>
        <w:tblLook w:val="04A0" w:firstRow="1" w:lastRow="0" w:firstColumn="1" w:lastColumn="0" w:noHBand="0" w:noVBand="1"/>
      </w:tblPr>
      <w:tblGrid>
        <w:gridCol w:w="3608"/>
        <w:gridCol w:w="1082"/>
        <w:gridCol w:w="1082"/>
        <w:gridCol w:w="1082"/>
        <w:gridCol w:w="1082"/>
      </w:tblGrid>
      <w:tr w:rsidR="00AB0DCF" w:rsidRPr="001008E1" w14:paraId="494B494D" w14:textId="77777777" w:rsidTr="0032436C">
        <w:trPr>
          <w:trHeight w:val="876"/>
          <w:tblHeader/>
        </w:trPr>
        <w:tc>
          <w:tcPr>
            <w:tcW w:w="3608" w:type="dxa"/>
            <w:shd w:val="clear" w:color="auto" w:fill="6F6652"/>
            <w:noWrap/>
            <w:tcMar>
              <w:left w:w="57" w:type="dxa"/>
              <w:right w:w="57" w:type="dxa"/>
            </w:tcMar>
            <w:hideMark/>
          </w:tcPr>
          <w:p w14:paraId="0506EF22" w14:textId="137CBFDC" w:rsidR="001008E1" w:rsidRPr="001008E1" w:rsidRDefault="00ED4CE7" w:rsidP="00AB0DCF">
            <w:pPr>
              <w:pStyle w:val="TableDataColumnHeading"/>
              <w:jc w:val="left"/>
            </w:pPr>
            <w:r w:rsidRPr="001008E1">
              <w:t>Agricultural products</w:t>
            </w:r>
          </w:p>
        </w:tc>
        <w:tc>
          <w:tcPr>
            <w:tcW w:w="1082" w:type="dxa"/>
            <w:shd w:val="clear" w:color="auto" w:fill="6F6652"/>
            <w:tcMar>
              <w:left w:w="57" w:type="dxa"/>
              <w:right w:w="57" w:type="dxa"/>
            </w:tcMar>
            <w:vAlign w:val="center"/>
            <w:hideMark/>
          </w:tcPr>
          <w:p w14:paraId="76108D4B" w14:textId="7DE1EFC7" w:rsidR="001008E1" w:rsidRPr="00E95F89" w:rsidRDefault="001008E1" w:rsidP="0032436C">
            <w:pPr>
              <w:pStyle w:val="TableDataColumnHeading"/>
              <w:jc w:val="center"/>
              <w:rPr>
                <w:szCs w:val="16"/>
              </w:rPr>
            </w:pPr>
            <w:r w:rsidRPr="00E95F89">
              <w:rPr>
                <w:szCs w:val="16"/>
              </w:rPr>
              <w:t>Potential offer to Australia</w:t>
            </w:r>
            <w:r w:rsidR="0087158B" w:rsidRPr="00E4232C">
              <w:rPr>
                <w:rStyle w:val="NoteLabel"/>
              </w:rPr>
              <w:t xml:space="preserve"> </w:t>
            </w:r>
            <w:r w:rsidR="0087158B" w:rsidRPr="0087158B">
              <w:rPr>
                <w:rStyle w:val="NoteLabel"/>
                <w:color w:val="FFFFFF" w:themeColor="background1"/>
              </w:rPr>
              <w:t>a</w:t>
            </w:r>
            <w:r w:rsidR="00ED4CE7">
              <w:rPr>
                <w:rStyle w:val="NoteLabel"/>
                <w:color w:val="FFFFFF" w:themeColor="background1"/>
              </w:rPr>
              <w:br/>
              <w:t>$m</w:t>
            </w:r>
          </w:p>
        </w:tc>
        <w:tc>
          <w:tcPr>
            <w:tcW w:w="1082" w:type="dxa"/>
            <w:shd w:val="clear" w:color="auto" w:fill="6F6652"/>
            <w:tcMar>
              <w:left w:w="57" w:type="dxa"/>
              <w:right w:w="57" w:type="dxa"/>
            </w:tcMar>
            <w:vAlign w:val="center"/>
            <w:hideMark/>
          </w:tcPr>
          <w:p w14:paraId="74095AF2" w14:textId="4B42AE32" w:rsidR="001008E1" w:rsidRPr="00E95F89" w:rsidRDefault="001008E1" w:rsidP="0032436C">
            <w:pPr>
              <w:pStyle w:val="TableDataColumnHeading"/>
              <w:jc w:val="center"/>
              <w:rPr>
                <w:szCs w:val="16"/>
              </w:rPr>
            </w:pPr>
            <w:r w:rsidRPr="00E95F89">
              <w:rPr>
                <w:szCs w:val="16"/>
              </w:rPr>
              <w:t>UAE offer in FTA with Singapore</w:t>
            </w:r>
            <w:r w:rsidR="00ED4CE7">
              <w:rPr>
                <w:szCs w:val="16"/>
              </w:rPr>
              <w:br/>
              <w:t>$m</w:t>
            </w:r>
          </w:p>
        </w:tc>
        <w:tc>
          <w:tcPr>
            <w:tcW w:w="1082" w:type="dxa"/>
            <w:shd w:val="clear" w:color="auto" w:fill="6F6652"/>
            <w:tcMar>
              <w:left w:w="57" w:type="dxa"/>
              <w:right w:w="57" w:type="dxa"/>
            </w:tcMar>
            <w:vAlign w:val="center"/>
            <w:hideMark/>
          </w:tcPr>
          <w:p w14:paraId="25F2FAEA" w14:textId="18818657" w:rsidR="001008E1" w:rsidRPr="00E95F89" w:rsidRDefault="001008E1" w:rsidP="0032436C">
            <w:pPr>
              <w:pStyle w:val="TableDataColumnHeading"/>
              <w:jc w:val="center"/>
              <w:rPr>
                <w:szCs w:val="16"/>
              </w:rPr>
            </w:pPr>
            <w:r w:rsidRPr="00E95F89">
              <w:rPr>
                <w:szCs w:val="16"/>
              </w:rPr>
              <w:t>UAE offer in FTA with EFTA</w:t>
            </w:r>
            <w:r w:rsidR="00ED4CE7">
              <w:rPr>
                <w:szCs w:val="16"/>
              </w:rPr>
              <w:br/>
              <w:t>$m</w:t>
            </w:r>
          </w:p>
        </w:tc>
        <w:tc>
          <w:tcPr>
            <w:tcW w:w="1082" w:type="dxa"/>
            <w:shd w:val="clear" w:color="auto" w:fill="6F6652"/>
            <w:tcMar>
              <w:left w:w="57" w:type="dxa"/>
              <w:right w:w="57" w:type="dxa"/>
            </w:tcMar>
            <w:vAlign w:val="center"/>
            <w:hideMark/>
          </w:tcPr>
          <w:p w14:paraId="7590A65E" w14:textId="062DAA10" w:rsidR="001008E1" w:rsidRPr="00E95F89" w:rsidRDefault="001008E1" w:rsidP="0032436C">
            <w:pPr>
              <w:pStyle w:val="TableDataColumnHeading"/>
              <w:jc w:val="center"/>
              <w:rPr>
                <w:szCs w:val="16"/>
              </w:rPr>
            </w:pPr>
            <w:r w:rsidRPr="00E95F89">
              <w:rPr>
                <w:szCs w:val="16"/>
              </w:rPr>
              <w:t xml:space="preserve">UAE offer in India </w:t>
            </w:r>
            <w:r w:rsidR="00F75E37">
              <w:rPr>
                <w:szCs w:val="16"/>
              </w:rPr>
              <w:t xml:space="preserve">CEPA </w:t>
            </w:r>
            <w:r w:rsidRPr="00E95F89">
              <w:rPr>
                <w:szCs w:val="16"/>
              </w:rPr>
              <w:t>- Year 10</w:t>
            </w:r>
            <w:r w:rsidR="0032436C">
              <w:rPr>
                <w:szCs w:val="16"/>
              </w:rPr>
              <w:br/>
              <w:t>$m</w:t>
            </w:r>
          </w:p>
        </w:tc>
      </w:tr>
      <w:tr w:rsidR="00DE4F67" w:rsidRPr="001008E1" w14:paraId="03A92ABE"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57E995" w14:textId="77777777" w:rsidR="00DE4F67" w:rsidRPr="001008E1" w:rsidRDefault="00DE4F67" w:rsidP="00DE4F67">
            <w:pPr>
              <w:pStyle w:val="TableDataEntries"/>
              <w:jc w:val="left"/>
            </w:pPr>
            <w:r w:rsidRPr="001008E1">
              <w:t>Animal products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A8D24A" w14:textId="2AFBFE6B" w:rsidR="00DE4F67" w:rsidRPr="001008E1" w:rsidRDefault="00DE4F67" w:rsidP="00DE4F67">
            <w:pPr>
              <w:pStyle w:val="TableDataEntries"/>
            </w:pPr>
            <w:r>
              <w:rPr>
                <w:szCs w:val="16"/>
              </w:rPr>
              <w:t>51.05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9866EE" w14:textId="09A12AA8" w:rsidR="00DE4F67" w:rsidRPr="001008E1" w:rsidRDefault="00DE4F67" w:rsidP="00DE4F67">
            <w:pPr>
              <w:pStyle w:val="TableDataEntries"/>
            </w:pPr>
            <w:r>
              <w:rPr>
                <w:szCs w:val="16"/>
              </w:rPr>
              <w:t>51.05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B190A8" w14:textId="78BFE61F" w:rsidR="00DE4F67" w:rsidRPr="001008E1" w:rsidRDefault="00DE4F67" w:rsidP="00DE4F67">
            <w:pPr>
              <w:pStyle w:val="TableDataEntries"/>
            </w:pPr>
            <w:r>
              <w:rPr>
                <w:szCs w:val="16"/>
              </w:rPr>
              <w:t>48.09</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07287D" w14:textId="20B9596F" w:rsidR="00DE4F67" w:rsidRPr="001008E1" w:rsidRDefault="00DE4F67" w:rsidP="00DE4F67">
            <w:pPr>
              <w:pStyle w:val="TableDataEntries"/>
            </w:pPr>
            <w:r>
              <w:rPr>
                <w:szCs w:val="16"/>
              </w:rPr>
              <w:t>51.05</w:t>
            </w:r>
          </w:p>
        </w:tc>
      </w:tr>
      <w:tr w:rsidR="00DE4F67" w:rsidRPr="001008E1" w14:paraId="2BF4DF2C"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D95AA6" w14:textId="77777777" w:rsidR="00DE4F67" w:rsidRPr="001008E1" w:rsidRDefault="00DE4F67" w:rsidP="00DE4F67">
            <w:pPr>
              <w:pStyle w:val="TableDataEntries"/>
              <w:jc w:val="left"/>
            </w:pPr>
            <w:r w:rsidRPr="001008E1">
              <w:t>Dairy products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773872" w14:textId="40343A8E" w:rsidR="00DE4F67" w:rsidRPr="001008E1" w:rsidRDefault="00DE4F67" w:rsidP="00DE4F67">
            <w:pPr>
              <w:pStyle w:val="TableDataEntries"/>
            </w:pPr>
            <w:r>
              <w:rPr>
                <w:szCs w:val="16"/>
              </w:rPr>
              <w:t>22.21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BD3258" w14:textId="476A60A5" w:rsidR="00DE4F67" w:rsidRPr="001008E1" w:rsidRDefault="00DE4F67" w:rsidP="00DE4F67">
            <w:pPr>
              <w:pStyle w:val="TableDataEntries"/>
            </w:pPr>
            <w:r>
              <w:rPr>
                <w:szCs w:val="16"/>
              </w:rPr>
              <w:t>13.84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415E5F" w14:textId="46AF7556" w:rsidR="00DE4F67" w:rsidRPr="001008E1" w:rsidRDefault="00DE4F67" w:rsidP="00DE4F67">
            <w:pPr>
              <w:pStyle w:val="TableDataEntries"/>
            </w:pPr>
            <w:r>
              <w:rPr>
                <w:szCs w:val="16"/>
              </w:rPr>
              <w:t>22.21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CE147C" w14:textId="1B700839" w:rsidR="00DE4F67" w:rsidRPr="001008E1" w:rsidRDefault="00DE4F67" w:rsidP="00DE4F67">
            <w:pPr>
              <w:pStyle w:val="TableDataEntries"/>
            </w:pPr>
            <w:r>
              <w:rPr>
                <w:szCs w:val="16"/>
              </w:rPr>
              <w:t>22.21</w:t>
            </w:r>
          </w:p>
        </w:tc>
      </w:tr>
      <w:tr w:rsidR="00DE4F67" w:rsidRPr="001008E1" w14:paraId="4695FBAD"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2253DA" w14:textId="77777777" w:rsidR="00DE4F67" w:rsidRPr="001008E1" w:rsidRDefault="00DE4F67" w:rsidP="00DE4F67">
            <w:pPr>
              <w:pStyle w:val="TableDataEntries"/>
              <w:jc w:val="left"/>
            </w:pPr>
            <w:r w:rsidRPr="001008E1">
              <w:t>Fruits, vegetables, plants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F7CD39" w14:textId="549DEB0F" w:rsidR="00DE4F67" w:rsidRPr="001008E1" w:rsidRDefault="00DE4F67" w:rsidP="00DE4F67">
            <w:pPr>
              <w:pStyle w:val="TableDataEntries"/>
            </w:pPr>
            <w:r>
              <w:rPr>
                <w:szCs w:val="16"/>
              </w:rPr>
              <w:t>33.64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890DCC" w14:textId="0CA07433" w:rsidR="00DE4F67" w:rsidRPr="001008E1" w:rsidRDefault="00DE4F67" w:rsidP="00DE4F67">
            <w:pPr>
              <w:pStyle w:val="TableDataEntries"/>
            </w:pPr>
            <w:r>
              <w:rPr>
                <w:szCs w:val="16"/>
              </w:rPr>
              <w:t>33.64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E34252" w14:textId="62F1DA98" w:rsidR="00DE4F67" w:rsidRPr="001008E1" w:rsidRDefault="00DE4F67" w:rsidP="00DE4F67">
            <w:pPr>
              <w:pStyle w:val="TableDataEntries"/>
            </w:pPr>
            <w:r>
              <w:rPr>
                <w:szCs w:val="16"/>
              </w:rPr>
              <w:t>33.61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741D55" w14:textId="2594656D" w:rsidR="00DE4F67" w:rsidRPr="001008E1" w:rsidRDefault="00DE4F67" w:rsidP="00DE4F67">
            <w:pPr>
              <w:pStyle w:val="TableDataEntries"/>
            </w:pPr>
            <w:r>
              <w:rPr>
                <w:szCs w:val="16"/>
              </w:rPr>
              <w:t>33.64</w:t>
            </w:r>
          </w:p>
        </w:tc>
      </w:tr>
      <w:tr w:rsidR="00DE4F67" w:rsidRPr="001008E1" w14:paraId="214D935B"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E505BA" w14:textId="77777777" w:rsidR="00DE4F67" w:rsidRPr="001008E1" w:rsidRDefault="00DE4F67" w:rsidP="00DE4F67">
            <w:pPr>
              <w:pStyle w:val="TableDataEntries"/>
              <w:jc w:val="left"/>
            </w:pPr>
            <w:r w:rsidRPr="001008E1">
              <w:t>Coffee, tea</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1956EF" w14:textId="33058E89" w:rsidR="00DE4F67" w:rsidRPr="001008E1" w:rsidRDefault="00DE4F67" w:rsidP="00DE4F67">
            <w:pPr>
              <w:pStyle w:val="TableDataEntries"/>
            </w:pPr>
            <w:r>
              <w:rPr>
                <w:szCs w:val="16"/>
              </w:rPr>
              <w:t>0.33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28E8AB" w14:textId="04673E29" w:rsidR="00DE4F67" w:rsidRPr="001008E1" w:rsidRDefault="00DE4F67" w:rsidP="00DE4F67">
            <w:pPr>
              <w:pStyle w:val="TableDataEntries"/>
            </w:pPr>
            <w:r>
              <w:rPr>
                <w:szCs w:val="16"/>
              </w:rPr>
              <w:t>0.33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72AA6F" w14:textId="2C94374A" w:rsidR="00DE4F67" w:rsidRPr="001008E1" w:rsidRDefault="00DE4F67" w:rsidP="00DE4F67">
            <w:pPr>
              <w:pStyle w:val="TableDataEntries"/>
            </w:pPr>
            <w:r>
              <w:rPr>
                <w:szCs w:val="16"/>
              </w:rPr>
              <w:t>0.24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0134A6" w14:textId="73F6C696" w:rsidR="00DE4F67" w:rsidRPr="001008E1" w:rsidRDefault="00DE4F67" w:rsidP="00DE4F67">
            <w:pPr>
              <w:pStyle w:val="TableDataEntries"/>
            </w:pPr>
            <w:r>
              <w:rPr>
                <w:szCs w:val="16"/>
              </w:rPr>
              <w:t>0.33</w:t>
            </w:r>
          </w:p>
        </w:tc>
      </w:tr>
      <w:tr w:rsidR="00DE4F67" w:rsidRPr="001008E1" w14:paraId="6672739D"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1AD5BD" w14:textId="77777777" w:rsidR="00DE4F67" w:rsidRPr="001008E1" w:rsidRDefault="00DE4F67" w:rsidP="00DE4F67">
            <w:pPr>
              <w:pStyle w:val="TableDataEntries"/>
              <w:jc w:val="left"/>
            </w:pPr>
            <w:r w:rsidRPr="001008E1">
              <w:t>Cereals and preparations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8678AA" w14:textId="3124D147" w:rsidR="00DE4F67" w:rsidRPr="001008E1" w:rsidRDefault="00DE4F67" w:rsidP="00DE4F67">
            <w:pPr>
              <w:pStyle w:val="TableDataEntries"/>
            </w:pPr>
            <w:r>
              <w:rPr>
                <w:szCs w:val="16"/>
              </w:rPr>
              <w:t>0.95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D01D20" w14:textId="1DCD6FF0" w:rsidR="00DE4F67" w:rsidRPr="001008E1" w:rsidRDefault="00DE4F67" w:rsidP="00DE4F67">
            <w:pPr>
              <w:pStyle w:val="TableDataEntries"/>
            </w:pPr>
            <w:r>
              <w:rPr>
                <w:szCs w:val="16"/>
              </w:rPr>
              <w:t>0.95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FA28C6" w14:textId="195A5CE5" w:rsidR="00DE4F67" w:rsidRPr="001008E1" w:rsidRDefault="00DE4F67" w:rsidP="00DE4F67">
            <w:pPr>
              <w:pStyle w:val="TableDataEntries"/>
            </w:pPr>
            <w:r>
              <w:rPr>
                <w:szCs w:val="16"/>
              </w:rPr>
              <w:t>0.84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FAE6BB" w14:textId="3A3504D3" w:rsidR="00DE4F67" w:rsidRPr="001008E1" w:rsidRDefault="00DE4F67" w:rsidP="00DE4F67">
            <w:pPr>
              <w:pStyle w:val="TableDataEntries"/>
            </w:pPr>
            <w:r>
              <w:rPr>
                <w:szCs w:val="16"/>
              </w:rPr>
              <w:t>0.95</w:t>
            </w:r>
          </w:p>
        </w:tc>
      </w:tr>
      <w:tr w:rsidR="00DE4F67" w:rsidRPr="001008E1" w14:paraId="76640C92"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CA4C83" w14:textId="77777777" w:rsidR="00DE4F67" w:rsidRPr="001008E1" w:rsidRDefault="00DE4F67" w:rsidP="00DE4F67">
            <w:pPr>
              <w:pStyle w:val="TableDataEntries"/>
              <w:jc w:val="left"/>
            </w:pPr>
            <w:r w:rsidRPr="001008E1">
              <w:t>Oilseeds, fats &amp; oils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EE62ECF" w14:textId="673E345C" w:rsidR="00DE4F67" w:rsidRPr="001008E1" w:rsidRDefault="00DE4F67" w:rsidP="00DE4F67">
            <w:pPr>
              <w:pStyle w:val="TableDataEntries"/>
            </w:pPr>
            <w:r>
              <w:rPr>
                <w:szCs w:val="16"/>
              </w:rPr>
              <w:t>147.04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9E8048" w14:textId="3098625B" w:rsidR="00DE4F67" w:rsidRPr="001008E1" w:rsidRDefault="00DE4F67" w:rsidP="00DE4F67">
            <w:pPr>
              <w:pStyle w:val="TableDataEntries"/>
            </w:pPr>
            <w:r>
              <w:rPr>
                <w:szCs w:val="16"/>
              </w:rPr>
              <w:t>147.04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AC3620" w14:textId="28E77F36" w:rsidR="00DE4F67" w:rsidRPr="001008E1" w:rsidRDefault="00DE4F67" w:rsidP="00DE4F67">
            <w:pPr>
              <w:pStyle w:val="TableDataEntries"/>
            </w:pPr>
            <w:r>
              <w:rPr>
                <w:szCs w:val="16"/>
              </w:rPr>
              <w:t>146.63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A56017" w14:textId="5128CAAA" w:rsidR="00DE4F67" w:rsidRPr="001008E1" w:rsidRDefault="00DE4F67" w:rsidP="00DE4F67">
            <w:pPr>
              <w:pStyle w:val="TableDataEntries"/>
            </w:pPr>
            <w:r>
              <w:rPr>
                <w:szCs w:val="16"/>
              </w:rPr>
              <w:t>147.04</w:t>
            </w:r>
          </w:p>
        </w:tc>
      </w:tr>
      <w:tr w:rsidR="00DE4F67" w:rsidRPr="001008E1" w14:paraId="0C95883B"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434269" w14:textId="77777777" w:rsidR="00DE4F67" w:rsidRPr="001008E1" w:rsidRDefault="00DE4F67" w:rsidP="00DE4F67">
            <w:pPr>
              <w:pStyle w:val="TableDataEntries"/>
              <w:jc w:val="left"/>
            </w:pPr>
            <w:r w:rsidRPr="001008E1">
              <w:t>Sugars and confectionary</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579C45" w14:textId="34344422" w:rsidR="00DE4F67" w:rsidRPr="001008E1" w:rsidRDefault="00DE4F67" w:rsidP="00DE4F67">
            <w:pPr>
              <w:pStyle w:val="TableDataEntries"/>
            </w:pPr>
            <w:r>
              <w:rPr>
                <w:szCs w:val="16"/>
              </w:rPr>
              <w:t>0.87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E12F316" w14:textId="6AF8E981" w:rsidR="00DE4F67" w:rsidRPr="001008E1" w:rsidRDefault="00DE4F67" w:rsidP="00DE4F67">
            <w:pPr>
              <w:pStyle w:val="TableDataEntries"/>
            </w:pPr>
            <w:r>
              <w:rPr>
                <w:szCs w:val="16"/>
              </w:rPr>
              <w:t>0.87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045BAB" w14:textId="57599888" w:rsidR="00DE4F67" w:rsidRPr="001008E1" w:rsidRDefault="00DE4F67" w:rsidP="00DE4F67">
            <w:pPr>
              <w:pStyle w:val="TableDataEntries"/>
            </w:pPr>
            <w:r>
              <w:rPr>
                <w:szCs w:val="16"/>
              </w:rPr>
              <w:t>0.73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3DB6AA" w14:textId="06E87028" w:rsidR="00DE4F67" w:rsidRPr="001008E1" w:rsidRDefault="00DE4F67" w:rsidP="00DE4F67">
            <w:pPr>
              <w:pStyle w:val="TableDataEntries"/>
            </w:pPr>
            <w:r>
              <w:rPr>
                <w:szCs w:val="16"/>
              </w:rPr>
              <w:t>0.87</w:t>
            </w:r>
          </w:p>
        </w:tc>
      </w:tr>
      <w:tr w:rsidR="00DE4F67" w:rsidRPr="001008E1" w14:paraId="75AF1ED4"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97E532" w14:textId="1530B582" w:rsidR="00DE4F67" w:rsidRPr="001008E1" w:rsidRDefault="00DE4F67" w:rsidP="00DE4F67">
            <w:pPr>
              <w:pStyle w:val="TableDataEntries"/>
              <w:jc w:val="left"/>
            </w:pPr>
            <w:r w:rsidRPr="001008E1">
              <w:t>Beverages and tobacco</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409DFB" w14:textId="5122B97D" w:rsidR="00DE4F67" w:rsidRPr="001008E1" w:rsidRDefault="00DE4F67" w:rsidP="00DE4F67">
            <w:pPr>
              <w:pStyle w:val="TableDataEntries"/>
            </w:pPr>
            <w:r>
              <w:rPr>
                <w:szCs w:val="16"/>
              </w:rPr>
              <w:t>0.66</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F998D4" w14:textId="0554961B" w:rsidR="00DE4F67" w:rsidRPr="001008E1" w:rsidRDefault="00DE4F67" w:rsidP="00DE4F67">
            <w:pPr>
              <w:pStyle w:val="TableDataEntries"/>
            </w:pPr>
            <w:r>
              <w:rPr>
                <w:szCs w:val="16"/>
              </w:rPr>
              <w:t>0.66</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68AD0C" w14:textId="76EB9F7E" w:rsidR="00DE4F67" w:rsidRPr="001008E1" w:rsidRDefault="00DE4F67" w:rsidP="00DE4F67">
            <w:pPr>
              <w:pStyle w:val="TableDataEntries"/>
            </w:pPr>
            <w:r>
              <w:rPr>
                <w:szCs w:val="16"/>
              </w:rPr>
              <w:t>0.59</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C36965" w14:textId="24B84632" w:rsidR="00DE4F67" w:rsidRPr="001008E1" w:rsidRDefault="00DE4F67" w:rsidP="00DE4F67">
            <w:pPr>
              <w:pStyle w:val="TableDataEntries"/>
            </w:pPr>
            <w:r>
              <w:rPr>
                <w:szCs w:val="16"/>
              </w:rPr>
              <w:t>0.66</w:t>
            </w:r>
          </w:p>
        </w:tc>
      </w:tr>
      <w:tr w:rsidR="00DE4F67" w:rsidRPr="001008E1" w14:paraId="7F2A832A"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3EB4BC" w14:textId="77777777" w:rsidR="00DE4F67" w:rsidRPr="001008E1" w:rsidRDefault="00DE4F67" w:rsidP="00DE4F67">
            <w:pPr>
              <w:pStyle w:val="TableDataEntries"/>
              <w:jc w:val="left"/>
            </w:pPr>
            <w:r w:rsidRPr="001008E1">
              <w:t>Cotton</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A864BE" w14:textId="0B604547" w:rsidR="00DE4F67" w:rsidRPr="001008E1" w:rsidRDefault="00DE4F67" w:rsidP="00DE4F67">
            <w:pPr>
              <w:pStyle w:val="TableDataEntries"/>
            </w:pPr>
            <w:r>
              <w:rPr>
                <w:szCs w:val="16"/>
              </w:rPr>
              <w:t>0.03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2D9BB4" w14:textId="68FCAE77" w:rsidR="00DE4F67" w:rsidRPr="001008E1" w:rsidRDefault="00DE4F67" w:rsidP="00DE4F67">
            <w:pPr>
              <w:pStyle w:val="TableDataEntries"/>
            </w:pPr>
            <w:r>
              <w:rPr>
                <w:szCs w:val="16"/>
              </w:rPr>
              <w:t>0.03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DBAF13A" w14:textId="530932AE" w:rsidR="00DE4F67" w:rsidRPr="001008E1" w:rsidRDefault="00DE4F67" w:rsidP="00DE4F67">
            <w:pPr>
              <w:pStyle w:val="TableDataEntries"/>
            </w:pPr>
            <w:r>
              <w:rPr>
                <w:szCs w:val="16"/>
              </w:rPr>
              <w:t>0.03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C517B0" w14:textId="0B466B18" w:rsidR="00DE4F67" w:rsidRPr="001008E1" w:rsidRDefault="00DE4F67" w:rsidP="00DE4F67">
            <w:pPr>
              <w:pStyle w:val="TableDataEntries"/>
            </w:pPr>
            <w:r>
              <w:rPr>
                <w:szCs w:val="16"/>
              </w:rPr>
              <w:t>0.03</w:t>
            </w:r>
          </w:p>
        </w:tc>
      </w:tr>
      <w:tr w:rsidR="00DE4F67" w:rsidRPr="001008E1" w14:paraId="19D4C9C2" w14:textId="77777777" w:rsidTr="00DE4F6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F6E65C" w14:textId="77777777" w:rsidR="00DE4F67" w:rsidRPr="001008E1" w:rsidRDefault="00DE4F67" w:rsidP="00DE4F67">
            <w:pPr>
              <w:pStyle w:val="TableDataEntries"/>
              <w:jc w:val="left"/>
            </w:pPr>
            <w:r w:rsidRPr="001008E1">
              <w:t>Other agricultural products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F013E4" w14:textId="084606B1" w:rsidR="00DE4F67" w:rsidRPr="001008E1" w:rsidRDefault="00DE4F67" w:rsidP="00DE4F67">
            <w:pPr>
              <w:pStyle w:val="TableDataEntries"/>
            </w:pPr>
            <w:r>
              <w:rPr>
                <w:szCs w:val="16"/>
              </w:rPr>
              <w:t>1.21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37DBB6" w14:textId="778DE059" w:rsidR="00DE4F67" w:rsidRPr="001008E1" w:rsidRDefault="00DE4F67" w:rsidP="00DE4F67">
            <w:pPr>
              <w:pStyle w:val="TableDataEntries"/>
            </w:pPr>
            <w:r>
              <w:rPr>
                <w:szCs w:val="16"/>
              </w:rPr>
              <w:t>1.21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F48C58" w14:textId="185E2CF1" w:rsidR="00DE4F67" w:rsidRPr="001008E1" w:rsidRDefault="00DE4F67" w:rsidP="00DE4F67">
            <w:pPr>
              <w:pStyle w:val="TableDataEntries"/>
            </w:pPr>
            <w:r>
              <w:rPr>
                <w:szCs w:val="16"/>
              </w:rPr>
              <w:t>1.21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B8BA6E" w14:textId="389267D3" w:rsidR="00DE4F67" w:rsidRPr="001008E1" w:rsidRDefault="00DE4F67" w:rsidP="00DE4F67">
            <w:pPr>
              <w:pStyle w:val="TableDataEntries"/>
            </w:pPr>
            <w:r>
              <w:rPr>
                <w:szCs w:val="16"/>
              </w:rPr>
              <w:t>1.21</w:t>
            </w:r>
          </w:p>
        </w:tc>
      </w:tr>
      <w:tr w:rsidR="00DE4F67" w:rsidRPr="00DE4F67" w14:paraId="2BF43D54"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34CC902" w14:textId="76DE8475" w:rsidR="00DE4F67" w:rsidRPr="00DE4F67" w:rsidRDefault="00DE4F67" w:rsidP="00DE4F67">
            <w:pPr>
              <w:pStyle w:val="TableDataEntries"/>
              <w:jc w:val="left"/>
              <w:rPr>
                <w:rFonts w:ascii="Franklin Gothic Demi" w:hAnsi="Franklin Gothic Demi"/>
              </w:rPr>
            </w:pPr>
            <w:r w:rsidRPr="00DE4F67">
              <w:rPr>
                <w:rFonts w:ascii="Franklin Gothic Demi" w:hAnsi="Franklin Gothic Demi"/>
              </w:rPr>
              <w:t>Subtotal of agricultural products</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03C807AE" w14:textId="6F45DCBC"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257.99</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BDB494C" w14:textId="289852A2"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249.63</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697AD19" w14:textId="774236A0"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254.17</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3D84C4E" w14:textId="3FE109E8"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257.99</w:t>
            </w:r>
          </w:p>
        </w:tc>
      </w:tr>
    </w:tbl>
    <w:p w14:paraId="511F4D1E" w14:textId="77777777" w:rsidR="0032436C" w:rsidRDefault="0032436C"/>
    <w:tbl>
      <w:tblPr>
        <w:tblW w:w="7936" w:type="dxa"/>
        <w:tblLook w:val="04E0" w:firstRow="1" w:lastRow="1" w:firstColumn="1" w:lastColumn="0" w:noHBand="0" w:noVBand="1"/>
      </w:tblPr>
      <w:tblGrid>
        <w:gridCol w:w="3608"/>
        <w:gridCol w:w="1082"/>
        <w:gridCol w:w="1082"/>
        <w:gridCol w:w="1082"/>
        <w:gridCol w:w="1082"/>
      </w:tblGrid>
      <w:tr w:rsidR="0032436C" w:rsidRPr="001008E1" w14:paraId="7143EE46" w14:textId="77777777" w:rsidTr="0032436C">
        <w:trPr>
          <w:trHeight w:val="876"/>
          <w:tblHeader/>
        </w:trPr>
        <w:tc>
          <w:tcPr>
            <w:tcW w:w="3608" w:type="dxa"/>
            <w:shd w:val="clear" w:color="auto" w:fill="6F6652"/>
            <w:noWrap/>
            <w:tcMar>
              <w:left w:w="57" w:type="dxa"/>
              <w:right w:w="57" w:type="dxa"/>
            </w:tcMar>
            <w:hideMark/>
          </w:tcPr>
          <w:p w14:paraId="051EBA74" w14:textId="0926B48E" w:rsidR="0032436C" w:rsidRPr="001008E1" w:rsidRDefault="0032436C" w:rsidP="006468FC">
            <w:pPr>
              <w:pStyle w:val="TableDataColumnHeading"/>
              <w:jc w:val="left"/>
            </w:pPr>
            <w:r w:rsidRPr="001008E1">
              <w:t>Non-agricultural products</w:t>
            </w:r>
          </w:p>
        </w:tc>
        <w:tc>
          <w:tcPr>
            <w:tcW w:w="1082" w:type="dxa"/>
            <w:shd w:val="clear" w:color="auto" w:fill="6F6652"/>
            <w:tcMar>
              <w:left w:w="57" w:type="dxa"/>
              <w:right w:w="57" w:type="dxa"/>
            </w:tcMar>
            <w:vAlign w:val="center"/>
            <w:hideMark/>
          </w:tcPr>
          <w:p w14:paraId="06E3B628" w14:textId="77777777" w:rsidR="0032436C" w:rsidRPr="00E95F89" w:rsidRDefault="0032436C" w:rsidP="006468FC">
            <w:pPr>
              <w:pStyle w:val="TableDataColumnHeading"/>
              <w:jc w:val="center"/>
              <w:rPr>
                <w:szCs w:val="16"/>
              </w:rPr>
            </w:pPr>
            <w:r w:rsidRPr="00E95F89">
              <w:rPr>
                <w:szCs w:val="16"/>
              </w:rPr>
              <w:t>Potential offer to Australia</w:t>
            </w:r>
            <w:r w:rsidRPr="00E4232C">
              <w:rPr>
                <w:rStyle w:val="NoteLabel"/>
              </w:rPr>
              <w:t xml:space="preserve"> </w:t>
            </w:r>
            <w:r w:rsidRPr="0087158B">
              <w:rPr>
                <w:rStyle w:val="NoteLabel"/>
                <w:color w:val="FFFFFF" w:themeColor="background1"/>
              </w:rPr>
              <w:t>a</w:t>
            </w:r>
            <w:r>
              <w:rPr>
                <w:rStyle w:val="NoteLabel"/>
                <w:color w:val="FFFFFF" w:themeColor="background1"/>
              </w:rPr>
              <w:br/>
              <w:t>$m</w:t>
            </w:r>
          </w:p>
        </w:tc>
        <w:tc>
          <w:tcPr>
            <w:tcW w:w="1082" w:type="dxa"/>
            <w:shd w:val="clear" w:color="auto" w:fill="6F6652"/>
            <w:tcMar>
              <w:left w:w="57" w:type="dxa"/>
              <w:right w:w="57" w:type="dxa"/>
            </w:tcMar>
            <w:vAlign w:val="center"/>
            <w:hideMark/>
          </w:tcPr>
          <w:p w14:paraId="68CFD0FB" w14:textId="77777777" w:rsidR="0032436C" w:rsidRPr="00E95F89" w:rsidRDefault="0032436C" w:rsidP="006468FC">
            <w:pPr>
              <w:pStyle w:val="TableDataColumnHeading"/>
              <w:jc w:val="center"/>
              <w:rPr>
                <w:szCs w:val="16"/>
              </w:rPr>
            </w:pPr>
            <w:r w:rsidRPr="00E95F89">
              <w:rPr>
                <w:szCs w:val="16"/>
              </w:rPr>
              <w:t>UAE offer in FTA with Singapore</w:t>
            </w:r>
            <w:r>
              <w:rPr>
                <w:szCs w:val="16"/>
              </w:rPr>
              <w:br/>
              <w:t>$m</w:t>
            </w:r>
          </w:p>
        </w:tc>
        <w:tc>
          <w:tcPr>
            <w:tcW w:w="1082" w:type="dxa"/>
            <w:shd w:val="clear" w:color="auto" w:fill="6F6652"/>
            <w:tcMar>
              <w:left w:w="57" w:type="dxa"/>
              <w:right w:w="57" w:type="dxa"/>
            </w:tcMar>
            <w:vAlign w:val="center"/>
            <w:hideMark/>
          </w:tcPr>
          <w:p w14:paraId="07910CB9" w14:textId="77777777" w:rsidR="0032436C" w:rsidRPr="00E95F89" w:rsidRDefault="0032436C" w:rsidP="006468FC">
            <w:pPr>
              <w:pStyle w:val="TableDataColumnHeading"/>
              <w:jc w:val="center"/>
              <w:rPr>
                <w:szCs w:val="16"/>
              </w:rPr>
            </w:pPr>
            <w:r w:rsidRPr="00E95F89">
              <w:rPr>
                <w:szCs w:val="16"/>
              </w:rPr>
              <w:t>UAE offer in FTA with EFTA</w:t>
            </w:r>
            <w:r>
              <w:rPr>
                <w:szCs w:val="16"/>
              </w:rPr>
              <w:br/>
              <w:t>$m</w:t>
            </w:r>
          </w:p>
        </w:tc>
        <w:tc>
          <w:tcPr>
            <w:tcW w:w="1082" w:type="dxa"/>
            <w:shd w:val="clear" w:color="auto" w:fill="6F6652"/>
            <w:tcMar>
              <w:left w:w="57" w:type="dxa"/>
              <w:right w:w="57" w:type="dxa"/>
            </w:tcMar>
            <w:vAlign w:val="center"/>
            <w:hideMark/>
          </w:tcPr>
          <w:p w14:paraId="62A1B905" w14:textId="77777777" w:rsidR="0032436C" w:rsidRPr="00E95F89" w:rsidRDefault="0032436C" w:rsidP="006468FC">
            <w:pPr>
              <w:pStyle w:val="TableDataColumnHeading"/>
              <w:jc w:val="center"/>
              <w:rPr>
                <w:szCs w:val="16"/>
              </w:rPr>
            </w:pPr>
            <w:r w:rsidRPr="00E95F89">
              <w:rPr>
                <w:szCs w:val="16"/>
              </w:rPr>
              <w:t xml:space="preserve">UAE offer in India </w:t>
            </w:r>
            <w:r>
              <w:rPr>
                <w:szCs w:val="16"/>
              </w:rPr>
              <w:t xml:space="preserve">CEPA </w:t>
            </w:r>
            <w:r w:rsidRPr="00E95F89">
              <w:rPr>
                <w:szCs w:val="16"/>
              </w:rPr>
              <w:t>- Year 10</w:t>
            </w:r>
            <w:r>
              <w:rPr>
                <w:szCs w:val="16"/>
              </w:rPr>
              <w:br/>
              <w:t>$m</w:t>
            </w:r>
          </w:p>
        </w:tc>
      </w:tr>
      <w:tr w:rsidR="00DE4F67" w:rsidRPr="001008E1" w14:paraId="3113148B" w14:textId="77777777" w:rsidTr="0032436C">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2AEB56" w14:textId="77777777" w:rsidR="00DE4F67" w:rsidRPr="001008E1" w:rsidRDefault="00DE4F67" w:rsidP="00DE4F67">
            <w:pPr>
              <w:pStyle w:val="TableDataEntries"/>
              <w:jc w:val="left"/>
            </w:pPr>
            <w:r w:rsidRPr="001008E1">
              <w:t>Fish and fish products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931E41" w14:textId="0DC55DD8" w:rsidR="00DE4F67" w:rsidRPr="001008E1" w:rsidRDefault="00DE4F67" w:rsidP="00DE4F67">
            <w:pPr>
              <w:pStyle w:val="TableDataEntries"/>
            </w:pPr>
            <w:r>
              <w:rPr>
                <w:szCs w:val="16"/>
              </w:rPr>
              <w:t>0.21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FC7F8D" w14:textId="14DD5A45" w:rsidR="00DE4F67" w:rsidRPr="001008E1" w:rsidRDefault="00DE4F67" w:rsidP="00DE4F67">
            <w:pPr>
              <w:pStyle w:val="TableDataEntries"/>
            </w:pPr>
            <w:r>
              <w:rPr>
                <w:szCs w:val="16"/>
              </w:rPr>
              <w:t>0.21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B61931" w14:textId="50C9D736" w:rsidR="00DE4F67" w:rsidRPr="001008E1" w:rsidRDefault="00DE4F67" w:rsidP="00DE4F67">
            <w:pPr>
              <w:pStyle w:val="TableDataEntries"/>
            </w:pPr>
            <w:r>
              <w:rPr>
                <w:szCs w:val="16"/>
              </w:rPr>
              <w:t>0.21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F145E4" w14:textId="69BA4A68" w:rsidR="00DE4F67" w:rsidRPr="001008E1" w:rsidRDefault="00DE4F67" w:rsidP="00DE4F67">
            <w:pPr>
              <w:pStyle w:val="TableDataEntries"/>
            </w:pPr>
            <w:r>
              <w:rPr>
                <w:szCs w:val="16"/>
              </w:rPr>
              <w:t>0.21</w:t>
            </w:r>
          </w:p>
        </w:tc>
      </w:tr>
      <w:tr w:rsidR="00DE4F67" w:rsidRPr="001008E1" w14:paraId="4A12BACC" w14:textId="77777777" w:rsidTr="0032436C">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07F4BC" w14:textId="77777777" w:rsidR="00DE4F67" w:rsidRPr="001008E1" w:rsidRDefault="00DE4F67" w:rsidP="00DE4F67">
            <w:pPr>
              <w:pStyle w:val="TableDataEntries"/>
              <w:jc w:val="left"/>
            </w:pPr>
            <w:r w:rsidRPr="001008E1">
              <w:t>Minerals and metals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449AC8" w14:textId="70126456" w:rsidR="00DE4F67" w:rsidRPr="001008E1" w:rsidRDefault="00DE4F67" w:rsidP="00DE4F67">
            <w:pPr>
              <w:pStyle w:val="TableDataEntries"/>
            </w:pPr>
            <w:r>
              <w:rPr>
                <w:szCs w:val="16"/>
              </w:rPr>
              <w:t>169.34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F28CE6" w14:textId="755731F4" w:rsidR="00DE4F67" w:rsidRPr="001008E1" w:rsidRDefault="00DE4F67" w:rsidP="00DE4F67">
            <w:pPr>
              <w:pStyle w:val="TableDataEntries"/>
            </w:pPr>
            <w:r>
              <w:rPr>
                <w:szCs w:val="16"/>
              </w:rPr>
              <w:t>169.34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142DC6" w14:textId="672299EF" w:rsidR="00DE4F67" w:rsidRPr="001008E1" w:rsidRDefault="00DE4F67" w:rsidP="00DE4F67">
            <w:pPr>
              <w:pStyle w:val="TableDataEntries"/>
            </w:pPr>
            <w:r>
              <w:rPr>
                <w:szCs w:val="16"/>
              </w:rPr>
              <w:t>169.34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2CBB1B" w14:textId="664B1396" w:rsidR="00DE4F67" w:rsidRPr="001008E1" w:rsidRDefault="00DE4F67" w:rsidP="00DE4F67">
            <w:pPr>
              <w:pStyle w:val="TableDataEntries"/>
            </w:pPr>
            <w:r>
              <w:rPr>
                <w:szCs w:val="16"/>
              </w:rPr>
              <w:t>169.23</w:t>
            </w:r>
          </w:p>
        </w:tc>
      </w:tr>
      <w:tr w:rsidR="00DE4F67" w:rsidRPr="001008E1" w14:paraId="17B7B72C" w14:textId="77777777" w:rsidTr="0032436C">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950298" w14:textId="77777777" w:rsidR="00DE4F67" w:rsidRPr="001008E1" w:rsidRDefault="00DE4F67" w:rsidP="00DE4F67">
            <w:pPr>
              <w:pStyle w:val="TableDataEntries"/>
              <w:jc w:val="left"/>
            </w:pPr>
            <w:r w:rsidRPr="001008E1">
              <w:t>Petroleum</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915CEF" w14:textId="2103D62E" w:rsidR="00DE4F67" w:rsidRPr="001008E1" w:rsidRDefault="00DE4F67" w:rsidP="00DE4F67">
            <w:pPr>
              <w:pStyle w:val="TableDataEntries"/>
            </w:pPr>
            <w:r>
              <w:rPr>
                <w:szCs w:val="16"/>
              </w:rPr>
              <w:t>59.21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A6FCE4" w14:textId="49BCA7D1" w:rsidR="00DE4F67" w:rsidRPr="001008E1" w:rsidRDefault="00DE4F67" w:rsidP="00DE4F67">
            <w:pPr>
              <w:pStyle w:val="TableDataEntries"/>
            </w:pPr>
            <w:r>
              <w:rPr>
                <w:szCs w:val="16"/>
              </w:rPr>
              <w:t>59.21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4075EB" w14:textId="504F345D" w:rsidR="00DE4F67" w:rsidRPr="001008E1" w:rsidRDefault="00DE4F67" w:rsidP="00DE4F67">
            <w:pPr>
              <w:pStyle w:val="TableDataEntries"/>
            </w:pPr>
            <w:r>
              <w:rPr>
                <w:szCs w:val="16"/>
              </w:rPr>
              <w:t>59.21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F88FF6" w14:textId="4118C6FF" w:rsidR="00DE4F67" w:rsidRPr="001008E1" w:rsidRDefault="00DE4F67" w:rsidP="00DE4F67">
            <w:pPr>
              <w:pStyle w:val="TableDataEntries"/>
            </w:pPr>
            <w:r>
              <w:rPr>
                <w:szCs w:val="16"/>
              </w:rPr>
              <w:t>59.21</w:t>
            </w:r>
          </w:p>
        </w:tc>
      </w:tr>
      <w:tr w:rsidR="00DE4F67" w:rsidRPr="001008E1" w14:paraId="1435328D" w14:textId="77777777" w:rsidTr="0032436C">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FACE8D" w14:textId="77777777" w:rsidR="00DE4F67" w:rsidRPr="001008E1" w:rsidRDefault="00DE4F67" w:rsidP="00DE4F67">
            <w:pPr>
              <w:pStyle w:val="TableDataEntries"/>
              <w:jc w:val="left"/>
            </w:pPr>
            <w:r w:rsidRPr="001008E1">
              <w:t>Chemicals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D2E093" w14:textId="309C4C48" w:rsidR="00DE4F67" w:rsidRPr="001008E1" w:rsidRDefault="00DE4F67" w:rsidP="00DE4F67">
            <w:pPr>
              <w:pStyle w:val="TableDataEntries"/>
            </w:pPr>
            <w:r>
              <w:rPr>
                <w:szCs w:val="16"/>
              </w:rPr>
              <w:t>22.95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FE29DD" w14:textId="332EA098" w:rsidR="00DE4F67" w:rsidRPr="001008E1" w:rsidRDefault="00DE4F67" w:rsidP="00DE4F67">
            <w:pPr>
              <w:pStyle w:val="TableDataEntries"/>
            </w:pPr>
            <w:r>
              <w:rPr>
                <w:szCs w:val="16"/>
              </w:rPr>
              <w:t>22.91</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98E18C" w14:textId="38525FC8" w:rsidR="00DE4F67" w:rsidRPr="001008E1" w:rsidRDefault="00DE4F67" w:rsidP="00DE4F67">
            <w:pPr>
              <w:pStyle w:val="TableDataEntries"/>
            </w:pPr>
            <w:r>
              <w:rPr>
                <w:szCs w:val="16"/>
              </w:rPr>
              <w:t>22.95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117EAB" w14:textId="40086B08" w:rsidR="00DE4F67" w:rsidRPr="001008E1" w:rsidRDefault="00DE4F67" w:rsidP="00DE4F67">
            <w:pPr>
              <w:pStyle w:val="TableDataEntries"/>
            </w:pPr>
            <w:r>
              <w:rPr>
                <w:szCs w:val="16"/>
              </w:rPr>
              <w:t>22.95</w:t>
            </w:r>
          </w:p>
        </w:tc>
      </w:tr>
      <w:tr w:rsidR="00DE4F67" w:rsidRPr="001008E1" w14:paraId="0A903584" w14:textId="77777777" w:rsidTr="0032436C">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E10930" w14:textId="77777777" w:rsidR="00DE4F67" w:rsidRPr="001008E1" w:rsidRDefault="00DE4F67" w:rsidP="00DE4F67">
            <w:pPr>
              <w:pStyle w:val="TableDataEntries"/>
              <w:jc w:val="left"/>
            </w:pPr>
            <w:r w:rsidRPr="001008E1">
              <w:t>Wood, paper, etc.</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2A5897" w14:textId="56FA57D1" w:rsidR="00DE4F67" w:rsidRPr="001008E1" w:rsidRDefault="00DE4F67" w:rsidP="00DE4F67">
            <w:pPr>
              <w:pStyle w:val="TableDataEntries"/>
            </w:pPr>
            <w:r>
              <w:rPr>
                <w:szCs w:val="16"/>
              </w:rPr>
              <w:t>6.05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95971C" w14:textId="10DF422B" w:rsidR="00DE4F67" w:rsidRPr="001008E1" w:rsidRDefault="00DE4F67" w:rsidP="00DE4F67">
            <w:pPr>
              <w:pStyle w:val="TableDataEntries"/>
            </w:pPr>
            <w:r>
              <w:rPr>
                <w:szCs w:val="16"/>
              </w:rPr>
              <w:t>6.04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D2E98E" w14:textId="1A56CA72" w:rsidR="00DE4F67" w:rsidRPr="001008E1" w:rsidRDefault="00DE4F67" w:rsidP="00DE4F67">
            <w:pPr>
              <w:pStyle w:val="TableDataEntries"/>
            </w:pPr>
            <w:r>
              <w:rPr>
                <w:szCs w:val="16"/>
              </w:rPr>
              <w:t>6.05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56EB5C" w14:textId="596CEDB0" w:rsidR="00DE4F67" w:rsidRPr="001008E1" w:rsidRDefault="00DE4F67" w:rsidP="00DE4F67">
            <w:pPr>
              <w:pStyle w:val="TableDataEntries"/>
            </w:pPr>
            <w:r>
              <w:rPr>
                <w:szCs w:val="16"/>
              </w:rPr>
              <w:t>6.05</w:t>
            </w:r>
          </w:p>
        </w:tc>
      </w:tr>
      <w:tr w:rsidR="00DE4F67" w:rsidRPr="001008E1" w14:paraId="6A605D57" w14:textId="77777777" w:rsidTr="0032436C">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61BDA0" w14:textId="77777777" w:rsidR="00DE4F67" w:rsidRPr="001008E1" w:rsidRDefault="00DE4F67" w:rsidP="00DE4F67">
            <w:pPr>
              <w:pStyle w:val="TableDataEntries"/>
              <w:jc w:val="left"/>
            </w:pPr>
            <w:r w:rsidRPr="001008E1">
              <w:t>Textiles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B49791" w14:textId="3F81EC6A" w:rsidR="00DE4F67" w:rsidRPr="001008E1" w:rsidRDefault="00DE4F67" w:rsidP="00DE4F67">
            <w:pPr>
              <w:pStyle w:val="TableDataEntries"/>
            </w:pPr>
            <w:r>
              <w:rPr>
                <w:szCs w:val="16"/>
              </w:rPr>
              <w:t>28.56</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27537E" w14:textId="12F613EC" w:rsidR="00DE4F67" w:rsidRPr="001008E1" w:rsidRDefault="00DE4F67" w:rsidP="00DE4F67">
            <w:pPr>
              <w:pStyle w:val="TableDataEntries"/>
            </w:pPr>
            <w:r>
              <w:rPr>
                <w:szCs w:val="16"/>
              </w:rPr>
              <w:t>28.44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BADCFF" w14:textId="5D5ADE1C" w:rsidR="00DE4F67" w:rsidRPr="001008E1" w:rsidRDefault="00DE4F67" w:rsidP="00DE4F67">
            <w:pPr>
              <w:pStyle w:val="TableDataEntries"/>
            </w:pPr>
            <w:r>
              <w:rPr>
                <w:szCs w:val="16"/>
              </w:rPr>
              <w:t>28.47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BCDC67" w14:textId="00B17BD0" w:rsidR="00DE4F67" w:rsidRPr="001008E1" w:rsidRDefault="00DE4F67" w:rsidP="00DE4F67">
            <w:pPr>
              <w:pStyle w:val="TableDataEntries"/>
            </w:pPr>
            <w:r>
              <w:rPr>
                <w:szCs w:val="16"/>
              </w:rPr>
              <w:t>28.56</w:t>
            </w:r>
          </w:p>
        </w:tc>
      </w:tr>
      <w:tr w:rsidR="00DE4F67" w:rsidRPr="001008E1" w14:paraId="362B2E12" w14:textId="77777777" w:rsidTr="0032436C">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E9D176" w14:textId="77777777" w:rsidR="00DE4F67" w:rsidRPr="001008E1" w:rsidRDefault="00DE4F67" w:rsidP="00DE4F67">
            <w:pPr>
              <w:pStyle w:val="TableDataEntries"/>
              <w:jc w:val="left"/>
            </w:pPr>
            <w:r w:rsidRPr="001008E1">
              <w:t>Clothing</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E156333" w14:textId="5352948C" w:rsidR="00DE4F67" w:rsidRPr="001008E1" w:rsidRDefault="00DE4F67" w:rsidP="00DE4F67">
            <w:pPr>
              <w:pStyle w:val="TableDataEntries"/>
            </w:pPr>
            <w:r>
              <w:rPr>
                <w:szCs w:val="16"/>
              </w:rPr>
              <w:t>3.13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58B725E" w14:textId="4975BEA6" w:rsidR="00DE4F67" w:rsidRPr="001008E1" w:rsidRDefault="00DE4F67" w:rsidP="00DE4F67">
            <w:pPr>
              <w:pStyle w:val="TableDataEntries"/>
            </w:pPr>
            <w:r>
              <w:rPr>
                <w:szCs w:val="16"/>
              </w:rPr>
              <w:t>3.09</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AF6DFF" w14:textId="6DDBDFF5" w:rsidR="00DE4F67" w:rsidRPr="001008E1" w:rsidRDefault="00DE4F67" w:rsidP="00DE4F67">
            <w:pPr>
              <w:pStyle w:val="TableDataEntries"/>
            </w:pPr>
            <w:r>
              <w:rPr>
                <w:szCs w:val="16"/>
              </w:rPr>
              <w:t>3.13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21B8E34" w14:textId="4FD8FFF0" w:rsidR="00DE4F67" w:rsidRPr="001008E1" w:rsidRDefault="00DE4F67" w:rsidP="00DE4F67">
            <w:pPr>
              <w:pStyle w:val="TableDataEntries"/>
            </w:pPr>
            <w:r>
              <w:rPr>
                <w:szCs w:val="16"/>
              </w:rPr>
              <w:t>3.13</w:t>
            </w:r>
          </w:p>
        </w:tc>
      </w:tr>
      <w:tr w:rsidR="00DE4F67" w:rsidRPr="001008E1" w14:paraId="0B66EA77" w14:textId="77777777" w:rsidTr="0032436C">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933677" w14:textId="77777777" w:rsidR="00DE4F67" w:rsidRPr="001008E1" w:rsidRDefault="00DE4F67" w:rsidP="00DE4F67">
            <w:pPr>
              <w:pStyle w:val="TableDataEntries"/>
              <w:jc w:val="left"/>
            </w:pPr>
            <w:r w:rsidRPr="001008E1">
              <w:t>Leather, footwear, etc.</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9D4978" w14:textId="607EAD35" w:rsidR="00DE4F67" w:rsidRPr="001008E1" w:rsidRDefault="00DE4F67" w:rsidP="00DE4F67">
            <w:pPr>
              <w:pStyle w:val="TableDataEntries"/>
            </w:pPr>
            <w:r>
              <w:rPr>
                <w:szCs w:val="16"/>
              </w:rPr>
              <w:t>3.27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18836B" w14:textId="649E5680" w:rsidR="00DE4F67" w:rsidRPr="001008E1" w:rsidRDefault="00DE4F67" w:rsidP="00DE4F67">
            <w:pPr>
              <w:pStyle w:val="TableDataEntries"/>
            </w:pPr>
            <w:r>
              <w:rPr>
                <w:szCs w:val="16"/>
              </w:rPr>
              <w:t>3.27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767F68" w14:textId="49402C4F" w:rsidR="00DE4F67" w:rsidRPr="001008E1" w:rsidRDefault="00DE4F67" w:rsidP="00DE4F67">
            <w:pPr>
              <w:pStyle w:val="TableDataEntries"/>
            </w:pPr>
            <w:r>
              <w:rPr>
                <w:szCs w:val="16"/>
              </w:rPr>
              <w:t>3.27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0282F6" w14:textId="54AAC0B8" w:rsidR="00DE4F67" w:rsidRPr="001008E1" w:rsidRDefault="00DE4F67" w:rsidP="00DE4F67">
            <w:pPr>
              <w:pStyle w:val="TableDataEntries"/>
            </w:pPr>
            <w:r>
              <w:rPr>
                <w:szCs w:val="16"/>
              </w:rPr>
              <w:t>3.27</w:t>
            </w:r>
          </w:p>
        </w:tc>
      </w:tr>
      <w:tr w:rsidR="00DE4F67" w:rsidRPr="001008E1" w14:paraId="34191885" w14:textId="77777777" w:rsidTr="0032436C">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3D9B92" w14:textId="51A4A620" w:rsidR="00DE4F67" w:rsidRPr="001008E1" w:rsidRDefault="00DE4F67" w:rsidP="00DE4F67">
            <w:pPr>
              <w:pStyle w:val="TableDataEntries"/>
              <w:jc w:val="left"/>
            </w:pPr>
            <w:r w:rsidRPr="001008E1">
              <w:t>Non-electrical machinery</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85D655" w14:textId="43168297" w:rsidR="00DE4F67" w:rsidRPr="001008E1" w:rsidRDefault="00DE4F67" w:rsidP="00DE4F67">
            <w:pPr>
              <w:pStyle w:val="TableDataEntries"/>
            </w:pPr>
            <w:r>
              <w:rPr>
                <w:szCs w:val="16"/>
              </w:rPr>
              <w:t>19.32</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7C2764" w14:textId="047F1A52" w:rsidR="00DE4F67" w:rsidRPr="001008E1" w:rsidRDefault="00DE4F67" w:rsidP="00DE4F67">
            <w:pPr>
              <w:pStyle w:val="TableDataEntries"/>
            </w:pPr>
            <w:r>
              <w:rPr>
                <w:szCs w:val="16"/>
              </w:rPr>
              <w:t>19.32</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EFFD6C2" w14:textId="6E993FA5" w:rsidR="00DE4F67" w:rsidRPr="001008E1" w:rsidRDefault="00DE4F67" w:rsidP="00DE4F67">
            <w:pPr>
              <w:pStyle w:val="TableDataEntries"/>
            </w:pPr>
            <w:r>
              <w:rPr>
                <w:szCs w:val="16"/>
              </w:rPr>
              <w:t>19.32</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DEA97D" w14:textId="0BE22A12" w:rsidR="00DE4F67" w:rsidRPr="001008E1" w:rsidRDefault="00DE4F67" w:rsidP="00DE4F67">
            <w:pPr>
              <w:pStyle w:val="TableDataEntries"/>
            </w:pPr>
            <w:r>
              <w:rPr>
                <w:szCs w:val="16"/>
              </w:rPr>
              <w:t>19.32</w:t>
            </w:r>
          </w:p>
        </w:tc>
      </w:tr>
      <w:tr w:rsidR="00DE4F67" w:rsidRPr="001008E1" w14:paraId="15FCF9CE" w14:textId="77777777" w:rsidTr="0032436C">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CE86C0" w14:textId="77777777" w:rsidR="00DE4F67" w:rsidRPr="001008E1" w:rsidRDefault="00DE4F67" w:rsidP="00DE4F67">
            <w:pPr>
              <w:pStyle w:val="TableDataEntries"/>
              <w:jc w:val="left"/>
            </w:pPr>
            <w:r w:rsidRPr="001008E1">
              <w:t>Electrical machinery</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1444D3" w14:textId="5EA03921" w:rsidR="00DE4F67" w:rsidRPr="001008E1" w:rsidRDefault="00DE4F67" w:rsidP="00DE4F67">
            <w:pPr>
              <w:pStyle w:val="TableDataEntries"/>
            </w:pPr>
            <w:r>
              <w:rPr>
                <w:szCs w:val="16"/>
              </w:rPr>
              <w:t>8.66</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A11AA9" w14:textId="33F17C4E" w:rsidR="00DE4F67" w:rsidRPr="001008E1" w:rsidRDefault="00DE4F67" w:rsidP="00DE4F67">
            <w:pPr>
              <w:pStyle w:val="TableDataEntries"/>
            </w:pPr>
            <w:r>
              <w:rPr>
                <w:szCs w:val="16"/>
              </w:rPr>
              <w:t>8.65</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888E3A" w14:textId="2D0D491B" w:rsidR="00DE4F67" w:rsidRPr="001008E1" w:rsidRDefault="00DE4F67" w:rsidP="00DE4F67">
            <w:pPr>
              <w:pStyle w:val="TableDataEntries"/>
            </w:pPr>
            <w:r>
              <w:rPr>
                <w:szCs w:val="16"/>
              </w:rPr>
              <w:t>8.66</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C50FD4" w14:textId="17103A30" w:rsidR="00DE4F67" w:rsidRPr="001008E1" w:rsidRDefault="00DE4F67" w:rsidP="00DE4F67">
            <w:pPr>
              <w:pStyle w:val="TableDataEntries"/>
            </w:pPr>
            <w:r>
              <w:rPr>
                <w:szCs w:val="16"/>
              </w:rPr>
              <w:t>8.66</w:t>
            </w:r>
          </w:p>
        </w:tc>
      </w:tr>
      <w:tr w:rsidR="00DE4F67" w:rsidRPr="001008E1" w14:paraId="65CDC50D" w14:textId="77777777" w:rsidTr="0032436C">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0819BF" w14:textId="77777777" w:rsidR="00DE4F67" w:rsidRPr="001008E1" w:rsidRDefault="00DE4F67" w:rsidP="00DE4F67">
            <w:pPr>
              <w:pStyle w:val="TableDataEntries"/>
              <w:jc w:val="left"/>
            </w:pPr>
            <w:r w:rsidRPr="001008E1">
              <w:t>Transport equipment</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2D079EC" w14:textId="42ABB6DA" w:rsidR="00DE4F67" w:rsidRPr="001008E1" w:rsidRDefault="00DE4F67" w:rsidP="00DE4F67">
            <w:pPr>
              <w:pStyle w:val="TableDataEntries"/>
            </w:pPr>
            <w:r>
              <w:rPr>
                <w:szCs w:val="16"/>
              </w:rPr>
              <w:t>65.53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E21BCA" w14:textId="2382AD95" w:rsidR="00DE4F67" w:rsidRPr="001008E1" w:rsidRDefault="00DE4F67" w:rsidP="00DE4F67">
            <w:pPr>
              <w:pStyle w:val="TableDataEntries"/>
            </w:pPr>
            <w:r>
              <w:rPr>
                <w:szCs w:val="16"/>
              </w:rPr>
              <w:t>65.00</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750F20B" w14:textId="1C004088" w:rsidR="00DE4F67" w:rsidRPr="001008E1" w:rsidRDefault="00DE4F67" w:rsidP="00DE4F67">
            <w:pPr>
              <w:pStyle w:val="TableDataEntries"/>
            </w:pPr>
            <w:r>
              <w:rPr>
                <w:szCs w:val="16"/>
              </w:rPr>
              <w:t>65.53</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626BC9" w14:textId="4A01FAC2" w:rsidR="00DE4F67" w:rsidRPr="001008E1" w:rsidRDefault="00DE4F67" w:rsidP="00DE4F67">
            <w:pPr>
              <w:pStyle w:val="TableDataEntries"/>
            </w:pPr>
            <w:r>
              <w:rPr>
                <w:szCs w:val="16"/>
              </w:rPr>
              <w:t>65.53</w:t>
            </w:r>
          </w:p>
        </w:tc>
      </w:tr>
      <w:tr w:rsidR="00DE4F67" w:rsidRPr="001008E1" w14:paraId="1289DFDB" w14:textId="77777777" w:rsidTr="0032436C">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0D650F" w14:textId="77777777" w:rsidR="00DE4F67" w:rsidRPr="001008E1" w:rsidRDefault="00DE4F67" w:rsidP="00DE4F67">
            <w:pPr>
              <w:pStyle w:val="TableDataEntries"/>
              <w:jc w:val="left"/>
            </w:pPr>
            <w:r w:rsidRPr="001008E1">
              <w:t>Manufactures, not elsewhere specified</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EAA20C" w14:textId="48448911" w:rsidR="00DE4F67" w:rsidRPr="001008E1" w:rsidRDefault="00DE4F67" w:rsidP="00DE4F67">
            <w:pPr>
              <w:pStyle w:val="TableDataEntries"/>
            </w:pPr>
            <w:r>
              <w:rPr>
                <w:szCs w:val="16"/>
              </w:rPr>
              <w:t>33.87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57B001" w14:textId="44626549" w:rsidR="00DE4F67" w:rsidRPr="001008E1" w:rsidRDefault="00DE4F67" w:rsidP="00DE4F67">
            <w:pPr>
              <w:pStyle w:val="TableDataEntries"/>
            </w:pPr>
            <w:r>
              <w:rPr>
                <w:szCs w:val="16"/>
              </w:rPr>
              <w:t>33.86</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07E3C4" w14:textId="28F26819" w:rsidR="00DE4F67" w:rsidRPr="001008E1" w:rsidRDefault="00DE4F67" w:rsidP="00DE4F67">
            <w:pPr>
              <w:pStyle w:val="TableDataEntries"/>
            </w:pPr>
            <w:r>
              <w:rPr>
                <w:szCs w:val="16"/>
              </w:rPr>
              <w:t>33.87</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EB9A207" w14:textId="1B5ED55C" w:rsidR="00DE4F67" w:rsidRPr="001008E1" w:rsidRDefault="00DE4F67" w:rsidP="00DE4F67">
            <w:pPr>
              <w:pStyle w:val="TableDataEntries"/>
            </w:pPr>
            <w:r>
              <w:rPr>
                <w:szCs w:val="16"/>
              </w:rPr>
              <w:t>33.87</w:t>
            </w:r>
          </w:p>
        </w:tc>
      </w:tr>
      <w:tr w:rsidR="00DE4F67" w:rsidRPr="00DE4F67" w14:paraId="608BB2D6" w14:textId="77777777" w:rsidTr="0032436C">
        <w:trPr>
          <w:trHeight w:val="252"/>
        </w:trPr>
        <w:tc>
          <w:tcPr>
            <w:tcW w:w="3608"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E5D8AF5" w14:textId="0CC7FA74" w:rsidR="00DE4F67" w:rsidRPr="00DE4F67" w:rsidRDefault="00DE4F67" w:rsidP="00DE4F67">
            <w:pPr>
              <w:pStyle w:val="TableDataEntries"/>
              <w:jc w:val="left"/>
              <w:rPr>
                <w:rFonts w:ascii="Franklin Gothic Demi" w:hAnsi="Franklin Gothic Demi"/>
              </w:rPr>
            </w:pPr>
            <w:r w:rsidRPr="00DE4F67">
              <w:rPr>
                <w:rFonts w:ascii="Franklin Gothic Demi" w:hAnsi="Franklin Gothic Demi"/>
              </w:rPr>
              <w:t>Subtotal of non-agricultural products</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75A8ADE5" w14:textId="4D8516E2"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420.09</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32422AD" w14:textId="723AF9CA"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419.32</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7C5323AE" w14:textId="66DFE260"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419.99</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C8CCC70" w14:textId="301573EF"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419.98</w:t>
            </w:r>
          </w:p>
        </w:tc>
      </w:tr>
    </w:tbl>
    <w:p w14:paraId="7160449E" w14:textId="77777777" w:rsidR="0032436C" w:rsidRDefault="0032436C"/>
    <w:tbl>
      <w:tblPr>
        <w:tblW w:w="7936" w:type="dxa"/>
        <w:tblLook w:val="04A0" w:firstRow="1" w:lastRow="0" w:firstColumn="1" w:lastColumn="0" w:noHBand="0" w:noVBand="1"/>
      </w:tblPr>
      <w:tblGrid>
        <w:gridCol w:w="3608"/>
        <w:gridCol w:w="1082"/>
        <w:gridCol w:w="1082"/>
        <w:gridCol w:w="1082"/>
        <w:gridCol w:w="1082"/>
      </w:tblGrid>
      <w:tr w:rsidR="0032436C" w:rsidRPr="001008E1" w14:paraId="0C038C34" w14:textId="77777777" w:rsidTr="006468FC">
        <w:trPr>
          <w:trHeight w:val="876"/>
          <w:tblHeader/>
        </w:trPr>
        <w:tc>
          <w:tcPr>
            <w:tcW w:w="3608" w:type="dxa"/>
            <w:shd w:val="clear" w:color="auto" w:fill="6F6652"/>
            <w:noWrap/>
            <w:tcMar>
              <w:left w:w="57" w:type="dxa"/>
              <w:right w:w="57" w:type="dxa"/>
            </w:tcMar>
            <w:hideMark/>
          </w:tcPr>
          <w:p w14:paraId="5C51BA01" w14:textId="0F8681F3" w:rsidR="0032436C" w:rsidRPr="001008E1" w:rsidRDefault="0032436C" w:rsidP="006468FC">
            <w:pPr>
              <w:pStyle w:val="TableDataColumnHeading"/>
              <w:jc w:val="left"/>
            </w:pPr>
            <w:r>
              <w:t>Totals</w:t>
            </w:r>
          </w:p>
        </w:tc>
        <w:tc>
          <w:tcPr>
            <w:tcW w:w="1082" w:type="dxa"/>
            <w:shd w:val="clear" w:color="auto" w:fill="6F6652"/>
            <w:tcMar>
              <w:left w:w="57" w:type="dxa"/>
              <w:right w:w="57" w:type="dxa"/>
            </w:tcMar>
            <w:vAlign w:val="center"/>
            <w:hideMark/>
          </w:tcPr>
          <w:p w14:paraId="4659A2B0" w14:textId="77777777" w:rsidR="0032436C" w:rsidRPr="00E95F89" w:rsidRDefault="0032436C" w:rsidP="006468FC">
            <w:pPr>
              <w:pStyle w:val="TableDataColumnHeading"/>
              <w:jc w:val="center"/>
              <w:rPr>
                <w:szCs w:val="16"/>
              </w:rPr>
            </w:pPr>
            <w:r w:rsidRPr="00E95F89">
              <w:rPr>
                <w:szCs w:val="16"/>
              </w:rPr>
              <w:t>Potential offer to Australia</w:t>
            </w:r>
            <w:r w:rsidRPr="00E4232C">
              <w:rPr>
                <w:rStyle w:val="NoteLabel"/>
              </w:rPr>
              <w:t xml:space="preserve"> </w:t>
            </w:r>
            <w:r w:rsidRPr="0087158B">
              <w:rPr>
                <w:rStyle w:val="NoteLabel"/>
                <w:color w:val="FFFFFF" w:themeColor="background1"/>
              </w:rPr>
              <w:t>a</w:t>
            </w:r>
            <w:r>
              <w:rPr>
                <w:rStyle w:val="NoteLabel"/>
                <w:color w:val="FFFFFF" w:themeColor="background1"/>
              </w:rPr>
              <w:br/>
              <w:t>$m</w:t>
            </w:r>
          </w:p>
        </w:tc>
        <w:tc>
          <w:tcPr>
            <w:tcW w:w="1082" w:type="dxa"/>
            <w:shd w:val="clear" w:color="auto" w:fill="6F6652"/>
            <w:tcMar>
              <w:left w:w="57" w:type="dxa"/>
              <w:right w:w="57" w:type="dxa"/>
            </w:tcMar>
            <w:vAlign w:val="center"/>
            <w:hideMark/>
          </w:tcPr>
          <w:p w14:paraId="77C30A1C" w14:textId="77777777" w:rsidR="0032436C" w:rsidRPr="00E95F89" w:rsidRDefault="0032436C" w:rsidP="006468FC">
            <w:pPr>
              <w:pStyle w:val="TableDataColumnHeading"/>
              <w:jc w:val="center"/>
              <w:rPr>
                <w:szCs w:val="16"/>
              </w:rPr>
            </w:pPr>
            <w:r w:rsidRPr="00E95F89">
              <w:rPr>
                <w:szCs w:val="16"/>
              </w:rPr>
              <w:t>UAE offer in FTA with Singapore</w:t>
            </w:r>
            <w:r>
              <w:rPr>
                <w:szCs w:val="16"/>
              </w:rPr>
              <w:br/>
              <w:t>$m</w:t>
            </w:r>
          </w:p>
        </w:tc>
        <w:tc>
          <w:tcPr>
            <w:tcW w:w="1082" w:type="dxa"/>
            <w:shd w:val="clear" w:color="auto" w:fill="6F6652"/>
            <w:tcMar>
              <w:left w:w="57" w:type="dxa"/>
              <w:right w:w="57" w:type="dxa"/>
            </w:tcMar>
            <w:vAlign w:val="center"/>
            <w:hideMark/>
          </w:tcPr>
          <w:p w14:paraId="1067BBA7" w14:textId="77777777" w:rsidR="0032436C" w:rsidRPr="00E95F89" w:rsidRDefault="0032436C" w:rsidP="006468FC">
            <w:pPr>
              <w:pStyle w:val="TableDataColumnHeading"/>
              <w:jc w:val="center"/>
              <w:rPr>
                <w:szCs w:val="16"/>
              </w:rPr>
            </w:pPr>
            <w:r w:rsidRPr="00E95F89">
              <w:rPr>
                <w:szCs w:val="16"/>
              </w:rPr>
              <w:t>UAE offer in FTA with EFTA</w:t>
            </w:r>
            <w:r>
              <w:rPr>
                <w:szCs w:val="16"/>
              </w:rPr>
              <w:br/>
              <w:t>$m</w:t>
            </w:r>
          </w:p>
        </w:tc>
        <w:tc>
          <w:tcPr>
            <w:tcW w:w="1082" w:type="dxa"/>
            <w:shd w:val="clear" w:color="auto" w:fill="6F6652"/>
            <w:tcMar>
              <w:left w:w="57" w:type="dxa"/>
              <w:right w:w="57" w:type="dxa"/>
            </w:tcMar>
            <w:vAlign w:val="center"/>
            <w:hideMark/>
          </w:tcPr>
          <w:p w14:paraId="7696A34C" w14:textId="77777777" w:rsidR="0032436C" w:rsidRPr="00E95F89" w:rsidRDefault="0032436C" w:rsidP="006468FC">
            <w:pPr>
              <w:pStyle w:val="TableDataColumnHeading"/>
              <w:jc w:val="center"/>
              <w:rPr>
                <w:szCs w:val="16"/>
              </w:rPr>
            </w:pPr>
            <w:r w:rsidRPr="00E95F89">
              <w:rPr>
                <w:szCs w:val="16"/>
              </w:rPr>
              <w:t xml:space="preserve">UAE offer in India </w:t>
            </w:r>
            <w:r>
              <w:rPr>
                <w:szCs w:val="16"/>
              </w:rPr>
              <w:t xml:space="preserve">CEPA </w:t>
            </w:r>
            <w:r w:rsidRPr="00E95F89">
              <w:rPr>
                <w:szCs w:val="16"/>
              </w:rPr>
              <w:t>- Year 10</w:t>
            </w:r>
            <w:r>
              <w:rPr>
                <w:szCs w:val="16"/>
              </w:rPr>
              <w:br/>
              <w:t>$m</w:t>
            </w:r>
          </w:p>
        </w:tc>
      </w:tr>
      <w:tr w:rsidR="00DE4F67" w:rsidRPr="00DE4F67" w14:paraId="33C43B56" w14:textId="77777777" w:rsidTr="00BE6147">
        <w:trPr>
          <w:trHeight w:val="252"/>
        </w:trPr>
        <w:tc>
          <w:tcPr>
            <w:tcW w:w="3608"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A58A6E3" w14:textId="2B9848F8" w:rsidR="00DE4F67" w:rsidRPr="00DE4F67" w:rsidRDefault="00DE4F67" w:rsidP="00DE4F67">
            <w:pPr>
              <w:pStyle w:val="TableDataEntries"/>
              <w:jc w:val="left"/>
              <w:rPr>
                <w:rFonts w:ascii="Franklin Gothic Demi" w:hAnsi="Franklin Gothic Demi"/>
              </w:rPr>
            </w:pPr>
            <w:r w:rsidRPr="00DE4F67">
              <w:rPr>
                <w:rFonts w:ascii="Franklin Gothic Demi" w:hAnsi="Franklin Gothic Demi"/>
              </w:rPr>
              <w:t>All commodities</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60748ED" w14:textId="1664543D"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678.08</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0858C9B" w14:textId="0343E854"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668.94</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E6FEE59" w14:textId="00F0D682"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674.16</w:t>
            </w:r>
          </w:p>
        </w:tc>
        <w:tc>
          <w:tcPr>
            <w:tcW w:w="108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0717B696" w14:textId="7366342E" w:rsidR="00DE4F67" w:rsidRPr="00DE4F67" w:rsidRDefault="00DE4F67" w:rsidP="00DE4F67">
            <w:pPr>
              <w:pStyle w:val="TableDataEntries"/>
              <w:rPr>
                <w:rFonts w:ascii="Franklin Gothic Demi" w:hAnsi="Franklin Gothic Demi"/>
              </w:rPr>
            </w:pPr>
            <w:r w:rsidRPr="00DE4F67">
              <w:rPr>
                <w:rFonts w:ascii="Franklin Gothic Demi" w:hAnsi="Franklin Gothic Demi"/>
                <w:bCs/>
                <w:szCs w:val="16"/>
              </w:rPr>
              <w:t>677.98</w:t>
            </w:r>
          </w:p>
        </w:tc>
      </w:tr>
      <w:tr w:rsidR="00DE4F67" w:rsidRPr="001008E1" w14:paraId="1391512E" w14:textId="77777777" w:rsidTr="00DE4F67">
        <w:trPr>
          <w:trHeight w:val="252"/>
        </w:trPr>
        <w:tc>
          <w:tcPr>
            <w:tcW w:w="360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25177B" w14:textId="77777777" w:rsidR="00DE4F67" w:rsidRPr="001008E1" w:rsidRDefault="00DE4F67" w:rsidP="00DE4F67">
            <w:pPr>
              <w:pStyle w:val="TableDataEntries"/>
              <w:jc w:val="left"/>
            </w:pPr>
            <w:r w:rsidRPr="001008E1">
              <w:t>Previous estimates</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0276DD" w14:textId="6374D910" w:rsidR="00DE4F67" w:rsidRPr="001008E1" w:rsidRDefault="00DE4F67" w:rsidP="00DE4F67">
            <w:pPr>
              <w:pStyle w:val="TableDataEntries"/>
            </w:pPr>
            <w:r>
              <w:rPr>
                <w:szCs w:val="16"/>
              </w:rPr>
              <w:t>492.38</w:t>
            </w:r>
            <w:r w:rsidR="000F6440">
              <w:rPr>
                <w:rStyle w:val="NoteLabel"/>
              </w:rPr>
              <w:t xml:space="preserve"> </w:t>
            </w:r>
            <w:r w:rsidR="000F6440" w:rsidRPr="000F6440">
              <w:rPr>
                <w:rStyle w:val="NoteLabel"/>
              </w:rPr>
              <w:t>b</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96EA6F" w14:textId="2C2E25F3" w:rsidR="00DE4F67" w:rsidRPr="001008E1" w:rsidRDefault="00DE4F67" w:rsidP="00DE4F67">
            <w:pPr>
              <w:pStyle w:val="TableDataEntries"/>
            </w:pPr>
            <w:r>
              <w:rPr>
                <w:szCs w:val="16"/>
              </w:rPr>
              <w:t>487.92</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AC5840" w14:textId="24372424" w:rsidR="00DE4F67" w:rsidRPr="001008E1" w:rsidRDefault="00DE4F67" w:rsidP="00DE4F67">
            <w:pPr>
              <w:pStyle w:val="TableDataEntries"/>
            </w:pPr>
            <w:r>
              <w:rPr>
                <w:szCs w:val="16"/>
              </w:rPr>
              <w:t>492.14</w:t>
            </w:r>
          </w:p>
        </w:tc>
        <w:tc>
          <w:tcPr>
            <w:tcW w:w="108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C2645E" w14:textId="2115C168" w:rsidR="00DE4F67" w:rsidRPr="001008E1" w:rsidRDefault="00DE4F67" w:rsidP="00DE4F67">
            <w:pPr>
              <w:pStyle w:val="TableDataEntries"/>
            </w:pPr>
            <w:r>
              <w:rPr>
                <w:szCs w:val="16"/>
              </w:rPr>
              <w:t>497.09</w:t>
            </w:r>
          </w:p>
        </w:tc>
      </w:tr>
      <w:tr w:rsidR="00DE4F67" w:rsidRPr="00DE4F67" w14:paraId="28F55724" w14:textId="77777777" w:rsidTr="00BE6147">
        <w:trPr>
          <w:trHeight w:val="252"/>
        </w:trPr>
        <w:tc>
          <w:tcPr>
            <w:tcW w:w="3608"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8E3FBD2" w14:textId="77777777" w:rsidR="00DE4F67" w:rsidRPr="00DE4F67" w:rsidRDefault="00DE4F67" w:rsidP="00DE4F67">
            <w:pPr>
              <w:pStyle w:val="TableDataEntries"/>
              <w:jc w:val="left"/>
              <w:rPr>
                <w:rFonts w:ascii="Franklin Gothic Demi" w:hAnsi="Franklin Gothic Demi"/>
              </w:rPr>
            </w:pPr>
            <w:r w:rsidRPr="00DE4F67">
              <w:rPr>
                <w:rFonts w:ascii="Franklin Gothic Demi" w:hAnsi="Franklin Gothic Demi"/>
              </w:rPr>
              <w:t>Increase from previous estimates (%)</w:t>
            </w:r>
          </w:p>
        </w:tc>
        <w:tc>
          <w:tcPr>
            <w:tcW w:w="108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6D408446" w14:textId="35004762" w:rsidR="00DE4F67" w:rsidRPr="00DE4F67" w:rsidRDefault="00DE4F67" w:rsidP="00DE4F67">
            <w:pPr>
              <w:pStyle w:val="TableDataEntries"/>
              <w:rPr>
                <w:rFonts w:ascii="Franklin Gothic Demi" w:hAnsi="Franklin Gothic Demi"/>
              </w:rPr>
            </w:pPr>
            <w:r w:rsidRPr="00DE4F67">
              <w:rPr>
                <w:rFonts w:ascii="Franklin Gothic Demi" w:hAnsi="Franklin Gothic Demi"/>
                <w:szCs w:val="16"/>
              </w:rPr>
              <w:t>37.71</w:t>
            </w:r>
          </w:p>
        </w:tc>
        <w:tc>
          <w:tcPr>
            <w:tcW w:w="108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F1F5B3A" w14:textId="54AFC961" w:rsidR="00DE4F67" w:rsidRPr="00DE4F67" w:rsidRDefault="00DE4F67" w:rsidP="00DE4F67">
            <w:pPr>
              <w:pStyle w:val="TableDataEntries"/>
              <w:rPr>
                <w:rFonts w:ascii="Franklin Gothic Demi" w:hAnsi="Franklin Gothic Demi"/>
              </w:rPr>
            </w:pPr>
            <w:r w:rsidRPr="00DE4F67">
              <w:rPr>
                <w:rFonts w:ascii="Franklin Gothic Demi" w:hAnsi="Franklin Gothic Demi"/>
                <w:szCs w:val="16"/>
              </w:rPr>
              <w:t>37.10</w:t>
            </w:r>
          </w:p>
        </w:tc>
        <w:tc>
          <w:tcPr>
            <w:tcW w:w="108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0FBAC31" w14:textId="4049E282" w:rsidR="00DE4F67" w:rsidRPr="00DE4F67" w:rsidRDefault="00DE4F67" w:rsidP="00DE4F67">
            <w:pPr>
              <w:pStyle w:val="TableDataEntries"/>
              <w:rPr>
                <w:rFonts w:ascii="Franklin Gothic Demi" w:hAnsi="Franklin Gothic Demi"/>
              </w:rPr>
            </w:pPr>
            <w:r w:rsidRPr="00DE4F67">
              <w:rPr>
                <w:rFonts w:ascii="Franklin Gothic Demi" w:hAnsi="Franklin Gothic Demi"/>
                <w:szCs w:val="16"/>
              </w:rPr>
              <w:t>36.98</w:t>
            </w:r>
          </w:p>
        </w:tc>
        <w:tc>
          <w:tcPr>
            <w:tcW w:w="108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6209B1C2" w14:textId="65ECB4FC" w:rsidR="00DE4F67" w:rsidRPr="00DE4F67" w:rsidRDefault="00DE4F67" w:rsidP="00DE4F67">
            <w:pPr>
              <w:pStyle w:val="TableDataEntries"/>
              <w:rPr>
                <w:rFonts w:ascii="Franklin Gothic Demi" w:hAnsi="Franklin Gothic Demi"/>
              </w:rPr>
            </w:pPr>
            <w:r w:rsidRPr="00DE4F67">
              <w:rPr>
                <w:rFonts w:ascii="Franklin Gothic Demi" w:hAnsi="Franklin Gothic Demi"/>
                <w:szCs w:val="16"/>
              </w:rPr>
              <w:t>36.39</w:t>
            </w:r>
          </w:p>
        </w:tc>
      </w:tr>
    </w:tbl>
    <w:p w14:paraId="01E5D8A7" w14:textId="0A4A6E3C" w:rsidR="00AB0DCF" w:rsidRPr="00E4232C" w:rsidRDefault="00AB0DCF" w:rsidP="00BE6147">
      <w:pPr>
        <w:pStyle w:val="Note"/>
      </w:pPr>
      <w:proofErr w:type="spellStart"/>
      <w:r w:rsidRPr="00E4232C">
        <w:rPr>
          <w:rStyle w:val="NoteLabel"/>
        </w:rPr>
        <w:t>a</w:t>
      </w:r>
      <w:proofErr w:type="spellEnd"/>
      <w:r>
        <w:t xml:space="preserve"> </w:t>
      </w:r>
      <w:r w:rsidR="00447E22">
        <w:t>U</w:t>
      </w:r>
      <w:r w:rsidR="00864250">
        <w:t xml:space="preserve">sing the tariff </w:t>
      </w:r>
      <w:r w:rsidR="000F42CF">
        <w:t>schedule</w:t>
      </w:r>
      <w:r w:rsidR="00864250">
        <w:t xml:space="preserve"> provided by DFAT; </w:t>
      </w:r>
      <w:r w:rsidR="00864250">
        <w:rPr>
          <w:rStyle w:val="NoteLabel"/>
        </w:rPr>
        <w:t>b</w:t>
      </w:r>
      <w:r w:rsidR="00864250">
        <w:t xml:space="preserve"> it was not applicable in the previous analysis, </w:t>
      </w:r>
      <w:r w:rsidR="00210186">
        <w:t xml:space="preserve">and uses the </w:t>
      </w:r>
      <w:r w:rsidR="00713C82">
        <w:t xml:space="preserve">average of </w:t>
      </w:r>
      <w:r w:rsidR="00210186">
        <w:t>other three impacts estimated previously</w:t>
      </w:r>
    </w:p>
    <w:p w14:paraId="1A1474B8" w14:textId="36EA69F4" w:rsidR="00AC7EF0" w:rsidRDefault="00AC7EF0" w:rsidP="00AC7EF0">
      <w:pPr>
        <w:pStyle w:val="Note"/>
        <w:rPr>
          <w:lang w:bidi="fa-IR"/>
        </w:rPr>
      </w:pPr>
      <w:r w:rsidRPr="007D1B4F">
        <w:rPr>
          <w:i/>
        </w:rPr>
        <w:t>Note:</w:t>
      </w:r>
      <w:r w:rsidRPr="00E879B8">
        <w:t xml:space="preserve"> </w:t>
      </w:r>
      <w:r w:rsidR="001B04E8" w:rsidRPr="001B04E8">
        <w:t>Using Australia's average annual export value to the UAE over 2021-2023 as the base value</w:t>
      </w:r>
    </w:p>
    <w:p w14:paraId="197196AF" w14:textId="385DEDC7" w:rsidR="00AB0DCF" w:rsidRDefault="00AB0DCF" w:rsidP="00AB0DCF">
      <w:pPr>
        <w:pStyle w:val="Source"/>
        <w:rPr>
          <w:lang w:bidi="fa-IR"/>
        </w:rPr>
      </w:pPr>
      <w:r w:rsidRPr="00AB0DCF">
        <w:rPr>
          <w:i/>
          <w:lang w:bidi="fa-IR"/>
        </w:rPr>
        <w:t>Source:</w:t>
      </w:r>
      <w:r>
        <w:rPr>
          <w:lang w:bidi="fa-IR"/>
        </w:rPr>
        <w:t xml:space="preserve"> </w:t>
      </w:r>
      <w:r w:rsidR="00713C82">
        <w:rPr>
          <w:lang w:bidi="fa-IR"/>
        </w:rPr>
        <w:t>CIE estimates</w:t>
      </w:r>
    </w:p>
    <w:p w14:paraId="3BD63FDB" w14:textId="7763486E" w:rsidR="00AB0DCF" w:rsidRDefault="00133C47" w:rsidP="00E741E8">
      <w:pPr>
        <w:pStyle w:val="BodyText"/>
        <w:rPr>
          <w:lang w:bidi="fa-IR"/>
        </w:rPr>
      </w:pPr>
      <w:r>
        <w:rPr>
          <w:lang w:bidi="fa-IR"/>
        </w:rPr>
        <w:t>As explained above, the higher impact is due to two factors</w:t>
      </w:r>
      <w:r w:rsidR="00200FB7">
        <w:rPr>
          <w:lang w:bidi="fa-IR"/>
        </w:rPr>
        <w:t xml:space="preserve"> – higher base value of exports; and different </w:t>
      </w:r>
      <w:r w:rsidR="00272582">
        <w:rPr>
          <w:lang w:bidi="fa-IR"/>
        </w:rPr>
        <w:t xml:space="preserve">composition of </w:t>
      </w:r>
      <w:r w:rsidR="00A109A0">
        <w:rPr>
          <w:lang w:bidi="fa-IR"/>
        </w:rPr>
        <w:t>the export commodities</w:t>
      </w:r>
      <w:r w:rsidR="002B731A">
        <w:rPr>
          <w:lang w:bidi="fa-IR"/>
        </w:rPr>
        <w:t>.</w:t>
      </w:r>
      <w:r w:rsidR="00A109A0">
        <w:rPr>
          <w:lang w:bidi="fa-IR"/>
        </w:rPr>
        <w:t xml:space="preserve"> </w:t>
      </w:r>
      <w:r w:rsidR="00AB4D5E">
        <w:rPr>
          <w:lang w:bidi="fa-IR"/>
        </w:rPr>
        <w:t xml:space="preserve">Compared with the export values used for the original analysis, </w:t>
      </w:r>
      <w:r w:rsidR="00F4410D" w:rsidRPr="00F4410D">
        <w:rPr>
          <w:lang w:bidi="fa-IR"/>
        </w:rPr>
        <w:t xml:space="preserve">some commodities with </w:t>
      </w:r>
      <w:r w:rsidR="00F4410D">
        <w:rPr>
          <w:lang w:bidi="fa-IR"/>
        </w:rPr>
        <w:t xml:space="preserve">a </w:t>
      </w:r>
      <w:r w:rsidR="00F4410D" w:rsidRPr="00F4410D">
        <w:rPr>
          <w:lang w:bidi="fa-IR"/>
        </w:rPr>
        <w:t>tariff have increased their exports to UAE significantly. For example, ‘222 Oil-seeds &amp; oleaginous fruits, soft’ attracts a duty of 5</w:t>
      </w:r>
      <w:r w:rsidR="00F4410D">
        <w:rPr>
          <w:lang w:bidi="fa-IR"/>
        </w:rPr>
        <w:t xml:space="preserve"> per cent</w:t>
      </w:r>
      <w:r w:rsidR="00F4410D" w:rsidRPr="00F4410D">
        <w:rPr>
          <w:lang w:bidi="fa-IR"/>
        </w:rPr>
        <w:t xml:space="preserve"> (both as MFN rate in previous report and the new base rate), but the value of exports has increased from some $50 million (2015-19 average) to $625 million (2021-23 average), making it the largest export growth commodity following an FTA in the update</w:t>
      </w:r>
      <w:r w:rsidR="005951F3">
        <w:rPr>
          <w:lang w:bidi="fa-IR"/>
        </w:rPr>
        <w:t xml:space="preserve"> (see tables </w:t>
      </w:r>
      <w:r w:rsidR="005951F3">
        <w:rPr>
          <w:lang w:bidi="fa-IR"/>
        </w:rPr>
        <w:fldChar w:fldCharType="begin"/>
      </w:r>
      <w:r w:rsidR="005951F3">
        <w:rPr>
          <w:lang w:bidi="fa-IR"/>
        </w:rPr>
        <w:instrText xml:space="preserve"> REF _Caption3921 </w:instrText>
      </w:r>
      <w:r w:rsidR="005951F3">
        <w:rPr>
          <w:lang w:bidi="fa-IR"/>
        </w:rPr>
        <w:fldChar w:fldCharType="separate"/>
      </w:r>
      <w:r w:rsidR="00586CBD">
        <w:rPr>
          <w:noProof/>
        </w:rPr>
        <w:t>4</w:t>
      </w:r>
      <w:r w:rsidR="005951F3">
        <w:rPr>
          <w:lang w:bidi="fa-IR"/>
        </w:rPr>
        <w:fldChar w:fldCharType="end"/>
      </w:r>
      <w:r w:rsidR="005951F3">
        <w:rPr>
          <w:lang w:bidi="fa-IR"/>
        </w:rPr>
        <w:t xml:space="preserve"> and </w:t>
      </w:r>
      <w:r w:rsidR="005951F3">
        <w:rPr>
          <w:lang w:bidi="fa-IR"/>
        </w:rPr>
        <w:fldChar w:fldCharType="begin"/>
      </w:r>
      <w:r w:rsidR="005951F3">
        <w:rPr>
          <w:lang w:bidi="fa-IR"/>
        </w:rPr>
        <w:instrText xml:space="preserve"> REF _Caption5617 </w:instrText>
      </w:r>
      <w:r w:rsidR="005951F3">
        <w:rPr>
          <w:lang w:bidi="fa-IR"/>
        </w:rPr>
        <w:fldChar w:fldCharType="separate"/>
      </w:r>
      <w:r w:rsidR="00586CBD">
        <w:rPr>
          <w:noProof/>
        </w:rPr>
        <w:t>5</w:t>
      </w:r>
      <w:r w:rsidR="005951F3">
        <w:rPr>
          <w:lang w:bidi="fa-IR"/>
        </w:rPr>
        <w:fldChar w:fldCharType="end"/>
      </w:r>
      <w:r w:rsidR="005951F3">
        <w:rPr>
          <w:lang w:bidi="fa-IR"/>
        </w:rPr>
        <w:t xml:space="preserve"> for more details)</w:t>
      </w:r>
      <w:r w:rsidR="00F4410D" w:rsidRPr="00F4410D">
        <w:rPr>
          <w:lang w:bidi="fa-IR"/>
        </w:rPr>
        <w:t>.</w:t>
      </w:r>
    </w:p>
    <w:p w14:paraId="279A6F71" w14:textId="6D9B2577" w:rsidR="00366F96" w:rsidRDefault="0079476B" w:rsidP="00E741E8">
      <w:pPr>
        <w:pStyle w:val="BodyText"/>
        <w:rPr>
          <w:lang w:bidi="fa-IR"/>
        </w:rPr>
      </w:pPr>
      <w:r>
        <w:rPr>
          <w:lang w:bidi="fa-IR"/>
        </w:rPr>
        <w:t xml:space="preserve">Compared to </w:t>
      </w:r>
      <w:r w:rsidR="00925C8D">
        <w:rPr>
          <w:lang w:bidi="fa-IR"/>
        </w:rPr>
        <w:t xml:space="preserve">UAE’s </w:t>
      </w:r>
      <w:r w:rsidR="00967D84">
        <w:rPr>
          <w:lang w:bidi="fa-IR"/>
        </w:rPr>
        <w:t xml:space="preserve">offers </w:t>
      </w:r>
      <w:r w:rsidR="00925C8D">
        <w:rPr>
          <w:lang w:bidi="fa-IR"/>
        </w:rPr>
        <w:t>for Singapore, EFTA and India (10 years after the commencement of the FTA)</w:t>
      </w:r>
      <w:r w:rsidR="001C1F9B">
        <w:rPr>
          <w:lang w:bidi="fa-IR"/>
        </w:rPr>
        <w:t xml:space="preserve">, the </w:t>
      </w:r>
      <w:r w:rsidR="00F52118">
        <w:rPr>
          <w:lang w:bidi="fa-IR"/>
        </w:rPr>
        <w:t xml:space="preserve">potential trade liberalisation suggested by the </w:t>
      </w:r>
      <w:r w:rsidR="00266A5E">
        <w:rPr>
          <w:lang w:bidi="fa-IR"/>
        </w:rPr>
        <w:t>new base rate has the highest</w:t>
      </w:r>
      <w:r w:rsidR="00F52118">
        <w:rPr>
          <w:lang w:bidi="fa-IR"/>
        </w:rPr>
        <w:t xml:space="preserve"> </w:t>
      </w:r>
      <w:r w:rsidR="001C1F9B">
        <w:rPr>
          <w:lang w:bidi="fa-IR"/>
        </w:rPr>
        <w:t>overall impact</w:t>
      </w:r>
      <w:r w:rsidR="0007477B">
        <w:rPr>
          <w:lang w:bidi="fa-IR"/>
        </w:rPr>
        <w:t>, although differences are very small.</w:t>
      </w:r>
    </w:p>
    <w:p w14:paraId="5D6546C2" w14:textId="52965FE0" w:rsidR="00313426" w:rsidRDefault="002D25E6" w:rsidP="00E741E8">
      <w:pPr>
        <w:pStyle w:val="BodyText"/>
        <w:rPr>
          <w:lang w:bidi="fa-IR"/>
        </w:rPr>
      </w:pPr>
      <w:r>
        <w:rPr>
          <w:lang w:bidi="fa-IR"/>
        </w:rPr>
        <w:t xml:space="preserve">While the results </w:t>
      </w:r>
      <w:r w:rsidR="004E5A7E">
        <w:rPr>
          <w:lang w:bidi="fa-IR"/>
        </w:rPr>
        <w:t xml:space="preserve">for India CEPA reported in </w:t>
      </w:r>
      <w:r w:rsidR="00A574D0">
        <w:rPr>
          <w:lang w:bidi="fa-IR"/>
        </w:rPr>
        <w:t xml:space="preserve">table </w:t>
      </w:r>
      <w:r w:rsidR="00A574D0">
        <w:rPr>
          <w:lang w:bidi="fa-IR"/>
        </w:rPr>
        <w:fldChar w:fldCharType="begin"/>
      </w:r>
      <w:r w:rsidR="00A574D0">
        <w:rPr>
          <w:lang w:bidi="fa-IR"/>
        </w:rPr>
        <w:instrText xml:space="preserve"> REF _Caption9714 </w:instrText>
      </w:r>
      <w:r w:rsidR="00A574D0">
        <w:rPr>
          <w:lang w:bidi="fa-IR"/>
        </w:rPr>
        <w:fldChar w:fldCharType="separate"/>
      </w:r>
      <w:r w:rsidR="00586CBD">
        <w:rPr>
          <w:noProof/>
        </w:rPr>
        <w:t>2</w:t>
      </w:r>
      <w:r w:rsidR="00A574D0">
        <w:rPr>
          <w:lang w:bidi="fa-IR"/>
        </w:rPr>
        <w:fldChar w:fldCharType="end"/>
      </w:r>
      <w:r w:rsidR="00A574D0">
        <w:rPr>
          <w:lang w:bidi="fa-IR"/>
        </w:rPr>
        <w:t xml:space="preserve"> (updated table 5.7) represent full impact at Year 10 of the agreement, the initial impacts </w:t>
      </w:r>
      <w:r w:rsidR="006D4EA6">
        <w:rPr>
          <w:lang w:bidi="fa-IR"/>
        </w:rPr>
        <w:t xml:space="preserve">in the first year would be equivalent to more than 95 per cent of the full impacts (chart </w:t>
      </w:r>
      <w:r w:rsidR="00D15546">
        <w:rPr>
          <w:lang w:bidi="fa-IR"/>
        </w:rPr>
        <w:fldChar w:fldCharType="begin"/>
      </w:r>
      <w:r w:rsidR="00D15546">
        <w:rPr>
          <w:lang w:bidi="fa-IR"/>
        </w:rPr>
        <w:instrText xml:space="preserve"> REF _Caption9185 </w:instrText>
      </w:r>
      <w:r w:rsidR="00D15546">
        <w:rPr>
          <w:lang w:bidi="fa-IR"/>
        </w:rPr>
        <w:fldChar w:fldCharType="separate"/>
      </w:r>
      <w:r w:rsidR="00586CBD">
        <w:rPr>
          <w:noProof/>
        </w:rPr>
        <w:t>3</w:t>
      </w:r>
      <w:r w:rsidR="00D15546">
        <w:rPr>
          <w:lang w:bidi="fa-IR"/>
        </w:rPr>
        <w:fldChar w:fldCharType="end"/>
      </w:r>
      <w:r w:rsidR="006D4EA6">
        <w:rPr>
          <w:lang w:bidi="fa-IR"/>
        </w:rPr>
        <w:t>).</w:t>
      </w:r>
      <w:r w:rsidR="00D15546">
        <w:rPr>
          <w:lang w:bidi="fa-IR"/>
        </w:rPr>
        <w:t xml:space="preserve"> This pattern is </w:t>
      </w:r>
      <w:proofErr w:type="gramStart"/>
      <w:r w:rsidR="00D15546">
        <w:rPr>
          <w:lang w:bidi="fa-IR"/>
        </w:rPr>
        <w:t>similar to</w:t>
      </w:r>
      <w:proofErr w:type="gramEnd"/>
      <w:r w:rsidR="00D15546">
        <w:rPr>
          <w:lang w:bidi="fa-IR"/>
        </w:rPr>
        <w:t xml:space="preserve"> previous analysis</w:t>
      </w:r>
      <w:r w:rsidR="00003016">
        <w:rPr>
          <w:lang w:bidi="fa-IR"/>
        </w:rPr>
        <w:t>.</w:t>
      </w:r>
    </w:p>
    <w:p w14:paraId="7BEA64F3" w14:textId="71086B0E" w:rsidR="00366F96" w:rsidRDefault="00366F96" w:rsidP="00BE6147">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b/>
          <w:bCs/>
          <w:noProof/>
          <w:lang w:val="en-US"/>
        </w:rPr>
        <w:instrText>Error! No text of specified style in document.</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Pr>
          <w:noProof/>
        </w:rPr>
        <w:instrText>A</w:instrText>
      </w:r>
      <w:r>
        <w:rPr>
          <w:noProof/>
        </w:rPr>
        <w:fldChar w:fldCharType="end"/>
      </w:r>
      <w:r w:rsidRPr="00695C93">
        <w:instrText xml:space="preserve">." </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end"/>
      </w:r>
      <w:r w:rsidRPr="00695C93">
        <w:instrText xml:space="preserve"> </w:instrText>
      </w:r>
      <w:r w:rsidRPr="00695C93">
        <w:fldChar w:fldCharType="separate"/>
      </w:r>
      <w:r w:rsidR="00586CBD">
        <w:rPr>
          <w:noProof/>
        </w:rPr>
        <w:instrText>3</w:instrText>
      </w:r>
      <w:r w:rsidRPr="00695C93">
        <w:fldChar w:fldCharType="end"/>
      </w:r>
      <w:r w:rsidRPr="00695C93">
        <w:instrText xml:space="preserve">" "" </w:instrText>
      </w:r>
      <w:r w:rsidRPr="00695C93">
        <w:fldChar w:fldCharType="separate"/>
      </w:r>
      <w:bookmarkStart w:id="19" w:name="_Caption7125"/>
      <w:bookmarkStart w:id="20" w:name="_Caption9969"/>
      <w:bookmarkStart w:id="21" w:name="_Caption9185"/>
      <w:bookmarkStart w:id="22" w:name="_Caption2079"/>
      <w:bookmarkStart w:id="23" w:name="_Caption2129"/>
      <w:bookmarkStart w:id="24" w:name="_Toc320545098"/>
      <w:bookmarkStart w:id="25" w:name="_Toc175649963"/>
      <w:r w:rsidR="00586CBD">
        <w:rPr>
          <w:noProof/>
        </w:rPr>
        <w:t>3</w:t>
      </w:r>
      <w:bookmarkEnd w:id="19"/>
      <w:bookmarkEnd w:id="20"/>
      <w:bookmarkEnd w:id="21"/>
      <w:bookmarkEnd w:id="22"/>
      <w:bookmarkEnd w:id="23"/>
      <w:r w:rsidRPr="00695C93">
        <w:fldChar w:fldCharType="end"/>
      </w:r>
      <w:r w:rsidRPr="00695C93">
        <w:tab/>
      </w:r>
      <w:bookmarkEnd w:id="24"/>
      <w:r>
        <w:t>Updated chart 5.8: Australia’s merchandise export increase over time implied by the offers in India CEPA</w:t>
      </w:r>
      <w:bookmarkEnd w:id="25"/>
    </w:p>
    <w:p w14:paraId="0EBC80FA" w14:textId="032A3519" w:rsidR="00B154EB" w:rsidRPr="00B154EB" w:rsidRDefault="00B154EB" w:rsidP="00B154EB">
      <w:pPr>
        <w:pStyle w:val="Subtitlebox"/>
      </w:pPr>
      <w:r w:rsidRPr="00F86422">
        <w:rPr>
          <w:noProof/>
        </w:rPr>
        <w:drawing>
          <wp:inline distT="0" distB="0" distL="0" distR="0" wp14:anchorId="0543AB52" wp14:editId="712AB059">
            <wp:extent cx="4883150" cy="2435225"/>
            <wp:effectExtent l="0" t="0" r="0" b="0"/>
            <wp:docPr id="2113927896" name="Picture 2" descr="Bar chart showing non-agriculture and agriculture merchandise export increase over time, from Y1 to Y10. Agriculture exports consistently about $300 million while non-agriculture exports sit about $750 million, gradually increasing closer to $800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27896" name="Picture 2" descr="Bar chart showing non-agriculture and agriculture merchandise export increase over time, from Y1 to Y10. Agriculture exports consistently about $300 million while non-agriculture exports sit about $750 million, gradually increasing closer to $800 mill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83150" cy="2435225"/>
                    </a:xfrm>
                    <a:prstGeom prst="rect">
                      <a:avLst/>
                    </a:prstGeom>
                    <a:noFill/>
                    <a:ln>
                      <a:noFill/>
                    </a:ln>
                  </pic:spPr>
                </pic:pic>
              </a:graphicData>
            </a:graphic>
          </wp:inline>
        </w:drawing>
      </w:r>
    </w:p>
    <w:p w14:paraId="2F0D2334" w14:textId="401C1973" w:rsidR="00366F96" w:rsidRPr="00A97BEC" w:rsidRDefault="00366F96" w:rsidP="00BE6147">
      <w:pPr>
        <w:pStyle w:val="Note"/>
      </w:pPr>
      <w:r w:rsidRPr="00A97BEC">
        <w:rPr>
          <w:i/>
        </w:rPr>
        <w:t>Note:</w:t>
      </w:r>
      <w:r w:rsidR="00313426">
        <w:rPr>
          <w:i/>
        </w:rPr>
        <w:t xml:space="preserve"> </w:t>
      </w:r>
      <w:r w:rsidR="00313426" w:rsidRPr="00995669">
        <w:t>Using Australia's export value to the UAE in 2023 as the base value</w:t>
      </w:r>
      <w:r w:rsidRPr="00A97BEC">
        <w:rPr>
          <w:i/>
        </w:rPr>
        <w:t xml:space="preserve"> </w:t>
      </w:r>
    </w:p>
    <w:p w14:paraId="260C4C12" w14:textId="595D1BBF" w:rsidR="00366F96" w:rsidRDefault="00366F96" w:rsidP="00BE6147">
      <w:pPr>
        <w:pStyle w:val="Source"/>
      </w:pPr>
      <w:r>
        <w:rPr>
          <w:i/>
        </w:rPr>
        <w:t>Data source</w:t>
      </w:r>
      <w:r w:rsidRPr="00A67576">
        <w:rPr>
          <w:i/>
        </w:rPr>
        <w:t>:</w:t>
      </w:r>
      <w:r>
        <w:t xml:space="preserve"> </w:t>
      </w:r>
      <w:r w:rsidR="00313426">
        <w:t>CIE estimates</w:t>
      </w:r>
    </w:p>
    <w:p w14:paraId="659DFD4F" w14:textId="3D5BF0CB" w:rsidR="001B343E" w:rsidRDefault="007E0543" w:rsidP="00E741E8">
      <w:pPr>
        <w:pStyle w:val="BodyText"/>
        <w:rPr>
          <w:lang w:bidi="fa-IR"/>
        </w:rPr>
      </w:pPr>
      <w:r>
        <w:rPr>
          <w:lang w:bidi="fa-IR"/>
        </w:rPr>
        <w:t xml:space="preserve">Because the composition of exports is different, the impacts on </w:t>
      </w:r>
      <w:r w:rsidR="00D77429">
        <w:rPr>
          <w:lang w:bidi="fa-IR"/>
        </w:rPr>
        <w:t>top exports are different</w:t>
      </w:r>
      <w:r w:rsidR="00850E25">
        <w:rPr>
          <w:lang w:bidi="fa-IR"/>
        </w:rPr>
        <w:t xml:space="preserve"> to previous </w:t>
      </w:r>
      <w:r w:rsidR="00931D92">
        <w:rPr>
          <w:lang w:bidi="fa-IR"/>
        </w:rPr>
        <w:t>estimates</w:t>
      </w:r>
      <w:r w:rsidR="00D77429">
        <w:rPr>
          <w:lang w:bidi="fa-IR"/>
        </w:rPr>
        <w:t xml:space="preserve">. Table </w:t>
      </w:r>
      <w:r w:rsidR="005E0B89">
        <w:rPr>
          <w:lang w:bidi="fa-IR"/>
        </w:rPr>
        <w:fldChar w:fldCharType="begin"/>
      </w:r>
      <w:r w:rsidR="005E0B89">
        <w:rPr>
          <w:lang w:bidi="fa-IR"/>
        </w:rPr>
        <w:instrText xml:space="preserve"> REF _Caption4750 </w:instrText>
      </w:r>
      <w:r w:rsidR="005E0B89">
        <w:rPr>
          <w:lang w:bidi="fa-IR"/>
        </w:rPr>
        <w:fldChar w:fldCharType="separate"/>
      </w:r>
      <w:r w:rsidR="00586CBD">
        <w:rPr>
          <w:noProof/>
        </w:rPr>
        <w:t>4</w:t>
      </w:r>
      <w:r w:rsidR="005E0B89">
        <w:rPr>
          <w:lang w:bidi="fa-IR"/>
        </w:rPr>
        <w:fldChar w:fldCharType="end"/>
      </w:r>
      <w:r w:rsidR="005E0B89">
        <w:rPr>
          <w:lang w:bidi="fa-IR"/>
        </w:rPr>
        <w:t xml:space="preserve"> </w:t>
      </w:r>
      <w:r w:rsidR="0052620C">
        <w:rPr>
          <w:lang w:bidi="fa-IR"/>
        </w:rPr>
        <w:t xml:space="preserve">presents the updated table 5.9 in the original report, which </w:t>
      </w:r>
      <w:r w:rsidR="007A5B0B">
        <w:rPr>
          <w:lang w:bidi="fa-IR"/>
        </w:rPr>
        <w:t xml:space="preserve">reports the changes in the top exporting commodities </w:t>
      </w:r>
      <w:r w:rsidR="009F451C">
        <w:rPr>
          <w:lang w:bidi="fa-IR"/>
        </w:rPr>
        <w:t xml:space="preserve">(at SITC 3-digit level) </w:t>
      </w:r>
      <w:r w:rsidR="007A5B0B">
        <w:rPr>
          <w:lang w:bidi="fa-IR"/>
        </w:rPr>
        <w:t xml:space="preserve">according to the base </w:t>
      </w:r>
      <w:r w:rsidR="00D73396">
        <w:rPr>
          <w:lang w:bidi="fa-IR"/>
        </w:rPr>
        <w:t>value of exports.</w:t>
      </w:r>
    </w:p>
    <w:p w14:paraId="580BC752" w14:textId="009928F9" w:rsidR="00EE36AA" w:rsidRDefault="00EE36AA" w:rsidP="00E741E8">
      <w:pPr>
        <w:pStyle w:val="BodyText"/>
        <w:rPr>
          <w:lang w:bidi="fa-IR"/>
        </w:rPr>
      </w:pPr>
      <w:r>
        <w:rPr>
          <w:lang w:bidi="fa-IR"/>
        </w:rPr>
        <w:t>While ‘</w:t>
      </w:r>
      <w:r w:rsidR="009F451C">
        <w:rPr>
          <w:lang w:bidi="fa-IR"/>
        </w:rPr>
        <w:t xml:space="preserve">285 </w:t>
      </w:r>
      <w:r>
        <w:rPr>
          <w:lang w:bidi="fa-IR"/>
        </w:rPr>
        <w:t>Aluminium ores &amp; concentrates (including alumina)</w:t>
      </w:r>
      <w:r w:rsidR="00C86752">
        <w:rPr>
          <w:lang w:bidi="fa-IR"/>
        </w:rPr>
        <w:t>’ remains Australia’s top exporting commodity to the UAE, ‘</w:t>
      </w:r>
      <w:r w:rsidR="00977265">
        <w:rPr>
          <w:lang w:bidi="fa-IR"/>
        </w:rPr>
        <w:t xml:space="preserve">222 </w:t>
      </w:r>
      <w:proofErr w:type="gramStart"/>
      <w:r w:rsidR="00C86752" w:rsidRPr="00C86752">
        <w:rPr>
          <w:lang w:bidi="fa-IR"/>
        </w:rPr>
        <w:t>Oil-seeds</w:t>
      </w:r>
      <w:proofErr w:type="gramEnd"/>
      <w:r w:rsidR="00C86752" w:rsidRPr="00C86752">
        <w:rPr>
          <w:lang w:bidi="fa-IR"/>
        </w:rPr>
        <w:t xml:space="preserve"> &amp; oleaginous fruits, soft</w:t>
      </w:r>
      <w:r w:rsidR="00C86752">
        <w:rPr>
          <w:lang w:bidi="fa-IR"/>
        </w:rPr>
        <w:t>’</w:t>
      </w:r>
      <w:r w:rsidR="00977265">
        <w:rPr>
          <w:lang w:bidi="fa-IR"/>
        </w:rPr>
        <w:t xml:space="preserve"> now becomes the second largest exporting commodity</w:t>
      </w:r>
      <w:r w:rsidR="00471F7E">
        <w:rPr>
          <w:lang w:bidi="fa-IR"/>
        </w:rPr>
        <w:t xml:space="preserve">. </w:t>
      </w:r>
      <w:r w:rsidR="00967FDB">
        <w:rPr>
          <w:lang w:bidi="fa-IR"/>
        </w:rPr>
        <w:t>Previous second largest commodity ‘</w:t>
      </w:r>
      <w:r w:rsidR="00F556B1" w:rsidRPr="00F556B1">
        <w:rPr>
          <w:lang w:bidi="fa-IR"/>
        </w:rPr>
        <w:t xml:space="preserve">011 Beef, </w:t>
      </w:r>
      <w:proofErr w:type="spellStart"/>
      <w:r w:rsidR="00F556B1" w:rsidRPr="00F556B1">
        <w:rPr>
          <w:lang w:bidi="fa-IR"/>
        </w:rPr>
        <w:t>f.c.f</w:t>
      </w:r>
      <w:proofErr w:type="spellEnd"/>
      <w:r w:rsidR="00F556B1" w:rsidRPr="00F556B1">
        <w:rPr>
          <w:lang w:bidi="fa-IR"/>
        </w:rPr>
        <w:t>.</w:t>
      </w:r>
      <w:r w:rsidR="00967FDB">
        <w:rPr>
          <w:lang w:bidi="fa-IR"/>
        </w:rPr>
        <w:t xml:space="preserve">’ </w:t>
      </w:r>
      <w:r w:rsidR="00F8312D">
        <w:rPr>
          <w:lang w:bidi="fa-IR"/>
        </w:rPr>
        <w:t xml:space="preserve">now becomes the </w:t>
      </w:r>
      <w:r w:rsidR="00490010">
        <w:rPr>
          <w:lang w:bidi="fa-IR"/>
        </w:rPr>
        <w:t>ninth.</w:t>
      </w:r>
    </w:p>
    <w:p w14:paraId="362F79F4" w14:textId="4B59411E" w:rsidR="001D66C1" w:rsidRDefault="001D66C1" w:rsidP="001D66C1">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Pr="00695C93">
        <w:instrText>B</w:instrText>
      </w:r>
      <w:r>
        <w:fldChar w:fldCharType="end"/>
      </w:r>
      <w:r w:rsidRPr="00695C93">
        <w:instrText xml:space="preserve">." </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end"/>
      </w:r>
      <w:r w:rsidRPr="00695C93">
        <w:instrText xml:space="preserve"> </w:instrText>
      </w:r>
      <w:r w:rsidRPr="00695C93">
        <w:fldChar w:fldCharType="separate"/>
      </w:r>
      <w:r w:rsidR="00586CBD">
        <w:rPr>
          <w:noProof/>
        </w:rPr>
        <w:instrText>4</w:instrText>
      </w:r>
      <w:r w:rsidRPr="00695C93">
        <w:fldChar w:fldCharType="end"/>
      </w:r>
      <w:r w:rsidRPr="00695C93">
        <w:instrText xml:space="preserve">" "" </w:instrText>
      </w:r>
      <w:r w:rsidRPr="00695C93">
        <w:fldChar w:fldCharType="separate"/>
      </w:r>
      <w:bookmarkStart w:id="26" w:name="_Caption3813"/>
      <w:bookmarkStart w:id="27" w:name="_Caption3921"/>
      <w:bookmarkStart w:id="28" w:name="_Caption4750"/>
      <w:bookmarkStart w:id="29" w:name="_Caption9672"/>
      <w:bookmarkStart w:id="30" w:name="_Toc175649964"/>
      <w:r w:rsidR="00586CBD">
        <w:rPr>
          <w:noProof/>
        </w:rPr>
        <w:t>4</w:t>
      </w:r>
      <w:bookmarkEnd w:id="26"/>
      <w:bookmarkEnd w:id="27"/>
      <w:bookmarkEnd w:id="28"/>
      <w:bookmarkEnd w:id="29"/>
      <w:r w:rsidRPr="00695C93">
        <w:fldChar w:fldCharType="end"/>
      </w:r>
      <w:r w:rsidRPr="00695C93">
        <w:tab/>
      </w:r>
      <w:r w:rsidR="00107B0F">
        <w:t xml:space="preserve">Updated table 5.9: </w:t>
      </w:r>
      <w:r w:rsidR="005E0B89">
        <w:t>Estimated increase in top Australian merchandise exports to the UAE</w:t>
      </w:r>
      <w:bookmarkEnd w:id="30"/>
    </w:p>
    <w:tbl>
      <w:tblPr>
        <w:tblW w:w="7937" w:type="dxa"/>
        <w:tblLook w:val="04E0" w:firstRow="1" w:lastRow="1" w:firstColumn="1" w:lastColumn="0" w:noHBand="0" w:noVBand="1"/>
      </w:tblPr>
      <w:tblGrid>
        <w:gridCol w:w="2835"/>
        <w:gridCol w:w="1276"/>
        <w:gridCol w:w="1276"/>
        <w:gridCol w:w="1134"/>
        <w:gridCol w:w="1416"/>
      </w:tblGrid>
      <w:tr w:rsidR="001D66C1" w:rsidRPr="001D66C1" w14:paraId="2897DAFC" w14:textId="77777777" w:rsidTr="000748A9">
        <w:trPr>
          <w:trHeight w:val="648"/>
          <w:tblHeader/>
        </w:trPr>
        <w:tc>
          <w:tcPr>
            <w:tcW w:w="2835" w:type="dxa"/>
            <w:shd w:val="clear" w:color="auto" w:fill="6F6652"/>
            <w:noWrap/>
            <w:tcMar>
              <w:left w:w="57" w:type="dxa"/>
              <w:right w:w="57" w:type="dxa"/>
            </w:tcMar>
            <w:hideMark/>
          </w:tcPr>
          <w:p w14:paraId="3CE2F2DF" w14:textId="3E381957" w:rsidR="001D66C1" w:rsidRPr="001D66C1" w:rsidRDefault="00C63493" w:rsidP="001D66C1">
            <w:pPr>
              <w:pStyle w:val="TableDataColumnHeading"/>
              <w:jc w:val="left"/>
            </w:pPr>
            <w:r>
              <w:t>Merchandise</w:t>
            </w:r>
          </w:p>
        </w:tc>
        <w:tc>
          <w:tcPr>
            <w:tcW w:w="1276" w:type="dxa"/>
            <w:shd w:val="clear" w:color="auto" w:fill="6F6652"/>
            <w:tcMar>
              <w:left w:w="57" w:type="dxa"/>
              <w:right w:w="57" w:type="dxa"/>
            </w:tcMar>
            <w:hideMark/>
          </w:tcPr>
          <w:p w14:paraId="698C2E19" w14:textId="4E1A32AE" w:rsidR="001D66C1" w:rsidRPr="00107B0F" w:rsidRDefault="001D66C1" w:rsidP="001D66C1">
            <w:pPr>
              <w:pStyle w:val="TableDataColumnHeading"/>
              <w:rPr>
                <w:szCs w:val="16"/>
              </w:rPr>
            </w:pPr>
            <w:r w:rsidRPr="00107B0F">
              <w:rPr>
                <w:szCs w:val="16"/>
              </w:rPr>
              <w:t>Potential offer to Australia</w:t>
            </w:r>
            <w:r w:rsidR="00C63493">
              <w:rPr>
                <w:szCs w:val="16"/>
              </w:rPr>
              <w:br/>
              <w:t>$m</w:t>
            </w:r>
          </w:p>
        </w:tc>
        <w:tc>
          <w:tcPr>
            <w:tcW w:w="1276" w:type="dxa"/>
            <w:shd w:val="clear" w:color="auto" w:fill="6F6652"/>
            <w:tcMar>
              <w:left w:w="57" w:type="dxa"/>
              <w:right w:w="57" w:type="dxa"/>
            </w:tcMar>
            <w:hideMark/>
          </w:tcPr>
          <w:p w14:paraId="41D17429" w14:textId="72B57757" w:rsidR="001D66C1" w:rsidRPr="00107B0F" w:rsidRDefault="001D66C1" w:rsidP="001D66C1">
            <w:pPr>
              <w:pStyle w:val="TableDataColumnHeading"/>
              <w:rPr>
                <w:szCs w:val="16"/>
              </w:rPr>
            </w:pPr>
            <w:r w:rsidRPr="00107B0F">
              <w:rPr>
                <w:szCs w:val="16"/>
              </w:rPr>
              <w:t>UAE offer in FTA with Singapore</w:t>
            </w:r>
            <w:r w:rsidR="0073010E">
              <w:rPr>
                <w:szCs w:val="16"/>
              </w:rPr>
              <w:br/>
              <w:t>$m</w:t>
            </w:r>
          </w:p>
        </w:tc>
        <w:tc>
          <w:tcPr>
            <w:tcW w:w="1134" w:type="dxa"/>
            <w:shd w:val="clear" w:color="auto" w:fill="6F6652"/>
            <w:tcMar>
              <w:left w:w="57" w:type="dxa"/>
              <w:right w:w="57" w:type="dxa"/>
            </w:tcMar>
            <w:hideMark/>
          </w:tcPr>
          <w:p w14:paraId="1B622522" w14:textId="569EEAED" w:rsidR="001D66C1" w:rsidRPr="00107B0F" w:rsidRDefault="001D66C1" w:rsidP="001D66C1">
            <w:pPr>
              <w:pStyle w:val="TableDataColumnHeading"/>
              <w:rPr>
                <w:szCs w:val="16"/>
              </w:rPr>
            </w:pPr>
            <w:r w:rsidRPr="00107B0F">
              <w:rPr>
                <w:szCs w:val="16"/>
              </w:rPr>
              <w:t>UAE offer in FTA with EFTA</w:t>
            </w:r>
            <w:r w:rsidR="0073010E">
              <w:rPr>
                <w:szCs w:val="16"/>
              </w:rPr>
              <w:br/>
              <w:t>$m</w:t>
            </w:r>
          </w:p>
        </w:tc>
        <w:tc>
          <w:tcPr>
            <w:tcW w:w="1416" w:type="dxa"/>
            <w:shd w:val="clear" w:color="auto" w:fill="6F6652"/>
            <w:tcMar>
              <w:left w:w="57" w:type="dxa"/>
              <w:right w:w="57" w:type="dxa"/>
            </w:tcMar>
            <w:hideMark/>
          </w:tcPr>
          <w:p w14:paraId="1F3753D5" w14:textId="4C7E614D" w:rsidR="001D66C1" w:rsidRPr="00107B0F" w:rsidRDefault="001D66C1" w:rsidP="001D66C1">
            <w:pPr>
              <w:pStyle w:val="TableDataColumnHeading"/>
              <w:rPr>
                <w:szCs w:val="16"/>
              </w:rPr>
            </w:pPr>
            <w:r w:rsidRPr="00107B0F">
              <w:rPr>
                <w:szCs w:val="16"/>
              </w:rPr>
              <w:t>UAE offer in India CEPA - Year 10</w:t>
            </w:r>
            <w:r w:rsidR="0073010E">
              <w:rPr>
                <w:szCs w:val="16"/>
              </w:rPr>
              <w:br/>
              <w:t>$m</w:t>
            </w:r>
          </w:p>
        </w:tc>
      </w:tr>
      <w:tr w:rsidR="001D66C1" w:rsidRPr="001D66C1" w14:paraId="2DC8CC3F"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3679B0" w14:textId="77777777" w:rsidR="001D66C1" w:rsidRPr="001D66C1" w:rsidRDefault="001D66C1" w:rsidP="001D66C1">
            <w:pPr>
              <w:pStyle w:val="TableDataEntries"/>
              <w:jc w:val="left"/>
            </w:pPr>
            <w:r w:rsidRPr="001D66C1">
              <w:t>Aluminium ores &amp; conc (incl alumina)</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E71E25" w14:textId="77777777" w:rsidR="001D66C1" w:rsidRPr="001D66C1" w:rsidRDefault="001D66C1" w:rsidP="001D66C1">
            <w:pPr>
              <w:pStyle w:val="TableDataEntries"/>
            </w:pPr>
            <w:r w:rsidRPr="001D66C1">
              <w:t>89.92</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7C36AD" w14:textId="77777777" w:rsidR="001D66C1" w:rsidRPr="001D66C1" w:rsidRDefault="001D66C1" w:rsidP="001D66C1">
            <w:pPr>
              <w:pStyle w:val="TableDataEntries"/>
            </w:pPr>
            <w:r w:rsidRPr="001D66C1">
              <w:t>89.92</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4A5E64" w14:textId="77777777" w:rsidR="001D66C1" w:rsidRPr="001D66C1" w:rsidRDefault="001D66C1" w:rsidP="001D66C1">
            <w:pPr>
              <w:pStyle w:val="TableDataEntries"/>
            </w:pPr>
            <w:r w:rsidRPr="001D66C1">
              <w:t>89.92</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141079" w14:textId="77777777" w:rsidR="001D66C1" w:rsidRPr="001D66C1" w:rsidRDefault="001D66C1" w:rsidP="001D66C1">
            <w:pPr>
              <w:pStyle w:val="TableDataEntries"/>
            </w:pPr>
            <w:r w:rsidRPr="001D66C1">
              <w:t>89.92</w:t>
            </w:r>
          </w:p>
        </w:tc>
      </w:tr>
      <w:tr w:rsidR="001D66C1" w:rsidRPr="001D66C1" w14:paraId="1D7D3019"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506202" w14:textId="77777777" w:rsidR="001D66C1" w:rsidRPr="001D66C1" w:rsidRDefault="001D66C1" w:rsidP="001D66C1">
            <w:pPr>
              <w:pStyle w:val="TableDataEntries"/>
              <w:jc w:val="left"/>
            </w:pPr>
            <w:r w:rsidRPr="001D66C1">
              <w:t>Oil-seeds &amp; oleaginous fruits, soft</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CCA764" w14:textId="77777777" w:rsidR="001D66C1" w:rsidRPr="001D66C1" w:rsidRDefault="001D66C1" w:rsidP="001D66C1">
            <w:pPr>
              <w:pStyle w:val="TableDataEntries"/>
            </w:pPr>
            <w:r w:rsidRPr="001D66C1">
              <w:t>172.94</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3E77CD" w14:textId="77777777" w:rsidR="001D66C1" w:rsidRPr="001D66C1" w:rsidRDefault="001D66C1" w:rsidP="001D66C1">
            <w:pPr>
              <w:pStyle w:val="TableDataEntries"/>
            </w:pPr>
            <w:r w:rsidRPr="001D66C1">
              <w:t>172.93</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86D075" w14:textId="77777777" w:rsidR="001D66C1" w:rsidRPr="001D66C1" w:rsidRDefault="001D66C1" w:rsidP="001D66C1">
            <w:pPr>
              <w:pStyle w:val="TableDataEntries"/>
            </w:pPr>
            <w:r w:rsidRPr="001D66C1">
              <w:t>172.94</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F8024E" w14:textId="77777777" w:rsidR="001D66C1" w:rsidRPr="001D66C1" w:rsidRDefault="001D66C1" w:rsidP="001D66C1">
            <w:pPr>
              <w:pStyle w:val="TableDataEntries"/>
            </w:pPr>
            <w:r w:rsidRPr="001D66C1">
              <w:t>172.94</w:t>
            </w:r>
          </w:p>
        </w:tc>
      </w:tr>
      <w:tr w:rsidR="001D66C1" w:rsidRPr="001D66C1" w14:paraId="421B1765"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AAE6AD" w14:textId="77777777" w:rsidR="001D66C1" w:rsidRPr="001D66C1" w:rsidRDefault="001D66C1" w:rsidP="001D66C1">
            <w:pPr>
              <w:pStyle w:val="TableDataEntries"/>
              <w:jc w:val="left"/>
            </w:pPr>
            <w:r w:rsidRPr="001D66C1">
              <w:t xml:space="preserve">Meat (excl beef), </w:t>
            </w:r>
            <w:proofErr w:type="spellStart"/>
            <w:r w:rsidRPr="001D66C1">
              <w:t>f.c.f</w:t>
            </w:r>
            <w:proofErr w:type="spellEnd"/>
            <w:r w:rsidRPr="001D66C1">
              <w:t>.</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607282" w14:textId="77777777" w:rsidR="001D66C1" w:rsidRPr="001D66C1" w:rsidRDefault="001D66C1" w:rsidP="001D66C1">
            <w:pPr>
              <w:pStyle w:val="TableDataEntries"/>
            </w:pPr>
            <w:r w:rsidRPr="001D66C1">
              <w:t>34.36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15C224" w14:textId="77777777" w:rsidR="001D66C1" w:rsidRPr="001D66C1" w:rsidRDefault="001D66C1" w:rsidP="001D66C1">
            <w:pPr>
              <w:pStyle w:val="TableDataEntries"/>
            </w:pPr>
            <w:r w:rsidRPr="001D66C1">
              <w:t>34.35</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C59B8B" w14:textId="77777777" w:rsidR="001D66C1" w:rsidRPr="001D66C1" w:rsidRDefault="001D66C1" w:rsidP="001D66C1">
            <w:pPr>
              <w:pStyle w:val="TableDataEntries"/>
            </w:pPr>
            <w:r w:rsidRPr="001D66C1">
              <w:t>34.34</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ED13BE" w14:textId="77777777" w:rsidR="001D66C1" w:rsidRPr="001D66C1" w:rsidRDefault="001D66C1" w:rsidP="001D66C1">
            <w:pPr>
              <w:pStyle w:val="TableDataEntries"/>
            </w:pPr>
            <w:r w:rsidRPr="001D66C1">
              <w:t>34.36</w:t>
            </w:r>
          </w:p>
        </w:tc>
      </w:tr>
      <w:tr w:rsidR="001D66C1" w:rsidRPr="001D66C1" w14:paraId="4206F7C7"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5D6073" w14:textId="77777777" w:rsidR="001D66C1" w:rsidRPr="001D66C1" w:rsidRDefault="001D66C1" w:rsidP="001D66C1">
            <w:pPr>
              <w:pStyle w:val="TableDataEntries"/>
              <w:jc w:val="left"/>
            </w:pPr>
            <w:r w:rsidRPr="001D66C1">
              <w:t xml:space="preserve">Vegetables, </w:t>
            </w:r>
            <w:proofErr w:type="spellStart"/>
            <w:r w:rsidRPr="001D66C1">
              <w:t>f.c.f</w:t>
            </w:r>
            <w:proofErr w:type="spellEnd"/>
            <w:r w:rsidRPr="001D66C1">
              <w:t>.</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49DEB1" w14:textId="77777777" w:rsidR="001D66C1" w:rsidRPr="001D66C1" w:rsidRDefault="001D66C1" w:rsidP="001D66C1">
            <w:pPr>
              <w:pStyle w:val="TableDataEntries"/>
            </w:pPr>
            <w:r w:rsidRPr="001D66C1">
              <w:t>40.43</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F0E7A6" w14:textId="77777777" w:rsidR="001D66C1" w:rsidRPr="001D66C1" w:rsidRDefault="001D66C1" w:rsidP="001D66C1">
            <w:pPr>
              <w:pStyle w:val="TableDataEntries"/>
            </w:pPr>
            <w:r w:rsidRPr="001D66C1">
              <w:t>40.43</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F37964" w14:textId="77777777" w:rsidR="001D66C1" w:rsidRPr="001D66C1" w:rsidRDefault="001D66C1" w:rsidP="001D66C1">
            <w:pPr>
              <w:pStyle w:val="TableDataEntries"/>
            </w:pPr>
            <w:r w:rsidRPr="001D66C1">
              <w:t>40.43</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8499A3" w14:textId="77777777" w:rsidR="001D66C1" w:rsidRPr="001D66C1" w:rsidRDefault="001D66C1" w:rsidP="001D66C1">
            <w:pPr>
              <w:pStyle w:val="TableDataEntries"/>
            </w:pPr>
            <w:r w:rsidRPr="001D66C1">
              <w:t>40.43</w:t>
            </w:r>
          </w:p>
        </w:tc>
      </w:tr>
      <w:tr w:rsidR="001D66C1" w:rsidRPr="001D66C1" w14:paraId="108D9EC4"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5C66E9" w14:textId="77777777" w:rsidR="001D66C1" w:rsidRPr="001D66C1" w:rsidRDefault="001D66C1" w:rsidP="001D66C1">
            <w:pPr>
              <w:pStyle w:val="TableDataEntries"/>
              <w:jc w:val="left"/>
            </w:pPr>
            <w:r w:rsidRPr="001D66C1">
              <w:t>Vehicle parts &amp; accessories</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E4B56A" w14:textId="77777777" w:rsidR="001D66C1" w:rsidRPr="001D66C1" w:rsidRDefault="001D66C1" w:rsidP="001D66C1">
            <w:pPr>
              <w:pStyle w:val="TableDataEntries"/>
            </w:pPr>
            <w:r w:rsidRPr="001D66C1">
              <w:t>58.83</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1062E6" w14:textId="77777777" w:rsidR="001D66C1" w:rsidRPr="001D66C1" w:rsidRDefault="001D66C1" w:rsidP="001D66C1">
            <w:pPr>
              <w:pStyle w:val="TableDataEntries"/>
            </w:pPr>
            <w:r w:rsidRPr="001D66C1">
              <w:t>58.83</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AEDEA8" w14:textId="77777777" w:rsidR="001D66C1" w:rsidRPr="001D66C1" w:rsidRDefault="001D66C1" w:rsidP="001D66C1">
            <w:pPr>
              <w:pStyle w:val="TableDataEntries"/>
            </w:pPr>
            <w:r w:rsidRPr="001D66C1">
              <w:t>58.83</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A0A959" w14:textId="77777777" w:rsidR="001D66C1" w:rsidRPr="001D66C1" w:rsidRDefault="001D66C1" w:rsidP="001D66C1">
            <w:pPr>
              <w:pStyle w:val="TableDataEntries"/>
            </w:pPr>
            <w:r w:rsidRPr="001D66C1">
              <w:t>58.83</w:t>
            </w:r>
          </w:p>
        </w:tc>
      </w:tr>
      <w:tr w:rsidR="001D66C1" w:rsidRPr="001D66C1" w14:paraId="6D194D2E"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107A1B" w14:textId="77777777" w:rsidR="001D66C1" w:rsidRPr="001D66C1" w:rsidRDefault="001D66C1" w:rsidP="001D66C1">
            <w:pPr>
              <w:pStyle w:val="TableDataEntries"/>
              <w:jc w:val="left"/>
            </w:pPr>
            <w:r w:rsidRPr="001D66C1">
              <w:t>Gold</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291A6D" w14:textId="77777777" w:rsidR="001D66C1" w:rsidRPr="001D66C1" w:rsidRDefault="001D66C1" w:rsidP="001D66C1">
            <w:pPr>
              <w:pStyle w:val="TableDataEntries"/>
            </w:pPr>
            <w:r w:rsidRPr="001D66C1">
              <w:t>0.01</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E79F69" w14:textId="77777777" w:rsidR="001D66C1" w:rsidRPr="001D66C1" w:rsidRDefault="001D66C1" w:rsidP="001D66C1">
            <w:pPr>
              <w:pStyle w:val="TableDataEntries"/>
            </w:pPr>
            <w:r w:rsidRPr="001D66C1">
              <w:t>0.01</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DB7ADA" w14:textId="77777777" w:rsidR="001D66C1" w:rsidRPr="001D66C1" w:rsidRDefault="001D66C1" w:rsidP="001D66C1">
            <w:pPr>
              <w:pStyle w:val="TableDataEntries"/>
            </w:pPr>
            <w:r w:rsidRPr="001D66C1">
              <w:t>0.01</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04D2D6" w14:textId="77777777" w:rsidR="001D66C1" w:rsidRPr="001D66C1" w:rsidRDefault="001D66C1" w:rsidP="001D66C1">
            <w:pPr>
              <w:pStyle w:val="TableDataEntries"/>
            </w:pPr>
            <w:r w:rsidRPr="001D66C1">
              <w:t>0.01</w:t>
            </w:r>
          </w:p>
        </w:tc>
      </w:tr>
      <w:tr w:rsidR="001D66C1" w:rsidRPr="001D66C1" w14:paraId="6E7D71D5"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B2DE36" w14:textId="77777777" w:rsidR="001D66C1" w:rsidRPr="001D66C1" w:rsidRDefault="001D66C1" w:rsidP="001D66C1">
            <w:pPr>
              <w:pStyle w:val="TableDataEntries"/>
              <w:jc w:val="left"/>
            </w:pPr>
            <w:r w:rsidRPr="001D66C1">
              <w:t>Telecom equipment &amp; parts</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03AB3D" w14:textId="77777777" w:rsidR="001D66C1" w:rsidRPr="001D66C1" w:rsidRDefault="001D66C1" w:rsidP="001D66C1">
            <w:pPr>
              <w:pStyle w:val="TableDataEntries"/>
            </w:pPr>
            <w:r w:rsidRPr="001D66C1">
              <w:t>2.86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CD131C" w14:textId="77777777" w:rsidR="001D66C1" w:rsidRPr="001D66C1" w:rsidRDefault="001D66C1" w:rsidP="001D66C1">
            <w:pPr>
              <w:pStyle w:val="TableDataEntries"/>
            </w:pPr>
            <w:r w:rsidRPr="001D66C1">
              <w:t>2.86</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62EBBE" w14:textId="77777777" w:rsidR="001D66C1" w:rsidRPr="001D66C1" w:rsidRDefault="001D66C1" w:rsidP="001D66C1">
            <w:pPr>
              <w:pStyle w:val="TableDataEntries"/>
            </w:pPr>
            <w:r w:rsidRPr="001D66C1">
              <w:t>2.86</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FAB84F" w14:textId="77777777" w:rsidR="001D66C1" w:rsidRPr="001D66C1" w:rsidRDefault="001D66C1" w:rsidP="001D66C1">
            <w:pPr>
              <w:pStyle w:val="TableDataEntries"/>
            </w:pPr>
            <w:r w:rsidRPr="001D66C1">
              <w:t>2.86</w:t>
            </w:r>
          </w:p>
        </w:tc>
      </w:tr>
      <w:tr w:rsidR="001D66C1" w:rsidRPr="001D66C1" w14:paraId="35C8E64B"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84EEFD" w14:textId="77777777" w:rsidR="001D66C1" w:rsidRPr="001D66C1" w:rsidRDefault="001D66C1" w:rsidP="001D66C1">
            <w:pPr>
              <w:pStyle w:val="TableDataEntries"/>
              <w:jc w:val="left"/>
            </w:pPr>
            <w:r w:rsidRPr="001D66C1">
              <w:t>Crude petroleum</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D14E6E" w14:textId="77777777" w:rsidR="001D66C1" w:rsidRPr="001D66C1" w:rsidRDefault="001D66C1" w:rsidP="001D66C1">
            <w:pPr>
              <w:pStyle w:val="TableDataEntries"/>
            </w:pPr>
            <w:r w:rsidRPr="001D66C1">
              <w:t>90.27</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BAA8BB" w14:textId="77777777" w:rsidR="001D66C1" w:rsidRPr="001D66C1" w:rsidRDefault="001D66C1" w:rsidP="001D66C1">
            <w:pPr>
              <w:pStyle w:val="TableDataEntries"/>
            </w:pPr>
            <w:r w:rsidRPr="001D66C1">
              <w:t>90.27</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E7CE73" w14:textId="77777777" w:rsidR="001D66C1" w:rsidRPr="001D66C1" w:rsidRDefault="001D66C1" w:rsidP="001D66C1">
            <w:pPr>
              <w:pStyle w:val="TableDataEntries"/>
            </w:pPr>
            <w:r w:rsidRPr="001D66C1">
              <w:t>90.27</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E7D451" w14:textId="77777777" w:rsidR="001D66C1" w:rsidRPr="001D66C1" w:rsidRDefault="001D66C1" w:rsidP="001D66C1">
            <w:pPr>
              <w:pStyle w:val="TableDataEntries"/>
            </w:pPr>
            <w:r w:rsidRPr="001D66C1">
              <w:t>90.27</w:t>
            </w:r>
          </w:p>
        </w:tc>
      </w:tr>
      <w:tr w:rsidR="001D66C1" w:rsidRPr="001D66C1" w14:paraId="738376A3"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378DEE" w14:textId="77777777" w:rsidR="001D66C1" w:rsidRPr="001D66C1" w:rsidRDefault="001D66C1" w:rsidP="001D66C1">
            <w:pPr>
              <w:pStyle w:val="TableDataEntries"/>
              <w:jc w:val="left"/>
            </w:pPr>
            <w:r w:rsidRPr="001D66C1">
              <w:t xml:space="preserve">Beef, </w:t>
            </w:r>
            <w:proofErr w:type="spellStart"/>
            <w:r w:rsidRPr="001D66C1">
              <w:t>f.c.f</w:t>
            </w:r>
            <w:proofErr w:type="spellEnd"/>
            <w:r w:rsidRPr="001D66C1">
              <w:t>.</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4CEDA1" w14:textId="77777777" w:rsidR="001D66C1" w:rsidRPr="001D66C1" w:rsidRDefault="001D66C1" w:rsidP="001D66C1">
            <w:pPr>
              <w:pStyle w:val="TableDataEntries"/>
            </w:pPr>
            <w:r w:rsidRPr="001D66C1">
              <w:t>13.34</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45113C" w14:textId="77777777" w:rsidR="001D66C1" w:rsidRPr="001D66C1" w:rsidRDefault="001D66C1" w:rsidP="001D66C1">
            <w:pPr>
              <w:pStyle w:val="TableDataEntries"/>
            </w:pPr>
            <w:r w:rsidRPr="001D66C1">
              <w:t>13.34</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B2D2CE" w14:textId="77777777" w:rsidR="001D66C1" w:rsidRPr="001D66C1" w:rsidRDefault="001D66C1" w:rsidP="001D66C1">
            <w:pPr>
              <w:pStyle w:val="TableDataEntries"/>
            </w:pPr>
            <w:r w:rsidRPr="001D66C1">
              <w:t>13.34</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4E28E4" w14:textId="77777777" w:rsidR="001D66C1" w:rsidRPr="001D66C1" w:rsidRDefault="001D66C1" w:rsidP="001D66C1">
            <w:pPr>
              <w:pStyle w:val="TableDataEntries"/>
            </w:pPr>
            <w:r w:rsidRPr="001D66C1">
              <w:t>13.34</w:t>
            </w:r>
          </w:p>
        </w:tc>
      </w:tr>
      <w:tr w:rsidR="001D66C1" w:rsidRPr="001D66C1" w14:paraId="54F90789"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6B33D1" w14:textId="77777777" w:rsidR="001D66C1" w:rsidRPr="001D66C1" w:rsidRDefault="001D66C1" w:rsidP="001D66C1">
            <w:pPr>
              <w:pStyle w:val="TableDataEntries"/>
              <w:jc w:val="left"/>
            </w:pPr>
            <w:r w:rsidRPr="001D66C1">
              <w:t>Wheat</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AFA248" w14:textId="77777777" w:rsidR="001D66C1" w:rsidRPr="001D66C1" w:rsidRDefault="001D66C1" w:rsidP="001D66C1">
            <w:pPr>
              <w:pStyle w:val="TableDataEntries"/>
            </w:pPr>
            <w:r w:rsidRPr="001D66C1">
              <w:t>0.00</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F17755" w14:textId="77777777" w:rsidR="001D66C1" w:rsidRPr="001D66C1" w:rsidRDefault="001D66C1" w:rsidP="001D66C1">
            <w:pPr>
              <w:pStyle w:val="TableDataEntries"/>
            </w:pPr>
            <w:r w:rsidRPr="001D66C1">
              <w:t>0.00</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7B9CD2" w14:textId="77777777" w:rsidR="001D66C1" w:rsidRPr="001D66C1" w:rsidRDefault="001D66C1" w:rsidP="001D66C1">
            <w:pPr>
              <w:pStyle w:val="TableDataEntries"/>
            </w:pPr>
            <w:r w:rsidRPr="001D66C1">
              <w:t>0.00</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3BECD2" w14:textId="77777777" w:rsidR="001D66C1" w:rsidRPr="001D66C1" w:rsidRDefault="001D66C1" w:rsidP="001D66C1">
            <w:pPr>
              <w:pStyle w:val="TableDataEntries"/>
            </w:pPr>
            <w:r w:rsidRPr="001D66C1">
              <w:t>0.00</w:t>
            </w:r>
          </w:p>
        </w:tc>
      </w:tr>
      <w:tr w:rsidR="001D66C1" w:rsidRPr="001D66C1" w14:paraId="2AEF7C15"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A2E50A" w14:textId="77777777" w:rsidR="001D66C1" w:rsidRPr="001D66C1" w:rsidRDefault="001D66C1" w:rsidP="001D66C1">
            <w:pPr>
              <w:pStyle w:val="TableDataEntries"/>
              <w:jc w:val="left"/>
            </w:pPr>
            <w:r w:rsidRPr="001D66C1">
              <w:t>Computers</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399B68" w14:textId="77777777" w:rsidR="001D66C1" w:rsidRPr="001D66C1" w:rsidRDefault="001D66C1" w:rsidP="001D66C1">
            <w:pPr>
              <w:pStyle w:val="TableDataEntries"/>
            </w:pPr>
            <w:r w:rsidRPr="001D66C1">
              <w:t>0.00</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0BB87A" w14:textId="77777777" w:rsidR="001D66C1" w:rsidRPr="001D66C1" w:rsidRDefault="001D66C1" w:rsidP="001D66C1">
            <w:pPr>
              <w:pStyle w:val="TableDataEntries"/>
            </w:pPr>
            <w:r w:rsidRPr="001D66C1">
              <w:t>0.00</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B0F609" w14:textId="77777777" w:rsidR="001D66C1" w:rsidRPr="001D66C1" w:rsidRDefault="001D66C1" w:rsidP="001D66C1">
            <w:pPr>
              <w:pStyle w:val="TableDataEntries"/>
            </w:pPr>
            <w:r w:rsidRPr="001D66C1">
              <w:t>0.00</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DBAFAD" w14:textId="77777777" w:rsidR="001D66C1" w:rsidRPr="001D66C1" w:rsidRDefault="001D66C1" w:rsidP="001D66C1">
            <w:pPr>
              <w:pStyle w:val="TableDataEntries"/>
            </w:pPr>
            <w:r w:rsidRPr="001D66C1">
              <w:t>0.00</w:t>
            </w:r>
          </w:p>
        </w:tc>
      </w:tr>
      <w:tr w:rsidR="00AD7F3F" w:rsidRPr="001D66C1" w14:paraId="6D82D737"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77EB66" w14:textId="03AEF278" w:rsidR="00AD7F3F" w:rsidRPr="001D66C1" w:rsidRDefault="00AD7F3F" w:rsidP="00AD7F3F">
            <w:pPr>
              <w:pStyle w:val="TableDataEntries"/>
              <w:jc w:val="left"/>
            </w:pPr>
            <w:r w:rsidRPr="001D66C1">
              <w:t>Arms &amp; ammunition</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8E839E" w14:textId="7F8C62F2" w:rsidR="00AD7F3F" w:rsidRPr="001D66C1" w:rsidRDefault="00AD7F3F" w:rsidP="00AD7F3F">
            <w:pPr>
              <w:pStyle w:val="TableDataEntries"/>
            </w:pPr>
            <w:r>
              <w:rPr>
                <w:szCs w:val="16"/>
              </w:rPr>
              <w:t>27.96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5C1CE4" w14:textId="32884352" w:rsidR="00AD7F3F" w:rsidRPr="001D66C1" w:rsidRDefault="00AD7F3F" w:rsidP="00AD7F3F">
            <w:pPr>
              <w:pStyle w:val="TableDataEntries"/>
            </w:pPr>
            <w:r>
              <w:rPr>
                <w:szCs w:val="16"/>
              </w:rPr>
              <w:t>27.96</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1CD1E28" w14:textId="702EB834" w:rsidR="00AD7F3F" w:rsidRPr="001D66C1" w:rsidRDefault="00AD7F3F" w:rsidP="00AD7F3F">
            <w:pPr>
              <w:pStyle w:val="TableDataEntries"/>
            </w:pPr>
            <w:r>
              <w:rPr>
                <w:szCs w:val="16"/>
              </w:rPr>
              <w:t>27.96</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0AE1BC" w14:textId="6032D977" w:rsidR="00AD7F3F" w:rsidRPr="001D66C1" w:rsidRDefault="00AD7F3F" w:rsidP="00AD7F3F">
            <w:pPr>
              <w:pStyle w:val="TableDataEntries"/>
            </w:pPr>
            <w:r>
              <w:rPr>
                <w:szCs w:val="16"/>
              </w:rPr>
              <w:t>27.96</w:t>
            </w:r>
          </w:p>
        </w:tc>
      </w:tr>
      <w:tr w:rsidR="001D66C1" w:rsidRPr="001D66C1" w14:paraId="484E5ECC"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8744BA" w14:textId="77777777" w:rsidR="001D66C1" w:rsidRPr="001D66C1" w:rsidRDefault="001D66C1" w:rsidP="001D66C1">
            <w:pPr>
              <w:pStyle w:val="TableDataEntries"/>
              <w:jc w:val="left"/>
            </w:pPr>
            <w:r w:rsidRPr="001D66C1">
              <w:t>Barley</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647534" w14:textId="77777777" w:rsidR="001D66C1" w:rsidRPr="001D66C1" w:rsidRDefault="001D66C1" w:rsidP="001D66C1">
            <w:pPr>
              <w:pStyle w:val="TableDataEntries"/>
            </w:pPr>
            <w:r w:rsidRPr="001D66C1">
              <w:t>0.00</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F1195F" w14:textId="77777777" w:rsidR="001D66C1" w:rsidRPr="001D66C1" w:rsidRDefault="001D66C1" w:rsidP="001D66C1">
            <w:pPr>
              <w:pStyle w:val="TableDataEntries"/>
            </w:pPr>
            <w:r w:rsidRPr="001D66C1">
              <w:t>0.00</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66FDF2" w14:textId="77777777" w:rsidR="001D66C1" w:rsidRPr="001D66C1" w:rsidRDefault="001D66C1" w:rsidP="001D66C1">
            <w:pPr>
              <w:pStyle w:val="TableDataEntries"/>
            </w:pPr>
            <w:r w:rsidRPr="001D66C1">
              <w:t>0.00</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28FBBE" w14:textId="77777777" w:rsidR="001D66C1" w:rsidRPr="001D66C1" w:rsidRDefault="001D66C1" w:rsidP="001D66C1">
            <w:pPr>
              <w:pStyle w:val="TableDataEntries"/>
            </w:pPr>
            <w:r w:rsidRPr="001D66C1">
              <w:t>0.00</w:t>
            </w:r>
          </w:p>
        </w:tc>
      </w:tr>
      <w:tr w:rsidR="001D66C1" w:rsidRPr="001D66C1" w14:paraId="361FCC91"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97897C" w14:textId="77777777" w:rsidR="001D66C1" w:rsidRPr="001D66C1" w:rsidRDefault="001D66C1" w:rsidP="001D66C1">
            <w:pPr>
              <w:pStyle w:val="TableDataEntries"/>
              <w:jc w:val="left"/>
            </w:pPr>
            <w:r w:rsidRPr="001D66C1">
              <w:lastRenderedPageBreak/>
              <w:t>Worn clothing &amp; rags</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821791" w14:textId="77777777" w:rsidR="001D66C1" w:rsidRPr="001D66C1" w:rsidRDefault="001D66C1" w:rsidP="001D66C1">
            <w:pPr>
              <w:pStyle w:val="TableDataEntries"/>
            </w:pPr>
            <w:r w:rsidRPr="001D66C1">
              <w:t>20.56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CECE05" w14:textId="77777777" w:rsidR="001D66C1" w:rsidRPr="001D66C1" w:rsidRDefault="001D66C1" w:rsidP="001D66C1">
            <w:pPr>
              <w:pStyle w:val="TableDataEntries"/>
            </w:pPr>
            <w:r w:rsidRPr="001D66C1">
              <w:t>20.56</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C291F0" w14:textId="77777777" w:rsidR="001D66C1" w:rsidRPr="001D66C1" w:rsidRDefault="001D66C1" w:rsidP="001D66C1">
            <w:pPr>
              <w:pStyle w:val="TableDataEntries"/>
            </w:pPr>
            <w:r w:rsidRPr="001D66C1">
              <w:t>20.56</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6566A5" w14:textId="77777777" w:rsidR="001D66C1" w:rsidRPr="001D66C1" w:rsidRDefault="001D66C1" w:rsidP="001D66C1">
            <w:pPr>
              <w:pStyle w:val="TableDataEntries"/>
            </w:pPr>
            <w:r w:rsidRPr="001D66C1">
              <w:t>20.56</w:t>
            </w:r>
          </w:p>
        </w:tc>
      </w:tr>
      <w:tr w:rsidR="001D66C1" w:rsidRPr="001D66C1" w14:paraId="37956C28"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F7B48F" w14:textId="77777777" w:rsidR="001D66C1" w:rsidRPr="001D66C1" w:rsidRDefault="001D66C1" w:rsidP="001D66C1">
            <w:pPr>
              <w:pStyle w:val="TableDataEntries"/>
              <w:jc w:val="left"/>
            </w:pPr>
            <w:r w:rsidRPr="001D66C1">
              <w:t>Coal</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D6C2A4" w14:textId="77777777" w:rsidR="001D66C1" w:rsidRPr="001D66C1" w:rsidRDefault="001D66C1" w:rsidP="001D66C1">
            <w:pPr>
              <w:pStyle w:val="TableDataEntries"/>
            </w:pPr>
            <w:r w:rsidRPr="001D66C1">
              <w:t>16.60</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F5EE9C" w14:textId="77777777" w:rsidR="001D66C1" w:rsidRPr="001D66C1" w:rsidRDefault="001D66C1" w:rsidP="001D66C1">
            <w:pPr>
              <w:pStyle w:val="TableDataEntries"/>
            </w:pPr>
            <w:r w:rsidRPr="001D66C1">
              <w:t>16.60</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CFB921" w14:textId="77777777" w:rsidR="001D66C1" w:rsidRPr="001D66C1" w:rsidRDefault="001D66C1" w:rsidP="001D66C1">
            <w:pPr>
              <w:pStyle w:val="TableDataEntries"/>
            </w:pPr>
            <w:r w:rsidRPr="001D66C1">
              <w:t>16.60</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FDF463" w14:textId="77777777" w:rsidR="001D66C1" w:rsidRPr="001D66C1" w:rsidRDefault="001D66C1" w:rsidP="001D66C1">
            <w:pPr>
              <w:pStyle w:val="TableDataEntries"/>
            </w:pPr>
            <w:r w:rsidRPr="001D66C1">
              <w:t>16.60</w:t>
            </w:r>
          </w:p>
        </w:tc>
      </w:tr>
      <w:tr w:rsidR="001D66C1" w:rsidRPr="001D66C1" w14:paraId="6776385A"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630D79" w14:textId="77777777" w:rsidR="001D66C1" w:rsidRPr="001D66C1" w:rsidRDefault="001D66C1" w:rsidP="001D66C1">
            <w:pPr>
              <w:pStyle w:val="TableDataEntries"/>
              <w:jc w:val="left"/>
            </w:pPr>
            <w:r w:rsidRPr="001D66C1">
              <w:t>Fruit &amp; nuts</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08DE15" w14:textId="77777777" w:rsidR="001D66C1" w:rsidRPr="001D66C1" w:rsidRDefault="001D66C1" w:rsidP="001D66C1">
            <w:pPr>
              <w:pStyle w:val="TableDataEntries"/>
            </w:pPr>
            <w:r w:rsidRPr="001D66C1">
              <w:t>4.92</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3CA0AD" w14:textId="77777777" w:rsidR="001D66C1" w:rsidRPr="001D66C1" w:rsidRDefault="001D66C1" w:rsidP="001D66C1">
            <w:pPr>
              <w:pStyle w:val="TableDataEntries"/>
            </w:pPr>
            <w:r w:rsidRPr="001D66C1">
              <w:t>4.92</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ECC68B" w14:textId="77777777" w:rsidR="001D66C1" w:rsidRPr="001D66C1" w:rsidRDefault="001D66C1" w:rsidP="001D66C1">
            <w:pPr>
              <w:pStyle w:val="TableDataEntries"/>
            </w:pPr>
            <w:r w:rsidRPr="001D66C1">
              <w:t>4.92</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899718" w14:textId="77777777" w:rsidR="001D66C1" w:rsidRPr="001D66C1" w:rsidRDefault="001D66C1" w:rsidP="001D66C1">
            <w:pPr>
              <w:pStyle w:val="TableDataEntries"/>
            </w:pPr>
            <w:r w:rsidRPr="001D66C1">
              <w:t>4.92</w:t>
            </w:r>
          </w:p>
        </w:tc>
      </w:tr>
      <w:tr w:rsidR="001D66C1" w:rsidRPr="001D66C1" w14:paraId="14BF5F81"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5CBD39" w14:textId="77777777" w:rsidR="001D66C1" w:rsidRPr="001D66C1" w:rsidRDefault="001D66C1" w:rsidP="001D66C1">
            <w:pPr>
              <w:pStyle w:val="TableDataEntries"/>
              <w:jc w:val="left"/>
            </w:pPr>
            <w:r w:rsidRPr="001D66C1">
              <w:t>Aircraft, spacecraft &amp; parts</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D3F618" w14:textId="77777777" w:rsidR="001D66C1" w:rsidRPr="001D66C1" w:rsidRDefault="001D66C1" w:rsidP="001D66C1">
            <w:pPr>
              <w:pStyle w:val="TableDataEntries"/>
            </w:pPr>
            <w:r w:rsidRPr="001D66C1">
              <w:t>18.76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94CE03" w14:textId="77777777" w:rsidR="001D66C1" w:rsidRPr="001D66C1" w:rsidRDefault="001D66C1" w:rsidP="001D66C1">
            <w:pPr>
              <w:pStyle w:val="TableDataEntries"/>
            </w:pPr>
            <w:r w:rsidRPr="001D66C1">
              <w:t>18.76</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B01405" w14:textId="77777777" w:rsidR="001D66C1" w:rsidRPr="001D66C1" w:rsidRDefault="001D66C1" w:rsidP="001D66C1">
            <w:pPr>
              <w:pStyle w:val="TableDataEntries"/>
            </w:pPr>
            <w:r w:rsidRPr="001D66C1">
              <w:t>18.76</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FCCFDF" w14:textId="77777777" w:rsidR="001D66C1" w:rsidRPr="001D66C1" w:rsidRDefault="001D66C1" w:rsidP="001D66C1">
            <w:pPr>
              <w:pStyle w:val="TableDataEntries"/>
            </w:pPr>
            <w:r w:rsidRPr="001D66C1">
              <w:t>18.76</w:t>
            </w:r>
          </w:p>
        </w:tc>
      </w:tr>
      <w:tr w:rsidR="001D66C1" w:rsidRPr="001D66C1" w14:paraId="7ED0EA55"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BF81E7" w14:textId="77777777" w:rsidR="001D66C1" w:rsidRPr="001D66C1" w:rsidRDefault="001D66C1" w:rsidP="001D66C1">
            <w:pPr>
              <w:pStyle w:val="TableDataEntries"/>
              <w:jc w:val="left"/>
            </w:pPr>
            <w:r w:rsidRPr="001D66C1">
              <w:t>Uncoated flat-rolled iron &amp; steel</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E72A93" w14:textId="77777777" w:rsidR="001D66C1" w:rsidRPr="001D66C1" w:rsidRDefault="001D66C1" w:rsidP="001D66C1">
            <w:pPr>
              <w:pStyle w:val="TableDataEntries"/>
            </w:pPr>
            <w:r w:rsidRPr="001D66C1">
              <w:t>12.79</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5910F6" w14:textId="77777777" w:rsidR="001D66C1" w:rsidRPr="001D66C1" w:rsidRDefault="001D66C1" w:rsidP="001D66C1">
            <w:pPr>
              <w:pStyle w:val="TableDataEntries"/>
            </w:pPr>
            <w:r w:rsidRPr="001D66C1">
              <w:t>12.79</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EC72C1" w14:textId="77777777" w:rsidR="001D66C1" w:rsidRPr="001D66C1" w:rsidRDefault="001D66C1" w:rsidP="001D66C1">
            <w:pPr>
              <w:pStyle w:val="TableDataEntries"/>
            </w:pPr>
            <w:r w:rsidRPr="001D66C1">
              <w:t>12.79</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FB113C" w14:textId="77777777" w:rsidR="001D66C1" w:rsidRPr="001D66C1" w:rsidRDefault="001D66C1" w:rsidP="001D66C1">
            <w:pPr>
              <w:pStyle w:val="TableDataEntries"/>
            </w:pPr>
            <w:r w:rsidRPr="001D66C1">
              <w:t>12.79</w:t>
            </w:r>
          </w:p>
        </w:tc>
      </w:tr>
      <w:tr w:rsidR="001D66C1" w:rsidRPr="001D66C1" w14:paraId="73DD4D51"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BAC048" w14:textId="77777777" w:rsidR="001D66C1" w:rsidRPr="001D66C1" w:rsidRDefault="001D66C1" w:rsidP="001D66C1">
            <w:pPr>
              <w:pStyle w:val="TableDataEntries"/>
              <w:jc w:val="left"/>
            </w:pPr>
            <w:r w:rsidRPr="001D66C1">
              <w:t>Coated flat-rolled iron &amp; steel</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6F584F" w14:textId="77777777" w:rsidR="001D66C1" w:rsidRPr="001D66C1" w:rsidRDefault="001D66C1" w:rsidP="001D66C1">
            <w:pPr>
              <w:pStyle w:val="TableDataEntries"/>
            </w:pPr>
            <w:r w:rsidRPr="001D66C1">
              <w:t>11.64</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9B937D" w14:textId="77777777" w:rsidR="001D66C1" w:rsidRPr="001D66C1" w:rsidRDefault="001D66C1" w:rsidP="001D66C1">
            <w:pPr>
              <w:pStyle w:val="TableDataEntries"/>
            </w:pPr>
            <w:r w:rsidRPr="001D66C1">
              <w:t>11.64</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75CC25" w14:textId="77777777" w:rsidR="001D66C1" w:rsidRPr="001D66C1" w:rsidRDefault="001D66C1" w:rsidP="001D66C1">
            <w:pPr>
              <w:pStyle w:val="TableDataEntries"/>
            </w:pPr>
            <w:r w:rsidRPr="001D66C1">
              <w:t>11.64</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2587F4" w14:textId="77777777" w:rsidR="001D66C1" w:rsidRPr="001D66C1" w:rsidRDefault="001D66C1" w:rsidP="001D66C1">
            <w:pPr>
              <w:pStyle w:val="TableDataEntries"/>
            </w:pPr>
            <w:r w:rsidRPr="001D66C1">
              <w:t>11.64</w:t>
            </w:r>
          </w:p>
        </w:tc>
      </w:tr>
      <w:tr w:rsidR="001D66C1" w:rsidRPr="001D66C1" w14:paraId="2F2AA0FD"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EC06AD" w14:textId="77777777" w:rsidR="001D66C1" w:rsidRPr="001D66C1" w:rsidRDefault="001D66C1" w:rsidP="001D66C1">
            <w:pPr>
              <w:pStyle w:val="TableDataEntries"/>
              <w:jc w:val="left"/>
            </w:pPr>
            <w:r w:rsidRPr="001D66C1">
              <w:t>Perfumery &amp; cosmetics (excl soap)</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C8E433" w14:textId="77777777" w:rsidR="001D66C1" w:rsidRPr="001D66C1" w:rsidRDefault="001D66C1" w:rsidP="001D66C1">
            <w:pPr>
              <w:pStyle w:val="TableDataEntries"/>
            </w:pPr>
            <w:r w:rsidRPr="001D66C1">
              <w:t>11.76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E7720F" w14:textId="77777777" w:rsidR="001D66C1" w:rsidRPr="001D66C1" w:rsidRDefault="001D66C1" w:rsidP="001D66C1">
            <w:pPr>
              <w:pStyle w:val="TableDataEntries"/>
            </w:pPr>
            <w:r w:rsidRPr="001D66C1">
              <w:t>11.76</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0F9B44" w14:textId="77777777" w:rsidR="001D66C1" w:rsidRPr="001D66C1" w:rsidRDefault="001D66C1" w:rsidP="001D66C1">
            <w:pPr>
              <w:pStyle w:val="TableDataEntries"/>
            </w:pPr>
            <w:r w:rsidRPr="001D66C1">
              <w:t>11.76</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C4562C" w14:textId="77777777" w:rsidR="001D66C1" w:rsidRPr="001D66C1" w:rsidRDefault="001D66C1" w:rsidP="001D66C1">
            <w:pPr>
              <w:pStyle w:val="TableDataEntries"/>
            </w:pPr>
            <w:r w:rsidRPr="001D66C1">
              <w:t>11.76</w:t>
            </w:r>
          </w:p>
        </w:tc>
      </w:tr>
      <w:tr w:rsidR="001D66C1" w:rsidRPr="001D66C1" w14:paraId="406C0545"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6EDCEF" w14:textId="77777777" w:rsidR="001D66C1" w:rsidRPr="001D66C1" w:rsidRDefault="001D66C1" w:rsidP="001D66C1">
            <w:pPr>
              <w:pStyle w:val="TableDataEntries"/>
              <w:jc w:val="left"/>
            </w:pPr>
            <w:r w:rsidRPr="001D66C1">
              <w:t xml:space="preserve">Edible products &amp; preparations, </w:t>
            </w:r>
            <w:proofErr w:type="spellStart"/>
            <w:r w:rsidRPr="001D66C1">
              <w:t>nes</w:t>
            </w:r>
            <w:proofErr w:type="spellEnd"/>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1E7A30" w14:textId="77777777" w:rsidR="001D66C1" w:rsidRPr="001D66C1" w:rsidRDefault="001D66C1" w:rsidP="001D66C1">
            <w:pPr>
              <w:pStyle w:val="TableDataEntries"/>
            </w:pPr>
            <w:r w:rsidRPr="001D66C1">
              <w:t>7.03</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427A92" w14:textId="77777777" w:rsidR="001D66C1" w:rsidRPr="001D66C1" w:rsidRDefault="001D66C1" w:rsidP="001D66C1">
            <w:pPr>
              <w:pStyle w:val="TableDataEntries"/>
            </w:pPr>
            <w:r w:rsidRPr="001D66C1">
              <w:t>7.03</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652BE6" w14:textId="77777777" w:rsidR="001D66C1" w:rsidRPr="001D66C1" w:rsidRDefault="001D66C1" w:rsidP="001D66C1">
            <w:pPr>
              <w:pStyle w:val="TableDataEntries"/>
            </w:pPr>
            <w:r w:rsidRPr="001D66C1">
              <w:t>4.71</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51EFDE" w14:textId="77777777" w:rsidR="001D66C1" w:rsidRPr="001D66C1" w:rsidRDefault="001D66C1" w:rsidP="001D66C1">
            <w:pPr>
              <w:pStyle w:val="TableDataEntries"/>
            </w:pPr>
            <w:r w:rsidRPr="001D66C1">
              <w:t>7.03</w:t>
            </w:r>
          </w:p>
        </w:tc>
      </w:tr>
      <w:tr w:rsidR="001D66C1" w:rsidRPr="001D66C1" w14:paraId="60970306"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12F805" w14:textId="77777777" w:rsidR="001D66C1" w:rsidRPr="001D66C1" w:rsidRDefault="001D66C1" w:rsidP="001D66C1">
            <w:pPr>
              <w:pStyle w:val="TableDataEntries"/>
              <w:jc w:val="left"/>
            </w:pPr>
            <w:r w:rsidRPr="001D66C1">
              <w:t>Milk, cream, whey &amp; yoghurt</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C18405" w14:textId="77777777" w:rsidR="001D66C1" w:rsidRPr="001D66C1" w:rsidRDefault="001D66C1" w:rsidP="001D66C1">
            <w:pPr>
              <w:pStyle w:val="TableDataEntries"/>
            </w:pPr>
            <w:r w:rsidRPr="001D66C1">
              <w:t>11.99</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F2BA77" w14:textId="77777777" w:rsidR="001D66C1" w:rsidRPr="001D66C1" w:rsidRDefault="001D66C1" w:rsidP="001D66C1">
            <w:pPr>
              <w:pStyle w:val="TableDataEntries"/>
            </w:pPr>
            <w:r w:rsidRPr="001D66C1">
              <w:t>6.62</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E82A71" w14:textId="77777777" w:rsidR="001D66C1" w:rsidRPr="001D66C1" w:rsidRDefault="001D66C1" w:rsidP="001D66C1">
            <w:pPr>
              <w:pStyle w:val="TableDataEntries"/>
            </w:pPr>
            <w:r w:rsidRPr="001D66C1">
              <w:t>11.99</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B10844" w14:textId="77777777" w:rsidR="001D66C1" w:rsidRPr="001D66C1" w:rsidRDefault="001D66C1" w:rsidP="001D66C1">
            <w:pPr>
              <w:pStyle w:val="TableDataEntries"/>
            </w:pPr>
            <w:r w:rsidRPr="001D66C1">
              <w:t>11.99</w:t>
            </w:r>
          </w:p>
        </w:tc>
      </w:tr>
      <w:tr w:rsidR="001D66C1" w:rsidRPr="001D66C1" w14:paraId="4BADC9CD" w14:textId="77777777" w:rsidTr="000748A9">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5BF3B8" w14:textId="77777777" w:rsidR="001D66C1" w:rsidRPr="001D66C1" w:rsidRDefault="001D66C1" w:rsidP="001D66C1">
            <w:pPr>
              <w:pStyle w:val="TableDataEntries"/>
              <w:jc w:val="left"/>
            </w:pPr>
            <w:r w:rsidRPr="001D66C1">
              <w:t>Medicaments (incl veterinary)</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A19AF6" w14:textId="77777777" w:rsidR="001D66C1" w:rsidRPr="001D66C1" w:rsidRDefault="001D66C1" w:rsidP="001D66C1">
            <w:pPr>
              <w:pStyle w:val="TableDataEntries"/>
            </w:pPr>
            <w:r w:rsidRPr="001D66C1">
              <w:t>0.00</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C27CEC" w14:textId="77777777" w:rsidR="001D66C1" w:rsidRPr="001D66C1" w:rsidRDefault="001D66C1" w:rsidP="001D66C1">
            <w:pPr>
              <w:pStyle w:val="TableDataEntries"/>
            </w:pPr>
            <w:r w:rsidRPr="001D66C1">
              <w:t>0.00</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3F545C" w14:textId="77777777" w:rsidR="001D66C1" w:rsidRPr="001D66C1" w:rsidRDefault="001D66C1" w:rsidP="001D66C1">
            <w:pPr>
              <w:pStyle w:val="TableDataEntries"/>
            </w:pPr>
            <w:r w:rsidRPr="001D66C1">
              <w:t>0.00</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94131C" w14:textId="77777777" w:rsidR="001D66C1" w:rsidRPr="001D66C1" w:rsidRDefault="001D66C1" w:rsidP="001D66C1">
            <w:pPr>
              <w:pStyle w:val="TableDataEntries"/>
            </w:pPr>
            <w:r w:rsidRPr="001D66C1">
              <w:t>0.00</w:t>
            </w:r>
          </w:p>
        </w:tc>
      </w:tr>
      <w:tr w:rsidR="00AD7F3F" w:rsidRPr="00AD7F3F" w14:paraId="115D160C" w14:textId="77777777" w:rsidTr="000748A9">
        <w:trPr>
          <w:trHeight w:val="216"/>
        </w:trPr>
        <w:tc>
          <w:tcPr>
            <w:tcW w:w="2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652392E4" w14:textId="77777777" w:rsidR="00AD7F3F" w:rsidRPr="00AD7F3F" w:rsidRDefault="00AD7F3F" w:rsidP="00AD7F3F">
            <w:pPr>
              <w:pStyle w:val="TableDataEntries"/>
              <w:jc w:val="left"/>
              <w:rPr>
                <w:rFonts w:ascii="Franklin Gothic Demi" w:hAnsi="Franklin Gothic Demi"/>
              </w:rPr>
            </w:pPr>
            <w:r w:rsidRPr="00AD7F3F">
              <w:rPr>
                <w:rFonts w:ascii="Franklin Gothic Demi" w:hAnsi="Franklin Gothic Demi"/>
              </w:rPr>
              <w:t>Subtotal for top exports</w:t>
            </w:r>
          </w:p>
        </w:tc>
        <w:tc>
          <w:tcPr>
            <w:tcW w:w="12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20C71CD5" w14:textId="2AF5BA1D"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646.96</w:t>
            </w:r>
          </w:p>
        </w:tc>
        <w:tc>
          <w:tcPr>
            <w:tcW w:w="12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11A9CF5A" w14:textId="660ACAF2"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641.58</w:t>
            </w:r>
          </w:p>
        </w:tc>
        <w:tc>
          <w:tcPr>
            <w:tcW w:w="113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A847D79" w14:textId="1525BB8B"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644.63</w:t>
            </w:r>
          </w:p>
        </w:tc>
        <w:tc>
          <w:tcPr>
            <w:tcW w:w="141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07CE5344" w14:textId="6B63BCC4"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646.96</w:t>
            </w:r>
          </w:p>
        </w:tc>
      </w:tr>
    </w:tbl>
    <w:p w14:paraId="3C5D5AA8" w14:textId="404FF9E5" w:rsidR="001D66C1" w:rsidRDefault="001D66C1" w:rsidP="001D66C1">
      <w:pPr>
        <w:pStyle w:val="Note"/>
        <w:rPr>
          <w:lang w:bidi="fa-IR"/>
        </w:rPr>
      </w:pPr>
      <w:r w:rsidRPr="007D1B4F">
        <w:rPr>
          <w:i/>
        </w:rPr>
        <w:t>Note:</w:t>
      </w:r>
      <w:r w:rsidRPr="00E879B8">
        <w:t xml:space="preserve"> </w:t>
      </w:r>
      <w:r w:rsidR="001D431F" w:rsidRPr="001D431F">
        <w:t>Using Australia's export value to the UAE in 2023 as the base value</w:t>
      </w:r>
    </w:p>
    <w:p w14:paraId="22771A8B" w14:textId="2B71CBA6" w:rsidR="001D66C1" w:rsidRDefault="001D66C1" w:rsidP="001D66C1">
      <w:pPr>
        <w:pStyle w:val="Source"/>
        <w:rPr>
          <w:lang w:bidi="fa-IR"/>
        </w:rPr>
      </w:pPr>
      <w:r w:rsidRPr="001D66C1">
        <w:rPr>
          <w:i/>
          <w:lang w:bidi="fa-IR"/>
        </w:rPr>
        <w:t>Source:</w:t>
      </w:r>
      <w:r>
        <w:rPr>
          <w:lang w:bidi="fa-IR"/>
        </w:rPr>
        <w:t xml:space="preserve"> </w:t>
      </w:r>
      <w:r w:rsidR="00F105DC">
        <w:rPr>
          <w:lang w:bidi="fa-IR"/>
        </w:rPr>
        <w:t>CIE estimates</w:t>
      </w:r>
    </w:p>
    <w:p w14:paraId="108B4DC6" w14:textId="54FC6FEB" w:rsidR="007B1D2F" w:rsidRDefault="00006630" w:rsidP="00E741E8">
      <w:pPr>
        <w:pStyle w:val="BodyText"/>
        <w:rPr>
          <w:lang w:bidi="fa-IR"/>
        </w:rPr>
      </w:pPr>
      <w:r>
        <w:rPr>
          <w:lang w:bidi="fa-IR"/>
        </w:rPr>
        <w:t xml:space="preserve">Table </w:t>
      </w:r>
      <w:r>
        <w:rPr>
          <w:lang w:bidi="fa-IR"/>
        </w:rPr>
        <w:fldChar w:fldCharType="begin"/>
      </w:r>
      <w:r>
        <w:rPr>
          <w:lang w:bidi="fa-IR"/>
        </w:rPr>
        <w:instrText xml:space="preserve"> REF _Caption2354 </w:instrText>
      </w:r>
      <w:r>
        <w:rPr>
          <w:lang w:bidi="fa-IR"/>
        </w:rPr>
        <w:fldChar w:fldCharType="separate"/>
      </w:r>
      <w:r w:rsidR="00586CBD">
        <w:rPr>
          <w:noProof/>
        </w:rPr>
        <w:t>5</w:t>
      </w:r>
      <w:r>
        <w:rPr>
          <w:lang w:bidi="fa-IR"/>
        </w:rPr>
        <w:fldChar w:fldCharType="end"/>
      </w:r>
      <w:r>
        <w:rPr>
          <w:lang w:bidi="fa-IR"/>
        </w:rPr>
        <w:t xml:space="preserve"> presents the </w:t>
      </w:r>
      <w:r w:rsidR="007B1D2F">
        <w:rPr>
          <w:lang w:bidi="fa-IR"/>
        </w:rPr>
        <w:t xml:space="preserve">updated </w:t>
      </w:r>
      <w:r w:rsidR="00382937">
        <w:rPr>
          <w:lang w:bidi="fa-IR"/>
        </w:rPr>
        <w:t>t</w:t>
      </w:r>
      <w:r w:rsidR="007B1D2F">
        <w:rPr>
          <w:lang w:bidi="fa-IR"/>
        </w:rPr>
        <w:t>able 5.10</w:t>
      </w:r>
      <w:r>
        <w:rPr>
          <w:lang w:bidi="fa-IR"/>
        </w:rPr>
        <w:t xml:space="preserve"> in the original report, </w:t>
      </w:r>
      <w:r w:rsidR="0052519C">
        <w:rPr>
          <w:lang w:bidi="fa-IR"/>
        </w:rPr>
        <w:t xml:space="preserve">which reports the </w:t>
      </w:r>
      <w:r w:rsidR="00E53BB0">
        <w:rPr>
          <w:lang w:bidi="fa-IR"/>
        </w:rPr>
        <w:t xml:space="preserve">top 20 commodities with </w:t>
      </w:r>
      <w:r w:rsidR="00382937">
        <w:rPr>
          <w:lang w:bidi="fa-IR"/>
        </w:rPr>
        <w:t>the highest export growth following an FTA with the UAE.</w:t>
      </w:r>
      <w:r w:rsidR="004A1984">
        <w:rPr>
          <w:lang w:bidi="fa-IR"/>
        </w:rPr>
        <w:t xml:space="preserve"> Because some top exporting commodities in table </w:t>
      </w:r>
      <w:r w:rsidR="004A1984">
        <w:rPr>
          <w:lang w:bidi="fa-IR"/>
        </w:rPr>
        <w:fldChar w:fldCharType="begin"/>
      </w:r>
      <w:r w:rsidR="004A1984">
        <w:rPr>
          <w:lang w:bidi="fa-IR"/>
        </w:rPr>
        <w:instrText xml:space="preserve"> REF _Caption4750 </w:instrText>
      </w:r>
      <w:r w:rsidR="004A1984">
        <w:rPr>
          <w:lang w:bidi="fa-IR"/>
        </w:rPr>
        <w:fldChar w:fldCharType="separate"/>
      </w:r>
      <w:r w:rsidR="00586CBD">
        <w:rPr>
          <w:noProof/>
        </w:rPr>
        <w:t>4</w:t>
      </w:r>
      <w:r w:rsidR="004A1984">
        <w:rPr>
          <w:lang w:bidi="fa-IR"/>
        </w:rPr>
        <w:fldChar w:fldCharType="end"/>
      </w:r>
      <w:r w:rsidR="004A1984">
        <w:rPr>
          <w:lang w:bidi="fa-IR"/>
        </w:rPr>
        <w:t xml:space="preserve"> (updated table 5.</w:t>
      </w:r>
      <w:r w:rsidR="00680BE2">
        <w:rPr>
          <w:lang w:bidi="fa-IR"/>
        </w:rPr>
        <w:t>9)</w:t>
      </w:r>
      <w:r w:rsidR="001D617A">
        <w:rPr>
          <w:lang w:bidi="fa-IR"/>
        </w:rPr>
        <w:t xml:space="preserve"> have low or zero base tariff, for example, gold, wheat, comp</w:t>
      </w:r>
      <w:r w:rsidR="00D07790">
        <w:rPr>
          <w:lang w:bidi="fa-IR"/>
        </w:rPr>
        <w:t>u</w:t>
      </w:r>
      <w:r w:rsidR="001D617A">
        <w:rPr>
          <w:lang w:bidi="fa-IR"/>
        </w:rPr>
        <w:t>ters</w:t>
      </w:r>
      <w:r w:rsidR="00D07790">
        <w:rPr>
          <w:lang w:bidi="fa-IR"/>
        </w:rPr>
        <w:t>,</w:t>
      </w:r>
      <w:r w:rsidR="002E71CE">
        <w:rPr>
          <w:lang w:bidi="fa-IR"/>
        </w:rPr>
        <w:t xml:space="preserve"> and</w:t>
      </w:r>
      <w:r w:rsidR="00D07790">
        <w:rPr>
          <w:lang w:bidi="fa-IR"/>
        </w:rPr>
        <w:t xml:space="preserve"> etc, they do not make to the list in table </w:t>
      </w:r>
      <w:r w:rsidR="00D07790">
        <w:rPr>
          <w:lang w:bidi="fa-IR"/>
        </w:rPr>
        <w:fldChar w:fldCharType="begin"/>
      </w:r>
      <w:r w:rsidR="00D07790">
        <w:rPr>
          <w:lang w:bidi="fa-IR"/>
        </w:rPr>
        <w:instrText xml:space="preserve"> REF _Caption2354 </w:instrText>
      </w:r>
      <w:r w:rsidR="00D07790">
        <w:rPr>
          <w:lang w:bidi="fa-IR"/>
        </w:rPr>
        <w:fldChar w:fldCharType="separate"/>
      </w:r>
      <w:r w:rsidR="00586CBD">
        <w:rPr>
          <w:noProof/>
        </w:rPr>
        <w:t>5</w:t>
      </w:r>
      <w:r w:rsidR="00D07790">
        <w:rPr>
          <w:lang w:bidi="fa-IR"/>
        </w:rPr>
        <w:fldChar w:fldCharType="end"/>
      </w:r>
      <w:r w:rsidR="00D07790">
        <w:rPr>
          <w:lang w:bidi="fa-IR"/>
        </w:rPr>
        <w:t xml:space="preserve"> (updated table 5.10).</w:t>
      </w:r>
    </w:p>
    <w:p w14:paraId="1DF74310" w14:textId="29BC92AE" w:rsidR="00A51DB7" w:rsidRDefault="00A51DB7" w:rsidP="00E741E8">
      <w:pPr>
        <w:pStyle w:val="BodyText"/>
        <w:rPr>
          <w:lang w:bidi="fa-IR"/>
        </w:rPr>
      </w:pPr>
      <w:r>
        <w:rPr>
          <w:lang w:bidi="fa-IR"/>
        </w:rPr>
        <w:t xml:space="preserve">‘222 </w:t>
      </w:r>
      <w:proofErr w:type="gramStart"/>
      <w:r w:rsidRPr="00C86752">
        <w:rPr>
          <w:lang w:bidi="fa-IR"/>
        </w:rPr>
        <w:t>Oil-seeds</w:t>
      </w:r>
      <w:proofErr w:type="gramEnd"/>
      <w:r w:rsidRPr="00C86752">
        <w:rPr>
          <w:lang w:bidi="fa-IR"/>
        </w:rPr>
        <w:t xml:space="preserve"> &amp; oleaginous fruits, soft</w:t>
      </w:r>
      <w:r>
        <w:rPr>
          <w:lang w:bidi="fa-IR"/>
        </w:rPr>
        <w:t xml:space="preserve">’ </w:t>
      </w:r>
      <w:r w:rsidR="00B92598">
        <w:rPr>
          <w:lang w:bidi="fa-IR"/>
        </w:rPr>
        <w:t xml:space="preserve">now enjoys the largest increase in </w:t>
      </w:r>
      <w:r w:rsidR="00273BA8">
        <w:rPr>
          <w:lang w:bidi="fa-IR"/>
        </w:rPr>
        <w:t>exports to the UAE following an FTA,</w:t>
      </w:r>
      <w:r w:rsidR="00C25853">
        <w:rPr>
          <w:lang w:bidi="fa-IR"/>
        </w:rPr>
        <w:t xml:space="preserve"> based on </w:t>
      </w:r>
      <w:r w:rsidR="00CE0FAF">
        <w:rPr>
          <w:lang w:bidi="fa-IR"/>
        </w:rPr>
        <w:t>higher average exports over 2021-23 than in 2015-19,</w:t>
      </w:r>
      <w:r w:rsidR="00273BA8">
        <w:rPr>
          <w:lang w:bidi="fa-IR"/>
        </w:rPr>
        <w:t xml:space="preserve"> while the original </w:t>
      </w:r>
      <w:r w:rsidR="004F0A9F">
        <w:rPr>
          <w:lang w:bidi="fa-IR"/>
        </w:rPr>
        <w:t xml:space="preserve">number one growth commodity ‘285 Aluminium ores &amp; concentrates (including alumina)’ </w:t>
      </w:r>
      <w:r w:rsidR="0061003E">
        <w:rPr>
          <w:lang w:bidi="fa-IR"/>
        </w:rPr>
        <w:t>drops to</w:t>
      </w:r>
      <w:r w:rsidR="00082BF5">
        <w:rPr>
          <w:lang w:bidi="fa-IR"/>
        </w:rPr>
        <w:t xml:space="preserve"> the third place.</w:t>
      </w:r>
      <w:r w:rsidR="005E66A3">
        <w:rPr>
          <w:lang w:bidi="fa-IR"/>
        </w:rPr>
        <w:t xml:space="preserve"> The change in the order of export growth </w:t>
      </w:r>
      <w:r w:rsidR="000B1620">
        <w:rPr>
          <w:lang w:bidi="fa-IR"/>
        </w:rPr>
        <w:t>flowing an FTA is purely due to the change in the base value of exports.</w:t>
      </w:r>
    </w:p>
    <w:p w14:paraId="0D49B2CA" w14:textId="65321BAB" w:rsidR="00AF39EB" w:rsidRDefault="00AF39EB" w:rsidP="00AF39EB">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Pr="00695C93">
        <w:instrText>B</w:instrText>
      </w:r>
      <w:r>
        <w:fldChar w:fldCharType="end"/>
      </w:r>
      <w:r w:rsidRPr="00695C93">
        <w:instrText xml:space="preserve">." </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0</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sidR="00586CBD">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end"/>
      </w:r>
      <w:r w:rsidRPr="00695C93">
        <w:instrText xml:space="preserve"> </w:instrText>
      </w:r>
      <w:r w:rsidRPr="00695C93">
        <w:fldChar w:fldCharType="separate"/>
      </w:r>
      <w:r w:rsidR="00586CBD">
        <w:rPr>
          <w:noProof/>
        </w:rPr>
        <w:instrText>5</w:instrText>
      </w:r>
      <w:r w:rsidRPr="00695C93">
        <w:fldChar w:fldCharType="end"/>
      </w:r>
      <w:r w:rsidRPr="00695C93">
        <w:instrText xml:space="preserve">" "" </w:instrText>
      </w:r>
      <w:r w:rsidRPr="00695C93">
        <w:fldChar w:fldCharType="separate"/>
      </w:r>
      <w:bookmarkStart w:id="31" w:name="_Caption5617"/>
      <w:bookmarkStart w:id="32" w:name="_Caption2064"/>
      <w:bookmarkStart w:id="33" w:name="_Caption2354"/>
      <w:bookmarkStart w:id="34" w:name="_Toc175649965"/>
      <w:r w:rsidR="00586CBD">
        <w:rPr>
          <w:noProof/>
        </w:rPr>
        <w:t>5</w:t>
      </w:r>
      <w:bookmarkEnd w:id="31"/>
      <w:bookmarkEnd w:id="32"/>
      <w:bookmarkEnd w:id="33"/>
      <w:r w:rsidRPr="00695C93">
        <w:fldChar w:fldCharType="end"/>
      </w:r>
      <w:r w:rsidRPr="00695C93">
        <w:tab/>
      </w:r>
      <w:r>
        <w:t xml:space="preserve">Updated table 5.10: </w:t>
      </w:r>
      <w:r w:rsidR="005F7EC9">
        <w:t>Estimated top export increases following an FTA</w:t>
      </w:r>
      <w:bookmarkEnd w:id="34"/>
    </w:p>
    <w:tbl>
      <w:tblPr>
        <w:tblW w:w="7937" w:type="dxa"/>
        <w:tblLook w:val="04E0" w:firstRow="1" w:lastRow="1" w:firstColumn="1" w:lastColumn="0" w:noHBand="0" w:noVBand="1"/>
      </w:tblPr>
      <w:tblGrid>
        <w:gridCol w:w="2835"/>
        <w:gridCol w:w="1134"/>
        <w:gridCol w:w="1276"/>
        <w:gridCol w:w="1276"/>
        <w:gridCol w:w="1416"/>
      </w:tblGrid>
      <w:tr w:rsidR="00AF39EB" w:rsidRPr="00AF39EB" w14:paraId="4FD3BAA7" w14:textId="77777777" w:rsidTr="009E0E31">
        <w:trPr>
          <w:trHeight w:val="648"/>
          <w:tblHeader/>
        </w:trPr>
        <w:tc>
          <w:tcPr>
            <w:tcW w:w="2835" w:type="dxa"/>
            <w:shd w:val="clear" w:color="auto" w:fill="6F6652"/>
            <w:noWrap/>
            <w:tcMar>
              <w:left w:w="57" w:type="dxa"/>
              <w:right w:w="57" w:type="dxa"/>
            </w:tcMar>
            <w:hideMark/>
          </w:tcPr>
          <w:p w14:paraId="66157092" w14:textId="09DC2B6A" w:rsidR="00AF39EB" w:rsidRPr="00AF39EB" w:rsidRDefault="000748A9" w:rsidP="00AF39EB">
            <w:pPr>
              <w:pStyle w:val="TableDataColumnHeading"/>
              <w:jc w:val="left"/>
            </w:pPr>
            <w:r>
              <w:t>Export</w:t>
            </w:r>
          </w:p>
        </w:tc>
        <w:tc>
          <w:tcPr>
            <w:tcW w:w="1134" w:type="dxa"/>
            <w:shd w:val="clear" w:color="auto" w:fill="6F6652"/>
            <w:tcMar>
              <w:left w:w="57" w:type="dxa"/>
              <w:right w:w="57" w:type="dxa"/>
            </w:tcMar>
            <w:hideMark/>
          </w:tcPr>
          <w:p w14:paraId="5F8C78BD" w14:textId="15EEA1F5" w:rsidR="00AF39EB" w:rsidRPr="00AF39EB" w:rsidRDefault="00AF39EB" w:rsidP="00AF39EB">
            <w:pPr>
              <w:pStyle w:val="TableDataColumnHeading"/>
              <w:rPr>
                <w:szCs w:val="16"/>
              </w:rPr>
            </w:pPr>
            <w:r w:rsidRPr="00AF39EB">
              <w:rPr>
                <w:szCs w:val="16"/>
              </w:rPr>
              <w:t>Potential offer to Australia</w:t>
            </w:r>
            <w:r w:rsidR="000748A9">
              <w:rPr>
                <w:szCs w:val="16"/>
              </w:rPr>
              <w:br/>
              <w:t>$m</w:t>
            </w:r>
          </w:p>
        </w:tc>
        <w:tc>
          <w:tcPr>
            <w:tcW w:w="1276" w:type="dxa"/>
            <w:shd w:val="clear" w:color="auto" w:fill="6F6652"/>
            <w:tcMar>
              <w:left w:w="57" w:type="dxa"/>
              <w:right w:w="57" w:type="dxa"/>
            </w:tcMar>
            <w:hideMark/>
          </w:tcPr>
          <w:p w14:paraId="2B00D37D" w14:textId="24266D6B" w:rsidR="00AF39EB" w:rsidRPr="00AF39EB" w:rsidRDefault="00AF39EB" w:rsidP="00AF39EB">
            <w:pPr>
              <w:pStyle w:val="TableDataColumnHeading"/>
              <w:rPr>
                <w:szCs w:val="16"/>
              </w:rPr>
            </w:pPr>
            <w:r w:rsidRPr="00AF39EB">
              <w:rPr>
                <w:szCs w:val="16"/>
              </w:rPr>
              <w:t>UAE offer in FTA with Singapore</w:t>
            </w:r>
            <w:r w:rsidR="000748A9">
              <w:rPr>
                <w:szCs w:val="16"/>
              </w:rPr>
              <w:br/>
              <w:t>$m</w:t>
            </w:r>
          </w:p>
        </w:tc>
        <w:tc>
          <w:tcPr>
            <w:tcW w:w="1276" w:type="dxa"/>
            <w:shd w:val="clear" w:color="auto" w:fill="6F6652"/>
            <w:tcMar>
              <w:left w:w="57" w:type="dxa"/>
              <w:right w:w="57" w:type="dxa"/>
            </w:tcMar>
            <w:hideMark/>
          </w:tcPr>
          <w:p w14:paraId="59BE1A4E" w14:textId="131861FB" w:rsidR="00AF39EB" w:rsidRPr="00AF39EB" w:rsidRDefault="00AF39EB" w:rsidP="00AF39EB">
            <w:pPr>
              <w:pStyle w:val="TableDataColumnHeading"/>
              <w:rPr>
                <w:szCs w:val="16"/>
              </w:rPr>
            </w:pPr>
            <w:r w:rsidRPr="00AF39EB">
              <w:rPr>
                <w:szCs w:val="16"/>
              </w:rPr>
              <w:t>UAE offer in FTA with EFTA</w:t>
            </w:r>
            <w:r w:rsidR="009E0E31">
              <w:rPr>
                <w:szCs w:val="16"/>
              </w:rPr>
              <w:br/>
              <w:t>$m</w:t>
            </w:r>
          </w:p>
        </w:tc>
        <w:tc>
          <w:tcPr>
            <w:tcW w:w="1416" w:type="dxa"/>
            <w:shd w:val="clear" w:color="auto" w:fill="6F6652"/>
            <w:tcMar>
              <w:left w:w="57" w:type="dxa"/>
              <w:right w:w="57" w:type="dxa"/>
            </w:tcMar>
            <w:hideMark/>
          </w:tcPr>
          <w:p w14:paraId="6D040F81" w14:textId="07E3C3BA" w:rsidR="00AF39EB" w:rsidRPr="00AF39EB" w:rsidRDefault="00AF39EB" w:rsidP="00AF39EB">
            <w:pPr>
              <w:pStyle w:val="TableDataColumnHeading"/>
              <w:rPr>
                <w:szCs w:val="16"/>
              </w:rPr>
            </w:pPr>
            <w:r w:rsidRPr="00AF39EB">
              <w:rPr>
                <w:szCs w:val="16"/>
              </w:rPr>
              <w:t>UAE offer in India CEPA - Year 10</w:t>
            </w:r>
            <w:r w:rsidR="009E0E31">
              <w:rPr>
                <w:szCs w:val="16"/>
              </w:rPr>
              <w:br/>
              <w:t>$m</w:t>
            </w:r>
          </w:p>
        </w:tc>
      </w:tr>
      <w:tr w:rsidR="00AD7F3F" w:rsidRPr="00AF39EB" w14:paraId="1AFA94FC"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9703A6" w14:textId="56DF418A" w:rsidR="00AD7F3F" w:rsidRPr="00AF39EB" w:rsidRDefault="00AD7F3F" w:rsidP="00AD7F3F">
            <w:pPr>
              <w:pStyle w:val="TableDataEntries"/>
              <w:jc w:val="left"/>
            </w:pPr>
            <w:r>
              <w:rPr>
                <w:szCs w:val="16"/>
              </w:rPr>
              <w:t>Oil-seeds &amp; oleaginous fruits, soft</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73998B" w14:textId="7B320DC7" w:rsidR="00AD7F3F" w:rsidRPr="00AF39EB" w:rsidRDefault="00AD7F3F" w:rsidP="00AD7F3F">
            <w:pPr>
              <w:pStyle w:val="TableDataEntries"/>
            </w:pPr>
            <w:r>
              <w:rPr>
                <w:szCs w:val="16"/>
              </w:rPr>
              <w:t>172.94</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D66A12" w14:textId="32B73BCD" w:rsidR="00AD7F3F" w:rsidRPr="00AF39EB" w:rsidRDefault="00AD7F3F" w:rsidP="00AD7F3F">
            <w:pPr>
              <w:pStyle w:val="TableDataEntries"/>
            </w:pPr>
            <w:r>
              <w:rPr>
                <w:szCs w:val="16"/>
              </w:rPr>
              <w:t>172.93</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B0290E" w14:textId="1005003A" w:rsidR="00AD7F3F" w:rsidRPr="00AF39EB" w:rsidRDefault="00AD7F3F" w:rsidP="00AD7F3F">
            <w:pPr>
              <w:pStyle w:val="TableDataEntries"/>
            </w:pPr>
            <w:r>
              <w:rPr>
                <w:szCs w:val="16"/>
              </w:rPr>
              <w:t>172.94</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23C2F1" w14:textId="6621A435" w:rsidR="00AD7F3F" w:rsidRPr="00AF39EB" w:rsidRDefault="00AD7F3F" w:rsidP="00AD7F3F">
            <w:pPr>
              <w:pStyle w:val="TableDataEntries"/>
            </w:pPr>
            <w:r>
              <w:rPr>
                <w:szCs w:val="16"/>
              </w:rPr>
              <w:t>172.94</w:t>
            </w:r>
          </w:p>
        </w:tc>
      </w:tr>
      <w:tr w:rsidR="00AD7F3F" w:rsidRPr="00AF39EB" w14:paraId="53AA6A44"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323DB9" w14:textId="6CE72EBD" w:rsidR="00AD7F3F" w:rsidRPr="00AF39EB" w:rsidRDefault="00AD7F3F" w:rsidP="00AD7F3F">
            <w:pPr>
              <w:pStyle w:val="TableDataEntries"/>
              <w:jc w:val="left"/>
            </w:pPr>
            <w:r>
              <w:rPr>
                <w:szCs w:val="16"/>
              </w:rPr>
              <w:t>Crude petroleum</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76A233" w14:textId="19211747" w:rsidR="00AD7F3F" w:rsidRPr="00AF39EB" w:rsidRDefault="00AD7F3F" w:rsidP="00AD7F3F">
            <w:pPr>
              <w:pStyle w:val="TableDataEntries"/>
            </w:pPr>
            <w:r>
              <w:rPr>
                <w:szCs w:val="16"/>
              </w:rPr>
              <w:t>90.27</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3936A7" w14:textId="3CD642B4" w:rsidR="00AD7F3F" w:rsidRPr="00AF39EB" w:rsidRDefault="00AD7F3F" w:rsidP="00AD7F3F">
            <w:pPr>
              <w:pStyle w:val="TableDataEntries"/>
            </w:pPr>
            <w:r>
              <w:rPr>
                <w:szCs w:val="16"/>
              </w:rPr>
              <w:t>90.27</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F25A03" w14:textId="10EA7818" w:rsidR="00AD7F3F" w:rsidRPr="00AF39EB" w:rsidRDefault="00AD7F3F" w:rsidP="00AD7F3F">
            <w:pPr>
              <w:pStyle w:val="TableDataEntries"/>
            </w:pPr>
            <w:r>
              <w:rPr>
                <w:szCs w:val="16"/>
              </w:rPr>
              <w:t>90.27</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7431E2" w14:textId="47682A49" w:rsidR="00AD7F3F" w:rsidRPr="00AF39EB" w:rsidRDefault="00AD7F3F" w:rsidP="00AD7F3F">
            <w:pPr>
              <w:pStyle w:val="TableDataEntries"/>
            </w:pPr>
            <w:r>
              <w:rPr>
                <w:szCs w:val="16"/>
              </w:rPr>
              <w:t>90.27</w:t>
            </w:r>
          </w:p>
        </w:tc>
      </w:tr>
      <w:tr w:rsidR="00AD7F3F" w:rsidRPr="00AF39EB" w14:paraId="57DA7CAA"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BB9143" w14:textId="4888D6F7" w:rsidR="00AD7F3F" w:rsidRPr="00AF39EB" w:rsidRDefault="00AD7F3F" w:rsidP="00AD7F3F">
            <w:pPr>
              <w:pStyle w:val="TableDataEntries"/>
              <w:jc w:val="left"/>
            </w:pPr>
            <w:r>
              <w:rPr>
                <w:szCs w:val="16"/>
              </w:rPr>
              <w:t>Aluminium ores &amp; conc (incl alumina)</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5C09A04" w14:textId="05CCC09B" w:rsidR="00AD7F3F" w:rsidRPr="00AF39EB" w:rsidRDefault="00AD7F3F" w:rsidP="00AD7F3F">
            <w:pPr>
              <w:pStyle w:val="TableDataEntries"/>
            </w:pPr>
            <w:r>
              <w:rPr>
                <w:szCs w:val="16"/>
              </w:rPr>
              <w:t>89.92</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E1941F" w14:textId="45A93584" w:rsidR="00AD7F3F" w:rsidRPr="00AF39EB" w:rsidRDefault="00AD7F3F" w:rsidP="00AD7F3F">
            <w:pPr>
              <w:pStyle w:val="TableDataEntries"/>
            </w:pPr>
            <w:r>
              <w:rPr>
                <w:szCs w:val="16"/>
              </w:rPr>
              <w:t>89.92</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FC4F18" w14:textId="783A8828" w:rsidR="00AD7F3F" w:rsidRPr="00AF39EB" w:rsidRDefault="00AD7F3F" w:rsidP="00AD7F3F">
            <w:pPr>
              <w:pStyle w:val="TableDataEntries"/>
            </w:pPr>
            <w:r>
              <w:rPr>
                <w:szCs w:val="16"/>
              </w:rPr>
              <w:t>89.92</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72F97F" w14:textId="532C3991" w:rsidR="00AD7F3F" w:rsidRPr="00AF39EB" w:rsidRDefault="00AD7F3F" w:rsidP="00AD7F3F">
            <w:pPr>
              <w:pStyle w:val="TableDataEntries"/>
            </w:pPr>
            <w:r>
              <w:rPr>
                <w:szCs w:val="16"/>
              </w:rPr>
              <w:t>89.92</w:t>
            </w:r>
          </w:p>
        </w:tc>
      </w:tr>
      <w:tr w:rsidR="00AD7F3F" w:rsidRPr="00AF39EB" w14:paraId="1B2BCB14"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ED70E7" w14:textId="135F1FAA" w:rsidR="00AD7F3F" w:rsidRPr="00AF39EB" w:rsidRDefault="00AD7F3F" w:rsidP="00AD7F3F">
            <w:pPr>
              <w:pStyle w:val="TableDataEntries"/>
              <w:jc w:val="left"/>
            </w:pPr>
            <w:r>
              <w:rPr>
                <w:szCs w:val="16"/>
              </w:rPr>
              <w:t>Vehicle parts &amp; accessories</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114460" w14:textId="3254498F" w:rsidR="00AD7F3F" w:rsidRPr="00AF39EB" w:rsidRDefault="00AD7F3F" w:rsidP="00AD7F3F">
            <w:pPr>
              <w:pStyle w:val="TableDataEntries"/>
            </w:pPr>
            <w:r>
              <w:rPr>
                <w:szCs w:val="16"/>
              </w:rPr>
              <w:t>58.83</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791DD2" w14:textId="3E97DCF5" w:rsidR="00AD7F3F" w:rsidRPr="00AF39EB" w:rsidRDefault="00AD7F3F" w:rsidP="00AD7F3F">
            <w:pPr>
              <w:pStyle w:val="TableDataEntries"/>
            </w:pPr>
            <w:r>
              <w:rPr>
                <w:szCs w:val="16"/>
              </w:rPr>
              <w:t>58.83</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79E05F" w14:textId="3D0589DA" w:rsidR="00AD7F3F" w:rsidRPr="00AF39EB" w:rsidRDefault="00AD7F3F" w:rsidP="00AD7F3F">
            <w:pPr>
              <w:pStyle w:val="TableDataEntries"/>
            </w:pPr>
            <w:r>
              <w:rPr>
                <w:szCs w:val="16"/>
              </w:rPr>
              <w:t>58.83</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7A189AF" w14:textId="6F3B3653" w:rsidR="00AD7F3F" w:rsidRPr="00AF39EB" w:rsidRDefault="00AD7F3F" w:rsidP="00AD7F3F">
            <w:pPr>
              <w:pStyle w:val="TableDataEntries"/>
            </w:pPr>
            <w:r>
              <w:rPr>
                <w:szCs w:val="16"/>
              </w:rPr>
              <w:t>58.83</w:t>
            </w:r>
          </w:p>
        </w:tc>
      </w:tr>
      <w:tr w:rsidR="00AD7F3F" w:rsidRPr="00AF39EB" w14:paraId="48E1FF4E"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1A8332" w14:textId="0CAA74F8" w:rsidR="00AD7F3F" w:rsidRPr="00AF39EB" w:rsidRDefault="00AD7F3F" w:rsidP="00AD7F3F">
            <w:pPr>
              <w:pStyle w:val="TableDataEntries"/>
              <w:jc w:val="left"/>
            </w:pPr>
            <w:r>
              <w:rPr>
                <w:szCs w:val="16"/>
              </w:rPr>
              <w:t xml:space="preserve">Vegetables, </w:t>
            </w:r>
            <w:proofErr w:type="spellStart"/>
            <w:r>
              <w:rPr>
                <w:szCs w:val="16"/>
              </w:rPr>
              <w:t>f.c.f</w:t>
            </w:r>
            <w:proofErr w:type="spellEnd"/>
            <w:r>
              <w:rPr>
                <w:szCs w:val="16"/>
              </w:rPr>
              <w:t>.</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28198F" w14:textId="399DE32B" w:rsidR="00AD7F3F" w:rsidRPr="00AF39EB" w:rsidRDefault="00AD7F3F" w:rsidP="00AD7F3F">
            <w:pPr>
              <w:pStyle w:val="TableDataEntries"/>
            </w:pPr>
            <w:r>
              <w:rPr>
                <w:szCs w:val="16"/>
              </w:rPr>
              <w:t>40.43</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6981A8" w14:textId="7655CE1F" w:rsidR="00AD7F3F" w:rsidRPr="00AF39EB" w:rsidRDefault="00AD7F3F" w:rsidP="00AD7F3F">
            <w:pPr>
              <w:pStyle w:val="TableDataEntries"/>
            </w:pPr>
            <w:r>
              <w:rPr>
                <w:szCs w:val="16"/>
              </w:rPr>
              <w:t>40.43</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9FC36E" w14:textId="008EF79B" w:rsidR="00AD7F3F" w:rsidRPr="00AF39EB" w:rsidRDefault="00AD7F3F" w:rsidP="00AD7F3F">
            <w:pPr>
              <w:pStyle w:val="TableDataEntries"/>
            </w:pPr>
            <w:r>
              <w:rPr>
                <w:szCs w:val="16"/>
              </w:rPr>
              <w:t>40.43</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1190BAE" w14:textId="1293921A" w:rsidR="00AD7F3F" w:rsidRPr="00AF39EB" w:rsidRDefault="00AD7F3F" w:rsidP="00AD7F3F">
            <w:pPr>
              <w:pStyle w:val="TableDataEntries"/>
            </w:pPr>
            <w:r>
              <w:rPr>
                <w:szCs w:val="16"/>
              </w:rPr>
              <w:t>40.43</w:t>
            </w:r>
          </w:p>
        </w:tc>
      </w:tr>
      <w:tr w:rsidR="00AD7F3F" w:rsidRPr="00AF39EB" w14:paraId="5689F71A"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0C3F29" w14:textId="5C56C604" w:rsidR="00AD7F3F" w:rsidRPr="00AF39EB" w:rsidRDefault="00AD7F3F" w:rsidP="00AD7F3F">
            <w:pPr>
              <w:pStyle w:val="TableDataEntries"/>
              <w:jc w:val="left"/>
            </w:pPr>
            <w:r>
              <w:rPr>
                <w:szCs w:val="16"/>
              </w:rPr>
              <w:t xml:space="preserve">Meat (excl beef), </w:t>
            </w:r>
            <w:proofErr w:type="spellStart"/>
            <w:r>
              <w:rPr>
                <w:szCs w:val="16"/>
              </w:rPr>
              <w:t>f.c.f</w:t>
            </w:r>
            <w:proofErr w:type="spellEnd"/>
            <w:r>
              <w:rPr>
                <w:szCs w:val="16"/>
              </w:rPr>
              <w:t>.</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DFC9FB" w14:textId="3825AE60" w:rsidR="00AD7F3F" w:rsidRPr="00AF39EB" w:rsidRDefault="00AD7F3F" w:rsidP="00AD7F3F">
            <w:pPr>
              <w:pStyle w:val="TableDataEntries"/>
            </w:pPr>
            <w:r>
              <w:rPr>
                <w:szCs w:val="16"/>
              </w:rPr>
              <w:t>34.36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5483F7" w14:textId="382BC637" w:rsidR="00AD7F3F" w:rsidRPr="00AF39EB" w:rsidRDefault="00AD7F3F" w:rsidP="00AD7F3F">
            <w:pPr>
              <w:pStyle w:val="TableDataEntries"/>
            </w:pPr>
            <w:r>
              <w:rPr>
                <w:szCs w:val="16"/>
              </w:rPr>
              <w:t>34.35</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577637" w14:textId="35372438" w:rsidR="00AD7F3F" w:rsidRPr="00AF39EB" w:rsidRDefault="00AD7F3F" w:rsidP="00AD7F3F">
            <w:pPr>
              <w:pStyle w:val="TableDataEntries"/>
            </w:pPr>
            <w:r>
              <w:rPr>
                <w:szCs w:val="16"/>
              </w:rPr>
              <w:t>34.34</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5F13DE" w14:textId="6E978F05" w:rsidR="00AD7F3F" w:rsidRPr="00AF39EB" w:rsidRDefault="00AD7F3F" w:rsidP="00AD7F3F">
            <w:pPr>
              <w:pStyle w:val="TableDataEntries"/>
            </w:pPr>
            <w:r>
              <w:rPr>
                <w:szCs w:val="16"/>
              </w:rPr>
              <w:t>34.36</w:t>
            </w:r>
          </w:p>
        </w:tc>
      </w:tr>
      <w:tr w:rsidR="00AD7F3F" w:rsidRPr="00AF39EB" w14:paraId="6D967C2B"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D976EB" w14:textId="62472DC5" w:rsidR="00AD7F3F" w:rsidRPr="00AF39EB" w:rsidRDefault="00AD7F3F" w:rsidP="00AD7F3F">
            <w:pPr>
              <w:pStyle w:val="TableDataEntries"/>
              <w:jc w:val="left"/>
            </w:pPr>
            <w:r>
              <w:rPr>
                <w:szCs w:val="16"/>
              </w:rPr>
              <w:t>Arms &amp; ammunition</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2B3BA04" w14:textId="113CAB57" w:rsidR="00AD7F3F" w:rsidRPr="00AF39EB" w:rsidRDefault="00AD7F3F" w:rsidP="00AD7F3F">
            <w:pPr>
              <w:pStyle w:val="TableDataEntries"/>
            </w:pPr>
            <w:r>
              <w:rPr>
                <w:szCs w:val="16"/>
              </w:rPr>
              <w:t>27.96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F3D81C" w14:textId="2B9B5759" w:rsidR="00AD7F3F" w:rsidRPr="00AF39EB" w:rsidRDefault="00AD7F3F" w:rsidP="00AD7F3F">
            <w:pPr>
              <w:pStyle w:val="TableDataEntries"/>
            </w:pPr>
            <w:r>
              <w:rPr>
                <w:szCs w:val="16"/>
              </w:rPr>
              <w:t>27.96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B68DE7" w14:textId="29D56095" w:rsidR="00AD7F3F" w:rsidRPr="00AF39EB" w:rsidRDefault="00AD7F3F" w:rsidP="00AD7F3F">
            <w:pPr>
              <w:pStyle w:val="TableDataEntries"/>
            </w:pPr>
            <w:r>
              <w:rPr>
                <w:szCs w:val="16"/>
              </w:rPr>
              <w:t>27.96</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26EBEB3" w14:textId="2F43A973" w:rsidR="00AD7F3F" w:rsidRPr="00AF39EB" w:rsidRDefault="00AD7F3F" w:rsidP="00AD7F3F">
            <w:pPr>
              <w:pStyle w:val="TableDataEntries"/>
            </w:pPr>
            <w:r>
              <w:rPr>
                <w:szCs w:val="16"/>
              </w:rPr>
              <w:t>27.96</w:t>
            </w:r>
          </w:p>
        </w:tc>
      </w:tr>
      <w:tr w:rsidR="00AD7F3F" w:rsidRPr="00AF39EB" w14:paraId="0318E09C"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265EBB" w14:textId="1314D113" w:rsidR="00AD7F3F" w:rsidRPr="00AF39EB" w:rsidRDefault="00AD7F3F" w:rsidP="00AD7F3F">
            <w:pPr>
              <w:pStyle w:val="TableDataEntries"/>
              <w:jc w:val="left"/>
            </w:pPr>
            <w:r>
              <w:rPr>
                <w:szCs w:val="16"/>
              </w:rPr>
              <w:t>Worn clothing &amp; rags</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0D0612" w14:textId="071D10B1" w:rsidR="00AD7F3F" w:rsidRPr="00AF39EB" w:rsidRDefault="00AD7F3F" w:rsidP="00AD7F3F">
            <w:pPr>
              <w:pStyle w:val="TableDataEntries"/>
            </w:pPr>
            <w:r>
              <w:rPr>
                <w:szCs w:val="16"/>
              </w:rPr>
              <w:t>20.56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AECE16" w14:textId="43658147" w:rsidR="00AD7F3F" w:rsidRPr="00AF39EB" w:rsidRDefault="00AD7F3F" w:rsidP="00AD7F3F">
            <w:pPr>
              <w:pStyle w:val="TableDataEntries"/>
            </w:pPr>
            <w:r>
              <w:rPr>
                <w:szCs w:val="16"/>
              </w:rPr>
              <w:t>20.56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24EB0D" w14:textId="0A3909D6" w:rsidR="00AD7F3F" w:rsidRPr="00AF39EB" w:rsidRDefault="00AD7F3F" w:rsidP="00AD7F3F">
            <w:pPr>
              <w:pStyle w:val="TableDataEntries"/>
            </w:pPr>
            <w:r>
              <w:rPr>
                <w:szCs w:val="16"/>
              </w:rPr>
              <w:t>20.56</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5A0904" w14:textId="772F4D18" w:rsidR="00AD7F3F" w:rsidRPr="00AF39EB" w:rsidRDefault="00AD7F3F" w:rsidP="00AD7F3F">
            <w:pPr>
              <w:pStyle w:val="TableDataEntries"/>
            </w:pPr>
            <w:r>
              <w:rPr>
                <w:szCs w:val="16"/>
              </w:rPr>
              <w:t>20.56</w:t>
            </w:r>
          </w:p>
        </w:tc>
      </w:tr>
      <w:tr w:rsidR="00AD7F3F" w:rsidRPr="00AF39EB" w14:paraId="7BC94BC4"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6D616A" w14:textId="56E11DCB" w:rsidR="00AD7F3F" w:rsidRPr="00AF39EB" w:rsidRDefault="00AD7F3F" w:rsidP="00AD7F3F">
            <w:pPr>
              <w:pStyle w:val="TableDataEntries"/>
              <w:jc w:val="left"/>
            </w:pPr>
            <w:r>
              <w:rPr>
                <w:szCs w:val="16"/>
              </w:rPr>
              <w:t>Aircraft, spacecraft &amp; parts</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3F07D0" w14:textId="7208A4BF" w:rsidR="00AD7F3F" w:rsidRPr="00AF39EB" w:rsidRDefault="00AD7F3F" w:rsidP="00AD7F3F">
            <w:pPr>
              <w:pStyle w:val="TableDataEntries"/>
            </w:pPr>
            <w:r>
              <w:rPr>
                <w:szCs w:val="16"/>
              </w:rPr>
              <w:t>18.76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1B7B1E" w14:textId="6D82308C" w:rsidR="00AD7F3F" w:rsidRPr="00AF39EB" w:rsidRDefault="00AD7F3F" w:rsidP="00AD7F3F">
            <w:pPr>
              <w:pStyle w:val="TableDataEntries"/>
            </w:pPr>
            <w:r>
              <w:rPr>
                <w:szCs w:val="16"/>
              </w:rPr>
              <w:t>18.76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4F35D2" w14:textId="684E8DA2" w:rsidR="00AD7F3F" w:rsidRPr="00AF39EB" w:rsidRDefault="00AD7F3F" w:rsidP="00AD7F3F">
            <w:pPr>
              <w:pStyle w:val="TableDataEntries"/>
            </w:pPr>
            <w:r>
              <w:rPr>
                <w:szCs w:val="16"/>
              </w:rPr>
              <w:t>18.76</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D07FF3" w14:textId="1268BE9F" w:rsidR="00AD7F3F" w:rsidRPr="00AF39EB" w:rsidRDefault="00AD7F3F" w:rsidP="00AD7F3F">
            <w:pPr>
              <w:pStyle w:val="TableDataEntries"/>
            </w:pPr>
            <w:r>
              <w:rPr>
                <w:szCs w:val="16"/>
              </w:rPr>
              <w:t>18.76</w:t>
            </w:r>
          </w:p>
        </w:tc>
      </w:tr>
      <w:tr w:rsidR="00AD7F3F" w:rsidRPr="00AF39EB" w14:paraId="71A621D0"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6C8AC5" w14:textId="6E470A90" w:rsidR="00AD7F3F" w:rsidRPr="00AF39EB" w:rsidRDefault="00AD7F3F" w:rsidP="00AD7F3F">
            <w:pPr>
              <w:pStyle w:val="TableDataEntries"/>
              <w:jc w:val="left"/>
            </w:pPr>
            <w:r>
              <w:rPr>
                <w:szCs w:val="16"/>
              </w:rPr>
              <w:t>Coal</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14AF6A" w14:textId="139DFCA3" w:rsidR="00AD7F3F" w:rsidRPr="00AF39EB" w:rsidRDefault="00AD7F3F" w:rsidP="00AD7F3F">
            <w:pPr>
              <w:pStyle w:val="TableDataEntries"/>
            </w:pPr>
            <w:r>
              <w:rPr>
                <w:szCs w:val="16"/>
              </w:rPr>
              <w:t>16.60</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9A351F" w14:textId="0849F62D" w:rsidR="00AD7F3F" w:rsidRPr="00AF39EB" w:rsidRDefault="00AD7F3F" w:rsidP="00AD7F3F">
            <w:pPr>
              <w:pStyle w:val="TableDataEntries"/>
            </w:pPr>
            <w:r>
              <w:rPr>
                <w:szCs w:val="16"/>
              </w:rPr>
              <w:t>16.60</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5F4C844" w14:textId="79A18F9B" w:rsidR="00AD7F3F" w:rsidRPr="00AF39EB" w:rsidRDefault="00AD7F3F" w:rsidP="00AD7F3F">
            <w:pPr>
              <w:pStyle w:val="TableDataEntries"/>
            </w:pPr>
            <w:r>
              <w:rPr>
                <w:szCs w:val="16"/>
              </w:rPr>
              <w:t>16.60</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B3E006" w14:textId="506E5F9C" w:rsidR="00AD7F3F" w:rsidRPr="00AF39EB" w:rsidRDefault="00AD7F3F" w:rsidP="00AD7F3F">
            <w:pPr>
              <w:pStyle w:val="TableDataEntries"/>
            </w:pPr>
            <w:r>
              <w:rPr>
                <w:szCs w:val="16"/>
              </w:rPr>
              <w:t>16.60</w:t>
            </w:r>
          </w:p>
        </w:tc>
      </w:tr>
      <w:tr w:rsidR="00AD7F3F" w:rsidRPr="00AF39EB" w14:paraId="74DCEB2D"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6C2E63" w14:textId="5A104F03" w:rsidR="00AD7F3F" w:rsidRPr="00AF39EB" w:rsidRDefault="00AD7F3F" w:rsidP="00AD7F3F">
            <w:pPr>
              <w:pStyle w:val="TableDataEntries"/>
              <w:jc w:val="left"/>
            </w:pPr>
            <w:r>
              <w:rPr>
                <w:szCs w:val="16"/>
              </w:rPr>
              <w:t xml:space="preserve">Beef, </w:t>
            </w:r>
            <w:proofErr w:type="spellStart"/>
            <w:r>
              <w:rPr>
                <w:szCs w:val="16"/>
              </w:rPr>
              <w:t>f.c.f</w:t>
            </w:r>
            <w:proofErr w:type="spellEnd"/>
            <w:r>
              <w:rPr>
                <w:szCs w:val="16"/>
              </w:rPr>
              <w:t>.</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3C4F54" w14:textId="1DACD9C3" w:rsidR="00AD7F3F" w:rsidRPr="00AF39EB" w:rsidRDefault="00AD7F3F" w:rsidP="00AD7F3F">
            <w:pPr>
              <w:pStyle w:val="TableDataEntries"/>
            </w:pPr>
            <w:r>
              <w:rPr>
                <w:szCs w:val="16"/>
              </w:rPr>
              <w:t>13.34</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BC084E" w14:textId="01F3B5DA" w:rsidR="00AD7F3F" w:rsidRPr="00AF39EB" w:rsidRDefault="00AD7F3F" w:rsidP="00AD7F3F">
            <w:pPr>
              <w:pStyle w:val="TableDataEntries"/>
            </w:pPr>
            <w:r>
              <w:rPr>
                <w:szCs w:val="16"/>
              </w:rPr>
              <w:t>13.34</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977A6B" w14:textId="3728344E" w:rsidR="00AD7F3F" w:rsidRPr="00AF39EB" w:rsidRDefault="00AD7F3F" w:rsidP="00AD7F3F">
            <w:pPr>
              <w:pStyle w:val="TableDataEntries"/>
            </w:pPr>
            <w:r>
              <w:rPr>
                <w:szCs w:val="16"/>
              </w:rPr>
              <w:t>13.34</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402BCB" w14:textId="5FD34D00" w:rsidR="00AD7F3F" w:rsidRPr="00AF39EB" w:rsidRDefault="00AD7F3F" w:rsidP="00AD7F3F">
            <w:pPr>
              <w:pStyle w:val="TableDataEntries"/>
            </w:pPr>
            <w:r>
              <w:rPr>
                <w:szCs w:val="16"/>
              </w:rPr>
              <w:t>13.34</w:t>
            </w:r>
          </w:p>
        </w:tc>
      </w:tr>
      <w:tr w:rsidR="00AD7F3F" w:rsidRPr="00AF39EB" w14:paraId="773662C2"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3714DB" w14:textId="0B579F88" w:rsidR="00AD7F3F" w:rsidRPr="00AF39EB" w:rsidRDefault="00AD7F3F" w:rsidP="00AD7F3F">
            <w:pPr>
              <w:pStyle w:val="TableDataEntries"/>
              <w:jc w:val="left"/>
            </w:pPr>
            <w:r>
              <w:rPr>
                <w:szCs w:val="16"/>
              </w:rPr>
              <w:t>Uncoated flat-rolled iron &amp; steel</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280AF9" w14:textId="1BBDE3B8" w:rsidR="00AD7F3F" w:rsidRPr="00AF39EB" w:rsidRDefault="00AD7F3F" w:rsidP="00AD7F3F">
            <w:pPr>
              <w:pStyle w:val="TableDataEntries"/>
            </w:pPr>
            <w:r>
              <w:rPr>
                <w:szCs w:val="16"/>
              </w:rPr>
              <w:t>12.79</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39BE23" w14:textId="4BF1A040" w:rsidR="00AD7F3F" w:rsidRPr="00AF39EB" w:rsidRDefault="00AD7F3F" w:rsidP="00AD7F3F">
            <w:pPr>
              <w:pStyle w:val="TableDataEntries"/>
            </w:pPr>
            <w:r>
              <w:rPr>
                <w:szCs w:val="16"/>
              </w:rPr>
              <w:t>12.79</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4009BA" w14:textId="2A4FB6FA" w:rsidR="00AD7F3F" w:rsidRPr="00AF39EB" w:rsidRDefault="00AD7F3F" w:rsidP="00AD7F3F">
            <w:pPr>
              <w:pStyle w:val="TableDataEntries"/>
            </w:pPr>
            <w:r>
              <w:rPr>
                <w:szCs w:val="16"/>
              </w:rPr>
              <w:t>12.79</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C1E336" w14:textId="4FD99FB9" w:rsidR="00AD7F3F" w:rsidRPr="00AF39EB" w:rsidRDefault="00AD7F3F" w:rsidP="00AD7F3F">
            <w:pPr>
              <w:pStyle w:val="TableDataEntries"/>
            </w:pPr>
            <w:r>
              <w:rPr>
                <w:szCs w:val="16"/>
              </w:rPr>
              <w:t>12.79</w:t>
            </w:r>
          </w:p>
        </w:tc>
      </w:tr>
      <w:tr w:rsidR="00AD7F3F" w:rsidRPr="00AF39EB" w14:paraId="0C303EF4"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77AC00" w14:textId="7B0A2599" w:rsidR="00AD7F3F" w:rsidRPr="00AF39EB" w:rsidRDefault="00AD7F3F" w:rsidP="00AD7F3F">
            <w:pPr>
              <w:pStyle w:val="TableDataEntries"/>
              <w:jc w:val="left"/>
            </w:pPr>
            <w:r>
              <w:rPr>
                <w:szCs w:val="16"/>
              </w:rPr>
              <w:t>Milk, cream, whey &amp; yoghurt</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0E8233" w14:textId="7F521AE7" w:rsidR="00AD7F3F" w:rsidRPr="00AF39EB" w:rsidRDefault="00AD7F3F" w:rsidP="00AD7F3F">
            <w:pPr>
              <w:pStyle w:val="TableDataEntries"/>
            </w:pPr>
            <w:r>
              <w:rPr>
                <w:szCs w:val="16"/>
              </w:rPr>
              <w:t>11.99</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A59E4B" w14:textId="05388115" w:rsidR="00AD7F3F" w:rsidRPr="00AF39EB" w:rsidRDefault="00AD7F3F" w:rsidP="00AD7F3F">
            <w:pPr>
              <w:pStyle w:val="TableDataEntries"/>
            </w:pPr>
            <w:r>
              <w:rPr>
                <w:szCs w:val="16"/>
              </w:rPr>
              <w:t>6.62</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B66CD2" w14:textId="594F9F3B" w:rsidR="00AD7F3F" w:rsidRPr="00AF39EB" w:rsidRDefault="00AD7F3F" w:rsidP="00AD7F3F">
            <w:pPr>
              <w:pStyle w:val="TableDataEntries"/>
            </w:pPr>
            <w:r>
              <w:rPr>
                <w:szCs w:val="16"/>
              </w:rPr>
              <w:t>11.99</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79C2BA" w14:textId="33BDCC40" w:rsidR="00AD7F3F" w:rsidRPr="00AF39EB" w:rsidRDefault="00AD7F3F" w:rsidP="00AD7F3F">
            <w:pPr>
              <w:pStyle w:val="TableDataEntries"/>
            </w:pPr>
            <w:r>
              <w:rPr>
                <w:szCs w:val="16"/>
              </w:rPr>
              <w:t>11.99</w:t>
            </w:r>
          </w:p>
        </w:tc>
      </w:tr>
      <w:tr w:rsidR="00AD7F3F" w:rsidRPr="00AF39EB" w14:paraId="72560C5C"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EBC0E7" w14:textId="3690CBB7" w:rsidR="00AD7F3F" w:rsidRPr="00AF39EB" w:rsidRDefault="00AD7F3F" w:rsidP="00AD7F3F">
            <w:pPr>
              <w:pStyle w:val="TableDataEntries"/>
              <w:jc w:val="left"/>
            </w:pPr>
            <w:r>
              <w:rPr>
                <w:szCs w:val="16"/>
              </w:rPr>
              <w:lastRenderedPageBreak/>
              <w:t>Perfumery &amp; cosmetics (excl soap)</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54227A" w14:textId="2456DBDA" w:rsidR="00AD7F3F" w:rsidRPr="00AF39EB" w:rsidRDefault="00AD7F3F" w:rsidP="00AD7F3F">
            <w:pPr>
              <w:pStyle w:val="TableDataEntries"/>
            </w:pPr>
            <w:r>
              <w:rPr>
                <w:szCs w:val="16"/>
              </w:rPr>
              <w:t>11.76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2BB83E2" w14:textId="47E8FDF1" w:rsidR="00AD7F3F" w:rsidRPr="00AF39EB" w:rsidRDefault="00AD7F3F" w:rsidP="00AD7F3F">
            <w:pPr>
              <w:pStyle w:val="TableDataEntries"/>
            </w:pPr>
            <w:r>
              <w:rPr>
                <w:szCs w:val="16"/>
              </w:rPr>
              <w:t>11.76</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BF153E" w14:textId="7EDC5040" w:rsidR="00AD7F3F" w:rsidRPr="00AF39EB" w:rsidRDefault="00AD7F3F" w:rsidP="00AD7F3F">
            <w:pPr>
              <w:pStyle w:val="TableDataEntries"/>
            </w:pPr>
            <w:r>
              <w:rPr>
                <w:szCs w:val="16"/>
              </w:rPr>
              <w:t>11.76</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9EE8CF" w14:textId="4065CC44" w:rsidR="00AD7F3F" w:rsidRPr="00AF39EB" w:rsidRDefault="00AD7F3F" w:rsidP="00AD7F3F">
            <w:pPr>
              <w:pStyle w:val="TableDataEntries"/>
            </w:pPr>
            <w:r>
              <w:rPr>
                <w:szCs w:val="16"/>
              </w:rPr>
              <w:t>11.76</w:t>
            </w:r>
          </w:p>
        </w:tc>
      </w:tr>
      <w:tr w:rsidR="00AD7F3F" w:rsidRPr="00AF39EB" w14:paraId="7A904FD7"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252A58" w14:textId="47CDA7F4" w:rsidR="00AD7F3F" w:rsidRPr="00AF39EB" w:rsidRDefault="00AD7F3F" w:rsidP="00AD7F3F">
            <w:pPr>
              <w:pStyle w:val="TableDataEntries"/>
              <w:jc w:val="left"/>
            </w:pPr>
            <w:r>
              <w:rPr>
                <w:szCs w:val="16"/>
              </w:rPr>
              <w:t>Coated flat-rolled iron &amp; steel</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D654CD" w14:textId="2201A54B" w:rsidR="00AD7F3F" w:rsidRPr="00AF39EB" w:rsidRDefault="00AD7F3F" w:rsidP="00AD7F3F">
            <w:pPr>
              <w:pStyle w:val="TableDataEntries"/>
            </w:pPr>
            <w:r>
              <w:rPr>
                <w:szCs w:val="16"/>
              </w:rPr>
              <w:t>11.64</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800659" w14:textId="097BBB02" w:rsidR="00AD7F3F" w:rsidRPr="00AF39EB" w:rsidRDefault="00AD7F3F" w:rsidP="00AD7F3F">
            <w:pPr>
              <w:pStyle w:val="TableDataEntries"/>
            </w:pPr>
            <w:r>
              <w:rPr>
                <w:szCs w:val="16"/>
              </w:rPr>
              <w:t>11.64</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808848" w14:textId="2B5BE293" w:rsidR="00AD7F3F" w:rsidRPr="00AF39EB" w:rsidRDefault="00AD7F3F" w:rsidP="00AD7F3F">
            <w:pPr>
              <w:pStyle w:val="TableDataEntries"/>
            </w:pPr>
            <w:r>
              <w:rPr>
                <w:szCs w:val="16"/>
              </w:rPr>
              <w:t>11.64</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F9070C" w14:textId="21E179D0" w:rsidR="00AD7F3F" w:rsidRPr="00AF39EB" w:rsidRDefault="00AD7F3F" w:rsidP="00AD7F3F">
            <w:pPr>
              <w:pStyle w:val="TableDataEntries"/>
            </w:pPr>
            <w:r>
              <w:rPr>
                <w:szCs w:val="16"/>
              </w:rPr>
              <w:t>11.64</w:t>
            </w:r>
          </w:p>
        </w:tc>
      </w:tr>
      <w:tr w:rsidR="00AD7F3F" w:rsidRPr="00AF39EB" w14:paraId="2A281CC5"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53EE4F" w14:textId="55330CC5" w:rsidR="00AD7F3F" w:rsidRPr="00AF39EB" w:rsidRDefault="00AD7F3F" w:rsidP="00AD7F3F">
            <w:pPr>
              <w:pStyle w:val="TableDataEntries"/>
              <w:jc w:val="left"/>
            </w:pPr>
            <w:r>
              <w:rPr>
                <w:szCs w:val="16"/>
              </w:rPr>
              <w:t>Jewellery</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EA0245" w14:textId="4BF5DD2D" w:rsidR="00AD7F3F" w:rsidRPr="00AF39EB" w:rsidRDefault="00AD7F3F" w:rsidP="00AD7F3F">
            <w:pPr>
              <w:pStyle w:val="TableDataEntries"/>
            </w:pPr>
            <w:r>
              <w:rPr>
                <w:szCs w:val="16"/>
              </w:rPr>
              <w:t>11.23</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660C67" w14:textId="6842DA16" w:rsidR="00AD7F3F" w:rsidRPr="00AF39EB" w:rsidRDefault="00AD7F3F" w:rsidP="00AD7F3F">
            <w:pPr>
              <w:pStyle w:val="TableDataEntries"/>
            </w:pPr>
            <w:r>
              <w:rPr>
                <w:szCs w:val="16"/>
              </w:rPr>
              <w:t>11.23</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F67E25" w14:textId="354D3D27" w:rsidR="00AD7F3F" w:rsidRPr="00AF39EB" w:rsidRDefault="00AD7F3F" w:rsidP="00AD7F3F">
            <w:pPr>
              <w:pStyle w:val="TableDataEntries"/>
            </w:pPr>
            <w:r>
              <w:rPr>
                <w:szCs w:val="16"/>
              </w:rPr>
              <w:t>11.23</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522A28" w14:textId="17E684F0" w:rsidR="00AD7F3F" w:rsidRPr="00AF39EB" w:rsidRDefault="00AD7F3F" w:rsidP="00AD7F3F">
            <w:pPr>
              <w:pStyle w:val="TableDataEntries"/>
            </w:pPr>
            <w:r>
              <w:rPr>
                <w:szCs w:val="16"/>
              </w:rPr>
              <w:t>11.23</w:t>
            </w:r>
          </w:p>
        </w:tc>
      </w:tr>
      <w:tr w:rsidR="00AD7F3F" w:rsidRPr="00AF39EB" w14:paraId="291DD078"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E47C0B" w14:textId="279B0DBD" w:rsidR="00AD7F3F" w:rsidRPr="00AF39EB" w:rsidRDefault="00AD7F3F" w:rsidP="00AD7F3F">
            <w:pPr>
              <w:pStyle w:val="TableDataEntries"/>
              <w:jc w:val="left"/>
            </w:pPr>
            <w:r>
              <w:rPr>
                <w:szCs w:val="16"/>
              </w:rPr>
              <w:t>Zinc</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77A0F7" w14:textId="5627A862" w:rsidR="00AD7F3F" w:rsidRPr="00AF39EB" w:rsidRDefault="00AD7F3F" w:rsidP="00AD7F3F">
            <w:pPr>
              <w:pStyle w:val="TableDataEntries"/>
            </w:pPr>
            <w:r>
              <w:rPr>
                <w:szCs w:val="16"/>
              </w:rPr>
              <w:t>8.80</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66FDF2" w14:textId="528667BF" w:rsidR="00AD7F3F" w:rsidRPr="00AF39EB" w:rsidRDefault="00AD7F3F" w:rsidP="00AD7F3F">
            <w:pPr>
              <w:pStyle w:val="TableDataEntries"/>
            </w:pPr>
            <w:r>
              <w:rPr>
                <w:szCs w:val="16"/>
              </w:rPr>
              <w:t>8.80</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28FB10" w14:textId="019700C3" w:rsidR="00AD7F3F" w:rsidRPr="00AF39EB" w:rsidRDefault="00AD7F3F" w:rsidP="00AD7F3F">
            <w:pPr>
              <w:pStyle w:val="TableDataEntries"/>
            </w:pPr>
            <w:r>
              <w:rPr>
                <w:szCs w:val="16"/>
              </w:rPr>
              <w:t>8.80</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347FF5" w14:textId="6B584334" w:rsidR="00AD7F3F" w:rsidRPr="00AF39EB" w:rsidRDefault="00AD7F3F" w:rsidP="00AD7F3F">
            <w:pPr>
              <w:pStyle w:val="TableDataEntries"/>
            </w:pPr>
            <w:r>
              <w:rPr>
                <w:szCs w:val="16"/>
              </w:rPr>
              <w:t>8.80</w:t>
            </w:r>
          </w:p>
        </w:tc>
      </w:tr>
      <w:tr w:rsidR="00AD7F3F" w:rsidRPr="00AF39EB" w14:paraId="40B48024"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D345CF" w14:textId="72A5810E" w:rsidR="00AD7F3F" w:rsidRPr="00AF39EB" w:rsidRDefault="00AD7F3F" w:rsidP="00AD7F3F">
            <w:pPr>
              <w:pStyle w:val="TableDataEntries"/>
              <w:jc w:val="left"/>
            </w:pPr>
            <w:r>
              <w:rPr>
                <w:szCs w:val="16"/>
              </w:rPr>
              <w:t>Passenger motor vehicles</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2A1B91" w14:textId="1C43570E" w:rsidR="00AD7F3F" w:rsidRPr="00AF39EB" w:rsidRDefault="00AD7F3F" w:rsidP="00AD7F3F">
            <w:pPr>
              <w:pStyle w:val="TableDataEntries"/>
            </w:pPr>
            <w:r>
              <w:rPr>
                <w:szCs w:val="16"/>
              </w:rPr>
              <w:t>8.10</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70962B" w14:textId="74745F01" w:rsidR="00AD7F3F" w:rsidRPr="00AF39EB" w:rsidRDefault="00AD7F3F" w:rsidP="00AD7F3F">
            <w:pPr>
              <w:pStyle w:val="TableDataEntries"/>
            </w:pPr>
            <w:r>
              <w:rPr>
                <w:szCs w:val="16"/>
              </w:rPr>
              <w:t>7.39</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3DB947" w14:textId="1D624D99" w:rsidR="00AD7F3F" w:rsidRPr="00AF39EB" w:rsidRDefault="00AD7F3F" w:rsidP="00AD7F3F">
            <w:pPr>
              <w:pStyle w:val="TableDataEntries"/>
            </w:pPr>
            <w:r>
              <w:rPr>
                <w:szCs w:val="16"/>
              </w:rPr>
              <w:t>8.10</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F9A179" w14:textId="5DF2E950" w:rsidR="00AD7F3F" w:rsidRPr="00AF39EB" w:rsidRDefault="00AD7F3F" w:rsidP="00AD7F3F">
            <w:pPr>
              <w:pStyle w:val="TableDataEntries"/>
            </w:pPr>
            <w:r>
              <w:rPr>
                <w:szCs w:val="16"/>
              </w:rPr>
              <w:t>8.10</w:t>
            </w:r>
          </w:p>
        </w:tc>
      </w:tr>
      <w:tr w:rsidR="00AD7F3F" w:rsidRPr="00AF39EB" w14:paraId="0F89032E"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A4AF1B" w14:textId="138C0088" w:rsidR="00AD7F3F" w:rsidRPr="00AF39EB" w:rsidRDefault="00AD7F3F" w:rsidP="00AD7F3F">
            <w:pPr>
              <w:pStyle w:val="TableDataEntries"/>
              <w:jc w:val="left"/>
            </w:pPr>
            <w:r>
              <w:rPr>
                <w:szCs w:val="16"/>
              </w:rPr>
              <w:t>Measuring &amp; analysing instruments</w:t>
            </w:r>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DE8A55" w14:textId="17896C13" w:rsidR="00AD7F3F" w:rsidRPr="00AF39EB" w:rsidRDefault="00AD7F3F" w:rsidP="00AD7F3F">
            <w:pPr>
              <w:pStyle w:val="TableDataEntries"/>
            </w:pPr>
            <w:r>
              <w:rPr>
                <w:szCs w:val="16"/>
              </w:rPr>
              <w:t>7.77</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6DAB74" w14:textId="423C4222" w:rsidR="00AD7F3F" w:rsidRPr="00AF39EB" w:rsidRDefault="00AD7F3F" w:rsidP="00AD7F3F">
            <w:pPr>
              <w:pStyle w:val="TableDataEntries"/>
            </w:pPr>
            <w:r>
              <w:rPr>
                <w:szCs w:val="16"/>
              </w:rPr>
              <w:t>7.77</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9577368" w14:textId="5888CEB6" w:rsidR="00AD7F3F" w:rsidRPr="00AF39EB" w:rsidRDefault="00AD7F3F" w:rsidP="00AD7F3F">
            <w:pPr>
              <w:pStyle w:val="TableDataEntries"/>
            </w:pPr>
            <w:r>
              <w:rPr>
                <w:szCs w:val="16"/>
              </w:rPr>
              <w:t>7.77</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F336C5" w14:textId="2357443F" w:rsidR="00AD7F3F" w:rsidRPr="00AF39EB" w:rsidRDefault="00AD7F3F" w:rsidP="00AD7F3F">
            <w:pPr>
              <w:pStyle w:val="TableDataEntries"/>
            </w:pPr>
            <w:r>
              <w:rPr>
                <w:szCs w:val="16"/>
              </w:rPr>
              <w:t>7.77</w:t>
            </w:r>
          </w:p>
        </w:tc>
      </w:tr>
      <w:tr w:rsidR="00AD7F3F" w:rsidRPr="00AF39EB" w14:paraId="78A47D2F" w14:textId="77777777" w:rsidTr="009E0E31">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4BA67F" w14:textId="26F399E7" w:rsidR="00AD7F3F" w:rsidRPr="00AF39EB" w:rsidRDefault="00AD7F3F" w:rsidP="00AD7F3F">
            <w:pPr>
              <w:pStyle w:val="TableDataEntries"/>
              <w:jc w:val="left"/>
            </w:pPr>
            <w:r>
              <w:rPr>
                <w:szCs w:val="16"/>
              </w:rPr>
              <w:t xml:space="preserve">Edible products &amp; preparations, </w:t>
            </w:r>
            <w:proofErr w:type="spellStart"/>
            <w:r>
              <w:rPr>
                <w:szCs w:val="16"/>
              </w:rPr>
              <w:t>nes</w:t>
            </w:r>
            <w:proofErr w:type="spellEnd"/>
          </w:p>
        </w:tc>
        <w:tc>
          <w:tcPr>
            <w:tcW w:w="11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3F251C" w14:textId="1A028EE5" w:rsidR="00AD7F3F" w:rsidRPr="00AF39EB" w:rsidRDefault="00AD7F3F" w:rsidP="00AD7F3F">
            <w:pPr>
              <w:pStyle w:val="TableDataEntries"/>
            </w:pPr>
            <w:r>
              <w:rPr>
                <w:szCs w:val="16"/>
              </w:rPr>
              <w:t>7.03</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7F8E3E" w14:textId="38035446" w:rsidR="00AD7F3F" w:rsidRPr="00AF39EB" w:rsidRDefault="00AD7F3F" w:rsidP="00AD7F3F">
            <w:pPr>
              <w:pStyle w:val="TableDataEntries"/>
            </w:pPr>
            <w:r>
              <w:rPr>
                <w:szCs w:val="16"/>
              </w:rPr>
              <w:t>7.03</w:t>
            </w:r>
          </w:p>
        </w:tc>
        <w:tc>
          <w:tcPr>
            <w:tcW w:w="12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80D018" w14:textId="05B23104" w:rsidR="00AD7F3F" w:rsidRPr="00AF39EB" w:rsidRDefault="00AD7F3F" w:rsidP="00AD7F3F">
            <w:pPr>
              <w:pStyle w:val="TableDataEntries"/>
            </w:pPr>
            <w:r>
              <w:rPr>
                <w:szCs w:val="16"/>
              </w:rPr>
              <w:t>4.71</w:t>
            </w:r>
          </w:p>
        </w:tc>
        <w:tc>
          <w:tcPr>
            <w:tcW w:w="141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4BBEDF4" w14:textId="00B8763D" w:rsidR="00AD7F3F" w:rsidRPr="00AF39EB" w:rsidRDefault="00AD7F3F" w:rsidP="00AD7F3F">
            <w:pPr>
              <w:pStyle w:val="TableDataEntries"/>
            </w:pPr>
            <w:r>
              <w:rPr>
                <w:szCs w:val="16"/>
              </w:rPr>
              <w:t>7.03</w:t>
            </w:r>
          </w:p>
        </w:tc>
      </w:tr>
      <w:tr w:rsidR="00AD7F3F" w:rsidRPr="00AD7F3F" w14:paraId="1C117106" w14:textId="77777777" w:rsidTr="009E0E31">
        <w:trPr>
          <w:trHeight w:val="216"/>
        </w:trPr>
        <w:tc>
          <w:tcPr>
            <w:tcW w:w="2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9636238" w14:textId="77E5D76C" w:rsidR="00AD7F3F" w:rsidRPr="00AD7F3F" w:rsidRDefault="00AD7F3F" w:rsidP="00AD7F3F">
            <w:pPr>
              <w:pStyle w:val="TableDataEntries"/>
              <w:jc w:val="left"/>
              <w:rPr>
                <w:rFonts w:ascii="Franklin Gothic Demi" w:hAnsi="Franklin Gothic Demi"/>
              </w:rPr>
            </w:pPr>
            <w:r w:rsidRPr="00AD7F3F">
              <w:rPr>
                <w:rFonts w:ascii="Franklin Gothic Demi" w:hAnsi="Franklin Gothic Demi"/>
                <w:bCs/>
                <w:szCs w:val="16"/>
              </w:rPr>
              <w:t>Total</w:t>
            </w:r>
          </w:p>
        </w:tc>
        <w:tc>
          <w:tcPr>
            <w:tcW w:w="113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4BBD8C8" w14:textId="04F3E719"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675.08</w:t>
            </w:r>
          </w:p>
        </w:tc>
        <w:tc>
          <w:tcPr>
            <w:tcW w:w="12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457853B6" w14:textId="2E862EF6"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668.99</w:t>
            </w:r>
          </w:p>
        </w:tc>
        <w:tc>
          <w:tcPr>
            <w:tcW w:w="12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4304BE7" w14:textId="42516D75"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672.75</w:t>
            </w:r>
          </w:p>
        </w:tc>
        <w:tc>
          <w:tcPr>
            <w:tcW w:w="141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BDCAE24" w14:textId="7ADAA7D8" w:rsidR="00AD7F3F" w:rsidRPr="00AD7F3F" w:rsidRDefault="00AD7F3F" w:rsidP="00AD7F3F">
            <w:pPr>
              <w:pStyle w:val="TableDataEntries"/>
              <w:rPr>
                <w:rFonts w:ascii="Franklin Gothic Demi" w:hAnsi="Franklin Gothic Demi"/>
              </w:rPr>
            </w:pPr>
            <w:r w:rsidRPr="00AD7F3F">
              <w:rPr>
                <w:rFonts w:ascii="Franklin Gothic Demi" w:hAnsi="Franklin Gothic Demi"/>
                <w:bCs/>
                <w:szCs w:val="16"/>
              </w:rPr>
              <w:t>675.08</w:t>
            </w:r>
          </w:p>
        </w:tc>
      </w:tr>
    </w:tbl>
    <w:p w14:paraId="6094DCC7" w14:textId="0385DAC4" w:rsidR="00AF39EB" w:rsidRDefault="00AF39EB" w:rsidP="00AF39EB">
      <w:pPr>
        <w:pStyle w:val="Note"/>
        <w:rPr>
          <w:lang w:bidi="fa-IR"/>
        </w:rPr>
      </w:pPr>
      <w:r w:rsidRPr="007D1B4F">
        <w:rPr>
          <w:i/>
        </w:rPr>
        <w:t>Note:</w:t>
      </w:r>
      <w:r w:rsidRPr="00E879B8">
        <w:t xml:space="preserve"> </w:t>
      </w:r>
      <w:r w:rsidR="000B1620" w:rsidRPr="001D431F">
        <w:t>Using Australia's export value to the UAE in 2023 as the base value</w:t>
      </w:r>
    </w:p>
    <w:p w14:paraId="3BBED0BD" w14:textId="4C17667B" w:rsidR="00AF39EB" w:rsidRDefault="00AF39EB" w:rsidP="00AF39EB">
      <w:pPr>
        <w:pStyle w:val="Source"/>
        <w:rPr>
          <w:lang w:bidi="fa-IR"/>
        </w:rPr>
      </w:pPr>
      <w:r w:rsidRPr="00AF39EB">
        <w:rPr>
          <w:i/>
          <w:lang w:bidi="fa-IR"/>
        </w:rPr>
        <w:t>Source:</w:t>
      </w:r>
      <w:r>
        <w:rPr>
          <w:lang w:bidi="fa-IR"/>
        </w:rPr>
        <w:t xml:space="preserve"> </w:t>
      </w:r>
      <w:r w:rsidR="000B1620">
        <w:rPr>
          <w:lang w:bidi="fa-IR"/>
        </w:rPr>
        <w:t>CIE estimates</w:t>
      </w:r>
    </w:p>
    <w:p w14:paraId="44E8AD79" w14:textId="6CDCE521" w:rsidR="00B70BA2" w:rsidRDefault="004B6E7F" w:rsidP="00E741E8">
      <w:pPr>
        <w:pStyle w:val="BodyText"/>
        <w:rPr>
          <w:lang w:bidi="fa-IR"/>
        </w:rPr>
      </w:pPr>
      <w:r>
        <w:rPr>
          <w:lang w:bidi="fa-IR"/>
        </w:rPr>
        <w:t>T</w:t>
      </w:r>
      <w:r w:rsidR="00C35B20">
        <w:rPr>
          <w:lang w:bidi="fa-IR"/>
        </w:rPr>
        <w:t>ables in appendix B of the original report</w:t>
      </w:r>
      <w:r w:rsidR="00EE1CE8">
        <w:rPr>
          <w:lang w:bidi="fa-IR"/>
        </w:rPr>
        <w:t xml:space="preserve">, regarding the </w:t>
      </w:r>
      <w:r w:rsidR="003D3193">
        <w:rPr>
          <w:lang w:bidi="fa-IR"/>
        </w:rPr>
        <w:t xml:space="preserve">detailed </w:t>
      </w:r>
      <w:r w:rsidR="00EE1CE8">
        <w:rPr>
          <w:lang w:bidi="fa-IR"/>
        </w:rPr>
        <w:t>estimation of top 20 growing export commodities</w:t>
      </w:r>
      <w:r w:rsidR="00075B12">
        <w:rPr>
          <w:lang w:bidi="fa-IR"/>
        </w:rPr>
        <w:t>/sectors for different FTA scenarios</w:t>
      </w:r>
      <w:r>
        <w:rPr>
          <w:lang w:bidi="fa-IR"/>
        </w:rPr>
        <w:t xml:space="preserve"> </w:t>
      </w:r>
      <w:r w:rsidR="00114AAE">
        <w:rPr>
          <w:lang w:bidi="fa-IR"/>
        </w:rPr>
        <w:t>as</w:t>
      </w:r>
      <w:r>
        <w:rPr>
          <w:lang w:bidi="fa-IR"/>
        </w:rPr>
        <w:t xml:space="preserve"> presented in table </w:t>
      </w:r>
      <w:r>
        <w:rPr>
          <w:lang w:bidi="fa-IR"/>
        </w:rPr>
        <w:fldChar w:fldCharType="begin"/>
      </w:r>
      <w:r>
        <w:rPr>
          <w:lang w:bidi="fa-IR"/>
        </w:rPr>
        <w:instrText xml:space="preserve"> REF _Caption2354 </w:instrText>
      </w:r>
      <w:r>
        <w:rPr>
          <w:lang w:bidi="fa-IR"/>
        </w:rPr>
        <w:fldChar w:fldCharType="separate"/>
      </w:r>
      <w:r w:rsidR="00586CBD">
        <w:rPr>
          <w:noProof/>
        </w:rPr>
        <w:t>5</w:t>
      </w:r>
      <w:r>
        <w:rPr>
          <w:lang w:bidi="fa-IR"/>
        </w:rPr>
        <w:fldChar w:fldCharType="end"/>
      </w:r>
      <w:r>
        <w:rPr>
          <w:lang w:bidi="fa-IR"/>
        </w:rPr>
        <w:t xml:space="preserve"> (updated table 5.10)</w:t>
      </w:r>
      <w:r w:rsidR="00075B12">
        <w:rPr>
          <w:lang w:bidi="fa-IR"/>
        </w:rPr>
        <w:t>,</w:t>
      </w:r>
      <w:r w:rsidR="00C35B20">
        <w:rPr>
          <w:lang w:bidi="fa-IR"/>
        </w:rPr>
        <w:t xml:space="preserve"> have been updated as well</w:t>
      </w:r>
      <w:r w:rsidR="001B5D62">
        <w:rPr>
          <w:lang w:bidi="fa-IR"/>
        </w:rPr>
        <w:t xml:space="preserve"> and </w:t>
      </w:r>
      <w:r w:rsidR="00EF18D8">
        <w:rPr>
          <w:lang w:bidi="fa-IR"/>
        </w:rPr>
        <w:t>report</w:t>
      </w:r>
      <w:r w:rsidR="001B5D62">
        <w:rPr>
          <w:lang w:bidi="fa-IR"/>
        </w:rPr>
        <w:t xml:space="preserve">ed in </w:t>
      </w:r>
      <w:r w:rsidR="00230E82">
        <w:rPr>
          <w:lang w:bidi="fa-IR"/>
        </w:rPr>
        <w:t xml:space="preserve">appendix </w:t>
      </w:r>
      <w:r w:rsidR="00230E82">
        <w:rPr>
          <w:lang w:bidi="fa-IR"/>
        </w:rPr>
        <w:fldChar w:fldCharType="begin"/>
      </w:r>
      <w:r w:rsidR="00230E82">
        <w:rPr>
          <w:lang w:bidi="fa-IR"/>
        </w:rPr>
        <w:instrText xml:space="preserve"> REF _Ref175645699 \n \h </w:instrText>
      </w:r>
      <w:r w:rsidR="00230E82">
        <w:rPr>
          <w:lang w:bidi="fa-IR"/>
        </w:rPr>
      </w:r>
      <w:r w:rsidR="00230E82">
        <w:rPr>
          <w:lang w:bidi="fa-IR"/>
        </w:rPr>
        <w:fldChar w:fldCharType="separate"/>
      </w:r>
      <w:r w:rsidR="00586CBD">
        <w:rPr>
          <w:lang w:bidi="fa-IR"/>
        </w:rPr>
        <w:t>A</w:t>
      </w:r>
      <w:r w:rsidR="00230E82">
        <w:rPr>
          <w:lang w:bidi="fa-IR"/>
        </w:rPr>
        <w:fldChar w:fldCharType="end"/>
      </w:r>
      <w:r w:rsidR="001F29D7">
        <w:rPr>
          <w:lang w:bidi="fa-IR"/>
        </w:rPr>
        <w:t>.</w:t>
      </w:r>
      <w:r w:rsidR="00967D84">
        <w:rPr>
          <w:lang w:bidi="fa-IR"/>
        </w:rPr>
        <w:t xml:space="preserve"> </w:t>
      </w:r>
    </w:p>
    <w:p w14:paraId="5738C677" w14:textId="399DBA8F" w:rsidR="00E741E8" w:rsidRDefault="004F4485" w:rsidP="00C05AE2">
      <w:pPr>
        <w:pStyle w:val="Heading2"/>
        <w:rPr>
          <w:lang w:bidi="fa-IR"/>
        </w:rPr>
      </w:pPr>
      <w:bookmarkStart w:id="35" w:name="_Toc175649973"/>
      <w:r w:rsidRPr="00C05AE2">
        <w:t>C</w:t>
      </w:r>
      <w:r w:rsidR="000D337C" w:rsidRPr="00C05AE2">
        <w:t>onclusion</w:t>
      </w:r>
      <w:bookmarkEnd w:id="35"/>
    </w:p>
    <w:p w14:paraId="2E552FE8" w14:textId="2D52F6EC" w:rsidR="00A64EAF" w:rsidRPr="00A64EAF" w:rsidRDefault="00A65720" w:rsidP="00A64EAF">
      <w:pPr>
        <w:pStyle w:val="BodyText"/>
        <w:rPr>
          <w:lang w:bidi="fa-IR"/>
        </w:rPr>
      </w:pPr>
      <w:r>
        <w:rPr>
          <w:lang w:bidi="fa-IR"/>
        </w:rPr>
        <w:t xml:space="preserve">The updated analysis </w:t>
      </w:r>
      <w:r w:rsidR="00590FCB">
        <w:rPr>
          <w:lang w:bidi="fa-IR"/>
        </w:rPr>
        <w:t>confirm</w:t>
      </w:r>
      <w:r w:rsidR="004B4BA8">
        <w:rPr>
          <w:lang w:bidi="fa-IR"/>
        </w:rPr>
        <w:t xml:space="preserve">s previous findings. </w:t>
      </w:r>
      <w:r w:rsidR="000C2E4A">
        <w:rPr>
          <w:lang w:bidi="fa-IR"/>
        </w:rPr>
        <w:t>A free trade agreement between Australia and the UAE is a feasible prospect</w:t>
      </w:r>
      <w:r w:rsidR="00A92DB0">
        <w:rPr>
          <w:lang w:bidi="fa-IR"/>
        </w:rPr>
        <w:t>. There are potentially healthy gains in Australian exports</w:t>
      </w:r>
      <w:r w:rsidR="000B4DF4">
        <w:rPr>
          <w:lang w:bidi="fa-IR"/>
        </w:rPr>
        <w:t xml:space="preserve"> for </w:t>
      </w:r>
      <w:proofErr w:type="gramStart"/>
      <w:r w:rsidR="000B4DF4">
        <w:rPr>
          <w:lang w:bidi="fa-IR"/>
        </w:rPr>
        <w:t>particular products</w:t>
      </w:r>
      <w:proofErr w:type="gramEnd"/>
      <w:r w:rsidR="000B4DF4">
        <w:rPr>
          <w:lang w:bidi="fa-IR"/>
        </w:rPr>
        <w:t xml:space="preserve"> and services, providing a welcome extra source of </w:t>
      </w:r>
      <w:r w:rsidR="00AD4CBC">
        <w:rPr>
          <w:lang w:bidi="fa-IR"/>
        </w:rPr>
        <w:t>export diversification.</w:t>
      </w:r>
    </w:p>
    <w:p w14:paraId="0F4F2C0F" w14:textId="3359510B" w:rsidR="006C7098" w:rsidRDefault="00D256F1" w:rsidP="00D256F1">
      <w:pPr>
        <w:pStyle w:val="BodyText"/>
        <w:rPr>
          <w:lang w:bidi="fa-IR"/>
        </w:rPr>
      </w:pPr>
      <w:r>
        <w:rPr>
          <w:lang w:bidi="fa-IR"/>
        </w:rPr>
        <w:t xml:space="preserve">If Australia </w:t>
      </w:r>
      <w:r w:rsidR="00543537">
        <w:rPr>
          <w:lang w:bidi="fa-IR"/>
        </w:rPr>
        <w:t>negoti</w:t>
      </w:r>
      <w:r w:rsidR="00BC7FE8">
        <w:rPr>
          <w:lang w:bidi="fa-IR"/>
        </w:rPr>
        <w:t>ate</w:t>
      </w:r>
      <w:r w:rsidR="002C38C6">
        <w:rPr>
          <w:lang w:bidi="fa-IR"/>
        </w:rPr>
        <w:t>s t</w:t>
      </w:r>
      <w:r w:rsidR="00BC7FE8">
        <w:rPr>
          <w:lang w:bidi="fa-IR"/>
        </w:rPr>
        <w:t>he</w:t>
      </w:r>
      <w:r w:rsidR="002C38C6">
        <w:rPr>
          <w:lang w:bidi="fa-IR"/>
        </w:rPr>
        <w:t xml:space="preserve"> eliminat</w:t>
      </w:r>
      <w:r w:rsidR="00BC7FE8">
        <w:rPr>
          <w:lang w:bidi="fa-IR"/>
        </w:rPr>
        <w:t>ion</w:t>
      </w:r>
      <w:r w:rsidR="002C38C6">
        <w:rPr>
          <w:lang w:bidi="fa-IR"/>
        </w:rPr>
        <w:t xml:space="preserve"> of </w:t>
      </w:r>
      <w:r w:rsidR="00BC7FE8">
        <w:rPr>
          <w:lang w:bidi="fa-IR"/>
        </w:rPr>
        <w:t xml:space="preserve">all </w:t>
      </w:r>
      <w:r w:rsidR="002C38C6">
        <w:rPr>
          <w:lang w:bidi="fa-IR"/>
        </w:rPr>
        <w:t xml:space="preserve">tariffs on Australian imports, except </w:t>
      </w:r>
      <w:r w:rsidR="00615996">
        <w:rPr>
          <w:lang w:bidi="fa-IR"/>
        </w:rPr>
        <w:t xml:space="preserve">for </w:t>
      </w:r>
      <w:r w:rsidR="009D7F09">
        <w:rPr>
          <w:lang w:bidi="fa-IR"/>
        </w:rPr>
        <w:t>the UAE’s</w:t>
      </w:r>
      <w:r w:rsidR="002C38C6">
        <w:rPr>
          <w:lang w:bidi="fa-IR"/>
        </w:rPr>
        <w:t xml:space="preserve"> prohibited or special goods, </w:t>
      </w:r>
      <w:r w:rsidR="00064DE6">
        <w:rPr>
          <w:lang w:bidi="fa-IR"/>
        </w:rPr>
        <w:t xml:space="preserve">the potential increase in Australia’s exports to the UAE </w:t>
      </w:r>
      <w:r w:rsidR="00513E69">
        <w:rPr>
          <w:lang w:bidi="fa-IR"/>
        </w:rPr>
        <w:t>could be</w:t>
      </w:r>
      <w:r w:rsidR="00064DE6">
        <w:rPr>
          <w:lang w:bidi="fa-IR"/>
        </w:rPr>
        <w:t xml:space="preserve"> </w:t>
      </w:r>
      <w:r w:rsidR="00322FD2">
        <w:rPr>
          <w:lang w:bidi="fa-IR"/>
        </w:rPr>
        <w:t xml:space="preserve">up to </w:t>
      </w:r>
      <w:r w:rsidR="00064DE6">
        <w:rPr>
          <w:lang w:bidi="fa-IR"/>
        </w:rPr>
        <w:t>$6</w:t>
      </w:r>
      <w:r w:rsidR="00F12069">
        <w:rPr>
          <w:lang w:bidi="fa-IR"/>
        </w:rPr>
        <w:t>7</w:t>
      </w:r>
      <w:r w:rsidR="00AD7F3F">
        <w:rPr>
          <w:lang w:bidi="fa-IR"/>
        </w:rPr>
        <w:t>8</w:t>
      </w:r>
      <w:r w:rsidR="00E85D21">
        <w:rPr>
          <w:lang w:bidi="fa-IR"/>
        </w:rPr>
        <w:t xml:space="preserve"> million per year, or equivalent to </w:t>
      </w:r>
      <w:r>
        <w:rPr>
          <w:lang w:bidi="fa-IR"/>
        </w:rPr>
        <w:t>1</w:t>
      </w:r>
      <w:r w:rsidR="00AD7F3F">
        <w:rPr>
          <w:lang w:bidi="fa-IR"/>
        </w:rPr>
        <w:t>6</w:t>
      </w:r>
      <w:r>
        <w:rPr>
          <w:lang w:bidi="fa-IR"/>
        </w:rPr>
        <w:t xml:space="preserve"> per cent</w:t>
      </w:r>
      <w:r w:rsidR="00E85D21">
        <w:rPr>
          <w:lang w:bidi="fa-IR"/>
        </w:rPr>
        <w:t xml:space="preserve"> of recent </w:t>
      </w:r>
      <w:r w:rsidR="000C6315">
        <w:rPr>
          <w:lang w:bidi="fa-IR"/>
        </w:rPr>
        <w:t>level of Australian exports.</w:t>
      </w:r>
      <w:r w:rsidR="00012283">
        <w:rPr>
          <w:lang w:bidi="fa-IR"/>
        </w:rPr>
        <w:t xml:space="preserve"> </w:t>
      </w:r>
      <w:r w:rsidR="008A6557">
        <w:rPr>
          <w:lang w:bidi="fa-IR"/>
        </w:rPr>
        <w:t xml:space="preserve">It represents a </w:t>
      </w:r>
      <w:r w:rsidR="0063259B">
        <w:rPr>
          <w:lang w:bidi="fa-IR"/>
        </w:rPr>
        <w:t>3</w:t>
      </w:r>
      <w:r w:rsidR="00AD7F3F">
        <w:rPr>
          <w:lang w:bidi="fa-IR"/>
        </w:rPr>
        <w:t>7.7</w:t>
      </w:r>
      <w:r w:rsidR="0063259B">
        <w:rPr>
          <w:lang w:bidi="fa-IR"/>
        </w:rPr>
        <w:t xml:space="preserve"> per cent increase from </w:t>
      </w:r>
      <w:r w:rsidR="001827DD">
        <w:rPr>
          <w:lang w:bidi="fa-IR"/>
        </w:rPr>
        <w:t xml:space="preserve">previous estimates, due to higher base value of exports and change in export composition. </w:t>
      </w:r>
    </w:p>
    <w:p w14:paraId="550FB02B" w14:textId="725D7BCB" w:rsidR="00D256F1" w:rsidRDefault="002E31E8" w:rsidP="00D256F1">
      <w:pPr>
        <w:pStyle w:val="BodyText"/>
        <w:rPr>
          <w:lang w:bidi="fa-IR"/>
        </w:rPr>
      </w:pPr>
      <w:r>
        <w:rPr>
          <w:lang w:bidi="fa-IR"/>
        </w:rPr>
        <w:t>T</w:t>
      </w:r>
      <w:r w:rsidR="00012283">
        <w:rPr>
          <w:lang w:bidi="fa-IR"/>
        </w:rPr>
        <w:t xml:space="preserve">his </w:t>
      </w:r>
      <w:r w:rsidR="00A412B8">
        <w:rPr>
          <w:lang w:bidi="fa-IR"/>
        </w:rPr>
        <w:t xml:space="preserve">total </w:t>
      </w:r>
      <w:r w:rsidR="00012283">
        <w:rPr>
          <w:lang w:bidi="fa-IR"/>
        </w:rPr>
        <w:t xml:space="preserve">gain </w:t>
      </w:r>
      <w:r w:rsidR="00A412B8">
        <w:rPr>
          <w:lang w:bidi="fa-IR"/>
        </w:rPr>
        <w:t xml:space="preserve">in exports to the UAE </w:t>
      </w:r>
      <w:r w:rsidR="00012283">
        <w:rPr>
          <w:lang w:bidi="fa-IR"/>
        </w:rPr>
        <w:t xml:space="preserve">is </w:t>
      </w:r>
      <w:r w:rsidR="00AC7B49">
        <w:rPr>
          <w:lang w:bidi="fa-IR"/>
        </w:rPr>
        <w:t>slightly large</w:t>
      </w:r>
      <w:r w:rsidR="00DF655A">
        <w:rPr>
          <w:lang w:bidi="fa-IR"/>
        </w:rPr>
        <w:t>r</w:t>
      </w:r>
      <w:r w:rsidR="00AC7B49">
        <w:rPr>
          <w:lang w:bidi="fa-IR"/>
        </w:rPr>
        <w:t xml:space="preserve"> </w:t>
      </w:r>
      <w:r w:rsidR="00E6032C">
        <w:rPr>
          <w:lang w:bidi="fa-IR"/>
        </w:rPr>
        <w:t>than</w:t>
      </w:r>
      <w:r w:rsidR="00012283">
        <w:rPr>
          <w:lang w:bidi="fa-IR"/>
        </w:rPr>
        <w:t xml:space="preserve"> the gains </w:t>
      </w:r>
      <w:r w:rsidR="005E2148">
        <w:rPr>
          <w:lang w:bidi="fa-IR"/>
        </w:rPr>
        <w:t xml:space="preserve">from </w:t>
      </w:r>
      <w:r>
        <w:rPr>
          <w:lang w:bidi="fa-IR"/>
        </w:rPr>
        <w:t>obtaining</w:t>
      </w:r>
      <w:r w:rsidR="005E2148">
        <w:rPr>
          <w:lang w:bidi="fa-IR"/>
        </w:rPr>
        <w:t xml:space="preserve"> </w:t>
      </w:r>
      <w:r w:rsidR="006471EC">
        <w:rPr>
          <w:lang w:bidi="fa-IR"/>
        </w:rPr>
        <w:t xml:space="preserve">the same offer </w:t>
      </w:r>
      <w:r w:rsidR="00181C4A">
        <w:rPr>
          <w:lang w:bidi="fa-IR"/>
        </w:rPr>
        <w:t>from</w:t>
      </w:r>
      <w:r w:rsidR="006471EC">
        <w:rPr>
          <w:lang w:bidi="fa-IR"/>
        </w:rPr>
        <w:t xml:space="preserve"> the </w:t>
      </w:r>
      <w:r w:rsidR="005E2148">
        <w:rPr>
          <w:lang w:bidi="fa-IR"/>
        </w:rPr>
        <w:t>UAE</w:t>
      </w:r>
      <w:r w:rsidR="00357B60">
        <w:rPr>
          <w:lang w:bidi="fa-IR"/>
        </w:rPr>
        <w:t xml:space="preserve"> to other economies such as Singapore, EFTA and India</w:t>
      </w:r>
      <w:r w:rsidR="006471EC">
        <w:rPr>
          <w:lang w:bidi="fa-IR"/>
        </w:rPr>
        <w:t>,</w:t>
      </w:r>
      <w:r w:rsidR="00E6032C" w:rsidRPr="00E6032C">
        <w:rPr>
          <w:lang w:bidi="fa-IR"/>
        </w:rPr>
        <w:t xml:space="preserve"> </w:t>
      </w:r>
      <w:r w:rsidR="00E6032C">
        <w:rPr>
          <w:lang w:bidi="fa-IR"/>
        </w:rPr>
        <w:t>although the difference is very small</w:t>
      </w:r>
      <w:r w:rsidR="006471EC">
        <w:rPr>
          <w:lang w:bidi="fa-IR"/>
        </w:rPr>
        <w:t>.</w:t>
      </w:r>
    </w:p>
    <w:p w14:paraId="45F86D81" w14:textId="40B23082" w:rsidR="0060197F" w:rsidRPr="00E8502C" w:rsidRDefault="00360CA5" w:rsidP="00D256F1">
      <w:pPr>
        <w:pStyle w:val="BodyText"/>
        <w:rPr>
          <w:lang w:bidi="fa-IR"/>
        </w:rPr>
      </w:pPr>
      <w:r>
        <w:rPr>
          <w:lang w:bidi="fa-IR"/>
        </w:rPr>
        <w:t>Agricultural products are important in bilateral trade relationship</w:t>
      </w:r>
      <w:r w:rsidR="00043869">
        <w:rPr>
          <w:lang w:bidi="fa-IR"/>
        </w:rPr>
        <w:t xml:space="preserve">. As a large food producer, Australia is an important partner to the UAE in its food security. While </w:t>
      </w:r>
      <w:r w:rsidR="00EF16BA">
        <w:rPr>
          <w:lang w:bidi="fa-IR"/>
        </w:rPr>
        <w:t xml:space="preserve">some agricultural products have been duty free, others </w:t>
      </w:r>
      <w:r w:rsidR="00132150">
        <w:rPr>
          <w:lang w:bidi="fa-IR"/>
        </w:rPr>
        <w:t>may benefit from eliminating tariffs</w:t>
      </w:r>
      <w:r w:rsidR="00D45A25">
        <w:rPr>
          <w:lang w:bidi="fa-IR"/>
        </w:rPr>
        <w:t xml:space="preserve"> imposed by the UAE</w:t>
      </w:r>
      <w:r w:rsidR="001F53A2">
        <w:rPr>
          <w:lang w:bidi="fa-IR"/>
        </w:rPr>
        <w:t xml:space="preserve">, with </w:t>
      </w:r>
      <w:proofErr w:type="gramStart"/>
      <w:r w:rsidR="00A2409A">
        <w:rPr>
          <w:lang w:bidi="fa-IR"/>
        </w:rPr>
        <w:t>oil-seeds</w:t>
      </w:r>
      <w:proofErr w:type="gramEnd"/>
      <w:r w:rsidR="00A2409A">
        <w:rPr>
          <w:lang w:bidi="fa-IR"/>
        </w:rPr>
        <w:t xml:space="preserve"> and </w:t>
      </w:r>
      <w:r w:rsidR="006901BC" w:rsidRPr="006901BC">
        <w:rPr>
          <w:lang w:bidi="fa-IR"/>
        </w:rPr>
        <w:t>oleaginous fruits</w:t>
      </w:r>
      <w:r w:rsidR="006901BC">
        <w:rPr>
          <w:lang w:bidi="fa-IR"/>
        </w:rPr>
        <w:t>, meat</w:t>
      </w:r>
      <w:r w:rsidR="002E3334">
        <w:rPr>
          <w:lang w:bidi="fa-IR"/>
        </w:rPr>
        <w:t xml:space="preserve"> (beef and other)</w:t>
      </w:r>
      <w:r w:rsidR="006901BC">
        <w:rPr>
          <w:lang w:bidi="fa-IR"/>
        </w:rPr>
        <w:t xml:space="preserve"> and vegetables</w:t>
      </w:r>
      <w:r w:rsidR="00EA00C8">
        <w:rPr>
          <w:lang w:bidi="fa-IR"/>
        </w:rPr>
        <w:t xml:space="preserve"> having the highest </w:t>
      </w:r>
      <w:r w:rsidR="002E3334">
        <w:rPr>
          <w:lang w:bidi="fa-IR"/>
        </w:rPr>
        <w:t>growth potential</w:t>
      </w:r>
      <w:r w:rsidR="00F4029E">
        <w:rPr>
          <w:lang w:bidi="fa-IR"/>
        </w:rPr>
        <w:t>, based on high 2021-23 average export figures, following</w:t>
      </w:r>
      <w:r w:rsidR="000E0C30">
        <w:rPr>
          <w:lang w:bidi="fa-IR"/>
        </w:rPr>
        <w:t xml:space="preserve"> an FTA with the UAE.</w:t>
      </w:r>
      <w:r w:rsidR="00EA00C8">
        <w:rPr>
          <w:lang w:bidi="fa-IR"/>
        </w:rPr>
        <w:t xml:space="preserve"> </w:t>
      </w:r>
    </w:p>
    <w:p w14:paraId="3393287B" w14:textId="14528713" w:rsidR="000D337C" w:rsidRDefault="008B20A1" w:rsidP="000D337C">
      <w:pPr>
        <w:pStyle w:val="BodyText"/>
        <w:rPr>
          <w:lang w:bidi="fa-IR"/>
        </w:rPr>
      </w:pPr>
      <w:r>
        <w:rPr>
          <w:lang w:bidi="fa-IR"/>
        </w:rPr>
        <w:t xml:space="preserve">Non-agricultural products, especially minerals and metals, </w:t>
      </w:r>
      <w:r w:rsidR="00835A5A">
        <w:rPr>
          <w:lang w:bidi="fa-IR"/>
        </w:rPr>
        <w:t>are estimated to benefit from an FTA with the UAE as well.</w:t>
      </w:r>
      <w:r w:rsidR="00F70D6B">
        <w:rPr>
          <w:lang w:bidi="fa-IR"/>
        </w:rPr>
        <w:t xml:space="preserve"> Crude </w:t>
      </w:r>
      <w:r w:rsidR="00287D0D">
        <w:rPr>
          <w:lang w:bidi="fa-IR"/>
        </w:rPr>
        <w:t>petroleum, aluminium ores and concentrates (including alumina) appears the top two non-</w:t>
      </w:r>
      <w:r w:rsidR="00D07962">
        <w:rPr>
          <w:lang w:bidi="fa-IR"/>
        </w:rPr>
        <w:t>agricultural commodities (at the SITC 3-digit level)</w:t>
      </w:r>
      <w:r w:rsidR="00683F8F">
        <w:rPr>
          <w:lang w:bidi="fa-IR"/>
        </w:rPr>
        <w:t xml:space="preserve"> with the highest export growth to the UAE following an FTA.</w:t>
      </w:r>
    </w:p>
    <w:p w14:paraId="3684269C" w14:textId="5DB97D96" w:rsidR="009A444C" w:rsidRPr="009A444C" w:rsidRDefault="00590FCB" w:rsidP="009A444C">
      <w:pPr>
        <w:pStyle w:val="BodyText"/>
        <w:rPr>
          <w:lang w:bidi="fa-IR"/>
        </w:rPr>
      </w:pPr>
      <w:r>
        <w:rPr>
          <w:lang w:bidi="fa-IR"/>
        </w:rPr>
        <w:t xml:space="preserve">The update analysis also illustrates that </w:t>
      </w:r>
      <w:r w:rsidR="00F6103F">
        <w:rPr>
          <w:lang w:bidi="fa-IR"/>
        </w:rPr>
        <w:t xml:space="preserve">the impacts of an FTA on export growth are highly dependent on the </w:t>
      </w:r>
      <w:r w:rsidR="007B37EA">
        <w:rPr>
          <w:lang w:bidi="fa-IR"/>
        </w:rPr>
        <w:t xml:space="preserve">base value and structure of exports. </w:t>
      </w:r>
      <w:r w:rsidR="00127C4D">
        <w:rPr>
          <w:lang w:bidi="fa-IR"/>
        </w:rPr>
        <w:t xml:space="preserve">Accordingly, factors </w:t>
      </w:r>
      <w:r w:rsidR="00C74FA7">
        <w:rPr>
          <w:lang w:bidi="fa-IR"/>
        </w:rPr>
        <w:t xml:space="preserve">other </w:t>
      </w:r>
      <w:r w:rsidR="00C74FA7">
        <w:rPr>
          <w:lang w:bidi="fa-IR"/>
        </w:rPr>
        <w:lastRenderedPageBreak/>
        <w:t xml:space="preserve">than tariff </w:t>
      </w:r>
      <w:r w:rsidR="00127C4D">
        <w:rPr>
          <w:lang w:bidi="fa-IR"/>
        </w:rPr>
        <w:t xml:space="preserve">may affect the estimated results. For example, </w:t>
      </w:r>
      <w:r w:rsidR="00441828">
        <w:rPr>
          <w:lang w:bidi="fa-IR"/>
        </w:rPr>
        <w:t xml:space="preserve">Australia’s exports of </w:t>
      </w:r>
      <w:r w:rsidR="003D3786">
        <w:rPr>
          <w:lang w:bidi="fa-IR"/>
        </w:rPr>
        <w:t>oilseeds</w:t>
      </w:r>
      <w:r w:rsidR="00127C4D">
        <w:rPr>
          <w:lang w:bidi="fa-IR"/>
        </w:rPr>
        <w:t xml:space="preserve"> and </w:t>
      </w:r>
      <w:r w:rsidR="00441828" w:rsidRPr="00C86752">
        <w:rPr>
          <w:lang w:bidi="fa-IR"/>
        </w:rPr>
        <w:t>oleaginous fruits</w:t>
      </w:r>
      <w:r w:rsidR="00441828">
        <w:rPr>
          <w:lang w:bidi="fa-IR"/>
        </w:rPr>
        <w:t xml:space="preserve"> </w:t>
      </w:r>
      <w:r w:rsidR="00DF4DD2">
        <w:rPr>
          <w:lang w:bidi="fa-IR"/>
        </w:rPr>
        <w:t xml:space="preserve">to the UAE have increased from </w:t>
      </w:r>
      <w:r w:rsidR="00E0739F">
        <w:rPr>
          <w:lang w:bidi="fa-IR"/>
        </w:rPr>
        <w:t>about $50 million (2015-19</w:t>
      </w:r>
      <w:r w:rsidR="00CD2B44">
        <w:rPr>
          <w:lang w:bidi="fa-IR"/>
        </w:rPr>
        <w:t xml:space="preserve"> </w:t>
      </w:r>
      <w:r w:rsidR="00C74FA7">
        <w:rPr>
          <w:lang w:bidi="fa-IR"/>
        </w:rPr>
        <w:t>average</w:t>
      </w:r>
      <w:r w:rsidR="00E0739F">
        <w:rPr>
          <w:lang w:bidi="fa-IR"/>
        </w:rPr>
        <w:t>)</w:t>
      </w:r>
      <w:r w:rsidR="00C74FA7">
        <w:rPr>
          <w:lang w:bidi="fa-IR"/>
        </w:rPr>
        <w:t xml:space="preserve"> </w:t>
      </w:r>
      <w:r w:rsidR="00E0739F">
        <w:rPr>
          <w:lang w:bidi="fa-IR"/>
        </w:rPr>
        <w:t xml:space="preserve">to more than </w:t>
      </w:r>
      <w:r w:rsidR="00175C31">
        <w:rPr>
          <w:lang w:bidi="fa-IR"/>
        </w:rPr>
        <w:t>$625 million (2021-23 average) while the tariff has remained at 5</w:t>
      </w:r>
      <w:r w:rsidR="00D46E11">
        <w:rPr>
          <w:lang w:bidi="fa-IR"/>
        </w:rPr>
        <w:t> </w:t>
      </w:r>
      <w:r w:rsidR="00175C31">
        <w:rPr>
          <w:lang w:bidi="fa-IR"/>
        </w:rPr>
        <w:t xml:space="preserve">per cent </w:t>
      </w:r>
      <w:r w:rsidR="00551EA3">
        <w:rPr>
          <w:lang w:bidi="fa-IR"/>
        </w:rPr>
        <w:t>over the period.</w:t>
      </w:r>
    </w:p>
    <w:p w14:paraId="65104ECF" w14:textId="66B79DB2" w:rsidR="003822C2" w:rsidRDefault="00CC3062" w:rsidP="00AD1001">
      <w:pPr>
        <w:pStyle w:val="Heading1"/>
        <w:rPr>
          <w:lang w:bidi="fa-IR"/>
        </w:rPr>
      </w:pPr>
      <w:bookmarkStart w:id="36" w:name="_Ref175645699"/>
      <w:bookmarkStart w:id="37" w:name="_Toc175649974"/>
      <w:r>
        <w:rPr>
          <w:lang w:bidi="fa-IR"/>
        </w:rPr>
        <w:t>Top 20 growing sectors in Australian exports: FTA scenarios</w:t>
      </w:r>
      <w:bookmarkEnd w:id="36"/>
      <w:bookmarkEnd w:id="37"/>
    </w:p>
    <w:p w14:paraId="11703462" w14:textId="3EC62373" w:rsidR="00212741" w:rsidRPr="00BB62A8" w:rsidRDefault="00212741" w:rsidP="00212741">
      <w:pPr>
        <w:pStyle w:val="BodyText"/>
        <w:rPr>
          <w:lang w:bidi="fa-IR"/>
        </w:rPr>
      </w:pPr>
      <w:r>
        <w:rPr>
          <w:lang w:bidi="fa-IR"/>
        </w:rPr>
        <w:t>This appendix presents the estimated top 20 sectors with the highest expected growth in Australian exports to the UAE under different Free Trade Agreement (FTA) scenarios, including those under the Singaporean FTA, EFTA FTA, and Indian CEPA.</w:t>
      </w:r>
      <w:r w:rsidR="00F310F6">
        <w:rPr>
          <w:lang w:bidi="fa-IR"/>
        </w:rPr>
        <w:t xml:space="preserve"> It is an update to the appendix B in the original report.</w:t>
      </w:r>
    </w:p>
    <w:p w14:paraId="7D5D8625" w14:textId="42F5E349" w:rsidR="00CC3062" w:rsidRDefault="0032474F" w:rsidP="00AD1001">
      <w:pPr>
        <w:pStyle w:val="Heading2"/>
        <w:rPr>
          <w:lang w:bidi="fa-IR"/>
        </w:rPr>
      </w:pPr>
      <w:r>
        <w:rPr>
          <w:lang w:bidi="fa-IR"/>
        </w:rPr>
        <w:t xml:space="preserve">Free trade scenario </w:t>
      </w:r>
      <w:r w:rsidR="000C2C3F">
        <w:rPr>
          <w:lang w:bidi="fa-IR"/>
        </w:rPr>
        <w:t>implied by the tariff schedule</w:t>
      </w:r>
      <w:r w:rsidR="00A13869">
        <w:rPr>
          <w:lang w:bidi="fa-IR"/>
        </w:rPr>
        <w:t>s</w:t>
      </w:r>
      <w:r w:rsidR="000C2C3F">
        <w:rPr>
          <w:lang w:bidi="fa-IR"/>
        </w:rPr>
        <w:t xml:space="preserve"> provided by DFAT</w:t>
      </w:r>
    </w:p>
    <w:p w14:paraId="685FE460" w14:textId="0423958D" w:rsidR="000C2C3F" w:rsidRDefault="000C2C3F" w:rsidP="000C2C3F">
      <w:pPr>
        <w:pStyle w:val="BodyText"/>
        <w:rPr>
          <w:lang w:bidi="fa-IR"/>
        </w:rPr>
      </w:pPr>
      <w:r>
        <w:rPr>
          <w:lang w:bidi="fa-IR"/>
        </w:rPr>
        <w:t>This is a new scenario to the original report</w:t>
      </w:r>
      <w:r w:rsidR="005624FF">
        <w:rPr>
          <w:lang w:bidi="fa-IR"/>
        </w:rPr>
        <w:t>, using the tariff schedule</w:t>
      </w:r>
      <w:r w:rsidR="00A13869">
        <w:rPr>
          <w:lang w:bidi="fa-IR"/>
        </w:rPr>
        <w:t>s</w:t>
      </w:r>
      <w:r w:rsidR="005624FF">
        <w:rPr>
          <w:lang w:bidi="fa-IR"/>
        </w:rPr>
        <w:t xml:space="preserve"> provided by DFAT for this update.</w:t>
      </w:r>
    </w:p>
    <w:p w14:paraId="42A82B8D" w14:textId="15802DC9" w:rsidR="002B3292" w:rsidRDefault="002B3292" w:rsidP="002B3292">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w:instrText>
      </w:r>
      <w:r w:rsidRPr="00695C93">
        <w:fldChar w:fldCharType="separate"/>
      </w:r>
      <w:r w:rsidR="00586CBD">
        <w:rPr>
          <w:noProof/>
        </w:rPr>
        <w:instrText>A</w:instrText>
      </w:r>
      <w:r w:rsidR="00586CBD"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586CBD" w:rsidRPr="00695C93">
        <w:rPr>
          <w:noProof/>
        </w:rPr>
        <w:instrText>6</w:instrText>
      </w:r>
      <w:r w:rsidRPr="00695C93">
        <w:fldChar w:fldCharType="end"/>
      </w:r>
      <w:r w:rsidRPr="00695C93">
        <w:instrText xml:space="preserve"> </w:instrText>
      </w:r>
      <w:r w:rsidRPr="00695C93">
        <w:fldChar w:fldCharType="separate"/>
      </w:r>
      <w:r w:rsidR="00586CBD">
        <w:rPr>
          <w:noProof/>
        </w:rPr>
        <w:instrText>1</w:instrText>
      </w:r>
      <w:r w:rsidRPr="00695C93">
        <w:fldChar w:fldCharType="end"/>
      </w:r>
      <w:r w:rsidRPr="00695C93">
        <w:instrText xml:space="preserve">" "" </w:instrText>
      </w:r>
      <w:r w:rsidRPr="00695C93">
        <w:fldChar w:fldCharType="separate"/>
      </w:r>
      <w:bookmarkStart w:id="38" w:name="_Toc175649966"/>
      <w:r w:rsidR="00586CBD">
        <w:rPr>
          <w:noProof/>
        </w:rPr>
        <w:t>A</w:t>
      </w:r>
      <w:r w:rsidR="00586CBD" w:rsidRPr="00695C93">
        <w:rPr>
          <w:noProof/>
        </w:rPr>
        <w:t>.</w:t>
      </w:r>
      <w:r w:rsidR="00586CBD">
        <w:rPr>
          <w:noProof/>
        </w:rPr>
        <w:t>1</w:t>
      </w:r>
      <w:r w:rsidRPr="00695C93">
        <w:fldChar w:fldCharType="end"/>
      </w:r>
      <w:r w:rsidRPr="00695C93">
        <w:tab/>
      </w:r>
      <w:r w:rsidR="00817DCF">
        <w:t xml:space="preserve">Top 20 growing export sectors (SITC 3-digit) </w:t>
      </w:r>
      <w:r w:rsidR="002D3629">
        <w:t>under tariff schedules provided by DFAT</w:t>
      </w:r>
      <w:bookmarkEnd w:id="38"/>
    </w:p>
    <w:tbl>
      <w:tblPr>
        <w:tblW w:w="8045" w:type="dxa"/>
        <w:tblLook w:val="04E0" w:firstRow="1" w:lastRow="1" w:firstColumn="1" w:lastColumn="0" w:noHBand="0" w:noVBand="1"/>
      </w:tblPr>
      <w:tblGrid>
        <w:gridCol w:w="2446"/>
        <w:gridCol w:w="789"/>
        <w:gridCol w:w="784"/>
        <w:gridCol w:w="784"/>
        <w:gridCol w:w="785"/>
        <w:gridCol w:w="887"/>
        <w:gridCol w:w="785"/>
        <w:gridCol w:w="785"/>
      </w:tblGrid>
      <w:tr w:rsidR="00A37185" w:rsidRPr="002B3292" w14:paraId="66DCEB41" w14:textId="77777777" w:rsidTr="003E280B">
        <w:trPr>
          <w:trHeight w:val="756"/>
          <w:tblHeader/>
        </w:trPr>
        <w:tc>
          <w:tcPr>
            <w:tcW w:w="2446" w:type="dxa"/>
            <w:shd w:val="clear" w:color="auto" w:fill="6F6652"/>
            <w:noWrap/>
            <w:tcMar>
              <w:left w:w="57" w:type="dxa"/>
              <w:right w:w="57" w:type="dxa"/>
            </w:tcMar>
            <w:hideMark/>
          </w:tcPr>
          <w:p w14:paraId="2AA61A55" w14:textId="7D5E1CE8" w:rsidR="00A37185" w:rsidRPr="002B3292" w:rsidRDefault="00D07AAC" w:rsidP="002B3292">
            <w:pPr>
              <w:pStyle w:val="TableDataColumnHeading"/>
              <w:jc w:val="left"/>
            </w:pPr>
            <w:r>
              <w:t>Export</w:t>
            </w:r>
          </w:p>
        </w:tc>
        <w:tc>
          <w:tcPr>
            <w:tcW w:w="789" w:type="dxa"/>
            <w:shd w:val="clear" w:color="auto" w:fill="6F6652"/>
            <w:tcMar>
              <w:left w:w="57" w:type="dxa"/>
              <w:right w:w="57" w:type="dxa"/>
            </w:tcMar>
            <w:vAlign w:val="center"/>
            <w:hideMark/>
          </w:tcPr>
          <w:p w14:paraId="414CE8CC" w14:textId="31DD8258" w:rsidR="00A37185" w:rsidRPr="002B3292" w:rsidRDefault="00A37185" w:rsidP="003E280B">
            <w:pPr>
              <w:pStyle w:val="TableDataColumnHeading"/>
              <w:jc w:val="center"/>
              <w:rPr>
                <w:szCs w:val="16"/>
              </w:rPr>
            </w:pPr>
            <w:r w:rsidRPr="002B3292">
              <w:rPr>
                <w:szCs w:val="16"/>
              </w:rPr>
              <w:t>Base export value</w:t>
            </w:r>
            <w:r w:rsidRPr="00E4232C">
              <w:rPr>
                <w:rStyle w:val="NoteLabel"/>
              </w:rPr>
              <w:t xml:space="preserve"> </w:t>
            </w:r>
            <w:r w:rsidRPr="00074B9B">
              <w:rPr>
                <w:rStyle w:val="NoteLabel"/>
                <w:color w:val="FFFFFF" w:themeColor="background1"/>
              </w:rPr>
              <w:t>a</w:t>
            </w:r>
            <w:r>
              <w:rPr>
                <w:rStyle w:val="NoteLabel"/>
                <w:color w:val="FFFFFF" w:themeColor="background1"/>
              </w:rPr>
              <w:br/>
              <w:t>$m</w:t>
            </w:r>
          </w:p>
        </w:tc>
        <w:tc>
          <w:tcPr>
            <w:tcW w:w="784" w:type="dxa"/>
            <w:shd w:val="clear" w:color="auto" w:fill="6F6652"/>
            <w:tcMar>
              <w:left w:w="57" w:type="dxa"/>
              <w:right w:w="57" w:type="dxa"/>
            </w:tcMar>
            <w:vAlign w:val="center"/>
            <w:hideMark/>
          </w:tcPr>
          <w:p w14:paraId="3E8BC39C" w14:textId="65BF4F92" w:rsidR="00A37185" w:rsidRPr="002B3292" w:rsidRDefault="00A37185" w:rsidP="003E280B">
            <w:pPr>
              <w:pStyle w:val="TableDataColumnHeading"/>
              <w:jc w:val="center"/>
              <w:rPr>
                <w:szCs w:val="16"/>
              </w:rPr>
            </w:pPr>
            <w:r w:rsidRPr="002B3292">
              <w:rPr>
                <w:szCs w:val="16"/>
              </w:rPr>
              <w:t>Base rate</w:t>
            </w:r>
            <w:r>
              <w:rPr>
                <w:szCs w:val="16"/>
              </w:rPr>
              <w:br/>
              <w:t>%</w:t>
            </w:r>
          </w:p>
        </w:tc>
        <w:tc>
          <w:tcPr>
            <w:tcW w:w="784" w:type="dxa"/>
            <w:shd w:val="clear" w:color="auto" w:fill="6F6652"/>
            <w:tcMar>
              <w:left w:w="57" w:type="dxa"/>
              <w:right w:w="57" w:type="dxa"/>
            </w:tcMar>
            <w:vAlign w:val="center"/>
            <w:hideMark/>
          </w:tcPr>
          <w:p w14:paraId="12DC07EC" w14:textId="7D2851A8" w:rsidR="00A37185" w:rsidRPr="002B3292" w:rsidRDefault="00A37185" w:rsidP="003E280B">
            <w:pPr>
              <w:pStyle w:val="TableDataColumnHeading"/>
              <w:jc w:val="center"/>
              <w:rPr>
                <w:szCs w:val="16"/>
              </w:rPr>
            </w:pPr>
            <w:r w:rsidRPr="002B3292">
              <w:rPr>
                <w:szCs w:val="16"/>
              </w:rPr>
              <w:t>FTA offer</w:t>
            </w:r>
            <w:r>
              <w:rPr>
                <w:szCs w:val="16"/>
              </w:rPr>
              <w:br/>
              <w:t>%</w:t>
            </w:r>
          </w:p>
        </w:tc>
        <w:tc>
          <w:tcPr>
            <w:tcW w:w="785" w:type="dxa"/>
            <w:shd w:val="clear" w:color="auto" w:fill="6F6652"/>
            <w:tcMar>
              <w:left w:w="57" w:type="dxa"/>
              <w:right w:w="57" w:type="dxa"/>
            </w:tcMar>
            <w:vAlign w:val="center"/>
            <w:hideMark/>
          </w:tcPr>
          <w:p w14:paraId="1E28B0D1" w14:textId="05F881ED" w:rsidR="00A37185" w:rsidRPr="002B3292" w:rsidRDefault="00A37185" w:rsidP="003E280B">
            <w:pPr>
              <w:pStyle w:val="TableDataColumnHeading"/>
              <w:jc w:val="center"/>
              <w:rPr>
                <w:szCs w:val="16"/>
              </w:rPr>
            </w:pPr>
            <w:r w:rsidRPr="002B3292">
              <w:rPr>
                <w:szCs w:val="16"/>
              </w:rPr>
              <w:t>Implied price change</w:t>
            </w:r>
            <w:r>
              <w:rPr>
                <w:szCs w:val="16"/>
              </w:rPr>
              <w:br/>
              <w:t>%</w:t>
            </w:r>
          </w:p>
        </w:tc>
        <w:tc>
          <w:tcPr>
            <w:tcW w:w="887" w:type="dxa"/>
            <w:shd w:val="clear" w:color="auto" w:fill="6F6652"/>
            <w:tcMar>
              <w:left w:w="57" w:type="dxa"/>
              <w:right w:w="57" w:type="dxa"/>
            </w:tcMar>
            <w:vAlign w:val="center"/>
            <w:hideMark/>
          </w:tcPr>
          <w:p w14:paraId="1A1411BA" w14:textId="77777777" w:rsidR="00A37185" w:rsidRPr="002B3292" w:rsidRDefault="00A37185" w:rsidP="003E280B">
            <w:pPr>
              <w:pStyle w:val="TableDataColumnHeading"/>
              <w:jc w:val="center"/>
              <w:rPr>
                <w:szCs w:val="16"/>
              </w:rPr>
            </w:pPr>
            <w:r w:rsidRPr="002B3292">
              <w:rPr>
                <w:szCs w:val="16"/>
              </w:rPr>
              <w:t>Elasticity</w:t>
            </w:r>
          </w:p>
        </w:tc>
        <w:tc>
          <w:tcPr>
            <w:tcW w:w="785" w:type="dxa"/>
            <w:shd w:val="clear" w:color="auto" w:fill="6F6652"/>
            <w:tcMar>
              <w:left w:w="57" w:type="dxa"/>
              <w:right w:w="57" w:type="dxa"/>
            </w:tcMar>
            <w:vAlign w:val="center"/>
            <w:hideMark/>
          </w:tcPr>
          <w:p w14:paraId="50D16714" w14:textId="567FC7DF" w:rsidR="00A37185" w:rsidRPr="002B3292" w:rsidRDefault="00A37185" w:rsidP="003E280B">
            <w:pPr>
              <w:pStyle w:val="TableDataColumnHeading"/>
              <w:jc w:val="center"/>
              <w:rPr>
                <w:szCs w:val="16"/>
              </w:rPr>
            </w:pPr>
            <w:r w:rsidRPr="002B3292">
              <w:rPr>
                <w:szCs w:val="16"/>
              </w:rPr>
              <w:t>Export growth</w:t>
            </w:r>
            <w:r>
              <w:rPr>
                <w:szCs w:val="16"/>
              </w:rPr>
              <w:br/>
              <w:t>%</w:t>
            </w:r>
          </w:p>
        </w:tc>
        <w:tc>
          <w:tcPr>
            <w:tcW w:w="785" w:type="dxa"/>
            <w:shd w:val="clear" w:color="auto" w:fill="6F6652"/>
            <w:vAlign w:val="center"/>
          </w:tcPr>
          <w:p w14:paraId="7A7EA06A" w14:textId="6651AF63" w:rsidR="00A37185" w:rsidRPr="002B3292" w:rsidRDefault="00A37185" w:rsidP="003E280B">
            <w:pPr>
              <w:pStyle w:val="TableDataColumnHeading"/>
              <w:jc w:val="center"/>
              <w:rPr>
                <w:szCs w:val="16"/>
              </w:rPr>
            </w:pPr>
            <w:r w:rsidRPr="002B3292">
              <w:rPr>
                <w:szCs w:val="16"/>
              </w:rPr>
              <w:t>Export growth</w:t>
            </w:r>
            <w:r>
              <w:rPr>
                <w:szCs w:val="16"/>
              </w:rPr>
              <w:br/>
            </w:r>
            <w:r>
              <w:rPr>
                <w:szCs w:val="16"/>
              </w:rPr>
              <w:t>$m</w:t>
            </w:r>
          </w:p>
        </w:tc>
      </w:tr>
      <w:tr w:rsidR="004E745B" w:rsidRPr="002B3292" w14:paraId="439D6A0B"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748FEB" w14:textId="0BCA31BC" w:rsidR="004E745B" w:rsidRPr="002B3292" w:rsidRDefault="004E745B" w:rsidP="004E745B">
            <w:pPr>
              <w:pStyle w:val="TableDataEntries"/>
              <w:jc w:val="left"/>
            </w:pPr>
            <w:r>
              <w:rPr>
                <w:szCs w:val="16"/>
              </w:rPr>
              <w:t>Oil-seeds &amp; oleaginous fruits, soft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C20E1A" w14:textId="20B1DD9D" w:rsidR="004E745B" w:rsidRPr="002B3292" w:rsidRDefault="004E745B" w:rsidP="004E745B">
            <w:pPr>
              <w:pStyle w:val="TableDataEntries"/>
            </w:pPr>
            <w:r>
              <w:rPr>
                <w:szCs w:val="16"/>
              </w:rPr>
              <w:t>625.51</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A3CC4B" w14:textId="3889952F"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E132B5" w14:textId="04493637"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63454F" w14:textId="3FF38308"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66D5C6" w14:textId="40C67E9E" w:rsidR="004E745B" w:rsidRPr="002B3292" w:rsidRDefault="004E745B" w:rsidP="004E745B">
            <w:pPr>
              <w:pStyle w:val="TableDataEntries"/>
            </w:pPr>
            <w:r>
              <w:rPr>
                <w:szCs w:val="16"/>
              </w:rPr>
              <w:t>4.90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23B9E3" w14:textId="4D1E6501" w:rsidR="004E745B" w:rsidRPr="002B3292" w:rsidRDefault="004E745B" w:rsidP="004E745B">
            <w:pPr>
              <w:pStyle w:val="TableDataEntries"/>
            </w:pPr>
            <w:r>
              <w:rPr>
                <w:szCs w:val="16"/>
              </w:rPr>
              <w:t>23.33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9F12B4" w14:textId="34393534" w:rsidR="004E745B" w:rsidRPr="002B3292" w:rsidRDefault="004E745B" w:rsidP="004E745B">
            <w:pPr>
              <w:pStyle w:val="TableDataEntries"/>
            </w:pPr>
            <w:r>
              <w:rPr>
                <w:szCs w:val="16"/>
              </w:rPr>
              <w:t>145.95</w:t>
            </w:r>
          </w:p>
        </w:tc>
      </w:tr>
      <w:tr w:rsidR="004E745B" w:rsidRPr="002B3292" w14:paraId="1F0A8649"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F9FC25" w14:textId="48121F5E" w:rsidR="004E745B" w:rsidRPr="002B3292" w:rsidRDefault="004E745B" w:rsidP="004E745B">
            <w:pPr>
              <w:pStyle w:val="TableDataEntries"/>
              <w:jc w:val="left"/>
            </w:pPr>
            <w:r>
              <w:rPr>
                <w:szCs w:val="16"/>
              </w:rPr>
              <w:t>Aluminium ores &amp; conc (incl alumina)</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4ACA3D" w14:textId="0AF7AC92" w:rsidR="004E745B" w:rsidRPr="002B3292" w:rsidRDefault="004E745B" w:rsidP="004E745B">
            <w:pPr>
              <w:pStyle w:val="TableDataEntries"/>
            </w:pPr>
            <w:r>
              <w:rPr>
                <w:szCs w:val="16"/>
              </w:rPr>
              <w:t>915.08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3D8C35" w14:textId="61E3F797"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38A571" w14:textId="30E2D848"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2FD83C" w14:textId="75F400D0"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875D1F" w14:textId="4519CEDE" w:rsidR="004E745B" w:rsidRPr="002B3292" w:rsidRDefault="004E745B" w:rsidP="004E745B">
            <w:pPr>
              <w:pStyle w:val="TableDataEntries"/>
            </w:pPr>
            <w:r>
              <w:rPr>
                <w:szCs w:val="16"/>
              </w:rPr>
              <w:t>1.80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0C5A9C" w14:textId="54D543C3" w:rsidR="004E745B" w:rsidRPr="002B3292" w:rsidRDefault="004E745B" w:rsidP="004E745B">
            <w:pPr>
              <w:pStyle w:val="TableDataEntries"/>
            </w:pPr>
            <w:r>
              <w:rPr>
                <w:szCs w:val="16"/>
              </w:rPr>
              <w:t>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FCDF2D" w14:textId="4293EEED" w:rsidR="004E745B" w:rsidRPr="002B3292" w:rsidRDefault="004E745B" w:rsidP="004E745B">
            <w:pPr>
              <w:pStyle w:val="TableDataEntries"/>
            </w:pPr>
            <w:r>
              <w:rPr>
                <w:szCs w:val="16"/>
              </w:rPr>
              <w:t>78.44</w:t>
            </w:r>
          </w:p>
        </w:tc>
      </w:tr>
      <w:tr w:rsidR="004E745B" w:rsidRPr="002B3292" w14:paraId="5B728864"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1CE5630" w14:textId="39720417" w:rsidR="004E745B" w:rsidRPr="002B3292" w:rsidRDefault="004E745B" w:rsidP="004E745B">
            <w:pPr>
              <w:pStyle w:val="TableDataEntries"/>
              <w:jc w:val="left"/>
            </w:pPr>
            <w:r>
              <w:rPr>
                <w:szCs w:val="16"/>
              </w:rPr>
              <w:t>Crude petroleum</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CD6E12" w14:textId="1FFA61BE" w:rsidR="004E745B" w:rsidRPr="002B3292" w:rsidRDefault="004E745B" w:rsidP="004E745B">
            <w:pPr>
              <w:pStyle w:val="TableDataEntries"/>
            </w:pPr>
            <w:r>
              <w:rPr>
                <w:szCs w:val="16"/>
              </w:rPr>
              <w:t>119.20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045B1E" w14:textId="6B6B32AD"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2858AE" w14:textId="06501819"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DEC955" w14:textId="628B0020"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DE6540" w14:textId="0E1CECEA" w:rsidR="004E745B" w:rsidRPr="002B3292" w:rsidRDefault="004E745B" w:rsidP="004E745B">
            <w:pPr>
              <w:pStyle w:val="TableDataEntries"/>
            </w:pPr>
            <w:r>
              <w:rPr>
                <w:szCs w:val="16"/>
              </w:rPr>
              <w:t>10.40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DEFD09" w14:textId="14B1102A" w:rsidR="004E745B" w:rsidRPr="002B3292" w:rsidRDefault="004E745B" w:rsidP="004E745B">
            <w:pPr>
              <w:pStyle w:val="TableDataEntries"/>
            </w:pPr>
            <w:r>
              <w:rPr>
                <w:szCs w:val="16"/>
              </w:rPr>
              <w:t>49.52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9DFFFE" w14:textId="299EBF39" w:rsidR="004E745B" w:rsidRPr="002B3292" w:rsidRDefault="004E745B" w:rsidP="004E745B">
            <w:pPr>
              <w:pStyle w:val="TableDataEntries"/>
            </w:pPr>
            <w:r>
              <w:rPr>
                <w:szCs w:val="16"/>
              </w:rPr>
              <w:t>59.03</w:t>
            </w:r>
          </w:p>
        </w:tc>
      </w:tr>
      <w:tr w:rsidR="004E745B" w:rsidRPr="002B3292" w14:paraId="2FC53C29"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E74B5B" w14:textId="7C91E3A1" w:rsidR="004E745B" w:rsidRPr="002B3292" w:rsidRDefault="004E745B" w:rsidP="004E745B">
            <w:pPr>
              <w:pStyle w:val="TableDataEntries"/>
              <w:jc w:val="left"/>
            </w:pPr>
            <w:r>
              <w:rPr>
                <w:szCs w:val="16"/>
              </w:rPr>
              <w:t>Vehicle parts &amp; accessories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42B287" w14:textId="5855AC31" w:rsidR="004E745B" w:rsidRPr="002B3292" w:rsidRDefault="004E745B" w:rsidP="004E745B">
            <w:pPr>
              <w:pStyle w:val="TableDataEntries"/>
            </w:pPr>
            <w:r>
              <w:rPr>
                <w:szCs w:val="16"/>
              </w:rPr>
              <w:t>177.34</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C7E864" w14:textId="5FA26284"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2B2E34" w14:textId="67D5691C"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984DB2" w14:textId="67EC65CA"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E9601C" w14:textId="5D321910" w:rsidR="004E745B" w:rsidRPr="002B3292" w:rsidRDefault="004E745B" w:rsidP="004E745B">
            <w:pPr>
              <w:pStyle w:val="TableDataEntries"/>
            </w:pPr>
            <w:r>
              <w:rPr>
                <w:szCs w:val="16"/>
              </w:rPr>
              <w:t>5.60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18DFB9" w14:textId="04108E1E" w:rsidR="004E745B" w:rsidRPr="002B3292" w:rsidRDefault="004E745B" w:rsidP="004E745B">
            <w:pPr>
              <w:pStyle w:val="TableDataEntries"/>
            </w:pPr>
            <w:r>
              <w:rPr>
                <w:szCs w:val="16"/>
              </w:rPr>
              <w:t>26.67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4B95F9" w14:textId="5A98D12A" w:rsidR="004E745B" w:rsidRPr="002B3292" w:rsidRDefault="004E745B" w:rsidP="004E745B">
            <w:pPr>
              <w:pStyle w:val="TableDataEntries"/>
            </w:pPr>
            <w:r>
              <w:rPr>
                <w:szCs w:val="16"/>
              </w:rPr>
              <w:t>47.29</w:t>
            </w:r>
          </w:p>
        </w:tc>
      </w:tr>
      <w:tr w:rsidR="004E745B" w:rsidRPr="002B3292" w14:paraId="05EB0854"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A1CE68" w14:textId="2EDFB752" w:rsidR="004E745B" w:rsidRPr="002B3292" w:rsidRDefault="004E745B" w:rsidP="004E745B">
            <w:pPr>
              <w:pStyle w:val="TableDataEntries"/>
              <w:jc w:val="left"/>
            </w:pPr>
            <w:r>
              <w:rPr>
                <w:szCs w:val="16"/>
              </w:rPr>
              <w:t xml:space="preserve">Meat (excl beef), </w:t>
            </w:r>
            <w:proofErr w:type="spellStart"/>
            <w:r>
              <w:rPr>
                <w:szCs w:val="16"/>
              </w:rPr>
              <w:t>f.c.f</w:t>
            </w:r>
            <w:proofErr w:type="spellEnd"/>
            <w:r>
              <w:rPr>
                <w:szCs w:val="16"/>
              </w:rPr>
              <w: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7839A2" w14:textId="2CAAF5A6" w:rsidR="004E745B" w:rsidRPr="002B3292" w:rsidRDefault="004E745B" w:rsidP="004E745B">
            <w:pPr>
              <w:pStyle w:val="TableDataEntries"/>
            </w:pPr>
            <w:r>
              <w:rPr>
                <w:szCs w:val="16"/>
              </w:rPr>
              <w:t>243.38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47CB20" w14:textId="2281AE84" w:rsidR="004E745B" w:rsidRPr="002B3292" w:rsidRDefault="004E745B" w:rsidP="004E745B">
            <w:pPr>
              <w:pStyle w:val="TableDataEntries"/>
            </w:pPr>
            <w:r>
              <w:rPr>
                <w:szCs w:val="16"/>
              </w:rPr>
              <w:t>1.40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486B34" w14:textId="72AF7562"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45AF56" w14:textId="70A2DD38" w:rsidR="004E745B" w:rsidRPr="002B3292" w:rsidRDefault="004E745B" w:rsidP="004E745B">
            <w:pPr>
              <w:pStyle w:val="TableDataEntries"/>
            </w:pPr>
            <w:r>
              <w:rPr>
                <w:szCs w:val="16"/>
              </w:rPr>
              <w:t>-1.38</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64636A" w14:textId="2B32AECA" w:rsidR="004E745B" w:rsidRPr="002B3292" w:rsidRDefault="004E745B" w:rsidP="004E745B">
            <w:pPr>
              <w:pStyle w:val="TableDataEntries"/>
            </w:pPr>
            <w:r>
              <w:rPr>
                <w:szCs w:val="16"/>
              </w:rPr>
              <w:t>8.80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46A5F0" w14:textId="03530EA8" w:rsidR="004E745B" w:rsidRPr="002B3292" w:rsidRDefault="004E745B" w:rsidP="004E745B">
            <w:pPr>
              <w:pStyle w:val="TableDataEntries"/>
            </w:pPr>
            <w:r>
              <w:rPr>
                <w:szCs w:val="16"/>
              </w:rPr>
              <w:t>12.14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58A628" w14:textId="76331075" w:rsidR="004E745B" w:rsidRPr="002B3292" w:rsidRDefault="004E745B" w:rsidP="004E745B">
            <w:pPr>
              <w:pStyle w:val="TableDataEntries"/>
            </w:pPr>
            <w:r>
              <w:rPr>
                <w:szCs w:val="16"/>
              </w:rPr>
              <w:t>29.54</w:t>
            </w:r>
          </w:p>
        </w:tc>
      </w:tr>
      <w:tr w:rsidR="004E745B" w:rsidRPr="002B3292" w14:paraId="19C22E6D"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4AB300C" w14:textId="6F879BCA" w:rsidR="004E745B" w:rsidRPr="002B3292" w:rsidRDefault="004E745B" w:rsidP="004E745B">
            <w:pPr>
              <w:pStyle w:val="TableDataEntries"/>
              <w:jc w:val="left"/>
            </w:pPr>
            <w:r>
              <w:rPr>
                <w:szCs w:val="16"/>
              </w:rPr>
              <w:t xml:space="preserve">Vegetables, </w:t>
            </w:r>
            <w:proofErr w:type="spellStart"/>
            <w:r>
              <w:rPr>
                <w:szCs w:val="16"/>
              </w:rPr>
              <w:t>f.c.f</w:t>
            </w:r>
            <w:proofErr w:type="spellEnd"/>
            <w:r>
              <w:rPr>
                <w:szCs w:val="16"/>
              </w:rPr>
              <w: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5EF24F" w14:textId="38C1FE85" w:rsidR="004E745B" w:rsidRPr="002B3292" w:rsidRDefault="004E745B" w:rsidP="004E745B">
            <w:pPr>
              <w:pStyle w:val="TableDataEntries"/>
            </w:pPr>
            <w:r>
              <w:rPr>
                <w:szCs w:val="16"/>
              </w:rPr>
              <w:t>199.19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829226" w14:textId="1E008C06" w:rsidR="004E745B" w:rsidRPr="002B3292" w:rsidRDefault="004E745B" w:rsidP="004E745B">
            <w:pPr>
              <w:pStyle w:val="TableDataEntries"/>
            </w:pPr>
            <w:r>
              <w:rPr>
                <w:szCs w:val="16"/>
              </w:rPr>
              <w:t>4.02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2D804B" w14:textId="6250A941"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9F7178" w14:textId="263AAD3F" w:rsidR="004E745B" w:rsidRPr="002B3292" w:rsidRDefault="004E745B" w:rsidP="004E745B">
            <w:pPr>
              <w:pStyle w:val="TableDataEntries"/>
            </w:pPr>
            <w:r>
              <w:rPr>
                <w:szCs w:val="16"/>
              </w:rPr>
              <w:t>-3.87</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D0F996" w14:textId="29F44926" w:rsidR="004E745B" w:rsidRPr="002B3292" w:rsidRDefault="004E745B" w:rsidP="004E745B">
            <w:pPr>
              <w:pStyle w:val="TableDataEntries"/>
            </w:pPr>
            <w:r>
              <w:rPr>
                <w:szCs w:val="16"/>
              </w:rPr>
              <w:t>3.70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03C609" w14:textId="71B80CD0" w:rsidR="004E745B" w:rsidRPr="002B3292" w:rsidRDefault="004E745B" w:rsidP="004E745B">
            <w:pPr>
              <w:pStyle w:val="TableDataEntries"/>
            </w:pPr>
            <w:r>
              <w:rPr>
                <w:szCs w:val="16"/>
              </w:rPr>
              <w:t>14.32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D1193E" w14:textId="22CACBDB" w:rsidR="004E745B" w:rsidRPr="002B3292" w:rsidRDefault="004E745B" w:rsidP="004E745B">
            <w:pPr>
              <w:pStyle w:val="TableDataEntries"/>
            </w:pPr>
            <w:r>
              <w:rPr>
                <w:szCs w:val="16"/>
              </w:rPr>
              <w:t>28.52</w:t>
            </w:r>
          </w:p>
        </w:tc>
      </w:tr>
      <w:tr w:rsidR="004E745B" w:rsidRPr="002B3292" w14:paraId="5267F1AD"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7BC957" w14:textId="3F44C734" w:rsidR="004E745B" w:rsidRPr="002B3292" w:rsidRDefault="004E745B" w:rsidP="004E745B">
            <w:pPr>
              <w:pStyle w:val="TableDataEntries"/>
              <w:jc w:val="left"/>
            </w:pPr>
            <w:r>
              <w:rPr>
                <w:szCs w:val="16"/>
              </w:rPr>
              <w:t>Coal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E7DBDC" w14:textId="6D229F2A" w:rsidR="004E745B" w:rsidRPr="002B3292" w:rsidRDefault="004E745B" w:rsidP="004E745B">
            <w:pPr>
              <w:pStyle w:val="TableDataEntries"/>
            </w:pPr>
            <w:r>
              <w:rPr>
                <w:szCs w:val="16"/>
              </w:rPr>
              <w:t>91.62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EA44D0" w14:textId="2F39322A"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5EBAC1" w14:textId="61FC7EC8"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2F33C4" w14:textId="31A5D4B6"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E19BC7" w14:textId="010AEBB5" w:rsidR="004E745B" w:rsidRPr="002B3292" w:rsidRDefault="004E745B" w:rsidP="004E745B">
            <w:pPr>
              <w:pStyle w:val="TableDataEntries"/>
            </w:pPr>
            <w:r>
              <w:rPr>
                <w:szCs w:val="16"/>
              </w:rPr>
              <w:t>6.10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21F643" w14:textId="17D13488" w:rsidR="004E745B" w:rsidRPr="002B3292" w:rsidRDefault="004E745B" w:rsidP="004E745B">
            <w:pPr>
              <w:pStyle w:val="TableDataEntries"/>
            </w:pPr>
            <w:r>
              <w:rPr>
                <w:szCs w:val="16"/>
              </w:rPr>
              <w:t>29.05</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F1416E" w14:textId="548418AB" w:rsidR="004E745B" w:rsidRPr="002B3292" w:rsidRDefault="004E745B" w:rsidP="004E745B">
            <w:pPr>
              <w:pStyle w:val="TableDataEntries"/>
            </w:pPr>
            <w:r>
              <w:rPr>
                <w:szCs w:val="16"/>
              </w:rPr>
              <w:t>26.61</w:t>
            </w:r>
          </w:p>
        </w:tc>
      </w:tr>
      <w:tr w:rsidR="004E745B" w:rsidRPr="002B3292" w14:paraId="754762DB"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AF5615" w14:textId="7B5370B6" w:rsidR="004E745B" w:rsidRPr="002B3292" w:rsidRDefault="004E745B" w:rsidP="004E745B">
            <w:pPr>
              <w:pStyle w:val="TableDataEntries"/>
              <w:jc w:val="left"/>
            </w:pPr>
            <w:r>
              <w:rPr>
                <w:szCs w:val="16"/>
              </w:rPr>
              <w:t>Arms &amp; ammunition</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865478" w14:textId="71545954" w:rsidR="004E745B" w:rsidRPr="002B3292" w:rsidRDefault="004E745B" w:rsidP="004E745B">
            <w:pPr>
              <w:pStyle w:val="TableDataEntries"/>
            </w:pPr>
            <w:r>
              <w:rPr>
                <w:szCs w:val="16"/>
              </w:rPr>
              <w:t>49.16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636EB7" w14:textId="66F76B8D"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9B2458" w14:textId="5E1E4D9B"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CE10D9" w14:textId="0B3C0BCC"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69163E" w14:textId="421D9780" w:rsidR="004E745B" w:rsidRPr="002B3292" w:rsidRDefault="004E745B" w:rsidP="004E745B">
            <w:pPr>
              <w:pStyle w:val="TableDataEntries"/>
            </w:pPr>
            <w:r>
              <w:rPr>
                <w:szCs w:val="16"/>
              </w:rPr>
              <w:t>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873852" w14:textId="206FC01E" w:rsidR="004E745B" w:rsidRPr="002B3292" w:rsidRDefault="004E745B" w:rsidP="004E745B">
            <w:pPr>
              <w:pStyle w:val="TableDataEntries"/>
            </w:pPr>
            <w:r>
              <w:rPr>
                <w:szCs w:val="16"/>
              </w:rPr>
              <w:t>38.57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C885590" w14:textId="390A1E9B" w:rsidR="004E745B" w:rsidRPr="002B3292" w:rsidRDefault="004E745B" w:rsidP="004E745B">
            <w:pPr>
              <w:pStyle w:val="TableDataEntries"/>
            </w:pPr>
            <w:r>
              <w:rPr>
                <w:szCs w:val="16"/>
              </w:rPr>
              <w:t>18.96</w:t>
            </w:r>
          </w:p>
        </w:tc>
      </w:tr>
      <w:tr w:rsidR="004E745B" w:rsidRPr="002B3292" w14:paraId="64538114"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A85AD4" w14:textId="721E396D" w:rsidR="004E745B" w:rsidRPr="002B3292" w:rsidRDefault="004E745B" w:rsidP="004E745B">
            <w:pPr>
              <w:pStyle w:val="TableDataEntries"/>
              <w:jc w:val="left"/>
            </w:pPr>
            <w:r>
              <w:rPr>
                <w:szCs w:val="16"/>
              </w:rPr>
              <w:t>Worn clothing &amp; rags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B146D1" w14:textId="3F66B60C" w:rsidR="004E745B" w:rsidRPr="002B3292" w:rsidRDefault="004E745B" w:rsidP="004E745B">
            <w:pPr>
              <w:pStyle w:val="TableDataEntries"/>
            </w:pPr>
            <w:r>
              <w:rPr>
                <w:szCs w:val="16"/>
              </w:rPr>
              <w:t>53.05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F6848F" w14:textId="03F93417"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484A79" w14:textId="39657B45"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5DECB4" w14:textId="24D9BD39"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4EB332" w14:textId="4E8E8471" w:rsidR="004E745B" w:rsidRPr="002B3292" w:rsidRDefault="004E745B" w:rsidP="004E745B">
            <w:pPr>
              <w:pStyle w:val="TableDataEntries"/>
            </w:pPr>
            <w:r>
              <w:rPr>
                <w:szCs w:val="16"/>
              </w:rPr>
              <w:t>7.40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3D5E08" w14:textId="4018FEE0" w:rsidR="004E745B" w:rsidRPr="002B3292" w:rsidRDefault="004E745B" w:rsidP="004E745B">
            <w:pPr>
              <w:pStyle w:val="TableDataEntries"/>
            </w:pPr>
            <w:r>
              <w:rPr>
                <w:szCs w:val="16"/>
              </w:rPr>
              <w:t>35.24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4D1CB7" w14:textId="2583D8FA" w:rsidR="004E745B" w:rsidRPr="002B3292" w:rsidRDefault="004E745B" w:rsidP="004E745B">
            <w:pPr>
              <w:pStyle w:val="TableDataEntries"/>
            </w:pPr>
            <w:r>
              <w:rPr>
                <w:szCs w:val="16"/>
              </w:rPr>
              <w:t>18.69</w:t>
            </w:r>
          </w:p>
        </w:tc>
      </w:tr>
      <w:tr w:rsidR="004E745B" w:rsidRPr="002B3292" w14:paraId="7677F3A8"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8BCBFB" w14:textId="647E0D44" w:rsidR="004E745B" w:rsidRPr="002B3292" w:rsidRDefault="004E745B" w:rsidP="004E745B">
            <w:pPr>
              <w:pStyle w:val="TableDataEntries"/>
              <w:jc w:val="left"/>
            </w:pPr>
            <w:r>
              <w:rPr>
                <w:szCs w:val="16"/>
              </w:rPr>
              <w:t>Milk, cream, whey &amp; yoghurt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1D55B7" w14:textId="0BC92C6A" w:rsidR="004E745B" w:rsidRPr="002B3292" w:rsidRDefault="004E745B" w:rsidP="004E745B">
            <w:pPr>
              <w:pStyle w:val="TableDataEntries"/>
            </w:pPr>
            <w:r>
              <w:rPr>
                <w:szCs w:val="16"/>
              </w:rPr>
              <w:t>53.66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86E3F4D" w14:textId="4FF3C1C2"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7F1D26" w14:textId="6D60986A"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8E3324" w14:textId="54E8C4F8"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4CBAFB" w14:textId="27214A8F" w:rsidR="004E745B" w:rsidRPr="002B3292" w:rsidRDefault="004E745B" w:rsidP="004E745B">
            <w:pPr>
              <w:pStyle w:val="TableDataEntries"/>
            </w:pPr>
            <w:r>
              <w:rPr>
                <w:szCs w:val="16"/>
              </w:rPr>
              <w:t>7.30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ADECEC" w14:textId="0EFF724B" w:rsidR="004E745B" w:rsidRPr="002B3292" w:rsidRDefault="004E745B" w:rsidP="004E745B">
            <w:pPr>
              <w:pStyle w:val="TableDataEntries"/>
            </w:pPr>
            <w:r>
              <w:rPr>
                <w:szCs w:val="16"/>
              </w:rPr>
              <w:t>34.76</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670D59" w14:textId="6DDBC9DE" w:rsidR="004E745B" w:rsidRPr="002B3292" w:rsidRDefault="004E745B" w:rsidP="004E745B">
            <w:pPr>
              <w:pStyle w:val="TableDataEntries"/>
            </w:pPr>
            <w:r>
              <w:rPr>
                <w:szCs w:val="16"/>
              </w:rPr>
              <w:t>18.65</w:t>
            </w:r>
          </w:p>
        </w:tc>
      </w:tr>
      <w:tr w:rsidR="004E745B" w:rsidRPr="002B3292" w14:paraId="65B68018"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CB7C9F" w14:textId="506F76F7" w:rsidR="004E745B" w:rsidRPr="002B3292" w:rsidRDefault="004E745B" w:rsidP="004E745B">
            <w:pPr>
              <w:pStyle w:val="TableDataEntries"/>
              <w:jc w:val="left"/>
            </w:pPr>
            <w:r>
              <w:rPr>
                <w:szCs w:val="16"/>
              </w:rPr>
              <w:t xml:space="preserve">Beef, </w:t>
            </w:r>
            <w:proofErr w:type="spellStart"/>
            <w:r>
              <w:rPr>
                <w:szCs w:val="16"/>
              </w:rPr>
              <w:t>f.c.f</w:t>
            </w:r>
            <w:proofErr w:type="spellEnd"/>
            <w:r>
              <w:rPr>
                <w:szCs w:val="16"/>
              </w:rPr>
              <w: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78E510" w14:textId="5FE8F39D" w:rsidR="004E745B" w:rsidRPr="002B3292" w:rsidRDefault="004E745B" w:rsidP="004E745B">
            <w:pPr>
              <w:pStyle w:val="TableDataEntries"/>
            </w:pPr>
            <w:r>
              <w:rPr>
                <w:szCs w:val="16"/>
              </w:rPr>
              <w:t>169.63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FF84FAF" w14:textId="758E1B8D" w:rsidR="004E745B" w:rsidRPr="002B3292" w:rsidRDefault="004E745B" w:rsidP="004E745B">
            <w:pPr>
              <w:pStyle w:val="TableDataEntries"/>
            </w:pPr>
            <w:r>
              <w:rPr>
                <w:szCs w:val="16"/>
              </w:rPr>
              <w:t>0.97</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15C13F" w14:textId="60C64FF8"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1A34B1A" w14:textId="40BD3F00" w:rsidR="004E745B" w:rsidRPr="002B3292" w:rsidRDefault="004E745B" w:rsidP="004E745B">
            <w:pPr>
              <w:pStyle w:val="TableDataEntries"/>
            </w:pPr>
            <w:r>
              <w:rPr>
                <w:szCs w:val="16"/>
              </w:rPr>
              <w:t>-0.96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850DA6" w14:textId="651BAAC8" w:rsidR="004E745B" w:rsidRPr="002B3292" w:rsidRDefault="004E745B" w:rsidP="004E745B">
            <w:pPr>
              <w:pStyle w:val="TableDataEntries"/>
            </w:pPr>
            <w:r>
              <w:rPr>
                <w:szCs w:val="16"/>
              </w:rPr>
              <w:t>7.70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694DAF" w14:textId="7F028508" w:rsidR="004E745B" w:rsidRPr="002B3292" w:rsidRDefault="004E745B" w:rsidP="004E745B">
            <w:pPr>
              <w:pStyle w:val="TableDataEntries"/>
            </w:pPr>
            <w:r>
              <w:rPr>
                <w:szCs w:val="16"/>
              </w:rPr>
              <w:t>7.38</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D5E4C7" w14:textId="59FFC30A" w:rsidR="004E745B" w:rsidRPr="002B3292" w:rsidRDefault="004E745B" w:rsidP="004E745B">
            <w:pPr>
              <w:pStyle w:val="TableDataEntries"/>
            </w:pPr>
            <w:r>
              <w:rPr>
                <w:szCs w:val="16"/>
              </w:rPr>
              <w:t>12.52</w:t>
            </w:r>
          </w:p>
        </w:tc>
      </w:tr>
      <w:tr w:rsidR="004E745B" w:rsidRPr="002B3292" w14:paraId="2C5227C1"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5CFA21" w14:textId="0CAB289A" w:rsidR="004E745B" w:rsidRPr="002B3292" w:rsidRDefault="004E745B" w:rsidP="004E745B">
            <w:pPr>
              <w:pStyle w:val="TableDataEntries"/>
              <w:jc w:val="left"/>
            </w:pPr>
            <w:r>
              <w:rPr>
                <w:szCs w:val="16"/>
              </w:rPr>
              <w:t>Zinc</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F47C8E" w14:textId="70A73057" w:rsidR="004E745B" w:rsidRPr="002B3292" w:rsidRDefault="004E745B" w:rsidP="004E745B">
            <w:pPr>
              <w:pStyle w:val="TableDataEntries"/>
            </w:pPr>
            <w:r>
              <w:rPr>
                <w:szCs w:val="16"/>
              </w:rPr>
              <w:t>30.52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5B591D" w14:textId="7F7E5077"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765506" w14:textId="1667AB6A"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A89675" w14:textId="68319AE6"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FA0C0B9" w14:textId="572C91E3" w:rsidR="004E745B" w:rsidRPr="002B3292" w:rsidRDefault="004E745B" w:rsidP="004E745B">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0E5837" w14:textId="771E2C84" w:rsidR="004E745B" w:rsidRPr="002B3292" w:rsidRDefault="004E745B" w:rsidP="004E745B">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5B1C1B" w14:textId="72400213" w:rsidR="004E745B" w:rsidRPr="002B3292" w:rsidRDefault="004E745B" w:rsidP="004E745B">
            <w:pPr>
              <w:pStyle w:val="TableDataEntries"/>
            </w:pPr>
            <w:r>
              <w:rPr>
                <w:szCs w:val="16"/>
              </w:rPr>
              <w:t>12.21</w:t>
            </w:r>
          </w:p>
        </w:tc>
      </w:tr>
      <w:tr w:rsidR="004E745B" w:rsidRPr="002B3292" w14:paraId="044FEE94"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CBD8F9" w14:textId="3CA1F1B1" w:rsidR="004E745B" w:rsidRPr="002B3292" w:rsidRDefault="004E745B" w:rsidP="004E745B">
            <w:pPr>
              <w:pStyle w:val="TableDataEntries"/>
              <w:jc w:val="left"/>
            </w:pPr>
            <w:r>
              <w:rPr>
                <w:szCs w:val="16"/>
              </w:rPr>
              <w:t>Uncoated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4FBBB3" w14:textId="4ADB626E" w:rsidR="004E745B" w:rsidRPr="002B3292" w:rsidRDefault="004E745B" w:rsidP="004E745B">
            <w:pPr>
              <w:pStyle w:val="TableDataEntries"/>
            </w:pPr>
            <w:r>
              <w:rPr>
                <w:szCs w:val="16"/>
              </w:rPr>
              <w:t>42.99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E08370" w14:textId="2A9B4231"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1F4F7C" w14:textId="3DA7DAB2"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38FBD2" w14:textId="52555070"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2194D7" w14:textId="2D9AA418" w:rsidR="004E745B" w:rsidRPr="002B3292" w:rsidRDefault="004E745B" w:rsidP="004E745B">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579EA6" w14:textId="33C34D70" w:rsidR="004E745B" w:rsidRPr="002B3292" w:rsidRDefault="004E745B" w:rsidP="004E745B">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6E1607" w14:textId="1EC30284" w:rsidR="004E745B" w:rsidRPr="002B3292" w:rsidRDefault="004E745B" w:rsidP="004E745B">
            <w:pPr>
              <w:pStyle w:val="TableDataEntries"/>
            </w:pPr>
            <w:r>
              <w:rPr>
                <w:szCs w:val="16"/>
              </w:rPr>
              <w:t>12.08</w:t>
            </w:r>
          </w:p>
        </w:tc>
      </w:tr>
      <w:tr w:rsidR="004E745B" w:rsidRPr="002B3292" w14:paraId="49956EDA"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8043C3" w14:textId="66FEC068" w:rsidR="004E745B" w:rsidRPr="002B3292" w:rsidRDefault="004E745B" w:rsidP="004E745B">
            <w:pPr>
              <w:pStyle w:val="TableDataEntries"/>
              <w:jc w:val="left"/>
            </w:pPr>
            <w:r>
              <w:rPr>
                <w:szCs w:val="16"/>
              </w:rPr>
              <w:t>Nickel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8B458D3" w14:textId="5FB4AD0D" w:rsidR="004E745B" w:rsidRPr="002B3292" w:rsidRDefault="004E745B" w:rsidP="004E745B">
            <w:pPr>
              <w:pStyle w:val="TableDataEntries"/>
            </w:pPr>
            <w:r>
              <w:rPr>
                <w:szCs w:val="16"/>
              </w:rPr>
              <w:t>27.69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C046FB" w14:textId="4072F38D"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6FEB18" w14:textId="43C1CEF9"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9ABE61" w14:textId="65D197AE"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864DBA" w14:textId="19A74727" w:rsidR="004E745B" w:rsidRPr="002B3292" w:rsidRDefault="004E745B" w:rsidP="004E745B">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60C525" w14:textId="4E908640" w:rsidR="004E745B" w:rsidRPr="002B3292" w:rsidRDefault="004E745B" w:rsidP="004E745B">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77D790" w14:textId="2483FA19" w:rsidR="004E745B" w:rsidRPr="002B3292" w:rsidRDefault="004E745B" w:rsidP="004E745B">
            <w:pPr>
              <w:pStyle w:val="TableDataEntries"/>
            </w:pPr>
            <w:r>
              <w:rPr>
                <w:szCs w:val="16"/>
              </w:rPr>
              <w:t>11.08</w:t>
            </w:r>
          </w:p>
        </w:tc>
      </w:tr>
      <w:tr w:rsidR="004E745B" w:rsidRPr="002B3292" w14:paraId="2C23F9CC"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CA7C3D" w14:textId="03A32354" w:rsidR="004E745B" w:rsidRPr="002B3292" w:rsidRDefault="004E745B" w:rsidP="004E745B">
            <w:pPr>
              <w:pStyle w:val="TableDataEntries"/>
              <w:jc w:val="left"/>
            </w:pPr>
            <w:r>
              <w:rPr>
                <w:szCs w:val="16"/>
              </w:rPr>
              <w:t>Perfumery &amp; cosmetics (excl soap)</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0CD7DF" w14:textId="1FC0C3F2" w:rsidR="004E745B" w:rsidRPr="002B3292" w:rsidRDefault="004E745B" w:rsidP="004E745B">
            <w:pPr>
              <w:pStyle w:val="TableDataEntries"/>
            </w:pPr>
            <w:r>
              <w:rPr>
                <w:szCs w:val="16"/>
              </w:rPr>
              <w:t>29.05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C26A30" w14:textId="7C415F99"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70AE06" w14:textId="01CB0A87"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D0D5F3" w14:textId="1C77A42B"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ACA6D6" w14:textId="54838EDD" w:rsidR="004E745B" w:rsidRPr="002B3292" w:rsidRDefault="004E745B" w:rsidP="004E745B">
            <w:pPr>
              <w:pStyle w:val="TableDataEntries"/>
            </w:pPr>
            <w:r>
              <w:rPr>
                <w:szCs w:val="16"/>
              </w:rPr>
              <w:t>6.60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895E98" w14:textId="3A8FD4FB" w:rsidR="004E745B" w:rsidRPr="002B3292" w:rsidRDefault="004E745B" w:rsidP="004E745B">
            <w:pPr>
              <w:pStyle w:val="TableDataEntries"/>
            </w:pPr>
            <w:r>
              <w:rPr>
                <w:szCs w:val="16"/>
              </w:rPr>
              <w:t>31.43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FEDAFD" w14:textId="4CF4EF97" w:rsidR="004E745B" w:rsidRPr="002B3292" w:rsidRDefault="004E745B" w:rsidP="004E745B">
            <w:pPr>
              <w:pStyle w:val="TableDataEntries"/>
            </w:pPr>
            <w:r>
              <w:rPr>
                <w:szCs w:val="16"/>
              </w:rPr>
              <w:t>9.13</w:t>
            </w:r>
          </w:p>
        </w:tc>
      </w:tr>
      <w:tr w:rsidR="004E745B" w:rsidRPr="002B3292" w14:paraId="40493541"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32D16F" w14:textId="4BE9A2D8" w:rsidR="004E745B" w:rsidRPr="002B3292" w:rsidRDefault="004E745B" w:rsidP="004E745B">
            <w:pPr>
              <w:pStyle w:val="TableDataEntries"/>
              <w:jc w:val="left"/>
            </w:pPr>
            <w:r>
              <w:rPr>
                <w:szCs w:val="16"/>
              </w:rPr>
              <w:t xml:space="preserve">Edible products &amp; preparations, </w:t>
            </w:r>
            <w:proofErr w:type="spellStart"/>
            <w:r>
              <w:rPr>
                <w:szCs w:val="16"/>
              </w:rPr>
              <w:t>nes</w:t>
            </w:r>
            <w:proofErr w:type="spellEnd"/>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9996B8" w14:textId="290ACDE7" w:rsidR="004E745B" w:rsidRPr="002B3292" w:rsidRDefault="004E745B" w:rsidP="004E745B">
            <w:pPr>
              <w:pStyle w:val="TableDataEntries"/>
            </w:pPr>
            <w:r>
              <w:rPr>
                <w:szCs w:val="16"/>
              </w:rPr>
              <w:t>47.06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37F361" w14:textId="2B25A853" w:rsidR="004E745B" w:rsidRPr="002B3292" w:rsidRDefault="004E745B" w:rsidP="004E745B">
            <w:pPr>
              <w:pStyle w:val="TableDataEntries"/>
            </w:pPr>
            <w:r>
              <w:rPr>
                <w:szCs w:val="16"/>
              </w:rPr>
              <w:t>4.99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807E3F" w14:textId="385B9FC2"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77FE98" w14:textId="37698B34"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6EE08A" w14:textId="21FF6B51" w:rsidR="004E745B" w:rsidRPr="002B3292" w:rsidRDefault="004E745B" w:rsidP="004E745B">
            <w:pPr>
              <w:pStyle w:val="TableDataEntries"/>
            </w:pPr>
            <w:r>
              <w:rPr>
                <w:szCs w:val="16"/>
              </w:rPr>
              <w:t>4.00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A8E760" w14:textId="4051793D" w:rsidR="004E745B" w:rsidRPr="002B3292" w:rsidRDefault="004E745B" w:rsidP="004E745B">
            <w:pPr>
              <w:pStyle w:val="TableDataEntries"/>
            </w:pPr>
            <w:r>
              <w:rPr>
                <w:szCs w:val="16"/>
              </w:rPr>
              <w:t>19.02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C10E2A" w14:textId="231C57E6" w:rsidR="004E745B" w:rsidRPr="002B3292" w:rsidRDefault="004E745B" w:rsidP="004E745B">
            <w:pPr>
              <w:pStyle w:val="TableDataEntries"/>
            </w:pPr>
            <w:r>
              <w:rPr>
                <w:szCs w:val="16"/>
              </w:rPr>
              <w:t>8.95</w:t>
            </w:r>
          </w:p>
        </w:tc>
      </w:tr>
      <w:tr w:rsidR="004E745B" w:rsidRPr="002B3292" w14:paraId="0DD1BACE"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8CC9D7" w14:textId="6407DBD1" w:rsidR="004E745B" w:rsidRPr="002B3292" w:rsidRDefault="004E745B" w:rsidP="004E745B">
            <w:pPr>
              <w:pStyle w:val="TableDataEntries"/>
              <w:jc w:val="left"/>
            </w:pPr>
            <w:r>
              <w:rPr>
                <w:szCs w:val="16"/>
              </w:rPr>
              <w:lastRenderedPageBreak/>
              <w:t>Aircraft, spacecraft &amp; parts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282508" w14:textId="44EA7D71" w:rsidR="004E745B" w:rsidRPr="002B3292" w:rsidRDefault="004E745B" w:rsidP="004E745B">
            <w:pPr>
              <w:pStyle w:val="TableDataEntries"/>
            </w:pPr>
            <w:r>
              <w:rPr>
                <w:szCs w:val="16"/>
              </w:rPr>
              <w:t>21.29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217B46" w14:textId="60D329F1"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82FE53" w14:textId="471D8645"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63A473" w14:textId="7FF4FAA8"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A891A4" w14:textId="7C0DF83B" w:rsidR="004E745B" w:rsidRPr="002B3292" w:rsidRDefault="004E745B" w:rsidP="004E745B">
            <w:pPr>
              <w:pStyle w:val="TableDataEntries"/>
            </w:pPr>
            <w:r>
              <w:rPr>
                <w:szCs w:val="16"/>
              </w:rPr>
              <w:t>8.60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E80D74" w14:textId="6E7898AF" w:rsidR="004E745B" w:rsidRPr="002B3292" w:rsidRDefault="004E745B" w:rsidP="004E745B">
            <w:pPr>
              <w:pStyle w:val="TableDataEntries"/>
            </w:pPr>
            <w:r>
              <w:rPr>
                <w:szCs w:val="16"/>
              </w:rPr>
              <w:t>40.94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5902EA" w14:textId="76606147" w:rsidR="004E745B" w:rsidRPr="002B3292" w:rsidRDefault="004E745B" w:rsidP="004E745B">
            <w:pPr>
              <w:pStyle w:val="TableDataEntries"/>
            </w:pPr>
            <w:r>
              <w:rPr>
                <w:szCs w:val="16"/>
              </w:rPr>
              <w:t>8.72</w:t>
            </w:r>
          </w:p>
        </w:tc>
      </w:tr>
      <w:tr w:rsidR="004E745B" w:rsidRPr="002B3292" w14:paraId="7B00B1ED"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F8249D" w14:textId="6BFF9712" w:rsidR="004E745B" w:rsidRPr="002B3292" w:rsidRDefault="004E745B" w:rsidP="004E745B">
            <w:pPr>
              <w:pStyle w:val="TableDataEntries"/>
              <w:jc w:val="left"/>
            </w:pPr>
            <w:r>
              <w:rPr>
                <w:szCs w:val="16"/>
              </w:rPr>
              <w:t>Jewellery</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A16237" w14:textId="68834599" w:rsidR="004E745B" w:rsidRPr="002B3292" w:rsidRDefault="004E745B" w:rsidP="004E745B">
            <w:pPr>
              <w:pStyle w:val="TableDataEntries"/>
            </w:pPr>
            <w:r>
              <w:rPr>
                <w:szCs w:val="16"/>
              </w:rPr>
              <w:t>23.06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41C740" w14:textId="3CE47F2C"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85B1F9" w14:textId="13F12E10"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09817D" w14:textId="38B6A35F"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B95EB1" w14:textId="735FADF6" w:rsidR="004E745B" w:rsidRPr="002B3292" w:rsidRDefault="004E745B" w:rsidP="004E745B">
            <w:pPr>
              <w:pStyle w:val="TableDataEntries"/>
            </w:pPr>
            <w:r>
              <w:rPr>
                <w:szCs w:val="16"/>
              </w:rPr>
              <w:t>7.50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47294AD" w14:textId="2BD5142B" w:rsidR="004E745B" w:rsidRPr="002B3292" w:rsidRDefault="004E745B" w:rsidP="004E745B">
            <w:pPr>
              <w:pStyle w:val="TableDataEntries"/>
            </w:pPr>
            <w:r>
              <w:rPr>
                <w:szCs w:val="16"/>
              </w:rPr>
              <w:t>35.71</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BE8BA8" w14:textId="727928E0" w:rsidR="004E745B" w:rsidRPr="002B3292" w:rsidRDefault="004E745B" w:rsidP="004E745B">
            <w:pPr>
              <w:pStyle w:val="TableDataEntries"/>
            </w:pPr>
            <w:r>
              <w:rPr>
                <w:szCs w:val="16"/>
              </w:rPr>
              <w:t>8.23</w:t>
            </w:r>
          </w:p>
        </w:tc>
      </w:tr>
      <w:tr w:rsidR="004E745B" w:rsidRPr="002B3292" w14:paraId="25E47C66"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B6C1B7" w14:textId="0E958774" w:rsidR="004E745B" w:rsidRPr="002B3292" w:rsidRDefault="004E745B" w:rsidP="004E745B">
            <w:pPr>
              <w:pStyle w:val="TableDataEntries"/>
              <w:jc w:val="left"/>
            </w:pPr>
            <w:r>
              <w:rPr>
                <w:szCs w:val="16"/>
              </w:rPr>
              <w:t>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32639E" w14:textId="7BFD4DAE" w:rsidR="004E745B" w:rsidRPr="002B3292" w:rsidRDefault="004E745B" w:rsidP="004E745B">
            <w:pPr>
              <w:pStyle w:val="TableDataEntries"/>
            </w:pPr>
            <w:r>
              <w:rPr>
                <w:szCs w:val="16"/>
              </w:rPr>
              <w:t>25.23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2491F1" w14:textId="1495E7C7"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FFB9D1" w14:textId="77A0A6D9"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887D17" w14:textId="1C1A480F"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33A010" w14:textId="5962D01A" w:rsidR="004E745B" w:rsidRPr="002B3292" w:rsidRDefault="004E745B" w:rsidP="004E745B">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90754E" w14:textId="40923F56" w:rsidR="004E745B" w:rsidRPr="002B3292" w:rsidRDefault="004E745B" w:rsidP="004E745B">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F115F6" w14:textId="70D9C24A" w:rsidR="004E745B" w:rsidRPr="002B3292" w:rsidRDefault="004E745B" w:rsidP="004E745B">
            <w:pPr>
              <w:pStyle w:val="TableDataEntries"/>
            </w:pPr>
            <w:r>
              <w:rPr>
                <w:szCs w:val="16"/>
              </w:rPr>
              <w:t>7.09</w:t>
            </w:r>
          </w:p>
        </w:tc>
      </w:tr>
      <w:tr w:rsidR="004E745B" w:rsidRPr="002B3292" w14:paraId="5A7073C6" w14:textId="77777777" w:rsidTr="00CA61A1">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851C9C" w14:textId="241D22C7" w:rsidR="004E745B" w:rsidRPr="002B3292" w:rsidRDefault="004E745B" w:rsidP="004E745B">
            <w:pPr>
              <w:pStyle w:val="TableDataEntries"/>
              <w:jc w:val="left"/>
            </w:pPr>
            <w:r>
              <w:rPr>
                <w:szCs w:val="16"/>
              </w:rPr>
              <w:t>Wool &amp; other animal hair (incl tops)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A7786C" w14:textId="06D83D46" w:rsidR="004E745B" w:rsidRPr="002B3292" w:rsidRDefault="004E745B" w:rsidP="004E745B">
            <w:pPr>
              <w:pStyle w:val="TableDataEntries"/>
            </w:pPr>
            <w:r>
              <w:rPr>
                <w:szCs w:val="16"/>
              </w:rPr>
              <w:t>10.45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C3825A" w14:textId="6B1FAFDD" w:rsidR="004E745B" w:rsidRPr="002B3292" w:rsidRDefault="004E745B" w:rsidP="004E745B">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6C9C9A" w14:textId="64CF5580" w:rsidR="004E745B" w:rsidRPr="002B3292" w:rsidRDefault="004E745B" w:rsidP="004E745B">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C0749F" w14:textId="5C350C3B" w:rsidR="004E745B" w:rsidRPr="002B3292" w:rsidRDefault="004E745B" w:rsidP="004E745B">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46C5D6" w14:textId="2FB25D32" w:rsidR="004E745B" w:rsidRPr="002B3292" w:rsidRDefault="004E745B" w:rsidP="004E745B">
            <w:pPr>
              <w:pStyle w:val="TableDataEntries"/>
            </w:pPr>
            <w:r>
              <w:rPr>
                <w:szCs w:val="16"/>
              </w:rPr>
              <w:t>12.90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2086ED" w14:textId="7694AA50" w:rsidR="004E745B" w:rsidRPr="002B3292" w:rsidRDefault="004E745B" w:rsidP="004E745B">
            <w:pPr>
              <w:pStyle w:val="TableDataEntries"/>
            </w:pPr>
            <w:r>
              <w:rPr>
                <w:szCs w:val="16"/>
              </w:rPr>
              <w:t>61.43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E4DFF5" w14:textId="5C5E9527" w:rsidR="004E745B" w:rsidRPr="002B3292" w:rsidRDefault="004E745B" w:rsidP="004E745B">
            <w:pPr>
              <w:pStyle w:val="TableDataEntries"/>
            </w:pPr>
            <w:r>
              <w:rPr>
                <w:szCs w:val="16"/>
              </w:rPr>
              <w:t>6.42</w:t>
            </w:r>
          </w:p>
        </w:tc>
      </w:tr>
      <w:tr w:rsidR="004E745B" w:rsidRPr="004E745B" w14:paraId="42E4C75B" w14:textId="77777777" w:rsidTr="00CA61A1">
        <w:trPr>
          <w:trHeight w:val="252"/>
        </w:trPr>
        <w:tc>
          <w:tcPr>
            <w:tcW w:w="244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41BA698F" w14:textId="402DFB5E" w:rsidR="004E745B" w:rsidRPr="004E745B" w:rsidRDefault="004E745B" w:rsidP="004E745B">
            <w:pPr>
              <w:pStyle w:val="TableDataEntries"/>
              <w:jc w:val="left"/>
              <w:rPr>
                <w:rFonts w:ascii="Franklin Gothic Demi" w:hAnsi="Franklin Gothic Demi"/>
              </w:rPr>
            </w:pPr>
            <w:r w:rsidRPr="004E745B">
              <w:rPr>
                <w:rFonts w:ascii="Franklin Gothic Demi" w:hAnsi="Franklin Gothic Demi"/>
                <w:szCs w:val="16"/>
              </w:rPr>
              <w:t>Total</w:t>
            </w:r>
          </w:p>
        </w:tc>
        <w:tc>
          <w:tcPr>
            <w:tcW w:w="78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7705BDB" w14:textId="0F4EBC8B" w:rsidR="004E745B" w:rsidRPr="004E745B" w:rsidRDefault="004E745B" w:rsidP="004E745B">
            <w:pPr>
              <w:pStyle w:val="TableDataEntries"/>
              <w:rPr>
                <w:rFonts w:ascii="Franklin Gothic Demi" w:hAnsi="Franklin Gothic Demi"/>
              </w:rPr>
            </w:pPr>
            <w:r w:rsidRPr="004E745B">
              <w:rPr>
                <w:rFonts w:ascii="Franklin Gothic Demi" w:hAnsi="Franklin Gothic Demi"/>
                <w:szCs w:val="16"/>
              </w:rPr>
              <w:t>2,954.14</w:t>
            </w:r>
          </w:p>
        </w:tc>
        <w:tc>
          <w:tcPr>
            <w:tcW w:w="78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1C80B049" w14:textId="143B2E76" w:rsidR="004E745B" w:rsidRPr="004E745B" w:rsidRDefault="00CA61A1" w:rsidP="004E745B">
            <w:pPr>
              <w:pStyle w:val="TableDataEntries"/>
              <w:rPr>
                <w:rFonts w:ascii="Franklin Gothic Demi" w:hAnsi="Franklin Gothic Demi"/>
              </w:rPr>
            </w:pPr>
            <w:r>
              <w:rPr>
                <w:rFonts w:ascii="Franklin Gothic Demi" w:hAnsi="Franklin Gothic Demi"/>
              </w:rPr>
              <w:t>-</w:t>
            </w:r>
          </w:p>
        </w:tc>
        <w:tc>
          <w:tcPr>
            <w:tcW w:w="78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0FF79E30" w14:textId="1DBB1D30" w:rsidR="004E745B" w:rsidRPr="004E745B" w:rsidRDefault="00CA61A1" w:rsidP="004E745B">
            <w:pPr>
              <w:pStyle w:val="TableDataEntries"/>
              <w:rPr>
                <w:rFonts w:ascii="Franklin Gothic Demi" w:hAnsi="Franklin Gothic Demi"/>
              </w:rPr>
            </w:pPr>
            <w:r>
              <w:rPr>
                <w:rFonts w:ascii="Franklin Gothic Demi" w:hAnsi="Franklin Gothic Demi"/>
              </w:rPr>
              <w:t>-</w:t>
            </w: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97C5DB9" w14:textId="7F0FE70D" w:rsidR="004E745B" w:rsidRPr="004E745B" w:rsidRDefault="00CA61A1" w:rsidP="004E745B">
            <w:pPr>
              <w:pStyle w:val="TableDataEntries"/>
              <w:rPr>
                <w:rFonts w:ascii="Franklin Gothic Demi" w:hAnsi="Franklin Gothic Demi"/>
              </w:rPr>
            </w:pPr>
            <w:r>
              <w:rPr>
                <w:rFonts w:ascii="Franklin Gothic Demi" w:hAnsi="Franklin Gothic Demi"/>
              </w:rPr>
              <w:t>-</w:t>
            </w:r>
          </w:p>
        </w:tc>
        <w:tc>
          <w:tcPr>
            <w:tcW w:w="88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3244439" w14:textId="73B03715" w:rsidR="004E745B" w:rsidRPr="004E745B" w:rsidRDefault="00CA61A1" w:rsidP="004E745B">
            <w:pPr>
              <w:pStyle w:val="TableDataEntries"/>
              <w:rPr>
                <w:rFonts w:ascii="Franklin Gothic Demi" w:hAnsi="Franklin Gothic Demi"/>
              </w:rPr>
            </w:pPr>
            <w:r>
              <w:rPr>
                <w:rFonts w:ascii="Franklin Gothic Demi" w:hAnsi="Franklin Gothic Demi"/>
              </w:rPr>
              <w:t>-</w:t>
            </w: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4159F328" w14:textId="75BD3870" w:rsidR="004E745B" w:rsidRPr="004E745B" w:rsidRDefault="00CA61A1" w:rsidP="004E745B">
            <w:pPr>
              <w:pStyle w:val="TableDataEntries"/>
              <w:rPr>
                <w:rFonts w:ascii="Franklin Gothic Demi" w:hAnsi="Franklin Gothic Demi"/>
              </w:rPr>
            </w:pPr>
            <w:r>
              <w:rPr>
                <w:rFonts w:ascii="Franklin Gothic Demi" w:hAnsi="Franklin Gothic Demi"/>
              </w:rPr>
              <w:t>-</w:t>
            </w: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32D22511" w14:textId="58DFB673" w:rsidR="004E745B" w:rsidRPr="004E745B" w:rsidRDefault="004E745B" w:rsidP="004E745B">
            <w:pPr>
              <w:pStyle w:val="TableDataEntries"/>
              <w:rPr>
                <w:rFonts w:ascii="Franklin Gothic Demi" w:hAnsi="Franklin Gothic Demi"/>
              </w:rPr>
            </w:pPr>
            <w:r w:rsidRPr="004E745B">
              <w:rPr>
                <w:rFonts w:ascii="Franklin Gothic Demi" w:hAnsi="Franklin Gothic Demi"/>
                <w:szCs w:val="16"/>
              </w:rPr>
              <w:t>568.11</w:t>
            </w:r>
          </w:p>
        </w:tc>
      </w:tr>
    </w:tbl>
    <w:p w14:paraId="1FCF1DBE" w14:textId="64666E71" w:rsidR="002B3292" w:rsidRPr="00E4232C" w:rsidRDefault="002B3292" w:rsidP="00BE6147">
      <w:pPr>
        <w:pStyle w:val="Note"/>
      </w:pPr>
      <w:proofErr w:type="gramStart"/>
      <w:r w:rsidRPr="00E4232C">
        <w:rPr>
          <w:rStyle w:val="NoteLabel"/>
        </w:rPr>
        <w:t>a</w:t>
      </w:r>
      <w:proofErr w:type="gramEnd"/>
      <w:r>
        <w:t xml:space="preserve"> </w:t>
      </w:r>
      <w:r w:rsidR="00F907AC" w:rsidRPr="00F907AC">
        <w:t>Australia's average annual exports to the UAE over three years from 2021 to 2023</w:t>
      </w:r>
    </w:p>
    <w:p w14:paraId="2E81BE7F" w14:textId="6EC6C8D8" w:rsidR="002B3292" w:rsidRDefault="002B3292" w:rsidP="002B3292">
      <w:pPr>
        <w:pStyle w:val="Source"/>
        <w:rPr>
          <w:lang w:bidi="fa-IR"/>
        </w:rPr>
      </w:pPr>
      <w:r w:rsidRPr="002B3292">
        <w:rPr>
          <w:i/>
          <w:lang w:bidi="fa-IR"/>
        </w:rPr>
        <w:t>Source:</w:t>
      </w:r>
      <w:r>
        <w:rPr>
          <w:lang w:bidi="fa-IR"/>
        </w:rPr>
        <w:t xml:space="preserve"> </w:t>
      </w:r>
      <w:r w:rsidR="00F907AC">
        <w:rPr>
          <w:lang w:bidi="fa-IR"/>
        </w:rPr>
        <w:t>CIE estimates</w:t>
      </w:r>
    </w:p>
    <w:p w14:paraId="04E30106" w14:textId="4D4489AE" w:rsidR="002B3292" w:rsidRPr="000C2C3F" w:rsidRDefault="00BF5249" w:rsidP="00AD1001">
      <w:pPr>
        <w:pStyle w:val="Heading2"/>
        <w:rPr>
          <w:lang w:bidi="fa-IR"/>
        </w:rPr>
      </w:pPr>
      <w:r>
        <w:rPr>
          <w:lang w:bidi="fa-IR"/>
        </w:rPr>
        <w:t>Singa</w:t>
      </w:r>
      <w:r w:rsidR="001B02F0">
        <w:rPr>
          <w:lang w:bidi="fa-IR"/>
        </w:rPr>
        <w:t>pore-style FTA</w:t>
      </w:r>
    </w:p>
    <w:p w14:paraId="7FB24642" w14:textId="65713834" w:rsidR="00294565" w:rsidRDefault="001B02F0" w:rsidP="00294565">
      <w:pPr>
        <w:pStyle w:val="BodyText"/>
        <w:rPr>
          <w:lang w:bidi="fa-IR"/>
        </w:rPr>
      </w:pPr>
      <w:r>
        <w:rPr>
          <w:lang w:bidi="fa-IR"/>
        </w:rPr>
        <w:t>This is an updated table to original table B.1</w:t>
      </w:r>
      <w:r w:rsidR="00C22839">
        <w:rPr>
          <w:lang w:bidi="fa-IR"/>
        </w:rPr>
        <w:t>, which estimates the top 20 growing export sectors (at SITC 3-digit) under the Singapore FTA</w:t>
      </w:r>
      <w:r>
        <w:rPr>
          <w:lang w:bidi="fa-IR"/>
        </w:rPr>
        <w:t>.</w:t>
      </w:r>
    </w:p>
    <w:p w14:paraId="27A068AD" w14:textId="15F469DA" w:rsidR="00BF5249" w:rsidRDefault="00BF5249" w:rsidP="00BF5249">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w:instrText>
      </w:r>
      <w:r w:rsidRPr="00695C93">
        <w:fldChar w:fldCharType="separate"/>
      </w:r>
      <w:r w:rsidR="00586CBD">
        <w:rPr>
          <w:noProof/>
        </w:rPr>
        <w:instrText>A</w:instrText>
      </w:r>
      <w:r w:rsidR="00586CBD"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586CBD" w:rsidRPr="00695C93">
        <w:rPr>
          <w:noProof/>
        </w:rPr>
        <w:instrText>6</w:instrText>
      </w:r>
      <w:r w:rsidRPr="00695C93">
        <w:fldChar w:fldCharType="end"/>
      </w:r>
      <w:r w:rsidRPr="00695C93">
        <w:instrText xml:space="preserve"> </w:instrText>
      </w:r>
      <w:r w:rsidRPr="00695C93">
        <w:fldChar w:fldCharType="separate"/>
      </w:r>
      <w:r w:rsidR="00586CBD">
        <w:rPr>
          <w:noProof/>
        </w:rPr>
        <w:instrText>2</w:instrText>
      </w:r>
      <w:r w:rsidRPr="00695C93">
        <w:fldChar w:fldCharType="end"/>
      </w:r>
      <w:r w:rsidRPr="00695C93">
        <w:instrText xml:space="preserve">" "" </w:instrText>
      </w:r>
      <w:r w:rsidRPr="00695C93">
        <w:fldChar w:fldCharType="separate"/>
      </w:r>
      <w:bookmarkStart w:id="39" w:name="_Toc175649967"/>
      <w:r w:rsidR="00586CBD">
        <w:rPr>
          <w:noProof/>
        </w:rPr>
        <w:t>A</w:t>
      </w:r>
      <w:r w:rsidR="00586CBD" w:rsidRPr="00695C93">
        <w:rPr>
          <w:noProof/>
        </w:rPr>
        <w:t>.</w:t>
      </w:r>
      <w:r w:rsidR="00586CBD">
        <w:rPr>
          <w:noProof/>
        </w:rPr>
        <w:t>2</w:t>
      </w:r>
      <w:r w:rsidRPr="00695C93">
        <w:fldChar w:fldCharType="end"/>
      </w:r>
      <w:r w:rsidRPr="00695C93">
        <w:tab/>
      </w:r>
      <w:r>
        <w:t xml:space="preserve">Top 20 growing export sectors (SITC 3-digit) under </w:t>
      </w:r>
      <w:r w:rsidR="0019742C">
        <w:t>the Singapore FTA</w:t>
      </w:r>
      <w:bookmarkEnd w:id="39"/>
    </w:p>
    <w:tbl>
      <w:tblPr>
        <w:tblW w:w="8045" w:type="dxa"/>
        <w:tblLook w:val="04E0" w:firstRow="1" w:lastRow="1" w:firstColumn="1" w:lastColumn="0" w:noHBand="0" w:noVBand="1"/>
      </w:tblPr>
      <w:tblGrid>
        <w:gridCol w:w="2446"/>
        <w:gridCol w:w="789"/>
        <w:gridCol w:w="784"/>
        <w:gridCol w:w="784"/>
        <w:gridCol w:w="785"/>
        <w:gridCol w:w="887"/>
        <w:gridCol w:w="785"/>
        <w:gridCol w:w="785"/>
      </w:tblGrid>
      <w:tr w:rsidR="003E280B" w:rsidRPr="002B3292" w14:paraId="0EFAD588" w14:textId="77777777" w:rsidTr="00B70E33">
        <w:trPr>
          <w:trHeight w:val="756"/>
          <w:tblHeader/>
        </w:trPr>
        <w:tc>
          <w:tcPr>
            <w:tcW w:w="2446" w:type="dxa"/>
            <w:shd w:val="clear" w:color="auto" w:fill="6F6652"/>
            <w:noWrap/>
            <w:tcMar>
              <w:left w:w="57" w:type="dxa"/>
              <w:right w:w="57" w:type="dxa"/>
            </w:tcMar>
            <w:hideMark/>
          </w:tcPr>
          <w:p w14:paraId="4FDC7D74" w14:textId="364980D0" w:rsidR="003E280B" w:rsidRPr="002B3292" w:rsidRDefault="003E280B" w:rsidP="003E280B">
            <w:pPr>
              <w:pStyle w:val="TableDataColumnHeading"/>
              <w:jc w:val="left"/>
            </w:pPr>
            <w:r>
              <w:t>Export</w:t>
            </w:r>
          </w:p>
        </w:tc>
        <w:tc>
          <w:tcPr>
            <w:tcW w:w="789" w:type="dxa"/>
            <w:shd w:val="clear" w:color="auto" w:fill="6F6652"/>
            <w:tcMar>
              <w:left w:w="57" w:type="dxa"/>
              <w:right w:w="57" w:type="dxa"/>
            </w:tcMar>
            <w:vAlign w:val="center"/>
            <w:hideMark/>
          </w:tcPr>
          <w:p w14:paraId="58C5A55A" w14:textId="628CBA70" w:rsidR="003E280B" w:rsidRPr="002B3292" w:rsidRDefault="003E280B" w:rsidP="003E280B">
            <w:pPr>
              <w:pStyle w:val="TableDataColumnHeading"/>
              <w:rPr>
                <w:szCs w:val="16"/>
              </w:rPr>
            </w:pPr>
            <w:r w:rsidRPr="002B3292">
              <w:rPr>
                <w:szCs w:val="16"/>
              </w:rPr>
              <w:t>Base export value</w:t>
            </w:r>
            <w:r w:rsidRPr="00E4232C">
              <w:rPr>
                <w:rStyle w:val="NoteLabel"/>
              </w:rPr>
              <w:t xml:space="preserve"> </w:t>
            </w:r>
            <w:r w:rsidRPr="00074B9B">
              <w:rPr>
                <w:rStyle w:val="NoteLabel"/>
                <w:color w:val="FFFFFF" w:themeColor="background1"/>
              </w:rPr>
              <w:t>a</w:t>
            </w:r>
            <w:r>
              <w:rPr>
                <w:rStyle w:val="NoteLabel"/>
                <w:color w:val="FFFFFF" w:themeColor="background1"/>
              </w:rPr>
              <w:br/>
              <w:t>$m</w:t>
            </w:r>
          </w:p>
        </w:tc>
        <w:tc>
          <w:tcPr>
            <w:tcW w:w="784" w:type="dxa"/>
            <w:shd w:val="clear" w:color="auto" w:fill="6F6652"/>
            <w:tcMar>
              <w:left w:w="57" w:type="dxa"/>
              <w:right w:w="57" w:type="dxa"/>
            </w:tcMar>
            <w:vAlign w:val="center"/>
            <w:hideMark/>
          </w:tcPr>
          <w:p w14:paraId="31656236" w14:textId="69A68F59" w:rsidR="003E280B" w:rsidRPr="002B3292" w:rsidRDefault="003E280B" w:rsidP="003E280B">
            <w:pPr>
              <w:pStyle w:val="TableDataColumnHeading"/>
              <w:rPr>
                <w:szCs w:val="16"/>
              </w:rPr>
            </w:pPr>
            <w:r w:rsidRPr="002B3292">
              <w:rPr>
                <w:szCs w:val="16"/>
              </w:rPr>
              <w:t>Base rate</w:t>
            </w:r>
            <w:r>
              <w:rPr>
                <w:szCs w:val="16"/>
              </w:rPr>
              <w:br/>
              <w:t>%</w:t>
            </w:r>
          </w:p>
        </w:tc>
        <w:tc>
          <w:tcPr>
            <w:tcW w:w="784" w:type="dxa"/>
            <w:shd w:val="clear" w:color="auto" w:fill="6F6652"/>
            <w:tcMar>
              <w:left w:w="57" w:type="dxa"/>
              <w:right w:w="57" w:type="dxa"/>
            </w:tcMar>
            <w:vAlign w:val="center"/>
            <w:hideMark/>
          </w:tcPr>
          <w:p w14:paraId="19757667" w14:textId="74A28E8C" w:rsidR="003E280B" w:rsidRPr="002B3292" w:rsidRDefault="003E280B" w:rsidP="003E280B">
            <w:pPr>
              <w:pStyle w:val="TableDataColumnHeading"/>
              <w:rPr>
                <w:szCs w:val="16"/>
              </w:rPr>
            </w:pPr>
            <w:r w:rsidRPr="002B3292">
              <w:rPr>
                <w:szCs w:val="16"/>
              </w:rPr>
              <w:t>FTA offer</w:t>
            </w:r>
            <w:r>
              <w:rPr>
                <w:szCs w:val="16"/>
              </w:rPr>
              <w:br/>
              <w:t>%</w:t>
            </w:r>
          </w:p>
        </w:tc>
        <w:tc>
          <w:tcPr>
            <w:tcW w:w="785" w:type="dxa"/>
            <w:shd w:val="clear" w:color="auto" w:fill="6F6652"/>
            <w:tcMar>
              <w:left w:w="57" w:type="dxa"/>
              <w:right w:w="57" w:type="dxa"/>
            </w:tcMar>
            <w:vAlign w:val="center"/>
            <w:hideMark/>
          </w:tcPr>
          <w:p w14:paraId="4A4C1D84" w14:textId="09D627ED" w:rsidR="003E280B" w:rsidRPr="002B3292" w:rsidRDefault="003E280B" w:rsidP="003E280B">
            <w:pPr>
              <w:pStyle w:val="TableDataColumnHeading"/>
              <w:rPr>
                <w:szCs w:val="16"/>
              </w:rPr>
            </w:pPr>
            <w:r w:rsidRPr="002B3292">
              <w:rPr>
                <w:szCs w:val="16"/>
              </w:rPr>
              <w:t>Implied price change</w:t>
            </w:r>
            <w:r>
              <w:rPr>
                <w:szCs w:val="16"/>
              </w:rPr>
              <w:br/>
              <w:t>%</w:t>
            </w:r>
          </w:p>
        </w:tc>
        <w:tc>
          <w:tcPr>
            <w:tcW w:w="887" w:type="dxa"/>
            <w:shd w:val="clear" w:color="auto" w:fill="6F6652"/>
            <w:tcMar>
              <w:left w:w="57" w:type="dxa"/>
              <w:right w:w="57" w:type="dxa"/>
            </w:tcMar>
            <w:vAlign w:val="center"/>
            <w:hideMark/>
          </w:tcPr>
          <w:p w14:paraId="65153175" w14:textId="1089D589" w:rsidR="003E280B" w:rsidRPr="002B3292" w:rsidRDefault="003E280B" w:rsidP="003E280B">
            <w:pPr>
              <w:pStyle w:val="TableDataColumnHeading"/>
              <w:rPr>
                <w:szCs w:val="16"/>
              </w:rPr>
            </w:pPr>
            <w:r w:rsidRPr="002B3292">
              <w:rPr>
                <w:szCs w:val="16"/>
              </w:rPr>
              <w:t>Elasticity</w:t>
            </w:r>
          </w:p>
        </w:tc>
        <w:tc>
          <w:tcPr>
            <w:tcW w:w="785" w:type="dxa"/>
            <w:shd w:val="clear" w:color="auto" w:fill="6F6652"/>
            <w:tcMar>
              <w:left w:w="57" w:type="dxa"/>
              <w:right w:w="57" w:type="dxa"/>
            </w:tcMar>
            <w:vAlign w:val="center"/>
            <w:hideMark/>
          </w:tcPr>
          <w:p w14:paraId="39D6340D" w14:textId="0E91EC7E" w:rsidR="003E280B" w:rsidRPr="002B3292" w:rsidRDefault="003E280B" w:rsidP="003E280B">
            <w:pPr>
              <w:pStyle w:val="TableDataColumnHeading"/>
              <w:jc w:val="center"/>
              <w:rPr>
                <w:szCs w:val="16"/>
              </w:rPr>
            </w:pPr>
            <w:r w:rsidRPr="002B3292">
              <w:rPr>
                <w:szCs w:val="16"/>
              </w:rPr>
              <w:t>Export growth</w:t>
            </w:r>
            <w:r>
              <w:rPr>
                <w:szCs w:val="16"/>
              </w:rPr>
              <w:br/>
              <w:t>%</w:t>
            </w:r>
          </w:p>
        </w:tc>
        <w:tc>
          <w:tcPr>
            <w:tcW w:w="785" w:type="dxa"/>
            <w:shd w:val="clear" w:color="auto" w:fill="6F6652"/>
            <w:vAlign w:val="center"/>
          </w:tcPr>
          <w:p w14:paraId="791753E8" w14:textId="0F2A5B98" w:rsidR="003E280B" w:rsidRPr="002B3292" w:rsidRDefault="003E280B" w:rsidP="003E280B">
            <w:pPr>
              <w:pStyle w:val="TableDataColumnHeading"/>
              <w:jc w:val="center"/>
              <w:rPr>
                <w:szCs w:val="16"/>
              </w:rPr>
            </w:pPr>
            <w:r w:rsidRPr="002B3292">
              <w:rPr>
                <w:szCs w:val="16"/>
              </w:rPr>
              <w:t>Export growth</w:t>
            </w:r>
            <w:r>
              <w:rPr>
                <w:szCs w:val="16"/>
              </w:rPr>
              <w:br/>
              <w:t>$m</w:t>
            </w:r>
          </w:p>
        </w:tc>
      </w:tr>
      <w:tr w:rsidR="00136678" w:rsidRPr="002B3292" w14:paraId="111B1732"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A74EDA" w14:textId="001BCEF4" w:rsidR="00136678" w:rsidRPr="002B3292" w:rsidRDefault="00136678" w:rsidP="00136678">
            <w:pPr>
              <w:pStyle w:val="TableDataEntries"/>
              <w:jc w:val="left"/>
            </w:pPr>
            <w:r>
              <w:rPr>
                <w:szCs w:val="16"/>
              </w:rPr>
              <w:t>Oil-seeds &amp; oleaginous fruits, soft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88B07A" w14:textId="183C6221" w:rsidR="00136678" w:rsidRPr="002B3292" w:rsidRDefault="00136678" w:rsidP="00136678">
            <w:pPr>
              <w:pStyle w:val="TableDataEntries"/>
            </w:pPr>
            <w:r>
              <w:rPr>
                <w:szCs w:val="16"/>
              </w:rPr>
              <w:t>625.51</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E70365" w14:textId="4C15A3E1"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7A3A0B" w14:textId="3A3D8C8A"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1197AE" w14:textId="0D13B069"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F4C653" w14:textId="4C3552F7" w:rsidR="00136678" w:rsidRPr="002B3292" w:rsidRDefault="00136678" w:rsidP="00136678">
            <w:pPr>
              <w:pStyle w:val="TableDataEntries"/>
            </w:pPr>
            <w:r>
              <w:rPr>
                <w:szCs w:val="16"/>
              </w:rPr>
              <w:t>4.90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694F5E" w14:textId="455B535D" w:rsidR="00136678" w:rsidRPr="002B3292" w:rsidRDefault="00136678" w:rsidP="00136678">
            <w:pPr>
              <w:pStyle w:val="TableDataEntries"/>
            </w:pPr>
            <w:r>
              <w:rPr>
                <w:szCs w:val="16"/>
              </w:rPr>
              <w:t>23.33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16B498" w14:textId="3DF5A1AC" w:rsidR="00136678" w:rsidRPr="002B3292" w:rsidRDefault="00136678" w:rsidP="00136678">
            <w:pPr>
              <w:pStyle w:val="TableDataEntries"/>
            </w:pPr>
            <w:r>
              <w:rPr>
                <w:szCs w:val="16"/>
              </w:rPr>
              <w:t>145.95</w:t>
            </w:r>
          </w:p>
        </w:tc>
      </w:tr>
      <w:tr w:rsidR="00136678" w:rsidRPr="002B3292" w14:paraId="52FD0020"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5582D3" w14:textId="524337AF" w:rsidR="00136678" w:rsidRPr="002B3292" w:rsidRDefault="00136678" w:rsidP="00136678">
            <w:pPr>
              <w:pStyle w:val="TableDataEntries"/>
              <w:jc w:val="left"/>
            </w:pPr>
            <w:r>
              <w:rPr>
                <w:szCs w:val="16"/>
              </w:rPr>
              <w:t>Aluminium ores &amp; conc (incl alumina)</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88B232" w14:textId="0506043C" w:rsidR="00136678" w:rsidRPr="002B3292" w:rsidRDefault="00136678" w:rsidP="00136678">
            <w:pPr>
              <w:pStyle w:val="TableDataEntries"/>
            </w:pPr>
            <w:r>
              <w:rPr>
                <w:szCs w:val="16"/>
              </w:rPr>
              <w:t>915.08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28DDF6" w14:textId="0930BD00"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D8103E" w14:textId="09772AD6"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F3E740" w14:textId="60A12490"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FB5C17" w14:textId="470D0C4D" w:rsidR="00136678" w:rsidRPr="002B3292" w:rsidRDefault="00136678" w:rsidP="00136678">
            <w:pPr>
              <w:pStyle w:val="TableDataEntries"/>
            </w:pPr>
            <w:r>
              <w:rPr>
                <w:szCs w:val="16"/>
              </w:rPr>
              <w:t>1.80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08B006" w14:textId="73584343" w:rsidR="00136678" w:rsidRPr="002B3292" w:rsidRDefault="00136678" w:rsidP="00136678">
            <w:pPr>
              <w:pStyle w:val="TableDataEntries"/>
            </w:pPr>
            <w:r>
              <w:rPr>
                <w:szCs w:val="16"/>
              </w:rPr>
              <w:t>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55D5EF" w14:textId="1452A829" w:rsidR="00136678" w:rsidRPr="002B3292" w:rsidRDefault="00136678" w:rsidP="00136678">
            <w:pPr>
              <w:pStyle w:val="TableDataEntries"/>
            </w:pPr>
            <w:r>
              <w:rPr>
                <w:szCs w:val="16"/>
              </w:rPr>
              <w:t>78.44</w:t>
            </w:r>
          </w:p>
        </w:tc>
      </w:tr>
      <w:tr w:rsidR="00136678" w:rsidRPr="002B3292" w14:paraId="11941BB1"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FA9E58" w14:textId="11643D81" w:rsidR="00136678" w:rsidRPr="002B3292" w:rsidRDefault="00136678" w:rsidP="00136678">
            <w:pPr>
              <w:pStyle w:val="TableDataEntries"/>
              <w:jc w:val="left"/>
            </w:pPr>
            <w:r>
              <w:rPr>
                <w:szCs w:val="16"/>
              </w:rPr>
              <w:t>Crude petroleum</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99842F" w14:textId="636A3F9C" w:rsidR="00136678" w:rsidRPr="002B3292" w:rsidRDefault="00136678" w:rsidP="00136678">
            <w:pPr>
              <w:pStyle w:val="TableDataEntries"/>
            </w:pPr>
            <w:r>
              <w:rPr>
                <w:szCs w:val="16"/>
              </w:rPr>
              <w:t>119.20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7106B2" w14:textId="5C6027E2"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1AABCF" w14:textId="0A65E927"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3E198A" w14:textId="71926455"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96687FE" w14:textId="1F3C9253" w:rsidR="00136678" w:rsidRPr="002B3292" w:rsidRDefault="00136678" w:rsidP="00136678">
            <w:pPr>
              <w:pStyle w:val="TableDataEntries"/>
            </w:pPr>
            <w:r>
              <w:rPr>
                <w:szCs w:val="16"/>
              </w:rPr>
              <w:t>10.40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7BF257" w14:textId="5FD6315A" w:rsidR="00136678" w:rsidRPr="002B3292" w:rsidRDefault="00136678" w:rsidP="00136678">
            <w:pPr>
              <w:pStyle w:val="TableDataEntries"/>
            </w:pPr>
            <w:r>
              <w:rPr>
                <w:szCs w:val="16"/>
              </w:rPr>
              <w:t>49.52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0CCFFF" w14:textId="4CA7D240" w:rsidR="00136678" w:rsidRPr="002B3292" w:rsidRDefault="00136678" w:rsidP="00136678">
            <w:pPr>
              <w:pStyle w:val="TableDataEntries"/>
            </w:pPr>
            <w:r>
              <w:rPr>
                <w:szCs w:val="16"/>
              </w:rPr>
              <w:t>59.03</w:t>
            </w:r>
          </w:p>
        </w:tc>
      </w:tr>
      <w:tr w:rsidR="00136678" w:rsidRPr="002B3292" w14:paraId="0BC6A68B"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F715A9" w14:textId="0D9F9271" w:rsidR="00136678" w:rsidRPr="002B3292" w:rsidRDefault="00136678" w:rsidP="00136678">
            <w:pPr>
              <w:pStyle w:val="TableDataEntries"/>
              <w:jc w:val="left"/>
            </w:pPr>
            <w:r>
              <w:rPr>
                <w:szCs w:val="16"/>
              </w:rPr>
              <w:t>Vehicle parts &amp; accessories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06F5B9" w14:textId="498BCE25" w:rsidR="00136678" w:rsidRPr="002B3292" w:rsidRDefault="00136678" w:rsidP="00136678">
            <w:pPr>
              <w:pStyle w:val="TableDataEntries"/>
            </w:pPr>
            <w:r>
              <w:rPr>
                <w:szCs w:val="16"/>
              </w:rPr>
              <w:t>177.34</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0D8178" w14:textId="567EE9B8"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2C821A" w14:textId="6E56D7E9"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88116A" w14:textId="40FE9EC9"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10D929" w14:textId="3E639885" w:rsidR="00136678" w:rsidRPr="002B3292" w:rsidRDefault="00136678" w:rsidP="00136678">
            <w:pPr>
              <w:pStyle w:val="TableDataEntries"/>
            </w:pPr>
            <w:r>
              <w:rPr>
                <w:szCs w:val="16"/>
              </w:rPr>
              <w:t>5.60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67E8F1" w14:textId="3BA36EE9" w:rsidR="00136678" w:rsidRPr="002B3292" w:rsidRDefault="00136678" w:rsidP="00136678">
            <w:pPr>
              <w:pStyle w:val="TableDataEntries"/>
            </w:pPr>
            <w:r>
              <w:rPr>
                <w:szCs w:val="16"/>
              </w:rPr>
              <w:t>26.67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60205F" w14:textId="1E8C4A91" w:rsidR="00136678" w:rsidRPr="002B3292" w:rsidRDefault="00136678" w:rsidP="00136678">
            <w:pPr>
              <w:pStyle w:val="TableDataEntries"/>
            </w:pPr>
            <w:r>
              <w:rPr>
                <w:szCs w:val="16"/>
              </w:rPr>
              <w:t>47.29</w:t>
            </w:r>
          </w:p>
        </w:tc>
      </w:tr>
      <w:tr w:rsidR="00136678" w:rsidRPr="002B3292" w14:paraId="7F9F464E"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EEFE7A7" w14:textId="5C5C840A" w:rsidR="00136678" w:rsidRPr="002B3292" w:rsidRDefault="00136678" w:rsidP="00136678">
            <w:pPr>
              <w:pStyle w:val="TableDataEntries"/>
              <w:jc w:val="left"/>
            </w:pPr>
            <w:r>
              <w:rPr>
                <w:szCs w:val="16"/>
              </w:rPr>
              <w:t xml:space="preserve">Meat (excl beef), </w:t>
            </w:r>
            <w:proofErr w:type="spellStart"/>
            <w:r>
              <w:rPr>
                <w:szCs w:val="16"/>
              </w:rPr>
              <w:t>f.c.f</w:t>
            </w:r>
            <w:proofErr w:type="spellEnd"/>
            <w:r>
              <w:rPr>
                <w:szCs w:val="16"/>
              </w:rPr>
              <w: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96E49C" w14:textId="605D98B6" w:rsidR="00136678" w:rsidRPr="002B3292" w:rsidRDefault="00136678" w:rsidP="00136678">
            <w:pPr>
              <w:pStyle w:val="TableDataEntries"/>
            </w:pPr>
            <w:r>
              <w:rPr>
                <w:szCs w:val="16"/>
              </w:rPr>
              <w:t>243.38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CD0094" w14:textId="1AA28631" w:rsidR="00136678" w:rsidRPr="002B3292" w:rsidRDefault="00136678" w:rsidP="00136678">
            <w:pPr>
              <w:pStyle w:val="TableDataEntries"/>
            </w:pPr>
            <w:r>
              <w:rPr>
                <w:szCs w:val="16"/>
              </w:rPr>
              <w:t>1.40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9BE152" w14:textId="4E64E09E"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11FB911" w14:textId="0CA7E1ED" w:rsidR="00136678" w:rsidRPr="002B3292" w:rsidRDefault="00136678" w:rsidP="00136678">
            <w:pPr>
              <w:pStyle w:val="TableDataEntries"/>
            </w:pPr>
            <w:r>
              <w:rPr>
                <w:szCs w:val="16"/>
              </w:rPr>
              <w:t>-1.38</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0B9672" w14:textId="658C4840" w:rsidR="00136678" w:rsidRPr="002B3292" w:rsidRDefault="00136678" w:rsidP="00136678">
            <w:pPr>
              <w:pStyle w:val="TableDataEntries"/>
            </w:pPr>
            <w:r>
              <w:rPr>
                <w:szCs w:val="16"/>
              </w:rPr>
              <w:t>8.80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C976203" w14:textId="4F464B1E" w:rsidR="00136678" w:rsidRPr="002B3292" w:rsidRDefault="00136678" w:rsidP="00136678">
            <w:pPr>
              <w:pStyle w:val="TableDataEntries"/>
            </w:pPr>
            <w:r>
              <w:rPr>
                <w:szCs w:val="16"/>
              </w:rPr>
              <w:t>12.14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97FBAF" w14:textId="1B3E6909" w:rsidR="00136678" w:rsidRPr="002B3292" w:rsidRDefault="00136678" w:rsidP="00136678">
            <w:pPr>
              <w:pStyle w:val="TableDataEntries"/>
            </w:pPr>
            <w:r>
              <w:rPr>
                <w:szCs w:val="16"/>
              </w:rPr>
              <w:t>29.54</w:t>
            </w:r>
          </w:p>
        </w:tc>
      </w:tr>
      <w:tr w:rsidR="00136678" w:rsidRPr="002B3292" w14:paraId="31239514"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592775" w14:textId="53D35B15" w:rsidR="00136678" w:rsidRPr="002B3292" w:rsidRDefault="00136678" w:rsidP="00136678">
            <w:pPr>
              <w:pStyle w:val="TableDataEntries"/>
              <w:jc w:val="left"/>
            </w:pPr>
            <w:r>
              <w:rPr>
                <w:szCs w:val="16"/>
              </w:rPr>
              <w:t xml:space="preserve">Vegetables, </w:t>
            </w:r>
            <w:proofErr w:type="spellStart"/>
            <w:r>
              <w:rPr>
                <w:szCs w:val="16"/>
              </w:rPr>
              <w:t>f.c.f</w:t>
            </w:r>
            <w:proofErr w:type="spellEnd"/>
            <w:r>
              <w:rPr>
                <w:szCs w:val="16"/>
              </w:rPr>
              <w: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34B7691" w14:textId="12E3A0FF" w:rsidR="00136678" w:rsidRPr="002B3292" w:rsidRDefault="00136678" w:rsidP="00136678">
            <w:pPr>
              <w:pStyle w:val="TableDataEntries"/>
            </w:pPr>
            <w:r>
              <w:rPr>
                <w:szCs w:val="16"/>
              </w:rPr>
              <w:t>199.19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1061F5" w14:textId="5027298C" w:rsidR="00136678" w:rsidRPr="002B3292" w:rsidRDefault="00136678" w:rsidP="00136678">
            <w:pPr>
              <w:pStyle w:val="TableDataEntries"/>
            </w:pPr>
            <w:r>
              <w:rPr>
                <w:szCs w:val="16"/>
              </w:rPr>
              <w:t>4.02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8AC036" w14:textId="6C130C81"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FC80AE" w14:textId="216AA8DB" w:rsidR="00136678" w:rsidRPr="002B3292" w:rsidRDefault="00136678" w:rsidP="00136678">
            <w:pPr>
              <w:pStyle w:val="TableDataEntries"/>
            </w:pPr>
            <w:r>
              <w:rPr>
                <w:szCs w:val="16"/>
              </w:rPr>
              <w:t>-3.87</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E15B5F" w14:textId="11B36612" w:rsidR="00136678" w:rsidRPr="002B3292" w:rsidRDefault="00136678" w:rsidP="00136678">
            <w:pPr>
              <w:pStyle w:val="TableDataEntries"/>
            </w:pPr>
            <w:r>
              <w:rPr>
                <w:szCs w:val="16"/>
              </w:rPr>
              <w:t>3.70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7AFBEA" w14:textId="2BF2639E" w:rsidR="00136678" w:rsidRPr="002B3292" w:rsidRDefault="00136678" w:rsidP="00136678">
            <w:pPr>
              <w:pStyle w:val="TableDataEntries"/>
            </w:pPr>
            <w:r>
              <w:rPr>
                <w:szCs w:val="16"/>
              </w:rPr>
              <w:t>14.32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1F26E2" w14:textId="318181BA" w:rsidR="00136678" w:rsidRPr="002B3292" w:rsidRDefault="00136678" w:rsidP="00136678">
            <w:pPr>
              <w:pStyle w:val="TableDataEntries"/>
            </w:pPr>
            <w:r>
              <w:rPr>
                <w:szCs w:val="16"/>
              </w:rPr>
              <w:t>28.52</w:t>
            </w:r>
          </w:p>
        </w:tc>
      </w:tr>
      <w:tr w:rsidR="00136678" w:rsidRPr="002B3292" w14:paraId="6E882B62"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1AE619" w14:textId="3B328F62" w:rsidR="00136678" w:rsidRPr="002B3292" w:rsidRDefault="00136678" w:rsidP="00136678">
            <w:pPr>
              <w:pStyle w:val="TableDataEntries"/>
              <w:jc w:val="left"/>
            </w:pPr>
            <w:r>
              <w:rPr>
                <w:szCs w:val="16"/>
              </w:rPr>
              <w:t>Coal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FA3203" w14:textId="07050BE5" w:rsidR="00136678" w:rsidRPr="002B3292" w:rsidRDefault="00136678" w:rsidP="00136678">
            <w:pPr>
              <w:pStyle w:val="TableDataEntries"/>
            </w:pPr>
            <w:r>
              <w:rPr>
                <w:szCs w:val="16"/>
              </w:rPr>
              <w:t>91.62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5D6A44" w14:textId="663270F0"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C28FFE" w14:textId="4972292A"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D1ABC38" w14:textId="54CE7735"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B38BFC" w14:textId="5554B147" w:rsidR="00136678" w:rsidRPr="002B3292" w:rsidRDefault="00136678" w:rsidP="00136678">
            <w:pPr>
              <w:pStyle w:val="TableDataEntries"/>
            </w:pPr>
            <w:r>
              <w:rPr>
                <w:szCs w:val="16"/>
              </w:rPr>
              <w:t>6.10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40DFBA5" w14:textId="04DD553A" w:rsidR="00136678" w:rsidRPr="002B3292" w:rsidRDefault="00136678" w:rsidP="00136678">
            <w:pPr>
              <w:pStyle w:val="TableDataEntries"/>
            </w:pPr>
            <w:r>
              <w:rPr>
                <w:szCs w:val="16"/>
              </w:rPr>
              <w:t>29.05</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77BAC27" w14:textId="40E39914" w:rsidR="00136678" w:rsidRPr="002B3292" w:rsidRDefault="00136678" w:rsidP="00136678">
            <w:pPr>
              <w:pStyle w:val="TableDataEntries"/>
            </w:pPr>
            <w:r>
              <w:rPr>
                <w:szCs w:val="16"/>
              </w:rPr>
              <w:t>26.61</w:t>
            </w:r>
          </w:p>
        </w:tc>
      </w:tr>
      <w:tr w:rsidR="00136678" w:rsidRPr="002B3292" w14:paraId="1DA28E5E"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F538EC" w14:textId="6AF03C25" w:rsidR="00136678" w:rsidRPr="002B3292" w:rsidRDefault="00136678" w:rsidP="00136678">
            <w:pPr>
              <w:pStyle w:val="TableDataEntries"/>
              <w:jc w:val="left"/>
            </w:pPr>
            <w:r>
              <w:rPr>
                <w:szCs w:val="16"/>
              </w:rPr>
              <w:t>Arms &amp; ammunition</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95AC58" w14:textId="43C35C7D" w:rsidR="00136678" w:rsidRPr="002B3292" w:rsidRDefault="00136678" w:rsidP="00136678">
            <w:pPr>
              <w:pStyle w:val="TableDataEntries"/>
            </w:pPr>
            <w:r>
              <w:rPr>
                <w:szCs w:val="16"/>
              </w:rPr>
              <w:t>49.16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019A7C" w14:textId="382AEF5D"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908441" w14:textId="09E4630D"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2E792C" w14:textId="5C5F0915"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EB525E" w14:textId="3A9AB845" w:rsidR="00136678" w:rsidRPr="002B3292" w:rsidRDefault="00136678" w:rsidP="00136678">
            <w:pPr>
              <w:pStyle w:val="TableDataEntries"/>
            </w:pPr>
            <w:r>
              <w:rPr>
                <w:szCs w:val="16"/>
              </w:rPr>
              <w:t>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C3C1A1" w14:textId="68AFA238" w:rsidR="00136678" w:rsidRPr="002B3292" w:rsidRDefault="00136678" w:rsidP="00136678">
            <w:pPr>
              <w:pStyle w:val="TableDataEntries"/>
            </w:pPr>
            <w:r>
              <w:rPr>
                <w:szCs w:val="16"/>
              </w:rPr>
              <w:t>38.57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E82365" w14:textId="56905170" w:rsidR="00136678" w:rsidRPr="002B3292" w:rsidRDefault="00136678" w:rsidP="00136678">
            <w:pPr>
              <w:pStyle w:val="TableDataEntries"/>
            </w:pPr>
            <w:r>
              <w:rPr>
                <w:szCs w:val="16"/>
              </w:rPr>
              <w:t>18.96</w:t>
            </w:r>
          </w:p>
        </w:tc>
      </w:tr>
      <w:tr w:rsidR="00136678" w:rsidRPr="002B3292" w14:paraId="3F7797B0"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3C7A3A" w14:textId="50DBF3DF" w:rsidR="00136678" w:rsidRPr="002B3292" w:rsidRDefault="00136678" w:rsidP="00136678">
            <w:pPr>
              <w:pStyle w:val="TableDataEntries"/>
              <w:jc w:val="left"/>
            </w:pPr>
            <w:r>
              <w:rPr>
                <w:szCs w:val="16"/>
              </w:rPr>
              <w:t>Worn clothing &amp; rags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29C0E3" w14:textId="087A15D9" w:rsidR="00136678" w:rsidRPr="002B3292" w:rsidRDefault="00136678" w:rsidP="00136678">
            <w:pPr>
              <w:pStyle w:val="TableDataEntries"/>
            </w:pPr>
            <w:r>
              <w:rPr>
                <w:szCs w:val="16"/>
              </w:rPr>
              <w:t>53.05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D998AF" w14:textId="27876279"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C36017" w14:textId="27495C52"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4A4F90" w14:textId="515783AE"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4DB0ECC" w14:textId="77C1E1E4" w:rsidR="00136678" w:rsidRPr="002B3292" w:rsidRDefault="00136678" w:rsidP="00136678">
            <w:pPr>
              <w:pStyle w:val="TableDataEntries"/>
            </w:pPr>
            <w:r>
              <w:rPr>
                <w:szCs w:val="16"/>
              </w:rPr>
              <w:t>7.40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2D36687" w14:textId="00DE7B37" w:rsidR="00136678" w:rsidRPr="002B3292" w:rsidRDefault="00136678" w:rsidP="00136678">
            <w:pPr>
              <w:pStyle w:val="TableDataEntries"/>
            </w:pPr>
            <w:r>
              <w:rPr>
                <w:szCs w:val="16"/>
              </w:rPr>
              <w:t>35.24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110849" w14:textId="4114A4A7" w:rsidR="00136678" w:rsidRPr="002B3292" w:rsidRDefault="00136678" w:rsidP="00136678">
            <w:pPr>
              <w:pStyle w:val="TableDataEntries"/>
            </w:pPr>
            <w:r>
              <w:rPr>
                <w:szCs w:val="16"/>
              </w:rPr>
              <w:t>18.69</w:t>
            </w:r>
          </w:p>
        </w:tc>
      </w:tr>
      <w:tr w:rsidR="00136678" w:rsidRPr="002B3292" w14:paraId="6C2441BE"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030A21" w14:textId="495FF16A" w:rsidR="00136678" w:rsidRPr="002B3292" w:rsidRDefault="00136678" w:rsidP="00136678">
            <w:pPr>
              <w:pStyle w:val="TableDataEntries"/>
              <w:jc w:val="left"/>
            </w:pPr>
            <w:r>
              <w:rPr>
                <w:szCs w:val="16"/>
              </w:rPr>
              <w:t xml:space="preserve">Beef, </w:t>
            </w:r>
            <w:proofErr w:type="spellStart"/>
            <w:r>
              <w:rPr>
                <w:szCs w:val="16"/>
              </w:rPr>
              <w:t>f.c.f</w:t>
            </w:r>
            <w:proofErr w:type="spellEnd"/>
            <w:r>
              <w:rPr>
                <w:szCs w:val="16"/>
              </w:rPr>
              <w: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A88C54" w14:textId="7B1AD153" w:rsidR="00136678" w:rsidRPr="002B3292" w:rsidRDefault="00136678" w:rsidP="00136678">
            <w:pPr>
              <w:pStyle w:val="TableDataEntries"/>
            </w:pPr>
            <w:r>
              <w:rPr>
                <w:szCs w:val="16"/>
              </w:rPr>
              <w:t>169.63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1C1B0E" w14:textId="1D534959" w:rsidR="00136678" w:rsidRPr="002B3292" w:rsidRDefault="00136678" w:rsidP="00136678">
            <w:pPr>
              <w:pStyle w:val="TableDataEntries"/>
            </w:pPr>
            <w:r>
              <w:rPr>
                <w:szCs w:val="16"/>
              </w:rPr>
              <w:t>0.97</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46A5D3" w14:textId="4C12436E"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548343" w14:textId="03169C73" w:rsidR="00136678" w:rsidRPr="002B3292" w:rsidRDefault="00136678" w:rsidP="00136678">
            <w:pPr>
              <w:pStyle w:val="TableDataEntries"/>
            </w:pPr>
            <w:r>
              <w:rPr>
                <w:szCs w:val="16"/>
              </w:rPr>
              <w:t>-0.96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D3CAC08" w14:textId="67FB22AF" w:rsidR="00136678" w:rsidRPr="002B3292" w:rsidRDefault="00136678" w:rsidP="00136678">
            <w:pPr>
              <w:pStyle w:val="TableDataEntries"/>
            </w:pPr>
            <w:r>
              <w:rPr>
                <w:szCs w:val="16"/>
              </w:rPr>
              <w:t>7.70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A09122" w14:textId="30C9DD46" w:rsidR="00136678" w:rsidRPr="002B3292" w:rsidRDefault="00136678" w:rsidP="00136678">
            <w:pPr>
              <w:pStyle w:val="TableDataEntries"/>
            </w:pPr>
            <w:r>
              <w:rPr>
                <w:szCs w:val="16"/>
              </w:rPr>
              <w:t>7.38</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ECCA93" w14:textId="21D8B79D" w:rsidR="00136678" w:rsidRPr="002B3292" w:rsidRDefault="00136678" w:rsidP="00136678">
            <w:pPr>
              <w:pStyle w:val="TableDataEntries"/>
            </w:pPr>
            <w:r>
              <w:rPr>
                <w:szCs w:val="16"/>
              </w:rPr>
              <w:t>12.52</w:t>
            </w:r>
          </w:p>
        </w:tc>
      </w:tr>
      <w:tr w:rsidR="00136678" w:rsidRPr="002B3292" w14:paraId="5B26A40C"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FAF5C8" w14:textId="751F3DA0" w:rsidR="00136678" w:rsidRPr="002B3292" w:rsidRDefault="00136678" w:rsidP="00136678">
            <w:pPr>
              <w:pStyle w:val="TableDataEntries"/>
              <w:jc w:val="left"/>
            </w:pPr>
            <w:r>
              <w:rPr>
                <w:szCs w:val="16"/>
              </w:rPr>
              <w:t>Zinc</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7B3D8E4" w14:textId="7E4AF2A4" w:rsidR="00136678" w:rsidRPr="002B3292" w:rsidRDefault="00136678" w:rsidP="00136678">
            <w:pPr>
              <w:pStyle w:val="TableDataEntries"/>
            </w:pPr>
            <w:r>
              <w:rPr>
                <w:szCs w:val="16"/>
              </w:rPr>
              <w:t>30.52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94777F" w14:textId="14A9F010"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B926B8" w14:textId="6D6E8779"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0F23AD" w14:textId="52883393"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D8A4F2" w14:textId="0D936F1E" w:rsidR="00136678" w:rsidRPr="002B3292" w:rsidRDefault="00136678" w:rsidP="00136678">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3CD6EB" w14:textId="533BC5DC" w:rsidR="00136678" w:rsidRPr="002B3292" w:rsidRDefault="00136678" w:rsidP="00136678">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0DCAB6" w14:textId="41107806" w:rsidR="00136678" w:rsidRPr="002B3292" w:rsidRDefault="00136678" w:rsidP="00136678">
            <w:pPr>
              <w:pStyle w:val="TableDataEntries"/>
            </w:pPr>
            <w:r>
              <w:rPr>
                <w:szCs w:val="16"/>
              </w:rPr>
              <w:t>12.21</w:t>
            </w:r>
          </w:p>
        </w:tc>
      </w:tr>
      <w:tr w:rsidR="00136678" w:rsidRPr="002B3292" w14:paraId="09EAD965"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704AFB" w14:textId="40464729" w:rsidR="00136678" w:rsidRPr="002B3292" w:rsidRDefault="00136678" w:rsidP="00136678">
            <w:pPr>
              <w:pStyle w:val="TableDataEntries"/>
              <w:jc w:val="left"/>
            </w:pPr>
            <w:r>
              <w:rPr>
                <w:szCs w:val="16"/>
              </w:rPr>
              <w:t>Uncoated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F96B3C" w14:textId="15AC7F5A" w:rsidR="00136678" w:rsidRPr="002B3292" w:rsidRDefault="00136678" w:rsidP="00136678">
            <w:pPr>
              <w:pStyle w:val="TableDataEntries"/>
            </w:pPr>
            <w:r>
              <w:rPr>
                <w:szCs w:val="16"/>
              </w:rPr>
              <w:t>42.99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938D94" w14:textId="75CCD1F2"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AB23C3" w14:textId="6F881981"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879DC6" w14:textId="743311B6"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5BC75AA" w14:textId="12287E16" w:rsidR="00136678" w:rsidRPr="002B3292" w:rsidRDefault="00136678" w:rsidP="00136678">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FAF890" w14:textId="7C005714" w:rsidR="00136678" w:rsidRPr="002B3292" w:rsidRDefault="00136678" w:rsidP="00136678">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1E8542" w14:textId="520EC462" w:rsidR="00136678" w:rsidRPr="002B3292" w:rsidRDefault="00136678" w:rsidP="00136678">
            <w:pPr>
              <w:pStyle w:val="TableDataEntries"/>
            </w:pPr>
            <w:r>
              <w:rPr>
                <w:szCs w:val="16"/>
              </w:rPr>
              <w:t>12.08</w:t>
            </w:r>
          </w:p>
        </w:tc>
      </w:tr>
      <w:tr w:rsidR="00136678" w:rsidRPr="002B3292" w14:paraId="0D80D880"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A2B5CF" w14:textId="19B515C1" w:rsidR="00136678" w:rsidRPr="002B3292" w:rsidRDefault="00136678" w:rsidP="00136678">
            <w:pPr>
              <w:pStyle w:val="TableDataEntries"/>
              <w:jc w:val="left"/>
            </w:pPr>
            <w:r>
              <w:rPr>
                <w:szCs w:val="16"/>
              </w:rPr>
              <w:t>Nickel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258FEE" w14:textId="316B13F3" w:rsidR="00136678" w:rsidRPr="002B3292" w:rsidRDefault="00136678" w:rsidP="00136678">
            <w:pPr>
              <w:pStyle w:val="TableDataEntries"/>
            </w:pPr>
            <w:r>
              <w:rPr>
                <w:szCs w:val="16"/>
              </w:rPr>
              <w:t>27.69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0F6D1B" w14:textId="54220451"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D9A83C" w14:textId="5416A4B2"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917D05A" w14:textId="7253F4D7"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A0DC46" w14:textId="78190028" w:rsidR="00136678" w:rsidRPr="002B3292" w:rsidRDefault="00136678" w:rsidP="00136678">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2F1928" w14:textId="0064C681" w:rsidR="00136678" w:rsidRPr="002B3292" w:rsidRDefault="00136678" w:rsidP="00136678">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E5086C" w14:textId="24574F02" w:rsidR="00136678" w:rsidRPr="002B3292" w:rsidRDefault="00136678" w:rsidP="00136678">
            <w:pPr>
              <w:pStyle w:val="TableDataEntries"/>
            </w:pPr>
            <w:r>
              <w:rPr>
                <w:szCs w:val="16"/>
              </w:rPr>
              <w:t>11.08</w:t>
            </w:r>
          </w:p>
        </w:tc>
      </w:tr>
      <w:tr w:rsidR="00136678" w:rsidRPr="002B3292" w14:paraId="3D8C4130"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FE61FF" w14:textId="4E094867" w:rsidR="00136678" w:rsidRPr="002B3292" w:rsidRDefault="00136678" w:rsidP="00136678">
            <w:pPr>
              <w:pStyle w:val="TableDataEntries"/>
              <w:jc w:val="left"/>
            </w:pPr>
            <w:r>
              <w:rPr>
                <w:szCs w:val="16"/>
              </w:rPr>
              <w:t>Milk, cream, whey &amp; yoghurt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022FA8" w14:textId="011D2633" w:rsidR="00136678" w:rsidRPr="002B3292" w:rsidRDefault="00136678" w:rsidP="00136678">
            <w:pPr>
              <w:pStyle w:val="TableDataEntries"/>
            </w:pPr>
            <w:r>
              <w:rPr>
                <w:szCs w:val="16"/>
              </w:rPr>
              <w:t>53.66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EB0677" w14:textId="377CEE80"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63D32D" w14:textId="143592BD" w:rsidR="00136678" w:rsidRPr="002B3292" w:rsidRDefault="00136678" w:rsidP="00136678">
            <w:pPr>
              <w:pStyle w:val="TableDataEntries"/>
            </w:pPr>
            <w:r>
              <w:rPr>
                <w:szCs w:val="16"/>
              </w:rPr>
              <w:t>2.24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A95E47" w14:textId="6B885FEC" w:rsidR="00136678" w:rsidRPr="002B3292" w:rsidRDefault="00136678" w:rsidP="00136678">
            <w:pPr>
              <w:pStyle w:val="TableDataEntries"/>
            </w:pPr>
            <w:r>
              <w:rPr>
                <w:szCs w:val="16"/>
              </w:rPr>
              <w:t>-2.63</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192D096" w14:textId="26EB872E" w:rsidR="00136678" w:rsidRPr="002B3292" w:rsidRDefault="00136678" w:rsidP="00136678">
            <w:pPr>
              <w:pStyle w:val="TableDataEntries"/>
            </w:pPr>
            <w:r>
              <w:rPr>
                <w:szCs w:val="16"/>
              </w:rPr>
              <w:t>7.30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590201" w14:textId="07C132ED" w:rsidR="00136678" w:rsidRPr="002B3292" w:rsidRDefault="00136678" w:rsidP="00136678">
            <w:pPr>
              <w:pStyle w:val="TableDataEntries"/>
            </w:pPr>
            <w:r>
              <w:rPr>
                <w:szCs w:val="16"/>
              </w:rPr>
              <w:t>19.18</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AEAF69" w14:textId="2CF1D8FA" w:rsidR="00136678" w:rsidRPr="002B3292" w:rsidRDefault="00136678" w:rsidP="00136678">
            <w:pPr>
              <w:pStyle w:val="TableDataEntries"/>
            </w:pPr>
            <w:r>
              <w:rPr>
                <w:szCs w:val="16"/>
              </w:rPr>
              <w:t>10.29</w:t>
            </w:r>
          </w:p>
        </w:tc>
      </w:tr>
      <w:tr w:rsidR="00136678" w:rsidRPr="002B3292" w14:paraId="7EC4C0DF"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AD9399" w14:textId="719C7917" w:rsidR="00136678" w:rsidRPr="002B3292" w:rsidRDefault="00136678" w:rsidP="00136678">
            <w:pPr>
              <w:pStyle w:val="TableDataEntries"/>
              <w:jc w:val="left"/>
            </w:pPr>
            <w:r>
              <w:rPr>
                <w:szCs w:val="16"/>
              </w:rPr>
              <w:t>Perfumery &amp; cosmetics (excl soap)</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042129" w14:textId="61180C0B" w:rsidR="00136678" w:rsidRPr="002B3292" w:rsidRDefault="00136678" w:rsidP="00136678">
            <w:pPr>
              <w:pStyle w:val="TableDataEntries"/>
            </w:pPr>
            <w:r>
              <w:rPr>
                <w:szCs w:val="16"/>
              </w:rPr>
              <w:t>29.05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78EDCC" w14:textId="0802872B"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478505" w14:textId="271ED84B"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C70FD3" w14:textId="2843AF30"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B6C090" w14:textId="0D8D472E" w:rsidR="00136678" w:rsidRPr="002B3292" w:rsidRDefault="00136678" w:rsidP="00136678">
            <w:pPr>
              <w:pStyle w:val="TableDataEntries"/>
            </w:pPr>
            <w:r>
              <w:rPr>
                <w:szCs w:val="16"/>
              </w:rPr>
              <w:t>6.60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05FC8D" w14:textId="45CEE674" w:rsidR="00136678" w:rsidRPr="002B3292" w:rsidRDefault="00136678" w:rsidP="00136678">
            <w:pPr>
              <w:pStyle w:val="TableDataEntries"/>
            </w:pPr>
            <w:r>
              <w:rPr>
                <w:szCs w:val="16"/>
              </w:rPr>
              <w:t>31.43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B67573" w14:textId="19420A1A" w:rsidR="00136678" w:rsidRPr="002B3292" w:rsidRDefault="00136678" w:rsidP="00136678">
            <w:pPr>
              <w:pStyle w:val="TableDataEntries"/>
            </w:pPr>
            <w:r>
              <w:rPr>
                <w:szCs w:val="16"/>
              </w:rPr>
              <w:t>9.13</w:t>
            </w:r>
          </w:p>
        </w:tc>
      </w:tr>
      <w:tr w:rsidR="00136678" w:rsidRPr="002B3292" w14:paraId="4E7EBEAD"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283434" w14:textId="75AF62A0" w:rsidR="00136678" w:rsidRPr="002B3292" w:rsidRDefault="00136678" w:rsidP="00136678">
            <w:pPr>
              <w:pStyle w:val="TableDataEntries"/>
              <w:jc w:val="left"/>
            </w:pPr>
            <w:r>
              <w:rPr>
                <w:szCs w:val="16"/>
              </w:rPr>
              <w:t xml:space="preserve">Edible products &amp; preparations, </w:t>
            </w:r>
            <w:proofErr w:type="spellStart"/>
            <w:r>
              <w:rPr>
                <w:szCs w:val="16"/>
              </w:rPr>
              <w:t>nes</w:t>
            </w:r>
            <w:proofErr w:type="spellEnd"/>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679F35" w14:textId="715F528A" w:rsidR="00136678" w:rsidRPr="002B3292" w:rsidRDefault="00136678" w:rsidP="00136678">
            <w:pPr>
              <w:pStyle w:val="TableDataEntries"/>
            </w:pPr>
            <w:r>
              <w:rPr>
                <w:szCs w:val="16"/>
              </w:rPr>
              <w:t>47.06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5398CF" w14:textId="075A6F44" w:rsidR="00136678" w:rsidRPr="002B3292" w:rsidRDefault="00136678" w:rsidP="00136678">
            <w:pPr>
              <w:pStyle w:val="TableDataEntries"/>
            </w:pPr>
            <w:r>
              <w:rPr>
                <w:szCs w:val="16"/>
              </w:rPr>
              <w:t>4.99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1A0DE6" w14:textId="3439257C"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93FC16" w14:textId="6CB81227"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3A8F10" w14:textId="6827DE0E" w:rsidR="00136678" w:rsidRPr="002B3292" w:rsidRDefault="00136678" w:rsidP="00136678">
            <w:pPr>
              <w:pStyle w:val="TableDataEntries"/>
            </w:pPr>
            <w:r>
              <w:rPr>
                <w:szCs w:val="16"/>
              </w:rPr>
              <w:t>4.00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8F460F" w14:textId="04AE54DF" w:rsidR="00136678" w:rsidRPr="002B3292" w:rsidRDefault="00136678" w:rsidP="00136678">
            <w:pPr>
              <w:pStyle w:val="TableDataEntries"/>
            </w:pPr>
            <w:r>
              <w:rPr>
                <w:szCs w:val="16"/>
              </w:rPr>
              <w:t>19.02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7F80D7" w14:textId="5EA03972" w:rsidR="00136678" w:rsidRPr="002B3292" w:rsidRDefault="00136678" w:rsidP="00136678">
            <w:pPr>
              <w:pStyle w:val="TableDataEntries"/>
            </w:pPr>
            <w:r>
              <w:rPr>
                <w:szCs w:val="16"/>
              </w:rPr>
              <w:t>8.95</w:t>
            </w:r>
          </w:p>
        </w:tc>
      </w:tr>
      <w:tr w:rsidR="00136678" w:rsidRPr="002B3292" w14:paraId="5E82F02C"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65D560" w14:textId="04B69341" w:rsidR="00136678" w:rsidRPr="002B3292" w:rsidRDefault="00136678" w:rsidP="00136678">
            <w:pPr>
              <w:pStyle w:val="TableDataEntries"/>
              <w:jc w:val="left"/>
            </w:pPr>
            <w:r>
              <w:rPr>
                <w:szCs w:val="16"/>
              </w:rPr>
              <w:t>Aircraft, spacecraft &amp; parts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B7BE9C" w14:textId="6FF51203" w:rsidR="00136678" w:rsidRPr="002B3292" w:rsidRDefault="00136678" w:rsidP="00136678">
            <w:pPr>
              <w:pStyle w:val="TableDataEntries"/>
            </w:pPr>
            <w:r>
              <w:rPr>
                <w:szCs w:val="16"/>
              </w:rPr>
              <w:t>21.29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182E88" w14:textId="2D7229A8"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BDD24C" w14:textId="2773E218"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39A4F8" w14:textId="064002BD"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7AA591" w14:textId="3700773E" w:rsidR="00136678" w:rsidRPr="002B3292" w:rsidRDefault="00136678" w:rsidP="00136678">
            <w:pPr>
              <w:pStyle w:val="TableDataEntries"/>
            </w:pPr>
            <w:r>
              <w:rPr>
                <w:szCs w:val="16"/>
              </w:rPr>
              <w:t>8.60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2EA5F6" w14:textId="09E1B98A" w:rsidR="00136678" w:rsidRPr="002B3292" w:rsidRDefault="00136678" w:rsidP="00136678">
            <w:pPr>
              <w:pStyle w:val="TableDataEntries"/>
            </w:pPr>
            <w:r>
              <w:rPr>
                <w:szCs w:val="16"/>
              </w:rPr>
              <w:t>40.94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1A192A0" w14:textId="5C56AF5D" w:rsidR="00136678" w:rsidRPr="002B3292" w:rsidRDefault="00136678" w:rsidP="00136678">
            <w:pPr>
              <w:pStyle w:val="TableDataEntries"/>
            </w:pPr>
            <w:r>
              <w:rPr>
                <w:szCs w:val="16"/>
              </w:rPr>
              <w:t>8.72</w:t>
            </w:r>
          </w:p>
        </w:tc>
      </w:tr>
      <w:tr w:rsidR="00136678" w:rsidRPr="002B3292" w14:paraId="44094167"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449F20" w14:textId="0164F05B" w:rsidR="00136678" w:rsidRPr="002B3292" w:rsidRDefault="00136678" w:rsidP="00136678">
            <w:pPr>
              <w:pStyle w:val="TableDataEntries"/>
              <w:jc w:val="left"/>
            </w:pPr>
            <w:r>
              <w:rPr>
                <w:szCs w:val="16"/>
              </w:rPr>
              <w:t>Jewellery</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9971FB" w14:textId="0B319893" w:rsidR="00136678" w:rsidRPr="002B3292" w:rsidRDefault="00136678" w:rsidP="00136678">
            <w:pPr>
              <w:pStyle w:val="TableDataEntries"/>
            </w:pPr>
            <w:r>
              <w:rPr>
                <w:szCs w:val="16"/>
              </w:rPr>
              <w:t>23.06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B67E7A" w14:textId="6D3027BD"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41EF56C" w14:textId="7C76433C"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BA07AD" w14:textId="3CCA5ED5"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C550B6" w14:textId="61BB8DB7" w:rsidR="00136678" w:rsidRPr="002B3292" w:rsidRDefault="00136678" w:rsidP="00136678">
            <w:pPr>
              <w:pStyle w:val="TableDataEntries"/>
            </w:pPr>
            <w:r>
              <w:rPr>
                <w:szCs w:val="16"/>
              </w:rPr>
              <w:t>7.50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B6404B" w14:textId="5C61BCF7" w:rsidR="00136678" w:rsidRPr="002B3292" w:rsidRDefault="00136678" w:rsidP="00136678">
            <w:pPr>
              <w:pStyle w:val="TableDataEntries"/>
            </w:pPr>
            <w:r>
              <w:rPr>
                <w:szCs w:val="16"/>
              </w:rPr>
              <w:t>35.71</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CD3F7C" w14:textId="588DCC96" w:rsidR="00136678" w:rsidRPr="002B3292" w:rsidRDefault="00136678" w:rsidP="00136678">
            <w:pPr>
              <w:pStyle w:val="TableDataEntries"/>
            </w:pPr>
            <w:r>
              <w:rPr>
                <w:szCs w:val="16"/>
              </w:rPr>
              <w:t>8.23</w:t>
            </w:r>
          </w:p>
        </w:tc>
      </w:tr>
      <w:tr w:rsidR="00136678" w:rsidRPr="002B3292" w14:paraId="18675FEE"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1EDF97" w14:textId="24A80CE4" w:rsidR="00136678" w:rsidRPr="002B3292" w:rsidRDefault="00136678" w:rsidP="00136678">
            <w:pPr>
              <w:pStyle w:val="TableDataEntries"/>
              <w:jc w:val="left"/>
            </w:pPr>
            <w:r>
              <w:rPr>
                <w:szCs w:val="16"/>
              </w:rPr>
              <w:t>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746F28" w14:textId="411F231F" w:rsidR="00136678" w:rsidRPr="002B3292" w:rsidRDefault="00136678" w:rsidP="00136678">
            <w:pPr>
              <w:pStyle w:val="TableDataEntries"/>
            </w:pPr>
            <w:r>
              <w:rPr>
                <w:szCs w:val="16"/>
              </w:rPr>
              <w:t>25.23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ED9406D" w14:textId="46C2BBC5"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8968D8" w14:textId="1B2D01DA"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87F8BD" w14:textId="09575CBE"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5E5570" w14:textId="0CB60878" w:rsidR="00136678" w:rsidRPr="002B3292" w:rsidRDefault="00136678" w:rsidP="00136678">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0056F2" w14:textId="5D05BC8D" w:rsidR="00136678" w:rsidRPr="002B3292" w:rsidRDefault="00136678" w:rsidP="00136678">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1450AB" w14:textId="0C1B354C" w:rsidR="00136678" w:rsidRPr="002B3292" w:rsidRDefault="00136678" w:rsidP="00136678">
            <w:pPr>
              <w:pStyle w:val="TableDataEntries"/>
            </w:pPr>
            <w:r>
              <w:rPr>
                <w:szCs w:val="16"/>
              </w:rPr>
              <w:t>7.09</w:t>
            </w:r>
          </w:p>
        </w:tc>
      </w:tr>
      <w:tr w:rsidR="00136678" w:rsidRPr="002B3292" w14:paraId="2D49FB4B" w14:textId="77777777" w:rsidTr="00B70E33">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D7DC97" w14:textId="28E61399" w:rsidR="00136678" w:rsidRPr="002B3292" w:rsidRDefault="00136678" w:rsidP="00136678">
            <w:pPr>
              <w:pStyle w:val="TableDataEntries"/>
              <w:jc w:val="left"/>
            </w:pPr>
            <w:r>
              <w:rPr>
                <w:szCs w:val="16"/>
              </w:rPr>
              <w:t>Wool &amp; other animal hair (incl tops)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36705D" w14:textId="681F2746" w:rsidR="00136678" w:rsidRPr="002B3292" w:rsidRDefault="00136678" w:rsidP="00136678">
            <w:pPr>
              <w:pStyle w:val="TableDataEntries"/>
            </w:pPr>
            <w:r>
              <w:rPr>
                <w:szCs w:val="16"/>
              </w:rPr>
              <w:t>10.45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815BA7" w14:textId="43ADD7E0"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A5F486" w14:textId="42D8FFFB"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A2B73D" w14:textId="6B3D2F06"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5C4AB2" w14:textId="6AECE5AE" w:rsidR="00136678" w:rsidRPr="002B3292" w:rsidRDefault="00136678" w:rsidP="00136678">
            <w:pPr>
              <w:pStyle w:val="TableDataEntries"/>
            </w:pPr>
            <w:r>
              <w:rPr>
                <w:szCs w:val="16"/>
              </w:rPr>
              <w:t>12.90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AA5699" w14:textId="763D6A30" w:rsidR="00136678" w:rsidRPr="002B3292" w:rsidRDefault="00136678" w:rsidP="00136678">
            <w:pPr>
              <w:pStyle w:val="TableDataEntries"/>
            </w:pPr>
            <w:r>
              <w:rPr>
                <w:szCs w:val="16"/>
              </w:rPr>
              <w:t>61.43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C8ED71" w14:textId="359CFC7E" w:rsidR="00136678" w:rsidRPr="002B3292" w:rsidRDefault="00136678" w:rsidP="00136678">
            <w:pPr>
              <w:pStyle w:val="TableDataEntries"/>
            </w:pPr>
            <w:r>
              <w:rPr>
                <w:szCs w:val="16"/>
              </w:rPr>
              <w:t>6.42</w:t>
            </w:r>
          </w:p>
        </w:tc>
      </w:tr>
      <w:tr w:rsidR="00136678" w:rsidRPr="00136678" w14:paraId="024CD4AD" w14:textId="77777777" w:rsidTr="00B70E33">
        <w:trPr>
          <w:trHeight w:val="252"/>
        </w:trPr>
        <w:tc>
          <w:tcPr>
            <w:tcW w:w="2446"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0A3A2DD0" w14:textId="2E873A87" w:rsidR="00136678" w:rsidRPr="00136678" w:rsidRDefault="00136678" w:rsidP="00136678">
            <w:pPr>
              <w:pStyle w:val="TableDataEntries"/>
              <w:jc w:val="left"/>
              <w:rPr>
                <w:rFonts w:ascii="Franklin Gothic Demi" w:hAnsi="Franklin Gothic Demi"/>
              </w:rPr>
            </w:pPr>
            <w:r w:rsidRPr="00136678">
              <w:rPr>
                <w:rFonts w:ascii="Franklin Gothic Demi" w:hAnsi="Franklin Gothic Demi"/>
                <w:szCs w:val="16"/>
              </w:rPr>
              <w:lastRenderedPageBreak/>
              <w:t>Total</w:t>
            </w:r>
          </w:p>
        </w:tc>
        <w:tc>
          <w:tcPr>
            <w:tcW w:w="789"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74FC3590" w14:textId="7F7D880F" w:rsidR="00136678" w:rsidRPr="00136678" w:rsidRDefault="00136678" w:rsidP="00136678">
            <w:pPr>
              <w:pStyle w:val="TableDataEntries"/>
              <w:rPr>
                <w:rFonts w:ascii="Franklin Gothic Demi" w:hAnsi="Franklin Gothic Demi"/>
              </w:rPr>
            </w:pPr>
            <w:r w:rsidRPr="00136678">
              <w:rPr>
                <w:rFonts w:ascii="Franklin Gothic Demi" w:hAnsi="Franklin Gothic Demi"/>
                <w:szCs w:val="16"/>
              </w:rPr>
              <w:t>2,954.14</w:t>
            </w:r>
          </w:p>
        </w:tc>
        <w:tc>
          <w:tcPr>
            <w:tcW w:w="784"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0A9FCD93" w14:textId="77777777" w:rsidR="00136678" w:rsidRPr="00136678" w:rsidRDefault="00136678" w:rsidP="00136678">
            <w:pPr>
              <w:pStyle w:val="TableDataEntries"/>
              <w:rPr>
                <w:rFonts w:ascii="Franklin Gothic Demi" w:hAnsi="Franklin Gothic Demi"/>
              </w:rPr>
            </w:pPr>
          </w:p>
        </w:tc>
        <w:tc>
          <w:tcPr>
            <w:tcW w:w="784"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2F9E4869" w14:textId="77777777" w:rsidR="00136678" w:rsidRPr="00136678" w:rsidRDefault="00136678" w:rsidP="00136678">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664CACF9" w14:textId="77777777" w:rsidR="00136678" w:rsidRPr="00136678" w:rsidRDefault="00136678" w:rsidP="00136678">
            <w:pPr>
              <w:pStyle w:val="TableDataEntries"/>
              <w:rPr>
                <w:rFonts w:ascii="Franklin Gothic Demi" w:hAnsi="Franklin Gothic Demi"/>
              </w:rPr>
            </w:pPr>
          </w:p>
        </w:tc>
        <w:tc>
          <w:tcPr>
            <w:tcW w:w="887"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2694BB94" w14:textId="77777777" w:rsidR="00136678" w:rsidRPr="00136678" w:rsidRDefault="00136678" w:rsidP="00136678">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32ECDE8E" w14:textId="77777777" w:rsidR="00136678" w:rsidRPr="00136678" w:rsidRDefault="00136678" w:rsidP="00136678">
            <w:pPr>
              <w:pStyle w:val="TableDataEntries"/>
              <w:rPr>
                <w:rFonts w:ascii="Franklin Gothic Demi" w:hAnsi="Franklin Gothic Demi"/>
              </w:rPr>
            </w:pPr>
          </w:p>
        </w:tc>
        <w:tc>
          <w:tcPr>
            <w:tcW w:w="785"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4422B37E" w14:textId="72AB1BDB" w:rsidR="00136678" w:rsidRPr="00136678" w:rsidRDefault="00136678" w:rsidP="00136678">
            <w:pPr>
              <w:pStyle w:val="TableDataEntries"/>
              <w:rPr>
                <w:rFonts w:ascii="Franklin Gothic Demi" w:hAnsi="Franklin Gothic Demi"/>
              </w:rPr>
            </w:pPr>
            <w:r w:rsidRPr="00136678">
              <w:rPr>
                <w:rFonts w:ascii="Franklin Gothic Demi" w:hAnsi="Franklin Gothic Demi"/>
                <w:szCs w:val="16"/>
              </w:rPr>
              <w:t>559.74</w:t>
            </w:r>
          </w:p>
        </w:tc>
      </w:tr>
    </w:tbl>
    <w:p w14:paraId="5887938A" w14:textId="77777777" w:rsidR="00BF5249" w:rsidRPr="00E4232C" w:rsidRDefault="00BF5249" w:rsidP="00BF5249">
      <w:pPr>
        <w:pStyle w:val="Note"/>
      </w:pPr>
      <w:proofErr w:type="gramStart"/>
      <w:r w:rsidRPr="00E4232C">
        <w:rPr>
          <w:rStyle w:val="NoteLabel"/>
        </w:rPr>
        <w:t>a</w:t>
      </w:r>
      <w:proofErr w:type="gramEnd"/>
      <w:r>
        <w:t xml:space="preserve"> </w:t>
      </w:r>
      <w:r w:rsidRPr="00F907AC">
        <w:t>Australia's average annual exports to the UAE over three years from 2021 to 2023</w:t>
      </w:r>
    </w:p>
    <w:p w14:paraId="6433F2CB" w14:textId="77777777" w:rsidR="00BF5249" w:rsidRDefault="00BF5249" w:rsidP="00BF5249">
      <w:pPr>
        <w:pStyle w:val="Source"/>
        <w:rPr>
          <w:lang w:bidi="fa-IR"/>
        </w:rPr>
      </w:pPr>
      <w:r w:rsidRPr="002B3292">
        <w:rPr>
          <w:i/>
          <w:lang w:bidi="fa-IR"/>
        </w:rPr>
        <w:t>Source:</w:t>
      </w:r>
      <w:r>
        <w:rPr>
          <w:lang w:bidi="fa-IR"/>
        </w:rPr>
        <w:t xml:space="preserve"> CIE estimates</w:t>
      </w:r>
    </w:p>
    <w:p w14:paraId="1198FAE7" w14:textId="43297314" w:rsidR="00BF5249" w:rsidRDefault="001E3500" w:rsidP="00AD1001">
      <w:pPr>
        <w:pStyle w:val="Heading2"/>
        <w:rPr>
          <w:lang w:bidi="fa-IR"/>
        </w:rPr>
      </w:pPr>
      <w:r>
        <w:rPr>
          <w:lang w:bidi="fa-IR"/>
        </w:rPr>
        <w:t>EFTA-style FTA</w:t>
      </w:r>
    </w:p>
    <w:p w14:paraId="5593F5C0" w14:textId="1DC022D3" w:rsidR="001E3500" w:rsidRPr="001E3500" w:rsidRDefault="001E3500" w:rsidP="001E3500">
      <w:pPr>
        <w:pStyle w:val="BodyText"/>
        <w:rPr>
          <w:lang w:bidi="fa-IR"/>
        </w:rPr>
      </w:pPr>
      <w:r>
        <w:rPr>
          <w:lang w:bidi="fa-IR"/>
        </w:rPr>
        <w:t>This is an updated table to the original B.2</w:t>
      </w:r>
      <w:r w:rsidR="00034CD8">
        <w:rPr>
          <w:lang w:bidi="fa-IR"/>
        </w:rPr>
        <w:t>, which estimates the top 20 growing export sectors (at SITC 3-digit) under the EFTA FTA</w:t>
      </w:r>
      <w:r>
        <w:rPr>
          <w:lang w:bidi="fa-IR"/>
        </w:rPr>
        <w:t>.</w:t>
      </w:r>
    </w:p>
    <w:p w14:paraId="1EEB713D" w14:textId="06323D21" w:rsidR="001E3500" w:rsidRDefault="001E3500" w:rsidP="001E3500">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w:instrText>
      </w:r>
      <w:r w:rsidRPr="00695C93">
        <w:fldChar w:fldCharType="separate"/>
      </w:r>
      <w:r w:rsidR="00586CBD">
        <w:rPr>
          <w:noProof/>
        </w:rPr>
        <w:instrText>A</w:instrText>
      </w:r>
      <w:r w:rsidR="00586CBD"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586CBD" w:rsidRPr="00695C93">
        <w:rPr>
          <w:noProof/>
        </w:rPr>
        <w:instrText>6</w:instrText>
      </w:r>
      <w:r w:rsidRPr="00695C93">
        <w:fldChar w:fldCharType="end"/>
      </w:r>
      <w:r w:rsidRPr="00695C93">
        <w:instrText xml:space="preserve"> </w:instrText>
      </w:r>
      <w:r w:rsidRPr="00695C93">
        <w:fldChar w:fldCharType="separate"/>
      </w:r>
      <w:r w:rsidR="00586CBD">
        <w:rPr>
          <w:noProof/>
        </w:rPr>
        <w:instrText>3</w:instrText>
      </w:r>
      <w:r w:rsidRPr="00695C93">
        <w:fldChar w:fldCharType="end"/>
      </w:r>
      <w:r w:rsidRPr="00695C93">
        <w:instrText xml:space="preserve">" "" </w:instrText>
      </w:r>
      <w:r w:rsidRPr="00695C93">
        <w:fldChar w:fldCharType="separate"/>
      </w:r>
      <w:bookmarkStart w:id="40" w:name="_Toc175649968"/>
      <w:r w:rsidR="00586CBD">
        <w:rPr>
          <w:noProof/>
        </w:rPr>
        <w:t>A</w:t>
      </w:r>
      <w:r w:rsidR="00586CBD" w:rsidRPr="00695C93">
        <w:rPr>
          <w:noProof/>
        </w:rPr>
        <w:t>.</w:t>
      </w:r>
      <w:r w:rsidR="00586CBD">
        <w:rPr>
          <w:noProof/>
        </w:rPr>
        <w:t>3</w:t>
      </w:r>
      <w:r w:rsidRPr="00695C93">
        <w:fldChar w:fldCharType="end"/>
      </w:r>
      <w:r w:rsidRPr="00695C93">
        <w:tab/>
      </w:r>
      <w:r>
        <w:t>Top 20 growing export sectors (SITC 3-digit) under the EFTA FTA</w:t>
      </w:r>
      <w:bookmarkEnd w:id="40"/>
    </w:p>
    <w:tbl>
      <w:tblPr>
        <w:tblW w:w="8045" w:type="dxa"/>
        <w:tblLook w:val="04A0" w:firstRow="1" w:lastRow="0" w:firstColumn="1" w:lastColumn="0" w:noHBand="0" w:noVBand="1"/>
      </w:tblPr>
      <w:tblGrid>
        <w:gridCol w:w="2446"/>
        <w:gridCol w:w="789"/>
        <w:gridCol w:w="784"/>
        <w:gridCol w:w="784"/>
        <w:gridCol w:w="785"/>
        <w:gridCol w:w="887"/>
        <w:gridCol w:w="785"/>
        <w:gridCol w:w="785"/>
      </w:tblGrid>
      <w:tr w:rsidR="00B70E33" w:rsidRPr="002B3292" w14:paraId="435AC1F1" w14:textId="77777777" w:rsidTr="00B70E33">
        <w:trPr>
          <w:trHeight w:val="756"/>
        </w:trPr>
        <w:tc>
          <w:tcPr>
            <w:tcW w:w="2446" w:type="dxa"/>
            <w:shd w:val="clear" w:color="auto" w:fill="6F6652"/>
            <w:noWrap/>
            <w:tcMar>
              <w:left w:w="57" w:type="dxa"/>
              <w:right w:w="57" w:type="dxa"/>
            </w:tcMar>
            <w:hideMark/>
          </w:tcPr>
          <w:p w14:paraId="4963FFC2" w14:textId="4191E239" w:rsidR="00B70E33" w:rsidRPr="002B3292" w:rsidRDefault="00B70E33" w:rsidP="00B70E33">
            <w:pPr>
              <w:pStyle w:val="TableDataColumnHeading"/>
              <w:jc w:val="left"/>
            </w:pPr>
            <w:r>
              <w:t>Export</w:t>
            </w:r>
          </w:p>
        </w:tc>
        <w:tc>
          <w:tcPr>
            <w:tcW w:w="789" w:type="dxa"/>
            <w:shd w:val="clear" w:color="auto" w:fill="6F6652"/>
            <w:tcMar>
              <w:left w:w="57" w:type="dxa"/>
              <w:right w:w="57" w:type="dxa"/>
            </w:tcMar>
            <w:vAlign w:val="center"/>
            <w:hideMark/>
          </w:tcPr>
          <w:p w14:paraId="1C57A413" w14:textId="2FBCB16D" w:rsidR="00B70E33" w:rsidRPr="002B3292" w:rsidRDefault="00B70E33" w:rsidP="00B70E33">
            <w:pPr>
              <w:pStyle w:val="TableDataColumnHeading"/>
              <w:jc w:val="center"/>
              <w:rPr>
                <w:szCs w:val="16"/>
              </w:rPr>
            </w:pPr>
            <w:r w:rsidRPr="002B3292">
              <w:rPr>
                <w:szCs w:val="16"/>
              </w:rPr>
              <w:t>Base export value</w:t>
            </w:r>
            <w:r w:rsidRPr="00E4232C">
              <w:rPr>
                <w:rStyle w:val="NoteLabel"/>
              </w:rPr>
              <w:t xml:space="preserve"> </w:t>
            </w:r>
            <w:r w:rsidRPr="00074B9B">
              <w:rPr>
                <w:rStyle w:val="NoteLabel"/>
                <w:color w:val="FFFFFF" w:themeColor="background1"/>
              </w:rPr>
              <w:t>a</w:t>
            </w:r>
            <w:r>
              <w:rPr>
                <w:rStyle w:val="NoteLabel"/>
                <w:color w:val="FFFFFF" w:themeColor="background1"/>
              </w:rPr>
              <w:br/>
              <w:t>$m</w:t>
            </w:r>
          </w:p>
        </w:tc>
        <w:tc>
          <w:tcPr>
            <w:tcW w:w="784" w:type="dxa"/>
            <w:shd w:val="clear" w:color="auto" w:fill="6F6652"/>
            <w:tcMar>
              <w:left w:w="57" w:type="dxa"/>
              <w:right w:w="57" w:type="dxa"/>
            </w:tcMar>
            <w:vAlign w:val="center"/>
            <w:hideMark/>
          </w:tcPr>
          <w:p w14:paraId="693E2446" w14:textId="0C5A22C7" w:rsidR="00B70E33" w:rsidRPr="002B3292" w:rsidRDefault="00B70E33" w:rsidP="00B70E33">
            <w:pPr>
              <w:pStyle w:val="TableDataColumnHeading"/>
              <w:jc w:val="center"/>
              <w:rPr>
                <w:szCs w:val="16"/>
              </w:rPr>
            </w:pPr>
            <w:r w:rsidRPr="002B3292">
              <w:rPr>
                <w:szCs w:val="16"/>
              </w:rPr>
              <w:t>Base rate</w:t>
            </w:r>
            <w:r>
              <w:rPr>
                <w:szCs w:val="16"/>
              </w:rPr>
              <w:br/>
              <w:t>%</w:t>
            </w:r>
          </w:p>
        </w:tc>
        <w:tc>
          <w:tcPr>
            <w:tcW w:w="784" w:type="dxa"/>
            <w:shd w:val="clear" w:color="auto" w:fill="6F6652"/>
            <w:tcMar>
              <w:left w:w="57" w:type="dxa"/>
              <w:right w:w="57" w:type="dxa"/>
            </w:tcMar>
            <w:vAlign w:val="center"/>
            <w:hideMark/>
          </w:tcPr>
          <w:p w14:paraId="10027430" w14:textId="07335F62" w:rsidR="00B70E33" w:rsidRPr="002B3292" w:rsidRDefault="00B70E33" w:rsidP="00B70E33">
            <w:pPr>
              <w:pStyle w:val="TableDataColumnHeading"/>
              <w:jc w:val="center"/>
              <w:rPr>
                <w:szCs w:val="16"/>
              </w:rPr>
            </w:pPr>
            <w:r w:rsidRPr="002B3292">
              <w:rPr>
                <w:szCs w:val="16"/>
              </w:rPr>
              <w:t>FTA offer</w:t>
            </w:r>
            <w:r>
              <w:rPr>
                <w:szCs w:val="16"/>
              </w:rPr>
              <w:br/>
              <w:t>%</w:t>
            </w:r>
          </w:p>
        </w:tc>
        <w:tc>
          <w:tcPr>
            <w:tcW w:w="785" w:type="dxa"/>
            <w:shd w:val="clear" w:color="auto" w:fill="6F6652"/>
            <w:tcMar>
              <w:left w:w="57" w:type="dxa"/>
              <w:right w:w="57" w:type="dxa"/>
            </w:tcMar>
            <w:vAlign w:val="center"/>
            <w:hideMark/>
          </w:tcPr>
          <w:p w14:paraId="49301859" w14:textId="0166330E" w:rsidR="00B70E33" w:rsidRPr="002B3292" w:rsidRDefault="00B70E33" w:rsidP="00B70E33">
            <w:pPr>
              <w:pStyle w:val="TableDataColumnHeading"/>
              <w:jc w:val="center"/>
              <w:rPr>
                <w:szCs w:val="16"/>
              </w:rPr>
            </w:pPr>
            <w:r w:rsidRPr="002B3292">
              <w:rPr>
                <w:szCs w:val="16"/>
              </w:rPr>
              <w:t>Implied price change</w:t>
            </w:r>
            <w:r>
              <w:rPr>
                <w:szCs w:val="16"/>
              </w:rPr>
              <w:br/>
              <w:t>%</w:t>
            </w:r>
          </w:p>
        </w:tc>
        <w:tc>
          <w:tcPr>
            <w:tcW w:w="887" w:type="dxa"/>
            <w:shd w:val="clear" w:color="auto" w:fill="6F6652"/>
            <w:tcMar>
              <w:left w:w="57" w:type="dxa"/>
              <w:right w:w="57" w:type="dxa"/>
            </w:tcMar>
            <w:vAlign w:val="center"/>
            <w:hideMark/>
          </w:tcPr>
          <w:p w14:paraId="5522F00A" w14:textId="77777777" w:rsidR="00B70E33" w:rsidRPr="002B3292" w:rsidRDefault="00B70E33" w:rsidP="00B70E33">
            <w:pPr>
              <w:pStyle w:val="TableDataColumnHeading"/>
              <w:jc w:val="center"/>
              <w:rPr>
                <w:szCs w:val="16"/>
              </w:rPr>
            </w:pPr>
            <w:r w:rsidRPr="002B3292">
              <w:rPr>
                <w:szCs w:val="16"/>
              </w:rPr>
              <w:t>Elasticity</w:t>
            </w:r>
          </w:p>
        </w:tc>
        <w:tc>
          <w:tcPr>
            <w:tcW w:w="785" w:type="dxa"/>
            <w:shd w:val="clear" w:color="auto" w:fill="6F6652"/>
            <w:tcMar>
              <w:left w:w="57" w:type="dxa"/>
              <w:right w:w="57" w:type="dxa"/>
            </w:tcMar>
            <w:vAlign w:val="center"/>
            <w:hideMark/>
          </w:tcPr>
          <w:p w14:paraId="6FDA1629" w14:textId="5B83105B" w:rsidR="00B70E33" w:rsidRPr="002B3292" w:rsidRDefault="00B70E33" w:rsidP="00B70E33">
            <w:pPr>
              <w:pStyle w:val="TableDataColumnHeading"/>
              <w:jc w:val="center"/>
              <w:rPr>
                <w:szCs w:val="16"/>
              </w:rPr>
            </w:pPr>
            <w:r w:rsidRPr="002B3292">
              <w:rPr>
                <w:szCs w:val="16"/>
              </w:rPr>
              <w:t>Export growth</w:t>
            </w:r>
            <w:r>
              <w:rPr>
                <w:szCs w:val="16"/>
              </w:rPr>
              <w:br/>
              <w:t>%</w:t>
            </w:r>
          </w:p>
        </w:tc>
        <w:tc>
          <w:tcPr>
            <w:tcW w:w="785" w:type="dxa"/>
            <w:shd w:val="clear" w:color="auto" w:fill="6F6652"/>
            <w:vAlign w:val="center"/>
          </w:tcPr>
          <w:p w14:paraId="385F8414" w14:textId="4E175297" w:rsidR="00B70E33" w:rsidRPr="002B3292" w:rsidRDefault="00B70E33" w:rsidP="00B70E33">
            <w:pPr>
              <w:pStyle w:val="TableDataColumnHeading"/>
              <w:jc w:val="center"/>
              <w:rPr>
                <w:szCs w:val="16"/>
              </w:rPr>
            </w:pPr>
            <w:r w:rsidRPr="002B3292">
              <w:rPr>
                <w:szCs w:val="16"/>
              </w:rPr>
              <w:t>Export growth</w:t>
            </w:r>
            <w:r>
              <w:rPr>
                <w:szCs w:val="16"/>
              </w:rPr>
              <w:br/>
              <w:t>$m</w:t>
            </w:r>
          </w:p>
        </w:tc>
      </w:tr>
      <w:tr w:rsidR="00136678" w:rsidRPr="002B3292" w14:paraId="3382682E"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D3B3F9" w14:textId="447B65CC" w:rsidR="00136678" w:rsidRPr="002B3292" w:rsidRDefault="00136678" w:rsidP="00136678">
            <w:pPr>
              <w:pStyle w:val="TableDataEntries"/>
              <w:jc w:val="left"/>
            </w:pPr>
            <w:r>
              <w:rPr>
                <w:szCs w:val="16"/>
              </w:rPr>
              <w:t>Oil-seeds &amp; oleaginous fruits, soft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9AC4CDF" w14:textId="26017FCE" w:rsidR="00136678" w:rsidRPr="002B3292" w:rsidRDefault="00136678" w:rsidP="00136678">
            <w:pPr>
              <w:pStyle w:val="TableDataEntries"/>
            </w:pPr>
            <w:r>
              <w:rPr>
                <w:szCs w:val="16"/>
              </w:rPr>
              <w:t>625.51</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0DDE27" w14:textId="25CD611F"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106185" w14:textId="3646AD13"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7A25FA" w14:textId="23FE187F"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D0FA8A2" w14:textId="71AE1147" w:rsidR="00136678" w:rsidRPr="002B3292" w:rsidRDefault="00136678" w:rsidP="00136678">
            <w:pPr>
              <w:pStyle w:val="TableDataEntries"/>
            </w:pPr>
            <w:r>
              <w:rPr>
                <w:szCs w:val="16"/>
              </w:rPr>
              <w:t>4.90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C52D43" w14:textId="64E39E75" w:rsidR="00136678" w:rsidRPr="002B3292" w:rsidRDefault="00136678" w:rsidP="00136678">
            <w:pPr>
              <w:pStyle w:val="TableDataEntries"/>
            </w:pPr>
            <w:r>
              <w:rPr>
                <w:szCs w:val="16"/>
              </w:rPr>
              <w:t>23.33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663815" w14:textId="1FF21CC4" w:rsidR="00136678" w:rsidRPr="002B3292" w:rsidRDefault="00136678" w:rsidP="00136678">
            <w:pPr>
              <w:pStyle w:val="TableDataEntries"/>
            </w:pPr>
            <w:r>
              <w:rPr>
                <w:szCs w:val="16"/>
              </w:rPr>
              <w:t>145.95</w:t>
            </w:r>
          </w:p>
        </w:tc>
      </w:tr>
      <w:tr w:rsidR="00136678" w:rsidRPr="002B3292" w14:paraId="3A0E13C1"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E36B94" w14:textId="73F89BAD" w:rsidR="00136678" w:rsidRPr="002B3292" w:rsidRDefault="00136678" w:rsidP="00136678">
            <w:pPr>
              <w:pStyle w:val="TableDataEntries"/>
              <w:jc w:val="left"/>
            </w:pPr>
            <w:r>
              <w:rPr>
                <w:szCs w:val="16"/>
              </w:rPr>
              <w:t>Aluminium ores &amp; conc (incl alumina)</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A2CF74" w14:textId="7BBCBF28" w:rsidR="00136678" w:rsidRPr="002B3292" w:rsidRDefault="00136678" w:rsidP="00136678">
            <w:pPr>
              <w:pStyle w:val="TableDataEntries"/>
            </w:pPr>
            <w:r>
              <w:rPr>
                <w:szCs w:val="16"/>
              </w:rPr>
              <w:t>915.08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FD61F2" w14:textId="4109FCDF"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A33B5B" w14:textId="4F331321"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2905F9" w14:textId="2969F836"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D6FB38" w14:textId="52284914" w:rsidR="00136678" w:rsidRPr="002B3292" w:rsidRDefault="00136678" w:rsidP="00136678">
            <w:pPr>
              <w:pStyle w:val="TableDataEntries"/>
            </w:pPr>
            <w:r>
              <w:rPr>
                <w:szCs w:val="16"/>
              </w:rPr>
              <w:t>1.80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70846A" w14:textId="7F5E512F" w:rsidR="00136678" w:rsidRPr="002B3292" w:rsidRDefault="00136678" w:rsidP="00136678">
            <w:pPr>
              <w:pStyle w:val="TableDataEntries"/>
            </w:pPr>
            <w:r>
              <w:rPr>
                <w:szCs w:val="16"/>
              </w:rPr>
              <w:t>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948DBC" w14:textId="7F03F4B5" w:rsidR="00136678" w:rsidRPr="002B3292" w:rsidRDefault="00136678" w:rsidP="00136678">
            <w:pPr>
              <w:pStyle w:val="TableDataEntries"/>
            </w:pPr>
            <w:r>
              <w:rPr>
                <w:szCs w:val="16"/>
              </w:rPr>
              <w:t>78.44</w:t>
            </w:r>
          </w:p>
        </w:tc>
      </w:tr>
      <w:tr w:rsidR="00136678" w:rsidRPr="002B3292" w14:paraId="5D6B67A7"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189E44" w14:textId="1BFF9DF6" w:rsidR="00136678" w:rsidRPr="002B3292" w:rsidRDefault="00136678" w:rsidP="00136678">
            <w:pPr>
              <w:pStyle w:val="TableDataEntries"/>
              <w:jc w:val="left"/>
            </w:pPr>
            <w:r>
              <w:rPr>
                <w:szCs w:val="16"/>
              </w:rPr>
              <w:t>Crude petroleum</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7C77A9" w14:textId="2F5A4BEC" w:rsidR="00136678" w:rsidRPr="002B3292" w:rsidRDefault="00136678" w:rsidP="00136678">
            <w:pPr>
              <w:pStyle w:val="TableDataEntries"/>
            </w:pPr>
            <w:r>
              <w:rPr>
                <w:szCs w:val="16"/>
              </w:rPr>
              <w:t>119.20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0769E2" w14:textId="7051145B"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75D4A1" w14:textId="5DD8F8E1"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6AC994" w14:textId="4B6DDFC8"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C4093C" w14:textId="0D7372CB" w:rsidR="00136678" w:rsidRPr="002B3292" w:rsidRDefault="00136678" w:rsidP="00136678">
            <w:pPr>
              <w:pStyle w:val="TableDataEntries"/>
            </w:pPr>
            <w:r>
              <w:rPr>
                <w:szCs w:val="16"/>
              </w:rPr>
              <w:t>10.40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A3194D" w14:textId="3B0B0BA7" w:rsidR="00136678" w:rsidRPr="002B3292" w:rsidRDefault="00136678" w:rsidP="00136678">
            <w:pPr>
              <w:pStyle w:val="TableDataEntries"/>
            </w:pPr>
            <w:r>
              <w:rPr>
                <w:szCs w:val="16"/>
              </w:rPr>
              <w:t>49.52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0E80AF" w14:textId="4E9713C7" w:rsidR="00136678" w:rsidRPr="002B3292" w:rsidRDefault="00136678" w:rsidP="00136678">
            <w:pPr>
              <w:pStyle w:val="TableDataEntries"/>
            </w:pPr>
            <w:r>
              <w:rPr>
                <w:szCs w:val="16"/>
              </w:rPr>
              <w:t>59.03</w:t>
            </w:r>
          </w:p>
        </w:tc>
      </w:tr>
      <w:tr w:rsidR="00136678" w:rsidRPr="002B3292" w14:paraId="57E769D1"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7466B4" w14:textId="3AF5C30F" w:rsidR="00136678" w:rsidRPr="002B3292" w:rsidRDefault="00136678" w:rsidP="00136678">
            <w:pPr>
              <w:pStyle w:val="TableDataEntries"/>
              <w:jc w:val="left"/>
            </w:pPr>
            <w:r>
              <w:rPr>
                <w:szCs w:val="16"/>
              </w:rPr>
              <w:t>Vehicle parts &amp; accessories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894FCF5" w14:textId="62B08129" w:rsidR="00136678" w:rsidRPr="002B3292" w:rsidRDefault="00136678" w:rsidP="00136678">
            <w:pPr>
              <w:pStyle w:val="TableDataEntries"/>
            </w:pPr>
            <w:r>
              <w:rPr>
                <w:szCs w:val="16"/>
              </w:rPr>
              <w:t>177.34</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B8F655" w14:textId="51B768D7"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CEDE9E" w14:textId="554BFA29"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3F0EAB" w14:textId="5AF95714"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228398" w14:textId="35E3A32A" w:rsidR="00136678" w:rsidRPr="002B3292" w:rsidRDefault="00136678" w:rsidP="00136678">
            <w:pPr>
              <w:pStyle w:val="TableDataEntries"/>
            </w:pPr>
            <w:r>
              <w:rPr>
                <w:szCs w:val="16"/>
              </w:rPr>
              <w:t>5.60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1F5761" w14:textId="410B857E" w:rsidR="00136678" w:rsidRPr="002B3292" w:rsidRDefault="00136678" w:rsidP="00136678">
            <w:pPr>
              <w:pStyle w:val="TableDataEntries"/>
            </w:pPr>
            <w:r>
              <w:rPr>
                <w:szCs w:val="16"/>
              </w:rPr>
              <w:t>26.67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67F323" w14:textId="78ACC016" w:rsidR="00136678" w:rsidRPr="002B3292" w:rsidRDefault="00136678" w:rsidP="00136678">
            <w:pPr>
              <w:pStyle w:val="TableDataEntries"/>
            </w:pPr>
            <w:r>
              <w:rPr>
                <w:szCs w:val="16"/>
              </w:rPr>
              <w:t>47.29</w:t>
            </w:r>
          </w:p>
        </w:tc>
      </w:tr>
      <w:tr w:rsidR="00136678" w:rsidRPr="002B3292" w14:paraId="0F0EBA25"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D36A8A" w14:textId="617A50A3" w:rsidR="00136678" w:rsidRPr="002B3292" w:rsidRDefault="00136678" w:rsidP="00136678">
            <w:pPr>
              <w:pStyle w:val="TableDataEntries"/>
              <w:jc w:val="left"/>
            </w:pPr>
            <w:r>
              <w:rPr>
                <w:szCs w:val="16"/>
              </w:rPr>
              <w:t xml:space="preserve">Meat (excl beef), </w:t>
            </w:r>
            <w:proofErr w:type="spellStart"/>
            <w:r>
              <w:rPr>
                <w:szCs w:val="16"/>
              </w:rPr>
              <w:t>f.c.f</w:t>
            </w:r>
            <w:proofErr w:type="spellEnd"/>
            <w:r>
              <w:rPr>
                <w:szCs w:val="16"/>
              </w:rPr>
              <w: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AB1463" w14:textId="0A21F8E3" w:rsidR="00136678" w:rsidRPr="002B3292" w:rsidRDefault="00136678" w:rsidP="00136678">
            <w:pPr>
              <w:pStyle w:val="TableDataEntries"/>
            </w:pPr>
            <w:r>
              <w:rPr>
                <w:szCs w:val="16"/>
              </w:rPr>
              <w:t>243.38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39F526" w14:textId="7970953B" w:rsidR="00136678" w:rsidRPr="002B3292" w:rsidRDefault="00136678" w:rsidP="00136678">
            <w:pPr>
              <w:pStyle w:val="TableDataEntries"/>
            </w:pPr>
            <w:r>
              <w:rPr>
                <w:szCs w:val="16"/>
              </w:rPr>
              <w:t>1.40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7EB52F" w14:textId="511F85A6"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F981A5" w14:textId="4627BB86" w:rsidR="00136678" w:rsidRPr="002B3292" w:rsidRDefault="00136678" w:rsidP="00136678">
            <w:pPr>
              <w:pStyle w:val="TableDataEntries"/>
            </w:pPr>
            <w:r>
              <w:rPr>
                <w:szCs w:val="16"/>
              </w:rPr>
              <w:t>-1.38</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9EF9245" w14:textId="48334E6B" w:rsidR="00136678" w:rsidRPr="002B3292" w:rsidRDefault="00136678" w:rsidP="00136678">
            <w:pPr>
              <w:pStyle w:val="TableDataEntries"/>
            </w:pPr>
            <w:r>
              <w:rPr>
                <w:szCs w:val="16"/>
              </w:rPr>
              <w:t>8.80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CB6085" w14:textId="03F04EB0" w:rsidR="00136678" w:rsidRPr="002B3292" w:rsidRDefault="00136678" w:rsidP="00136678">
            <w:pPr>
              <w:pStyle w:val="TableDataEntries"/>
            </w:pPr>
            <w:r>
              <w:rPr>
                <w:szCs w:val="16"/>
              </w:rPr>
              <w:t>12.14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42A708" w14:textId="75787ACD" w:rsidR="00136678" w:rsidRPr="002B3292" w:rsidRDefault="00136678" w:rsidP="00136678">
            <w:pPr>
              <w:pStyle w:val="TableDataEntries"/>
            </w:pPr>
            <w:r>
              <w:rPr>
                <w:szCs w:val="16"/>
              </w:rPr>
              <w:t>29.54</w:t>
            </w:r>
          </w:p>
        </w:tc>
      </w:tr>
      <w:tr w:rsidR="00136678" w:rsidRPr="002B3292" w14:paraId="02F6DB86"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07E7EC" w14:textId="2A89A607" w:rsidR="00136678" w:rsidRPr="002B3292" w:rsidRDefault="00136678" w:rsidP="00136678">
            <w:pPr>
              <w:pStyle w:val="TableDataEntries"/>
              <w:jc w:val="left"/>
            </w:pPr>
            <w:r>
              <w:rPr>
                <w:szCs w:val="16"/>
              </w:rPr>
              <w:t xml:space="preserve">Vegetables, </w:t>
            </w:r>
            <w:proofErr w:type="spellStart"/>
            <w:r>
              <w:rPr>
                <w:szCs w:val="16"/>
              </w:rPr>
              <w:t>f.c.f</w:t>
            </w:r>
            <w:proofErr w:type="spellEnd"/>
            <w:r>
              <w:rPr>
                <w:szCs w:val="16"/>
              </w:rPr>
              <w: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591158" w14:textId="5D18DA5A" w:rsidR="00136678" w:rsidRPr="002B3292" w:rsidRDefault="00136678" w:rsidP="00136678">
            <w:pPr>
              <w:pStyle w:val="TableDataEntries"/>
            </w:pPr>
            <w:r>
              <w:rPr>
                <w:szCs w:val="16"/>
              </w:rPr>
              <w:t>199.19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FB10D1" w14:textId="76CBA055" w:rsidR="00136678" w:rsidRPr="002B3292" w:rsidRDefault="00136678" w:rsidP="00136678">
            <w:pPr>
              <w:pStyle w:val="TableDataEntries"/>
            </w:pPr>
            <w:r>
              <w:rPr>
                <w:szCs w:val="16"/>
              </w:rPr>
              <w:t>4.02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C11670" w14:textId="3D872242"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86B1EA" w14:textId="458229A6" w:rsidR="00136678" w:rsidRPr="002B3292" w:rsidRDefault="00136678" w:rsidP="00136678">
            <w:pPr>
              <w:pStyle w:val="TableDataEntries"/>
            </w:pPr>
            <w:r>
              <w:rPr>
                <w:szCs w:val="16"/>
              </w:rPr>
              <w:t>-3.87</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640EB7" w14:textId="5178BB88" w:rsidR="00136678" w:rsidRPr="002B3292" w:rsidRDefault="00136678" w:rsidP="00136678">
            <w:pPr>
              <w:pStyle w:val="TableDataEntries"/>
            </w:pPr>
            <w:r>
              <w:rPr>
                <w:szCs w:val="16"/>
              </w:rPr>
              <w:t>3.70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953880" w14:textId="0265D457" w:rsidR="00136678" w:rsidRPr="002B3292" w:rsidRDefault="00136678" w:rsidP="00136678">
            <w:pPr>
              <w:pStyle w:val="TableDataEntries"/>
            </w:pPr>
            <w:r>
              <w:rPr>
                <w:szCs w:val="16"/>
              </w:rPr>
              <w:t>14.32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A58547" w14:textId="01790E19" w:rsidR="00136678" w:rsidRPr="002B3292" w:rsidRDefault="00136678" w:rsidP="00136678">
            <w:pPr>
              <w:pStyle w:val="TableDataEntries"/>
            </w:pPr>
            <w:r>
              <w:rPr>
                <w:szCs w:val="16"/>
              </w:rPr>
              <w:t>28.52</w:t>
            </w:r>
          </w:p>
        </w:tc>
      </w:tr>
      <w:tr w:rsidR="00136678" w:rsidRPr="002B3292" w14:paraId="49573AF7"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505847" w14:textId="5CE4EB0A" w:rsidR="00136678" w:rsidRPr="002B3292" w:rsidRDefault="00136678" w:rsidP="00136678">
            <w:pPr>
              <w:pStyle w:val="TableDataEntries"/>
              <w:jc w:val="left"/>
            </w:pPr>
            <w:r>
              <w:rPr>
                <w:szCs w:val="16"/>
              </w:rPr>
              <w:t>Coal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578944" w14:textId="59ED1750" w:rsidR="00136678" w:rsidRPr="002B3292" w:rsidRDefault="00136678" w:rsidP="00136678">
            <w:pPr>
              <w:pStyle w:val="TableDataEntries"/>
            </w:pPr>
            <w:r>
              <w:rPr>
                <w:szCs w:val="16"/>
              </w:rPr>
              <w:t>91.62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39CEA4" w14:textId="758209E4"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B95AB9" w14:textId="75A43C69"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DA2952" w14:textId="187B49A2"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701EE2" w14:textId="2C49892D" w:rsidR="00136678" w:rsidRPr="002B3292" w:rsidRDefault="00136678" w:rsidP="00136678">
            <w:pPr>
              <w:pStyle w:val="TableDataEntries"/>
            </w:pPr>
            <w:r>
              <w:rPr>
                <w:szCs w:val="16"/>
              </w:rPr>
              <w:t>6.10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5D93C0" w14:textId="1F1FBD92" w:rsidR="00136678" w:rsidRPr="002B3292" w:rsidRDefault="00136678" w:rsidP="00136678">
            <w:pPr>
              <w:pStyle w:val="TableDataEntries"/>
            </w:pPr>
            <w:r>
              <w:rPr>
                <w:szCs w:val="16"/>
              </w:rPr>
              <w:t>29.05</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FA09D0" w14:textId="7CEE4229" w:rsidR="00136678" w:rsidRPr="002B3292" w:rsidRDefault="00136678" w:rsidP="00136678">
            <w:pPr>
              <w:pStyle w:val="TableDataEntries"/>
            </w:pPr>
            <w:r>
              <w:rPr>
                <w:szCs w:val="16"/>
              </w:rPr>
              <w:t>26.61</w:t>
            </w:r>
          </w:p>
        </w:tc>
      </w:tr>
      <w:tr w:rsidR="00136678" w:rsidRPr="002B3292" w14:paraId="6FA66E9A"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7DFDBB" w14:textId="04743214" w:rsidR="00136678" w:rsidRPr="002B3292" w:rsidRDefault="00136678" w:rsidP="00136678">
            <w:pPr>
              <w:pStyle w:val="TableDataEntries"/>
              <w:jc w:val="left"/>
            </w:pPr>
            <w:r>
              <w:rPr>
                <w:szCs w:val="16"/>
              </w:rPr>
              <w:t>Arms &amp; ammunition</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7BCD45" w14:textId="581571B9" w:rsidR="00136678" w:rsidRPr="002B3292" w:rsidRDefault="00136678" w:rsidP="00136678">
            <w:pPr>
              <w:pStyle w:val="TableDataEntries"/>
            </w:pPr>
            <w:r>
              <w:rPr>
                <w:szCs w:val="16"/>
              </w:rPr>
              <w:t>49.16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7E9DD7" w14:textId="4D6A60CE"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7A2FC6" w14:textId="671489A8"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87A3B5" w14:textId="714000F8"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A03C6E" w14:textId="154FAB17" w:rsidR="00136678" w:rsidRPr="002B3292" w:rsidRDefault="00136678" w:rsidP="00136678">
            <w:pPr>
              <w:pStyle w:val="TableDataEntries"/>
            </w:pPr>
            <w:r>
              <w:rPr>
                <w:szCs w:val="16"/>
              </w:rPr>
              <w:t>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3B3476" w14:textId="782087DE" w:rsidR="00136678" w:rsidRPr="002B3292" w:rsidRDefault="00136678" w:rsidP="00136678">
            <w:pPr>
              <w:pStyle w:val="TableDataEntries"/>
            </w:pPr>
            <w:r>
              <w:rPr>
                <w:szCs w:val="16"/>
              </w:rPr>
              <w:t>38.57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5846F1" w14:textId="639D3A28" w:rsidR="00136678" w:rsidRPr="002B3292" w:rsidRDefault="00136678" w:rsidP="00136678">
            <w:pPr>
              <w:pStyle w:val="TableDataEntries"/>
            </w:pPr>
            <w:r>
              <w:rPr>
                <w:szCs w:val="16"/>
              </w:rPr>
              <w:t>18.96</w:t>
            </w:r>
          </w:p>
        </w:tc>
      </w:tr>
      <w:tr w:rsidR="00136678" w:rsidRPr="002B3292" w14:paraId="2E8821FB"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EEE0F17" w14:textId="4DF1A88E" w:rsidR="00136678" w:rsidRPr="002B3292" w:rsidRDefault="00136678" w:rsidP="00136678">
            <w:pPr>
              <w:pStyle w:val="TableDataEntries"/>
              <w:jc w:val="left"/>
            </w:pPr>
            <w:r>
              <w:rPr>
                <w:szCs w:val="16"/>
              </w:rPr>
              <w:t>Worn clothing &amp; rags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C5DD03" w14:textId="792B836A" w:rsidR="00136678" w:rsidRPr="002B3292" w:rsidRDefault="00136678" w:rsidP="00136678">
            <w:pPr>
              <w:pStyle w:val="TableDataEntries"/>
            </w:pPr>
            <w:r>
              <w:rPr>
                <w:szCs w:val="16"/>
              </w:rPr>
              <w:t>53.05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BCBF5D" w14:textId="3F521E96"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06359E" w14:textId="6BBC6671"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43B848" w14:textId="2B93FBDA"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015961" w14:textId="761FCE1B" w:rsidR="00136678" w:rsidRPr="002B3292" w:rsidRDefault="00136678" w:rsidP="00136678">
            <w:pPr>
              <w:pStyle w:val="TableDataEntries"/>
            </w:pPr>
            <w:r>
              <w:rPr>
                <w:szCs w:val="16"/>
              </w:rPr>
              <w:t>7.40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CEB30E" w14:textId="636046E8" w:rsidR="00136678" w:rsidRPr="002B3292" w:rsidRDefault="00136678" w:rsidP="00136678">
            <w:pPr>
              <w:pStyle w:val="TableDataEntries"/>
            </w:pPr>
            <w:r>
              <w:rPr>
                <w:szCs w:val="16"/>
              </w:rPr>
              <w:t>35.24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B8119B" w14:textId="656F40E2" w:rsidR="00136678" w:rsidRPr="002B3292" w:rsidRDefault="00136678" w:rsidP="00136678">
            <w:pPr>
              <w:pStyle w:val="TableDataEntries"/>
            </w:pPr>
            <w:r>
              <w:rPr>
                <w:szCs w:val="16"/>
              </w:rPr>
              <w:t>18.69</w:t>
            </w:r>
          </w:p>
        </w:tc>
      </w:tr>
      <w:tr w:rsidR="00136678" w:rsidRPr="002B3292" w14:paraId="2DE30EDE"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8C5647" w14:textId="7353CE8B" w:rsidR="00136678" w:rsidRPr="002B3292" w:rsidRDefault="00136678" w:rsidP="00136678">
            <w:pPr>
              <w:pStyle w:val="TableDataEntries"/>
              <w:jc w:val="left"/>
            </w:pPr>
            <w:r>
              <w:rPr>
                <w:szCs w:val="16"/>
              </w:rPr>
              <w:t xml:space="preserve">Beef, </w:t>
            </w:r>
            <w:proofErr w:type="spellStart"/>
            <w:r>
              <w:rPr>
                <w:szCs w:val="16"/>
              </w:rPr>
              <w:t>f.c.f</w:t>
            </w:r>
            <w:proofErr w:type="spellEnd"/>
            <w:r>
              <w:rPr>
                <w:szCs w:val="16"/>
              </w:rPr>
              <w: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D6AF32" w14:textId="19CC66C7" w:rsidR="00136678" w:rsidRPr="002B3292" w:rsidRDefault="00136678" w:rsidP="00136678">
            <w:pPr>
              <w:pStyle w:val="TableDataEntries"/>
            </w:pPr>
            <w:r>
              <w:rPr>
                <w:szCs w:val="16"/>
              </w:rPr>
              <w:t>169.63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0BDCFE" w14:textId="0D21B2DC" w:rsidR="00136678" w:rsidRPr="002B3292" w:rsidRDefault="00136678" w:rsidP="00136678">
            <w:pPr>
              <w:pStyle w:val="TableDataEntries"/>
            </w:pPr>
            <w:r>
              <w:rPr>
                <w:szCs w:val="16"/>
              </w:rPr>
              <w:t>0.97</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29CF37" w14:textId="4307984B"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FF741B" w14:textId="27D96E27" w:rsidR="00136678" w:rsidRPr="002B3292" w:rsidRDefault="00136678" w:rsidP="00136678">
            <w:pPr>
              <w:pStyle w:val="TableDataEntries"/>
            </w:pPr>
            <w:r>
              <w:rPr>
                <w:szCs w:val="16"/>
              </w:rPr>
              <w:t>-0.96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1604DB" w14:textId="163488CD" w:rsidR="00136678" w:rsidRPr="002B3292" w:rsidRDefault="00136678" w:rsidP="00136678">
            <w:pPr>
              <w:pStyle w:val="TableDataEntries"/>
            </w:pPr>
            <w:r>
              <w:rPr>
                <w:szCs w:val="16"/>
              </w:rPr>
              <w:t>7.70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C4FF40" w14:textId="1EBBBDB5" w:rsidR="00136678" w:rsidRPr="002B3292" w:rsidRDefault="00136678" w:rsidP="00136678">
            <w:pPr>
              <w:pStyle w:val="TableDataEntries"/>
            </w:pPr>
            <w:r>
              <w:rPr>
                <w:szCs w:val="16"/>
              </w:rPr>
              <w:t>7.38</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813535" w14:textId="2120317D" w:rsidR="00136678" w:rsidRPr="002B3292" w:rsidRDefault="00136678" w:rsidP="00136678">
            <w:pPr>
              <w:pStyle w:val="TableDataEntries"/>
            </w:pPr>
            <w:r>
              <w:rPr>
                <w:szCs w:val="16"/>
              </w:rPr>
              <w:t>12.52</w:t>
            </w:r>
          </w:p>
        </w:tc>
      </w:tr>
      <w:tr w:rsidR="00136678" w:rsidRPr="002B3292" w14:paraId="4185CD46"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BE219A" w14:textId="7544866D" w:rsidR="00136678" w:rsidRPr="002B3292" w:rsidRDefault="00136678" w:rsidP="00136678">
            <w:pPr>
              <w:pStyle w:val="TableDataEntries"/>
              <w:jc w:val="left"/>
            </w:pPr>
            <w:r>
              <w:rPr>
                <w:szCs w:val="16"/>
              </w:rPr>
              <w:t>Zinc</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1C11AB" w14:textId="73889D14" w:rsidR="00136678" w:rsidRPr="002B3292" w:rsidRDefault="00136678" w:rsidP="00136678">
            <w:pPr>
              <w:pStyle w:val="TableDataEntries"/>
            </w:pPr>
            <w:r>
              <w:rPr>
                <w:szCs w:val="16"/>
              </w:rPr>
              <w:t>30.52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DECFB9" w14:textId="036AE723"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D3B6C3" w14:textId="0F640DF3"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917266A" w14:textId="6DC6CCA7"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29869A" w14:textId="433EDD3E" w:rsidR="00136678" w:rsidRPr="002B3292" w:rsidRDefault="00136678" w:rsidP="00136678">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1D9078" w14:textId="557DC963" w:rsidR="00136678" w:rsidRPr="002B3292" w:rsidRDefault="00136678" w:rsidP="00136678">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3C3339" w14:textId="03426130" w:rsidR="00136678" w:rsidRPr="002B3292" w:rsidRDefault="00136678" w:rsidP="00136678">
            <w:pPr>
              <w:pStyle w:val="TableDataEntries"/>
            </w:pPr>
            <w:r>
              <w:rPr>
                <w:szCs w:val="16"/>
              </w:rPr>
              <w:t>12.21</w:t>
            </w:r>
          </w:p>
        </w:tc>
      </w:tr>
      <w:tr w:rsidR="00136678" w:rsidRPr="002B3292" w14:paraId="0D82C7F9"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20DFC7" w14:textId="5233FFC1" w:rsidR="00136678" w:rsidRPr="002B3292" w:rsidRDefault="00136678" w:rsidP="00136678">
            <w:pPr>
              <w:pStyle w:val="TableDataEntries"/>
              <w:jc w:val="left"/>
            </w:pPr>
            <w:r>
              <w:rPr>
                <w:szCs w:val="16"/>
              </w:rPr>
              <w:t>Uncoated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35BDF8" w14:textId="5D027B2E" w:rsidR="00136678" w:rsidRPr="002B3292" w:rsidRDefault="00136678" w:rsidP="00136678">
            <w:pPr>
              <w:pStyle w:val="TableDataEntries"/>
            </w:pPr>
            <w:r>
              <w:rPr>
                <w:szCs w:val="16"/>
              </w:rPr>
              <w:t>42.99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C5A36B" w14:textId="02AD9018"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1B0EEB" w14:textId="083FE2F4"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183F69" w14:textId="10EB95BA"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458A85" w14:textId="5DE215B0" w:rsidR="00136678" w:rsidRPr="002B3292" w:rsidRDefault="00136678" w:rsidP="00136678">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DFCEF5" w14:textId="17B58104" w:rsidR="00136678" w:rsidRPr="002B3292" w:rsidRDefault="00136678" w:rsidP="00136678">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136127" w14:textId="486ABA56" w:rsidR="00136678" w:rsidRPr="002B3292" w:rsidRDefault="00136678" w:rsidP="00136678">
            <w:pPr>
              <w:pStyle w:val="TableDataEntries"/>
            </w:pPr>
            <w:r>
              <w:rPr>
                <w:szCs w:val="16"/>
              </w:rPr>
              <w:t>12.08</w:t>
            </w:r>
          </w:p>
        </w:tc>
      </w:tr>
      <w:tr w:rsidR="00136678" w:rsidRPr="002B3292" w14:paraId="0339151E"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3E54C6" w14:textId="3136FA14" w:rsidR="00136678" w:rsidRPr="002B3292" w:rsidRDefault="00136678" w:rsidP="00136678">
            <w:pPr>
              <w:pStyle w:val="TableDataEntries"/>
              <w:jc w:val="left"/>
            </w:pPr>
            <w:r>
              <w:rPr>
                <w:szCs w:val="16"/>
              </w:rPr>
              <w:t>Nickel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472E6A" w14:textId="0B4EF647" w:rsidR="00136678" w:rsidRPr="002B3292" w:rsidRDefault="00136678" w:rsidP="00136678">
            <w:pPr>
              <w:pStyle w:val="TableDataEntries"/>
            </w:pPr>
            <w:r>
              <w:rPr>
                <w:szCs w:val="16"/>
              </w:rPr>
              <w:t>27.69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4CC3CFF" w14:textId="1F21B4DD"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4CEE15" w14:textId="687CBC82"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456879A" w14:textId="2A35B7AC"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9CEEF8" w14:textId="07D5E017" w:rsidR="00136678" w:rsidRPr="002B3292" w:rsidRDefault="00136678" w:rsidP="00136678">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8879A1" w14:textId="00E6A44D" w:rsidR="00136678" w:rsidRPr="002B3292" w:rsidRDefault="00136678" w:rsidP="00136678">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AF1804" w14:textId="61115DE2" w:rsidR="00136678" w:rsidRPr="002B3292" w:rsidRDefault="00136678" w:rsidP="00136678">
            <w:pPr>
              <w:pStyle w:val="TableDataEntries"/>
            </w:pPr>
            <w:r>
              <w:rPr>
                <w:szCs w:val="16"/>
              </w:rPr>
              <w:t>11.08</w:t>
            </w:r>
          </w:p>
        </w:tc>
      </w:tr>
      <w:tr w:rsidR="00136678" w:rsidRPr="002B3292" w14:paraId="6B35B1BB"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EBD433" w14:textId="59C48F79" w:rsidR="00136678" w:rsidRPr="002B3292" w:rsidRDefault="00136678" w:rsidP="00136678">
            <w:pPr>
              <w:pStyle w:val="TableDataEntries"/>
              <w:jc w:val="left"/>
            </w:pPr>
            <w:r>
              <w:rPr>
                <w:szCs w:val="16"/>
              </w:rPr>
              <w:t>Milk, cream, whey &amp; yoghurt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387A20" w14:textId="5AD4BFEA" w:rsidR="00136678" w:rsidRPr="002B3292" w:rsidRDefault="00136678" w:rsidP="00136678">
            <w:pPr>
              <w:pStyle w:val="TableDataEntries"/>
            </w:pPr>
            <w:r>
              <w:rPr>
                <w:szCs w:val="16"/>
              </w:rPr>
              <w:t>53.66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B2070C" w14:textId="7E43EE22"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C54701" w14:textId="7DE31D39" w:rsidR="00136678" w:rsidRPr="002B3292" w:rsidRDefault="00136678" w:rsidP="00136678">
            <w:pPr>
              <w:pStyle w:val="TableDataEntries"/>
            </w:pPr>
            <w:r>
              <w:rPr>
                <w:szCs w:val="16"/>
              </w:rPr>
              <w:t>2.24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41BDB7" w14:textId="4BFA3ACD" w:rsidR="00136678" w:rsidRPr="002B3292" w:rsidRDefault="00136678" w:rsidP="00136678">
            <w:pPr>
              <w:pStyle w:val="TableDataEntries"/>
            </w:pPr>
            <w:r>
              <w:rPr>
                <w:szCs w:val="16"/>
              </w:rPr>
              <w:t>-2.63</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17F2D7" w14:textId="1CC57885" w:rsidR="00136678" w:rsidRPr="002B3292" w:rsidRDefault="00136678" w:rsidP="00136678">
            <w:pPr>
              <w:pStyle w:val="TableDataEntries"/>
            </w:pPr>
            <w:r>
              <w:rPr>
                <w:szCs w:val="16"/>
              </w:rPr>
              <w:t>7.30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CC0861" w14:textId="3971B12F" w:rsidR="00136678" w:rsidRPr="002B3292" w:rsidRDefault="00136678" w:rsidP="00136678">
            <w:pPr>
              <w:pStyle w:val="TableDataEntries"/>
            </w:pPr>
            <w:r>
              <w:rPr>
                <w:szCs w:val="16"/>
              </w:rPr>
              <w:t>19.18</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6A6F1F" w14:textId="7AA378AC" w:rsidR="00136678" w:rsidRPr="002B3292" w:rsidRDefault="00136678" w:rsidP="00136678">
            <w:pPr>
              <w:pStyle w:val="TableDataEntries"/>
            </w:pPr>
            <w:r>
              <w:rPr>
                <w:szCs w:val="16"/>
              </w:rPr>
              <w:t>10.29</w:t>
            </w:r>
          </w:p>
        </w:tc>
      </w:tr>
      <w:tr w:rsidR="00136678" w:rsidRPr="002B3292" w14:paraId="1614D9F8"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F038FE" w14:textId="3BCEB4E5" w:rsidR="00136678" w:rsidRPr="002B3292" w:rsidRDefault="00136678" w:rsidP="00136678">
            <w:pPr>
              <w:pStyle w:val="TableDataEntries"/>
              <w:jc w:val="left"/>
            </w:pPr>
            <w:r>
              <w:rPr>
                <w:szCs w:val="16"/>
              </w:rPr>
              <w:t>Perfumery &amp; cosmetics (excl soap)</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C7100F" w14:textId="563B092A" w:rsidR="00136678" w:rsidRPr="002B3292" w:rsidRDefault="00136678" w:rsidP="00136678">
            <w:pPr>
              <w:pStyle w:val="TableDataEntries"/>
            </w:pPr>
            <w:r>
              <w:rPr>
                <w:szCs w:val="16"/>
              </w:rPr>
              <w:t>29.05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BFFA99" w14:textId="4CF1AB2E"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FD8FD5" w14:textId="4A2CB422"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83A675" w14:textId="27A74343"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95CCAA" w14:textId="7382EB54" w:rsidR="00136678" w:rsidRPr="002B3292" w:rsidRDefault="00136678" w:rsidP="00136678">
            <w:pPr>
              <w:pStyle w:val="TableDataEntries"/>
            </w:pPr>
            <w:r>
              <w:rPr>
                <w:szCs w:val="16"/>
              </w:rPr>
              <w:t>6.60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D980C1" w14:textId="6D99EA3E" w:rsidR="00136678" w:rsidRPr="002B3292" w:rsidRDefault="00136678" w:rsidP="00136678">
            <w:pPr>
              <w:pStyle w:val="TableDataEntries"/>
            </w:pPr>
            <w:r>
              <w:rPr>
                <w:szCs w:val="16"/>
              </w:rPr>
              <w:t>31.43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2D54A3" w14:textId="070EF654" w:rsidR="00136678" w:rsidRPr="002B3292" w:rsidRDefault="00136678" w:rsidP="00136678">
            <w:pPr>
              <w:pStyle w:val="TableDataEntries"/>
            </w:pPr>
            <w:r>
              <w:rPr>
                <w:szCs w:val="16"/>
              </w:rPr>
              <w:t>9.13</w:t>
            </w:r>
          </w:p>
        </w:tc>
      </w:tr>
      <w:tr w:rsidR="00136678" w:rsidRPr="002B3292" w14:paraId="731842CE"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FAB02C" w14:textId="541FB23F" w:rsidR="00136678" w:rsidRPr="002B3292" w:rsidRDefault="00136678" w:rsidP="00136678">
            <w:pPr>
              <w:pStyle w:val="TableDataEntries"/>
              <w:jc w:val="left"/>
            </w:pPr>
            <w:r>
              <w:rPr>
                <w:szCs w:val="16"/>
              </w:rPr>
              <w:t xml:space="preserve">Edible products &amp; preparations, </w:t>
            </w:r>
            <w:proofErr w:type="spellStart"/>
            <w:r>
              <w:rPr>
                <w:szCs w:val="16"/>
              </w:rPr>
              <w:t>nes</w:t>
            </w:r>
            <w:proofErr w:type="spellEnd"/>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4560DA" w14:textId="04CC1B40" w:rsidR="00136678" w:rsidRPr="002B3292" w:rsidRDefault="00136678" w:rsidP="00136678">
            <w:pPr>
              <w:pStyle w:val="TableDataEntries"/>
            </w:pPr>
            <w:r>
              <w:rPr>
                <w:szCs w:val="16"/>
              </w:rPr>
              <w:t>47.06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A14F01" w14:textId="5CB54BFD" w:rsidR="00136678" w:rsidRPr="002B3292" w:rsidRDefault="00136678" w:rsidP="00136678">
            <w:pPr>
              <w:pStyle w:val="TableDataEntries"/>
            </w:pPr>
            <w:r>
              <w:rPr>
                <w:szCs w:val="16"/>
              </w:rPr>
              <w:t>4.99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60C1F6" w14:textId="1E4EA566"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FDEA15" w14:textId="12416C36"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0A213D" w14:textId="3E66CF0E" w:rsidR="00136678" w:rsidRPr="002B3292" w:rsidRDefault="00136678" w:rsidP="00136678">
            <w:pPr>
              <w:pStyle w:val="TableDataEntries"/>
            </w:pPr>
            <w:r>
              <w:rPr>
                <w:szCs w:val="16"/>
              </w:rPr>
              <w:t>4.00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A9F382" w14:textId="7C8358DF" w:rsidR="00136678" w:rsidRPr="002B3292" w:rsidRDefault="00136678" w:rsidP="00136678">
            <w:pPr>
              <w:pStyle w:val="TableDataEntries"/>
            </w:pPr>
            <w:r>
              <w:rPr>
                <w:szCs w:val="16"/>
              </w:rPr>
              <w:t>19.02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EF8D9B" w14:textId="421444EB" w:rsidR="00136678" w:rsidRPr="002B3292" w:rsidRDefault="00136678" w:rsidP="00136678">
            <w:pPr>
              <w:pStyle w:val="TableDataEntries"/>
            </w:pPr>
            <w:r>
              <w:rPr>
                <w:szCs w:val="16"/>
              </w:rPr>
              <w:t>8.95</w:t>
            </w:r>
          </w:p>
        </w:tc>
      </w:tr>
      <w:tr w:rsidR="00136678" w:rsidRPr="002B3292" w14:paraId="1611DD79"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C7CE54" w14:textId="3042F068" w:rsidR="00136678" w:rsidRPr="002B3292" w:rsidRDefault="00136678" w:rsidP="00136678">
            <w:pPr>
              <w:pStyle w:val="TableDataEntries"/>
              <w:jc w:val="left"/>
            </w:pPr>
            <w:r>
              <w:rPr>
                <w:szCs w:val="16"/>
              </w:rPr>
              <w:t>Aircraft, spacecraft &amp; parts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4318CD" w14:textId="08FFB2FC" w:rsidR="00136678" w:rsidRPr="002B3292" w:rsidRDefault="00136678" w:rsidP="00136678">
            <w:pPr>
              <w:pStyle w:val="TableDataEntries"/>
            </w:pPr>
            <w:r>
              <w:rPr>
                <w:szCs w:val="16"/>
              </w:rPr>
              <w:t>21.29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91B315D" w14:textId="211F7EFF"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417BCE" w14:textId="53D782FC"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37467B" w14:textId="6DAB1ABF"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97C2D0" w14:textId="7726E50D" w:rsidR="00136678" w:rsidRPr="002B3292" w:rsidRDefault="00136678" w:rsidP="00136678">
            <w:pPr>
              <w:pStyle w:val="TableDataEntries"/>
            </w:pPr>
            <w:r>
              <w:rPr>
                <w:szCs w:val="16"/>
              </w:rPr>
              <w:t>8.60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196F25" w14:textId="43ACD4E2" w:rsidR="00136678" w:rsidRPr="002B3292" w:rsidRDefault="00136678" w:rsidP="00136678">
            <w:pPr>
              <w:pStyle w:val="TableDataEntries"/>
            </w:pPr>
            <w:r>
              <w:rPr>
                <w:szCs w:val="16"/>
              </w:rPr>
              <w:t>40.94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C9A028" w14:textId="4EEC1C5B" w:rsidR="00136678" w:rsidRPr="002B3292" w:rsidRDefault="00136678" w:rsidP="00136678">
            <w:pPr>
              <w:pStyle w:val="TableDataEntries"/>
            </w:pPr>
            <w:r>
              <w:rPr>
                <w:szCs w:val="16"/>
              </w:rPr>
              <w:t>8.72</w:t>
            </w:r>
          </w:p>
        </w:tc>
      </w:tr>
      <w:tr w:rsidR="00136678" w:rsidRPr="002B3292" w14:paraId="39E2470A"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6A349D" w14:textId="0E5E3011" w:rsidR="00136678" w:rsidRPr="002B3292" w:rsidRDefault="00136678" w:rsidP="00136678">
            <w:pPr>
              <w:pStyle w:val="TableDataEntries"/>
              <w:jc w:val="left"/>
            </w:pPr>
            <w:r>
              <w:rPr>
                <w:szCs w:val="16"/>
              </w:rPr>
              <w:t>Jewellery</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7133B6" w14:textId="548D09EB" w:rsidR="00136678" w:rsidRPr="002B3292" w:rsidRDefault="00136678" w:rsidP="00136678">
            <w:pPr>
              <w:pStyle w:val="TableDataEntries"/>
            </w:pPr>
            <w:r>
              <w:rPr>
                <w:szCs w:val="16"/>
              </w:rPr>
              <w:t>23.06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D9D4A9" w14:textId="56559417"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C047DD" w14:textId="42521695"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91B569" w14:textId="44BD8D42"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E96BF6" w14:textId="716C0A72" w:rsidR="00136678" w:rsidRPr="002B3292" w:rsidRDefault="00136678" w:rsidP="00136678">
            <w:pPr>
              <w:pStyle w:val="TableDataEntries"/>
            </w:pPr>
            <w:r>
              <w:rPr>
                <w:szCs w:val="16"/>
              </w:rPr>
              <w:t>7.50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DFAF02" w14:textId="320469FB" w:rsidR="00136678" w:rsidRPr="002B3292" w:rsidRDefault="00136678" w:rsidP="00136678">
            <w:pPr>
              <w:pStyle w:val="TableDataEntries"/>
            </w:pPr>
            <w:r>
              <w:rPr>
                <w:szCs w:val="16"/>
              </w:rPr>
              <w:t>35.71</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49B645" w14:textId="5370B8BF" w:rsidR="00136678" w:rsidRPr="002B3292" w:rsidRDefault="00136678" w:rsidP="00136678">
            <w:pPr>
              <w:pStyle w:val="TableDataEntries"/>
            </w:pPr>
            <w:r>
              <w:rPr>
                <w:szCs w:val="16"/>
              </w:rPr>
              <w:t>8.23</w:t>
            </w:r>
          </w:p>
        </w:tc>
      </w:tr>
      <w:tr w:rsidR="00136678" w:rsidRPr="002B3292" w14:paraId="5549BE0A"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CC1988" w14:textId="2407B4A9" w:rsidR="00136678" w:rsidRPr="002B3292" w:rsidRDefault="00136678" w:rsidP="00136678">
            <w:pPr>
              <w:pStyle w:val="TableDataEntries"/>
              <w:jc w:val="left"/>
            </w:pPr>
            <w:r>
              <w:rPr>
                <w:szCs w:val="16"/>
              </w:rPr>
              <w:t>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FC5A84" w14:textId="633A3A07" w:rsidR="00136678" w:rsidRPr="002B3292" w:rsidRDefault="00136678" w:rsidP="00136678">
            <w:pPr>
              <w:pStyle w:val="TableDataEntries"/>
            </w:pPr>
            <w:r>
              <w:rPr>
                <w:szCs w:val="16"/>
              </w:rPr>
              <w:t>25.23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2920D7" w14:textId="2B87D142"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DDBC5C" w14:textId="30901216"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8FF09B" w14:textId="419A13EE"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0E6CB0" w14:textId="1F86ACAE" w:rsidR="00136678" w:rsidRPr="002B3292" w:rsidRDefault="00136678" w:rsidP="00136678">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26C5183" w14:textId="3D935201" w:rsidR="00136678" w:rsidRPr="002B3292" w:rsidRDefault="00136678" w:rsidP="00136678">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7FE38F" w14:textId="25651130" w:rsidR="00136678" w:rsidRPr="002B3292" w:rsidRDefault="00136678" w:rsidP="00136678">
            <w:pPr>
              <w:pStyle w:val="TableDataEntries"/>
            </w:pPr>
            <w:r>
              <w:rPr>
                <w:szCs w:val="16"/>
              </w:rPr>
              <w:t>7.09</w:t>
            </w:r>
          </w:p>
        </w:tc>
      </w:tr>
      <w:tr w:rsidR="00136678" w:rsidRPr="002B3292" w14:paraId="7A0070A0" w14:textId="77777777" w:rsidTr="00136678">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0C5E5A" w14:textId="10C9B16C" w:rsidR="00136678" w:rsidRPr="002B3292" w:rsidRDefault="00136678" w:rsidP="00136678">
            <w:pPr>
              <w:pStyle w:val="TableDataEntries"/>
              <w:jc w:val="left"/>
            </w:pPr>
            <w:r>
              <w:rPr>
                <w:szCs w:val="16"/>
              </w:rPr>
              <w:t>Wool &amp; other animal hair (incl tops)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8C5892" w14:textId="6260B49E" w:rsidR="00136678" w:rsidRPr="002B3292" w:rsidRDefault="00136678" w:rsidP="00136678">
            <w:pPr>
              <w:pStyle w:val="TableDataEntries"/>
            </w:pPr>
            <w:r>
              <w:rPr>
                <w:szCs w:val="16"/>
              </w:rPr>
              <w:t>10.45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2EA385" w14:textId="53168ABE" w:rsidR="00136678" w:rsidRPr="002B3292" w:rsidRDefault="00136678" w:rsidP="00136678">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43EDEC" w14:textId="7571EB9B" w:rsidR="00136678" w:rsidRPr="002B3292" w:rsidRDefault="00136678" w:rsidP="00136678">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0B50F3" w14:textId="7ACDEB40" w:rsidR="00136678" w:rsidRPr="002B3292" w:rsidRDefault="00136678" w:rsidP="00136678">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2D486E" w14:textId="14E9664E" w:rsidR="00136678" w:rsidRPr="002B3292" w:rsidRDefault="00136678" w:rsidP="00136678">
            <w:pPr>
              <w:pStyle w:val="TableDataEntries"/>
            </w:pPr>
            <w:r>
              <w:rPr>
                <w:szCs w:val="16"/>
              </w:rPr>
              <w:t>12.90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4068BE" w14:textId="69BE8DE9" w:rsidR="00136678" w:rsidRPr="002B3292" w:rsidRDefault="00136678" w:rsidP="00136678">
            <w:pPr>
              <w:pStyle w:val="TableDataEntries"/>
            </w:pPr>
            <w:r>
              <w:rPr>
                <w:szCs w:val="16"/>
              </w:rPr>
              <w:t>61.43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FF377D" w14:textId="7CF09111" w:rsidR="00136678" w:rsidRPr="002B3292" w:rsidRDefault="00136678" w:rsidP="00136678">
            <w:pPr>
              <w:pStyle w:val="TableDataEntries"/>
            </w:pPr>
            <w:r>
              <w:rPr>
                <w:szCs w:val="16"/>
              </w:rPr>
              <w:t>6.42</w:t>
            </w:r>
          </w:p>
        </w:tc>
      </w:tr>
      <w:tr w:rsidR="00136678" w:rsidRPr="00136678" w14:paraId="178C7376" w14:textId="77777777" w:rsidTr="00BE6147">
        <w:trPr>
          <w:trHeight w:val="252"/>
        </w:trPr>
        <w:tc>
          <w:tcPr>
            <w:tcW w:w="244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7DEDAF7E" w14:textId="1EC34F3B" w:rsidR="00136678" w:rsidRPr="00136678" w:rsidRDefault="00136678" w:rsidP="00136678">
            <w:pPr>
              <w:pStyle w:val="TableDataEntries"/>
              <w:jc w:val="left"/>
              <w:rPr>
                <w:rFonts w:ascii="Franklin Gothic Demi" w:hAnsi="Franklin Gothic Demi"/>
              </w:rPr>
            </w:pPr>
            <w:r w:rsidRPr="00136678">
              <w:rPr>
                <w:rFonts w:ascii="Franklin Gothic Demi" w:hAnsi="Franklin Gothic Demi"/>
                <w:szCs w:val="16"/>
              </w:rPr>
              <w:t>Total</w:t>
            </w:r>
          </w:p>
        </w:tc>
        <w:tc>
          <w:tcPr>
            <w:tcW w:w="78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2728144" w14:textId="6F8C7568" w:rsidR="00136678" w:rsidRPr="00136678" w:rsidRDefault="00136678" w:rsidP="00136678">
            <w:pPr>
              <w:pStyle w:val="TableDataEntries"/>
              <w:rPr>
                <w:rFonts w:ascii="Franklin Gothic Demi" w:hAnsi="Franklin Gothic Demi"/>
              </w:rPr>
            </w:pPr>
            <w:r w:rsidRPr="00136678">
              <w:rPr>
                <w:rFonts w:ascii="Franklin Gothic Demi" w:hAnsi="Franklin Gothic Demi"/>
                <w:szCs w:val="16"/>
              </w:rPr>
              <w:t>2,954.14</w:t>
            </w:r>
          </w:p>
        </w:tc>
        <w:tc>
          <w:tcPr>
            <w:tcW w:w="78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1DD5D75C" w14:textId="40F95FED" w:rsidR="00136678" w:rsidRPr="00136678" w:rsidRDefault="00B70E33" w:rsidP="00136678">
            <w:pPr>
              <w:pStyle w:val="TableDataEntries"/>
              <w:rPr>
                <w:rFonts w:ascii="Franklin Gothic Demi" w:hAnsi="Franklin Gothic Demi"/>
              </w:rPr>
            </w:pPr>
            <w:r>
              <w:rPr>
                <w:rFonts w:ascii="Franklin Gothic Demi" w:hAnsi="Franklin Gothic Demi"/>
              </w:rPr>
              <w:t>-</w:t>
            </w:r>
          </w:p>
        </w:tc>
        <w:tc>
          <w:tcPr>
            <w:tcW w:w="78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FB3AD1B" w14:textId="25D60059" w:rsidR="00136678" w:rsidRPr="00136678" w:rsidRDefault="00B70E33" w:rsidP="00136678">
            <w:pPr>
              <w:pStyle w:val="TableDataEntries"/>
              <w:rPr>
                <w:rFonts w:ascii="Franklin Gothic Demi" w:hAnsi="Franklin Gothic Demi"/>
              </w:rPr>
            </w:pPr>
            <w:r>
              <w:rPr>
                <w:rFonts w:ascii="Franklin Gothic Demi" w:hAnsi="Franklin Gothic Demi"/>
              </w:rPr>
              <w:t>-</w:t>
            </w: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1B049FA1" w14:textId="4453DFBB" w:rsidR="00136678" w:rsidRPr="00136678" w:rsidRDefault="00B70E33" w:rsidP="00136678">
            <w:pPr>
              <w:pStyle w:val="TableDataEntries"/>
              <w:rPr>
                <w:rFonts w:ascii="Franklin Gothic Demi" w:hAnsi="Franklin Gothic Demi"/>
              </w:rPr>
            </w:pPr>
            <w:r>
              <w:rPr>
                <w:rFonts w:ascii="Franklin Gothic Demi" w:hAnsi="Franklin Gothic Demi"/>
              </w:rPr>
              <w:t>-</w:t>
            </w:r>
          </w:p>
        </w:tc>
        <w:tc>
          <w:tcPr>
            <w:tcW w:w="88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1B6CAD85" w14:textId="1211EAC1" w:rsidR="00136678" w:rsidRPr="00136678" w:rsidRDefault="00B70E33" w:rsidP="00136678">
            <w:pPr>
              <w:pStyle w:val="TableDataEntries"/>
              <w:rPr>
                <w:rFonts w:ascii="Franklin Gothic Demi" w:hAnsi="Franklin Gothic Demi"/>
              </w:rPr>
            </w:pPr>
            <w:r>
              <w:rPr>
                <w:rFonts w:ascii="Franklin Gothic Demi" w:hAnsi="Franklin Gothic Demi"/>
              </w:rPr>
              <w:t>-</w:t>
            </w: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33498C7A" w14:textId="73257E17" w:rsidR="00136678" w:rsidRPr="00136678" w:rsidRDefault="00B70E33" w:rsidP="00136678">
            <w:pPr>
              <w:pStyle w:val="TableDataEntries"/>
              <w:rPr>
                <w:rFonts w:ascii="Franklin Gothic Demi" w:hAnsi="Franklin Gothic Demi"/>
              </w:rPr>
            </w:pPr>
            <w:r>
              <w:rPr>
                <w:rFonts w:ascii="Franklin Gothic Demi" w:hAnsi="Franklin Gothic Demi"/>
              </w:rPr>
              <w:t>-</w:t>
            </w: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79EF0E6" w14:textId="44110217" w:rsidR="00136678" w:rsidRPr="00136678" w:rsidRDefault="00136678" w:rsidP="00136678">
            <w:pPr>
              <w:pStyle w:val="TableDataEntries"/>
              <w:rPr>
                <w:rFonts w:ascii="Franklin Gothic Demi" w:hAnsi="Franklin Gothic Demi"/>
              </w:rPr>
            </w:pPr>
            <w:r w:rsidRPr="00136678">
              <w:rPr>
                <w:rFonts w:ascii="Franklin Gothic Demi" w:hAnsi="Franklin Gothic Demi"/>
                <w:szCs w:val="16"/>
              </w:rPr>
              <w:t>559.74</w:t>
            </w:r>
          </w:p>
        </w:tc>
      </w:tr>
    </w:tbl>
    <w:p w14:paraId="0236296C" w14:textId="77777777" w:rsidR="001E3500" w:rsidRPr="00E4232C" w:rsidRDefault="001E3500" w:rsidP="001E3500">
      <w:pPr>
        <w:pStyle w:val="Note"/>
      </w:pPr>
      <w:proofErr w:type="gramStart"/>
      <w:r w:rsidRPr="00E4232C">
        <w:rPr>
          <w:rStyle w:val="NoteLabel"/>
        </w:rPr>
        <w:t>a</w:t>
      </w:r>
      <w:proofErr w:type="gramEnd"/>
      <w:r>
        <w:t xml:space="preserve"> </w:t>
      </w:r>
      <w:r w:rsidRPr="00F907AC">
        <w:t>Australia's average annual exports to the UAE over three years from 2021 to 2023</w:t>
      </w:r>
    </w:p>
    <w:p w14:paraId="72DFC682" w14:textId="77777777" w:rsidR="001E3500" w:rsidRDefault="001E3500" w:rsidP="001E3500">
      <w:pPr>
        <w:pStyle w:val="Source"/>
        <w:rPr>
          <w:lang w:bidi="fa-IR"/>
        </w:rPr>
      </w:pPr>
      <w:r w:rsidRPr="002B3292">
        <w:rPr>
          <w:i/>
          <w:lang w:bidi="fa-IR"/>
        </w:rPr>
        <w:t>Source:</w:t>
      </w:r>
      <w:r>
        <w:rPr>
          <w:lang w:bidi="fa-IR"/>
        </w:rPr>
        <w:t xml:space="preserve"> CIE estimates</w:t>
      </w:r>
    </w:p>
    <w:p w14:paraId="627F886D" w14:textId="3F3763DD" w:rsidR="001E3500" w:rsidRDefault="00FC6DE6" w:rsidP="00AD1001">
      <w:pPr>
        <w:pStyle w:val="Heading2"/>
        <w:rPr>
          <w:lang w:bidi="fa-IR"/>
        </w:rPr>
      </w:pPr>
      <w:r>
        <w:rPr>
          <w:lang w:bidi="fa-IR"/>
        </w:rPr>
        <w:lastRenderedPageBreak/>
        <w:t>Indian FTA</w:t>
      </w:r>
    </w:p>
    <w:p w14:paraId="0E5866E7" w14:textId="55AE9FA3" w:rsidR="00F24969" w:rsidRPr="00F24969" w:rsidRDefault="00F24969" w:rsidP="00F24969">
      <w:pPr>
        <w:pStyle w:val="BodyText"/>
        <w:rPr>
          <w:lang w:bidi="fa-IR"/>
        </w:rPr>
      </w:pPr>
      <w:r>
        <w:rPr>
          <w:lang w:bidi="fa-IR"/>
        </w:rPr>
        <w:t>This is an updated table to the original B.3</w:t>
      </w:r>
      <w:r w:rsidR="00193D7D">
        <w:rPr>
          <w:lang w:bidi="fa-IR"/>
        </w:rPr>
        <w:t>, which estimates the top 20 growing export sectors (at SITC-3 digit</w:t>
      </w:r>
      <w:r w:rsidR="00F02BD6">
        <w:rPr>
          <w:lang w:bidi="fa-IR"/>
        </w:rPr>
        <w:t>) under the Indian FTA in Year 10</w:t>
      </w:r>
      <w:r>
        <w:rPr>
          <w:lang w:bidi="fa-IR"/>
        </w:rPr>
        <w:t>.</w:t>
      </w:r>
    </w:p>
    <w:p w14:paraId="54512B27" w14:textId="01F3DC48" w:rsidR="00FC6DE6" w:rsidRDefault="00FC6DE6" w:rsidP="00FC6DE6">
      <w:pPr>
        <w:pStyle w:val="Caption"/>
      </w:pPr>
      <w:r w:rsidRPr="00695C93">
        <w:fldChar w:fldCharType="begin"/>
      </w:r>
      <w:r w:rsidRPr="00695C93">
        <w:instrText xml:space="preserve"> IF 1 = 1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w:instrText>
      </w:r>
      <w:r>
        <w:fldChar w:fldCharType="begin"/>
      </w:r>
      <w:r>
        <w:instrText xml:space="preserve"> STYLEREF "Heading 1" \l \n </w:instrText>
      </w:r>
      <w:r>
        <w:fldChar w:fldCharType="separate"/>
      </w:r>
      <w:r>
        <w:rPr>
          <w:noProof/>
        </w:rPr>
        <w:instrText>2</w:instrText>
      </w:r>
      <w:r>
        <w:rPr>
          <w:noProof/>
        </w:rPr>
        <w:fldChar w:fldCharType="end"/>
      </w:r>
      <w:r w:rsidRPr="00695C93">
        <w:instrText xml:space="preserve">." </w:instrText>
      </w:r>
      <w:r w:rsidRPr="00695C93">
        <w:fldChar w:fldCharType="end"/>
      </w:r>
      <w:r w:rsidRPr="00695C93">
        <w:instrText>"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w:instrText>
      </w:r>
      <w:r w:rsidRPr="00695C93">
        <w:fldChar w:fldCharType="separate"/>
      </w:r>
      <w:r w:rsidR="00586CBD">
        <w:rPr>
          <w:noProof/>
        </w:rPr>
        <w:instrText>A</w:instrText>
      </w:r>
      <w:r w:rsidR="00586CBD"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fldChar w:fldCharType="begin"/>
      </w:r>
      <w:r>
        <w:instrText xml:space="preserve"> STYLEREF "Heading 6" \l \n </w:instrText>
      </w:r>
      <w:r>
        <w:fldChar w:fldCharType="separate"/>
      </w:r>
      <w:r w:rsidR="00586CBD">
        <w:rPr>
          <w:noProof/>
        </w:rPr>
        <w:instrText>A</w:instrText>
      </w:r>
      <w:r>
        <w:rPr>
          <w:noProof/>
        </w:rPr>
        <w:fldChar w:fldCharType="end"/>
      </w:r>
      <w:r w:rsidRPr="00695C93">
        <w:instrText xml:space="preserve"> = 0 "</w:instrText>
      </w:r>
      <w:r w:rsidRPr="00695C93">
        <w:fldChar w:fldCharType="begin"/>
      </w:r>
      <w:r w:rsidRPr="00695C93">
        <w:instrText xml:space="preserve"> IF </w:instrText>
      </w:r>
      <w:r>
        <w:fldChar w:fldCharType="begin"/>
      </w:r>
      <w:r>
        <w:instrText xml:space="preserve"> STYLEREF "Heading 1" \l \n </w:instrText>
      </w:r>
      <w:r>
        <w:fldChar w:fldCharType="separate"/>
      </w:r>
      <w:r>
        <w:rPr>
          <w:noProof/>
        </w:rPr>
        <w:instrText>0</w:instrText>
      </w:r>
      <w:r>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586CBD" w:rsidRPr="00695C93">
        <w:rPr>
          <w:noProof/>
        </w:rPr>
        <w:instrText>6</w:instrText>
      </w:r>
      <w:r w:rsidRPr="00695C93">
        <w:fldChar w:fldCharType="end"/>
      </w:r>
      <w:r w:rsidRPr="00695C93">
        <w:instrText xml:space="preserve"> </w:instrText>
      </w:r>
      <w:r w:rsidRPr="00695C93">
        <w:fldChar w:fldCharType="separate"/>
      </w:r>
      <w:r w:rsidR="00586CBD">
        <w:rPr>
          <w:noProof/>
        </w:rPr>
        <w:instrText>4</w:instrText>
      </w:r>
      <w:r w:rsidRPr="00695C93">
        <w:fldChar w:fldCharType="end"/>
      </w:r>
      <w:r w:rsidRPr="00695C93">
        <w:instrText xml:space="preserve">" "" </w:instrText>
      </w:r>
      <w:r w:rsidRPr="00695C93">
        <w:fldChar w:fldCharType="separate"/>
      </w:r>
      <w:bookmarkStart w:id="41" w:name="_Toc175649969"/>
      <w:r w:rsidR="00586CBD">
        <w:rPr>
          <w:noProof/>
        </w:rPr>
        <w:t>A</w:t>
      </w:r>
      <w:r w:rsidR="00586CBD" w:rsidRPr="00695C93">
        <w:rPr>
          <w:noProof/>
        </w:rPr>
        <w:t>.</w:t>
      </w:r>
      <w:r w:rsidR="00586CBD">
        <w:rPr>
          <w:noProof/>
        </w:rPr>
        <w:t>4</w:t>
      </w:r>
      <w:r w:rsidRPr="00695C93">
        <w:fldChar w:fldCharType="end"/>
      </w:r>
      <w:r w:rsidRPr="00695C93">
        <w:tab/>
      </w:r>
      <w:r>
        <w:t>Top 20 growing export sectors (SITC 3-digit) under the Indian FTA</w:t>
      </w:r>
      <w:r w:rsidR="00193D7D">
        <w:t xml:space="preserve"> in Year 10</w:t>
      </w:r>
      <w:bookmarkEnd w:id="41"/>
    </w:p>
    <w:tbl>
      <w:tblPr>
        <w:tblW w:w="8045" w:type="dxa"/>
        <w:tblLook w:val="04A0" w:firstRow="1" w:lastRow="0" w:firstColumn="1" w:lastColumn="0" w:noHBand="0" w:noVBand="1"/>
      </w:tblPr>
      <w:tblGrid>
        <w:gridCol w:w="2446"/>
        <w:gridCol w:w="789"/>
        <w:gridCol w:w="784"/>
        <w:gridCol w:w="784"/>
        <w:gridCol w:w="785"/>
        <w:gridCol w:w="887"/>
        <w:gridCol w:w="785"/>
        <w:gridCol w:w="785"/>
      </w:tblGrid>
      <w:tr w:rsidR="00B70E33" w:rsidRPr="002B3292" w14:paraId="35677468" w14:textId="77777777" w:rsidTr="000F6220">
        <w:trPr>
          <w:trHeight w:val="756"/>
        </w:trPr>
        <w:tc>
          <w:tcPr>
            <w:tcW w:w="2446" w:type="dxa"/>
            <w:shd w:val="clear" w:color="auto" w:fill="6F6652"/>
            <w:noWrap/>
            <w:tcMar>
              <w:left w:w="57" w:type="dxa"/>
              <w:right w:w="57" w:type="dxa"/>
            </w:tcMar>
            <w:hideMark/>
          </w:tcPr>
          <w:p w14:paraId="48F16BFB" w14:textId="76A02709" w:rsidR="00B70E33" w:rsidRPr="002B3292" w:rsidRDefault="00B70E33" w:rsidP="00B70E33">
            <w:pPr>
              <w:pStyle w:val="TableDataColumnHeading"/>
              <w:jc w:val="left"/>
            </w:pPr>
            <w:r>
              <w:t>Export</w:t>
            </w:r>
          </w:p>
        </w:tc>
        <w:tc>
          <w:tcPr>
            <w:tcW w:w="789" w:type="dxa"/>
            <w:shd w:val="clear" w:color="auto" w:fill="6F6652"/>
            <w:tcMar>
              <w:left w:w="57" w:type="dxa"/>
              <w:right w:w="57" w:type="dxa"/>
            </w:tcMar>
            <w:vAlign w:val="center"/>
            <w:hideMark/>
          </w:tcPr>
          <w:p w14:paraId="70C85CD7" w14:textId="5F4E021C" w:rsidR="00B70E33" w:rsidRPr="002B3292" w:rsidRDefault="00B70E33" w:rsidP="00B70E33">
            <w:pPr>
              <w:pStyle w:val="TableDataColumnHeading"/>
              <w:rPr>
                <w:szCs w:val="16"/>
              </w:rPr>
            </w:pPr>
            <w:r w:rsidRPr="002B3292">
              <w:rPr>
                <w:szCs w:val="16"/>
              </w:rPr>
              <w:t>Base export value</w:t>
            </w:r>
            <w:r w:rsidRPr="00E4232C">
              <w:rPr>
                <w:rStyle w:val="NoteLabel"/>
              </w:rPr>
              <w:t xml:space="preserve"> </w:t>
            </w:r>
            <w:r w:rsidRPr="00074B9B">
              <w:rPr>
                <w:rStyle w:val="NoteLabel"/>
                <w:color w:val="FFFFFF" w:themeColor="background1"/>
              </w:rPr>
              <w:t>a</w:t>
            </w:r>
            <w:r>
              <w:rPr>
                <w:rStyle w:val="NoteLabel"/>
                <w:color w:val="FFFFFF" w:themeColor="background1"/>
              </w:rPr>
              <w:br/>
              <w:t>$m</w:t>
            </w:r>
          </w:p>
        </w:tc>
        <w:tc>
          <w:tcPr>
            <w:tcW w:w="784" w:type="dxa"/>
            <w:shd w:val="clear" w:color="auto" w:fill="6F6652"/>
            <w:tcMar>
              <w:left w:w="57" w:type="dxa"/>
              <w:right w:w="57" w:type="dxa"/>
            </w:tcMar>
            <w:vAlign w:val="center"/>
            <w:hideMark/>
          </w:tcPr>
          <w:p w14:paraId="519E8A15" w14:textId="62E285B3" w:rsidR="00B70E33" w:rsidRPr="002B3292" w:rsidRDefault="00B70E33" w:rsidP="00B70E33">
            <w:pPr>
              <w:pStyle w:val="TableDataColumnHeading"/>
              <w:rPr>
                <w:szCs w:val="16"/>
              </w:rPr>
            </w:pPr>
            <w:r w:rsidRPr="002B3292">
              <w:rPr>
                <w:szCs w:val="16"/>
              </w:rPr>
              <w:t>Base rate</w:t>
            </w:r>
            <w:r>
              <w:rPr>
                <w:szCs w:val="16"/>
              </w:rPr>
              <w:br/>
              <w:t>%</w:t>
            </w:r>
          </w:p>
        </w:tc>
        <w:tc>
          <w:tcPr>
            <w:tcW w:w="784" w:type="dxa"/>
            <w:shd w:val="clear" w:color="auto" w:fill="6F6652"/>
            <w:tcMar>
              <w:left w:w="57" w:type="dxa"/>
              <w:right w:w="57" w:type="dxa"/>
            </w:tcMar>
            <w:vAlign w:val="center"/>
            <w:hideMark/>
          </w:tcPr>
          <w:p w14:paraId="4A2429B6" w14:textId="77F71623" w:rsidR="00B70E33" w:rsidRPr="002B3292" w:rsidRDefault="00B70E33" w:rsidP="00B70E33">
            <w:pPr>
              <w:pStyle w:val="TableDataColumnHeading"/>
              <w:rPr>
                <w:szCs w:val="16"/>
              </w:rPr>
            </w:pPr>
            <w:r w:rsidRPr="002B3292">
              <w:rPr>
                <w:szCs w:val="16"/>
              </w:rPr>
              <w:t>FTA offer</w:t>
            </w:r>
            <w:r>
              <w:rPr>
                <w:szCs w:val="16"/>
              </w:rPr>
              <w:br/>
              <w:t>%</w:t>
            </w:r>
          </w:p>
        </w:tc>
        <w:tc>
          <w:tcPr>
            <w:tcW w:w="785" w:type="dxa"/>
            <w:shd w:val="clear" w:color="auto" w:fill="6F6652"/>
            <w:tcMar>
              <w:left w:w="57" w:type="dxa"/>
              <w:right w:w="57" w:type="dxa"/>
            </w:tcMar>
            <w:vAlign w:val="center"/>
            <w:hideMark/>
          </w:tcPr>
          <w:p w14:paraId="6860FC0A" w14:textId="2896DF56" w:rsidR="00B70E33" w:rsidRPr="002B3292" w:rsidRDefault="00B70E33" w:rsidP="00B70E33">
            <w:pPr>
              <w:pStyle w:val="TableDataColumnHeading"/>
              <w:rPr>
                <w:szCs w:val="16"/>
              </w:rPr>
            </w:pPr>
            <w:r w:rsidRPr="002B3292">
              <w:rPr>
                <w:szCs w:val="16"/>
              </w:rPr>
              <w:t>Implied price change</w:t>
            </w:r>
            <w:r>
              <w:rPr>
                <w:szCs w:val="16"/>
              </w:rPr>
              <w:br/>
              <w:t>%</w:t>
            </w:r>
          </w:p>
        </w:tc>
        <w:tc>
          <w:tcPr>
            <w:tcW w:w="887" w:type="dxa"/>
            <w:shd w:val="clear" w:color="auto" w:fill="6F6652"/>
            <w:tcMar>
              <w:left w:w="57" w:type="dxa"/>
              <w:right w:w="57" w:type="dxa"/>
            </w:tcMar>
            <w:vAlign w:val="center"/>
            <w:hideMark/>
          </w:tcPr>
          <w:p w14:paraId="6BB1EC10" w14:textId="627991E2" w:rsidR="00B70E33" w:rsidRPr="002B3292" w:rsidRDefault="00B70E33" w:rsidP="00B70E33">
            <w:pPr>
              <w:pStyle w:val="TableDataColumnHeading"/>
              <w:rPr>
                <w:szCs w:val="16"/>
              </w:rPr>
            </w:pPr>
            <w:r w:rsidRPr="002B3292">
              <w:rPr>
                <w:szCs w:val="16"/>
              </w:rPr>
              <w:t>Elasticity</w:t>
            </w:r>
          </w:p>
        </w:tc>
        <w:tc>
          <w:tcPr>
            <w:tcW w:w="785" w:type="dxa"/>
            <w:shd w:val="clear" w:color="auto" w:fill="6F6652"/>
            <w:tcMar>
              <w:left w:w="57" w:type="dxa"/>
              <w:right w:w="57" w:type="dxa"/>
            </w:tcMar>
            <w:vAlign w:val="center"/>
            <w:hideMark/>
          </w:tcPr>
          <w:p w14:paraId="0DEBDC42" w14:textId="2E907829" w:rsidR="00B70E33" w:rsidRPr="002B3292" w:rsidRDefault="00B70E33" w:rsidP="00B70E33">
            <w:pPr>
              <w:pStyle w:val="TableDataColumnHeading"/>
              <w:jc w:val="center"/>
              <w:rPr>
                <w:szCs w:val="16"/>
              </w:rPr>
            </w:pPr>
            <w:r w:rsidRPr="002B3292">
              <w:rPr>
                <w:szCs w:val="16"/>
              </w:rPr>
              <w:t>Export growth</w:t>
            </w:r>
            <w:r>
              <w:rPr>
                <w:szCs w:val="16"/>
              </w:rPr>
              <w:br/>
              <w:t>%</w:t>
            </w:r>
          </w:p>
        </w:tc>
        <w:tc>
          <w:tcPr>
            <w:tcW w:w="785" w:type="dxa"/>
            <w:shd w:val="clear" w:color="auto" w:fill="6F6652"/>
            <w:vAlign w:val="center"/>
          </w:tcPr>
          <w:p w14:paraId="23BA1940" w14:textId="775E78C2" w:rsidR="00B70E33" w:rsidRPr="002B3292" w:rsidRDefault="00B70E33" w:rsidP="00B70E33">
            <w:pPr>
              <w:pStyle w:val="TableDataColumnHeading"/>
              <w:jc w:val="center"/>
              <w:rPr>
                <w:szCs w:val="16"/>
              </w:rPr>
            </w:pPr>
            <w:r w:rsidRPr="002B3292">
              <w:rPr>
                <w:szCs w:val="16"/>
              </w:rPr>
              <w:t>Export growth</w:t>
            </w:r>
            <w:r>
              <w:rPr>
                <w:szCs w:val="16"/>
              </w:rPr>
              <w:br/>
              <w:t>$m</w:t>
            </w:r>
          </w:p>
        </w:tc>
      </w:tr>
      <w:tr w:rsidR="00900FB0" w:rsidRPr="002B3292" w14:paraId="3C60EECF"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B311D1" w14:textId="13677649" w:rsidR="00900FB0" w:rsidRPr="002B3292" w:rsidRDefault="00900FB0" w:rsidP="00900FB0">
            <w:pPr>
              <w:pStyle w:val="TableDataEntries"/>
              <w:jc w:val="left"/>
            </w:pPr>
            <w:r>
              <w:rPr>
                <w:szCs w:val="16"/>
              </w:rPr>
              <w:t>Oil-seeds &amp; oleaginous fruits, soft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BF82CD" w14:textId="1FE447D3" w:rsidR="00900FB0" w:rsidRPr="002B3292" w:rsidRDefault="00900FB0" w:rsidP="00900FB0">
            <w:pPr>
              <w:pStyle w:val="TableDataEntries"/>
            </w:pPr>
            <w:r>
              <w:rPr>
                <w:szCs w:val="16"/>
              </w:rPr>
              <w:t>625.51</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09C053" w14:textId="1CD882D1"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23FF6E" w14:textId="017F252F"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0AD92D" w14:textId="0775D114"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3A98B9" w14:textId="0A0CD02A" w:rsidR="00900FB0" w:rsidRPr="002B3292" w:rsidRDefault="00900FB0" w:rsidP="00900FB0">
            <w:pPr>
              <w:pStyle w:val="TableDataEntries"/>
            </w:pPr>
            <w:r>
              <w:rPr>
                <w:szCs w:val="16"/>
              </w:rPr>
              <w:t>4.90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01B0F9" w14:textId="4D260B2D" w:rsidR="00900FB0" w:rsidRPr="002B3292" w:rsidRDefault="00900FB0" w:rsidP="00900FB0">
            <w:pPr>
              <w:pStyle w:val="TableDataEntries"/>
            </w:pPr>
            <w:r>
              <w:rPr>
                <w:szCs w:val="16"/>
              </w:rPr>
              <w:t>23.33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EF0A0A" w14:textId="35EE3310" w:rsidR="00900FB0" w:rsidRPr="002B3292" w:rsidRDefault="00900FB0" w:rsidP="00900FB0">
            <w:pPr>
              <w:pStyle w:val="TableDataEntries"/>
            </w:pPr>
            <w:r>
              <w:rPr>
                <w:szCs w:val="16"/>
              </w:rPr>
              <w:t>145.95</w:t>
            </w:r>
          </w:p>
        </w:tc>
      </w:tr>
      <w:tr w:rsidR="00900FB0" w:rsidRPr="002B3292" w14:paraId="6CA1FA69" w14:textId="77777777" w:rsidTr="00900FB0">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B6587C" w14:textId="7035EEB0" w:rsidR="00900FB0" w:rsidRPr="002B3292" w:rsidRDefault="00900FB0" w:rsidP="00900FB0">
            <w:pPr>
              <w:pStyle w:val="TableDataEntries"/>
              <w:jc w:val="left"/>
            </w:pPr>
            <w:r>
              <w:rPr>
                <w:szCs w:val="16"/>
              </w:rPr>
              <w:t>Aluminium ores &amp; conc (incl alumina)</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6D6C5C" w14:textId="4AD3D5AC" w:rsidR="00900FB0" w:rsidRPr="002B3292" w:rsidRDefault="00900FB0" w:rsidP="00900FB0">
            <w:pPr>
              <w:pStyle w:val="TableDataEntries"/>
            </w:pPr>
            <w:r>
              <w:rPr>
                <w:szCs w:val="16"/>
              </w:rPr>
              <w:t>915.08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E2BAB3" w14:textId="461260B1"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211E20" w14:textId="05B11978"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8D74D6" w14:textId="6318080B"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C80CF6" w14:textId="1D4D292C" w:rsidR="00900FB0" w:rsidRPr="002B3292" w:rsidRDefault="00900FB0" w:rsidP="00900FB0">
            <w:pPr>
              <w:pStyle w:val="TableDataEntries"/>
            </w:pPr>
            <w:r>
              <w:rPr>
                <w:szCs w:val="16"/>
              </w:rPr>
              <w:t>1.80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A5FD54" w14:textId="5E67AD2D" w:rsidR="00900FB0" w:rsidRPr="002B3292" w:rsidRDefault="00900FB0" w:rsidP="00900FB0">
            <w:pPr>
              <w:pStyle w:val="TableDataEntries"/>
            </w:pPr>
            <w:r>
              <w:rPr>
                <w:szCs w:val="16"/>
              </w:rPr>
              <w:t>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F44FB1" w14:textId="1801832E" w:rsidR="00900FB0" w:rsidRPr="002B3292" w:rsidRDefault="00900FB0" w:rsidP="00900FB0">
            <w:pPr>
              <w:pStyle w:val="TableDataEntries"/>
            </w:pPr>
            <w:r>
              <w:rPr>
                <w:szCs w:val="16"/>
              </w:rPr>
              <w:t>78.44</w:t>
            </w:r>
          </w:p>
        </w:tc>
      </w:tr>
      <w:tr w:rsidR="00900FB0" w:rsidRPr="002B3292" w14:paraId="6CDB381B"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10886E" w14:textId="0F1345D1" w:rsidR="00900FB0" w:rsidRPr="002B3292" w:rsidRDefault="00900FB0" w:rsidP="00900FB0">
            <w:pPr>
              <w:pStyle w:val="TableDataEntries"/>
              <w:jc w:val="left"/>
            </w:pPr>
            <w:r>
              <w:rPr>
                <w:szCs w:val="16"/>
              </w:rPr>
              <w:t>Crude petroleum</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E4EA839" w14:textId="10852117" w:rsidR="00900FB0" w:rsidRPr="002B3292" w:rsidRDefault="00900FB0" w:rsidP="00900FB0">
            <w:pPr>
              <w:pStyle w:val="TableDataEntries"/>
            </w:pPr>
            <w:r>
              <w:rPr>
                <w:szCs w:val="16"/>
              </w:rPr>
              <w:t>119.20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985864" w14:textId="36D39265"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183CB52" w14:textId="494D990F"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1BDE35" w14:textId="2E0F08D4"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2873CA" w14:textId="5436151C" w:rsidR="00900FB0" w:rsidRPr="002B3292" w:rsidRDefault="00900FB0" w:rsidP="00900FB0">
            <w:pPr>
              <w:pStyle w:val="TableDataEntries"/>
            </w:pPr>
            <w:r>
              <w:rPr>
                <w:szCs w:val="16"/>
              </w:rPr>
              <w:t>10.40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EEF2BC" w14:textId="30348FCC" w:rsidR="00900FB0" w:rsidRPr="002B3292" w:rsidRDefault="00900FB0" w:rsidP="00900FB0">
            <w:pPr>
              <w:pStyle w:val="TableDataEntries"/>
            </w:pPr>
            <w:r>
              <w:rPr>
                <w:szCs w:val="16"/>
              </w:rPr>
              <w:t>49.52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E2F4EF" w14:textId="4029CA8F" w:rsidR="00900FB0" w:rsidRPr="002B3292" w:rsidRDefault="00900FB0" w:rsidP="00900FB0">
            <w:pPr>
              <w:pStyle w:val="TableDataEntries"/>
            </w:pPr>
            <w:r>
              <w:rPr>
                <w:szCs w:val="16"/>
              </w:rPr>
              <w:t>59.03</w:t>
            </w:r>
          </w:p>
        </w:tc>
      </w:tr>
      <w:tr w:rsidR="00900FB0" w:rsidRPr="002B3292" w14:paraId="6EEF8FE9"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04685C" w14:textId="7C7C8EAD" w:rsidR="00900FB0" w:rsidRPr="002B3292" w:rsidRDefault="00900FB0" w:rsidP="00900FB0">
            <w:pPr>
              <w:pStyle w:val="TableDataEntries"/>
              <w:jc w:val="left"/>
            </w:pPr>
            <w:r>
              <w:rPr>
                <w:szCs w:val="16"/>
              </w:rPr>
              <w:t>Vehicle parts &amp; accessories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245157" w14:textId="60E33F6C" w:rsidR="00900FB0" w:rsidRPr="002B3292" w:rsidRDefault="00900FB0" w:rsidP="00900FB0">
            <w:pPr>
              <w:pStyle w:val="TableDataEntries"/>
            </w:pPr>
            <w:r>
              <w:rPr>
                <w:szCs w:val="16"/>
              </w:rPr>
              <w:t>177.34</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95127C2" w14:textId="1D124461"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6F1D4F" w14:textId="0B6F036C"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C445C1" w14:textId="6AFCE800"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B4BFE0" w14:textId="2CBBE3CF" w:rsidR="00900FB0" w:rsidRPr="002B3292" w:rsidRDefault="00900FB0" w:rsidP="00900FB0">
            <w:pPr>
              <w:pStyle w:val="TableDataEntries"/>
            </w:pPr>
            <w:r>
              <w:rPr>
                <w:szCs w:val="16"/>
              </w:rPr>
              <w:t>5.60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31C826" w14:textId="2DE749D1" w:rsidR="00900FB0" w:rsidRPr="002B3292" w:rsidRDefault="00900FB0" w:rsidP="00900FB0">
            <w:pPr>
              <w:pStyle w:val="TableDataEntries"/>
            </w:pPr>
            <w:r>
              <w:rPr>
                <w:szCs w:val="16"/>
              </w:rPr>
              <w:t>26.67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D81022" w14:textId="4B23803A" w:rsidR="00900FB0" w:rsidRPr="002B3292" w:rsidRDefault="00900FB0" w:rsidP="00900FB0">
            <w:pPr>
              <w:pStyle w:val="TableDataEntries"/>
            </w:pPr>
            <w:r>
              <w:rPr>
                <w:szCs w:val="16"/>
              </w:rPr>
              <w:t>47.29</w:t>
            </w:r>
          </w:p>
        </w:tc>
      </w:tr>
      <w:tr w:rsidR="00900FB0" w:rsidRPr="002B3292" w14:paraId="635FB8D4"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70DA3F" w14:textId="5B766071" w:rsidR="00900FB0" w:rsidRPr="002B3292" w:rsidRDefault="00900FB0" w:rsidP="00900FB0">
            <w:pPr>
              <w:pStyle w:val="TableDataEntries"/>
              <w:jc w:val="left"/>
            </w:pPr>
            <w:r>
              <w:rPr>
                <w:szCs w:val="16"/>
              </w:rPr>
              <w:t xml:space="preserve">Meat (excl beef), </w:t>
            </w:r>
            <w:proofErr w:type="spellStart"/>
            <w:r>
              <w:rPr>
                <w:szCs w:val="16"/>
              </w:rPr>
              <w:t>f.c.f</w:t>
            </w:r>
            <w:proofErr w:type="spellEnd"/>
            <w:r>
              <w:rPr>
                <w:szCs w:val="16"/>
              </w:rPr>
              <w: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71A5C9" w14:textId="3681D8FE" w:rsidR="00900FB0" w:rsidRPr="002B3292" w:rsidRDefault="00900FB0" w:rsidP="00900FB0">
            <w:pPr>
              <w:pStyle w:val="TableDataEntries"/>
            </w:pPr>
            <w:r>
              <w:rPr>
                <w:szCs w:val="16"/>
              </w:rPr>
              <w:t>243.38</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F1F673" w14:textId="586C8A19" w:rsidR="00900FB0" w:rsidRPr="002B3292" w:rsidRDefault="00900FB0" w:rsidP="00900FB0">
            <w:pPr>
              <w:pStyle w:val="TableDataEntries"/>
            </w:pPr>
            <w:r>
              <w:rPr>
                <w:szCs w:val="16"/>
              </w:rPr>
              <w:t>1.40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8858DE" w14:textId="6E8B02C1"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C6143D" w14:textId="1945826B" w:rsidR="00900FB0" w:rsidRPr="002B3292" w:rsidRDefault="00900FB0" w:rsidP="00900FB0">
            <w:pPr>
              <w:pStyle w:val="TableDataEntries"/>
            </w:pPr>
            <w:r>
              <w:rPr>
                <w:szCs w:val="16"/>
              </w:rPr>
              <w:t>-1.38</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034EF7" w14:textId="60611618" w:rsidR="00900FB0" w:rsidRPr="002B3292" w:rsidRDefault="00900FB0" w:rsidP="00900FB0">
            <w:pPr>
              <w:pStyle w:val="TableDataEntries"/>
            </w:pPr>
            <w:r>
              <w:rPr>
                <w:szCs w:val="16"/>
              </w:rPr>
              <w:t>8.80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F9154C" w14:textId="28F51C48" w:rsidR="00900FB0" w:rsidRPr="002B3292" w:rsidRDefault="00900FB0" w:rsidP="00900FB0">
            <w:pPr>
              <w:pStyle w:val="TableDataEntries"/>
            </w:pPr>
            <w:r>
              <w:rPr>
                <w:szCs w:val="16"/>
              </w:rPr>
              <w:t>12.14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B2EDF5" w14:textId="735186E3" w:rsidR="00900FB0" w:rsidRPr="002B3292" w:rsidRDefault="00900FB0" w:rsidP="00900FB0">
            <w:pPr>
              <w:pStyle w:val="TableDataEntries"/>
            </w:pPr>
            <w:r>
              <w:rPr>
                <w:szCs w:val="16"/>
              </w:rPr>
              <w:t>29.54</w:t>
            </w:r>
          </w:p>
        </w:tc>
      </w:tr>
      <w:tr w:rsidR="00900FB0" w:rsidRPr="002B3292" w14:paraId="38F2AC1E"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427B46" w14:textId="2BD9EF40" w:rsidR="00900FB0" w:rsidRPr="002B3292" w:rsidRDefault="00900FB0" w:rsidP="00900FB0">
            <w:pPr>
              <w:pStyle w:val="TableDataEntries"/>
              <w:jc w:val="left"/>
            </w:pPr>
            <w:r>
              <w:rPr>
                <w:szCs w:val="16"/>
              </w:rPr>
              <w:t xml:space="preserve">Vegetables, </w:t>
            </w:r>
            <w:proofErr w:type="spellStart"/>
            <w:r>
              <w:rPr>
                <w:szCs w:val="16"/>
              </w:rPr>
              <w:t>f.c.f</w:t>
            </w:r>
            <w:proofErr w:type="spellEnd"/>
            <w:r>
              <w:rPr>
                <w:szCs w:val="16"/>
              </w:rPr>
              <w: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80199A" w14:textId="6911B49B" w:rsidR="00900FB0" w:rsidRPr="002B3292" w:rsidRDefault="00900FB0" w:rsidP="00900FB0">
            <w:pPr>
              <w:pStyle w:val="TableDataEntries"/>
            </w:pPr>
            <w:r>
              <w:rPr>
                <w:szCs w:val="16"/>
              </w:rPr>
              <w:t>199.19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62F560" w14:textId="33204B3D" w:rsidR="00900FB0" w:rsidRPr="002B3292" w:rsidRDefault="00900FB0" w:rsidP="00900FB0">
            <w:pPr>
              <w:pStyle w:val="TableDataEntries"/>
            </w:pPr>
            <w:r>
              <w:rPr>
                <w:szCs w:val="16"/>
              </w:rPr>
              <w:t>4.02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6C21D7" w14:textId="26021FFA"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5B1742" w14:textId="7A5F7427" w:rsidR="00900FB0" w:rsidRPr="002B3292" w:rsidRDefault="00900FB0" w:rsidP="00900FB0">
            <w:pPr>
              <w:pStyle w:val="TableDataEntries"/>
            </w:pPr>
            <w:r>
              <w:rPr>
                <w:szCs w:val="16"/>
              </w:rPr>
              <w:t>-3.87</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983D3C" w14:textId="5843071E" w:rsidR="00900FB0" w:rsidRPr="002B3292" w:rsidRDefault="00900FB0" w:rsidP="00900FB0">
            <w:pPr>
              <w:pStyle w:val="TableDataEntries"/>
            </w:pPr>
            <w:r>
              <w:rPr>
                <w:szCs w:val="16"/>
              </w:rPr>
              <w:t>3.70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71DCD2" w14:textId="06E1295C" w:rsidR="00900FB0" w:rsidRPr="002B3292" w:rsidRDefault="00900FB0" w:rsidP="00900FB0">
            <w:pPr>
              <w:pStyle w:val="TableDataEntries"/>
            </w:pPr>
            <w:r>
              <w:rPr>
                <w:szCs w:val="16"/>
              </w:rPr>
              <w:t>14.32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313CB4" w14:textId="1B97E27B" w:rsidR="00900FB0" w:rsidRPr="002B3292" w:rsidRDefault="00900FB0" w:rsidP="00900FB0">
            <w:pPr>
              <w:pStyle w:val="TableDataEntries"/>
            </w:pPr>
            <w:r>
              <w:rPr>
                <w:szCs w:val="16"/>
              </w:rPr>
              <w:t>28.52</w:t>
            </w:r>
          </w:p>
        </w:tc>
      </w:tr>
      <w:tr w:rsidR="00900FB0" w:rsidRPr="002B3292" w14:paraId="09977E42"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C1D5DC" w14:textId="7DCDEAF8" w:rsidR="00900FB0" w:rsidRPr="002B3292" w:rsidRDefault="00900FB0" w:rsidP="00900FB0">
            <w:pPr>
              <w:pStyle w:val="TableDataEntries"/>
              <w:jc w:val="left"/>
            </w:pPr>
            <w:r>
              <w:rPr>
                <w:szCs w:val="16"/>
              </w:rPr>
              <w:t>Coal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364665" w14:textId="50D11338" w:rsidR="00900FB0" w:rsidRPr="002B3292" w:rsidRDefault="00900FB0" w:rsidP="00900FB0">
            <w:pPr>
              <w:pStyle w:val="TableDataEntries"/>
            </w:pPr>
            <w:r>
              <w:rPr>
                <w:szCs w:val="16"/>
              </w:rPr>
              <w:t>91.62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3752A1" w14:textId="18A0C60C"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69BE55" w14:textId="58C5BBA3"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B7A689" w14:textId="356C71FF"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7C9F93" w14:textId="62165D8F" w:rsidR="00900FB0" w:rsidRPr="002B3292" w:rsidRDefault="00900FB0" w:rsidP="00900FB0">
            <w:pPr>
              <w:pStyle w:val="TableDataEntries"/>
            </w:pPr>
            <w:r>
              <w:rPr>
                <w:szCs w:val="16"/>
              </w:rPr>
              <w:t>6.10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02A104" w14:textId="791E477F" w:rsidR="00900FB0" w:rsidRPr="002B3292" w:rsidRDefault="00900FB0" w:rsidP="00900FB0">
            <w:pPr>
              <w:pStyle w:val="TableDataEntries"/>
            </w:pPr>
            <w:r>
              <w:rPr>
                <w:szCs w:val="16"/>
              </w:rPr>
              <w:t>29.05</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E815C1" w14:textId="21D5D119" w:rsidR="00900FB0" w:rsidRPr="002B3292" w:rsidRDefault="00900FB0" w:rsidP="00900FB0">
            <w:pPr>
              <w:pStyle w:val="TableDataEntries"/>
            </w:pPr>
            <w:r>
              <w:rPr>
                <w:szCs w:val="16"/>
              </w:rPr>
              <w:t>26.61</w:t>
            </w:r>
          </w:p>
        </w:tc>
      </w:tr>
      <w:tr w:rsidR="00900FB0" w:rsidRPr="002B3292" w14:paraId="49ADE1AB"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D36818" w14:textId="3E9A0713" w:rsidR="00900FB0" w:rsidRPr="002B3292" w:rsidRDefault="00900FB0" w:rsidP="00900FB0">
            <w:pPr>
              <w:pStyle w:val="TableDataEntries"/>
              <w:jc w:val="left"/>
            </w:pPr>
            <w:r>
              <w:rPr>
                <w:szCs w:val="16"/>
              </w:rPr>
              <w:t>Arms &amp; ammunition</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4D2A73" w14:textId="5C018C95" w:rsidR="00900FB0" w:rsidRPr="002B3292" w:rsidRDefault="00900FB0" w:rsidP="00900FB0">
            <w:pPr>
              <w:pStyle w:val="TableDataEntries"/>
            </w:pPr>
            <w:r>
              <w:rPr>
                <w:szCs w:val="16"/>
              </w:rPr>
              <w:t>49.16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624D6E" w14:textId="05B01B78"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412BA9" w14:textId="20FF05C2"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34BCCC" w14:textId="1B8706C4"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3BC61D" w14:textId="7FA11877" w:rsidR="00900FB0" w:rsidRPr="002B3292" w:rsidRDefault="00900FB0" w:rsidP="00900FB0">
            <w:pPr>
              <w:pStyle w:val="TableDataEntries"/>
            </w:pPr>
            <w:r>
              <w:rPr>
                <w:szCs w:val="16"/>
              </w:rPr>
              <w:t>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2BFE82" w14:textId="1345828B" w:rsidR="00900FB0" w:rsidRPr="002B3292" w:rsidRDefault="00900FB0" w:rsidP="00900FB0">
            <w:pPr>
              <w:pStyle w:val="TableDataEntries"/>
            </w:pPr>
            <w:r>
              <w:rPr>
                <w:szCs w:val="16"/>
              </w:rPr>
              <w:t>38.57</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4CF8F01" w14:textId="60FA1EFF" w:rsidR="00900FB0" w:rsidRPr="002B3292" w:rsidRDefault="00900FB0" w:rsidP="00900FB0">
            <w:pPr>
              <w:pStyle w:val="TableDataEntries"/>
            </w:pPr>
            <w:r>
              <w:rPr>
                <w:szCs w:val="16"/>
              </w:rPr>
              <w:t>18.96</w:t>
            </w:r>
          </w:p>
        </w:tc>
      </w:tr>
      <w:tr w:rsidR="00900FB0" w:rsidRPr="002B3292" w14:paraId="17CDCD91"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B741D3" w14:textId="44A6BD89" w:rsidR="00900FB0" w:rsidRPr="002B3292" w:rsidRDefault="00900FB0" w:rsidP="00900FB0">
            <w:pPr>
              <w:pStyle w:val="TableDataEntries"/>
              <w:jc w:val="left"/>
            </w:pPr>
            <w:r>
              <w:rPr>
                <w:szCs w:val="16"/>
              </w:rPr>
              <w:t>Worn clothing &amp; rags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7651A49" w14:textId="70A1B75F" w:rsidR="00900FB0" w:rsidRPr="002B3292" w:rsidRDefault="00900FB0" w:rsidP="00900FB0">
            <w:pPr>
              <w:pStyle w:val="TableDataEntries"/>
            </w:pPr>
            <w:r>
              <w:rPr>
                <w:szCs w:val="16"/>
              </w:rPr>
              <w:t>53.05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AE4C2C" w14:textId="5A9B7E24"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ACEBCF" w14:textId="19934C5D"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DF240A" w14:textId="70795658"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76642D" w14:textId="6345CD7E" w:rsidR="00900FB0" w:rsidRPr="002B3292" w:rsidRDefault="00900FB0" w:rsidP="00900FB0">
            <w:pPr>
              <w:pStyle w:val="TableDataEntries"/>
            </w:pPr>
            <w:r>
              <w:rPr>
                <w:szCs w:val="16"/>
              </w:rPr>
              <w:t>7.40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EE1CAA" w14:textId="1B5D1CA3" w:rsidR="00900FB0" w:rsidRPr="002B3292" w:rsidRDefault="00900FB0" w:rsidP="00900FB0">
            <w:pPr>
              <w:pStyle w:val="TableDataEntries"/>
            </w:pPr>
            <w:r>
              <w:rPr>
                <w:szCs w:val="16"/>
              </w:rPr>
              <w:t>35.24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CE8B96" w14:textId="1A2A9CF5" w:rsidR="00900FB0" w:rsidRPr="002B3292" w:rsidRDefault="00900FB0" w:rsidP="00900FB0">
            <w:pPr>
              <w:pStyle w:val="TableDataEntries"/>
            </w:pPr>
            <w:r>
              <w:rPr>
                <w:szCs w:val="16"/>
              </w:rPr>
              <w:t>18.69</w:t>
            </w:r>
          </w:p>
        </w:tc>
      </w:tr>
      <w:tr w:rsidR="00900FB0" w:rsidRPr="002B3292" w14:paraId="40D7B3F2"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D53DF82" w14:textId="35ABC727" w:rsidR="00900FB0" w:rsidRPr="002B3292" w:rsidRDefault="00900FB0" w:rsidP="00900FB0">
            <w:pPr>
              <w:pStyle w:val="TableDataEntries"/>
              <w:jc w:val="left"/>
            </w:pPr>
            <w:r>
              <w:rPr>
                <w:szCs w:val="16"/>
              </w:rPr>
              <w:t>Milk, cream, whey &amp; yoghurt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B26208" w14:textId="220335F5" w:rsidR="00900FB0" w:rsidRPr="002B3292" w:rsidRDefault="00900FB0" w:rsidP="00900FB0">
            <w:pPr>
              <w:pStyle w:val="TableDataEntries"/>
            </w:pPr>
            <w:r>
              <w:rPr>
                <w:szCs w:val="16"/>
              </w:rPr>
              <w:t>53.66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767A4A6" w14:textId="733FF3A4"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2442AD" w14:textId="0A68919E"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1EE6E8" w14:textId="6A95AA03"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8CEFBB" w14:textId="6FB5AB13" w:rsidR="00900FB0" w:rsidRPr="002B3292" w:rsidRDefault="00900FB0" w:rsidP="00900FB0">
            <w:pPr>
              <w:pStyle w:val="TableDataEntries"/>
            </w:pPr>
            <w:r>
              <w:rPr>
                <w:szCs w:val="16"/>
              </w:rPr>
              <w:t>7.30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D59B2D" w14:textId="3150138F" w:rsidR="00900FB0" w:rsidRPr="002B3292" w:rsidRDefault="00900FB0" w:rsidP="00900FB0">
            <w:pPr>
              <w:pStyle w:val="TableDataEntries"/>
            </w:pPr>
            <w:r>
              <w:rPr>
                <w:szCs w:val="16"/>
              </w:rPr>
              <w:t>34.76</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AEBEB9" w14:textId="1095E6FB" w:rsidR="00900FB0" w:rsidRPr="002B3292" w:rsidRDefault="00900FB0" w:rsidP="00900FB0">
            <w:pPr>
              <w:pStyle w:val="TableDataEntries"/>
            </w:pPr>
            <w:r>
              <w:rPr>
                <w:szCs w:val="16"/>
              </w:rPr>
              <w:t>18.65</w:t>
            </w:r>
          </w:p>
        </w:tc>
      </w:tr>
      <w:tr w:rsidR="00900FB0" w:rsidRPr="002B3292" w14:paraId="2522FCB6"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1F24C1" w14:textId="3E73AF13" w:rsidR="00900FB0" w:rsidRPr="002B3292" w:rsidRDefault="00900FB0" w:rsidP="00900FB0">
            <w:pPr>
              <w:pStyle w:val="TableDataEntries"/>
              <w:jc w:val="left"/>
            </w:pPr>
            <w:r>
              <w:rPr>
                <w:szCs w:val="16"/>
              </w:rPr>
              <w:t xml:space="preserve">Beef, </w:t>
            </w:r>
            <w:proofErr w:type="spellStart"/>
            <w:r>
              <w:rPr>
                <w:szCs w:val="16"/>
              </w:rPr>
              <w:t>f.c.f</w:t>
            </w:r>
            <w:proofErr w:type="spellEnd"/>
            <w:r>
              <w:rPr>
                <w:szCs w:val="16"/>
              </w:rPr>
              <w:t>.</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D1D1C8" w14:textId="4824E69D" w:rsidR="00900FB0" w:rsidRPr="002B3292" w:rsidRDefault="00900FB0" w:rsidP="00900FB0">
            <w:pPr>
              <w:pStyle w:val="TableDataEntries"/>
            </w:pPr>
            <w:r>
              <w:rPr>
                <w:szCs w:val="16"/>
              </w:rPr>
              <w:t>169.63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69E569" w14:textId="5D2EF93B" w:rsidR="00900FB0" w:rsidRPr="002B3292" w:rsidRDefault="00900FB0" w:rsidP="00900FB0">
            <w:pPr>
              <w:pStyle w:val="TableDataEntries"/>
            </w:pPr>
            <w:r>
              <w:rPr>
                <w:szCs w:val="16"/>
              </w:rPr>
              <w:t>0.97</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92BB71" w14:textId="4C30F7DB"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2DD722" w14:textId="0432A51C" w:rsidR="00900FB0" w:rsidRPr="002B3292" w:rsidRDefault="00900FB0" w:rsidP="00900FB0">
            <w:pPr>
              <w:pStyle w:val="TableDataEntries"/>
            </w:pPr>
            <w:r>
              <w:rPr>
                <w:szCs w:val="16"/>
              </w:rPr>
              <w:t>-0.96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A32192" w14:textId="3CBEB145" w:rsidR="00900FB0" w:rsidRPr="002B3292" w:rsidRDefault="00900FB0" w:rsidP="00900FB0">
            <w:pPr>
              <w:pStyle w:val="TableDataEntries"/>
            </w:pPr>
            <w:r>
              <w:rPr>
                <w:szCs w:val="16"/>
              </w:rPr>
              <w:t>7.70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4BBF4B" w14:textId="6D7DFAD0" w:rsidR="00900FB0" w:rsidRPr="002B3292" w:rsidRDefault="00900FB0" w:rsidP="00900FB0">
            <w:pPr>
              <w:pStyle w:val="TableDataEntries"/>
            </w:pPr>
            <w:r>
              <w:rPr>
                <w:szCs w:val="16"/>
              </w:rPr>
              <w:t>7.38</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F6979C" w14:textId="0583B771" w:rsidR="00900FB0" w:rsidRPr="002B3292" w:rsidRDefault="00900FB0" w:rsidP="00900FB0">
            <w:pPr>
              <w:pStyle w:val="TableDataEntries"/>
            </w:pPr>
            <w:r>
              <w:rPr>
                <w:szCs w:val="16"/>
              </w:rPr>
              <w:t>12.52</w:t>
            </w:r>
          </w:p>
        </w:tc>
      </w:tr>
      <w:tr w:rsidR="00900FB0" w:rsidRPr="002B3292" w14:paraId="4A1B7F43"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459F11" w14:textId="74854C16" w:rsidR="00900FB0" w:rsidRPr="002B3292" w:rsidRDefault="00900FB0" w:rsidP="00900FB0">
            <w:pPr>
              <w:pStyle w:val="TableDataEntries"/>
              <w:jc w:val="left"/>
            </w:pPr>
            <w:r>
              <w:rPr>
                <w:szCs w:val="16"/>
              </w:rPr>
              <w:t>Zinc</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F43DEB" w14:textId="72971428" w:rsidR="00900FB0" w:rsidRPr="002B3292" w:rsidRDefault="00900FB0" w:rsidP="00900FB0">
            <w:pPr>
              <w:pStyle w:val="TableDataEntries"/>
            </w:pPr>
            <w:r>
              <w:rPr>
                <w:szCs w:val="16"/>
              </w:rPr>
              <w:t>30.52</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F84C0C" w14:textId="2E5A3852"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8A1C96" w14:textId="77393A90"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77711F" w14:textId="37976816"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93B88CE" w14:textId="5AE8F948" w:rsidR="00900FB0" w:rsidRPr="002B3292" w:rsidRDefault="00900FB0" w:rsidP="00900FB0">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FC18CE" w14:textId="209B73B2" w:rsidR="00900FB0" w:rsidRPr="002B3292" w:rsidRDefault="00900FB0" w:rsidP="00900FB0">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508C19" w14:textId="7B2A0688" w:rsidR="00900FB0" w:rsidRPr="002B3292" w:rsidRDefault="00900FB0" w:rsidP="00900FB0">
            <w:pPr>
              <w:pStyle w:val="TableDataEntries"/>
            </w:pPr>
            <w:r>
              <w:rPr>
                <w:szCs w:val="16"/>
              </w:rPr>
              <w:t>12.21</w:t>
            </w:r>
          </w:p>
        </w:tc>
      </w:tr>
      <w:tr w:rsidR="00900FB0" w:rsidRPr="002B3292" w14:paraId="4C7FED17"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EE0190" w14:textId="1EE087CE" w:rsidR="00900FB0" w:rsidRPr="002B3292" w:rsidRDefault="00900FB0" w:rsidP="00900FB0">
            <w:pPr>
              <w:pStyle w:val="TableDataEntries"/>
              <w:jc w:val="left"/>
            </w:pPr>
            <w:r>
              <w:rPr>
                <w:szCs w:val="16"/>
              </w:rPr>
              <w:t>Uncoated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BEAB16" w14:textId="2CB8F5CC" w:rsidR="00900FB0" w:rsidRPr="002B3292" w:rsidRDefault="00900FB0" w:rsidP="00900FB0">
            <w:pPr>
              <w:pStyle w:val="TableDataEntries"/>
            </w:pPr>
            <w:r>
              <w:rPr>
                <w:szCs w:val="16"/>
              </w:rPr>
              <w:t>42.99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1B62030" w14:textId="5D5D8134"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FDD04A" w14:textId="192043AB"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2C94A8" w14:textId="30B1E6D1"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4FA88D" w14:textId="32D19FDF" w:rsidR="00900FB0" w:rsidRPr="002B3292" w:rsidRDefault="00900FB0" w:rsidP="00900FB0">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0219EB" w14:textId="20A303AD" w:rsidR="00900FB0" w:rsidRPr="002B3292" w:rsidRDefault="00900FB0" w:rsidP="00900FB0">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A9070B" w14:textId="6A915743" w:rsidR="00900FB0" w:rsidRPr="002B3292" w:rsidRDefault="00900FB0" w:rsidP="00900FB0">
            <w:pPr>
              <w:pStyle w:val="TableDataEntries"/>
            </w:pPr>
            <w:r>
              <w:rPr>
                <w:szCs w:val="16"/>
              </w:rPr>
              <w:t>12.08</w:t>
            </w:r>
          </w:p>
        </w:tc>
      </w:tr>
      <w:tr w:rsidR="00900FB0" w:rsidRPr="002B3292" w14:paraId="0D46EFAB"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B758C1" w14:textId="3CB420F1" w:rsidR="00900FB0" w:rsidRPr="002B3292" w:rsidRDefault="00900FB0" w:rsidP="00900FB0">
            <w:pPr>
              <w:pStyle w:val="TableDataEntries"/>
              <w:jc w:val="left"/>
            </w:pPr>
            <w:r>
              <w:rPr>
                <w:szCs w:val="16"/>
              </w:rPr>
              <w:t>Nickel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D4E1C5" w14:textId="43CDDDD2" w:rsidR="00900FB0" w:rsidRPr="002B3292" w:rsidRDefault="00900FB0" w:rsidP="00900FB0">
            <w:pPr>
              <w:pStyle w:val="TableDataEntries"/>
            </w:pPr>
            <w:r>
              <w:rPr>
                <w:szCs w:val="16"/>
              </w:rPr>
              <w:t>27.69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E60D7F" w14:textId="2BC3DFE9"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A08D31" w14:textId="689D78A5"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55524A" w14:textId="7AB8B3FC"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42B147" w14:textId="4B3EE7E8" w:rsidR="00900FB0" w:rsidRPr="002B3292" w:rsidRDefault="00900FB0" w:rsidP="00900FB0">
            <w:pPr>
              <w:pStyle w:val="TableDataEntries"/>
            </w:pPr>
            <w:r>
              <w:rPr>
                <w:szCs w:val="16"/>
              </w:rPr>
              <w:t>8.40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97ED2D" w14:textId="6DF936D1" w:rsidR="00900FB0" w:rsidRPr="002B3292" w:rsidRDefault="00900FB0" w:rsidP="00900FB0">
            <w:pPr>
              <w:pStyle w:val="TableDataEntries"/>
            </w:pPr>
            <w:r>
              <w:rPr>
                <w:szCs w:val="16"/>
              </w:rPr>
              <w:t>40.00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729EE8" w14:textId="290A0B67" w:rsidR="00900FB0" w:rsidRPr="002B3292" w:rsidRDefault="00900FB0" w:rsidP="00900FB0">
            <w:pPr>
              <w:pStyle w:val="TableDataEntries"/>
            </w:pPr>
            <w:r>
              <w:rPr>
                <w:szCs w:val="16"/>
              </w:rPr>
              <w:t>11.08</w:t>
            </w:r>
          </w:p>
        </w:tc>
      </w:tr>
      <w:tr w:rsidR="00900FB0" w:rsidRPr="002B3292" w14:paraId="45BA023A"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5652E3D" w14:textId="7B1BACD9" w:rsidR="00900FB0" w:rsidRPr="002B3292" w:rsidRDefault="00900FB0" w:rsidP="00900FB0">
            <w:pPr>
              <w:pStyle w:val="TableDataEntries"/>
              <w:jc w:val="left"/>
            </w:pPr>
            <w:r>
              <w:rPr>
                <w:szCs w:val="16"/>
              </w:rPr>
              <w:t>Perfumery &amp; cosmetics (excl soap)</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ABC010" w14:textId="282DE66C" w:rsidR="00900FB0" w:rsidRPr="002B3292" w:rsidRDefault="00900FB0" w:rsidP="00900FB0">
            <w:pPr>
              <w:pStyle w:val="TableDataEntries"/>
            </w:pPr>
            <w:r>
              <w:rPr>
                <w:szCs w:val="16"/>
              </w:rPr>
              <w:t>29.05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F400D9" w14:textId="47B0804A"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D17945" w14:textId="172ACAEB"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26303F" w14:textId="17D21E13"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215B52E" w14:textId="74BFC3DF" w:rsidR="00900FB0" w:rsidRPr="002B3292" w:rsidRDefault="00900FB0" w:rsidP="00900FB0">
            <w:pPr>
              <w:pStyle w:val="TableDataEntries"/>
            </w:pPr>
            <w:r>
              <w:rPr>
                <w:szCs w:val="16"/>
              </w:rPr>
              <w:t>6.60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D48CD0" w14:textId="1A1E80F0" w:rsidR="00900FB0" w:rsidRPr="002B3292" w:rsidRDefault="00900FB0" w:rsidP="00900FB0">
            <w:pPr>
              <w:pStyle w:val="TableDataEntries"/>
            </w:pPr>
            <w:r>
              <w:rPr>
                <w:szCs w:val="16"/>
              </w:rPr>
              <w:t>31.43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2ADF01" w14:textId="3ABF1639" w:rsidR="00900FB0" w:rsidRPr="002B3292" w:rsidRDefault="00900FB0" w:rsidP="00900FB0">
            <w:pPr>
              <w:pStyle w:val="TableDataEntries"/>
            </w:pPr>
            <w:r>
              <w:rPr>
                <w:szCs w:val="16"/>
              </w:rPr>
              <w:t>9.13</w:t>
            </w:r>
          </w:p>
        </w:tc>
      </w:tr>
      <w:tr w:rsidR="00900FB0" w:rsidRPr="002B3292" w14:paraId="087F21A6" w14:textId="77777777" w:rsidTr="00900FB0">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F4553F" w14:textId="3DB49322" w:rsidR="00900FB0" w:rsidRPr="002B3292" w:rsidRDefault="00900FB0" w:rsidP="00900FB0">
            <w:pPr>
              <w:pStyle w:val="TableDataEntries"/>
              <w:jc w:val="left"/>
            </w:pPr>
            <w:r>
              <w:rPr>
                <w:szCs w:val="16"/>
              </w:rPr>
              <w:t xml:space="preserve">Edible products &amp; preparations, </w:t>
            </w:r>
            <w:proofErr w:type="spellStart"/>
            <w:r>
              <w:rPr>
                <w:szCs w:val="16"/>
              </w:rPr>
              <w:t>nes</w:t>
            </w:r>
            <w:proofErr w:type="spellEnd"/>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771420" w14:textId="0A1B86C1" w:rsidR="00900FB0" w:rsidRPr="002B3292" w:rsidRDefault="00900FB0" w:rsidP="00900FB0">
            <w:pPr>
              <w:pStyle w:val="TableDataEntries"/>
            </w:pPr>
            <w:r>
              <w:rPr>
                <w:szCs w:val="16"/>
              </w:rPr>
              <w:t>47.06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4BD8FA" w14:textId="619D3494" w:rsidR="00900FB0" w:rsidRPr="002B3292" w:rsidRDefault="00900FB0" w:rsidP="00900FB0">
            <w:pPr>
              <w:pStyle w:val="TableDataEntries"/>
            </w:pPr>
            <w:r>
              <w:rPr>
                <w:szCs w:val="16"/>
              </w:rPr>
              <w:t>4.99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CFE85A" w14:textId="2CA4C95B"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11B683" w14:textId="0F53625A"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939621" w14:textId="0B2FDB2E" w:rsidR="00900FB0" w:rsidRPr="002B3292" w:rsidRDefault="00900FB0" w:rsidP="00900FB0">
            <w:pPr>
              <w:pStyle w:val="TableDataEntries"/>
            </w:pPr>
            <w:r>
              <w:rPr>
                <w:szCs w:val="16"/>
              </w:rPr>
              <w:t>4.00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F36852" w14:textId="5B51F620" w:rsidR="00900FB0" w:rsidRPr="002B3292" w:rsidRDefault="00900FB0" w:rsidP="00900FB0">
            <w:pPr>
              <w:pStyle w:val="TableDataEntries"/>
            </w:pPr>
            <w:r>
              <w:rPr>
                <w:szCs w:val="16"/>
              </w:rPr>
              <w:t>19.02</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F60733" w14:textId="52B812F7" w:rsidR="00900FB0" w:rsidRPr="002B3292" w:rsidRDefault="00900FB0" w:rsidP="00900FB0">
            <w:pPr>
              <w:pStyle w:val="TableDataEntries"/>
            </w:pPr>
            <w:r>
              <w:rPr>
                <w:szCs w:val="16"/>
              </w:rPr>
              <w:t>8.95</w:t>
            </w:r>
          </w:p>
        </w:tc>
      </w:tr>
      <w:tr w:rsidR="00900FB0" w:rsidRPr="002B3292" w14:paraId="7F6E81AE"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3A82EC" w14:textId="2AC107FC" w:rsidR="00900FB0" w:rsidRPr="002B3292" w:rsidRDefault="00900FB0" w:rsidP="00900FB0">
            <w:pPr>
              <w:pStyle w:val="TableDataEntries"/>
              <w:jc w:val="left"/>
            </w:pPr>
            <w:r>
              <w:rPr>
                <w:szCs w:val="16"/>
              </w:rPr>
              <w:t>Aircraft, spacecraft &amp; parts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BD5241" w14:textId="4C35B342" w:rsidR="00900FB0" w:rsidRPr="002B3292" w:rsidRDefault="00900FB0" w:rsidP="00900FB0">
            <w:pPr>
              <w:pStyle w:val="TableDataEntries"/>
            </w:pPr>
            <w:r>
              <w:rPr>
                <w:szCs w:val="16"/>
              </w:rPr>
              <w:t>21.29</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095C23" w14:textId="5AC797DB"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2059FF" w14:textId="0D70BB48"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2956B7" w14:textId="3ABF20AE"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F08478" w14:textId="5A8F77B4" w:rsidR="00900FB0" w:rsidRPr="002B3292" w:rsidRDefault="00900FB0" w:rsidP="00900FB0">
            <w:pPr>
              <w:pStyle w:val="TableDataEntries"/>
            </w:pPr>
            <w:r>
              <w:rPr>
                <w:szCs w:val="16"/>
              </w:rPr>
              <w:t>8.60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16CF33" w14:textId="31DFEDC7" w:rsidR="00900FB0" w:rsidRPr="002B3292" w:rsidRDefault="00900FB0" w:rsidP="00900FB0">
            <w:pPr>
              <w:pStyle w:val="TableDataEntries"/>
            </w:pPr>
            <w:r>
              <w:rPr>
                <w:szCs w:val="16"/>
              </w:rPr>
              <w:t>40.94</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17CF09" w14:textId="1A8E95ED" w:rsidR="00900FB0" w:rsidRPr="002B3292" w:rsidRDefault="00900FB0" w:rsidP="00900FB0">
            <w:pPr>
              <w:pStyle w:val="TableDataEntries"/>
            </w:pPr>
            <w:r>
              <w:rPr>
                <w:szCs w:val="16"/>
              </w:rPr>
              <w:t>8.72</w:t>
            </w:r>
          </w:p>
        </w:tc>
      </w:tr>
      <w:tr w:rsidR="00900FB0" w:rsidRPr="002B3292" w14:paraId="173D5206"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D71E254" w14:textId="6EB33AD4" w:rsidR="00900FB0" w:rsidRPr="002B3292" w:rsidRDefault="00900FB0" w:rsidP="00900FB0">
            <w:pPr>
              <w:pStyle w:val="TableDataEntries"/>
              <w:jc w:val="left"/>
            </w:pPr>
            <w:r>
              <w:rPr>
                <w:szCs w:val="16"/>
              </w:rPr>
              <w:t>Jewellery</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047C92" w14:textId="1F58712A" w:rsidR="00900FB0" w:rsidRPr="002B3292" w:rsidRDefault="00900FB0" w:rsidP="00900FB0">
            <w:pPr>
              <w:pStyle w:val="TableDataEntries"/>
            </w:pPr>
            <w:r>
              <w:rPr>
                <w:szCs w:val="16"/>
              </w:rPr>
              <w:t>23.06</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2BAE87" w14:textId="7E4CC72A"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D34170" w14:textId="2230AAB3"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826212" w14:textId="75B20505"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9F91418" w14:textId="082BFF5C" w:rsidR="00900FB0" w:rsidRPr="002B3292" w:rsidRDefault="00900FB0" w:rsidP="00900FB0">
            <w:pPr>
              <w:pStyle w:val="TableDataEntries"/>
            </w:pPr>
            <w:r>
              <w:rPr>
                <w:szCs w:val="16"/>
              </w:rPr>
              <w:t>7.50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84C878" w14:textId="0C0F892F" w:rsidR="00900FB0" w:rsidRPr="002B3292" w:rsidRDefault="00900FB0" w:rsidP="00900FB0">
            <w:pPr>
              <w:pStyle w:val="TableDataEntries"/>
            </w:pPr>
            <w:r>
              <w:rPr>
                <w:szCs w:val="16"/>
              </w:rPr>
              <w:t>35.71</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0B5EB6" w14:textId="0624720C" w:rsidR="00900FB0" w:rsidRPr="002B3292" w:rsidRDefault="00900FB0" w:rsidP="00900FB0">
            <w:pPr>
              <w:pStyle w:val="TableDataEntries"/>
            </w:pPr>
            <w:r>
              <w:rPr>
                <w:szCs w:val="16"/>
              </w:rPr>
              <w:t>8.23</w:t>
            </w:r>
          </w:p>
        </w:tc>
      </w:tr>
      <w:tr w:rsidR="00900FB0" w:rsidRPr="002B3292" w14:paraId="7C158DD8" w14:textId="77777777" w:rsidTr="00BE6147">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8064DB" w14:textId="5DAB3894" w:rsidR="00900FB0" w:rsidRPr="002B3292" w:rsidRDefault="00900FB0" w:rsidP="00900FB0">
            <w:pPr>
              <w:pStyle w:val="TableDataEntries"/>
              <w:jc w:val="left"/>
            </w:pPr>
            <w:r>
              <w:rPr>
                <w:szCs w:val="16"/>
              </w:rPr>
              <w:t>Coated flat-rolled iron &amp; steel</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A9F3A3" w14:textId="6812D36F" w:rsidR="00900FB0" w:rsidRPr="002B3292" w:rsidRDefault="00900FB0" w:rsidP="00900FB0">
            <w:pPr>
              <w:pStyle w:val="TableDataEntries"/>
            </w:pPr>
            <w:r>
              <w:rPr>
                <w:szCs w:val="16"/>
              </w:rPr>
              <w:t>25.23</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F47207" w14:textId="5F5DECD1"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C77121" w14:textId="5507F692"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4BB8C2" w14:textId="4FA1BABE"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FBC60A" w14:textId="4CE92C9F" w:rsidR="00900FB0" w:rsidRPr="002B3292" w:rsidRDefault="00900FB0" w:rsidP="00900FB0">
            <w:pPr>
              <w:pStyle w:val="TableDataEntries"/>
            </w:pPr>
            <w:r>
              <w:rPr>
                <w:szCs w:val="16"/>
              </w:rPr>
              <w:t>5.90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E94620" w14:textId="46C55E55" w:rsidR="00900FB0" w:rsidRPr="002B3292" w:rsidRDefault="00900FB0" w:rsidP="00900FB0">
            <w:pPr>
              <w:pStyle w:val="TableDataEntries"/>
            </w:pPr>
            <w:r>
              <w:rPr>
                <w:szCs w:val="16"/>
              </w:rPr>
              <w:t>28.10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3400F6" w14:textId="27D59EDF" w:rsidR="00900FB0" w:rsidRPr="002B3292" w:rsidRDefault="00900FB0" w:rsidP="00900FB0">
            <w:pPr>
              <w:pStyle w:val="TableDataEntries"/>
            </w:pPr>
            <w:r>
              <w:rPr>
                <w:szCs w:val="16"/>
              </w:rPr>
              <w:t>7.09</w:t>
            </w:r>
          </w:p>
        </w:tc>
      </w:tr>
      <w:tr w:rsidR="00900FB0" w:rsidRPr="002B3292" w14:paraId="01B5CBF9" w14:textId="77777777" w:rsidTr="00900FB0">
        <w:trPr>
          <w:trHeight w:val="252"/>
        </w:trPr>
        <w:tc>
          <w:tcPr>
            <w:tcW w:w="244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EF8550" w14:textId="36F1E4B0" w:rsidR="00900FB0" w:rsidRPr="002B3292" w:rsidRDefault="00900FB0" w:rsidP="00900FB0">
            <w:pPr>
              <w:pStyle w:val="TableDataEntries"/>
              <w:jc w:val="left"/>
            </w:pPr>
            <w:r>
              <w:rPr>
                <w:szCs w:val="16"/>
              </w:rPr>
              <w:t>Wool &amp; other animal hair (incl tops)</w:t>
            </w:r>
          </w:p>
        </w:tc>
        <w:tc>
          <w:tcPr>
            <w:tcW w:w="78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DA32FE" w14:textId="1F1AC8BC" w:rsidR="00900FB0" w:rsidRPr="002B3292" w:rsidRDefault="00900FB0" w:rsidP="00900FB0">
            <w:pPr>
              <w:pStyle w:val="TableDataEntries"/>
            </w:pPr>
            <w:r>
              <w:rPr>
                <w:szCs w:val="16"/>
              </w:rPr>
              <w:t>10.45</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E30774" w14:textId="783355E7" w:rsidR="00900FB0" w:rsidRPr="002B3292" w:rsidRDefault="00900FB0" w:rsidP="00900FB0">
            <w:pPr>
              <w:pStyle w:val="TableDataEntries"/>
            </w:pPr>
            <w:r>
              <w:rPr>
                <w:szCs w:val="16"/>
              </w:rPr>
              <w:t>5.00</w:t>
            </w:r>
          </w:p>
        </w:tc>
        <w:tc>
          <w:tcPr>
            <w:tcW w:w="78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A1A410" w14:textId="3D2E6207" w:rsidR="00900FB0" w:rsidRPr="002B3292" w:rsidRDefault="00900FB0" w:rsidP="00900FB0">
            <w:pPr>
              <w:pStyle w:val="TableDataEntries"/>
            </w:pPr>
            <w:r>
              <w:rPr>
                <w:szCs w:val="16"/>
              </w:rPr>
              <w:t>0.00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1FD920" w14:textId="6416EC86" w:rsidR="00900FB0" w:rsidRPr="002B3292" w:rsidRDefault="00900FB0" w:rsidP="00900FB0">
            <w:pPr>
              <w:pStyle w:val="TableDataEntries"/>
            </w:pPr>
            <w:r>
              <w:rPr>
                <w:szCs w:val="16"/>
              </w:rPr>
              <w:t>-4.76</w:t>
            </w:r>
          </w:p>
        </w:tc>
        <w:tc>
          <w:tcPr>
            <w:tcW w:w="88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D955E7" w14:textId="71920BDF" w:rsidR="00900FB0" w:rsidRPr="002B3292" w:rsidRDefault="00900FB0" w:rsidP="00900FB0">
            <w:pPr>
              <w:pStyle w:val="TableDataEntries"/>
            </w:pPr>
            <w:r>
              <w:rPr>
                <w:szCs w:val="16"/>
              </w:rPr>
              <w:t>12.90</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C13804" w14:textId="0F6D0AE0" w:rsidR="00900FB0" w:rsidRPr="002B3292" w:rsidRDefault="00900FB0" w:rsidP="00900FB0">
            <w:pPr>
              <w:pStyle w:val="TableDataEntries"/>
            </w:pPr>
            <w:r>
              <w:rPr>
                <w:szCs w:val="16"/>
              </w:rPr>
              <w:t>61.43</w:t>
            </w:r>
          </w:p>
        </w:tc>
        <w:tc>
          <w:tcPr>
            <w:tcW w:w="7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8EB4AA" w14:textId="6BB42F22" w:rsidR="00900FB0" w:rsidRPr="002B3292" w:rsidRDefault="00900FB0" w:rsidP="00900FB0">
            <w:pPr>
              <w:pStyle w:val="TableDataEntries"/>
            </w:pPr>
            <w:r>
              <w:rPr>
                <w:szCs w:val="16"/>
              </w:rPr>
              <w:t>6.42</w:t>
            </w:r>
          </w:p>
        </w:tc>
      </w:tr>
      <w:tr w:rsidR="00900FB0" w:rsidRPr="00900FB0" w14:paraId="34FB16B1" w14:textId="77777777" w:rsidTr="00BE6147">
        <w:trPr>
          <w:trHeight w:val="252"/>
        </w:trPr>
        <w:tc>
          <w:tcPr>
            <w:tcW w:w="244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365EBB11" w14:textId="45C1B72B" w:rsidR="00900FB0" w:rsidRPr="00900FB0" w:rsidRDefault="00900FB0" w:rsidP="00900FB0">
            <w:pPr>
              <w:pStyle w:val="TableDataEntries"/>
              <w:jc w:val="left"/>
              <w:rPr>
                <w:rFonts w:ascii="Franklin Gothic Demi" w:hAnsi="Franklin Gothic Demi"/>
              </w:rPr>
            </w:pPr>
            <w:r w:rsidRPr="00900FB0">
              <w:rPr>
                <w:rFonts w:ascii="Franklin Gothic Demi" w:hAnsi="Franklin Gothic Demi"/>
                <w:szCs w:val="16"/>
              </w:rPr>
              <w:t>Total</w:t>
            </w:r>
          </w:p>
        </w:tc>
        <w:tc>
          <w:tcPr>
            <w:tcW w:w="78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6B3B4A13" w14:textId="1E8804C9" w:rsidR="00900FB0" w:rsidRPr="00900FB0" w:rsidRDefault="00900FB0" w:rsidP="00900FB0">
            <w:pPr>
              <w:pStyle w:val="TableDataEntries"/>
              <w:rPr>
                <w:rFonts w:ascii="Franklin Gothic Demi" w:hAnsi="Franklin Gothic Demi"/>
              </w:rPr>
            </w:pPr>
            <w:r w:rsidRPr="00900FB0">
              <w:rPr>
                <w:rFonts w:ascii="Franklin Gothic Demi" w:hAnsi="Franklin Gothic Demi"/>
                <w:szCs w:val="16"/>
              </w:rPr>
              <w:t>2,954.14</w:t>
            </w:r>
          </w:p>
        </w:tc>
        <w:tc>
          <w:tcPr>
            <w:tcW w:w="78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5C95B602" w14:textId="362092CB" w:rsidR="00900FB0" w:rsidRPr="00900FB0" w:rsidRDefault="00B70E33" w:rsidP="00900FB0">
            <w:pPr>
              <w:pStyle w:val="TableDataEntries"/>
              <w:rPr>
                <w:rFonts w:ascii="Franklin Gothic Demi" w:hAnsi="Franklin Gothic Demi"/>
              </w:rPr>
            </w:pPr>
            <w:r>
              <w:rPr>
                <w:rFonts w:ascii="Franklin Gothic Demi" w:hAnsi="Franklin Gothic Demi"/>
              </w:rPr>
              <w:t>-</w:t>
            </w:r>
          </w:p>
        </w:tc>
        <w:tc>
          <w:tcPr>
            <w:tcW w:w="78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76745559" w14:textId="370890B9" w:rsidR="00900FB0" w:rsidRPr="00900FB0" w:rsidRDefault="00B70E33" w:rsidP="00900FB0">
            <w:pPr>
              <w:pStyle w:val="TableDataEntries"/>
              <w:rPr>
                <w:rFonts w:ascii="Franklin Gothic Demi" w:hAnsi="Franklin Gothic Demi"/>
              </w:rPr>
            </w:pPr>
            <w:r>
              <w:rPr>
                <w:rFonts w:ascii="Franklin Gothic Demi" w:hAnsi="Franklin Gothic Demi"/>
              </w:rPr>
              <w:t>-</w:t>
            </w: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67FB2360" w14:textId="382EC929" w:rsidR="00900FB0" w:rsidRPr="00900FB0" w:rsidRDefault="00B70E33" w:rsidP="00900FB0">
            <w:pPr>
              <w:pStyle w:val="TableDataEntries"/>
              <w:rPr>
                <w:rFonts w:ascii="Franklin Gothic Demi" w:hAnsi="Franklin Gothic Demi"/>
              </w:rPr>
            </w:pPr>
            <w:r>
              <w:rPr>
                <w:rFonts w:ascii="Franklin Gothic Demi" w:hAnsi="Franklin Gothic Demi"/>
              </w:rPr>
              <w:t>-</w:t>
            </w:r>
          </w:p>
        </w:tc>
        <w:tc>
          <w:tcPr>
            <w:tcW w:w="88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8891762" w14:textId="1DF66516" w:rsidR="00900FB0" w:rsidRPr="00900FB0" w:rsidRDefault="00B70E33" w:rsidP="00900FB0">
            <w:pPr>
              <w:pStyle w:val="TableDataEntries"/>
              <w:rPr>
                <w:rFonts w:ascii="Franklin Gothic Demi" w:hAnsi="Franklin Gothic Demi"/>
              </w:rPr>
            </w:pPr>
            <w:r>
              <w:rPr>
                <w:rFonts w:ascii="Franklin Gothic Demi" w:hAnsi="Franklin Gothic Demi"/>
              </w:rPr>
              <w:t>-</w:t>
            </w: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2E52C798" w14:textId="4913A181" w:rsidR="00900FB0" w:rsidRPr="00900FB0" w:rsidRDefault="00B70E33" w:rsidP="00900FB0">
            <w:pPr>
              <w:pStyle w:val="TableDataEntries"/>
              <w:rPr>
                <w:rFonts w:ascii="Franklin Gothic Demi" w:hAnsi="Franklin Gothic Demi"/>
              </w:rPr>
            </w:pPr>
            <w:r>
              <w:rPr>
                <w:rFonts w:ascii="Franklin Gothic Demi" w:hAnsi="Franklin Gothic Demi"/>
              </w:rPr>
              <w:t>-</w:t>
            </w:r>
          </w:p>
        </w:tc>
        <w:tc>
          <w:tcPr>
            <w:tcW w:w="7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tcPr>
          <w:p w14:paraId="38BFE684" w14:textId="37456908" w:rsidR="00900FB0" w:rsidRPr="00900FB0" w:rsidRDefault="00900FB0" w:rsidP="00900FB0">
            <w:pPr>
              <w:pStyle w:val="TableDataEntries"/>
              <w:rPr>
                <w:rFonts w:ascii="Franklin Gothic Demi" w:hAnsi="Franklin Gothic Demi"/>
              </w:rPr>
            </w:pPr>
            <w:r w:rsidRPr="00900FB0">
              <w:rPr>
                <w:rFonts w:ascii="Franklin Gothic Demi" w:hAnsi="Franklin Gothic Demi"/>
                <w:szCs w:val="16"/>
              </w:rPr>
              <w:t>568.11</w:t>
            </w:r>
          </w:p>
        </w:tc>
      </w:tr>
    </w:tbl>
    <w:p w14:paraId="1FA25BBF" w14:textId="77777777" w:rsidR="00FC6DE6" w:rsidRPr="00E4232C" w:rsidRDefault="00FC6DE6" w:rsidP="00FC6DE6">
      <w:pPr>
        <w:pStyle w:val="Note"/>
      </w:pPr>
      <w:proofErr w:type="gramStart"/>
      <w:r w:rsidRPr="00E4232C">
        <w:rPr>
          <w:rStyle w:val="NoteLabel"/>
        </w:rPr>
        <w:t>a</w:t>
      </w:r>
      <w:proofErr w:type="gramEnd"/>
      <w:r>
        <w:t xml:space="preserve"> </w:t>
      </w:r>
      <w:r w:rsidRPr="00F907AC">
        <w:t>Australia's average annual exports to the UAE over three years from 2021 to 2023</w:t>
      </w:r>
    </w:p>
    <w:p w14:paraId="32A660E4" w14:textId="77777777" w:rsidR="00FC6DE6" w:rsidRDefault="00FC6DE6" w:rsidP="00FC6DE6">
      <w:pPr>
        <w:pStyle w:val="Source"/>
        <w:rPr>
          <w:lang w:bidi="fa-IR"/>
        </w:rPr>
      </w:pPr>
      <w:r w:rsidRPr="002B3292">
        <w:rPr>
          <w:i/>
          <w:lang w:bidi="fa-IR"/>
        </w:rPr>
        <w:t>Source:</w:t>
      </w:r>
      <w:r>
        <w:rPr>
          <w:lang w:bidi="fa-IR"/>
        </w:rPr>
        <w:t xml:space="preserve"> CIE estimates</w:t>
      </w:r>
    </w:p>
    <w:p w14:paraId="42FD6EF4" w14:textId="77777777" w:rsidR="00FC6DE6" w:rsidRPr="00294565" w:rsidRDefault="00FC6DE6" w:rsidP="00294565">
      <w:pPr>
        <w:pStyle w:val="BodyText"/>
        <w:rPr>
          <w:lang w:bidi="fa-IR"/>
        </w:rPr>
      </w:pPr>
    </w:p>
    <w:sectPr w:rsidR="00FC6DE6" w:rsidRPr="00294565" w:rsidSect="00384703">
      <w:headerReference w:type="even" r:id="rId19"/>
      <w:headerReference w:type="default" r:id="rId20"/>
      <w:footerReference w:type="even" r:id="rId21"/>
      <w:footerReference w:type="default" r:id="rId22"/>
      <w:type w:val="oddPage"/>
      <w:pgSz w:w="11906" w:h="16838" w:code="9"/>
      <w:pgMar w:top="2268" w:right="1701" w:bottom="1418" w:left="226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E115" w14:textId="77777777" w:rsidR="002A44B5" w:rsidRDefault="002A44B5" w:rsidP="00996DC5">
      <w:pPr>
        <w:spacing w:line="240" w:lineRule="auto"/>
      </w:pPr>
      <w:r>
        <w:separator/>
      </w:r>
    </w:p>
  </w:endnote>
  <w:endnote w:type="continuationSeparator" w:id="0">
    <w:p w14:paraId="46E2B6DD" w14:textId="77777777" w:rsidR="002A44B5" w:rsidRDefault="002A44B5" w:rsidP="00996DC5">
      <w:pPr>
        <w:spacing w:line="240" w:lineRule="auto"/>
      </w:pPr>
      <w:r>
        <w:continuationSeparator/>
      </w:r>
    </w:p>
  </w:endnote>
  <w:endnote w:type="continuationNotice" w:id="1">
    <w:p w14:paraId="2254FFE2" w14:textId="77777777" w:rsidR="002A44B5" w:rsidRDefault="002A44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altName w:val="Cambria"/>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Demi">
    <w:altName w:val="Calibr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altName w:val="Calibri"/>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E5BE" w14:textId="77777777" w:rsidR="00295012" w:rsidRDefault="00295012">
    <w:pPr>
      <w:pStyle w:val="Footer"/>
    </w:pPr>
    <w:r>
      <w:t>www.TheCIE.com.au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D1E9" w14:textId="77777777" w:rsidR="00295012" w:rsidRDefault="00295012">
    <w:pPr>
      <w:pStyle w:val="Footer"/>
    </w:pPr>
    <w:r>
      <w:t>www.TheCIE.com.au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07B1" w14:textId="77777777" w:rsidR="00295012" w:rsidRDefault="00295012" w:rsidP="004E7620">
    <w:pPr>
      <w:pStyle w:val="Footer"/>
      <w:jc w:val="right"/>
    </w:pPr>
    <w:r>
      <w:t>www.TheCIE.com.au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7BC9" w14:textId="77777777" w:rsidR="00295012" w:rsidRDefault="00295012">
    <w:pPr>
      <w:pStyle w:val="Footer"/>
    </w:pPr>
    <w:r>
      <w:t>www.TheCIE.com.au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D902" w14:textId="77777777" w:rsidR="00295012" w:rsidRDefault="00295012" w:rsidP="007C4C46">
    <w:pPr>
      <w:pStyle w:val="Footer"/>
      <w:jc w:val="right"/>
    </w:pPr>
    <w:r>
      <w:t>www.TheCIE.com.au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7088" w14:textId="77777777" w:rsidR="002A44B5" w:rsidRDefault="002A44B5" w:rsidP="00996DC5">
      <w:pPr>
        <w:spacing w:line="240" w:lineRule="auto"/>
      </w:pPr>
      <w:r w:rsidRPr="00B75719">
        <w:rPr>
          <w:color w:val="6F6652" w:themeColor="text2"/>
        </w:rPr>
        <w:separator/>
      </w:r>
    </w:p>
  </w:footnote>
  <w:footnote w:type="continuationSeparator" w:id="0">
    <w:p w14:paraId="14B372C7" w14:textId="77777777" w:rsidR="002A44B5" w:rsidRDefault="002A44B5" w:rsidP="00996DC5">
      <w:pPr>
        <w:spacing w:line="240" w:lineRule="auto"/>
      </w:pPr>
      <w:r>
        <w:continuationSeparator/>
      </w:r>
    </w:p>
  </w:footnote>
  <w:footnote w:type="continuationNotice" w:id="1">
    <w:p w14:paraId="15FE4C7F" w14:textId="77777777" w:rsidR="002A44B5" w:rsidRDefault="002A44B5">
      <w:pPr>
        <w:spacing w:line="240" w:lineRule="auto"/>
      </w:pPr>
    </w:p>
  </w:footnote>
  <w:footnote w:id="2">
    <w:p w14:paraId="33ADB3A0" w14:textId="10A8765A" w:rsidR="00747EA3" w:rsidRDefault="00747EA3">
      <w:pPr>
        <w:pStyle w:val="FootnoteText"/>
      </w:pPr>
      <w:r>
        <w:rPr>
          <w:rStyle w:val="FootnoteReference"/>
        </w:rPr>
        <w:footnoteRef/>
      </w:r>
      <w:r>
        <w:t xml:space="preserve"> </w:t>
      </w:r>
      <w:r>
        <w:tab/>
        <w:t xml:space="preserve">CIE 2023, </w:t>
      </w:r>
      <w:r w:rsidR="00584072">
        <w:rPr>
          <w:i/>
          <w:iCs/>
        </w:rPr>
        <w:t>Australia-UAE free trade agreement: A feasibility analysis</w:t>
      </w:r>
      <w:r>
        <w:t>,</w:t>
      </w:r>
      <w:r w:rsidR="00584072">
        <w:t xml:space="preserve"> </w:t>
      </w:r>
      <w:r w:rsidR="00A32811">
        <w:t>final report to Department of Foreign Affairs and Trade, 27 February 2023.</w:t>
      </w:r>
    </w:p>
  </w:footnote>
  <w:footnote w:id="3">
    <w:p w14:paraId="6F5B25F0" w14:textId="6052BD71" w:rsidR="001A49C5" w:rsidRDefault="001A49C5">
      <w:pPr>
        <w:pStyle w:val="FootnoteText"/>
      </w:pPr>
      <w:r>
        <w:rPr>
          <w:rStyle w:val="FootnoteReference"/>
        </w:rPr>
        <w:footnoteRef/>
      </w:r>
      <w:r>
        <w:t xml:space="preserve"> </w:t>
      </w:r>
      <w:r>
        <w:tab/>
      </w:r>
      <w:r w:rsidR="0074485F">
        <w:t xml:space="preserve">DFAT 2024, </w:t>
      </w:r>
      <w:r w:rsidR="00C24C31">
        <w:rPr>
          <w:i/>
          <w:iCs/>
        </w:rPr>
        <w:t>Country and commodity pivot table 2006 to 2023</w:t>
      </w:r>
      <w:r w:rsidR="0074485F">
        <w:t>,</w:t>
      </w:r>
      <w:r w:rsidR="00C24C31">
        <w:t xml:space="preserve"> March 2024,</w:t>
      </w:r>
      <w:r w:rsidR="0074485F">
        <w:t xml:space="preserve"> </w:t>
      </w:r>
      <w:hyperlink r:id="rId1" w:history="1">
        <w:r w:rsidR="0074485F" w:rsidRPr="00483BEB">
          <w:rPr>
            <w:rStyle w:val="Hyperlink"/>
          </w:rPr>
          <w:t>https://www.dfat.gov.au/sites/default/files/country-sitc-pivot-table-calendar-years.xlsx</w:t>
        </w:r>
      </w:hyperlink>
      <w:r w:rsidR="0074485F">
        <w:t xml:space="preserve"> </w:t>
      </w:r>
    </w:p>
  </w:footnote>
  <w:footnote w:id="4">
    <w:p w14:paraId="2BBBD3B7" w14:textId="77777777" w:rsidR="00DE4F67" w:rsidRDefault="00DE4F67" w:rsidP="00DE4F67">
      <w:pPr>
        <w:pStyle w:val="FootnoteText"/>
      </w:pPr>
      <w:r>
        <w:rPr>
          <w:rStyle w:val="FootnoteReference"/>
        </w:rPr>
        <w:footnoteRef/>
      </w:r>
      <w:r>
        <w:t xml:space="preserve"> </w:t>
      </w:r>
      <w:r>
        <w:tab/>
        <w:t>Prohibited goods include illicit substances, ivory and asbestos, among other items prohibited for importation into the UAE. Special goods include mostly alcohol beverages, tobacco and pork products.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F643" w14:textId="64DF92A6" w:rsidR="00F151FF" w:rsidRDefault="00C05FC9">
    <w:pPr>
      <w:pStyle w:val="Header"/>
    </w:pPr>
    <w:r>
      <w:rPr>
        <w:noProof/>
      </w:rPr>
      <w:drawing>
        <wp:anchor distT="0" distB="0" distL="114300" distR="114300" simplePos="0" relativeHeight="251659264" behindDoc="0" locked="0" layoutInCell="1" allowOverlap="1" wp14:anchorId="7009C856" wp14:editId="1D7043A9">
          <wp:simplePos x="0" y="0"/>
          <wp:positionH relativeFrom="column">
            <wp:posOffset>-1562669</wp:posOffset>
          </wp:positionH>
          <wp:positionV relativeFrom="paragraph">
            <wp:posOffset>-396420</wp:posOffset>
          </wp:positionV>
          <wp:extent cx="7391137" cy="2573655"/>
          <wp:effectExtent l="0" t="0" r="0" b="0"/>
          <wp:wrapNone/>
          <wp:docPr id="241" name="Picture 1" descr="Logo for The 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1" descr="Logo for The CIE"/>
                  <pic:cNvPicPr>
                    <a:picLocks noChangeAspect="1"/>
                  </pic:cNvPicPr>
                </pic:nvPicPr>
                <pic:blipFill rotWithShape="1">
                  <a:blip r:embed="rId1" cstate="print">
                    <a:extLst>
                      <a:ext uri="{28A0092B-C50C-407E-A947-70E740481C1C}">
                        <a14:useLocalDpi xmlns:a14="http://schemas.microsoft.com/office/drawing/2010/main" val="0"/>
                      </a:ext>
                    </a:extLst>
                  </a:blip>
                  <a:srcRect t="8212" r="2185" b="67736"/>
                  <a:stretch/>
                </pic:blipFill>
                <pic:spPr bwMode="auto">
                  <a:xfrm>
                    <a:off x="0" y="0"/>
                    <a:ext cx="7391137" cy="257365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1907" w:type="dxa"/>
      <w:tblBorders>
        <w:bottom w:val="single" w:sz="4" w:space="0" w:color="F61D12" w:themeColor="accent2"/>
      </w:tblBorders>
      <w:tblLayout w:type="fixed"/>
      <w:tblLook w:val="04A0" w:firstRow="1" w:lastRow="0" w:firstColumn="1" w:lastColumn="0" w:noHBand="0" w:noVBand="1"/>
    </w:tblPr>
    <w:tblGrid>
      <w:gridCol w:w="2268"/>
      <w:gridCol w:w="1134"/>
      <w:gridCol w:w="6804"/>
      <w:gridCol w:w="1701"/>
    </w:tblGrid>
    <w:tr w:rsidR="00295012" w14:paraId="727F4892" w14:textId="77777777" w:rsidTr="004E7620">
      <w:trPr>
        <w:trHeight w:val="624"/>
      </w:trPr>
      <w:tc>
        <w:tcPr>
          <w:tcW w:w="2268" w:type="dxa"/>
        </w:tcPr>
        <w:p w14:paraId="085D0A6A" w14:textId="77777777" w:rsidR="00295012" w:rsidRDefault="00295012" w:rsidP="00650F3E">
          <w:pPr>
            <w:pStyle w:val="Header"/>
            <w:ind w:left="0" w:right="-1"/>
          </w:pPr>
        </w:p>
      </w:tc>
      <w:tc>
        <w:tcPr>
          <w:tcW w:w="1134" w:type="dxa"/>
          <w:vAlign w:val="bottom"/>
        </w:tcPr>
        <w:p w14:paraId="746533EF" w14:textId="77777777" w:rsidR="00295012" w:rsidRDefault="00295012" w:rsidP="00650F3E">
          <w:pPr>
            <w:pStyle w:val="Header"/>
            <w:ind w:left="0" w:right="-1"/>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tc>
      <w:tc>
        <w:tcPr>
          <w:tcW w:w="6804" w:type="dxa"/>
          <w:vAlign w:val="bottom"/>
        </w:tcPr>
        <w:p w14:paraId="69865733" w14:textId="108EDCBD" w:rsidR="00295012" w:rsidRDefault="0014172B" w:rsidP="00650F3E">
          <w:pPr>
            <w:pStyle w:val="Header"/>
            <w:ind w:left="0" w:right="-1"/>
            <w:jc w:val="right"/>
          </w:pPr>
          <w:r>
            <w:fldChar w:fldCharType="begin"/>
          </w:r>
          <w:r>
            <w:instrText xml:space="preserve"> STYLEREF  Title </w:instrText>
          </w:r>
          <w:r>
            <w:fldChar w:fldCharType="separate"/>
          </w:r>
          <w:r>
            <w:rPr>
              <w:noProof/>
            </w:rPr>
            <w:t>Australia-UAE free trade agreement</w:t>
          </w:r>
          <w:r>
            <w:rPr>
              <w:noProof/>
            </w:rPr>
            <w:fldChar w:fldCharType="end"/>
          </w:r>
        </w:p>
      </w:tc>
      <w:tc>
        <w:tcPr>
          <w:tcW w:w="1701" w:type="dxa"/>
        </w:tcPr>
        <w:p w14:paraId="61CC37A3" w14:textId="77777777" w:rsidR="00295012" w:rsidRDefault="00295012" w:rsidP="00650F3E">
          <w:pPr>
            <w:pStyle w:val="Header"/>
            <w:ind w:left="0" w:right="-1"/>
          </w:pPr>
        </w:p>
      </w:tc>
    </w:tr>
  </w:tbl>
  <w:p w14:paraId="180FF982" w14:textId="77777777" w:rsidR="00295012" w:rsidRDefault="00295012" w:rsidP="00650F3E">
    <w:pPr>
      <w:pStyle w:val="Header"/>
      <w:ind w:left="0"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2474" w:type="dxa"/>
      <w:tblBorders>
        <w:bottom w:val="single" w:sz="4" w:space="0" w:color="F61D12" w:themeColor="accent2"/>
      </w:tblBorders>
      <w:tblLayout w:type="fixed"/>
      <w:tblLook w:val="04A0" w:firstRow="1" w:lastRow="0" w:firstColumn="1" w:lastColumn="0" w:noHBand="0" w:noVBand="1"/>
    </w:tblPr>
    <w:tblGrid>
      <w:gridCol w:w="2268"/>
      <w:gridCol w:w="7513"/>
      <w:gridCol w:w="992"/>
      <w:gridCol w:w="1701"/>
    </w:tblGrid>
    <w:tr w:rsidR="00295012" w14:paraId="137CF1C6" w14:textId="77777777" w:rsidTr="004E7620">
      <w:trPr>
        <w:trHeight w:val="624"/>
      </w:trPr>
      <w:tc>
        <w:tcPr>
          <w:tcW w:w="2268" w:type="dxa"/>
        </w:tcPr>
        <w:p w14:paraId="36C09763" w14:textId="77777777" w:rsidR="00295012" w:rsidRDefault="00295012" w:rsidP="00650F3E">
          <w:pPr>
            <w:pStyle w:val="Header"/>
            <w:ind w:left="0" w:right="-1"/>
          </w:pPr>
        </w:p>
      </w:tc>
      <w:tc>
        <w:tcPr>
          <w:tcW w:w="7513" w:type="dxa"/>
          <w:vAlign w:val="bottom"/>
        </w:tcPr>
        <w:p w14:paraId="157C7920" w14:textId="6AA89322" w:rsidR="00295012" w:rsidRDefault="0014172B" w:rsidP="00650F3E">
          <w:pPr>
            <w:pStyle w:val="Header"/>
            <w:ind w:left="0" w:right="-1"/>
          </w:pPr>
          <w:r>
            <w:fldChar w:fldCharType="begin"/>
          </w:r>
          <w:r>
            <w:instrText xml:space="preserve"> STYLEREF  Title </w:instrText>
          </w:r>
          <w:r>
            <w:fldChar w:fldCharType="separate"/>
          </w:r>
          <w:r w:rsidR="00000C15">
            <w:rPr>
              <w:noProof/>
            </w:rPr>
            <w:t>Australia-UAE free trade agreement</w:t>
          </w:r>
          <w:r>
            <w:rPr>
              <w:noProof/>
            </w:rPr>
            <w:fldChar w:fldCharType="end"/>
          </w:r>
        </w:p>
      </w:tc>
      <w:tc>
        <w:tcPr>
          <w:tcW w:w="992" w:type="dxa"/>
          <w:vAlign w:val="bottom"/>
        </w:tcPr>
        <w:p w14:paraId="633F7107" w14:textId="77777777" w:rsidR="00295012" w:rsidRDefault="00295012" w:rsidP="00650F3E">
          <w:pPr>
            <w:pStyle w:val="Header"/>
            <w:ind w:left="0" w:right="-1"/>
            <w:jc w:val="right"/>
          </w:pPr>
          <w:r>
            <w:rPr>
              <w:rStyle w:val="PageNumber"/>
            </w:rPr>
            <w:fldChar w:fldCharType="begin"/>
          </w:r>
          <w:r>
            <w:rPr>
              <w:rStyle w:val="PageNumber"/>
            </w:rPr>
            <w:instrText xml:space="preserve"> PAGE </w:instrText>
          </w:r>
          <w:r>
            <w:rPr>
              <w:rStyle w:val="PageNumber"/>
            </w:rPr>
            <w:fldChar w:fldCharType="separate"/>
          </w:r>
          <w:r w:rsidR="00FB0FBE">
            <w:rPr>
              <w:rStyle w:val="PageNumber"/>
              <w:noProof/>
            </w:rPr>
            <w:t>iii</w:t>
          </w:r>
          <w:r>
            <w:rPr>
              <w:rStyle w:val="PageNumber"/>
            </w:rPr>
            <w:fldChar w:fldCharType="end"/>
          </w:r>
        </w:p>
      </w:tc>
      <w:tc>
        <w:tcPr>
          <w:tcW w:w="1701" w:type="dxa"/>
        </w:tcPr>
        <w:p w14:paraId="13E0006C" w14:textId="77777777" w:rsidR="00295012" w:rsidRDefault="00295012" w:rsidP="00650F3E">
          <w:pPr>
            <w:pStyle w:val="Header"/>
            <w:ind w:left="0" w:right="-1"/>
          </w:pPr>
        </w:p>
      </w:tc>
    </w:tr>
  </w:tbl>
  <w:p w14:paraId="3B53F7CC" w14:textId="77777777" w:rsidR="00295012" w:rsidRPr="003D2A2B" w:rsidRDefault="00295012" w:rsidP="00650F3E">
    <w:pPr>
      <w:pStyle w:val="Header"/>
      <w:ind w:left="0" w:right="-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1907" w:type="dxa"/>
      <w:tblBorders>
        <w:bottom w:val="single" w:sz="4" w:space="0" w:color="F61D12" w:themeColor="accent2"/>
      </w:tblBorders>
      <w:tblLayout w:type="fixed"/>
      <w:tblLook w:val="04A0" w:firstRow="1" w:lastRow="0" w:firstColumn="1" w:lastColumn="0" w:noHBand="0" w:noVBand="1"/>
    </w:tblPr>
    <w:tblGrid>
      <w:gridCol w:w="2268"/>
      <w:gridCol w:w="1134"/>
      <w:gridCol w:w="6804"/>
      <w:gridCol w:w="1701"/>
    </w:tblGrid>
    <w:tr w:rsidR="00295012" w14:paraId="49458C85" w14:textId="77777777" w:rsidTr="006D44B3">
      <w:trPr>
        <w:trHeight w:val="624"/>
      </w:trPr>
      <w:tc>
        <w:tcPr>
          <w:tcW w:w="2268" w:type="dxa"/>
        </w:tcPr>
        <w:p w14:paraId="6D73B5E0" w14:textId="77777777" w:rsidR="00295012" w:rsidRDefault="00295012" w:rsidP="006D44B3">
          <w:pPr>
            <w:pStyle w:val="Header"/>
            <w:ind w:left="0" w:right="-1"/>
          </w:pPr>
        </w:p>
      </w:tc>
      <w:tc>
        <w:tcPr>
          <w:tcW w:w="1134" w:type="dxa"/>
          <w:vAlign w:val="bottom"/>
        </w:tcPr>
        <w:p w14:paraId="0B155654" w14:textId="77777777" w:rsidR="00295012" w:rsidRDefault="00295012" w:rsidP="006D44B3">
          <w:pPr>
            <w:pStyle w:val="Header"/>
            <w:ind w:left="0" w:right="-1"/>
          </w:pPr>
          <w:r>
            <w:rPr>
              <w:rStyle w:val="PageNumber"/>
            </w:rPr>
            <w:fldChar w:fldCharType="begin"/>
          </w:r>
          <w:r>
            <w:rPr>
              <w:rStyle w:val="PageNumber"/>
            </w:rPr>
            <w:instrText xml:space="preserve"> PAGE </w:instrText>
          </w:r>
          <w:r>
            <w:rPr>
              <w:rStyle w:val="PageNumber"/>
            </w:rPr>
            <w:fldChar w:fldCharType="separate"/>
          </w:r>
          <w:r w:rsidR="00A309FB">
            <w:rPr>
              <w:rStyle w:val="PageNumber"/>
              <w:noProof/>
            </w:rPr>
            <w:t>2</w:t>
          </w:r>
          <w:r>
            <w:rPr>
              <w:rStyle w:val="PageNumber"/>
            </w:rPr>
            <w:fldChar w:fldCharType="end"/>
          </w:r>
        </w:p>
      </w:tc>
      <w:tc>
        <w:tcPr>
          <w:tcW w:w="6804" w:type="dxa"/>
          <w:vAlign w:val="bottom"/>
        </w:tcPr>
        <w:p w14:paraId="4C9D830C" w14:textId="514CA148" w:rsidR="00295012" w:rsidRDefault="0014172B" w:rsidP="006D44B3">
          <w:pPr>
            <w:pStyle w:val="Header"/>
            <w:ind w:left="0" w:right="-1"/>
            <w:jc w:val="right"/>
          </w:pPr>
          <w:r>
            <w:fldChar w:fldCharType="begin"/>
          </w:r>
          <w:r>
            <w:instrText xml:space="preserve"> STYLEREF  Title </w:instrText>
          </w:r>
          <w:r>
            <w:fldChar w:fldCharType="separate"/>
          </w:r>
          <w:r>
            <w:rPr>
              <w:noProof/>
            </w:rPr>
            <w:t>Australia-UAE free trade agreement</w:t>
          </w:r>
          <w:r>
            <w:rPr>
              <w:noProof/>
            </w:rPr>
            <w:fldChar w:fldCharType="end"/>
          </w:r>
        </w:p>
      </w:tc>
      <w:tc>
        <w:tcPr>
          <w:tcW w:w="1701" w:type="dxa"/>
        </w:tcPr>
        <w:p w14:paraId="51B9357B" w14:textId="77777777" w:rsidR="00295012" w:rsidRDefault="00295012" w:rsidP="006D44B3">
          <w:pPr>
            <w:pStyle w:val="Header"/>
            <w:ind w:left="0" w:right="-1"/>
          </w:pPr>
        </w:p>
      </w:tc>
    </w:tr>
  </w:tbl>
  <w:p w14:paraId="0C2CA62F" w14:textId="77777777" w:rsidR="00295012" w:rsidRPr="009D4FBD" w:rsidRDefault="00295012" w:rsidP="00677846">
    <w:pPr>
      <w:pStyle w:val="Header"/>
      <w:ind w:left="0" w:right="-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2474" w:type="dxa"/>
      <w:tblBorders>
        <w:bottom w:val="single" w:sz="4" w:space="0" w:color="F61D12" w:themeColor="accent2"/>
      </w:tblBorders>
      <w:tblLayout w:type="fixed"/>
      <w:tblLook w:val="04A0" w:firstRow="1" w:lastRow="0" w:firstColumn="1" w:lastColumn="0" w:noHBand="0" w:noVBand="1"/>
    </w:tblPr>
    <w:tblGrid>
      <w:gridCol w:w="2268"/>
      <w:gridCol w:w="7513"/>
      <w:gridCol w:w="992"/>
      <w:gridCol w:w="1701"/>
    </w:tblGrid>
    <w:tr w:rsidR="00295012" w14:paraId="458D9410" w14:textId="77777777" w:rsidTr="004E7620">
      <w:trPr>
        <w:trHeight w:val="624"/>
      </w:trPr>
      <w:tc>
        <w:tcPr>
          <w:tcW w:w="2268" w:type="dxa"/>
        </w:tcPr>
        <w:p w14:paraId="3D582354" w14:textId="77777777" w:rsidR="00295012" w:rsidRDefault="00295012" w:rsidP="006D44B3">
          <w:pPr>
            <w:pStyle w:val="Header"/>
            <w:ind w:left="0" w:right="-1"/>
          </w:pPr>
        </w:p>
      </w:tc>
      <w:tc>
        <w:tcPr>
          <w:tcW w:w="7513" w:type="dxa"/>
          <w:vAlign w:val="bottom"/>
        </w:tcPr>
        <w:p w14:paraId="795025DA" w14:textId="7B9B2CF6" w:rsidR="00295012" w:rsidRDefault="0014172B" w:rsidP="006D44B3">
          <w:pPr>
            <w:pStyle w:val="Header"/>
            <w:ind w:left="0" w:right="-1"/>
          </w:pPr>
          <w:r>
            <w:fldChar w:fldCharType="begin"/>
          </w:r>
          <w:r>
            <w:instrText xml:space="preserve"> STYLEREF  Title </w:instrText>
          </w:r>
          <w:r>
            <w:fldChar w:fldCharType="separate"/>
          </w:r>
          <w:r>
            <w:rPr>
              <w:noProof/>
            </w:rPr>
            <w:t>Australia-UAE free trade agreement</w:t>
          </w:r>
          <w:r>
            <w:rPr>
              <w:noProof/>
            </w:rPr>
            <w:fldChar w:fldCharType="end"/>
          </w:r>
        </w:p>
      </w:tc>
      <w:tc>
        <w:tcPr>
          <w:tcW w:w="992" w:type="dxa"/>
          <w:vAlign w:val="bottom"/>
        </w:tcPr>
        <w:p w14:paraId="12C92252" w14:textId="77777777" w:rsidR="00295012" w:rsidRDefault="00295012" w:rsidP="006D44B3">
          <w:pPr>
            <w:pStyle w:val="Header"/>
            <w:ind w:left="0" w:right="-1"/>
            <w:jc w:val="right"/>
          </w:pPr>
          <w:r>
            <w:rPr>
              <w:rStyle w:val="PageNumber"/>
            </w:rPr>
            <w:fldChar w:fldCharType="begin"/>
          </w:r>
          <w:r>
            <w:rPr>
              <w:rStyle w:val="PageNumber"/>
            </w:rPr>
            <w:instrText xml:space="preserve"> PAGE </w:instrText>
          </w:r>
          <w:r>
            <w:rPr>
              <w:rStyle w:val="PageNumber"/>
            </w:rPr>
            <w:fldChar w:fldCharType="separate"/>
          </w:r>
          <w:r w:rsidR="00F32D87">
            <w:rPr>
              <w:rStyle w:val="PageNumber"/>
              <w:noProof/>
            </w:rPr>
            <w:t>1</w:t>
          </w:r>
          <w:r>
            <w:rPr>
              <w:rStyle w:val="PageNumber"/>
            </w:rPr>
            <w:fldChar w:fldCharType="end"/>
          </w:r>
        </w:p>
      </w:tc>
      <w:tc>
        <w:tcPr>
          <w:tcW w:w="1701" w:type="dxa"/>
        </w:tcPr>
        <w:p w14:paraId="49365CA9" w14:textId="77777777" w:rsidR="00295012" w:rsidRDefault="00295012" w:rsidP="006D44B3">
          <w:pPr>
            <w:pStyle w:val="Header"/>
            <w:ind w:left="0" w:right="-1"/>
          </w:pPr>
        </w:p>
      </w:tc>
    </w:tr>
  </w:tbl>
  <w:p w14:paraId="63760D64" w14:textId="77777777" w:rsidR="00295012" w:rsidRPr="009D4FBD" w:rsidRDefault="00295012" w:rsidP="00677846">
    <w:pPr>
      <w:pStyle w:val="Header"/>
      <w:ind w:left="0"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4EB"/>
    <w:multiLevelType w:val="multilevel"/>
    <w:tmpl w:val="A8A0795C"/>
    <w:numStyleLink w:val="RecommendationNumbers"/>
  </w:abstractNum>
  <w:abstractNum w:abstractNumId="1" w15:restartNumberingAfterBreak="0">
    <w:nsid w:val="0AC902B9"/>
    <w:multiLevelType w:val="multilevel"/>
    <w:tmpl w:val="7286E4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C37E3"/>
    <w:multiLevelType w:val="multilevel"/>
    <w:tmpl w:val="5BCE45E4"/>
    <w:numStyleLink w:val="NoteListNumber"/>
  </w:abstractNum>
  <w:abstractNum w:abstractNumId="3" w15:restartNumberingAfterBreak="0">
    <w:nsid w:val="0DF0714B"/>
    <w:multiLevelType w:val="multilevel"/>
    <w:tmpl w:val="0C09001F"/>
    <w:name w:val="NoteNumbers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1F659F"/>
    <w:multiLevelType w:val="multilevel"/>
    <w:tmpl w:val="60E6D4CC"/>
    <w:styleLink w:val="ListNumbers"/>
    <w:lvl w:ilvl="0">
      <w:start w:val="1"/>
      <w:numFmt w:val="decimal"/>
      <w:pStyle w:val="ListNumber"/>
      <w:lvlText w:val="%1"/>
      <w:lvlJc w:val="left"/>
      <w:pPr>
        <w:tabs>
          <w:tab w:val="num" w:pos="284"/>
        </w:tabs>
        <w:ind w:left="284" w:hanging="284"/>
      </w:pPr>
      <w:rPr>
        <w:rFonts w:ascii="Calisto MT" w:hAnsi="Calisto MT"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58D63BB"/>
    <w:multiLevelType w:val="multilevel"/>
    <w:tmpl w:val="5BCE45E4"/>
    <w:styleLink w:val="NoteListNumber"/>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6" w15:restartNumberingAfterBreak="0">
    <w:nsid w:val="19B85820"/>
    <w:multiLevelType w:val="multilevel"/>
    <w:tmpl w:val="F94A5772"/>
    <w:styleLink w:val="ChartListBullets"/>
    <w:lvl w:ilvl="0">
      <w:start w:val="1"/>
      <w:numFmt w:val="bullet"/>
      <w:pStyle w:val="ChartListBullet"/>
      <w:lvlText w:val="■"/>
      <w:lvlJc w:val="left"/>
      <w:pPr>
        <w:tabs>
          <w:tab w:val="num" w:pos="170"/>
        </w:tabs>
        <w:ind w:left="170" w:hanging="170"/>
      </w:pPr>
      <w:rPr>
        <w:rFonts w:ascii="Franklin Gothic Book" w:hAnsi="Franklin Gothic Book" w:hint="default"/>
        <w:color w:val="9B917E" w:themeColor="accent4"/>
        <w:position w:val="2"/>
        <w:sz w:val="12"/>
      </w:rPr>
    </w:lvl>
    <w:lvl w:ilvl="1">
      <w:start w:val="1"/>
      <w:numFmt w:val="bullet"/>
      <w:pStyle w:val="ChartListBullet2"/>
      <w:lvlText w:val="–"/>
      <w:lvlJc w:val="left"/>
      <w:pPr>
        <w:tabs>
          <w:tab w:val="num" w:pos="340"/>
        </w:tabs>
        <w:ind w:left="340" w:hanging="170"/>
      </w:pPr>
      <w:rPr>
        <w:rFonts w:ascii="Franklin Gothic Book" w:hAnsi="Franklin Gothic Book"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416D84"/>
    <w:multiLevelType w:val="multilevel"/>
    <w:tmpl w:val="5BCE45E4"/>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8" w15:restartNumberingAfterBreak="0">
    <w:nsid w:val="27006C08"/>
    <w:multiLevelType w:val="multilevel"/>
    <w:tmpl w:val="149034BA"/>
    <w:styleLink w:val="KeyPointBullets"/>
    <w:lvl w:ilvl="0">
      <w:start w:val="1"/>
      <w:numFmt w:val="bullet"/>
      <w:pStyle w:val="KeyPoint"/>
      <w:lvlText w:val="■"/>
      <w:lvlJc w:val="left"/>
      <w:pPr>
        <w:tabs>
          <w:tab w:val="num" w:pos="284"/>
        </w:tabs>
        <w:ind w:left="284" w:hanging="284"/>
      </w:pPr>
      <w:rPr>
        <w:rFonts w:ascii="Franklin Gothic Demi" w:hAnsi="Franklin Gothic Demi" w:hint="default"/>
        <w:color w:val="F61D12" w:themeColor="accent2"/>
      </w:rPr>
    </w:lvl>
    <w:lvl w:ilvl="1">
      <w:start w:val="1"/>
      <w:numFmt w:val="bullet"/>
      <w:pStyle w:val="KeyPoint2"/>
      <w:lvlText w:val="–"/>
      <w:lvlJc w:val="left"/>
      <w:pPr>
        <w:tabs>
          <w:tab w:val="num" w:pos="567"/>
        </w:tabs>
        <w:ind w:left="567" w:hanging="283"/>
      </w:pPr>
      <w:rPr>
        <w:rFonts w:ascii="Franklin Gothic Demi" w:hAnsi="Franklin Gothic Demi" w:hint="default"/>
        <w:color w:val="F61D12" w:themeColor="accent2"/>
        <w:position w:val="2"/>
      </w:rPr>
    </w:lvl>
    <w:lvl w:ilvl="2">
      <w:start w:val="1"/>
      <w:numFmt w:val="bullet"/>
      <w:pStyle w:val="KeyPoint3"/>
      <w:lvlText w:val="…"/>
      <w:lvlJc w:val="left"/>
      <w:pPr>
        <w:tabs>
          <w:tab w:val="num" w:pos="992"/>
        </w:tabs>
        <w:ind w:left="992" w:hanging="425"/>
      </w:pPr>
      <w:rPr>
        <w:rFonts w:ascii="Franklin Gothic Demi" w:hAnsi="Franklin Gothic Demi" w:hint="default"/>
        <w:color w:val="F61D12"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E231F0"/>
    <w:multiLevelType w:val="multilevel"/>
    <w:tmpl w:val="A8A0795C"/>
    <w:styleLink w:val="RecommendationNumbers"/>
    <w:lvl w:ilvl="0">
      <w:start w:val="1"/>
      <w:numFmt w:val="decimal"/>
      <w:pStyle w:val="RecommendationNumber"/>
      <w:lvlText w:val="%1"/>
      <w:lvlJc w:val="left"/>
      <w:pPr>
        <w:tabs>
          <w:tab w:val="num" w:pos="284"/>
        </w:tabs>
        <w:ind w:left="284" w:hanging="284"/>
      </w:pPr>
      <w:rPr>
        <w:rFonts w:hint="default"/>
      </w:rPr>
    </w:lvl>
    <w:lvl w:ilvl="1">
      <w:start w:val="1"/>
      <w:numFmt w:val="lowerLetter"/>
      <w:pStyle w:val="RecommendationNumber2"/>
      <w:lvlText w:val="%2)"/>
      <w:lvlJc w:val="left"/>
      <w:pPr>
        <w:tabs>
          <w:tab w:val="num" w:pos="567"/>
        </w:tabs>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624A0E"/>
    <w:multiLevelType w:val="multilevel"/>
    <w:tmpl w:val="5BCE45E4"/>
    <w:numStyleLink w:val="NoteListNumber"/>
  </w:abstractNum>
  <w:abstractNum w:abstractNumId="11" w15:restartNumberingAfterBreak="0">
    <w:nsid w:val="3487660B"/>
    <w:multiLevelType w:val="multilevel"/>
    <w:tmpl w:val="5BCE45E4"/>
    <w:numStyleLink w:val="NoteListNumber"/>
  </w:abstractNum>
  <w:abstractNum w:abstractNumId="12" w15:restartNumberingAfterBreak="0">
    <w:nsid w:val="41535386"/>
    <w:multiLevelType w:val="multilevel"/>
    <w:tmpl w:val="8C8656A2"/>
    <w:styleLink w:val="TableListNumbers"/>
    <w:lvl w:ilvl="0">
      <w:start w:val="1"/>
      <w:numFmt w:val="decimal"/>
      <w:pStyle w:val="TableListNumber"/>
      <w:lvlText w:val="%1"/>
      <w:lvlJc w:val="left"/>
      <w:pPr>
        <w:tabs>
          <w:tab w:val="num" w:pos="170"/>
        </w:tabs>
        <w:ind w:left="170" w:hanging="170"/>
      </w:pPr>
      <w:rPr>
        <w:rFonts w:ascii="Franklin Gothic Book" w:hAnsi="Franklin Gothic Book"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E3E75E8"/>
    <w:multiLevelType w:val="multilevel"/>
    <w:tmpl w:val="49B2C914"/>
    <w:styleLink w:val="HeadingNumbers"/>
    <w:lvl w:ilvl="0">
      <w:start w:val="1"/>
      <w:numFmt w:val="decimal"/>
      <w:lvlText w:val="%1"/>
      <w:lvlJc w:val="left"/>
      <w:pPr>
        <w:tabs>
          <w:tab w:val="num" w:pos="567"/>
        </w:tabs>
        <w:ind w:left="567" w:hanging="567"/>
      </w:pPr>
      <w:rPr>
        <w:rFonts w:hint="default"/>
        <w:b w:val="0"/>
        <w:i/>
        <w:color w:val="auto"/>
        <w:sz w:val="36"/>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567"/>
        </w:tabs>
        <w:ind w:left="567" w:hanging="567"/>
      </w:pPr>
      <w:rPr>
        <w:rFonts w:hint="default"/>
        <w:b w:val="0"/>
        <w:i/>
        <w:caps w:val="0"/>
        <w:sz w:val="36"/>
        <w:szCs w:val="28"/>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asciiTheme="majorHAnsi" w:hAnsiTheme="majorHAnsi" w:hint="default"/>
      </w:rPr>
    </w:lvl>
    <w:lvl w:ilvl="8">
      <w:start w:val="1"/>
      <w:numFmt w:val="none"/>
      <w:lvlRestart w:val="0"/>
      <w:pStyle w:val="Heading9"/>
      <w:suff w:val="nothing"/>
      <w:lvlText w:val=""/>
      <w:lvlJc w:val="left"/>
      <w:pPr>
        <w:ind w:left="0" w:firstLine="0"/>
      </w:pPr>
      <w:rPr>
        <w:rFonts w:asciiTheme="majorHAnsi" w:hAnsiTheme="majorHAnsi" w:hint="default"/>
      </w:rPr>
    </w:lvl>
  </w:abstractNum>
  <w:abstractNum w:abstractNumId="14" w15:restartNumberingAfterBreak="0">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9B917E"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787896"/>
    <w:multiLevelType w:val="multilevel"/>
    <w:tmpl w:val="567ADE74"/>
    <w:numStyleLink w:val="TableListBullets"/>
  </w:abstractNum>
  <w:abstractNum w:abstractNumId="16" w15:restartNumberingAfterBreak="0">
    <w:nsid w:val="58B8648D"/>
    <w:multiLevelType w:val="multilevel"/>
    <w:tmpl w:val="5BCE45E4"/>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pStyle w:val="NoteNumb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17" w15:restartNumberingAfterBreak="0">
    <w:nsid w:val="6C420028"/>
    <w:multiLevelType w:val="multilevel"/>
    <w:tmpl w:val="AD122346"/>
    <w:styleLink w:val="ChartListNumber"/>
    <w:lvl w:ilvl="0">
      <w:start w:val="1"/>
      <w:numFmt w:val="decimal"/>
      <w:pStyle w:val="ChartListNumber0"/>
      <w:lvlText w:val="%1"/>
      <w:lvlJc w:val="left"/>
      <w:pPr>
        <w:tabs>
          <w:tab w:val="num" w:pos="170"/>
        </w:tabs>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9B917E"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9B917E"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20F67A8"/>
    <w:multiLevelType w:val="multilevel"/>
    <w:tmpl w:val="0C090029"/>
    <w:name w:val="NoteNumber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2BB502B"/>
    <w:multiLevelType w:val="multilevel"/>
    <w:tmpl w:val="CB90F828"/>
    <w:lvl w:ilvl="0">
      <w:start w:val="1"/>
      <w:numFmt w:val="lowerLetter"/>
      <w:lvlRestart w:val="0"/>
      <w:lvlText w:val="%1"/>
      <w:lvlJc w:val="left"/>
      <w:pPr>
        <w:tabs>
          <w:tab w:val="num" w:pos="170"/>
        </w:tabs>
        <w:ind w:left="0" w:firstLine="0"/>
      </w:pPr>
      <w:rPr>
        <w:rFonts w:hint="default"/>
        <w:b/>
        <w:bCs w:val="0"/>
        <w:i w:val="0"/>
        <w:iCs w:val="0"/>
        <w:caps w:val="0"/>
        <w:smallCaps w:val="0"/>
        <w:strike w:val="0"/>
        <w:dstrike w:val="0"/>
        <w:noProof w:val="0"/>
        <w:vanish w:val="0"/>
        <w:color w:val="00497E"/>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1" w15:restartNumberingAfterBreak="0">
    <w:nsid w:val="7C3A0DF8"/>
    <w:multiLevelType w:val="multilevel"/>
    <w:tmpl w:val="E6863C72"/>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num w:numId="1" w16cid:durableId="542327439">
    <w:abstractNumId w:val="12"/>
  </w:num>
  <w:num w:numId="2" w16cid:durableId="884633978">
    <w:abstractNumId w:val="14"/>
  </w:num>
  <w:num w:numId="3" w16cid:durableId="707493040">
    <w:abstractNumId w:val="6"/>
  </w:num>
  <w:num w:numId="4" w16cid:durableId="219706361">
    <w:abstractNumId w:val="17"/>
  </w:num>
  <w:num w:numId="5" w16cid:durableId="1570530931">
    <w:abstractNumId w:val="13"/>
  </w:num>
  <w:num w:numId="6" w16cid:durableId="1039282474">
    <w:abstractNumId w:val="9"/>
  </w:num>
  <w:num w:numId="7" w16cid:durableId="650448597">
    <w:abstractNumId w:val="21"/>
  </w:num>
  <w:num w:numId="8" w16cid:durableId="110901657">
    <w:abstractNumId w:val="18"/>
    <w:lvlOverride w:ilvl="0">
      <w:lvl w:ilvl="0">
        <w:start w:val="1"/>
        <w:numFmt w:val="bullet"/>
        <w:pStyle w:val="ListBullet"/>
        <w:lvlText w:val="■"/>
        <w:lvlJc w:val="left"/>
        <w:pPr>
          <w:tabs>
            <w:tab w:val="num" w:pos="284"/>
          </w:tabs>
          <w:ind w:left="284" w:hanging="284"/>
        </w:pPr>
        <w:rPr>
          <w:rFonts w:ascii="Franklin Gothic Demi" w:hAnsi="Franklin Gothic Demi" w:hint="default"/>
          <w:color w:val="006B7A" w:themeColor="accent1"/>
        </w:rPr>
      </w:lvl>
    </w:lvlOverride>
    <w:lvlOverride w:ilvl="1">
      <w:lvl w:ilvl="1">
        <w:start w:val="1"/>
        <w:numFmt w:val="bullet"/>
        <w:pStyle w:val="ListBullet2"/>
        <w:lvlText w:val="–"/>
        <w:lvlJc w:val="left"/>
        <w:pPr>
          <w:tabs>
            <w:tab w:val="num" w:pos="567"/>
          </w:tabs>
          <w:ind w:left="567" w:hanging="283"/>
        </w:pPr>
        <w:rPr>
          <w:rFonts w:ascii="Franklin Gothic Demi" w:hAnsi="Franklin Gothic Demi" w:hint="default"/>
          <w:color w:val="006B7A" w:themeColor="accent1"/>
          <w:position w:val="2"/>
        </w:rPr>
      </w:lvl>
    </w:lvlOverride>
    <w:lvlOverride w:ilvl="2">
      <w:lvl w:ilvl="2">
        <w:start w:val="1"/>
        <w:numFmt w:val="bullet"/>
        <w:pStyle w:val="ListBullet3"/>
        <w:lvlText w:val="…"/>
        <w:lvlJc w:val="left"/>
        <w:pPr>
          <w:tabs>
            <w:tab w:val="num" w:pos="992"/>
          </w:tabs>
          <w:ind w:left="992" w:hanging="425"/>
        </w:pPr>
        <w:rPr>
          <w:rFonts w:ascii="Franklin Gothic Demi" w:hAnsi="Franklin Gothic Demi" w:hint="default"/>
          <w:color w:val="EF1209"/>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623317247">
    <w:abstractNumId w:val="15"/>
  </w:num>
  <w:num w:numId="10" w16cid:durableId="563684231">
    <w:abstractNumId w:val="0"/>
  </w:num>
  <w:num w:numId="11" w16cid:durableId="1877622141">
    <w:abstractNumId w:val="18"/>
  </w:num>
  <w:num w:numId="12" w16cid:durableId="1978029343">
    <w:abstractNumId w:val="4"/>
  </w:num>
  <w:num w:numId="13" w16cid:durableId="1209341412">
    <w:abstractNumId w:val="8"/>
  </w:num>
  <w:num w:numId="14" w16cid:durableId="1957640063">
    <w:abstractNumId w:val="5"/>
  </w:num>
  <w:num w:numId="15" w16cid:durableId="1892836690">
    <w:abstractNumId w:val="11"/>
  </w:num>
  <w:num w:numId="16" w16cid:durableId="413745120">
    <w:abstractNumId w:val="1"/>
  </w:num>
  <w:num w:numId="17" w16cid:durableId="2133746343">
    <w:abstractNumId w:val="10"/>
  </w:num>
  <w:num w:numId="18" w16cid:durableId="14521673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7319113">
    <w:abstractNumId w:val="16"/>
  </w:num>
  <w:num w:numId="20" w16cid:durableId="960187037">
    <w:abstractNumId w:val="2"/>
  </w:num>
  <w:num w:numId="21" w16cid:durableId="963584880">
    <w:abstractNumId w:val="13"/>
  </w:num>
  <w:num w:numId="22" w16cid:durableId="270473606">
    <w:abstractNumId w:val="13"/>
  </w:num>
  <w:num w:numId="23" w16cid:durableId="1699771057">
    <w:abstractNumId w:val="13"/>
  </w:num>
  <w:num w:numId="24" w16cid:durableId="895164561">
    <w:abstractNumId w:val="13"/>
  </w:num>
  <w:num w:numId="25" w16cid:durableId="756291984">
    <w:abstractNumId w:val="13"/>
  </w:num>
  <w:num w:numId="26" w16cid:durableId="499584842">
    <w:abstractNumId w:val="13"/>
  </w:num>
  <w:num w:numId="27" w16cid:durableId="1052726547">
    <w:abstractNumId w:val="13"/>
  </w:num>
  <w:num w:numId="28" w16cid:durableId="1767075696">
    <w:abstractNumId w:val="13"/>
  </w:num>
  <w:num w:numId="29" w16cid:durableId="1706634973">
    <w:abstractNumId w:val="21"/>
  </w:num>
  <w:num w:numId="30" w16cid:durableId="1578398275">
    <w:abstractNumId w:val="18"/>
  </w:num>
  <w:num w:numId="31" w16cid:durableId="541526473">
    <w:abstractNumId w:val="4"/>
  </w:num>
  <w:num w:numId="32" w16cid:durableId="1492864836">
    <w:abstractNumId w:val="7"/>
  </w:num>
  <w:num w:numId="33" w16cid:durableId="12037875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284"/>
  <w:clickAndTypeStyle w:val="BodyText"/>
  <w:evenAndOddHeaders/>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4C"/>
    <w:rsid w:val="00000726"/>
    <w:rsid w:val="00000C15"/>
    <w:rsid w:val="00002721"/>
    <w:rsid w:val="00003016"/>
    <w:rsid w:val="0000404E"/>
    <w:rsid w:val="00004361"/>
    <w:rsid w:val="000053BF"/>
    <w:rsid w:val="00005768"/>
    <w:rsid w:val="00006630"/>
    <w:rsid w:val="00006740"/>
    <w:rsid w:val="00006D68"/>
    <w:rsid w:val="000078F0"/>
    <w:rsid w:val="00010588"/>
    <w:rsid w:val="00012283"/>
    <w:rsid w:val="00014030"/>
    <w:rsid w:val="000168BA"/>
    <w:rsid w:val="00017D5A"/>
    <w:rsid w:val="00022345"/>
    <w:rsid w:val="00024206"/>
    <w:rsid w:val="00024872"/>
    <w:rsid w:val="00025FB1"/>
    <w:rsid w:val="00027E7C"/>
    <w:rsid w:val="0003192F"/>
    <w:rsid w:val="000331D6"/>
    <w:rsid w:val="00034CD8"/>
    <w:rsid w:val="00036552"/>
    <w:rsid w:val="00036FD6"/>
    <w:rsid w:val="00037F9E"/>
    <w:rsid w:val="00040588"/>
    <w:rsid w:val="00042363"/>
    <w:rsid w:val="00043869"/>
    <w:rsid w:val="00043FE2"/>
    <w:rsid w:val="00045326"/>
    <w:rsid w:val="000461CB"/>
    <w:rsid w:val="000473DD"/>
    <w:rsid w:val="00051172"/>
    <w:rsid w:val="00052303"/>
    <w:rsid w:val="0005455A"/>
    <w:rsid w:val="00054AAC"/>
    <w:rsid w:val="000618D3"/>
    <w:rsid w:val="00061CDB"/>
    <w:rsid w:val="00061F24"/>
    <w:rsid w:val="00063D61"/>
    <w:rsid w:val="000642B7"/>
    <w:rsid w:val="0006472E"/>
    <w:rsid w:val="00064DE6"/>
    <w:rsid w:val="000652FC"/>
    <w:rsid w:val="00065889"/>
    <w:rsid w:val="00070083"/>
    <w:rsid w:val="000701E7"/>
    <w:rsid w:val="00070654"/>
    <w:rsid w:val="00070697"/>
    <w:rsid w:val="000719EA"/>
    <w:rsid w:val="00072873"/>
    <w:rsid w:val="00073C36"/>
    <w:rsid w:val="0007477B"/>
    <w:rsid w:val="000748A9"/>
    <w:rsid w:val="00074B9B"/>
    <w:rsid w:val="00075B12"/>
    <w:rsid w:val="00075F2A"/>
    <w:rsid w:val="00082143"/>
    <w:rsid w:val="00082BF5"/>
    <w:rsid w:val="0008370B"/>
    <w:rsid w:val="000866A5"/>
    <w:rsid w:val="000872FB"/>
    <w:rsid w:val="000873CC"/>
    <w:rsid w:val="00087E40"/>
    <w:rsid w:val="00090B41"/>
    <w:rsid w:val="000923A8"/>
    <w:rsid w:val="00092BC9"/>
    <w:rsid w:val="00092C85"/>
    <w:rsid w:val="00094293"/>
    <w:rsid w:val="00095461"/>
    <w:rsid w:val="00095683"/>
    <w:rsid w:val="00095C4A"/>
    <w:rsid w:val="00095D2C"/>
    <w:rsid w:val="0009623A"/>
    <w:rsid w:val="00097735"/>
    <w:rsid w:val="000978D6"/>
    <w:rsid w:val="000A04F6"/>
    <w:rsid w:val="000A1B0F"/>
    <w:rsid w:val="000A3975"/>
    <w:rsid w:val="000A43D9"/>
    <w:rsid w:val="000A744E"/>
    <w:rsid w:val="000B1620"/>
    <w:rsid w:val="000B2602"/>
    <w:rsid w:val="000B397D"/>
    <w:rsid w:val="000B4DF4"/>
    <w:rsid w:val="000B6546"/>
    <w:rsid w:val="000B6DF3"/>
    <w:rsid w:val="000C2C3F"/>
    <w:rsid w:val="000C2E4A"/>
    <w:rsid w:val="000C35CB"/>
    <w:rsid w:val="000C438B"/>
    <w:rsid w:val="000C55C5"/>
    <w:rsid w:val="000C6315"/>
    <w:rsid w:val="000D052F"/>
    <w:rsid w:val="000D19BE"/>
    <w:rsid w:val="000D337C"/>
    <w:rsid w:val="000D4C79"/>
    <w:rsid w:val="000D53CB"/>
    <w:rsid w:val="000D738C"/>
    <w:rsid w:val="000D77FC"/>
    <w:rsid w:val="000E06BD"/>
    <w:rsid w:val="000E0C30"/>
    <w:rsid w:val="000E1450"/>
    <w:rsid w:val="000E2E41"/>
    <w:rsid w:val="000E3271"/>
    <w:rsid w:val="000E5329"/>
    <w:rsid w:val="000E5731"/>
    <w:rsid w:val="000E5D40"/>
    <w:rsid w:val="000E7163"/>
    <w:rsid w:val="000F1CEF"/>
    <w:rsid w:val="000F42CF"/>
    <w:rsid w:val="000F6440"/>
    <w:rsid w:val="000F76FA"/>
    <w:rsid w:val="000F7DCD"/>
    <w:rsid w:val="001008E1"/>
    <w:rsid w:val="0010339F"/>
    <w:rsid w:val="00106B92"/>
    <w:rsid w:val="00107B0F"/>
    <w:rsid w:val="00110AC0"/>
    <w:rsid w:val="001113DF"/>
    <w:rsid w:val="00112299"/>
    <w:rsid w:val="001132FF"/>
    <w:rsid w:val="00114298"/>
    <w:rsid w:val="00114AAE"/>
    <w:rsid w:val="00122CBF"/>
    <w:rsid w:val="00123574"/>
    <w:rsid w:val="00125045"/>
    <w:rsid w:val="001267A4"/>
    <w:rsid w:val="00127C4D"/>
    <w:rsid w:val="00127DD3"/>
    <w:rsid w:val="00131EC3"/>
    <w:rsid w:val="00132150"/>
    <w:rsid w:val="00132A04"/>
    <w:rsid w:val="00133C47"/>
    <w:rsid w:val="00134A2B"/>
    <w:rsid w:val="0013655A"/>
    <w:rsid w:val="00136678"/>
    <w:rsid w:val="001370F6"/>
    <w:rsid w:val="00137548"/>
    <w:rsid w:val="001377F8"/>
    <w:rsid w:val="00140070"/>
    <w:rsid w:val="0014172B"/>
    <w:rsid w:val="00141E1F"/>
    <w:rsid w:val="00141FED"/>
    <w:rsid w:val="001433F2"/>
    <w:rsid w:val="00143F02"/>
    <w:rsid w:val="00144AC4"/>
    <w:rsid w:val="00144B99"/>
    <w:rsid w:val="00145444"/>
    <w:rsid w:val="00147133"/>
    <w:rsid w:val="00150BF6"/>
    <w:rsid w:val="00151D8E"/>
    <w:rsid w:val="0015309D"/>
    <w:rsid w:val="00154EE1"/>
    <w:rsid w:val="00155EBB"/>
    <w:rsid w:val="00156262"/>
    <w:rsid w:val="00156FB3"/>
    <w:rsid w:val="00157456"/>
    <w:rsid w:val="001605E1"/>
    <w:rsid w:val="00160701"/>
    <w:rsid w:val="001609BC"/>
    <w:rsid w:val="00160C29"/>
    <w:rsid w:val="00160FB8"/>
    <w:rsid w:val="00161E5C"/>
    <w:rsid w:val="00161FB8"/>
    <w:rsid w:val="001624ED"/>
    <w:rsid w:val="001647E4"/>
    <w:rsid w:val="00164A52"/>
    <w:rsid w:val="00164E8C"/>
    <w:rsid w:val="00167266"/>
    <w:rsid w:val="00172A23"/>
    <w:rsid w:val="00172EE8"/>
    <w:rsid w:val="0017310D"/>
    <w:rsid w:val="00173B54"/>
    <w:rsid w:val="001750CC"/>
    <w:rsid w:val="001754CB"/>
    <w:rsid w:val="00175C31"/>
    <w:rsid w:val="00176390"/>
    <w:rsid w:val="001767F9"/>
    <w:rsid w:val="001772CB"/>
    <w:rsid w:val="0018077F"/>
    <w:rsid w:val="00181C4A"/>
    <w:rsid w:val="00182068"/>
    <w:rsid w:val="001827DD"/>
    <w:rsid w:val="00183D95"/>
    <w:rsid w:val="001850B1"/>
    <w:rsid w:val="001852E4"/>
    <w:rsid w:val="00186B74"/>
    <w:rsid w:val="00187AEA"/>
    <w:rsid w:val="00191E78"/>
    <w:rsid w:val="0019242D"/>
    <w:rsid w:val="0019261A"/>
    <w:rsid w:val="00192D12"/>
    <w:rsid w:val="00193954"/>
    <w:rsid w:val="00193D7D"/>
    <w:rsid w:val="00194905"/>
    <w:rsid w:val="001951A7"/>
    <w:rsid w:val="00195939"/>
    <w:rsid w:val="00196A52"/>
    <w:rsid w:val="0019703F"/>
    <w:rsid w:val="001970C9"/>
    <w:rsid w:val="0019742C"/>
    <w:rsid w:val="001A0013"/>
    <w:rsid w:val="001A066A"/>
    <w:rsid w:val="001A08AD"/>
    <w:rsid w:val="001A0B79"/>
    <w:rsid w:val="001A1065"/>
    <w:rsid w:val="001A2A99"/>
    <w:rsid w:val="001A2D20"/>
    <w:rsid w:val="001A3C7C"/>
    <w:rsid w:val="001A49C5"/>
    <w:rsid w:val="001A4BDB"/>
    <w:rsid w:val="001A59B2"/>
    <w:rsid w:val="001A6EA7"/>
    <w:rsid w:val="001A6EAB"/>
    <w:rsid w:val="001A7147"/>
    <w:rsid w:val="001B02F0"/>
    <w:rsid w:val="001B04E8"/>
    <w:rsid w:val="001B0B61"/>
    <w:rsid w:val="001B1B01"/>
    <w:rsid w:val="001B25D3"/>
    <w:rsid w:val="001B2F94"/>
    <w:rsid w:val="001B3438"/>
    <w:rsid w:val="001B343E"/>
    <w:rsid w:val="001B3876"/>
    <w:rsid w:val="001B4EBC"/>
    <w:rsid w:val="001B5D62"/>
    <w:rsid w:val="001B747F"/>
    <w:rsid w:val="001B7C37"/>
    <w:rsid w:val="001C0972"/>
    <w:rsid w:val="001C0E54"/>
    <w:rsid w:val="001C1F9B"/>
    <w:rsid w:val="001C24C9"/>
    <w:rsid w:val="001C3CC5"/>
    <w:rsid w:val="001C3E07"/>
    <w:rsid w:val="001C41C7"/>
    <w:rsid w:val="001C4EEA"/>
    <w:rsid w:val="001C6315"/>
    <w:rsid w:val="001D200A"/>
    <w:rsid w:val="001D2D60"/>
    <w:rsid w:val="001D3E1A"/>
    <w:rsid w:val="001D431F"/>
    <w:rsid w:val="001D6065"/>
    <w:rsid w:val="001D617A"/>
    <w:rsid w:val="001D66C1"/>
    <w:rsid w:val="001D72A4"/>
    <w:rsid w:val="001E04F5"/>
    <w:rsid w:val="001E2A83"/>
    <w:rsid w:val="001E2D52"/>
    <w:rsid w:val="001E31FC"/>
    <w:rsid w:val="001E34F6"/>
    <w:rsid w:val="001E3500"/>
    <w:rsid w:val="001E3D69"/>
    <w:rsid w:val="001E4E51"/>
    <w:rsid w:val="001E6A14"/>
    <w:rsid w:val="001F182E"/>
    <w:rsid w:val="001F2906"/>
    <w:rsid w:val="001F29D7"/>
    <w:rsid w:val="001F2B6F"/>
    <w:rsid w:val="001F3E78"/>
    <w:rsid w:val="001F438A"/>
    <w:rsid w:val="001F45EB"/>
    <w:rsid w:val="001F53A2"/>
    <w:rsid w:val="001F5579"/>
    <w:rsid w:val="001F5611"/>
    <w:rsid w:val="001F5CC0"/>
    <w:rsid w:val="001F62C5"/>
    <w:rsid w:val="001F650C"/>
    <w:rsid w:val="001F7379"/>
    <w:rsid w:val="001F79C6"/>
    <w:rsid w:val="002006F2"/>
    <w:rsid w:val="00200DE7"/>
    <w:rsid w:val="00200FB7"/>
    <w:rsid w:val="00202661"/>
    <w:rsid w:val="00202BB1"/>
    <w:rsid w:val="002043F1"/>
    <w:rsid w:val="002054AC"/>
    <w:rsid w:val="00206E57"/>
    <w:rsid w:val="002078CE"/>
    <w:rsid w:val="00210186"/>
    <w:rsid w:val="00212741"/>
    <w:rsid w:val="00212CA5"/>
    <w:rsid w:val="002149C9"/>
    <w:rsid w:val="002159B4"/>
    <w:rsid w:val="002164D6"/>
    <w:rsid w:val="00216C8F"/>
    <w:rsid w:val="00216DA2"/>
    <w:rsid w:val="00217000"/>
    <w:rsid w:val="0021708E"/>
    <w:rsid w:val="002175B7"/>
    <w:rsid w:val="0021770B"/>
    <w:rsid w:val="0022049B"/>
    <w:rsid w:val="0022165D"/>
    <w:rsid w:val="00221BE0"/>
    <w:rsid w:val="00222007"/>
    <w:rsid w:val="00222BF5"/>
    <w:rsid w:val="0022386A"/>
    <w:rsid w:val="002249BD"/>
    <w:rsid w:val="00225068"/>
    <w:rsid w:val="00225D69"/>
    <w:rsid w:val="00226230"/>
    <w:rsid w:val="002262E1"/>
    <w:rsid w:val="00227B73"/>
    <w:rsid w:val="00230635"/>
    <w:rsid w:val="00230E82"/>
    <w:rsid w:val="00231007"/>
    <w:rsid w:val="00231E5E"/>
    <w:rsid w:val="002321B8"/>
    <w:rsid w:val="00232F15"/>
    <w:rsid w:val="00234760"/>
    <w:rsid w:val="00234EAC"/>
    <w:rsid w:val="002355AE"/>
    <w:rsid w:val="00235787"/>
    <w:rsid w:val="0023701E"/>
    <w:rsid w:val="00237D6C"/>
    <w:rsid w:val="002411F9"/>
    <w:rsid w:val="0024172A"/>
    <w:rsid w:val="00242E1D"/>
    <w:rsid w:val="0025014B"/>
    <w:rsid w:val="002501B3"/>
    <w:rsid w:val="00252A3F"/>
    <w:rsid w:val="00252BEA"/>
    <w:rsid w:val="0025306F"/>
    <w:rsid w:val="0025379D"/>
    <w:rsid w:val="00253A1E"/>
    <w:rsid w:val="00253D9A"/>
    <w:rsid w:val="00254093"/>
    <w:rsid w:val="00254D0F"/>
    <w:rsid w:val="00255187"/>
    <w:rsid w:val="00255341"/>
    <w:rsid w:val="002568C5"/>
    <w:rsid w:val="00257809"/>
    <w:rsid w:val="00257F35"/>
    <w:rsid w:val="002613B7"/>
    <w:rsid w:val="00261A76"/>
    <w:rsid w:val="00262F13"/>
    <w:rsid w:val="002646BA"/>
    <w:rsid w:val="002658EB"/>
    <w:rsid w:val="00266A5E"/>
    <w:rsid w:val="002679E7"/>
    <w:rsid w:val="0027008A"/>
    <w:rsid w:val="0027129A"/>
    <w:rsid w:val="00272582"/>
    <w:rsid w:val="00273BA8"/>
    <w:rsid w:val="00274BEB"/>
    <w:rsid w:val="002761F9"/>
    <w:rsid w:val="00280D84"/>
    <w:rsid w:val="00280FB4"/>
    <w:rsid w:val="002812E4"/>
    <w:rsid w:val="002829D9"/>
    <w:rsid w:val="00287996"/>
    <w:rsid w:val="00287D0D"/>
    <w:rsid w:val="00290273"/>
    <w:rsid w:val="00290880"/>
    <w:rsid w:val="00291FBA"/>
    <w:rsid w:val="0029248B"/>
    <w:rsid w:val="00292E93"/>
    <w:rsid w:val="00293F2D"/>
    <w:rsid w:val="00294565"/>
    <w:rsid w:val="00295012"/>
    <w:rsid w:val="00295145"/>
    <w:rsid w:val="002A09E0"/>
    <w:rsid w:val="002A2B70"/>
    <w:rsid w:val="002A44B5"/>
    <w:rsid w:val="002A5062"/>
    <w:rsid w:val="002A63B7"/>
    <w:rsid w:val="002A7161"/>
    <w:rsid w:val="002A7183"/>
    <w:rsid w:val="002A7372"/>
    <w:rsid w:val="002A7FBB"/>
    <w:rsid w:val="002B1B67"/>
    <w:rsid w:val="002B3292"/>
    <w:rsid w:val="002B418C"/>
    <w:rsid w:val="002B5346"/>
    <w:rsid w:val="002B5CB1"/>
    <w:rsid w:val="002B68C2"/>
    <w:rsid w:val="002B731A"/>
    <w:rsid w:val="002B76B3"/>
    <w:rsid w:val="002C0234"/>
    <w:rsid w:val="002C0237"/>
    <w:rsid w:val="002C0B69"/>
    <w:rsid w:val="002C1088"/>
    <w:rsid w:val="002C38C6"/>
    <w:rsid w:val="002C4DAF"/>
    <w:rsid w:val="002C5E17"/>
    <w:rsid w:val="002C76A9"/>
    <w:rsid w:val="002D08FA"/>
    <w:rsid w:val="002D0F84"/>
    <w:rsid w:val="002D12E6"/>
    <w:rsid w:val="002D16DF"/>
    <w:rsid w:val="002D1EA5"/>
    <w:rsid w:val="002D219D"/>
    <w:rsid w:val="002D245D"/>
    <w:rsid w:val="002D25E6"/>
    <w:rsid w:val="002D30F9"/>
    <w:rsid w:val="002D3629"/>
    <w:rsid w:val="002D4888"/>
    <w:rsid w:val="002D4C2F"/>
    <w:rsid w:val="002D5DA9"/>
    <w:rsid w:val="002D5FC8"/>
    <w:rsid w:val="002D7073"/>
    <w:rsid w:val="002E0543"/>
    <w:rsid w:val="002E3000"/>
    <w:rsid w:val="002E31E8"/>
    <w:rsid w:val="002E3334"/>
    <w:rsid w:val="002E42E5"/>
    <w:rsid w:val="002E4B26"/>
    <w:rsid w:val="002E5345"/>
    <w:rsid w:val="002E641C"/>
    <w:rsid w:val="002E71CE"/>
    <w:rsid w:val="002E7FE4"/>
    <w:rsid w:val="002F0378"/>
    <w:rsid w:val="002F0710"/>
    <w:rsid w:val="002F2AD2"/>
    <w:rsid w:val="002F2DAD"/>
    <w:rsid w:val="002F3BED"/>
    <w:rsid w:val="002F4838"/>
    <w:rsid w:val="002F54D7"/>
    <w:rsid w:val="00300FE4"/>
    <w:rsid w:val="003034B4"/>
    <w:rsid w:val="003037CA"/>
    <w:rsid w:val="00303E96"/>
    <w:rsid w:val="00304C10"/>
    <w:rsid w:val="00305777"/>
    <w:rsid w:val="00306C56"/>
    <w:rsid w:val="003126F2"/>
    <w:rsid w:val="00313426"/>
    <w:rsid w:val="00314C70"/>
    <w:rsid w:val="0031698B"/>
    <w:rsid w:val="00316FB2"/>
    <w:rsid w:val="003202CB"/>
    <w:rsid w:val="00320797"/>
    <w:rsid w:val="00320B11"/>
    <w:rsid w:val="00322FD2"/>
    <w:rsid w:val="00323985"/>
    <w:rsid w:val="0032436C"/>
    <w:rsid w:val="0032474F"/>
    <w:rsid w:val="003247B1"/>
    <w:rsid w:val="00324AC0"/>
    <w:rsid w:val="00326D2F"/>
    <w:rsid w:val="003331E1"/>
    <w:rsid w:val="00333489"/>
    <w:rsid w:val="003336FB"/>
    <w:rsid w:val="00337419"/>
    <w:rsid w:val="00337449"/>
    <w:rsid w:val="00340000"/>
    <w:rsid w:val="00342223"/>
    <w:rsid w:val="00343707"/>
    <w:rsid w:val="00344521"/>
    <w:rsid w:val="003448BE"/>
    <w:rsid w:val="00345A25"/>
    <w:rsid w:val="00347146"/>
    <w:rsid w:val="0034759A"/>
    <w:rsid w:val="00347926"/>
    <w:rsid w:val="00347B60"/>
    <w:rsid w:val="003506C7"/>
    <w:rsid w:val="00350F84"/>
    <w:rsid w:val="0035105D"/>
    <w:rsid w:val="003510F8"/>
    <w:rsid w:val="003517A2"/>
    <w:rsid w:val="00352EC0"/>
    <w:rsid w:val="00354223"/>
    <w:rsid w:val="003561F3"/>
    <w:rsid w:val="0035659D"/>
    <w:rsid w:val="00357024"/>
    <w:rsid w:val="00357067"/>
    <w:rsid w:val="003573D1"/>
    <w:rsid w:val="00357593"/>
    <w:rsid w:val="00357B60"/>
    <w:rsid w:val="00357B8F"/>
    <w:rsid w:val="00360168"/>
    <w:rsid w:val="00360CA5"/>
    <w:rsid w:val="00363A6B"/>
    <w:rsid w:val="00363C20"/>
    <w:rsid w:val="00363CB8"/>
    <w:rsid w:val="003648DD"/>
    <w:rsid w:val="00364961"/>
    <w:rsid w:val="00364BF0"/>
    <w:rsid w:val="00366F96"/>
    <w:rsid w:val="00370818"/>
    <w:rsid w:val="00370C88"/>
    <w:rsid w:val="0037127D"/>
    <w:rsid w:val="0037167C"/>
    <w:rsid w:val="003726AE"/>
    <w:rsid w:val="0037281D"/>
    <w:rsid w:val="00372E7F"/>
    <w:rsid w:val="00373553"/>
    <w:rsid w:val="0037389E"/>
    <w:rsid w:val="00375A3B"/>
    <w:rsid w:val="00375BA6"/>
    <w:rsid w:val="00375F1A"/>
    <w:rsid w:val="00377A56"/>
    <w:rsid w:val="003818BB"/>
    <w:rsid w:val="003822C2"/>
    <w:rsid w:val="00382937"/>
    <w:rsid w:val="003830ED"/>
    <w:rsid w:val="00383F31"/>
    <w:rsid w:val="00383FDA"/>
    <w:rsid w:val="00384703"/>
    <w:rsid w:val="0038664C"/>
    <w:rsid w:val="00387CB5"/>
    <w:rsid w:val="00390399"/>
    <w:rsid w:val="00392952"/>
    <w:rsid w:val="003929BB"/>
    <w:rsid w:val="00394D91"/>
    <w:rsid w:val="00395D18"/>
    <w:rsid w:val="003966C8"/>
    <w:rsid w:val="00396ABD"/>
    <w:rsid w:val="00396F36"/>
    <w:rsid w:val="00397DC8"/>
    <w:rsid w:val="00397EF7"/>
    <w:rsid w:val="003A1DFF"/>
    <w:rsid w:val="003A1E79"/>
    <w:rsid w:val="003A20B3"/>
    <w:rsid w:val="003A22CD"/>
    <w:rsid w:val="003A24B5"/>
    <w:rsid w:val="003A28F7"/>
    <w:rsid w:val="003A4189"/>
    <w:rsid w:val="003A464E"/>
    <w:rsid w:val="003A6A18"/>
    <w:rsid w:val="003A7D39"/>
    <w:rsid w:val="003B065B"/>
    <w:rsid w:val="003B0F2C"/>
    <w:rsid w:val="003B187C"/>
    <w:rsid w:val="003B2B11"/>
    <w:rsid w:val="003B3BE9"/>
    <w:rsid w:val="003B3D27"/>
    <w:rsid w:val="003B4AAA"/>
    <w:rsid w:val="003B5EBE"/>
    <w:rsid w:val="003B6F2E"/>
    <w:rsid w:val="003B7167"/>
    <w:rsid w:val="003C166E"/>
    <w:rsid w:val="003C392D"/>
    <w:rsid w:val="003C3A35"/>
    <w:rsid w:val="003C420B"/>
    <w:rsid w:val="003C4883"/>
    <w:rsid w:val="003C50D4"/>
    <w:rsid w:val="003C53D9"/>
    <w:rsid w:val="003C62AC"/>
    <w:rsid w:val="003C6E5A"/>
    <w:rsid w:val="003D007E"/>
    <w:rsid w:val="003D0A62"/>
    <w:rsid w:val="003D139A"/>
    <w:rsid w:val="003D2A2B"/>
    <w:rsid w:val="003D3193"/>
    <w:rsid w:val="003D3786"/>
    <w:rsid w:val="003D41EA"/>
    <w:rsid w:val="003D5CF0"/>
    <w:rsid w:val="003D6FA5"/>
    <w:rsid w:val="003D7406"/>
    <w:rsid w:val="003D764D"/>
    <w:rsid w:val="003E1F01"/>
    <w:rsid w:val="003E280B"/>
    <w:rsid w:val="003E428F"/>
    <w:rsid w:val="003E547F"/>
    <w:rsid w:val="003E5943"/>
    <w:rsid w:val="003E6130"/>
    <w:rsid w:val="003E7141"/>
    <w:rsid w:val="003F3859"/>
    <w:rsid w:val="003F3BD6"/>
    <w:rsid w:val="003F3E18"/>
    <w:rsid w:val="003F4D9B"/>
    <w:rsid w:val="003F6ACF"/>
    <w:rsid w:val="00402DAF"/>
    <w:rsid w:val="00402F09"/>
    <w:rsid w:val="00407097"/>
    <w:rsid w:val="00407359"/>
    <w:rsid w:val="004073EA"/>
    <w:rsid w:val="00407B9C"/>
    <w:rsid w:val="004104FC"/>
    <w:rsid w:val="00411FDB"/>
    <w:rsid w:val="00415CC8"/>
    <w:rsid w:val="00415E68"/>
    <w:rsid w:val="00415F9A"/>
    <w:rsid w:val="0041733A"/>
    <w:rsid w:val="004201BE"/>
    <w:rsid w:val="00420C8B"/>
    <w:rsid w:val="00422897"/>
    <w:rsid w:val="00422A07"/>
    <w:rsid w:val="00423461"/>
    <w:rsid w:val="00423DE6"/>
    <w:rsid w:val="00425BAF"/>
    <w:rsid w:val="004260CC"/>
    <w:rsid w:val="0042634F"/>
    <w:rsid w:val="004263AE"/>
    <w:rsid w:val="00430E53"/>
    <w:rsid w:val="0043114D"/>
    <w:rsid w:val="00431443"/>
    <w:rsid w:val="00431B6D"/>
    <w:rsid w:val="004354BA"/>
    <w:rsid w:val="00435EE9"/>
    <w:rsid w:val="00436EC7"/>
    <w:rsid w:val="00437D32"/>
    <w:rsid w:val="00437D4C"/>
    <w:rsid w:val="00440E6F"/>
    <w:rsid w:val="004411DB"/>
    <w:rsid w:val="00441828"/>
    <w:rsid w:val="00441DA4"/>
    <w:rsid w:val="00443E7D"/>
    <w:rsid w:val="00444736"/>
    <w:rsid w:val="004452F5"/>
    <w:rsid w:val="00445D6D"/>
    <w:rsid w:val="0044762A"/>
    <w:rsid w:val="00447E22"/>
    <w:rsid w:val="004511A8"/>
    <w:rsid w:val="00451CC6"/>
    <w:rsid w:val="00451F31"/>
    <w:rsid w:val="0045456F"/>
    <w:rsid w:val="0045559C"/>
    <w:rsid w:val="004559DC"/>
    <w:rsid w:val="0045608D"/>
    <w:rsid w:val="004562C8"/>
    <w:rsid w:val="004563C5"/>
    <w:rsid w:val="00457271"/>
    <w:rsid w:val="00457CDE"/>
    <w:rsid w:val="00457E0A"/>
    <w:rsid w:val="00461B22"/>
    <w:rsid w:val="00463768"/>
    <w:rsid w:val="0046437D"/>
    <w:rsid w:val="004649C6"/>
    <w:rsid w:val="00465609"/>
    <w:rsid w:val="0046578C"/>
    <w:rsid w:val="004660B0"/>
    <w:rsid w:val="0046663A"/>
    <w:rsid w:val="0046709B"/>
    <w:rsid w:val="00467D80"/>
    <w:rsid w:val="00467FBA"/>
    <w:rsid w:val="00470EA9"/>
    <w:rsid w:val="0047158C"/>
    <w:rsid w:val="0047188E"/>
    <w:rsid w:val="00471A32"/>
    <w:rsid w:val="00471F7E"/>
    <w:rsid w:val="00471FDA"/>
    <w:rsid w:val="0047263E"/>
    <w:rsid w:val="0047412B"/>
    <w:rsid w:val="004742B8"/>
    <w:rsid w:val="00475A61"/>
    <w:rsid w:val="00475BA5"/>
    <w:rsid w:val="0047640F"/>
    <w:rsid w:val="00480BE8"/>
    <w:rsid w:val="00481E74"/>
    <w:rsid w:val="00484587"/>
    <w:rsid w:val="004851C6"/>
    <w:rsid w:val="00490010"/>
    <w:rsid w:val="0049011A"/>
    <w:rsid w:val="00491C57"/>
    <w:rsid w:val="0049244A"/>
    <w:rsid w:val="00492E43"/>
    <w:rsid w:val="00495E87"/>
    <w:rsid w:val="00497862"/>
    <w:rsid w:val="004A02A0"/>
    <w:rsid w:val="004A1984"/>
    <w:rsid w:val="004A1B3F"/>
    <w:rsid w:val="004A1B8D"/>
    <w:rsid w:val="004A217A"/>
    <w:rsid w:val="004A26AE"/>
    <w:rsid w:val="004A272C"/>
    <w:rsid w:val="004A2B30"/>
    <w:rsid w:val="004A375F"/>
    <w:rsid w:val="004A3FA1"/>
    <w:rsid w:val="004A570B"/>
    <w:rsid w:val="004A6747"/>
    <w:rsid w:val="004A7F86"/>
    <w:rsid w:val="004B0C23"/>
    <w:rsid w:val="004B15D9"/>
    <w:rsid w:val="004B1755"/>
    <w:rsid w:val="004B1CE6"/>
    <w:rsid w:val="004B22A1"/>
    <w:rsid w:val="004B4881"/>
    <w:rsid w:val="004B4BA8"/>
    <w:rsid w:val="004B6E7F"/>
    <w:rsid w:val="004B781D"/>
    <w:rsid w:val="004B7EA5"/>
    <w:rsid w:val="004C1481"/>
    <w:rsid w:val="004C1C7D"/>
    <w:rsid w:val="004C31EE"/>
    <w:rsid w:val="004C50F9"/>
    <w:rsid w:val="004C5201"/>
    <w:rsid w:val="004C54C7"/>
    <w:rsid w:val="004C5593"/>
    <w:rsid w:val="004C57F5"/>
    <w:rsid w:val="004C6101"/>
    <w:rsid w:val="004D2679"/>
    <w:rsid w:val="004D3F73"/>
    <w:rsid w:val="004D3FB4"/>
    <w:rsid w:val="004D4D13"/>
    <w:rsid w:val="004D515B"/>
    <w:rsid w:val="004D55B1"/>
    <w:rsid w:val="004D5649"/>
    <w:rsid w:val="004D6AA5"/>
    <w:rsid w:val="004D76D8"/>
    <w:rsid w:val="004E0CD6"/>
    <w:rsid w:val="004E0FE7"/>
    <w:rsid w:val="004E1233"/>
    <w:rsid w:val="004E13DA"/>
    <w:rsid w:val="004E3854"/>
    <w:rsid w:val="004E4A71"/>
    <w:rsid w:val="004E5295"/>
    <w:rsid w:val="004E5A7E"/>
    <w:rsid w:val="004E745B"/>
    <w:rsid w:val="004E7620"/>
    <w:rsid w:val="004F0A9F"/>
    <w:rsid w:val="004F1824"/>
    <w:rsid w:val="004F4387"/>
    <w:rsid w:val="004F4485"/>
    <w:rsid w:val="004F57BA"/>
    <w:rsid w:val="004F6255"/>
    <w:rsid w:val="004F7137"/>
    <w:rsid w:val="004F76C9"/>
    <w:rsid w:val="004F785D"/>
    <w:rsid w:val="004F7DFE"/>
    <w:rsid w:val="00500292"/>
    <w:rsid w:val="00500DAC"/>
    <w:rsid w:val="00500DE6"/>
    <w:rsid w:val="00501A93"/>
    <w:rsid w:val="00502303"/>
    <w:rsid w:val="005030D2"/>
    <w:rsid w:val="0050505D"/>
    <w:rsid w:val="00505430"/>
    <w:rsid w:val="00505BE4"/>
    <w:rsid w:val="005060A4"/>
    <w:rsid w:val="00507193"/>
    <w:rsid w:val="0051089E"/>
    <w:rsid w:val="005109E1"/>
    <w:rsid w:val="00511610"/>
    <w:rsid w:val="00511766"/>
    <w:rsid w:val="00512D31"/>
    <w:rsid w:val="00512EC0"/>
    <w:rsid w:val="00513E69"/>
    <w:rsid w:val="00514ED4"/>
    <w:rsid w:val="00515CB5"/>
    <w:rsid w:val="00516EAF"/>
    <w:rsid w:val="005170CE"/>
    <w:rsid w:val="00523924"/>
    <w:rsid w:val="00524339"/>
    <w:rsid w:val="0052519C"/>
    <w:rsid w:val="00525404"/>
    <w:rsid w:val="00525FEC"/>
    <w:rsid w:val="0052602A"/>
    <w:rsid w:val="0052620C"/>
    <w:rsid w:val="00527E7D"/>
    <w:rsid w:val="0053103E"/>
    <w:rsid w:val="0053282E"/>
    <w:rsid w:val="00534561"/>
    <w:rsid w:val="00534F47"/>
    <w:rsid w:val="00535B6A"/>
    <w:rsid w:val="00535C05"/>
    <w:rsid w:val="00535F8B"/>
    <w:rsid w:val="005362A1"/>
    <w:rsid w:val="0053699A"/>
    <w:rsid w:val="00536D4D"/>
    <w:rsid w:val="005409B7"/>
    <w:rsid w:val="00541050"/>
    <w:rsid w:val="00543537"/>
    <w:rsid w:val="00543728"/>
    <w:rsid w:val="005441EE"/>
    <w:rsid w:val="00547AE8"/>
    <w:rsid w:val="00550FDA"/>
    <w:rsid w:val="005514A0"/>
    <w:rsid w:val="00551A1C"/>
    <w:rsid w:val="00551EA3"/>
    <w:rsid w:val="00552321"/>
    <w:rsid w:val="00552D9A"/>
    <w:rsid w:val="00556412"/>
    <w:rsid w:val="0056021E"/>
    <w:rsid w:val="00561421"/>
    <w:rsid w:val="005624FF"/>
    <w:rsid w:val="005646E2"/>
    <w:rsid w:val="00566BC3"/>
    <w:rsid w:val="0056775D"/>
    <w:rsid w:val="005709FE"/>
    <w:rsid w:val="00570FDC"/>
    <w:rsid w:val="005718F0"/>
    <w:rsid w:val="00571E16"/>
    <w:rsid w:val="0057294A"/>
    <w:rsid w:val="005738E7"/>
    <w:rsid w:val="00573B72"/>
    <w:rsid w:val="00573FA9"/>
    <w:rsid w:val="00575AC1"/>
    <w:rsid w:val="005767CE"/>
    <w:rsid w:val="00576C2E"/>
    <w:rsid w:val="00580E06"/>
    <w:rsid w:val="00582149"/>
    <w:rsid w:val="00584072"/>
    <w:rsid w:val="0058597E"/>
    <w:rsid w:val="00586CBD"/>
    <w:rsid w:val="00587291"/>
    <w:rsid w:val="0058744D"/>
    <w:rsid w:val="00590988"/>
    <w:rsid w:val="00590FCB"/>
    <w:rsid w:val="005912F9"/>
    <w:rsid w:val="00591C8C"/>
    <w:rsid w:val="00591E5D"/>
    <w:rsid w:val="00591EDC"/>
    <w:rsid w:val="00591F69"/>
    <w:rsid w:val="00592EA1"/>
    <w:rsid w:val="00594552"/>
    <w:rsid w:val="00594CAA"/>
    <w:rsid w:val="005951F3"/>
    <w:rsid w:val="005961AB"/>
    <w:rsid w:val="00596EBF"/>
    <w:rsid w:val="00597C4B"/>
    <w:rsid w:val="005A1AFB"/>
    <w:rsid w:val="005A211A"/>
    <w:rsid w:val="005A21E7"/>
    <w:rsid w:val="005A224A"/>
    <w:rsid w:val="005A2F9F"/>
    <w:rsid w:val="005A3CB7"/>
    <w:rsid w:val="005A4194"/>
    <w:rsid w:val="005A43F3"/>
    <w:rsid w:val="005A6134"/>
    <w:rsid w:val="005A66C4"/>
    <w:rsid w:val="005B12D0"/>
    <w:rsid w:val="005B1AB8"/>
    <w:rsid w:val="005B1FD7"/>
    <w:rsid w:val="005B2377"/>
    <w:rsid w:val="005B2F9A"/>
    <w:rsid w:val="005B30E1"/>
    <w:rsid w:val="005B3A90"/>
    <w:rsid w:val="005B435E"/>
    <w:rsid w:val="005B4670"/>
    <w:rsid w:val="005C01FA"/>
    <w:rsid w:val="005C046D"/>
    <w:rsid w:val="005C1EFC"/>
    <w:rsid w:val="005C2384"/>
    <w:rsid w:val="005C386A"/>
    <w:rsid w:val="005C42B4"/>
    <w:rsid w:val="005C5257"/>
    <w:rsid w:val="005C5337"/>
    <w:rsid w:val="005C5FB3"/>
    <w:rsid w:val="005C76A4"/>
    <w:rsid w:val="005C7918"/>
    <w:rsid w:val="005D0C5F"/>
    <w:rsid w:val="005D1813"/>
    <w:rsid w:val="005D2886"/>
    <w:rsid w:val="005D3C6B"/>
    <w:rsid w:val="005D5B85"/>
    <w:rsid w:val="005D693A"/>
    <w:rsid w:val="005D6F19"/>
    <w:rsid w:val="005D7C32"/>
    <w:rsid w:val="005D7FF0"/>
    <w:rsid w:val="005E0B89"/>
    <w:rsid w:val="005E1D27"/>
    <w:rsid w:val="005E2148"/>
    <w:rsid w:val="005E2466"/>
    <w:rsid w:val="005E43A8"/>
    <w:rsid w:val="005E4B08"/>
    <w:rsid w:val="005E66A3"/>
    <w:rsid w:val="005E68E6"/>
    <w:rsid w:val="005E6B5F"/>
    <w:rsid w:val="005E710A"/>
    <w:rsid w:val="005F2E4B"/>
    <w:rsid w:val="005F3A7A"/>
    <w:rsid w:val="005F42E6"/>
    <w:rsid w:val="005F5898"/>
    <w:rsid w:val="005F636C"/>
    <w:rsid w:val="005F689F"/>
    <w:rsid w:val="005F6E78"/>
    <w:rsid w:val="005F7EC9"/>
    <w:rsid w:val="0060197F"/>
    <w:rsid w:val="0060478E"/>
    <w:rsid w:val="0060506D"/>
    <w:rsid w:val="00605AC1"/>
    <w:rsid w:val="00605D38"/>
    <w:rsid w:val="00606B6D"/>
    <w:rsid w:val="0061003E"/>
    <w:rsid w:val="006104AF"/>
    <w:rsid w:val="00610CC1"/>
    <w:rsid w:val="006120D2"/>
    <w:rsid w:val="00612BF7"/>
    <w:rsid w:val="00612EFE"/>
    <w:rsid w:val="006132D8"/>
    <w:rsid w:val="00613616"/>
    <w:rsid w:val="0061412E"/>
    <w:rsid w:val="00615336"/>
    <w:rsid w:val="00615996"/>
    <w:rsid w:val="00616E6E"/>
    <w:rsid w:val="006171B2"/>
    <w:rsid w:val="00620E39"/>
    <w:rsid w:val="00621B0C"/>
    <w:rsid w:val="006220D4"/>
    <w:rsid w:val="0062229B"/>
    <w:rsid w:val="00622549"/>
    <w:rsid w:val="00624E85"/>
    <w:rsid w:val="00624F08"/>
    <w:rsid w:val="00627DF4"/>
    <w:rsid w:val="00631A1E"/>
    <w:rsid w:val="0063259B"/>
    <w:rsid w:val="00632AF6"/>
    <w:rsid w:val="00632BFD"/>
    <w:rsid w:val="00636B5B"/>
    <w:rsid w:val="00637168"/>
    <w:rsid w:val="00640507"/>
    <w:rsid w:val="00640A54"/>
    <w:rsid w:val="00640BE2"/>
    <w:rsid w:val="006417B1"/>
    <w:rsid w:val="006448EE"/>
    <w:rsid w:val="006471EC"/>
    <w:rsid w:val="0064735E"/>
    <w:rsid w:val="0065080C"/>
    <w:rsid w:val="00650F3E"/>
    <w:rsid w:val="0065255D"/>
    <w:rsid w:val="00652CE1"/>
    <w:rsid w:val="00654141"/>
    <w:rsid w:val="006544F3"/>
    <w:rsid w:val="00655656"/>
    <w:rsid w:val="00656D2E"/>
    <w:rsid w:val="00657D03"/>
    <w:rsid w:val="0066026B"/>
    <w:rsid w:val="00660B2D"/>
    <w:rsid w:val="00661D2C"/>
    <w:rsid w:val="00661FA5"/>
    <w:rsid w:val="00663324"/>
    <w:rsid w:val="00664723"/>
    <w:rsid w:val="00665E4E"/>
    <w:rsid w:val="00666315"/>
    <w:rsid w:val="00667378"/>
    <w:rsid w:val="006677C1"/>
    <w:rsid w:val="0067052D"/>
    <w:rsid w:val="00670536"/>
    <w:rsid w:val="006712CD"/>
    <w:rsid w:val="00672603"/>
    <w:rsid w:val="006730DA"/>
    <w:rsid w:val="00673C24"/>
    <w:rsid w:val="00674239"/>
    <w:rsid w:val="006774D5"/>
    <w:rsid w:val="00677846"/>
    <w:rsid w:val="00677ED3"/>
    <w:rsid w:val="0068075B"/>
    <w:rsid w:val="00680BE2"/>
    <w:rsid w:val="00682820"/>
    <w:rsid w:val="00683E41"/>
    <w:rsid w:val="00683F8F"/>
    <w:rsid w:val="00686561"/>
    <w:rsid w:val="00686E72"/>
    <w:rsid w:val="006901BC"/>
    <w:rsid w:val="0069153C"/>
    <w:rsid w:val="006919D2"/>
    <w:rsid w:val="0069258E"/>
    <w:rsid w:val="00692803"/>
    <w:rsid w:val="00693CD2"/>
    <w:rsid w:val="00693EAE"/>
    <w:rsid w:val="00695C93"/>
    <w:rsid w:val="006A0468"/>
    <w:rsid w:val="006A614B"/>
    <w:rsid w:val="006A62FB"/>
    <w:rsid w:val="006A78D4"/>
    <w:rsid w:val="006B21B6"/>
    <w:rsid w:val="006B2949"/>
    <w:rsid w:val="006B3382"/>
    <w:rsid w:val="006B34C3"/>
    <w:rsid w:val="006B352F"/>
    <w:rsid w:val="006B3FE2"/>
    <w:rsid w:val="006B6291"/>
    <w:rsid w:val="006B62AE"/>
    <w:rsid w:val="006B7980"/>
    <w:rsid w:val="006C12C1"/>
    <w:rsid w:val="006C27C9"/>
    <w:rsid w:val="006C33DA"/>
    <w:rsid w:val="006C3639"/>
    <w:rsid w:val="006C4922"/>
    <w:rsid w:val="006C4A9A"/>
    <w:rsid w:val="006C4FF3"/>
    <w:rsid w:val="006C5856"/>
    <w:rsid w:val="006C5F00"/>
    <w:rsid w:val="006C7098"/>
    <w:rsid w:val="006D0F27"/>
    <w:rsid w:val="006D10AA"/>
    <w:rsid w:val="006D4107"/>
    <w:rsid w:val="006D44B3"/>
    <w:rsid w:val="006D4C53"/>
    <w:rsid w:val="006D4DC7"/>
    <w:rsid w:val="006D4EA6"/>
    <w:rsid w:val="006D585A"/>
    <w:rsid w:val="006D5994"/>
    <w:rsid w:val="006D6517"/>
    <w:rsid w:val="006D7BDA"/>
    <w:rsid w:val="006E0165"/>
    <w:rsid w:val="006E02EF"/>
    <w:rsid w:val="006E03FF"/>
    <w:rsid w:val="006E2350"/>
    <w:rsid w:val="006E2381"/>
    <w:rsid w:val="006E2EE9"/>
    <w:rsid w:val="006E31DA"/>
    <w:rsid w:val="006E4CA3"/>
    <w:rsid w:val="006E5440"/>
    <w:rsid w:val="006E5DA7"/>
    <w:rsid w:val="006E6D23"/>
    <w:rsid w:val="006F043F"/>
    <w:rsid w:val="006F1603"/>
    <w:rsid w:val="006F16A2"/>
    <w:rsid w:val="006F1BD6"/>
    <w:rsid w:val="006F3F36"/>
    <w:rsid w:val="006F5DA3"/>
    <w:rsid w:val="006F6224"/>
    <w:rsid w:val="006F644B"/>
    <w:rsid w:val="00702F7B"/>
    <w:rsid w:val="00704A2B"/>
    <w:rsid w:val="00705704"/>
    <w:rsid w:val="00706285"/>
    <w:rsid w:val="00706740"/>
    <w:rsid w:val="00706EE6"/>
    <w:rsid w:val="00707EEA"/>
    <w:rsid w:val="0071092E"/>
    <w:rsid w:val="00712004"/>
    <w:rsid w:val="00712E5B"/>
    <w:rsid w:val="00713C82"/>
    <w:rsid w:val="0071480D"/>
    <w:rsid w:val="0071617D"/>
    <w:rsid w:val="00717E55"/>
    <w:rsid w:val="00721CE9"/>
    <w:rsid w:val="00721DF7"/>
    <w:rsid w:val="00723662"/>
    <w:rsid w:val="00723738"/>
    <w:rsid w:val="00723BE6"/>
    <w:rsid w:val="007248CB"/>
    <w:rsid w:val="0072548C"/>
    <w:rsid w:val="00725CD8"/>
    <w:rsid w:val="00726AA9"/>
    <w:rsid w:val="00727552"/>
    <w:rsid w:val="0073010E"/>
    <w:rsid w:val="0073118C"/>
    <w:rsid w:val="00731FC7"/>
    <w:rsid w:val="00732BC9"/>
    <w:rsid w:val="007348DE"/>
    <w:rsid w:val="00736E88"/>
    <w:rsid w:val="00740354"/>
    <w:rsid w:val="007415B7"/>
    <w:rsid w:val="00742A5F"/>
    <w:rsid w:val="007438FF"/>
    <w:rsid w:val="0074485F"/>
    <w:rsid w:val="00745458"/>
    <w:rsid w:val="00745B58"/>
    <w:rsid w:val="0074727D"/>
    <w:rsid w:val="00747EA3"/>
    <w:rsid w:val="007505E8"/>
    <w:rsid w:val="007531FF"/>
    <w:rsid w:val="00753209"/>
    <w:rsid w:val="0075413C"/>
    <w:rsid w:val="007563C2"/>
    <w:rsid w:val="00756880"/>
    <w:rsid w:val="007604B6"/>
    <w:rsid w:val="00761543"/>
    <w:rsid w:val="00761663"/>
    <w:rsid w:val="00761937"/>
    <w:rsid w:val="00761F60"/>
    <w:rsid w:val="00762D3B"/>
    <w:rsid w:val="007638C3"/>
    <w:rsid w:val="00765577"/>
    <w:rsid w:val="00767378"/>
    <w:rsid w:val="0076787A"/>
    <w:rsid w:val="00767B48"/>
    <w:rsid w:val="007701E2"/>
    <w:rsid w:val="00771BA4"/>
    <w:rsid w:val="007730F1"/>
    <w:rsid w:val="00775130"/>
    <w:rsid w:val="00776B5B"/>
    <w:rsid w:val="007772AA"/>
    <w:rsid w:val="00780249"/>
    <w:rsid w:val="007804DC"/>
    <w:rsid w:val="00784F08"/>
    <w:rsid w:val="00785447"/>
    <w:rsid w:val="00786E51"/>
    <w:rsid w:val="00787992"/>
    <w:rsid w:val="00787ED2"/>
    <w:rsid w:val="0079124B"/>
    <w:rsid w:val="0079268F"/>
    <w:rsid w:val="00793112"/>
    <w:rsid w:val="0079476B"/>
    <w:rsid w:val="0079671B"/>
    <w:rsid w:val="007969BE"/>
    <w:rsid w:val="007A0201"/>
    <w:rsid w:val="007A1A0A"/>
    <w:rsid w:val="007A2A3B"/>
    <w:rsid w:val="007A2EFE"/>
    <w:rsid w:val="007A4A55"/>
    <w:rsid w:val="007A5039"/>
    <w:rsid w:val="007A5368"/>
    <w:rsid w:val="007A5B0B"/>
    <w:rsid w:val="007A5B73"/>
    <w:rsid w:val="007A61BD"/>
    <w:rsid w:val="007A7117"/>
    <w:rsid w:val="007B0420"/>
    <w:rsid w:val="007B15E9"/>
    <w:rsid w:val="007B1D2F"/>
    <w:rsid w:val="007B2272"/>
    <w:rsid w:val="007B37EA"/>
    <w:rsid w:val="007B3F04"/>
    <w:rsid w:val="007B5930"/>
    <w:rsid w:val="007B5C92"/>
    <w:rsid w:val="007B70E6"/>
    <w:rsid w:val="007B734A"/>
    <w:rsid w:val="007B7CBE"/>
    <w:rsid w:val="007C0583"/>
    <w:rsid w:val="007C2655"/>
    <w:rsid w:val="007C3085"/>
    <w:rsid w:val="007C4C46"/>
    <w:rsid w:val="007C6A96"/>
    <w:rsid w:val="007C7036"/>
    <w:rsid w:val="007D07A2"/>
    <w:rsid w:val="007D1370"/>
    <w:rsid w:val="007D13E1"/>
    <w:rsid w:val="007D1B4F"/>
    <w:rsid w:val="007D4B7A"/>
    <w:rsid w:val="007D4FCC"/>
    <w:rsid w:val="007D58E9"/>
    <w:rsid w:val="007E0543"/>
    <w:rsid w:val="007E0671"/>
    <w:rsid w:val="007E0CC5"/>
    <w:rsid w:val="007E2AB4"/>
    <w:rsid w:val="007E2F6B"/>
    <w:rsid w:val="007E44F6"/>
    <w:rsid w:val="007E7120"/>
    <w:rsid w:val="007E7DB2"/>
    <w:rsid w:val="007F008C"/>
    <w:rsid w:val="007F104C"/>
    <w:rsid w:val="007F153B"/>
    <w:rsid w:val="007F1C74"/>
    <w:rsid w:val="007F23CC"/>
    <w:rsid w:val="007F33BF"/>
    <w:rsid w:val="007F56B3"/>
    <w:rsid w:val="007F7464"/>
    <w:rsid w:val="007F7A98"/>
    <w:rsid w:val="00800EC1"/>
    <w:rsid w:val="0080129B"/>
    <w:rsid w:val="00801784"/>
    <w:rsid w:val="00801EC2"/>
    <w:rsid w:val="00802B83"/>
    <w:rsid w:val="0081013A"/>
    <w:rsid w:val="0081105B"/>
    <w:rsid w:val="00811EC1"/>
    <w:rsid w:val="00813488"/>
    <w:rsid w:val="0081352F"/>
    <w:rsid w:val="008137E2"/>
    <w:rsid w:val="00813860"/>
    <w:rsid w:val="00814A0C"/>
    <w:rsid w:val="00814B8B"/>
    <w:rsid w:val="00814ED0"/>
    <w:rsid w:val="00817DCF"/>
    <w:rsid w:val="008209BC"/>
    <w:rsid w:val="008229C0"/>
    <w:rsid w:val="00823491"/>
    <w:rsid w:val="00825668"/>
    <w:rsid w:val="008258EF"/>
    <w:rsid w:val="00826061"/>
    <w:rsid w:val="00827105"/>
    <w:rsid w:val="008274D9"/>
    <w:rsid w:val="00830E27"/>
    <w:rsid w:val="00830E79"/>
    <w:rsid w:val="00831B9F"/>
    <w:rsid w:val="00834BDB"/>
    <w:rsid w:val="00835A5A"/>
    <w:rsid w:val="008363EF"/>
    <w:rsid w:val="00842B43"/>
    <w:rsid w:val="00842DE9"/>
    <w:rsid w:val="00846689"/>
    <w:rsid w:val="00847AB2"/>
    <w:rsid w:val="00847F97"/>
    <w:rsid w:val="0085002D"/>
    <w:rsid w:val="00850B88"/>
    <w:rsid w:val="00850E25"/>
    <w:rsid w:val="008519F1"/>
    <w:rsid w:val="0085245D"/>
    <w:rsid w:val="008544EC"/>
    <w:rsid w:val="008548E0"/>
    <w:rsid w:val="008566BE"/>
    <w:rsid w:val="008579F6"/>
    <w:rsid w:val="00860A7E"/>
    <w:rsid w:val="00861243"/>
    <w:rsid w:val="00861E71"/>
    <w:rsid w:val="00862E4E"/>
    <w:rsid w:val="00862E5B"/>
    <w:rsid w:val="0086389A"/>
    <w:rsid w:val="00863E3F"/>
    <w:rsid w:val="00864250"/>
    <w:rsid w:val="00865BAD"/>
    <w:rsid w:val="00866657"/>
    <w:rsid w:val="00866943"/>
    <w:rsid w:val="00866F41"/>
    <w:rsid w:val="00867422"/>
    <w:rsid w:val="00867843"/>
    <w:rsid w:val="0087097F"/>
    <w:rsid w:val="0087158B"/>
    <w:rsid w:val="00871D84"/>
    <w:rsid w:val="00873D6F"/>
    <w:rsid w:val="008771EC"/>
    <w:rsid w:val="00877619"/>
    <w:rsid w:val="00880026"/>
    <w:rsid w:val="00880622"/>
    <w:rsid w:val="00881089"/>
    <w:rsid w:val="008823DC"/>
    <w:rsid w:val="00883B7A"/>
    <w:rsid w:val="00883FCA"/>
    <w:rsid w:val="008845DD"/>
    <w:rsid w:val="00884722"/>
    <w:rsid w:val="00885BED"/>
    <w:rsid w:val="00886ACB"/>
    <w:rsid w:val="00887545"/>
    <w:rsid w:val="00887BDA"/>
    <w:rsid w:val="00891798"/>
    <w:rsid w:val="00891FA1"/>
    <w:rsid w:val="0089278E"/>
    <w:rsid w:val="00893306"/>
    <w:rsid w:val="0089698C"/>
    <w:rsid w:val="00897CB1"/>
    <w:rsid w:val="00897F26"/>
    <w:rsid w:val="008A036A"/>
    <w:rsid w:val="008A08D3"/>
    <w:rsid w:val="008A09B4"/>
    <w:rsid w:val="008A0E66"/>
    <w:rsid w:val="008A2494"/>
    <w:rsid w:val="008A31C7"/>
    <w:rsid w:val="008A4341"/>
    <w:rsid w:val="008A5DE8"/>
    <w:rsid w:val="008A6012"/>
    <w:rsid w:val="008A6557"/>
    <w:rsid w:val="008B002D"/>
    <w:rsid w:val="008B20A1"/>
    <w:rsid w:val="008B3B03"/>
    <w:rsid w:val="008B54B1"/>
    <w:rsid w:val="008B67FA"/>
    <w:rsid w:val="008B6C30"/>
    <w:rsid w:val="008B7A7E"/>
    <w:rsid w:val="008C4D10"/>
    <w:rsid w:val="008C52A8"/>
    <w:rsid w:val="008C5B32"/>
    <w:rsid w:val="008C5B49"/>
    <w:rsid w:val="008D029C"/>
    <w:rsid w:val="008D2E56"/>
    <w:rsid w:val="008D3341"/>
    <w:rsid w:val="008D5863"/>
    <w:rsid w:val="008D5EE7"/>
    <w:rsid w:val="008D63BD"/>
    <w:rsid w:val="008E1269"/>
    <w:rsid w:val="008E1E19"/>
    <w:rsid w:val="008E216B"/>
    <w:rsid w:val="008E2EA1"/>
    <w:rsid w:val="008E5FCF"/>
    <w:rsid w:val="008F01A4"/>
    <w:rsid w:val="008F1A78"/>
    <w:rsid w:val="008F1D32"/>
    <w:rsid w:val="008F2B9A"/>
    <w:rsid w:val="008F2E64"/>
    <w:rsid w:val="008F30B6"/>
    <w:rsid w:val="008F31DD"/>
    <w:rsid w:val="008F38BF"/>
    <w:rsid w:val="008F42F2"/>
    <w:rsid w:val="008F6EF9"/>
    <w:rsid w:val="008F6F57"/>
    <w:rsid w:val="008F71F4"/>
    <w:rsid w:val="008F7260"/>
    <w:rsid w:val="00900D1F"/>
    <w:rsid w:val="00900FB0"/>
    <w:rsid w:val="009012C8"/>
    <w:rsid w:val="00901BFC"/>
    <w:rsid w:val="0090342C"/>
    <w:rsid w:val="00904634"/>
    <w:rsid w:val="00904CDC"/>
    <w:rsid w:val="00904D0A"/>
    <w:rsid w:val="00906371"/>
    <w:rsid w:val="009134EF"/>
    <w:rsid w:val="00913DAE"/>
    <w:rsid w:val="009215F5"/>
    <w:rsid w:val="00921CBC"/>
    <w:rsid w:val="00922132"/>
    <w:rsid w:val="00925756"/>
    <w:rsid w:val="00925C8D"/>
    <w:rsid w:val="00925CD5"/>
    <w:rsid w:val="00927109"/>
    <w:rsid w:val="00930189"/>
    <w:rsid w:val="009314BA"/>
    <w:rsid w:val="00931D92"/>
    <w:rsid w:val="00933446"/>
    <w:rsid w:val="00934464"/>
    <w:rsid w:val="00935703"/>
    <w:rsid w:val="009360A4"/>
    <w:rsid w:val="0093691C"/>
    <w:rsid w:val="00937775"/>
    <w:rsid w:val="009401B9"/>
    <w:rsid w:val="00940742"/>
    <w:rsid w:val="009424E9"/>
    <w:rsid w:val="00942CAF"/>
    <w:rsid w:val="009467F1"/>
    <w:rsid w:val="009505F5"/>
    <w:rsid w:val="0095067E"/>
    <w:rsid w:val="00953051"/>
    <w:rsid w:val="009533DA"/>
    <w:rsid w:val="00955E86"/>
    <w:rsid w:val="00956C30"/>
    <w:rsid w:val="00957F31"/>
    <w:rsid w:val="00963A38"/>
    <w:rsid w:val="009649CE"/>
    <w:rsid w:val="00965C87"/>
    <w:rsid w:val="00967D84"/>
    <w:rsid w:val="00967FDB"/>
    <w:rsid w:val="00974BDC"/>
    <w:rsid w:val="00975509"/>
    <w:rsid w:val="00975DC1"/>
    <w:rsid w:val="0097604B"/>
    <w:rsid w:val="00977265"/>
    <w:rsid w:val="00980C3D"/>
    <w:rsid w:val="0098441C"/>
    <w:rsid w:val="00984A9D"/>
    <w:rsid w:val="00984D56"/>
    <w:rsid w:val="009861C7"/>
    <w:rsid w:val="009863A3"/>
    <w:rsid w:val="009875FF"/>
    <w:rsid w:val="00990054"/>
    <w:rsid w:val="00991FFE"/>
    <w:rsid w:val="009931BB"/>
    <w:rsid w:val="009943BF"/>
    <w:rsid w:val="00994D80"/>
    <w:rsid w:val="00994EBA"/>
    <w:rsid w:val="00995299"/>
    <w:rsid w:val="00995669"/>
    <w:rsid w:val="00995C93"/>
    <w:rsid w:val="0099602A"/>
    <w:rsid w:val="00996425"/>
    <w:rsid w:val="00996DC5"/>
    <w:rsid w:val="00997AA5"/>
    <w:rsid w:val="009A2056"/>
    <w:rsid w:val="009A2450"/>
    <w:rsid w:val="009A3356"/>
    <w:rsid w:val="009A339F"/>
    <w:rsid w:val="009A4238"/>
    <w:rsid w:val="009A4312"/>
    <w:rsid w:val="009A444C"/>
    <w:rsid w:val="009A451D"/>
    <w:rsid w:val="009A4680"/>
    <w:rsid w:val="009A4B94"/>
    <w:rsid w:val="009A56D9"/>
    <w:rsid w:val="009A6E90"/>
    <w:rsid w:val="009A72BC"/>
    <w:rsid w:val="009A7FA6"/>
    <w:rsid w:val="009B1852"/>
    <w:rsid w:val="009B1970"/>
    <w:rsid w:val="009B6923"/>
    <w:rsid w:val="009C0B20"/>
    <w:rsid w:val="009C3029"/>
    <w:rsid w:val="009C49CE"/>
    <w:rsid w:val="009C52C6"/>
    <w:rsid w:val="009C5A0E"/>
    <w:rsid w:val="009C608D"/>
    <w:rsid w:val="009C6774"/>
    <w:rsid w:val="009D1764"/>
    <w:rsid w:val="009D2CE8"/>
    <w:rsid w:val="009D3939"/>
    <w:rsid w:val="009D4955"/>
    <w:rsid w:val="009D4FA8"/>
    <w:rsid w:val="009D510B"/>
    <w:rsid w:val="009D667E"/>
    <w:rsid w:val="009D7F09"/>
    <w:rsid w:val="009E0370"/>
    <w:rsid w:val="009E03FA"/>
    <w:rsid w:val="009E0E31"/>
    <w:rsid w:val="009E1140"/>
    <w:rsid w:val="009E1490"/>
    <w:rsid w:val="009E1F16"/>
    <w:rsid w:val="009E271B"/>
    <w:rsid w:val="009E5EB9"/>
    <w:rsid w:val="009E79BC"/>
    <w:rsid w:val="009E7DDD"/>
    <w:rsid w:val="009F06F1"/>
    <w:rsid w:val="009F0BF9"/>
    <w:rsid w:val="009F0FAF"/>
    <w:rsid w:val="009F1AFC"/>
    <w:rsid w:val="009F1B56"/>
    <w:rsid w:val="009F3D4A"/>
    <w:rsid w:val="009F451C"/>
    <w:rsid w:val="009F5151"/>
    <w:rsid w:val="009F5E2D"/>
    <w:rsid w:val="009F658B"/>
    <w:rsid w:val="00A005C4"/>
    <w:rsid w:val="00A01B85"/>
    <w:rsid w:val="00A027E2"/>
    <w:rsid w:val="00A03FA5"/>
    <w:rsid w:val="00A04269"/>
    <w:rsid w:val="00A05355"/>
    <w:rsid w:val="00A0602B"/>
    <w:rsid w:val="00A06836"/>
    <w:rsid w:val="00A06AE6"/>
    <w:rsid w:val="00A104AB"/>
    <w:rsid w:val="00A109A0"/>
    <w:rsid w:val="00A125AD"/>
    <w:rsid w:val="00A12A3A"/>
    <w:rsid w:val="00A12B50"/>
    <w:rsid w:val="00A12CD8"/>
    <w:rsid w:val="00A13869"/>
    <w:rsid w:val="00A1477A"/>
    <w:rsid w:val="00A154B5"/>
    <w:rsid w:val="00A15741"/>
    <w:rsid w:val="00A16277"/>
    <w:rsid w:val="00A177A6"/>
    <w:rsid w:val="00A17E81"/>
    <w:rsid w:val="00A20DAB"/>
    <w:rsid w:val="00A2169A"/>
    <w:rsid w:val="00A22298"/>
    <w:rsid w:val="00A23674"/>
    <w:rsid w:val="00A2409A"/>
    <w:rsid w:val="00A25344"/>
    <w:rsid w:val="00A25EA9"/>
    <w:rsid w:val="00A265E1"/>
    <w:rsid w:val="00A26AA9"/>
    <w:rsid w:val="00A30229"/>
    <w:rsid w:val="00A309FB"/>
    <w:rsid w:val="00A32811"/>
    <w:rsid w:val="00A36956"/>
    <w:rsid w:val="00A37185"/>
    <w:rsid w:val="00A412B8"/>
    <w:rsid w:val="00A416DC"/>
    <w:rsid w:val="00A416FA"/>
    <w:rsid w:val="00A41A3D"/>
    <w:rsid w:val="00A42D20"/>
    <w:rsid w:val="00A43492"/>
    <w:rsid w:val="00A43AF7"/>
    <w:rsid w:val="00A468CF"/>
    <w:rsid w:val="00A46B33"/>
    <w:rsid w:val="00A473FA"/>
    <w:rsid w:val="00A4797F"/>
    <w:rsid w:val="00A510ED"/>
    <w:rsid w:val="00A51B29"/>
    <w:rsid w:val="00A51DB7"/>
    <w:rsid w:val="00A5318A"/>
    <w:rsid w:val="00A54479"/>
    <w:rsid w:val="00A544FA"/>
    <w:rsid w:val="00A55E31"/>
    <w:rsid w:val="00A55EE4"/>
    <w:rsid w:val="00A574D0"/>
    <w:rsid w:val="00A57506"/>
    <w:rsid w:val="00A600AB"/>
    <w:rsid w:val="00A6014F"/>
    <w:rsid w:val="00A6210B"/>
    <w:rsid w:val="00A64EAF"/>
    <w:rsid w:val="00A65253"/>
    <w:rsid w:val="00A65720"/>
    <w:rsid w:val="00A67576"/>
    <w:rsid w:val="00A67DE0"/>
    <w:rsid w:val="00A725AE"/>
    <w:rsid w:val="00A731D9"/>
    <w:rsid w:val="00A734CA"/>
    <w:rsid w:val="00A7369E"/>
    <w:rsid w:val="00A73873"/>
    <w:rsid w:val="00A73D6E"/>
    <w:rsid w:val="00A74988"/>
    <w:rsid w:val="00A76264"/>
    <w:rsid w:val="00A77690"/>
    <w:rsid w:val="00A8019C"/>
    <w:rsid w:val="00A816D5"/>
    <w:rsid w:val="00A8253D"/>
    <w:rsid w:val="00A827B1"/>
    <w:rsid w:val="00A82E5E"/>
    <w:rsid w:val="00A833BB"/>
    <w:rsid w:val="00A838D1"/>
    <w:rsid w:val="00A84925"/>
    <w:rsid w:val="00A84D61"/>
    <w:rsid w:val="00A85AB5"/>
    <w:rsid w:val="00A85C99"/>
    <w:rsid w:val="00A861CA"/>
    <w:rsid w:val="00A864B7"/>
    <w:rsid w:val="00A86A2E"/>
    <w:rsid w:val="00A90502"/>
    <w:rsid w:val="00A90BF2"/>
    <w:rsid w:val="00A921E3"/>
    <w:rsid w:val="00A92DB0"/>
    <w:rsid w:val="00A92DE0"/>
    <w:rsid w:val="00A944A1"/>
    <w:rsid w:val="00A95537"/>
    <w:rsid w:val="00A97BEC"/>
    <w:rsid w:val="00AA0F6B"/>
    <w:rsid w:val="00AA2506"/>
    <w:rsid w:val="00AA4661"/>
    <w:rsid w:val="00AA7958"/>
    <w:rsid w:val="00AB00C7"/>
    <w:rsid w:val="00AB0DCF"/>
    <w:rsid w:val="00AB1D6A"/>
    <w:rsid w:val="00AB381F"/>
    <w:rsid w:val="00AB3CFE"/>
    <w:rsid w:val="00AB4D5E"/>
    <w:rsid w:val="00AB6245"/>
    <w:rsid w:val="00AB68C4"/>
    <w:rsid w:val="00AB7613"/>
    <w:rsid w:val="00AB7899"/>
    <w:rsid w:val="00AC06A7"/>
    <w:rsid w:val="00AC0E9D"/>
    <w:rsid w:val="00AC268A"/>
    <w:rsid w:val="00AC2864"/>
    <w:rsid w:val="00AC3156"/>
    <w:rsid w:val="00AC365E"/>
    <w:rsid w:val="00AC4A9C"/>
    <w:rsid w:val="00AC58CF"/>
    <w:rsid w:val="00AC5B42"/>
    <w:rsid w:val="00AC5DED"/>
    <w:rsid w:val="00AC7B49"/>
    <w:rsid w:val="00AC7EF0"/>
    <w:rsid w:val="00AD0509"/>
    <w:rsid w:val="00AD1001"/>
    <w:rsid w:val="00AD1397"/>
    <w:rsid w:val="00AD14EC"/>
    <w:rsid w:val="00AD249A"/>
    <w:rsid w:val="00AD4296"/>
    <w:rsid w:val="00AD4CBC"/>
    <w:rsid w:val="00AD70CB"/>
    <w:rsid w:val="00AD7F3F"/>
    <w:rsid w:val="00AE001E"/>
    <w:rsid w:val="00AE06F0"/>
    <w:rsid w:val="00AE1AEB"/>
    <w:rsid w:val="00AE2134"/>
    <w:rsid w:val="00AE2669"/>
    <w:rsid w:val="00AE2FCE"/>
    <w:rsid w:val="00AE3C67"/>
    <w:rsid w:val="00AE4341"/>
    <w:rsid w:val="00AE4681"/>
    <w:rsid w:val="00AE593F"/>
    <w:rsid w:val="00AE5980"/>
    <w:rsid w:val="00AE706E"/>
    <w:rsid w:val="00AF005F"/>
    <w:rsid w:val="00AF08A7"/>
    <w:rsid w:val="00AF0B26"/>
    <w:rsid w:val="00AF12BD"/>
    <w:rsid w:val="00AF23F5"/>
    <w:rsid w:val="00AF2E03"/>
    <w:rsid w:val="00AF3722"/>
    <w:rsid w:val="00AF39EB"/>
    <w:rsid w:val="00AF46C0"/>
    <w:rsid w:val="00AF4E66"/>
    <w:rsid w:val="00AF5770"/>
    <w:rsid w:val="00B0163B"/>
    <w:rsid w:val="00B047C8"/>
    <w:rsid w:val="00B04C9A"/>
    <w:rsid w:val="00B04F8C"/>
    <w:rsid w:val="00B05254"/>
    <w:rsid w:val="00B05AE7"/>
    <w:rsid w:val="00B05B67"/>
    <w:rsid w:val="00B0676F"/>
    <w:rsid w:val="00B06982"/>
    <w:rsid w:val="00B071CF"/>
    <w:rsid w:val="00B12892"/>
    <w:rsid w:val="00B154EB"/>
    <w:rsid w:val="00B15A6E"/>
    <w:rsid w:val="00B16526"/>
    <w:rsid w:val="00B16929"/>
    <w:rsid w:val="00B16B78"/>
    <w:rsid w:val="00B201A7"/>
    <w:rsid w:val="00B205D8"/>
    <w:rsid w:val="00B213E7"/>
    <w:rsid w:val="00B21A9B"/>
    <w:rsid w:val="00B23151"/>
    <w:rsid w:val="00B23461"/>
    <w:rsid w:val="00B2434C"/>
    <w:rsid w:val="00B254D3"/>
    <w:rsid w:val="00B26FF0"/>
    <w:rsid w:val="00B27387"/>
    <w:rsid w:val="00B27E6E"/>
    <w:rsid w:val="00B30AFA"/>
    <w:rsid w:val="00B318C9"/>
    <w:rsid w:val="00B34F5F"/>
    <w:rsid w:val="00B3590D"/>
    <w:rsid w:val="00B35B49"/>
    <w:rsid w:val="00B402A3"/>
    <w:rsid w:val="00B43D17"/>
    <w:rsid w:val="00B443F0"/>
    <w:rsid w:val="00B46024"/>
    <w:rsid w:val="00B46F4F"/>
    <w:rsid w:val="00B52205"/>
    <w:rsid w:val="00B522DD"/>
    <w:rsid w:val="00B5322D"/>
    <w:rsid w:val="00B53C8E"/>
    <w:rsid w:val="00B56615"/>
    <w:rsid w:val="00B56E40"/>
    <w:rsid w:val="00B60289"/>
    <w:rsid w:val="00B61A1C"/>
    <w:rsid w:val="00B639A8"/>
    <w:rsid w:val="00B64886"/>
    <w:rsid w:val="00B677FB"/>
    <w:rsid w:val="00B700CC"/>
    <w:rsid w:val="00B70105"/>
    <w:rsid w:val="00B703C0"/>
    <w:rsid w:val="00B70713"/>
    <w:rsid w:val="00B70BA2"/>
    <w:rsid w:val="00B70E33"/>
    <w:rsid w:val="00B70F43"/>
    <w:rsid w:val="00B732A0"/>
    <w:rsid w:val="00B73911"/>
    <w:rsid w:val="00B75719"/>
    <w:rsid w:val="00B75852"/>
    <w:rsid w:val="00B75A66"/>
    <w:rsid w:val="00B760F0"/>
    <w:rsid w:val="00B807FD"/>
    <w:rsid w:val="00B80B3A"/>
    <w:rsid w:val="00B833D1"/>
    <w:rsid w:val="00B869DE"/>
    <w:rsid w:val="00B876A1"/>
    <w:rsid w:val="00B90074"/>
    <w:rsid w:val="00B90397"/>
    <w:rsid w:val="00B92598"/>
    <w:rsid w:val="00B942EA"/>
    <w:rsid w:val="00B965F1"/>
    <w:rsid w:val="00B966C6"/>
    <w:rsid w:val="00B96A0D"/>
    <w:rsid w:val="00B974A4"/>
    <w:rsid w:val="00BA1241"/>
    <w:rsid w:val="00BA1860"/>
    <w:rsid w:val="00BA277B"/>
    <w:rsid w:val="00BA2A24"/>
    <w:rsid w:val="00BA3439"/>
    <w:rsid w:val="00BA3BE7"/>
    <w:rsid w:val="00BA3E31"/>
    <w:rsid w:val="00BA51A0"/>
    <w:rsid w:val="00BA5A04"/>
    <w:rsid w:val="00BA7AC6"/>
    <w:rsid w:val="00BB1148"/>
    <w:rsid w:val="00BB1299"/>
    <w:rsid w:val="00BB73F1"/>
    <w:rsid w:val="00BC0E70"/>
    <w:rsid w:val="00BC1E61"/>
    <w:rsid w:val="00BC3C7E"/>
    <w:rsid w:val="00BC4823"/>
    <w:rsid w:val="00BC580A"/>
    <w:rsid w:val="00BC7FE8"/>
    <w:rsid w:val="00BD079E"/>
    <w:rsid w:val="00BD1512"/>
    <w:rsid w:val="00BD29F7"/>
    <w:rsid w:val="00BD2BF1"/>
    <w:rsid w:val="00BD3007"/>
    <w:rsid w:val="00BD43AF"/>
    <w:rsid w:val="00BD5376"/>
    <w:rsid w:val="00BD6A2F"/>
    <w:rsid w:val="00BD6D0E"/>
    <w:rsid w:val="00BE3A3B"/>
    <w:rsid w:val="00BE3E30"/>
    <w:rsid w:val="00BE52B8"/>
    <w:rsid w:val="00BE52D2"/>
    <w:rsid w:val="00BE6147"/>
    <w:rsid w:val="00BE67D2"/>
    <w:rsid w:val="00BE729A"/>
    <w:rsid w:val="00BE79AC"/>
    <w:rsid w:val="00BF2F67"/>
    <w:rsid w:val="00BF3424"/>
    <w:rsid w:val="00BF353D"/>
    <w:rsid w:val="00BF5249"/>
    <w:rsid w:val="00BF5F50"/>
    <w:rsid w:val="00C006DB"/>
    <w:rsid w:val="00C00763"/>
    <w:rsid w:val="00C008FB"/>
    <w:rsid w:val="00C00FB4"/>
    <w:rsid w:val="00C01BA7"/>
    <w:rsid w:val="00C030AC"/>
    <w:rsid w:val="00C046B0"/>
    <w:rsid w:val="00C0507E"/>
    <w:rsid w:val="00C05708"/>
    <w:rsid w:val="00C05AE2"/>
    <w:rsid w:val="00C05FC9"/>
    <w:rsid w:val="00C06228"/>
    <w:rsid w:val="00C0628F"/>
    <w:rsid w:val="00C10938"/>
    <w:rsid w:val="00C10EA6"/>
    <w:rsid w:val="00C11B64"/>
    <w:rsid w:val="00C1223F"/>
    <w:rsid w:val="00C154E7"/>
    <w:rsid w:val="00C16920"/>
    <w:rsid w:val="00C211E2"/>
    <w:rsid w:val="00C222CA"/>
    <w:rsid w:val="00C22373"/>
    <w:rsid w:val="00C22839"/>
    <w:rsid w:val="00C24C31"/>
    <w:rsid w:val="00C25853"/>
    <w:rsid w:val="00C25A9B"/>
    <w:rsid w:val="00C27D17"/>
    <w:rsid w:val="00C33581"/>
    <w:rsid w:val="00C35B20"/>
    <w:rsid w:val="00C35D84"/>
    <w:rsid w:val="00C36B74"/>
    <w:rsid w:val="00C3710F"/>
    <w:rsid w:val="00C40056"/>
    <w:rsid w:val="00C40294"/>
    <w:rsid w:val="00C405D2"/>
    <w:rsid w:val="00C40EBB"/>
    <w:rsid w:val="00C41119"/>
    <w:rsid w:val="00C415B8"/>
    <w:rsid w:val="00C41B38"/>
    <w:rsid w:val="00C43860"/>
    <w:rsid w:val="00C446DA"/>
    <w:rsid w:val="00C45676"/>
    <w:rsid w:val="00C456D1"/>
    <w:rsid w:val="00C46BA1"/>
    <w:rsid w:val="00C514F7"/>
    <w:rsid w:val="00C52144"/>
    <w:rsid w:val="00C53E4F"/>
    <w:rsid w:val="00C55E7A"/>
    <w:rsid w:val="00C56748"/>
    <w:rsid w:val="00C60D90"/>
    <w:rsid w:val="00C62C70"/>
    <w:rsid w:val="00C63493"/>
    <w:rsid w:val="00C644AD"/>
    <w:rsid w:val="00C658DD"/>
    <w:rsid w:val="00C65BB9"/>
    <w:rsid w:val="00C66AF9"/>
    <w:rsid w:val="00C6738B"/>
    <w:rsid w:val="00C67D47"/>
    <w:rsid w:val="00C71A32"/>
    <w:rsid w:val="00C73487"/>
    <w:rsid w:val="00C74FA7"/>
    <w:rsid w:val="00C76FE7"/>
    <w:rsid w:val="00C77323"/>
    <w:rsid w:val="00C778E9"/>
    <w:rsid w:val="00C809AB"/>
    <w:rsid w:val="00C8201D"/>
    <w:rsid w:val="00C83D82"/>
    <w:rsid w:val="00C85AAE"/>
    <w:rsid w:val="00C85E7E"/>
    <w:rsid w:val="00C86752"/>
    <w:rsid w:val="00C8685E"/>
    <w:rsid w:val="00C86B8A"/>
    <w:rsid w:val="00C877D5"/>
    <w:rsid w:val="00C87ED3"/>
    <w:rsid w:val="00C9093E"/>
    <w:rsid w:val="00C916FC"/>
    <w:rsid w:val="00C9344B"/>
    <w:rsid w:val="00C934E1"/>
    <w:rsid w:val="00C93691"/>
    <w:rsid w:val="00C93B97"/>
    <w:rsid w:val="00C93F9C"/>
    <w:rsid w:val="00C94A7C"/>
    <w:rsid w:val="00C97D74"/>
    <w:rsid w:val="00CA13DD"/>
    <w:rsid w:val="00CA33E3"/>
    <w:rsid w:val="00CA364E"/>
    <w:rsid w:val="00CA61A1"/>
    <w:rsid w:val="00CA6E86"/>
    <w:rsid w:val="00CB0838"/>
    <w:rsid w:val="00CB1263"/>
    <w:rsid w:val="00CB1508"/>
    <w:rsid w:val="00CB1AE7"/>
    <w:rsid w:val="00CB2BDF"/>
    <w:rsid w:val="00CB367B"/>
    <w:rsid w:val="00CB4186"/>
    <w:rsid w:val="00CB479A"/>
    <w:rsid w:val="00CB4D85"/>
    <w:rsid w:val="00CB5F45"/>
    <w:rsid w:val="00CC0516"/>
    <w:rsid w:val="00CC054E"/>
    <w:rsid w:val="00CC1B1E"/>
    <w:rsid w:val="00CC3062"/>
    <w:rsid w:val="00CC446E"/>
    <w:rsid w:val="00CC4851"/>
    <w:rsid w:val="00CC5B39"/>
    <w:rsid w:val="00CC7166"/>
    <w:rsid w:val="00CD0184"/>
    <w:rsid w:val="00CD06B5"/>
    <w:rsid w:val="00CD111E"/>
    <w:rsid w:val="00CD19AD"/>
    <w:rsid w:val="00CD1D04"/>
    <w:rsid w:val="00CD28EF"/>
    <w:rsid w:val="00CD2B44"/>
    <w:rsid w:val="00CD4203"/>
    <w:rsid w:val="00CE0FAF"/>
    <w:rsid w:val="00CE14AC"/>
    <w:rsid w:val="00CE3386"/>
    <w:rsid w:val="00CE64AD"/>
    <w:rsid w:val="00CE6C2B"/>
    <w:rsid w:val="00CE6D55"/>
    <w:rsid w:val="00CE75D6"/>
    <w:rsid w:val="00CF09C0"/>
    <w:rsid w:val="00CF1B4C"/>
    <w:rsid w:val="00CF1D90"/>
    <w:rsid w:val="00CF4633"/>
    <w:rsid w:val="00CF4CE1"/>
    <w:rsid w:val="00CF57D6"/>
    <w:rsid w:val="00CF60FD"/>
    <w:rsid w:val="00CF6739"/>
    <w:rsid w:val="00D00413"/>
    <w:rsid w:val="00D009C8"/>
    <w:rsid w:val="00D01160"/>
    <w:rsid w:val="00D039F4"/>
    <w:rsid w:val="00D03F54"/>
    <w:rsid w:val="00D042D0"/>
    <w:rsid w:val="00D0609C"/>
    <w:rsid w:val="00D07790"/>
    <w:rsid w:val="00D078E8"/>
    <w:rsid w:val="00D07962"/>
    <w:rsid w:val="00D07AAC"/>
    <w:rsid w:val="00D07BAE"/>
    <w:rsid w:val="00D10883"/>
    <w:rsid w:val="00D11C02"/>
    <w:rsid w:val="00D12689"/>
    <w:rsid w:val="00D130D8"/>
    <w:rsid w:val="00D1344A"/>
    <w:rsid w:val="00D15314"/>
    <w:rsid w:val="00D15546"/>
    <w:rsid w:val="00D158FA"/>
    <w:rsid w:val="00D16137"/>
    <w:rsid w:val="00D20675"/>
    <w:rsid w:val="00D206E4"/>
    <w:rsid w:val="00D20A7B"/>
    <w:rsid w:val="00D21BA9"/>
    <w:rsid w:val="00D21EBC"/>
    <w:rsid w:val="00D22E66"/>
    <w:rsid w:val="00D24511"/>
    <w:rsid w:val="00D24560"/>
    <w:rsid w:val="00D2510A"/>
    <w:rsid w:val="00D256F1"/>
    <w:rsid w:val="00D25DBE"/>
    <w:rsid w:val="00D273D5"/>
    <w:rsid w:val="00D30FD7"/>
    <w:rsid w:val="00D31549"/>
    <w:rsid w:val="00D319DE"/>
    <w:rsid w:val="00D335B5"/>
    <w:rsid w:val="00D33D0C"/>
    <w:rsid w:val="00D3435F"/>
    <w:rsid w:val="00D36422"/>
    <w:rsid w:val="00D36A6F"/>
    <w:rsid w:val="00D37B45"/>
    <w:rsid w:val="00D37D30"/>
    <w:rsid w:val="00D40D81"/>
    <w:rsid w:val="00D42CCC"/>
    <w:rsid w:val="00D4364D"/>
    <w:rsid w:val="00D439DA"/>
    <w:rsid w:val="00D43B65"/>
    <w:rsid w:val="00D44D70"/>
    <w:rsid w:val="00D452ED"/>
    <w:rsid w:val="00D4564F"/>
    <w:rsid w:val="00D45893"/>
    <w:rsid w:val="00D45A25"/>
    <w:rsid w:val="00D46E11"/>
    <w:rsid w:val="00D474A3"/>
    <w:rsid w:val="00D5127D"/>
    <w:rsid w:val="00D518A6"/>
    <w:rsid w:val="00D52089"/>
    <w:rsid w:val="00D53139"/>
    <w:rsid w:val="00D53179"/>
    <w:rsid w:val="00D54257"/>
    <w:rsid w:val="00D54D32"/>
    <w:rsid w:val="00D57CC7"/>
    <w:rsid w:val="00D60819"/>
    <w:rsid w:val="00D609A8"/>
    <w:rsid w:val="00D61710"/>
    <w:rsid w:val="00D61D94"/>
    <w:rsid w:val="00D61E9E"/>
    <w:rsid w:val="00D63026"/>
    <w:rsid w:val="00D66346"/>
    <w:rsid w:val="00D664F7"/>
    <w:rsid w:val="00D668D7"/>
    <w:rsid w:val="00D66CB4"/>
    <w:rsid w:val="00D7066F"/>
    <w:rsid w:val="00D70884"/>
    <w:rsid w:val="00D70A2B"/>
    <w:rsid w:val="00D71EAD"/>
    <w:rsid w:val="00D72291"/>
    <w:rsid w:val="00D73396"/>
    <w:rsid w:val="00D76DC6"/>
    <w:rsid w:val="00D76E19"/>
    <w:rsid w:val="00D77429"/>
    <w:rsid w:val="00D8070D"/>
    <w:rsid w:val="00D82A92"/>
    <w:rsid w:val="00D82C80"/>
    <w:rsid w:val="00D835FC"/>
    <w:rsid w:val="00D83A2B"/>
    <w:rsid w:val="00D842BB"/>
    <w:rsid w:val="00D84525"/>
    <w:rsid w:val="00D85783"/>
    <w:rsid w:val="00D85858"/>
    <w:rsid w:val="00D86F26"/>
    <w:rsid w:val="00D908FD"/>
    <w:rsid w:val="00D90F20"/>
    <w:rsid w:val="00D91A6C"/>
    <w:rsid w:val="00D91B52"/>
    <w:rsid w:val="00D9227D"/>
    <w:rsid w:val="00D950CE"/>
    <w:rsid w:val="00D95A75"/>
    <w:rsid w:val="00D96BFC"/>
    <w:rsid w:val="00D97107"/>
    <w:rsid w:val="00D9764E"/>
    <w:rsid w:val="00DA2AB5"/>
    <w:rsid w:val="00DA40B0"/>
    <w:rsid w:val="00DA6084"/>
    <w:rsid w:val="00DB008B"/>
    <w:rsid w:val="00DB06BC"/>
    <w:rsid w:val="00DB3331"/>
    <w:rsid w:val="00DB6659"/>
    <w:rsid w:val="00DB7240"/>
    <w:rsid w:val="00DB72EA"/>
    <w:rsid w:val="00DC096C"/>
    <w:rsid w:val="00DC188B"/>
    <w:rsid w:val="00DC39ED"/>
    <w:rsid w:val="00DC4A71"/>
    <w:rsid w:val="00DC5176"/>
    <w:rsid w:val="00DC53CD"/>
    <w:rsid w:val="00DC574E"/>
    <w:rsid w:val="00DC683A"/>
    <w:rsid w:val="00DC6D13"/>
    <w:rsid w:val="00DC78C0"/>
    <w:rsid w:val="00DD0CD4"/>
    <w:rsid w:val="00DD24BA"/>
    <w:rsid w:val="00DD426F"/>
    <w:rsid w:val="00DD55AA"/>
    <w:rsid w:val="00DD7B16"/>
    <w:rsid w:val="00DE2446"/>
    <w:rsid w:val="00DE46E3"/>
    <w:rsid w:val="00DE48E3"/>
    <w:rsid w:val="00DE4F67"/>
    <w:rsid w:val="00DE6165"/>
    <w:rsid w:val="00DE7CE0"/>
    <w:rsid w:val="00DF1724"/>
    <w:rsid w:val="00DF1836"/>
    <w:rsid w:val="00DF1EE2"/>
    <w:rsid w:val="00DF2EDB"/>
    <w:rsid w:val="00DF353B"/>
    <w:rsid w:val="00DF3EE6"/>
    <w:rsid w:val="00DF4D27"/>
    <w:rsid w:val="00DF4DD2"/>
    <w:rsid w:val="00DF5CC3"/>
    <w:rsid w:val="00DF655A"/>
    <w:rsid w:val="00DF7CF6"/>
    <w:rsid w:val="00E015C6"/>
    <w:rsid w:val="00E01F9D"/>
    <w:rsid w:val="00E05C8C"/>
    <w:rsid w:val="00E072E1"/>
    <w:rsid w:val="00E0739F"/>
    <w:rsid w:val="00E07D31"/>
    <w:rsid w:val="00E10BA8"/>
    <w:rsid w:val="00E1100C"/>
    <w:rsid w:val="00E12AF6"/>
    <w:rsid w:val="00E14592"/>
    <w:rsid w:val="00E16DBB"/>
    <w:rsid w:val="00E16DCE"/>
    <w:rsid w:val="00E176B1"/>
    <w:rsid w:val="00E2092B"/>
    <w:rsid w:val="00E21170"/>
    <w:rsid w:val="00E21D5B"/>
    <w:rsid w:val="00E2387A"/>
    <w:rsid w:val="00E2444F"/>
    <w:rsid w:val="00E2462A"/>
    <w:rsid w:val="00E2582A"/>
    <w:rsid w:val="00E2610D"/>
    <w:rsid w:val="00E302D8"/>
    <w:rsid w:val="00E309AA"/>
    <w:rsid w:val="00E316AA"/>
    <w:rsid w:val="00E31797"/>
    <w:rsid w:val="00E35815"/>
    <w:rsid w:val="00E35986"/>
    <w:rsid w:val="00E35A67"/>
    <w:rsid w:val="00E35B83"/>
    <w:rsid w:val="00E35C26"/>
    <w:rsid w:val="00E40810"/>
    <w:rsid w:val="00E4232C"/>
    <w:rsid w:val="00E4233F"/>
    <w:rsid w:val="00E43751"/>
    <w:rsid w:val="00E4455D"/>
    <w:rsid w:val="00E44FCD"/>
    <w:rsid w:val="00E465EC"/>
    <w:rsid w:val="00E502EE"/>
    <w:rsid w:val="00E51129"/>
    <w:rsid w:val="00E530B9"/>
    <w:rsid w:val="00E53BB0"/>
    <w:rsid w:val="00E53E43"/>
    <w:rsid w:val="00E54729"/>
    <w:rsid w:val="00E57224"/>
    <w:rsid w:val="00E60068"/>
    <w:rsid w:val="00E6032C"/>
    <w:rsid w:val="00E616BB"/>
    <w:rsid w:val="00E61F97"/>
    <w:rsid w:val="00E63A50"/>
    <w:rsid w:val="00E6555A"/>
    <w:rsid w:val="00E71B2D"/>
    <w:rsid w:val="00E72E9B"/>
    <w:rsid w:val="00E741E8"/>
    <w:rsid w:val="00E75B60"/>
    <w:rsid w:val="00E75D59"/>
    <w:rsid w:val="00E76D22"/>
    <w:rsid w:val="00E773A8"/>
    <w:rsid w:val="00E77A29"/>
    <w:rsid w:val="00E807DE"/>
    <w:rsid w:val="00E81BFF"/>
    <w:rsid w:val="00E8502C"/>
    <w:rsid w:val="00E85D21"/>
    <w:rsid w:val="00E8612C"/>
    <w:rsid w:val="00E864C1"/>
    <w:rsid w:val="00E864FF"/>
    <w:rsid w:val="00E86B68"/>
    <w:rsid w:val="00E86DF0"/>
    <w:rsid w:val="00E87747"/>
    <w:rsid w:val="00E879B8"/>
    <w:rsid w:val="00E87BF7"/>
    <w:rsid w:val="00E94645"/>
    <w:rsid w:val="00E95793"/>
    <w:rsid w:val="00E95F89"/>
    <w:rsid w:val="00E95FA4"/>
    <w:rsid w:val="00EA00C8"/>
    <w:rsid w:val="00EA00D3"/>
    <w:rsid w:val="00EA13FE"/>
    <w:rsid w:val="00EA2E86"/>
    <w:rsid w:val="00EA6A80"/>
    <w:rsid w:val="00EA7848"/>
    <w:rsid w:val="00EB0620"/>
    <w:rsid w:val="00EB0C3B"/>
    <w:rsid w:val="00EB11F2"/>
    <w:rsid w:val="00EB66C5"/>
    <w:rsid w:val="00EB749C"/>
    <w:rsid w:val="00EC48D7"/>
    <w:rsid w:val="00EC677F"/>
    <w:rsid w:val="00EC6BA5"/>
    <w:rsid w:val="00EC7878"/>
    <w:rsid w:val="00ED05B9"/>
    <w:rsid w:val="00ED08AA"/>
    <w:rsid w:val="00ED0958"/>
    <w:rsid w:val="00ED0B38"/>
    <w:rsid w:val="00ED0BD1"/>
    <w:rsid w:val="00ED1966"/>
    <w:rsid w:val="00ED220C"/>
    <w:rsid w:val="00ED4CE7"/>
    <w:rsid w:val="00ED5DD1"/>
    <w:rsid w:val="00ED7333"/>
    <w:rsid w:val="00EE1047"/>
    <w:rsid w:val="00EE1866"/>
    <w:rsid w:val="00EE1CE8"/>
    <w:rsid w:val="00EE34B5"/>
    <w:rsid w:val="00EE36AA"/>
    <w:rsid w:val="00EE39E6"/>
    <w:rsid w:val="00EE46CA"/>
    <w:rsid w:val="00EE6B60"/>
    <w:rsid w:val="00EF10F0"/>
    <w:rsid w:val="00EF16BA"/>
    <w:rsid w:val="00EF18D8"/>
    <w:rsid w:val="00EF2CAC"/>
    <w:rsid w:val="00EF4798"/>
    <w:rsid w:val="00EF580D"/>
    <w:rsid w:val="00F00CAB"/>
    <w:rsid w:val="00F00D69"/>
    <w:rsid w:val="00F01EF4"/>
    <w:rsid w:val="00F02BD6"/>
    <w:rsid w:val="00F03A7C"/>
    <w:rsid w:val="00F03D99"/>
    <w:rsid w:val="00F0434E"/>
    <w:rsid w:val="00F062BF"/>
    <w:rsid w:val="00F06AF4"/>
    <w:rsid w:val="00F06EB9"/>
    <w:rsid w:val="00F07133"/>
    <w:rsid w:val="00F105DC"/>
    <w:rsid w:val="00F117E4"/>
    <w:rsid w:val="00F11A2A"/>
    <w:rsid w:val="00F11D7F"/>
    <w:rsid w:val="00F12069"/>
    <w:rsid w:val="00F133C0"/>
    <w:rsid w:val="00F14432"/>
    <w:rsid w:val="00F151FF"/>
    <w:rsid w:val="00F161BA"/>
    <w:rsid w:val="00F20844"/>
    <w:rsid w:val="00F215E1"/>
    <w:rsid w:val="00F21B7B"/>
    <w:rsid w:val="00F21CFB"/>
    <w:rsid w:val="00F2215E"/>
    <w:rsid w:val="00F22CF0"/>
    <w:rsid w:val="00F2364B"/>
    <w:rsid w:val="00F2444C"/>
    <w:rsid w:val="00F24903"/>
    <w:rsid w:val="00F24969"/>
    <w:rsid w:val="00F2570A"/>
    <w:rsid w:val="00F306F6"/>
    <w:rsid w:val="00F308ED"/>
    <w:rsid w:val="00F310F6"/>
    <w:rsid w:val="00F31AEF"/>
    <w:rsid w:val="00F32D87"/>
    <w:rsid w:val="00F34EB7"/>
    <w:rsid w:val="00F36706"/>
    <w:rsid w:val="00F369C3"/>
    <w:rsid w:val="00F37E5C"/>
    <w:rsid w:val="00F4029E"/>
    <w:rsid w:val="00F4287C"/>
    <w:rsid w:val="00F4410D"/>
    <w:rsid w:val="00F44571"/>
    <w:rsid w:val="00F44DB9"/>
    <w:rsid w:val="00F453EC"/>
    <w:rsid w:val="00F456C9"/>
    <w:rsid w:val="00F46A01"/>
    <w:rsid w:val="00F474C1"/>
    <w:rsid w:val="00F47B3A"/>
    <w:rsid w:val="00F50083"/>
    <w:rsid w:val="00F518B7"/>
    <w:rsid w:val="00F52118"/>
    <w:rsid w:val="00F53140"/>
    <w:rsid w:val="00F545A0"/>
    <w:rsid w:val="00F54BDF"/>
    <w:rsid w:val="00F54C8B"/>
    <w:rsid w:val="00F556B1"/>
    <w:rsid w:val="00F6103F"/>
    <w:rsid w:val="00F61550"/>
    <w:rsid w:val="00F6313B"/>
    <w:rsid w:val="00F63265"/>
    <w:rsid w:val="00F64151"/>
    <w:rsid w:val="00F64EAD"/>
    <w:rsid w:val="00F6574A"/>
    <w:rsid w:val="00F702FD"/>
    <w:rsid w:val="00F70D6B"/>
    <w:rsid w:val="00F72583"/>
    <w:rsid w:val="00F7404A"/>
    <w:rsid w:val="00F748C7"/>
    <w:rsid w:val="00F74B4F"/>
    <w:rsid w:val="00F74C32"/>
    <w:rsid w:val="00F75E37"/>
    <w:rsid w:val="00F7672C"/>
    <w:rsid w:val="00F76934"/>
    <w:rsid w:val="00F773CB"/>
    <w:rsid w:val="00F77588"/>
    <w:rsid w:val="00F77748"/>
    <w:rsid w:val="00F77B0E"/>
    <w:rsid w:val="00F77B45"/>
    <w:rsid w:val="00F809A8"/>
    <w:rsid w:val="00F8312D"/>
    <w:rsid w:val="00F84252"/>
    <w:rsid w:val="00F84419"/>
    <w:rsid w:val="00F85874"/>
    <w:rsid w:val="00F85C9E"/>
    <w:rsid w:val="00F86422"/>
    <w:rsid w:val="00F87657"/>
    <w:rsid w:val="00F87747"/>
    <w:rsid w:val="00F87926"/>
    <w:rsid w:val="00F907AC"/>
    <w:rsid w:val="00F9425D"/>
    <w:rsid w:val="00F95CED"/>
    <w:rsid w:val="00F961CC"/>
    <w:rsid w:val="00F96550"/>
    <w:rsid w:val="00F97741"/>
    <w:rsid w:val="00FA1874"/>
    <w:rsid w:val="00FA1CCE"/>
    <w:rsid w:val="00FA2A24"/>
    <w:rsid w:val="00FA65BD"/>
    <w:rsid w:val="00FA6D9C"/>
    <w:rsid w:val="00FA70E7"/>
    <w:rsid w:val="00FB090D"/>
    <w:rsid w:val="00FB0FBE"/>
    <w:rsid w:val="00FB2C5B"/>
    <w:rsid w:val="00FB364D"/>
    <w:rsid w:val="00FB3678"/>
    <w:rsid w:val="00FB4E6D"/>
    <w:rsid w:val="00FB65F1"/>
    <w:rsid w:val="00FB67F6"/>
    <w:rsid w:val="00FC141A"/>
    <w:rsid w:val="00FC1C95"/>
    <w:rsid w:val="00FC3BC6"/>
    <w:rsid w:val="00FC438C"/>
    <w:rsid w:val="00FC45BE"/>
    <w:rsid w:val="00FC4CD2"/>
    <w:rsid w:val="00FC697A"/>
    <w:rsid w:val="00FC6DE6"/>
    <w:rsid w:val="00FD0D00"/>
    <w:rsid w:val="00FD0E1A"/>
    <w:rsid w:val="00FD22A6"/>
    <w:rsid w:val="00FD24D9"/>
    <w:rsid w:val="00FD2FC0"/>
    <w:rsid w:val="00FD349B"/>
    <w:rsid w:val="00FD374C"/>
    <w:rsid w:val="00FD5672"/>
    <w:rsid w:val="00FD7C5A"/>
    <w:rsid w:val="00FE0AD3"/>
    <w:rsid w:val="00FE11ED"/>
    <w:rsid w:val="00FE28E4"/>
    <w:rsid w:val="00FE534B"/>
    <w:rsid w:val="00FE6AD6"/>
    <w:rsid w:val="00FF171B"/>
    <w:rsid w:val="00FF227E"/>
    <w:rsid w:val="00FF425A"/>
    <w:rsid w:val="00FF4631"/>
    <w:rsid w:val="00FF495A"/>
    <w:rsid w:val="00FF4F74"/>
    <w:rsid w:val="00FF70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5938C"/>
  <w15:docId w15:val="{0FCAC548-3B14-4871-9D50-FAF9DDAF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sto MT" w:eastAsiaTheme="minorEastAsia" w:hAnsi="Calisto MT" w:cs="Times New Roman"/>
        <w:sz w:val="21"/>
        <w:szCs w:val="21"/>
        <w:lang w:val="en-AU" w:eastAsia="en-AU" w:bidi="ar-SA"/>
      </w:rPr>
    </w:rPrDefault>
    <w:pPrDefault>
      <w:pPr>
        <w:spacing w:before="140" w:line="280" w:lineRule="atLeast"/>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iPriority="0" w:unhideWhenUsed="1"/>
    <w:lsdException w:name="header" w:unhideWhenUsed="1"/>
    <w:lsdException w:name="foot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unhideWhenUsed="1"/>
    <w:lsdException w:name="List Bullet 3" w:uiPriority="2" w:unhideWhenUsed="1"/>
    <w:lsdException w:name="List Bullet 4" w:semiHidden="1" w:unhideWhenUsed="1"/>
    <w:lsdException w:name="List Bullet 5" w:semiHidden="1" w:unhideWhenUsed="1"/>
    <w:lsdException w:name="List Number 2" w:uiPriority="0"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uiPriority="3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lsdException w:name="Intense Emphasis" w:uiPriority="21" w:unhideWhenUsed="1"/>
    <w:lsdException w:name="Subtle Reference" w:uiPriority="31" w:unhideWhenUsed="1"/>
    <w:lsdException w:name="Intense Reference" w:uiPriority="32"/>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D44B3"/>
    <w:pPr>
      <w:spacing w:before="0"/>
    </w:pPr>
  </w:style>
  <w:style w:type="paragraph" w:styleId="Heading1">
    <w:name w:val="heading 1"/>
    <w:basedOn w:val="Normal"/>
    <w:next w:val="BodyText"/>
    <w:link w:val="Heading1Char"/>
    <w:qFormat/>
    <w:rsid w:val="00AD1001"/>
    <w:pPr>
      <w:keepNext/>
      <w:spacing w:after="720" w:line="440" w:lineRule="atLeast"/>
      <w:outlineLvl w:val="0"/>
    </w:pPr>
    <w:rPr>
      <w:rFonts w:asciiTheme="majorHAnsi" w:eastAsia="Times New Roman" w:hAnsiTheme="majorHAnsi"/>
      <w:i/>
      <w:kern w:val="28"/>
      <w:sz w:val="36"/>
      <w:szCs w:val="32"/>
    </w:rPr>
  </w:style>
  <w:style w:type="paragraph" w:styleId="Heading2">
    <w:name w:val="heading 2"/>
    <w:basedOn w:val="Heading1"/>
    <w:next w:val="BodyText"/>
    <w:link w:val="Heading2Char"/>
    <w:qFormat/>
    <w:rsid w:val="00160C29"/>
    <w:pPr>
      <w:numPr>
        <w:ilvl w:val="1"/>
      </w:numPr>
      <w:spacing w:before="560" w:after="0" w:line="340" w:lineRule="atLeast"/>
      <w:outlineLvl w:val="1"/>
    </w:pPr>
    <w:rPr>
      <w:b/>
      <w:color w:val="F61D12" w:themeColor="accent2"/>
      <w:sz w:val="30"/>
      <w:szCs w:val="26"/>
    </w:rPr>
  </w:style>
  <w:style w:type="paragraph" w:styleId="Heading3">
    <w:name w:val="heading 3"/>
    <w:basedOn w:val="Heading2"/>
    <w:next w:val="BodyText"/>
    <w:link w:val="Heading3Char"/>
    <w:qFormat/>
    <w:rsid w:val="00160C29"/>
    <w:pPr>
      <w:numPr>
        <w:ilvl w:val="2"/>
      </w:numPr>
      <w:spacing w:before="440" w:line="280" w:lineRule="atLeast"/>
      <w:outlineLvl w:val="2"/>
    </w:pPr>
    <w:rPr>
      <w:rFonts w:ascii="Calisto MT" w:hAnsi="Calisto MT"/>
      <w:color w:val="auto"/>
      <w:sz w:val="25"/>
      <w:szCs w:val="22"/>
    </w:rPr>
  </w:style>
  <w:style w:type="paragraph" w:styleId="Heading4">
    <w:name w:val="heading 4"/>
    <w:basedOn w:val="Heading3"/>
    <w:next w:val="BodyText"/>
    <w:link w:val="Heading4Char"/>
    <w:qFormat/>
    <w:rsid w:val="00160C29"/>
    <w:pPr>
      <w:numPr>
        <w:ilvl w:val="3"/>
      </w:numPr>
      <w:spacing w:before="400" w:line="260" w:lineRule="atLeast"/>
      <w:outlineLvl w:val="3"/>
    </w:pPr>
    <w:rPr>
      <w:color w:val="6F6652" w:themeColor="text2"/>
      <w:sz w:val="21"/>
    </w:rPr>
  </w:style>
  <w:style w:type="paragraph" w:styleId="Heading5">
    <w:name w:val="heading 5"/>
    <w:basedOn w:val="Heading4"/>
    <w:next w:val="BodyText"/>
    <w:link w:val="Heading5Char"/>
    <w:rsid w:val="00742A5F"/>
    <w:pPr>
      <w:numPr>
        <w:ilvl w:val="4"/>
      </w:numPr>
      <w:outlineLvl w:val="4"/>
    </w:pPr>
    <w:rPr>
      <w:rFonts w:asciiTheme="minorHAnsi" w:hAnsiTheme="minorHAnsi"/>
      <w:b w:val="0"/>
    </w:rPr>
  </w:style>
  <w:style w:type="paragraph" w:styleId="Heading6">
    <w:name w:val="heading 6"/>
    <w:basedOn w:val="Heading1"/>
    <w:next w:val="BodyText"/>
    <w:link w:val="Heading6Char"/>
    <w:qFormat/>
    <w:rsid w:val="00160C29"/>
    <w:pPr>
      <w:numPr>
        <w:ilvl w:val="5"/>
      </w:numPr>
      <w:outlineLvl w:val="5"/>
    </w:pPr>
    <w:rPr>
      <w:bCs/>
    </w:rPr>
  </w:style>
  <w:style w:type="paragraph" w:styleId="Heading7">
    <w:name w:val="heading 7"/>
    <w:basedOn w:val="Heading2"/>
    <w:next w:val="BodyText"/>
    <w:link w:val="Heading7Char"/>
    <w:qFormat/>
    <w:rsid w:val="00182068"/>
    <w:pPr>
      <w:numPr>
        <w:ilvl w:val="6"/>
      </w:numPr>
      <w:outlineLvl w:val="6"/>
    </w:pPr>
    <w:rPr>
      <w:rFonts w:ascii="Calisto MT" w:hAnsi="Calisto MT"/>
    </w:rPr>
  </w:style>
  <w:style w:type="paragraph" w:styleId="Heading8">
    <w:name w:val="heading 8"/>
    <w:basedOn w:val="Heading3"/>
    <w:next w:val="BodyText"/>
    <w:link w:val="Heading8Char"/>
    <w:qFormat/>
    <w:rsid w:val="00160C29"/>
    <w:pPr>
      <w:numPr>
        <w:ilvl w:val="7"/>
      </w:numPr>
      <w:outlineLvl w:val="7"/>
    </w:pPr>
  </w:style>
  <w:style w:type="paragraph" w:styleId="Heading9">
    <w:name w:val="heading 9"/>
    <w:basedOn w:val="Heading4"/>
    <w:next w:val="BodyText"/>
    <w:link w:val="Heading9Char"/>
    <w:qFormat/>
    <w:rsid w:val="00160C29"/>
    <w:pPr>
      <w:numPr>
        <w:ilvl w:val="8"/>
        <w:numId w:val="5"/>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s">
    <w:name w:val="ListBullets"/>
    <w:uiPriority w:val="99"/>
    <w:rsid w:val="00B974A4"/>
    <w:pPr>
      <w:numPr>
        <w:numId w:val="11"/>
      </w:numPr>
    </w:pPr>
  </w:style>
  <w:style w:type="paragraph" w:styleId="ListBullet3">
    <w:name w:val="List Bullet 3"/>
    <w:basedOn w:val="ListBullet2"/>
    <w:uiPriority w:val="2"/>
    <w:rsid w:val="00114298"/>
    <w:pPr>
      <w:numPr>
        <w:ilvl w:val="2"/>
      </w:numPr>
    </w:pPr>
  </w:style>
  <w:style w:type="paragraph" w:styleId="ListNumber">
    <w:name w:val="List Number"/>
    <w:basedOn w:val="BodyText"/>
    <w:uiPriority w:val="2"/>
    <w:qFormat/>
    <w:rsid w:val="00160C29"/>
    <w:pPr>
      <w:numPr>
        <w:numId w:val="31"/>
      </w:numPr>
      <w:spacing w:before="70"/>
    </w:pPr>
  </w:style>
  <w:style w:type="paragraph" w:styleId="ListBullet">
    <w:name w:val="List Bullet"/>
    <w:basedOn w:val="BodyText"/>
    <w:link w:val="ListBulletChar"/>
    <w:uiPriority w:val="2"/>
    <w:qFormat/>
    <w:rsid w:val="00160C29"/>
    <w:pPr>
      <w:numPr>
        <w:numId w:val="11"/>
      </w:numPr>
      <w:spacing w:before="70"/>
    </w:pPr>
  </w:style>
  <w:style w:type="paragraph" w:customStyle="1" w:styleId="Contents">
    <w:name w:val="Contents"/>
    <w:basedOn w:val="Heading1"/>
    <w:next w:val="TOC1"/>
    <w:uiPriority w:val="99"/>
    <w:rsid w:val="005C386A"/>
  </w:style>
  <w:style w:type="paragraph" w:customStyle="1" w:styleId="RecommendationNumber2">
    <w:name w:val="Recommendation Number 2"/>
    <w:basedOn w:val="RecommendationNumber"/>
    <w:uiPriority w:val="28"/>
    <w:rsid w:val="001E2A83"/>
    <w:pPr>
      <w:numPr>
        <w:ilvl w:val="1"/>
      </w:numPr>
    </w:pPr>
  </w:style>
  <w:style w:type="paragraph" w:customStyle="1" w:styleId="RecommendationHeading">
    <w:name w:val="Recommendation Heading"/>
    <w:basedOn w:val="BodyText"/>
    <w:next w:val="RecommendationNumber"/>
    <w:uiPriority w:val="28"/>
    <w:unhideWhenUsed/>
    <w:rsid w:val="00CA364E"/>
    <w:pPr>
      <w:spacing w:before="280"/>
    </w:pPr>
    <w:rPr>
      <w:rFonts w:ascii="Franklin Gothic Demi" w:hAnsi="Franklin Gothic Demi"/>
      <w:caps/>
      <w:color w:val="6F6652" w:themeColor="text2"/>
      <w:spacing w:val="10"/>
    </w:rPr>
  </w:style>
  <w:style w:type="paragraph" w:customStyle="1" w:styleId="Subtitlebox">
    <w:name w:val="Subtitle box"/>
    <w:aliases w:val="chart,table"/>
    <w:basedOn w:val="Caption"/>
    <w:uiPriority w:val="5"/>
    <w:rsid w:val="00425BAF"/>
    <w:pPr>
      <w:spacing w:before="0"/>
    </w:pPr>
    <w:rPr>
      <w:rFonts w:ascii="Franklin Gothic Book" w:hAnsi="Franklin Gothic Book"/>
      <w:sz w:val="17"/>
    </w:rPr>
  </w:style>
  <w:style w:type="paragraph" w:styleId="BodyText">
    <w:name w:val="Body Text"/>
    <w:aliases w:val="bt,Concepto,Body Text - Level 2,Body Text Char2 Char,Body Text Char Char1 Char,Body Text Char1 Char Char Char,Body Text Char Char Char Char Char,Body Text Char1 Char1 Char,Body Text Char Char Char1 Char,Body Text Char2 Char Char Char,t1,Body"/>
    <w:basedOn w:val="Normal"/>
    <w:link w:val="BodyTextChar"/>
    <w:uiPriority w:val="2"/>
    <w:qFormat/>
    <w:rsid w:val="00160C29"/>
    <w:pPr>
      <w:spacing w:before="140"/>
    </w:pPr>
    <w:rPr>
      <w:rFonts w:asciiTheme="minorHAnsi" w:eastAsia="Times New Roman" w:hAnsiTheme="minorHAnsi"/>
    </w:rPr>
  </w:style>
  <w:style w:type="paragraph" w:styleId="ListNumber2">
    <w:name w:val="List Number 2"/>
    <w:basedOn w:val="BodyText"/>
    <w:uiPriority w:val="2"/>
    <w:rsid w:val="00497862"/>
    <w:pPr>
      <w:numPr>
        <w:ilvl w:val="1"/>
        <w:numId w:val="31"/>
      </w:numPr>
      <w:spacing w:before="40"/>
    </w:pPr>
  </w:style>
  <w:style w:type="character" w:customStyle="1" w:styleId="BodyTextChar">
    <w:name w:val="Body Text Char"/>
    <w:aliases w:val="bt Char,Concepto Char,Body Text - Level 2 Char,Body Text Char2 Char Char,Body Text Char Char1 Char Char,Body Text Char1 Char Char Char Char,Body Text Char Char Char Char Char Char,Body Text Char1 Char1 Char Char,t1 Char,Body Char"/>
    <w:link w:val="BodyText"/>
    <w:uiPriority w:val="2"/>
    <w:rsid w:val="00160C29"/>
    <w:rPr>
      <w:rFonts w:asciiTheme="minorHAnsi" w:eastAsia="Times New Roman" w:hAnsiTheme="minorHAnsi"/>
    </w:rPr>
  </w:style>
  <w:style w:type="paragraph" w:styleId="Caption">
    <w:name w:val="caption"/>
    <w:basedOn w:val="BodyText"/>
    <w:next w:val="Subtitlebox"/>
    <w:link w:val="CaptionChar"/>
    <w:uiPriority w:val="99"/>
    <w:unhideWhenUsed/>
    <w:rsid w:val="00160C29"/>
    <w:pPr>
      <w:keepNext/>
      <w:spacing w:before="360" w:after="80" w:line="260" w:lineRule="atLeast"/>
    </w:pPr>
    <w:rPr>
      <w:rFonts w:ascii="Franklin Gothic Demi" w:hAnsi="Franklin Gothic Demi"/>
      <w:szCs w:val="20"/>
    </w:rPr>
  </w:style>
  <w:style w:type="paragraph" w:customStyle="1" w:styleId="BoxHeading1">
    <w:name w:val="Box Heading 1"/>
    <w:basedOn w:val="Heading4"/>
    <w:next w:val="BodyText"/>
    <w:uiPriority w:val="9"/>
    <w:rsid w:val="009D667E"/>
    <w:pPr>
      <w:spacing w:before="240"/>
    </w:pPr>
    <w:rPr>
      <w:rFonts w:ascii="Franklin Gothic Demi" w:hAnsi="Franklin Gothic Demi"/>
      <w:b w:val="0"/>
      <w:i w:val="0"/>
      <w:color w:val="F61D12" w:themeColor="accent2"/>
    </w:rPr>
  </w:style>
  <w:style w:type="paragraph" w:customStyle="1" w:styleId="BoxHeading2">
    <w:name w:val="Box Heading 2"/>
    <w:basedOn w:val="BoxHeading1"/>
    <w:next w:val="BodyText"/>
    <w:uiPriority w:val="9"/>
    <w:rsid w:val="00F21CFB"/>
    <w:pPr>
      <w:spacing w:before="200"/>
    </w:pPr>
    <w:rPr>
      <w:rFonts w:ascii="Franklin Gothic Medium" w:hAnsi="Franklin Gothic Medium"/>
      <w:szCs w:val="20"/>
    </w:rPr>
  </w:style>
  <w:style w:type="paragraph" w:customStyle="1" w:styleId="ChartText">
    <w:name w:val="Chart Text"/>
    <w:basedOn w:val="TableTextEntries"/>
    <w:link w:val="ChartTextChar"/>
    <w:uiPriority w:val="23"/>
    <w:rsid w:val="00D10883"/>
    <w:pPr>
      <w:spacing w:before="0" w:after="0"/>
    </w:pPr>
    <w:rPr>
      <w:rFonts w:ascii="Franklin Gothic Medium" w:hAnsi="Franklin Gothic Medium"/>
    </w:rPr>
  </w:style>
  <w:style w:type="character" w:customStyle="1" w:styleId="ChartTextChar">
    <w:name w:val="Chart Text Char"/>
    <w:link w:val="ChartText"/>
    <w:uiPriority w:val="23"/>
    <w:rsid w:val="00D10883"/>
    <w:rPr>
      <w:rFonts w:ascii="Franklin Gothic Medium" w:eastAsia="Times New Roman" w:hAnsi="Franklin Gothic Medium"/>
      <w:sz w:val="16"/>
      <w:szCs w:val="18"/>
      <w:lang w:eastAsia="en-US"/>
    </w:rPr>
  </w:style>
  <w:style w:type="paragraph" w:customStyle="1" w:styleId="ChartBoldText">
    <w:name w:val="Chart Bold Text"/>
    <w:basedOn w:val="ChartText"/>
    <w:next w:val="ChartText"/>
    <w:uiPriority w:val="23"/>
    <w:rsid w:val="00DA2AB5"/>
    <w:pPr>
      <w:jc w:val="center"/>
    </w:pPr>
    <w:rPr>
      <w:rFonts w:ascii="Franklin Gothic Demi" w:hAnsi="Franklin Gothic Demi"/>
      <w:szCs w:val="17"/>
    </w:rPr>
  </w:style>
  <w:style w:type="paragraph" w:customStyle="1" w:styleId="ChartHighlight">
    <w:name w:val="Chart Highlight"/>
    <w:basedOn w:val="ChartBoldText"/>
    <w:uiPriority w:val="22"/>
    <w:rsid w:val="00DA2AB5"/>
    <w:pPr>
      <w:spacing w:line="220" w:lineRule="atLeast"/>
    </w:pPr>
    <w:rPr>
      <w:caps/>
      <w:sz w:val="20"/>
    </w:rPr>
  </w:style>
  <w:style w:type="paragraph" w:customStyle="1" w:styleId="Client">
    <w:name w:val="Client"/>
    <w:basedOn w:val="BodyText"/>
    <w:uiPriority w:val="32"/>
    <w:rsid w:val="00DA40B0"/>
    <w:pPr>
      <w:spacing w:before="0"/>
    </w:pPr>
    <w:rPr>
      <w:i/>
      <w:sz w:val="25"/>
    </w:rPr>
  </w:style>
  <w:style w:type="character" w:styleId="CommentReference">
    <w:name w:val="annotation reference"/>
    <w:basedOn w:val="BodyTextChar"/>
    <w:uiPriority w:val="49"/>
    <w:semiHidden/>
    <w:rsid w:val="000B2602"/>
    <w:rPr>
      <w:rFonts w:ascii="Franklin Gothic Demi" w:eastAsia="Times New Roman" w:hAnsi="Franklin Gothic Demi" w:cs="Times New Roman"/>
      <w:b w:val="0"/>
      <w:vanish/>
      <w:color w:val="FF00FF"/>
      <w:sz w:val="18"/>
      <w:szCs w:val="16"/>
    </w:rPr>
  </w:style>
  <w:style w:type="paragraph" w:styleId="CommentText">
    <w:name w:val="annotation text"/>
    <w:basedOn w:val="BodyText"/>
    <w:link w:val="CommentTextChar"/>
    <w:uiPriority w:val="49"/>
    <w:semiHidden/>
    <w:rsid w:val="00D83A2B"/>
    <w:pPr>
      <w:spacing w:before="80" w:line="240" w:lineRule="atLeast"/>
    </w:pPr>
    <w:rPr>
      <w:sz w:val="20"/>
      <w:szCs w:val="20"/>
    </w:rPr>
  </w:style>
  <w:style w:type="character" w:customStyle="1" w:styleId="CommentTextChar">
    <w:name w:val="Comment Text Char"/>
    <w:basedOn w:val="DefaultParagraphFont"/>
    <w:link w:val="CommentText"/>
    <w:uiPriority w:val="49"/>
    <w:semiHidden/>
    <w:rsid w:val="00D24560"/>
    <w:rPr>
      <w:rFonts w:asciiTheme="minorHAnsi" w:eastAsia="Times New Roman" w:hAnsiTheme="minorHAnsi"/>
      <w:sz w:val="20"/>
      <w:szCs w:val="20"/>
    </w:rPr>
  </w:style>
  <w:style w:type="numbering" w:customStyle="1" w:styleId="ChartListBullets">
    <w:name w:val="ChartListBullets"/>
    <w:uiPriority w:val="99"/>
    <w:rsid w:val="00CC4851"/>
    <w:pPr>
      <w:numPr>
        <w:numId w:val="3"/>
      </w:numPr>
    </w:pPr>
  </w:style>
  <w:style w:type="paragraph" w:customStyle="1" w:styleId="TableTextEntries">
    <w:name w:val="Table Text Entries"/>
    <w:basedOn w:val="BodyText"/>
    <w:uiPriority w:val="13"/>
    <w:rsid w:val="00BA1241"/>
    <w:pPr>
      <w:keepLines/>
      <w:spacing w:before="80" w:after="80" w:line="200" w:lineRule="atLeast"/>
    </w:pPr>
    <w:rPr>
      <w:rFonts w:ascii="Franklin Gothic Book" w:hAnsi="Franklin Gothic Book"/>
      <w:sz w:val="16"/>
      <w:szCs w:val="18"/>
      <w:lang w:eastAsia="en-US"/>
    </w:rPr>
  </w:style>
  <w:style w:type="paragraph" w:customStyle="1" w:styleId="Note">
    <w:name w:val="Note"/>
    <w:basedOn w:val="TableTextEntries"/>
    <w:next w:val="Source"/>
    <w:link w:val="NoteCharChar"/>
    <w:uiPriority w:val="15"/>
    <w:rsid w:val="008D63BD"/>
    <w:pPr>
      <w:spacing w:before="40" w:after="0" w:line="180" w:lineRule="atLeast"/>
    </w:pPr>
    <w:rPr>
      <w:sz w:val="14"/>
      <w:szCs w:val="16"/>
    </w:rPr>
  </w:style>
  <w:style w:type="character" w:customStyle="1" w:styleId="NoteCharChar">
    <w:name w:val="Note Char Char"/>
    <w:link w:val="Note"/>
    <w:uiPriority w:val="15"/>
    <w:rsid w:val="008D63BD"/>
    <w:rPr>
      <w:rFonts w:ascii="Franklin Gothic Medium" w:eastAsia="Times New Roman" w:hAnsi="Franklin Gothic Medium" w:cs="Times New Roman"/>
      <w:sz w:val="14"/>
      <w:szCs w:val="16"/>
      <w:lang w:eastAsia="en-US"/>
    </w:rPr>
  </w:style>
  <w:style w:type="paragraph" w:customStyle="1" w:styleId="Source">
    <w:name w:val="Source"/>
    <w:basedOn w:val="Note"/>
    <w:next w:val="BodyText"/>
    <w:uiPriority w:val="16"/>
    <w:rsid w:val="008D63BD"/>
    <w:pPr>
      <w:spacing w:after="60"/>
    </w:pPr>
  </w:style>
  <w:style w:type="paragraph" w:customStyle="1" w:styleId="Continued">
    <w:name w:val="Continued"/>
    <w:basedOn w:val="Source"/>
    <w:next w:val="BodyText"/>
    <w:link w:val="ContinuedChar"/>
    <w:uiPriority w:val="17"/>
    <w:rsid w:val="00BA1241"/>
    <w:pPr>
      <w:jc w:val="right"/>
    </w:pPr>
  </w:style>
  <w:style w:type="paragraph" w:styleId="Title">
    <w:name w:val="Title"/>
    <w:basedOn w:val="Normal"/>
    <w:next w:val="Subtitle"/>
    <w:link w:val="TitleChar"/>
    <w:uiPriority w:val="29"/>
    <w:qFormat/>
    <w:rsid w:val="00160C29"/>
    <w:pPr>
      <w:spacing w:line="500" w:lineRule="atLeast"/>
    </w:pPr>
    <w:rPr>
      <w:rFonts w:asciiTheme="majorHAnsi" w:eastAsia="Times New Roman" w:hAnsiTheme="majorHAnsi"/>
      <w:spacing w:val="-2"/>
      <w:kern w:val="28"/>
      <w:sz w:val="44"/>
      <w:szCs w:val="48"/>
    </w:rPr>
  </w:style>
  <w:style w:type="character" w:customStyle="1" w:styleId="TitleChar">
    <w:name w:val="Title Char"/>
    <w:basedOn w:val="DefaultParagraphFont"/>
    <w:link w:val="Title"/>
    <w:uiPriority w:val="29"/>
    <w:rsid w:val="00160C29"/>
    <w:rPr>
      <w:rFonts w:asciiTheme="majorHAnsi" w:eastAsia="Times New Roman" w:hAnsiTheme="majorHAnsi"/>
      <w:spacing w:val="-2"/>
      <w:kern w:val="28"/>
      <w:sz w:val="44"/>
      <w:szCs w:val="48"/>
    </w:rPr>
  </w:style>
  <w:style w:type="paragraph" w:styleId="Subtitle">
    <w:name w:val="Subtitle"/>
    <w:basedOn w:val="Title"/>
    <w:link w:val="SubtitleChar"/>
    <w:uiPriority w:val="30"/>
    <w:qFormat/>
    <w:rsid w:val="00160C29"/>
    <w:pPr>
      <w:spacing w:before="280" w:line="320" w:lineRule="atLeast"/>
    </w:pPr>
    <w:rPr>
      <w:sz w:val="25"/>
      <w:szCs w:val="28"/>
    </w:rPr>
  </w:style>
  <w:style w:type="character" w:customStyle="1" w:styleId="SubtitleChar">
    <w:name w:val="Subtitle Char"/>
    <w:basedOn w:val="DefaultParagraphFont"/>
    <w:link w:val="Subtitle"/>
    <w:uiPriority w:val="30"/>
    <w:rsid w:val="00160C29"/>
    <w:rPr>
      <w:rFonts w:asciiTheme="majorHAnsi" w:eastAsia="Times New Roman" w:hAnsiTheme="majorHAnsi"/>
      <w:spacing w:val="-2"/>
      <w:kern w:val="28"/>
      <w:sz w:val="25"/>
      <w:szCs w:val="28"/>
    </w:rPr>
  </w:style>
  <w:style w:type="paragraph" w:styleId="Date">
    <w:name w:val="Date"/>
    <w:basedOn w:val="Subtitle"/>
    <w:link w:val="DateChar"/>
    <w:uiPriority w:val="33"/>
    <w:rsid w:val="00DA40B0"/>
    <w:pPr>
      <w:spacing w:before="140" w:line="280" w:lineRule="atLeast"/>
    </w:pPr>
    <w:rPr>
      <w:i/>
      <w:color w:val="6F6652" w:themeColor="text2"/>
      <w:spacing w:val="0"/>
    </w:rPr>
  </w:style>
  <w:style w:type="character" w:customStyle="1" w:styleId="DateChar">
    <w:name w:val="Date Char"/>
    <w:basedOn w:val="DefaultParagraphFont"/>
    <w:link w:val="Date"/>
    <w:uiPriority w:val="33"/>
    <w:rsid w:val="001624ED"/>
    <w:rPr>
      <w:rFonts w:asciiTheme="majorHAnsi" w:eastAsia="Times New Roman" w:hAnsiTheme="majorHAnsi"/>
      <w:i/>
      <w:color w:val="6F6652" w:themeColor="text2"/>
      <w:kern w:val="28"/>
      <w:sz w:val="25"/>
      <w:szCs w:val="28"/>
    </w:rPr>
  </w:style>
  <w:style w:type="character" w:customStyle="1" w:styleId="DraftingNote">
    <w:name w:val="Drafting Note"/>
    <w:uiPriority w:val="2"/>
    <w:rsid w:val="00F31AEF"/>
    <w:rPr>
      <w:rFonts w:asciiTheme="minorHAnsi" w:hAnsiTheme="minorHAnsi"/>
      <w:b/>
      <w:color w:val="0070C0"/>
      <w:u w:val="dotted"/>
    </w:rPr>
  </w:style>
  <w:style w:type="paragraph" w:styleId="Footer">
    <w:name w:val="footer"/>
    <w:basedOn w:val="BodyText"/>
    <w:link w:val="FooterChar"/>
    <w:uiPriority w:val="99"/>
    <w:rsid w:val="00B52205"/>
    <w:pPr>
      <w:spacing w:before="0" w:line="200" w:lineRule="atLeast"/>
    </w:pPr>
    <w:rPr>
      <w:i/>
      <w:color w:val="6F6652" w:themeColor="text2"/>
      <w:sz w:val="16"/>
      <w:szCs w:val="14"/>
    </w:rPr>
  </w:style>
  <w:style w:type="character" w:customStyle="1" w:styleId="FooterChar">
    <w:name w:val="Footer Char"/>
    <w:basedOn w:val="DefaultParagraphFont"/>
    <w:link w:val="Footer"/>
    <w:uiPriority w:val="99"/>
    <w:rsid w:val="001624ED"/>
    <w:rPr>
      <w:rFonts w:asciiTheme="minorHAnsi" w:eastAsia="Times New Roman" w:hAnsiTheme="minorHAnsi"/>
      <w:i/>
      <w:color w:val="6F6652" w:themeColor="text2"/>
      <w:sz w:val="16"/>
      <w:szCs w:val="14"/>
    </w:rPr>
  </w:style>
  <w:style w:type="character" w:styleId="FootnoteReference">
    <w:name w:val="footnote reference"/>
    <w:uiPriority w:val="25"/>
    <w:unhideWhenUsed/>
    <w:rsid w:val="008A036A"/>
    <w:rPr>
      <w:rFonts w:ascii="Calisto MT" w:hAnsi="Calisto MT"/>
      <w:b w:val="0"/>
      <w:i w:val="0"/>
      <w:color w:val="auto"/>
      <w:w w:val="100"/>
      <w:position w:val="4"/>
      <w:sz w:val="18"/>
      <w:szCs w:val="21"/>
      <w:vertAlign w:val="baseline"/>
    </w:rPr>
  </w:style>
  <w:style w:type="paragraph" w:styleId="FootnoteText">
    <w:name w:val="footnote text"/>
    <w:basedOn w:val="BodyText"/>
    <w:link w:val="FootnoteTextChar"/>
    <w:uiPriority w:val="25"/>
    <w:unhideWhenUsed/>
    <w:rsid w:val="008A036A"/>
    <w:pPr>
      <w:spacing w:before="80" w:line="240" w:lineRule="atLeast"/>
      <w:ind w:left="284" w:hanging="284"/>
    </w:pPr>
    <w:rPr>
      <w:sz w:val="19"/>
      <w:szCs w:val="18"/>
    </w:rPr>
  </w:style>
  <w:style w:type="character" w:customStyle="1" w:styleId="FootnoteTextChar">
    <w:name w:val="Footnote Text Char"/>
    <w:basedOn w:val="DefaultParagraphFont"/>
    <w:link w:val="FootnoteText"/>
    <w:uiPriority w:val="25"/>
    <w:rsid w:val="002812E4"/>
    <w:rPr>
      <w:rFonts w:asciiTheme="minorHAnsi" w:eastAsia="Times New Roman" w:hAnsiTheme="minorHAnsi"/>
      <w:sz w:val="19"/>
      <w:szCs w:val="18"/>
    </w:rPr>
  </w:style>
  <w:style w:type="paragraph" w:styleId="Header">
    <w:name w:val="header"/>
    <w:basedOn w:val="BodyText"/>
    <w:link w:val="HeaderChar"/>
    <w:uiPriority w:val="99"/>
    <w:rsid w:val="006D44B3"/>
    <w:pPr>
      <w:tabs>
        <w:tab w:val="left" w:pos="-567"/>
        <w:tab w:val="left" w:pos="0"/>
        <w:tab w:val="right" w:pos="7938"/>
        <w:tab w:val="right" w:pos="8505"/>
      </w:tabs>
      <w:spacing w:before="0" w:line="240" w:lineRule="auto"/>
      <w:ind w:left="-2268" w:right="-2268"/>
    </w:pPr>
    <w:rPr>
      <w:rFonts w:ascii="Franklin Gothic Medium" w:hAnsi="Franklin Gothic Medium"/>
      <w:sz w:val="14"/>
      <w:szCs w:val="14"/>
    </w:rPr>
  </w:style>
  <w:style w:type="character" w:customStyle="1" w:styleId="HeaderChar">
    <w:name w:val="Header Char"/>
    <w:basedOn w:val="DefaultParagraphFont"/>
    <w:link w:val="Header"/>
    <w:uiPriority w:val="99"/>
    <w:rsid w:val="006D44B3"/>
    <w:rPr>
      <w:rFonts w:ascii="Franklin Gothic Medium" w:eastAsia="Times New Roman" w:hAnsi="Franklin Gothic Medium"/>
      <w:sz w:val="14"/>
      <w:szCs w:val="14"/>
    </w:rPr>
  </w:style>
  <w:style w:type="character" w:customStyle="1" w:styleId="Heading1Char">
    <w:name w:val="Heading 1 Char"/>
    <w:basedOn w:val="DefaultParagraphFont"/>
    <w:link w:val="Heading1"/>
    <w:rsid w:val="00AD1001"/>
    <w:rPr>
      <w:rFonts w:asciiTheme="majorHAnsi" w:eastAsia="Times New Roman" w:hAnsiTheme="majorHAnsi"/>
      <w:i/>
      <w:kern w:val="28"/>
      <w:sz w:val="36"/>
      <w:szCs w:val="32"/>
    </w:rPr>
  </w:style>
  <w:style w:type="character" w:customStyle="1" w:styleId="Heading2Char">
    <w:name w:val="Heading 2 Char"/>
    <w:basedOn w:val="DefaultParagraphFont"/>
    <w:link w:val="Heading2"/>
    <w:rsid w:val="00160C29"/>
    <w:rPr>
      <w:rFonts w:asciiTheme="majorHAnsi" w:eastAsia="Times New Roman" w:hAnsiTheme="majorHAnsi"/>
      <w:b/>
      <w:i/>
      <w:color w:val="F61D12" w:themeColor="accent2"/>
      <w:kern w:val="28"/>
      <w:sz w:val="30"/>
      <w:szCs w:val="26"/>
    </w:rPr>
  </w:style>
  <w:style w:type="paragraph" w:styleId="ListBullet2">
    <w:name w:val="List Bullet 2"/>
    <w:basedOn w:val="ListBullet"/>
    <w:uiPriority w:val="2"/>
    <w:rsid w:val="004C31EE"/>
    <w:pPr>
      <w:numPr>
        <w:ilvl w:val="1"/>
      </w:numPr>
      <w:spacing w:before="40"/>
      <w:ind w:left="568" w:hanging="284"/>
    </w:pPr>
  </w:style>
  <w:style w:type="character" w:customStyle="1" w:styleId="Heading3Char">
    <w:name w:val="Heading 3 Char"/>
    <w:basedOn w:val="DefaultParagraphFont"/>
    <w:link w:val="Heading3"/>
    <w:rsid w:val="00160C29"/>
    <w:rPr>
      <w:rFonts w:eastAsia="Times New Roman"/>
      <w:b/>
      <w:i/>
      <w:kern w:val="28"/>
      <w:sz w:val="25"/>
      <w:szCs w:val="22"/>
    </w:rPr>
  </w:style>
  <w:style w:type="character" w:customStyle="1" w:styleId="Heading4Char">
    <w:name w:val="Heading 4 Char"/>
    <w:basedOn w:val="DefaultParagraphFont"/>
    <w:link w:val="Heading4"/>
    <w:rsid w:val="00160C29"/>
    <w:rPr>
      <w:rFonts w:eastAsia="Times New Roman"/>
      <w:b/>
      <w:i/>
      <w:color w:val="6F6652" w:themeColor="text2"/>
      <w:kern w:val="28"/>
      <w:szCs w:val="22"/>
    </w:rPr>
  </w:style>
  <w:style w:type="character" w:customStyle="1" w:styleId="Heading5Char">
    <w:name w:val="Heading 5 Char"/>
    <w:basedOn w:val="DefaultParagraphFont"/>
    <w:link w:val="Heading5"/>
    <w:rsid w:val="00742A5F"/>
    <w:rPr>
      <w:rFonts w:asciiTheme="minorHAnsi" w:eastAsia="Times New Roman" w:hAnsiTheme="minorHAnsi"/>
      <w:i/>
      <w:color w:val="6F6652" w:themeColor="text2"/>
      <w:kern w:val="28"/>
      <w:szCs w:val="22"/>
    </w:rPr>
  </w:style>
  <w:style w:type="character" w:customStyle="1" w:styleId="Heading6Char">
    <w:name w:val="Heading 6 Char"/>
    <w:basedOn w:val="DefaultParagraphFont"/>
    <w:link w:val="Heading6"/>
    <w:rsid w:val="00160C29"/>
    <w:rPr>
      <w:rFonts w:asciiTheme="majorHAnsi" w:eastAsia="Times New Roman" w:hAnsiTheme="majorHAnsi"/>
      <w:bCs/>
      <w:i/>
      <w:kern w:val="28"/>
      <w:sz w:val="36"/>
      <w:szCs w:val="32"/>
    </w:rPr>
  </w:style>
  <w:style w:type="character" w:customStyle="1" w:styleId="Heading7Char">
    <w:name w:val="Heading 7 Char"/>
    <w:basedOn w:val="DefaultParagraphFont"/>
    <w:link w:val="Heading7"/>
    <w:rsid w:val="00182068"/>
    <w:rPr>
      <w:rFonts w:eastAsia="Times New Roman"/>
      <w:b/>
      <w:i/>
      <w:color w:val="F61D12" w:themeColor="accent2"/>
      <w:kern w:val="28"/>
      <w:sz w:val="30"/>
      <w:szCs w:val="26"/>
    </w:rPr>
  </w:style>
  <w:style w:type="character" w:customStyle="1" w:styleId="Heading8Char">
    <w:name w:val="Heading 8 Char"/>
    <w:basedOn w:val="DefaultParagraphFont"/>
    <w:link w:val="Heading8"/>
    <w:rsid w:val="00160C29"/>
    <w:rPr>
      <w:rFonts w:eastAsia="Times New Roman"/>
      <w:b/>
      <w:i/>
      <w:kern w:val="28"/>
      <w:sz w:val="25"/>
      <w:szCs w:val="22"/>
    </w:rPr>
  </w:style>
  <w:style w:type="character" w:customStyle="1" w:styleId="Heading9Char">
    <w:name w:val="Heading 9 Char"/>
    <w:basedOn w:val="DefaultParagraphFont"/>
    <w:link w:val="Heading9"/>
    <w:rsid w:val="00160C29"/>
    <w:rPr>
      <w:rFonts w:eastAsia="Times New Roman"/>
      <w:b/>
      <w:i/>
      <w:kern w:val="28"/>
      <w:szCs w:val="22"/>
    </w:rPr>
  </w:style>
  <w:style w:type="character" w:styleId="Hyperlink">
    <w:name w:val="Hyperlink"/>
    <w:uiPriority w:val="99"/>
    <w:semiHidden/>
    <w:rsid w:val="00FE6AD6"/>
    <w:rPr>
      <w:b w:val="0"/>
      <w:i w:val="0"/>
      <w:color w:val="6F6652" w:themeColor="text2"/>
      <w:u w:val="none"/>
    </w:rPr>
  </w:style>
  <w:style w:type="paragraph" w:customStyle="1" w:styleId="Invisiblepara">
    <w:name w:val="Invisible para"/>
    <w:basedOn w:val="Normal"/>
    <w:uiPriority w:val="99"/>
    <w:rsid w:val="00664723"/>
    <w:pPr>
      <w:keepNext/>
      <w:spacing w:before="320" w:line="80" w:lineRule="exact"/>
    </w:pPr>
    <w:rPr>
      <w:rFonts w:eastAsia="Times New Roman"/>
      <w:szCs w:val="20"/>
    </w:rPr>
  </w:style>
  <w:style w:type="character" w:customStyle="1" w:styleId="NoteLabel">
    <w:name w:val="Note Label"/>
    <w:uiPriority w:val="15"/>
    <w:rsid w:val="00E16DBB"/>
    <w:rPr>
      <w:rFonts w:ascii="Franklin Gothic Demi" w:hAnsi="Franklin Gothic Demi"/>
      <w:b w:val="0"/>
      <w:i w:val="0"/>
      <w:color w:val="000000" w:themeColor="text1"/>
      <w:position w:val="4"/>
      <w:sz w:val="14"/>
      <w:szCs w:val="16"/>
    </w:rPr>
  </w:style>
  <w:style w:type="character" w:styleId="PageNumber">
    <w:name w:val="page number"/>
    <w:uiPriority w:val="99"/>
    <w:rsid w:val="00AB00C7"/>
    <w:rPr>
      <w:rFonts w:ascii="Franklin Gothic Demi" w:hAnsi="Franklin Gothic Demi"/>
      <w:b w:val="0"/>
      <w:color w:val="006B7A" w:themeColor="accent1"/>
      <w:sz w:val="20"/>
      <w:szCs w:val="20"/>
    </w:rPr>
  </w:style>
  <w:style w:type="paragraph" w:styleId="Quote">
    <w:name w:val="Quote"/>
    <w:basedOn w:val="BodyText"/>
    <w:next w:val="BodyText"/>
    <w:link w:val="QuoteChar"/>
    <w:uiPriority w:val="3"/>
    <w:qFormat/>
    <w:rsid w:val="00160C29"/>
    <w:pPr>
      <w:spacing w:before="70" w:line="260" w:lineRule="atLeast"/>
      <w:ind w:left="284"/>
    </w:pPr>
    <w:rPr>
      <w:sz w:val="19"/>
      <w:szCs w:val="20"/>
    </w:rPr>
  </w:style>
  <w:style w:type="character" w:customStyle="1" w:styleId="QuoteChar">
    <w:name w:val="Quote Char"/>
    <w:basedOn w:val="DefaultParagraphFont"/>
    <w:link w:val="Quote"/>
    <w:uiPriority w:val="3"/>
    <w:rsid w:val="00160C29"/>
    <w:rPr>
      <w:rFonts w:asciiTheme="minorHAnsi" w:eastAsia="Times New Roman" w:hAnsiTheme="minorHAnsi"/>
      <w:sz w:val="19"/>
      <w:szCs w:val="20"/>
    </w:rPr>
  </w:style>
  <w:style w:type="paragraph" w:customStyle="1" w:styleId="RecommendationNumber">
    <w:name w:val="Recommendation Number"/>
    <w:basedOn w:val="BodyText"/>
    <w:next w:val="RecommendationNumber2"/>
    <w:uiPriority w:val="28"/>
    <w:rsid w:val="002C0234"/>
    <w:pPr>
      <w:numPr>
        <w:numId w:val="10"/>
      </w:numPr>
      <w:spacing w:before="80"/>
    </w:pPr>
    <w:rPr>
      <w:rFonts w:ascii="Franklin Gothic Book" w:eastAsia="MS Mincho" w:hAnsi="Franklin Gothic Book" w:cs="MS Mincho"/>
    </w:rPr>
  </w:style>
  <w:style w:type="paragraph" w:customStyle="1" w:styleId="Reference">
    <w:name w:val="Reference"/>
    <w:basedOn w:val="BodyText"/>
    <w:uiPriority w:val="3"/>
    <w:rsid w:val="00160C29"/>
    <w:pPr>
      <w:spacing w:before="70" w:line="260" w:lineRule="atLeast"/>
      <w:ind w:left="284" w:hanging="284"/>
    </w:pPr>
    <w:rPr>
      <w:sz w:val="19"/>
      <w:szCs w:val="20"/>
    </w:rPr>
  </w:style>
  <w:style w:type="paragraph" w:customStyle="1" w:styleId="Reporttype">
    <w:name w:val="Report type"/>
    <w:basedOn w:val="Date"/>
    <w:next w:val="Title"/>
    <w:uiPriority w:val="31"/>
    <w:rsid w:val="00E86B68"/>
    <w:pPr>
      <w:spacing w:before="0" w:after="280" w:line="260" w:lineRule="atLeast"/>
    </w:pPr>
    <w:rPr>
      <w:rFonts w:ascii="Franklin Gothic Demi" w:hAnsi="Franklin Gothic Demi"/>
      <w:i w:val="0"/>
      <w:caps/>
      <w:color w:val="FF0000"/>
      <w:spacing w:val="44"/>
      <w:sz w:val="22"/>
    </w:rPr>
  </w:style>
  <w:style w:type="paragraph" w:customStyle="1" w:styleId="TableDataEntries">
    <w:name w:val="Table Data Entries"/>
    <w:basedOn w:val="TableTextEntries"/>
    <w:uiPriority w:val="11"/>
    <w:rsid w:val="003C4883"/>
    <w:pPr>
      <w:spacing w:before="40" w:after="40"/>
      <w:jc w:val="right"/>
    </w:pPr>
  </w:style>
  <w:style w:type="paragraph" w:customStyle="1" w:styleId="TableDataColumnHeading">
    <w:name w:val="Table Data Column Heading"/>
    <w:basedOn w:val="TableDataEntries"/>
    <w:uiPriority w:val="11"/>
    <w:rsid w:val="00E879B8"/>
    <w:pPr>
      <w:keepNext/>
      <w:spacing w:before="80" w:after="80"/>
    </w:pPr>
    <w:rPr>
      <w:rFonts w:ascii="Franklin Gothic Demi" w:hAnsi="Franklin Gothic Demi"/>
      <w:color w:val="FFFFFF"/>
    </w:rPr>
  </w:style>
  <w:style w:type="paragraph" w:customStyle="1" w:styleId="TableHeading1">
    <w:name w:val="Table Heading 1"/>
    <w:basedOn w:val="TableTextEntries"/>
    <w:next w:val="TableTextEntries"/>
    <w:uiPriority w:val="10"/>
    <w:rsid w:val="00FC141A"/>
    <w:pPr>
      <w:spacing w:before="140"/>
    </w:pPr>
    <w:rPr>
      <w:rFonts w:ascii="Franklin Gothic Demi" w:hAnsi="Franklin Gothic Demi"/>
      <w:color w:val="6F6652" w:themeColor="text2"/>
    </w:rPr>
  </w:style>
  <w:style w:type="paragraph" w:customStyle="1" w:styleId="TableHeading2">
    <w:name w:val="Table Heading 2"/>
    <w:basedOn w:val="TableHeading1"/>
    <w:next w:val="TableTextEntries"/>
    <w:uiPriority w:val="10"/>
    <w:rsid w:val="00591C8C"/>
    <w:pPr>
      <w:spacing w:before="80"/>
    </w:pPr>
    <w:rPr>
      <w:rFonts w:ascii="Franklin Gothic Medium" w:hAnsi="Franklin Gothic Medium"/>
    </w:rPr>
  </w:style>
  <w:style w:type="paragraph" w:customStyle="1" w:styleId="TableTextColumnHeading">
    <w:name w:val="Table Text Column Heading"/>
    <w:basedOn w:val="TableDataColumnHeading"/>
    <w:uiPriority w:val="13"/>
    <w:rsid w:val="00D950CE"/>
    <w:pPr>
      <w:jc w:val="left"/>
    </w:pPr>
  </w:style>
  <w:style w:type="paragraph" w:customStyle="1" w:styleId="TableUnit">
    <w:name w:val="Table Unit"/>
    <w:basedOn w:val="TableDataColumnHeading"/>
    <w:next w:val="TableDataEntries"/>
    <w:uiPriority w:val="11"/>
    <w:rsid w:val="00AF5770"/>
    <w:rPr>
      <w:rFonts w:ascii="Franklin Gothic Book" w:hAnsi="Franklin Gothic Book"/>
      <w:color w:val="auto"/>
      <w:szCs w:val="17"/>
    </w:rPr>
  </w:style>
  <w:style w:type="paragraph" w:styleId="TOC1">
    <w:name w:val="toc 1"/>
    <w:basedOn w:val="BodyText"/>
    <w:next w:val="TOC2"/>
    <w:uiPriority w:val="39"/>
    <w:rsid w:val="006B34C3"/>
    <w:pPr>
      <w:tabs>
        <w:tab w:val="left" w:pos="340"/>
        <w:tab w:val="right" w:pos="7938"/>
      </w:tabs>
      <w:spacing w:line="260" w:lineRule="atLeast"/>
      <w:ind w:right="567"/>
    </w:pPr>
    <w:rPr>
      <w:rFonts w:ascii="Franklin Gothic Demi" w:hAnsi="Franklin Gothic Demi"/>
      <w:szCs w:val="24"/>
    </w:rPr>
  </w:style>
  <w:style w:type="paragraph" w:styleId="TOC2">
    <w:name w:val="toc 2"/>
    <w:basedOn w:val="TOC1"/>
    <w:uiPriority w:val="39"/>
    <w:rsid w:val="00D908FD"/>
    <w:pPr>
      <w:tabs>
        <w:tab w:val="clear" w:pos="340"/>
      </w:tabs>
      <w:spacing w:before="60"/>
      <w:ind w:left="340"/>
    </w:pPr>
    <w:rPr>
      <w:rFonts w:ascii="Calisto MT" w:hAnsi="Calisto MT"/>
    </w:rPr>
  </w:style>
  <w:style w:type="paragraph" w:styleId="TOC3">
    <w:name w:val="toc 3"/>
    <w:basedOn w:val="TOC2"/>
    <w:next w:val="BodyText"/>
    <w:uiPriority w:val="39"/>
    <w:semiHidden/>
    <w:rsid w:val="00D908FD"/>
    <w:pPr>
      <w:ind w:left="680"/>
    </w:pPr>
  </w:style>
  <w:style w:type="paragraph" w:styleId="TOC6">
    <w:name w:val="toc 6"/>
    <w:basedOn w:val="BodyText"/>
    <w:next w:val="BodyText"/>
    <w:uiPriority w:val="39"/>
    <w:semiHidden/>
    <w:rsid w:val="0052602A"/>
    <w:pPr>
      <w:tabs>
        <w:tab w:val="left" w:pos="284"/>
        <w:tab w:val="right" w:pos="7655"/>
      </w:tabs>
      <w:ind w:left="284" w:right="567" w:hanging="284"/>
    </w:pPr>
  </w:style>
  <w:style w:type="paragraph" w:styleId="TOC7">
    <w:name w:val="toc 7"/>
    <w:basedOn w:val="TOC6"/>
    <w:next w:val="TOC1"/>
    <w:uiPriority w:val="39"/>
    <w:semiHidden/>
    <w:rsid w:val="009C0B20"/>
    <w:pPr>
      <w:tabs>
        <w:tab w:val="left" w:pos="1418"/>
      </w:tabs>
      <w:spacing w:before="80"/>
      <w:ind w:left="709" w:hanging="425"/>
    </w:pPr>
  </w:style>
  <w:style w:type="numbering" w:customStyle="1" w:styleId="HeadingNumbers">
    <w:name w:val="HeadingNumbers"/>
    <w:uiPriority w:val="99"/>
    <w:rsid w:val="00FD7C5A"/>
    <w:pPr>
      <w:numPr>
        <w:numId w:val="5"/>
      </w:numPr>
    </w:pPr>
  </w:style>
  <w:style w:type="paragraph" w:customStyle="1" w:styleId="TableListBullet">
    <w:name w:val="Table List Bullet"/>
    <w:basedOn w:val="TableTextEntries"/>
    <w:uiPriority w:val="14"/>
    <w:rsid w:val="00E35B83"/>
    <w:pPr>
      <w:numPr>
        <w:numId w:val="9"/>
      </w:numPr>
      <w:spacing w:line="210" w:lineRule="atLeast"/>
    </w:pPr>
    <w:rPr>
      <w:szCs w:val="19"/>
    </w:rPr>
  </w:style>
  <w:style w:type="paragraph" w:customStyle="1" w:styleId="TableListBullet2">
    <w:name w:val="Table List Bullet 2"/>
    <w:basedOn w:val="TableListBullet"/>
    <w:uiPriority w:val="14"/>
    <w:rsid w:val="00B402A3"/>
    <w:pPr>
      <w:numPr>
        <w:ilvl w:val="1"/>
      </w:numPr>
    </w:pPr>
  </w:style>
  <w:style w:type="paragraph" w:customStyle="1" w:styleId="TableListNumber">
    <w:name w:val="Table List Number"/>
    <w:basedOn w:val="TableTextEntries"/>
    <w:uiPriority w:val="14"/>
    <w:rsid w:val="00497862"/>
    <w:pPr>
      <w:numPr>
        <w:numId w:val="1"/>
      </w:numPr>
      <w:spacing w:before="40" w:after="40"/>
    </w:pPr>
    <w:rPr>
      <w:szCs w:val="19"/>
    </w:rPr>
  </w:style>
  <w:style w:type="paragraph" w:customStyle="1" w:styleId="TableListNumber2">
    <w:name w:val="Table List Number 2"/>
    <w:basedOn w:val="TableListNumber"/>
    <w:uiPriority w:val="14"/>
    <w:rsid w:val="00B402A3"/>
    <w:pPr>
      <w:numPr>
        <w:ilvl w:val="1"/>
      </w:numPr>
    </w:pPr>
  </w:style>
  <w:style w:type="numbering" w:customStyle="1" w:styleId="TableListBullets">
    <w:name w:val="TableListBullets"/>
    <w:uiPriority w:val="99"/>
    <w:rsid w:val="00E35B83"/>
    <w:pPr>
      <w:numPr>
        <w:numId w:val="2"/>
      </w:numPr>
    </w:pPr>
  </w:style>
  <w:style w:type="numbering" w:customStyle="1" w:styleId="TableListNumbers">
    <w:name w:val="TableListNumbers"/>
    <w:uiPriority w:val="99"/>
    <w:rsid w:val="00497862"/>
    <w:pPr>
      <w:numPr>
        <w:numId w:val="1"/>
      </w:numPr>
    </w:pPr>
  </w:style>
  <w:style w:type="character" w:styleId="PlaceholderText">
    <w:name w:val="Placeholder Text"/>
    <w:basedOn w:val="DefaultParagraphFont"/>
    <w:uiPriority w:val="99"/>
    <w:semiHidden/>
    <w:rsid w:val="00AF4E66"/>
    <w:rPr>
      <w:color w:val="808080"/>
    </w:rPr>
  </w:style>
  <w:style w:type="paragraph" w:customStyle="1" w:styleId="ChartListBullet">
    <w:name w:val="Chart List Bullet"/>
    <w:basedOn w:val="TableListBullet"/>
    <w:uiPriority w:val="24"/>
    <w:rsid w:val="00CC4851"/>
    <w:pPr>
      <w:numPr>
        <w:numId w:val="3"/>
      </w:numPr>
      <w:spacing w:before="50" w:after="0" w:line="200" w:lineRule="atLeast"/>
    </w:pPr>
    <w:rPr>
      <w:rFonts w:ascii="Franklin Gothic Medium" w:hAnsi="Franklin Gothic Medium"/>
      <w:szCs w:val="18"/>
    </w:rPr>
  </w:style>
  <w:style w:type="paragraph" w:customStyle="1" w:styleId="ChartListBullet2">
    <w:name w:val="Chart List Bullet 2"/>
    <w:basedOn w:val="ChartText"/>
    <w:uiPriority w:val="24"/>
    <w:rsid w:val="00CC4851"/>
    <w:pPr>
      <w:numPr>
        <w:ilvl w:val="1"/>
        <w:numId w:val="3"/>
      </w:numPr>
      <w:spacing w:before="30"/>
    </w:pPr>
  </w:style>
  <w:style w:type="paragraph" w:customStyle="1" w:styleId="ChartListNumber0">
    <w:name w:val="Chart List Number"/>
    <w:basedOn w:val="ChartText"/>
    <w:uiPriority w:val="24"/>
    <w:rsid w:val="004563C5"/>
    <w:pPr>
      <w:numPr>
        <w:numId w:val="4"/>
      </w:numPr>
      <w:spacing w:before="60"/>
    </w:pPr>
  </w:style>
  <w:style w:type="numbering" w:customStyle="1" w:styleId="ChartListNumber">
    <w:name w:val="ChartListNumber"/>
    <w:uiPriority w:val="99"/>
    <w:rsid w:val="004563C5"/>
    <w:pPr>
      <w:numPr>
        <w:numId w:val="4"/>
      </w:numPr>
    </w:pPr>
  </w:style>
  <w:style w:type="numbering" w:customStyle="1" w:styleId="RecommendationNumbers">
    <w:name w:val="RecommendationNumbers"/>
    <w:uiPriority w:val="99"/>
    <w:rsid w:val="002C0234"/>
    <w:pPr>
      <w:numPr>
        <w:numId w:val="6"/>
      </w:numPr>
    </w:pPr>
  </w:style>
  <w:style w:type="paragraph" w:customStyle="1" w:styleId="Abbreviation">
    <w:name w:val="Abbreviation"/>
    <w:basedOn w:val="BodyText"/>
    <w:uiPriority w:val="3"/>
    <w:rsid w:val="002321B8"/>
    <w:pPr>
      <w:ind w:left="1134" w:hanging="1134"/>
    </w:pPr>
  </w:style>
  <w:style w:type="paragraph" w:styleId="TableofFigures">
    <w:name w:val="table of figures"/>
    <w:basedOn w:val="BodyText"/>
    <w:next w:val="BodyText"/>
    <w:uiPriority w:val="99"/>
    <w:rsid w:val="00830E27"/>
    <w:pPr>
      <w:tabs>
        <w:tab w:val="left" w:pos="510"/>
        <w:tab w:val="right" w:pos="7938"/>
      </w:tabs>
      <w:spacing w:before="60" w:line="260" w:lineRule="atLeast"/>
      <w:ind w:left="510" w:right="567" w:hanging="510"/>
    </w:pPr>
  </w:style>
  <w:style w:type="table" w:styleId="TableGrid">
    <w:name w:val="Table Grid"/>
    <w:basedOn w:val="TableNormal"/>
    <w:uiPriority w:val="59"/>
    <w:rsid w:val="00C9369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19F1"/>
    <w:rPr>
      <w:color w:val="9B917E" w:themeColor="followedHyperlink"/>
      <w:u w:val="single"/>
    </w:rPr>
  </w:style>
  <w:style w:type="paragraph" w:styleId="NoSpacing">
    <w:name w:val="No Spacing"/>
    <w:basedOn w:val="Normal"/>
    <w:uiPriority w:val="1"/>
    <w:semiHidden/>
    <w:qFormat/>
    <w:rsid w:val="00160C29"/>
    <w:pPr>
      <w:spacing w:line="240" w:lineRule="auto"/>
    </w:pPr>
    <w:rPr>
      <w:rFonts w:asciiTheme="minorHAnsi" w:eastAsiaTheme="minorHAnsi" w:hAnsiTheme="minorHAnsi"/>
      <w:color w:val="000000" w:themeColor="text1"/>
      <w:szCs w:val="20"/>
      <w:lang w:val="en-US" w:eastAsia="ja-JP"/>
    </w:rPr>
  </w:style>
  <w:style w:type="paragraph" w:styleId="CommentSubject">
    <w:name w:val="annotation subject"/>
    <w:basedOn w:val="CommentText"/>
    <w:next w:val="CommentText"/>
    <w:link w:val="CommentSubjectChar"/>
    <w:uiPriority w:val="99"/>
    <w:semiHidden/>
    <w:rsid w:val="00EB66C5"/>
    <w:pPr>
      <w:spacing w:before="0" w:line="240" w:lineRule="auto"/>
    </w:pPr>
    <w:rPr>
      <w:rFonts w:ascii="Calibri" w:eastAsiaTheme="minorEastAsia" w:hAnsi="Calibri" w:cstheme="minorBidi"/>
      <w:b/>
      <w:bCs/>
    </w:rPr>
  </w:style>
  <w:style w:type="character" w:customStyle="1" w:styleId="CommentSubjectChar">
    <w:name w:val="Comment Subject Char"/>
    <w:basedOn w:val="CommentTextChar"/>
    <w:link w:val="CommentSubject"/>
    <w:uiPriority w:val="99"/>
    <w:semiHidden/>
    <w:rsid w:val="002812E4"/>
    <w:rPr>
      <w:rFonts w:ascii="Calibri" w:eastAsia="Times New Roman" w:hAnsi="Calibri" w:cstheme="minorBidi"/>
      <w:b/>
      <w:bCs/>
      <w:sz w:val="20"/>
      <w:szCs w:val="20"/>
    </w:rPr>
  </w:style>
  <w:style w:type="paragraph" w:styleId="Revision">
    <w:name w:val="Revision"/>
    <w:hidden/>
    <w:uiPriority w:val="99"/>
    <w:semiHidden/>
    <w:rsid w:val="00EB66C5"/>
    <w:pPr>
      <w:spacing w:before="0" w:line="240" w:lineRule="auto"/>
    </w:pPr>
  </w:style>
  <w:style w:type="paragraph" w:styleId="BalloonText">
    <w:name w:val="Balloon Text"/>
    <w:basedOn w:val="Normal"/>
    <w:link w:val="BalloonTextChar"/>
    <w:semiHidden/>
    <w:unhideWhenUsed/>
    <w:rsid w:val="00EB66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6C5"/>
    <w:rPr>
      <w:rFonts w:ascii="Tahoma" w:hAnsi="Tahoma" w:cs="Tahoma"/>
      <w:sz w:val="16"/>
      <w:szCs w:val="16"/>
    </w:rPr>
  </w:style>
  <w:style w:type="paragraph" w:customStyle="1" w:styleId="HighlightMessage">
    <w:name w:val="Highlight Message"/>
    <w:basedOn w:val="BodyText"/>
    <w:next w:val="BodyText"/>
    <w:rsid w:val="00814B8B"/>
    <w:pPr>
      <w:keepNext/>
      <w:spacing w:before="360" w:line="260" w:lineRule="atLeast"/>
      <w:ind w:right="1701"/>
    </w:pPr>
    <w:rPr>
      <w:rFonts w:ascii="Franklin Gothic Heavy" w:hAnsi="Franklin Gothic Heavy"/>
      <w:color w:val="F61D12" w:themeColor="accent2"/>
      <w:szCs w:val="16"/>
      <w:lang w:eastAsia="en-US"/>
    </w:rPr>
  </w:style>
  <w:style w:type="paragraph" w:customStyle="1" w:styleId="Chart">
    <w:name w:val="Chart"/>
    <w:basedOn w:val="BodyText"/>
    <w:uiPriority w:val="99"/>
    <w:unhideWhenUsed/>
    <w:rsid w:val="00576C2E"/>
    <w:pPr>
      <w:spacing w:before="0" w:line="200" w:lineRule="atLeast"/>
    </w:pPr>
    <w:rPr>
      <w:lang w:eastAsia="en-US"/>
    </w:rPr>
  </w:style>
  <w:style w:type="paragraph" w:customStyle="1" w:styleId="KeyPoint">
    <w:name w:val="Key Point"/>
    <w:basedOn w:val="BodyText"/>
    <w:uiPriority w:val="1"/>
    <w:rsid w:val="00825668"/>
    <w:pPr>
      <w:numPr>
        <w:numId w:val="13"/>
      </w:numPr>
    </w:pPr>
    <w:rPr>
      <w:rFonts w:ascii="Franklin Gothic Demi" w:hAnsi="Franklin Gothic Demi"/>
      <w:color w:val="6F6652" w:themeColor="text2"/>
      <w:szCs w:val="20"/>
      <w:lang w:eastAsia="en-US"/>
    </w:rPr>
  </w:style>
  <w:style w:type="paragraph" w:customStyle="1" w:styleId="ChapterSummary">
    <w:name w:val="Chapter Summary"/>
    <w:basedOn w:val="KeyPoint"/>
    <w:uiPriority w:val="1"/>
    <w:rsid w:val="00FC141A"/>
    <w:pPr>
      <w:numPr>
        <w:numId w:val="0"/>
      </w:numPr>
    </w:pPr>
  </w:style>
  <w:style w:type="paragraph" w:customStyle="1" w:styleId="ChapterIntroduction">
    <w:name w:val="Chapter Introduction"/>
    <w:basedOn w:val="ChapterSummary"/>
    <w:next w:val="BodyText"/>
    <w:uiPriority w:val="1"/>
    <w:rsid w:val="00A510ED"/>
    <w:pPr>
      <w:pBdr>
        <w:top w:val="single" w:sz="4" w:space="4" w:color="9B917E" w:themeColor="accent4"/>
        <w:bottom w:val="single" w:sz="4" w:space="6" w:color="9B917E" w:themeColor="accent4"/>
      </w:pBdr>
      <w:spacing w:after="180"/>
    </w:pPr>
    <w:rPr>
      <w:rFonts w:asciiTheme="minorHAnsi" w:hAnsiTheme="minorHAnsi"/>
      <w:b/>
      <w:i/>
      <w:color w:val="006B7A" w:themeColor="accent1"/>
      <w:sz w:val="22"/>
    </w:rPr>
  </w:style>
  <w:style w:type="paragraph" w:customStyle="1" w:styleId="Confidential">
    <w:name w:val="Confidential"/>
    <w:basedOn w:val="Reporttype"/>
    <w:uiPriority w:val="31"/>
    <w:rsid w:val="005D3C6B"/>
    <w:pPr>
      <w:spacing w:after="0"/>
    </w:pPr>
    <w:rPr>
      <w:rFonts w:ascii="Franklin Gothic Book" w:hAnsi="Franklin Gothic Book"/>
      <w:color w:val="auto"/>
      <w:spacing w:val="10"/>
    </w:rPr>
  </w:style>
  <w:style w:type="numbering" w:customStyle="1" w:styleId="ListNumbers">
    <w:name w:val="ListNumbers"/>
    <w:next w:val="NoList"/>
    <w:uiPriority w:val="99"/>
    <w:rsid w:val="00497862"/>
    <w:pPr>
      <w:numPr>
        <w:numId w:val="12"/>
      </w:numPr>
    </w:pPr>
  </w:style>
  <w:style w:type="paragraph" w:customStyle="1" w:styleId="PartNumber">
    <w:name w:val="Part Number"/>
    <w:basedOn w:val="Reporttype"/>
    <w:uiPriority w:val="34"/>
    <w:semiHidden/>
    <w:rsid w:val="006E03FF"/>
  </w:style>
  <w:style w:type="paragraph" w:customStyle="1" w:styleId="PartTitle">
    <w:name w:val="Part Title"/>
    <w:basedOn w:val="Title"/>
    <w:link w:val="PartTitleChar"/>
    <w:uiPriority w:val="34"/>
    <w:semiHidden/>
    <w:rsid w:val="00145444"/>
    <w:pPr>
      <w:spacing w:line="440" w:lineRule="atLeast"/>
    </w:pPr>
    <w:rPr>
      <w:sz w:val="36"/>
    </w:rPr>
  </w:style>
  <w:style w:type="character" w:customStyle="1" w:styleId="PartTitleChar">
    <w:name w:val="Part Title Char"/>
    <w:basedOn w:val="TitleChar"/>
    <w:link w:val="PartTitle"/>
    <w:uiPriority w:val="34"/>
    <w:semiHidden/>
    <w:rsid w:val="007B3F04"/>
    <w:rPr>
      <w:rFonts w:asciiTheme="majorHAnsi" w:eastAsia="Times New Roman" w:hAnsiTheme="majorHAnsi"/>
      <w:spacing w:val="-2"/>
      <w:kern w:val="28"/>
      <w:sz w:val="36"/>
      <w:szCs w:val="48"/>
    </w:rPr>
  </w:style>
  <w:style w:type="character" w:customStyle="1" w:styleId="ListBulletChar">
    <w:name w:val="List Bullet Char"/>
    <w:link w:val="ListBullet"/>
    <w:uiPriority w:val="2"/>
    <w:locked/>
    <w:rsid w:val="00160C29"/>
    <w:rPr>
      <w:rFonts w:asciiTheme="minorHAnsi" w:eastAsia="Times New Roman" w:hAnsiTheme="minorHAnsi"/>
    </w:rPr>
  </w:style>
  <w:style w:type="paragraph" w:styleId="TOC4">
    <w:name w:val="toc 4"/>
    <w:basedOn w:val="TOC1"/>
    <w:next w:val="TOC1"/>
    <w:uiPriority w:val="39"/>
    <w:semiHidden/>
    <w:rsid w:val="00D908FD"/>
    <w:pPr>
      <w:spacing w:before="360"/>
      <w:ind w:right="0"/>
    </w:pPr>
    <w:rPr>
      <w:caps/>
      <w:color w:val="9B917E" w:themeColor="accent4"/>
      <w:spacing w:val="10"/>
      <w:sz w:val="22"/>
    </w:rPr>
  </w:style>
  <w:style w:type="paragraph" w:styleId="TOCHeading">
    <w:name w:val="TOC Heading"/>
    <w:basedOn w:val="Heading4"/>
    <w:next w:val="TableofFigures"/>
    <w:uiPriority w:val="39"/>
    <w:semiHidden/>
    <w:rsid w:val="00FC141A"/>
    <w:pPr>
      <w:keepLines/>
      <w:numPr>
        <w:ilvl w:val="0"/>
      </w:numPr>
      <w:outlineLvl w:val="9"/>
    </w:pPr>
    <w:rPr>
      <w:rFonts w:ascii="Franklin Gothic Demi" w:eastAsiaTheme="majorEastAsia" w:hAnsi="Franklin Gothic Demi" w:cstheme="majorBidi"/>
      <w:b w:val="0"/>
      <w:bCs/>
      <w:i w:val="0"/>
      <w:caps/>
      <w:color w:val="006B7A" w:themeColor="accent1"/>
      <w:spacing w:val="10"/>
      <w:sz w:val="22"/>
      <w:szCs w:val="28"/>
    </w:rPr>
  </w:style>
  <w:style w:type="character" w:customStyle="1" w:styleId="ContinuedChar">
    <w:name w:val="Continued Char"/>
    <w:basedOn w:val="DefaultParagraphFont"/>
    <w:link w:val="Continued"/>
    <w:uiPriority w:val="17"/>
    <w:rsid w:val="007A2A3B"/>
    <w:rPr>
      <w:rFonts w:ascii="Franklin Gothic Book" w:eastAsia="Times New Roman" w:hAnsi="Franklin Gothic Book"/>
      <w:sz w:val="14"/>
      <w:szCs w:val="16"/>
      <w:lang w:eastAsia="en-US"/>
    </w:rPr>
  </w:style>
  <w:style w:type="paragraph" w:styleId="ListParagraph">
    <w:name w:val="List Paragraph"/>
    <w:basedOn w:val="Normal"/>
    <w:uiPriority w:val="34"/>
    <w:semiHidden/>
    <w:qFormat/>
    <w:rsid w:val="00160C29"/>
    <w:pPr>
      <w:ind w:left="720"/>
      <w:contextualSpacing/>
    </w:pPr>
  </w:style>
  <w:style w:type="character" w:customStyle="1" w:styleId="CaptionChar">
    <w:name w:val="Caption Char"/>
    <w:basedOn w:val="BodyTextChar"/>
    <w:link w:val="Caption"/>
    <w:uiPriority w:val="99"/>
    <w:rsid w:val="00160C29"/>
    <w:rPr>
      <w:rFonts w:ascii="Franklin Gothic Demi" w:eastAsia="Times New Roman" w:hAnsi="Franklin Gothic Demi"/>
      <w:szCs w:val="20"/>
    </w:rPr>
  </w:style>
  <w:style w:type="paragraph" w:customStyle="1" w:styleId="Summary2">
    <w:name w:val="Summary 2"/>
    <w:basedOn w:val="Heading2"/>
    <w:next w:val="BodyText"/>
    <w:rsid w:val="006544F3"/>
  </w:style>
  <w:style w:type="paragraph" w:customStyle="1" w:styleId="Summary3">
    <w:name w:val="Summary 3"/>
    <w:basedOn w:val="Heading3"/>
    <w:next w:val="BodyText"/>
    <w:rsid w:val="006544F3"/>
  </w:style>
  <w:style w:type="paragraph" w:customStyle="1" w:styleId="Summary4">
    <w:name w:val="Summary 4"/>
    <w:basedOn w:val="Heading4"/>
    <w:next w:val="BodyText"/>
    <w:rsid w:val="006544F3"/>
  </w:style>
  <w:style w:type="paragraph" w:customStyle="1" w:styleId="KeyPoint2">
    <w:name w:val="Key Point 2"/>
    <w:basedOn w:val="KeyPoint"/>
    <w:next w:val="BodyText"/>
    <w:uiPriority w:val="1"/>
    <w:rsid w:val="00825668"/>
    <w:pPr>
      <w:numPr>
        <w:ilvl w:val="1"/>
      </w:numPr>
      <w:spacing w:before="80"/>
    </w:pPr>
  </w:style>
  <w:style w:type="paragraph" w:customStyle="1" w:styleId="KeyPoint3">
    <w:name w:val="Key Point 3"/>
    <w:basedOn w:val="KeyPoint2"/>
    <w:next w:val="BodyText"/>
    <w:uiPriority w:val="1"/>
    <w:rsid w:val="00825668"/>
    <w:pPr>
      <w:numPr>
        <w:ilvl w:val="2"/>
      </w:numPr>
      <w:spacing w:before="60"/>
    </w:pPr>
  </w:style>
  <w:style w:type="numbering" w:customStyle="1" w:styleId="KeyPointBullets">
    <w:name w:val="KeyPointBullets"/>
    <w:basedOn w:val="ListBullets"/>
    <w:uiPriority w:val="99"/>
    <w:rsid w:val="00825668"/>
    <w:pPr>
      <w:numPr>
        <w:numId w:val="13"/>
      </w:numPr>
    </w:pPr>
  </w:style>
  <w:style w:type="numbering" w:customStyle="1" w:styleId="NoteListNumber">
    <w:name w:val="NoteListNumber"/>
    <w:uiPriority w:val="99"/>
    <w:rsid w:val="00E864C1"/>
    <w:pPr>
      <w:numPr>
        <w:numId w:val="14"/>
      </w:numPr>
    </w:pPr>
  </w:style>
  <w:style w:type="paragraph" w:styleId="NormalWeb">
    <w:name w:val="Normal (Web)"/>
    <w:basedOn w:val="Normal"/>
    <w:uiPriority w:val="99"/>
    <w:semiHidden/>
    <w:unhideWhenUsed/>
    <w:rsid w:val="0071617D"/>
    <w:pPr>
      <w:spacing w:before="100" w:beforeAutospacing="1" w:after="100" w:afterAutospacing="1" w:line="240" w:lineRule="auto"/>
    </w:pPr>
    <w:rPr>
      <w:rFonts w:ascii="Times New Roman" w:hAnsi="Times New Roman"/>
      <w:sz w:val="24"/>
      <w:szCs w:val="24"/>
    </w:rPr>
  </w:style>
  <w:style w:type="paragraph" w:customStyle="1" w:styleId="NoteNumber">
    <w:name w:val="Note Number"/>
    <w:basedOn w:val="Note"/>
    <w:uiPriority w:val="15"/>
    <w:rsid w:val="00E6555A"/>
    <w:pPr>
      <w:numPr>
        <w:ilvl w:val="1"/>
        <w:numId w:val="19"/>
      </w:numPr>
    </w:pPr>
    <w:rPr>
      <w:szCs w:val="15"/>
    </w:rPr>
  </w:style>
  <w:style w:type="table" w:customStyle="1" w:styleId="LayoutGrid">
    <w:name w:val="Layout Grid"/>
    <w:basedOn w:val="TableNormal"/>
    <w:uiPriority w:val="99"/>
    <w:rsid w:val="006D44B3"/>
    <w:pPr>
      <w:spacing w:before="0" w:line="240" w:lineRule="auto"/>
    </w:pPr>
    <w:tblPr>
      <w:tblCellMar>
        <w:left w:w="0" w:type="dxa"/>
        <w:right w:w="0" w:type="dxa"/>
      </w:tblCellMar>
    </w:tblPr>
  </w:style>
  <w:style w:type="paragraph" w:customStyle="1" w:styleId="Customtabletitle">
    <w:name w:val="Custom table title"/>
    <w:rsid w:val="005409B7"/>
    <w:pPr>
      <w:keepNext/>
      <w:spacing w:before="360" w:after="80" w:line="260" w:lineRule="atLeast"/>
    </w:pPr>
    <w:rPr>
      <w:rFonts w:ascii="Franklin Gothic Demi" w:eastAsia="Times New Roman" w:hAnsi="Franklin Gothic Demi"/>
      <w:szCs w:val="20"/>
    </w:rPr>
  </w:style>
  <w:style w:type="paragraph" w:customStyle="1" w:styleId="SenderAddress">
    <w:name w:val="Sender Address"/>
    <w:basedOn w:val="BodyText"/>
    <w:rsid w:val="00D4564F"/>
    <w:pPr>
      <w:tabs>
        <w:tab w:val="left" w:pos="1134"/>
      </w:tabs>
      <w:spacing w:before="0" w:after="120" w:line="260" w:lineRule="atLeast"/>
    </w:pPr>
    <w:rPr>
      <w:sz w:val="19"/>
    </w:rPr>
  </w:style>
  <w:style w:type="paragraph" w:customStyle="1" w:styleId="Disclaimer">
    <w:name w:val="Disclaimer"/>
    <w:basedOn w:val="Normal"/>
    <w:rsid w:val="00A838D1"/>
    <w:pPr>
      <w:spacing w:before="140"/>
    </w:pPr>
  </w:style>
  <w:style w:type="paragraph" w:customStyle="1" w:styleId="DisclaimerHeading">
    <w:name w:val="Disclaimer Heading"/>
    <w:basedOn w:val="BodyText"/>
    <w:rsid w:val="00D36422"/>
    <w:pPr>
      <w:spacing w:before="2840"/>
    </w:pPr>
    <w:rPr>
      <w:rFonts w:ascii="Franklin Gothic Demi" w:hAnsi="Franklin Gothic Demi"/>
      <w:caps/>
      <w:spacing w:val="10"/>
      <w:szCs w:val="22"/>
    </w:rPr>
  </w:style>
  <w:style w:type="paragraph" w:customStyle="1" w:styleId="Heading1NotNumbered">
    <w:name w:val="Heading 1 NotNumbered"/>
    <w:basedOn w:val="Heading1"/>
    <w:next w:val="BodyText"/>
    <w:rsid w:val="00801EC2"/>
    <w:rPr>
      <w:lang w:bidi="fa-IR"/>
    </w:rPr>
  </w:style>
  <w:style w:type="paragraph" w:customStyle="1" w:styleId="ShortReportCoverTagline">
    <w:name w:val="ShortReportCoverTagline"/>
    <w:basedOn w:val="BodyText"/>
    <w:rsid w:val="00BE67D2"/>
    <w:pPr>
      <w:spacing w:before="0" w:line="240" w:lineRule="auto"/>
    </w:pPr>
    <w:rPr>
      <w:rFonts w:ascii="Franklin Gothic Medium" w:hAnsi="Franklin Gothic Medium"/>
      <w:caps/>
      <w:color w:val="6F6652" w:themeColor="text2"/>
      <w:spacing w:val="10"/>
      <w:sz w:val="20"/>
    </w:rPr>
  </w:style>
  <w:style w:type="paragraph" w:customStyle="1" w:styleId="ShortReporHeadline">
    <w:name w:val="ShortReporHeadline"/>
    <w:basedOn w:val="Confidential"/>
    <w:rsid w:val="009A444C"/>
    <w:pPr>
      <w:jc w:val="right"/>
    </w:pPr>
    <w:rPr>
      <w:rFonts w:ascii="Franklin Gothic Heavy" w:hAnsi="Franklin Gothic Heavy"/>
    </w:rPr>
  </w:style>
  <w:style w:type="character" w:styleId="UnresolvedMention">
    <w:name w:val="Unresolved Mention"/>
    <w:basedOn w:val="DefaultParagraphFont"/>
    <w:uiPriority w:val="99"/>
    <w:semiHidden/>
    <w:unhideWhenUsed/>
    <w:rsid w:val="00744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7131">
      <w:bodyDiv w:val="1"/>
      <w:marLeft w:val="0"/>
      <w:marRight w:val="0"/>
      <w:marTop w:val="0"/>
      <w:marBottom w:val="0"/>
      <w:divBdr>
        <w:top w:val="none" w:sz="0" w:space="0" w:color="auto"/>
        <w:left w:val="none" w:sz="0" w:space="0" w:color="auto"/>
        <w:bottom w:val="none" w:sz="0" w:space="0" w:color="auto"/>
        <w:right w:val="none" w:sz="0" w:space="0" w:color="auto"/>
      </w:divBdr>
    </w:div>
    <w:div w:id="315961375">
      <w:bodyDiv w:val="1"/>
      <w:marLeft w:val="0"/>
      <w:marRight w:val="0"/>
      <w:marTop w:val="0"/>
      <w:marBottom w:val="0"/>
      <w:divBdr>
        <w:top w:val="none" w:sz="0" w:space="0" w:color="auto"/>
        <w:left w:val="none" w:sz="0" w:space="0" w:color="auto"/>
        <w:bottom w:val="none" w:sz="0" w:space="0" w:color="auto"/>
        <w:right w:val="none" w:sz="0" w:space="0" w:color="auto"/>
      </w:divBdr>
    </w:div>
    <w:div w:id="336422943">
      <w:bodyDiv w:val="1"/>
      <w:marLeft w:val="0"/>
      <w:marRight w:val="0"/>
      <w:marTop w:val="0"/>
      <w:marBottom w:val="0"/>
      <w:divBdr>
        <w:top w:val="none" w:sz="0" w:space="0" w:color="auto"/>
        <w:left w:val="none" w:sz="0" w:space="0" w:color="auto"/>
        <w:bottom w:val="none" w:sz="0" w:space="0" w:color="auto"/>
        <w:right w:val="none" w:sz="0" w:space="0" w:color="auto"/>
      </w:divBdr>
    </w:div>
    <w:div w:id="671490703">
      <w:bodyDiv w:val="1"/>
      <w:marLeft w:val="0"/>
      <w:marRight w:val="0"/>
      <w:marTop w:val="0"/>
      <w:marBottom w:val="0"/>
      <w:divBdr>
        <w:top w:val="none" w:sz="0" w:space="0" w:color="auto"/>
        <w:left w:val="none" w:sz="0" w:space="0" w:color="auto"/>
        <w:bottom w:val="none" w:sz="0" w:space="0" w:color="auto"/>
        <w:right w:val="none" w:sz="0" w:space="0" w:color="auto"/>
      </w:divBdr>
    </w:div>
    <w:div w:id="686180482">
      <w:bodyDiv w:val="1"/>
      <w:marLeft w:val="0"/>
      <w:marRight w:val="0"/>
      <w:marTop w:val="0"/>
      <w:marBottom w:val="0"/>
      <w:divBdr>
        <w:top w:val="none" w:sz="0" w:space="0" w:color="auto"/>
        <w:left w:val="none" w:sz="0" w:space="0" w:color="auto"/>
        <w:bottom w:val="none" w:sz="0" w:space="0" w:color="auto"/>
        <w:right w:val="none" w:sz="0" w:space="0" w:color="auto"/>
      </w:divBdr>
    </w:div>
    <w:div w:id="915242328">
      <w:bodyDiv w:val="1"/>
      <w:marLeft w:val="0"/>
      <w:marRight w:val="0"/>
      <w:marTop w:val="0"/>
      <w:marBottom w:val="0"/>
      <w:divBdr>
        <w:top w:val="none" w:sz="0" w:space="0" w:color="auto"/>
        <w:left w:val="none" w:sz="0" w:space="0" w:color="auto"/>
        <w:bottom w:val="none" w:sz="0" w:space="0" w:color="auto"/>
        <w:right w:val="none" w:sz="0" w:space="0" w:color="auto"/>
      </w:divBdr>
    </w:div>
    <w:div w:id="1139810321">
      <w:bodyDiv w:val="1"/>
      <w:marLeft w:val="0"/>
      <w:marRight w:val="0"/>
      <w:marTop w:val="0"/>
      <w:marBottom w:val="0"/>
      <w:divBdr>
        <w:top w:val="none" w:sz="0" w:space="0" w:color="auto"/>
        <w:left w:val="none" w:sz="0" w:space="0" w:color="auto"/>
        <w:bottom w:val="none" w:sz="0" w:space="0" w:color="auto"/>
        <w:right w:val="none" w:sz="0" w:space="0" w:color="auto"/>
      </w:divBdr>
    </w:div>
    <w:div w:id="1298536351">
      <w:bodyDiv w:val="1"/>
      <w:marLeft w:val="0"/>
      <w:marRight w:val="0"/>
      <w:marTop w:val="0"/>
      <w:marBottom w:val="0"/>
      <w:divBdr>
        <w:top w:val="none" w:sz="0" w:space="0" w:color="auto"/>
        <w:left w:val="none" w:sz="0" w:space="0" w:color="auto"/>
        <w:bottom w:val="none" w:sz="0" w:space="0" w:color="auto"/>
        <w:right w:val="none" w:sz="0" w:space="0" w:color="auto"/>
      </w:divBdr>
    </w:div>
    <w:div w:id="1749889683">
      <w:bodyDiv w:val="1"/>
      <w:marLeft w:val="0"/>
      <w:marRight w:val="0"/>
      <w:marTop w:val="0"/>
      <w:marBottom w:val="0"/>
      <w:divBdr>
        <w:top w:val="none" w:sz="0" w:space="0" w:color="auto"/>
        <w:left w:val="none" w:sz="0" w:space="0" w:color="auto"/>
        <w:bottom w:val="none" w:sz="0" w:space="0" w:color="auto"/>
        <w:right w:val="none" w:sz="0" w:space="0" w:color="auto"/>
      </w:divBdr>
    </w:div>
    <w:div w:id="1948271425">
      <w:bodyDiv w:val="1"/>
      <w:marLeft w:val="0"/>
      <w:marRight w:val="0"/>
      <w:marTop w:val="0"/>
      <w:marBottom w:val="0"/>
      <w:divBdr>
        <w:top w:val="none" w:sz="0" w:space="0" w:color="auto"/>
        <w:left w:val="none" w:sz="0" w:space="0" w:color="auto"/>
        <w:bottom w:val="none" w:sz="0" w:space="0" w:color="auto"/>
        <w:right w:val="none" w:sz="0" w:space="0" w:color="auto"/>
      </w:divBdr>
    </w:div>
    <w:div w:id="195640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sites/default/files/country-sitc-pivot-table-calendar-years.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Pearce\AppData\Roaming\Microsoft\Templates\Report%20CIE%202016.dotm" TargetMode="External"/></Relationships>
</file>

<file path=word/theme/theme1.xml><?xml version="1.0" encoding="utf-8"?>
<a:theme xmlns:a="http://schemas.openxmlformats.org/drawingml/2006/main" name="TheCIE">
  <a:themeElements>
    <a:clrScheme name="TheCIE">
      <a:dk1>
        <a:sysClr val="windowText" lastClr="000000"/>
      </a:dk1>
      <a:lt1>
        <a:sysClr val="window" lastClr="FFFFFF"/>
      </a:lt1>
      <a:dk2>
        <a:srgbClr val="6F6652"/>
      </a:dk2>
      <a:lt2>
        <a:srgbClr val="E9E8E5"/>
      </a:lt2>
      <a:accent1>
        <a:srgbClr val="006B7A"/>
      </a:accent1>
      <a:accent2>
        <a:srgbClr val="F61D12"/>
      </a:accent2>
      <a:accent3>
        <a:srgbClr val="C6BFAB"/>
      </a:accent3>
      <a:accent4>
        <a:srgbClr val="9B917E"/>
      </a:accent4>
      <a:accent5>
        <a:srgbClr val="6F6652"/>
      </a:accent5>
      <a:accent6>
        <a:srgbClr val="9AC2C4"/>
      </a:accent6>
      <a:hlink>
        <a:srgbClr val="6F6652"/>
      </a:hlink>
      <a:folHlink>
        <a:srgbClr val="9B917E"/>
      </a:folHlink>
    </a:clrScheme>
    <a:fontScheme name="TheCIE">
      <a:majorFont>
        <a:latin typeface="Calisto MT"/>
        <a:ea typeface=""/>
        <a:cs typeface=""/>
      </a:majorFont>
      <a:minorFont>
        <a:latin typeface="Calisto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553ead-1a80-496c-9811-84850591db5e">
      <Terms xmlns="http://schemas.microsoft.com/office/infopath/2007/PartnerControls"/>
    </lcf76f155ced4ddcb4097134ff3c332f>
    <TaxCatchAll xmlns="de1d7913-2b48-4fb4-9e5c-239c7c6533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30696-9932-4942-8A76-179EC8BEDDAD}">
  <ds:schemaRefs>
    <ds:schemaRef ds:uri="http://schemas.openxmlformats.org/officeDocument/2006/bibliography"/>
  </ds:schemaRefs>
</ds:datastoreItem>
</file>

<file path=customXml/itemProps2.xml><?xml version="1.0" encoding="utf-8"?>
<ds:datastoreItem xmlns:ds="http://schemas.openxmlformats.org/officeDocument/2006/customXml" ds:itemID="{7A926BB9-CA7B-4388-AE42-FDE678E6F3E1}">
  <ds:schemaRefs>
    <ds:schemaRef ds:uri="http://schemas.microsoft.com/sharepoint/v3/contenttype/forms"/>
  </ds:schemaRefs>
</ds:datastoreItem>
</file>

<file path=customXml/itemProps3.xml><?xml version="1.0" encoding="utf-8"?>
<ds:datastoreItem xmlns:ds="http://schemas.openxmlformats.org/officeDocument/2006/customXml" ds:itemID="{DB9BDAB7-954A-4D2F-B4F8-9BCF31220725}">
  <ds:schemaRefs>
    <ds:schemaRef ds:uri="http://schemas.microsoft.com/office/2006/metadata/properties"/>
    <ds:schemaRef ds:uri="http://schemas.microsoft.com/office/infopath/2007/PartnerControls"/>
    <ds:schemaRef ds:uri="fd553ead-1a80-496c-9811-84850591db5e"/>
    <ds:schemaRef ds:uri="de1d7913-2b48-4fb4-9e5c-239c7c65333c"/>
  </ds:schemaRefs>
</ds:datastoreItem>
</file>

<file path=customXml/itemProps4.xml><?xml version="1.0" encoding="utf-8"?>
<ds:datastoreItem xmlns:ds="http://schemas.openxmlformats.org/officeDocument/2006/customXml" ds:itemID="{72F87EB6-0711-4B94-86D5-C2E7DA92A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CIE 2016.dotm</Template>
  <TotalTime>168</TotalTime>
  <Pages>13</Pages>
  <Words>3955</Words>
  <Characters>20026</Characters>
  <Application>Microsoft Office Word</Application>
  <DocSecurity>0</DocSecurity>
  <Lines>1675</Lines>
  <Paragraphs>1374</Paragraphs>
  <ScaleCrop>false</ScaleCrop>
  <HeadingPairs>
    <vt:vector size="2" baseType="variant">
      <vt:variant>
        <vt:lpstr>Title</vt:lpstr>
      </vt:variant>
      <vt:variant>
        <vt:i4>1</vt:i4>
      </vt:variant>
    </vt:vector>
  </HeadingPairs>
  <TitlesOfParts>
    <vt:vector size="1" baseType="lpstr">
      <vt:lpstr>Report re Australia-UAE free trade agreement</vt:lpstr>
    </vt:vector>
  </TitlesOfParts>
  <Company>The CIE</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 update report on Australia-UAE FTA study August 2024</dc:title>
  <dc:subject/>
  <cp:keywords>[SEC=OFFICIAL]</cp:keywords>
  <dc:description/>
  <cp:lastModifiedBy>Patrick Baggoley</cp:lastModifiedBy>
  <cp:revision>55</cp:revision>
  <cp:lastPrinted>2024-08-31T01:31:00Z</cp:lastPrinted>
  <dcterms:created xsi:type="dcterms:W3CDTF">2024-08-31T16:24:00Z</dcterms:created>
  <dcterms:modified xsi:type="dcterms:W3CDTF">2024-12-13T03:55:00Z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Type">
    <vt:lpwstr>draft</vt:lpwstr>
  </property>
  <property fmtid="{D5CDD505-2E9C-101B-9397-08002B2CF9AE}" pid="3" name="ReportTitle">
    <vt:lpwstr>Australia-UAE free trade agreement</vt:lpwstr>
  </property>
  <property fmtid="{D5CDD505-2E9C-101B-9397-08002B2CF9AE}" pid="4" name="ReportSubtitle">
    <vt:lpwstr>Feasibility analysis update</vt:lpwstr>
  </property>
  <property fmtid="{D5CDD505-2E9C-101B-9397-08002B2CF9AE}" pid="5" name="ReportDate">
    <vt:lpwstr>22 August 2024</vt:lpwstr>
  </property>
  <property fmtid="{D5CDD505-2E9C-101B-9397-08002B2CF9AE}" pid="6" name="PreparedFor">
    <vt:lpwstr>Client Name</vt:lpwstr>
  </property>
  <property fmtid="{D5CDD505-2E9C-101B-9397-08002B2CF9AE}" pid="7" name="ShortReport">
    <vt:lpwstr>Yes</vt:lpwstr>
  </property>
  <property fmtid="{D5CDD505-2E9C-101B-9397-08002B2CF9AE}" pid="8" name="ContentTypeId">
    <vt:lpwstr>0x010100A1DDFAC6AB8B644A99DC8F89F51DDD4D</vt:lpwstr>
  </property>
  <property fmtid="{D5CDD505-2E9C-101B-9397-08002B2CF9AE}" pid="9" name="MediaServiceImageTags">
    <vt:lpwstr/>
  </property>
  <property fmtid="{D5CDD505-2E9C-101B-9397-08002B2CF9AE}" pid="10" name="PM_Namespace">
    <vt:lpwstr>gov.au</vt:lpwstr>
  </property>
  <property fmtid="{D5CDD505-2E9C-101B-9397-08002B2CF9AE}" pid="11" name="PM_Caveats_Count">
    <vt:lpwstr>0</vt:lpwstr>
  </property>
  <property fmtid="{D5CDD505-2E9C-101B-9397-08002B2CF9AE}" pid="12" name="PM_Version">
    <vt:lpwstr>2018.4</vt:lpwstr>
  </property>
  <property fmtid="{D5CDD505-2E9C-101B-9397-08002B2CF9AE}" pid="13" name="PM_Note">
    <vt:lpwstr/>
  </property>
  <property fmtid="{D5CDD505-2E9C-101B-9397-08002B2CF9AE}" pid="14" name="PMHMAC">
    <vt:lpwstr>v=2022.1;a=SHA256;h=86CB154843FC348C029EF7C4636643E3D952043A2EA59D4B19D560BC4C262F32</vt:lpwstr>
  </property>
  <property fmtid="{D5CDD505-2E9C-101B-9397-08002B2CF9AE}" pid="15" name="PM_Qualifier">
    <vt:lpwstr/>
  </property>
  <property fmtid="{D5CDD505-2E9C-101B-9397-08002B2CF9AE}" pid="16" name="PM_SecurityClassification">
    <vt:lpwstr>OFFICIAL</vt:lpwstr>
  </property>
  <property fmtid="{D5CDD505-2E9C-101B-9397-08002B2CF9AE}" pid="17" name="PM_ProtectiveMarkingValue_Header">
    <vt:lpwstr>OFFICIAL</vt:lpwstr>
  </property>
  <property fmtid="{D5CDD505-2E9C-101B-9397-08002B2CF9AE}" pid="18" name="PM_OriginationTimeStamp">
    <vt:lpwstr>2024-08-29T03:31:23Z</vt:lpwstr>
  </property>
  <property fmtid="{D5CDD505-2E9C-101B-9397-08002B2CF9AE}" pid="19" name="PM_Markers">
    <vt:lpwstr/>
  </property>
  <property fmtid="{D5CDD505-2E9C-101B-9397-08002B2CF9AE}" pid="20" name="PM_InsertionValue">
    <vt:lpwstr>OFFICIAL</vt:lpwstr>
  </property>
  <property fmtid="{D5CDD505-2E9C-101B-9397-08002B2CF9AE}" pid="21" name="PM_Originator_Hash_SHA1">
    <vt:lpwstr>E5329D78ADFF18985C404F3A4015F7B7C209C4C5</vt:lpwstr>
  </property>
  <property fmtid="{D5CDD505-2E9C-101B-9397-08002B2CF9AE}" pid="22" name="PM_DisplayValueSecClassificationWithQualifier">
    <vt:lpwstr>OFFICIAL</vt:lpwstr>
  </property>
  <property fmtid="{D5CDD505-2E9C-101B-9397-08002B2CF9AE}" pid="23" name="PM_Originating_FileId">
    <vt:lpwstr>7BC82C5D6D2647B5839272C402C7169B</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ProtectiveMarkingImage_Footer">
    <vt:lpwstr>C:\Program Files (x86)\Common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C427463A240001568B1E728057080C091949066E05DD342FA6B5B9F6FF33F8D6</vt:lpwstr>
  </property>
  <property fmtid="{D5CDD505-2E9C-101B-9397-08002B2CF9AE}" pid="29" name="PM_OriginatorDomainName_SHA256">
    <vt:lpwstr>6F3591835F3B2A8A025B00B5BA6418010DA3A17C9C26EA9C049FFD28039489A2</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_Prev">
    <vt:lpwstr>1C808E62C321DB08A17590CB74A34BA4</vt:lpwstr>
  </property>
  <property fmtid="{D5CDD505-2E9C-101B-9397-08002B2CF9AE}" pid="33" name="PM_Hash_Salt">
    <vt:lpwstr>C88DB889657F38DB5A815C631A199606</vt:lpwstr>
  </property>
  <property fmtid="{D5CDD505-2E9C-101B-9397-08002B2CF9AE}" pid="34" name="PM_Hash_SHA1">
    <vt:lpwstr>575D718486BFFD55BA552012B71F0FF4DC434143</vt:lpwstr>
  </property>
  <property fmtid="{D5CDD505-2E9C-101B-9397-08002B2CF9AE}" pid="35" name="PM_SecurityClassification_Prev">
    <vt:lpwstr>OFFICIAL</vt:lpwstr>
  </property>
  <property fmtid="{D5CDD505-2E9C-101B-9397-08002B2CF9AE}" pid="36" name="PM_Qualifier_Prev">
    <vt:lpwstr/>
  </property>
</Properties>
</file>