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6.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B85" w:rsidRPr="0097484C" w:rsidRDefault="005D5B85" w:rsidP="005D5B85">
      <w:pPr>
        <w:pStyle w:val="Heading6"/>
        <w:pageBreakBefore w:val="0"/>
        <w:framePr w:hSpace="1134" w:wrap="around" w:vAnchor="page" w:hAnchor="page" w:x="97" w:y="2041"/>
        <w:numPr>
          <w:ilvl w:val="0"/>
          <w:numId w:val="0"/>
        </w:numPr>
        <w:spacing w:after="0" w:line="14" w:lineRule="exact"/>
        <w:ind w:left="-1134"/>
        <w:rPr>
          <w:b/>
          <w:i w:val="0"/>
          <w:color w:val="FFFFFF"/>
          <w:sz w:val="14"/>
          <w:szCs w:val="14"/>
        </w:rPr>
      </w:pPr>
    </w:p>
    <w:p w:rsidR="00BC4823" w:rsidRPr="0097484C" w:rsidRDefault="00BC4823" w:rsidP="00BC4823">
      <w:pPr>
        <w:pStyle w:val="Heading6"/>
        <w:pageBreakBefore w:val="0"/>
        <w:framePr w:hSpace="1134" w:wrap="around" w:vAnchor="page" w:hAnchor="page" w:x="97" w:y="3481"/>
        <w:numPr>
          <w:ilvl w:val="0"/>
          <w:numId w:val="0"/>
        </w:numPr>
        <w:spacing w:after="0" w:line="14" w:lineRule="exact"/>
        <w:ind w:left="-1134"/>
        <w:rPr>
          <w:b/>
          <w:i w:val="0"/>
          <w:color w:val="FFFFFF"/>
          <w:sz w:val="14"/>
          <w:szCs w:val="14"/>
        </w:rPr>
      </w:pPr>
    </w:p>
    <w:p w:rsidR="005B7F03" w:rsidRPr="00360168" w:rsidRDefault="005B7F03" w:rsidP="003B3209">
      <w:pPr>
        <w:pStyle w:val="BodyText"/>
        <w:spacing w:before="0" w:line="14" w:lineRule="exact"/>
        <w:ind w:left="-1985"/>
        <w:rPr>
          <w:color w:val="FFFFFF" w:themeColor="background1"/>
        </w:rPr>
      </w:pPr>
      <w:bookmarkStart w:id="0" w:name="_Toc316916906"/>
      <w:r>
        <w:rPr>
          <w:noProof/>
        </w:rPr>
        <w:drawing>
          <wp:anchor distT="0" distB="0" distL="114300" distR="114300" simplePos="0" relativeHeight="251659264" behindDoc="1" locked="0" layoutInCell="0" allowOverlap="1" wp14:anchorId="465F0475" wp14:editId="463AE554">
            <wp:simplePos x="0" y="0"/>
            <wp:positionH relativeFrom="page">
              <wp:posOffset>0</wp:posOffset>
            </wp:positionH>
            <wp:positionV relativeFrom="page">
              <wp:posOffset>0</wp:posOffset>
            </wp:positionV>
            <wp:extent cx="7559675" cy="1069149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no_ima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rsidR="005B7F03" w:rsidRPr="0097484C" w:rsidRDefault="005B7F03" w:rsidP="003B3209">
      <w:pPr>
        <w:pStyle w:val="Heading6"/>
        <w:pageBreakBefore w:val="0"/>
        <w:framePr w:hSpace="1134" w:wrap="around" w:vAnchor="page" w:hAnchor="page" w:x="97" w:y="2041"/>
        <w:numPr>
          <w:ilvl w:val="0"/>
          <w:numId w:val="0"/>
        </w:numPr>
        <w:spacing w:after="0" w:line="14" w:lineRule="exact"/>
        <w:ind w:left="-1134"/>
        <w:rPr>
          <w:b/>
          <w:i w:val="0"/>
          <w:color w:val="FFFFFF"/>
          <w:sz w:val="14"/>
          <w:szCs w:val="14"/>
        </w:rPr>
      </w:pPr>
    </w:p>
    <w:p w:rsidR="005B7F03" w:rsidRDefault="005B7F03" w:rsidP="003B3209">
      <w:pPr>
        <w:pStyle w:val="Confidential"/>
        <w:framePr w:hSpace="181" w:wrap="around" w:vAnchor="page" w:hAnchor="page" w:x="7210" w:y="831"/>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84"/>
        <w:gridCol w:w="2954"/>
      </w:tblGrid>
      <w:tr w:rsidR="005B7F03" w:rsidTr="003B3209">
        <w:trPr>
          <w:cantSplit/>
          <w:trHeight w:val="1968"/>
        </w:trPr>
        <w:tc>
          <w:tcPr>
            <w:tcW w:w="7938" w:type="dxa"/>
            <w:gridSpan w:val="2"/>
          </w:tcPr>
          <w:p w:rsidR="005B7F03" w:rsidRDefault="005B7F03" w:rsidP="003B3209">
            <w:pPr>
              <w:pStyle w:val="BodyText"/>
              <w:spacing w:before="0"/>
            </w:pPr>
          </w:p>
        </w:tc>
      </w:tr>
      <w:tr w:rsidR="005B7F03" w:rsidTr="003B3209">
        <w:trPr>
          <w:cantSplit/>
          <w:trHeight w:val="2988"/>
        </w:trPr>
        <w:tc>
          <w:tcPr>
            <w:tcW w:w="7938" w:type="dxa"/>
            <w:gridSpan w:val="2"/>
          </w:tcPr>
          <w:p w:rsidR="005B7F03" w:rsidRDefault="001C6163" w:rsidP="003B3209">
            <w:pPr>
              <w:pStyle w:val="Reporttype"/>
            </w:pPr>
            <w:r>
              <w:t xml:space="preserve">final </w:t>
            </w:r>
            <w:r w:rsidR="005B7F03">
              <w:t>report</w:t>
            </w:r>
          </w:p>
          <w:p w:rsidR="005B7F03" w:rsidRDefault="005B7F03" w:rsidP="003B3209">
            <w:pPr>
              <w:pStyle w:val="Title"/>
            </w:pPr>
            <w:r>
              <w:t>Australian trade liberalisation</w:t>
            </w:r>
          </w:p>
          <w:p w:rsidR="005B7F03" w:rsidRPr="0089278E" w:rsidRDefault="005B7F03" w:rsidP="00B54D71">
            <w:pPr>
              <w:pStyle w:val="Subtitle"/>
            </w:pPr>
            <w:r>
              <w:t>Analysis of the economic impacts</w:t>
            </w:r>
          </w:p>
        </w:tc>
      </w:tr>
      <w:tr w:rsidR="005B7F03" w:rsidTr="003B3209">
        <w:trPr>
          <w:cantSplit/>
          <w:trHeight w:hRule="exact" w:val="3640"/>
        </w:trPr>
        <w:tc>
          <w:tcPr>
            <w:tcW w:w="4984" w:type="dxa"/>
          </w:tcPr>
          <w:p w:rsidR="005B7F03" w:rsidRDefault="005B7F03" w:rsidP="003B3209">
            <w:pPr>
              <w:pStyle w:val="Chart"/>
            </w:pPr>
          </w:p>
        </w:tc>
        <w:tc>
          <w:tcPr>
            <w:tcW w:w="2954" w:type="dxa"/>
          </w:tcPr>
          <w:p w:rsidR="005B7F03" w:rsidRDefault="005B7F03" w:rsidP="003B3209">
            <w:pPr>
              <w:pStyle w:val="BodyText"/>
            </w:pPr>
          </w:p>
        </w:tc>
      </w:tr>
      <w:tr w:rsidR="005B7F03" w:rsidTr="003B3209">
        <w:trPr>
          <w:cantSplit/>
          <w:trHeight w:val="4224"/>
        </w:trPr>
        <w:tc>
          <w:tcPr>
            <w:tcW w:w="7938" w:type="dxa"/>
            <w:gridSpan w:val="2"/>
          </w:tcPr>
          <w:p w:rsidR="005B7F03" w:rsidRDefault="005B7F03" w:rsidP="003B3209">
            <w:pPr>
              <w:pStyle w:val="Client"/>
              <w:spacing w:before="280"/>
            </w:pPr>
            <w:r w:rsidRPr="001647E4">
              <w:t>Prepared for</w:t>
            </w:r>
          </w:p>
          <w:p w:rsidR="005B7F03" w:rsidRDefault="005B7F03" w:rsidP="003B3209">
            <w:pPr>
              <w:pStyle w:val="Client"/>
            </w:pPr>
            <w:r>
              <w:t>Australian Department of Foreign Affairs and Trade</w:t>
            </w:r>
          </w:p>
          <w:p w:rsidR="005B7F03" w:rsidRPr="009E7DDD" w:rsidRDefault="0025761E" w:rsidP="001D4DF2">
            <w:pPr>
              <w:pStyle w:val="Date"/>
            </w:pPr>
            <w:r>
              <w:t>October</w:t>
            </w:r>
            <w:bookmarkStart w:id="1" w:name="_GoBack"/>
            <w:bookmarkEnd w:id="1"/>
            <w:r w:rsidR="001D4DF2">
              <w:t xml:space="preserve"> 2</w:t>
            </w:r>
            <w:r w:rsidR="005B7F03">
              <w:t>017</w:t>
            </w:r>
          </w:p>
        </w:tc>
      </w:tr>
      <w:tr w:rsidR="005B7F03" w:rsidTr="003B3209">
        <w:trPr>
          <w:cantSplit/>
          <w:trHeight w:val="419"/>
        </w:trPr>
        <w:tc>
          <w:tcPr>
            <w:tcW w:w="7938" w:type="dxa"/>
            <w:gridSpan w:val="2"/>
          </w:tcPr>
          <w:p w:rsidR="005B7F03" w:rsidRPr="00F062BF" w:rsidRDefault="005B7F03" w:rsidP="003B3209">
            <w:pPr>
              <w:pStyle w:val="BodyText"/>
              <w:spacing w:before="0"/>
              <w:rPr>
                <w:rFonts w:ascii="Franklin Gothic Demi" w:hAnsi="Franklin Gothic Demi"/>
                <w:caps/>
                <w:spacing w:val="10"/>
                <w:sz w:val="20"/>
              </w:rPr>
            </w:pPr>
            <w:r w:rsidRPr="00F062BF">
              <w:rPr>
                <w:rFonts w:ascii="Franklin Gothic Demi" w:hAnsi="Franklin Gothic Demi"/>
                <w:caps/>
                <w:spacing w:val="10"/>
                <w:sz w:val="20"/>
              </w:rPr>
              <w:t>The Centre for International Economics</w:t>
            </w:r>
          </w:p>
          <w:p w:rsidR="005B7F03" w:rsidRPr="00DA40B0" w:rsidRDefault="005B7F03" w:rsidP="003B3209">
            <w:pPr>
              <w:pStyle w:val="BodyText"/>
              <w:spacing w:before="0"/>
              <w:rPr>
                <w:i/>
                <w:color w:val="9B917E" w:themeColor="accent4"/>
                <w:spacing w:val="10"/>
                <w:sz w:val="25"/>
              </w:rPr>
            </w:pPr>
            <w:r w:rsidRPr="00DA40B0">
              <w:rPr>
                <w:i/>
                <w:color w:val="9B917E" w:themeColor="accent4"/>
                <w:spacing w:val="10"/>
                <w:sz w:val="25"/>
              </w:rPr>
              <w:t>www.TheCIE.com.au</w:t>
            </w:r>
          </w:p>
        </w:tc>
      </w:tr>
    </w:tbl>
    <w:p w:rsidR="005B7F03" w:rsidRDefault="005B7F03" w:rsidP="003B3209">
      <w:pPr>
        <w:pStyle w:val="BodyText"/>
        <w:spacing w:before="0" w:line="14" w:lineRule="exact"/>
      </w:pPr>
      <w:r>
        <w:rPr>
          <w:noProof/>
        </w:rPr>
        <mc:AlternateContent>
          <mc:Choice Requires="wps">
            <w:drawing>
              <wp:anchor distT="0" distB="0" distL="114300" distR="114300" simplePos="0" relativeHeight="251660288" behindDoc="0" locked="0" layoutInCell="0" allowOverlap="1" wp14:anchorId="0B177D08" wp14:editId="1F2459A6">
                <wp:simplePos x="0" y="0"/>
                <wp:positionH relativeFrom="page">
                  <wp:posOffset>0</wp:posOffset>
                </wp:positionH>
                <wp:positionV relativeFrom="page">
                  <wp:posOffset>10151110</wp:posOffset>
                </wp:positionV>
                <wp:extent cx="7560000" cy="540000"/>
                <wp:effectExtent l="0" t="0" r="3175" b="0"/>
                <wp:wrapNone/>
                <wp:docPr id="12" name="Rectangle 12"/>
                <wp:cNvGraphicFramePr/>
                <a:graphic xmlns:a="http://schemas.openxmlformats.org/drawingml/2006/main">
                  <a:graphicData uri="http://schemas.microsoft.com/office/word/2010/wordprocessingShape">
                    <wps:wsp>
                      <wps:cNvSpPr/>
                      <wps:spPr>
                        <a:xfrm>
                          <a:off x="0" y="0"/>
                          <a:ext cx="7560000" cy="54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C23413" id="Rectangle 12" o:spid="_x0000_s1026" style="position:absolute;margin-left:0;margin-top:799.3pt;width:595.3pt;height: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" o:allowincell="f" fillcolor="white [3212]" stroked="f" strokeweight="2pt">
                <w10:wrap anchorx="page" anchory="page"/>
              </v:rect>
            </w:pict>
          </mc:Fallback>
        </mc:AlternateContent>
      </w:r>
    </w:p>
    <w:p w:rsidR="005B7F03" w:rsidRDefault="005B7F03" w:rsidP="003B3209">
      <w:pPr>
        <w:pStyle w:val="BodyText"/>
        <w:pageBreakBefore/>
        <w:spacing w:before="0"/>
        <w:sectPr w:rsidR="005B7F03" w:rsidSect="003B3209">
          <w:headerReference w:type="even" r:id="rId9"/>
          <w:headerReference w:type="default" r:id="rId10"/>
          <w:footerReference w:type="even" r:id="rId11"/>
          <w:footerReference w:type="default" r:id="rId12"/>
          <w:pgSz w:w="11906" w:h="16838" w:code="9"/>
          <w:pgMar w:top="2268" w:right="1701" w:bottom="851" w:left="1928" w:header="680" w:footer="680" w:gutter="0"/>
          <w:cols w:space="708"/>
          <w:docGrid w:linePitch="360"/>
        </w:sectPr>
      </w:pPr>
    </w:p>
    <w:p w:rsidR="005B7F03" w:rsidRDefault="005B7F03" w:rsidP="003B3209">
      <w:pPr>
        <w:pStyle w:val="BodyText"/>
        <w:pageBreakBefore/>
        <w:spacing w:before="0"/>
      </w:pPr>
      <w:r>
        <w:lastRenderedPageBreak/>
        <w:t>The Centre for International Economics is a private economic research agency that provides professional, independent and timely analysis of international and domestic events and policies.</w:t>
      </w:r>
    </w:p>
    <w:p w:rsidR="005B7F03" w:rsidRDefault="005B7F03" w:rsidP="003B3209">
      <w:pPr>
        <w:pStyle w:val="BodyText"/>
      </w:pPr>
      <w:r>
        <w:t>The CIE’s professional staff arrange, undertake and publish commissioned economic research and analysis for industry, corporations, governments, international agencies and individuals.</w:t>
      </w:r>
    </w:p>
    <w:p w:rsidR="005B7F03" w:rsidRPr="00511766" w:rsidRDefault="005B7F03" w:rsidP="003B3209">
      <w:pPr>
        <w:pStyle w:val="BodyText"/>
        <w:spacing w:before="1200"/>
      </w:pPr>
      <w:r w:rsidRPr="00511766">
        <w:t xml:space="preserve">© Centre for International Economics </w:t>
      </w:r>
      <w:r w:rsidRPr="00511766">
        <w:fldChar w:fldCharType="begin"/>
      </w:r>
      <w:r w:rsidRPr="00511766">
        <w:instrText xml:space="preserve"> SAVEDATE  \@ "yyyy"  \* MERGEFORMAT </w:instrText>
      </w:r>
      <w:r w:rsidRPr="00511766">
        <w:fldChar w:fldCharType="separate"/>
      </w:r>
      <w:r w:rsidR="0025761E">
        <w:rPr>
          <w:noProof/>
        </w:rPr>
        <w:t>2017</w:t>
      </w:r>
      <w:r w:rsidRPr="00511766">
        <w:fldChar w:fldCharType="end"/>
      </w:r>
    </w:p>
    <w:p w:rsidR="005B7F03" w:rsidRPr="00511766" w:rsidRDefault="005B7F03" w:rsidP="003B3209">
      <w:pPr>
        <w:pStyle w:val="BodyText"/>
        <w:spacing w:before="80"/>
      </w:pPr>
      <w:r w:rsidRPr="00511766">
        <w:t>This work is copyright. Individuals, agencies and corporations wishing to reproduce this material should contact the Centre for International Economics at one of the following addresses.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1"/>
        <w:gridCol w:w="4026"/>
      </w:tblGrid>
      <w:tr w:rsidR="00E011C3" w:rsidTr="00E011C3">
        <w:tc>
          <w:tcPr>
            <w:tcW w:w="3911" w:type="dxa"/>
          </w:tcPr>
          <w:p w:rsidR="00E011C3" w:rsidRPr="009E7DDD" w:rsidRDefault="00E011C3" w:rsidP="00E011C3">
            <w:pPr>
              <w:pStyle w:val="BodyText"/>
              <w:spacing w:before="200" w:line="260" w:lineRule="atLeast"/>
              <w:ind w:left="-105"/>
              <w:rPr>
                <w:rFonts w:ascii="Franklin Gothic Demi" w:hAnsi="Franklin Gothic Demi"/>
                <w:caps/>
                <w:color w:val="9B917E" w:themeColor="accent4"/>
                <w:spacing w:val="44"/>
              </w:rPr>
            </w:pPr>
            <w:r w:rsidRPr="009E7DDD">
              <w:rPr>
                <w:rFonts w:ascii="Franklin Gothic Demi" w:hAnsi="Franklin Gothic Demi"/>
                <w:caps/>
                <w:color w:val="9B917E" w:themeColor="accent4"/>
                <w:spacing w:val="44"/>
              </w:rPr>
              <w:t>Canberra</w:t>
            </w:r>
          </w:p>
          <w:p w:rsidR="00E011C3" w:rsidRPr="007248CB" w:rsidRDefault="00E011C3" w:rsidP="00E011C3">
            <w:pPr>
              <w:pStyle w:val="SenderAddress"/>
              <w:ind w:left="-105"/>
            </w:pPr>
            <w:r w:rsidRPr="007248CB">
              <w:t>Centre for International Economics</w:t>
            </w:r>
            <w:r>
              <w:t xml:space="preserve"> </w:t>
            </w:r>
            <w:r>
              <w:br/>
            </w:r>
            <w:r w:rsidRPr="007248CB">
              <w:t>Ground Floor, 11 Lancaster Place</w:t>
            </w:r>
            <w:r>
              <w:t xml:space="preserve"> </w:t>
            </w:r>
            <w:r>
              <w:br/>
            </w:r>
            <w:r w:rsidRPr="007248CB">
              <w:t>Majura Park</w:t>
            </w:r>
          </w:p>
          <w:p w:rsidR="00E011C3" w:rsidRPr="007248CB" w:rsidRDefault="00E011C3" w:rsidP="00E011C3">
            <w:pPr>
              <w:pStyle w:val="SenderAddress"/>
              <w:ind w:left="-105"/>
            </w:pPr>
            <w:r w:rsidRPr="007248CB">
              <w:t>Canberra</w:t>
            </w:r>
            <w:r>
              <w:t> </w:t>
            </w:r>
            <w:r>
              <w:t>ACT</w:t>
            </w:r>
            <w:r>
              <w:t> </w:t>
            </w:r>
            <w:r w:rsidRPr="007248CB">
              <w:t>2609</w:t>
            </w:r>
            <w:r>
              <w:t xml:space="preserve"> </w:t>
            </w:r>
            <w:r>
              <w:br/>
            </w:r>
            <w:r w:rsidRPr="007248CB">
              <w:t>GPO Box 2203</w:t>
            </w:r>
            <w:r>
              <w:t xml:space="preserve"> </w:t>
            </w:r>
            <w:r>
              <w:br/>
            </w:r>
            <w:r w:rsidRPr="007248CB">
              <w:t>Canberra</w:t>
            </w:r>
            <w:r>
              <w:t> </w:t>
            </w:r>
            <w:r w:rsidRPr="007248CB">
              <w:t>ACT</w:t>
            </w:r>
            <w:r>
              <w:t> </w:t>
            </w:r>
            <w:r w:rsidRPr="007248CB">
              <w:t>Australia</w:t>
            </w:r>
            <w:r>
              <w:t> </w:t>
            </w:r>
            <w:r w:rsidRPr="007248CB">
              <w:t>2601</w:t>
            </w:r>
          </w:p>
          <w:p w:rsidR="00E011C3" w:rsidRPr="007248CB" w:rsidRDefault="00E011C3" w:rsidP="00E011C3">
            <w:pPr>
              <w:pStyle w:val="SenderAddress"/>
              <w:ind w:left="-105"/>
            </w:pPr>
            <w:r>
              <w:t>Telephone</w:t>
            </w:r>
            <w:r>
              <w:tab/>
            </w:r>
            <w:r w:rsidRPr="007248CB">
              <w:t>+61 2 6245 7800</w:t>
            </w:r>
            <w:r>
              <w:t xml:space="preserve"> </w:t>
            </w:r>
            <w:r>
              <w:br/>
            </w:r>
            <w:r w:rsidRPr="007248CB">
              <w:t xml:space="preserve">Facsimile </w:t>
            </w:r>
            <w:r>
              <w:tab/>
            </w:r>
            <w:r w:rsidRPr="007248CB">
              <w:t>+61 2 6245 7888</w:t>
            </w:r>
            <w:r>
              <w:t xml:space="preserve"> </w:t>
            </w:r>
            <w:r>
              <w:br/>
            </w:r>
            <w:r w:rsidRPr="007248CB">
              <w:t>Ema</w:t>
            </w:r>
            <w:r>
              <w:t>il</w:t>
            </w:r>
            <w:r>
              <w:tab/>
            </w:r>
            <w:r w:rsidRPr="007248CB">
              <w:t>cie@TheCIE.com.au</w:t>
            </w:r>
          </w:p>
          <w:p w:rsidR="00E011C3" w:rsidRDefault="00E011C3" w:rsidP="00E011C3">
            <w:pPr>
              <w:pStyle w:val="SenderAddress"/>
              <w:ind w:left="-105"/>
              <w:rPr>
                <w:rFonts w:ascii="Franklin Gothic Demi" w:hAnsi="Franklin Gothic Demi"/>
                <w:color w:val="9B917E" w:themeColor="accent4"/>
              </w:rPr>
            </w:pPr>
            <w:r>
              <w:t>Website</w:t>
            </w:r>
            <w:r>
              <w:tab/>
            </w:r>
            <w:r w:rsidRPr="007248CB">
              <w:t>www.TheCIE.com.au</w:t>
            </w:r>
          </w:p>
        </w:tc>
        <w:tc>
          <w:tcPr>
            <w:tcW w:w="4026" w:type="dxa"/>
          </w:tcPr>
          <w:p w:rsidR="00E011C3" w:rsidRPr="009E7DDD" w:rsidRDefault="00E011C3" w:rsidP="00241023">
            <w:pPr>
              <w:pStyle w:val="BodyText"/>
              <w:spacing w:before="200" w:line="260" w:lineRule="atLeast"/>
              <w:rPr>
                <w:rFonts w:ascii="Franklin Gothic Demi" w:hAnsi="Franklin Gothic Demi"/>
                <w:caps/>
                <w:color w:val="9B917E" w:themeColor="accent4"/>
                <w:spacing w:val="44"/>
              </w:rPr>
            </w:pPr>
            <w:r w:rsidRPr="009E7DDD">
              <w:rPr>
                <w:rFonts w:ascii="Franklin Gothic Demi" w:hAnsi="Franklin Gothic Demi"/>
                <w:caps/>
                <w:color w:val="9B917E" w:themeColor="accent4"/>
                <w:spacing w:val="44"/>
              </w:rPr>
              <w:t>Sydney</w:t>
            </w:r>
          </w:p>
          <w:p w:rsidR="00E011C3" w:rsidRDefault="00E011C3" w:rsidP="00241023">
            <w:pPr>
              <w:pStyle w:val="SenderAddress"/>
            </w:pPr>
            <w:r w:rsidRPr="007248CB">
              <w:t>Centre for International Economics</w:t>
            </w:r>
            <w:r>
              <w:t xml:space="preserve"> </w:t>
            </w:r>
            <w:r>
              <w:br/>
            </w:r>
            <w:r w:rsidRPr="007248CB">
              <w:t xml:space="preserve">Suite </w:t>
            </w:r>
            <w:r>
              <w:t>1</w:t>
            </w:r>
            <w:r w:rsidRPr="007248CB">
              <w:t>, Level 16, 1 York Street</w:t>
            </w:r>
            <w:r>
              <w:t xml:space="preserve"> </w:t>
            </w:r>
            <w:r>
              <w:br/>
            </w:r>
            <w:r w:rsidRPr="007248CB">
              <w:t>Sydney</w:t>
            </w:r>
            <w:r w:rsidRPr="007248CB">
              <w:rPr>
                <w:rFonts w:cs="Book Antiqua"/>
              </w:rPr>
              <w:t> </w:t>
            </w:r>
            <w:r w:rsidRPr="007248CB">
              <w:t>NSW 2000</w:t>
            </w:r>
          </w:p>
          <w:p w:rsidR="00E011C3" w:rsidRPr="007248CB" w:rsidRDefault="00E011C3" w:rsidP="00241023">
            <w:pPr>
              <w:pStyle w:val="SenderAddress"/>
            </w:pPr>
            <w:r>
              <w:t>Telephone</w:t>
            </w:r>
            <w:r>
              <w:tab/>
            </w:r>
            <w:r w:rsidRPr="007248CB">
              <w:t>+61 2 9250 0800</w:t>
            </w:r>
            <w:r>
              <w:t xml:space="preserve"> </w:t>
            </w:r>
            <w:r>
              <w:br/>
            </w:r>
            <w:r w:rsidRPr="007248CB">
              <w:t>Email</w:t>
            </w:r>
            <w:r w:rsidRPr="007248CB">
              <w:tab/>
            </w:r>
            <w:hyperlink r:id="rId13" w:history="1">
              <w:r w:rsidRPr="007248CB">
                <w:t>ciesyd@TheCIE.com.au</w:t>
              </w:r>
            </w:hyperlink>
          </w:p>
          <w:p w:rsidR="00E011C3" w:rsidRDefault="00E011C3" w:rsidP="00241023">
            <w:pPr>
              <w:pStyle w:val="SenderAddress"/>
              <w:rPr>
                <w:rFonts w:ascii="Franklin Gothic Demi" w:hAnsi="Franklin Gothic Demi"/>
                <w:color w:val="9B917E" w:themeColor="accent4"/>
              </w:rPr>
            </w:pPr>
            <w:r w:rsidRPr="007248CB">
              <w:t>Website</w:t>
            </w:r>
            <w:r w:rsidRPr="007248CB">
              <w:tab/>
            </w:r>
            <w:hyperlink r:id="rId14" w:history="1">
              <w:r w:rsidRPr="007248CB">
                <w:t>www.TheCIE.com.au</w:t>
              </w:r>
            </w:hyperlink>
          </w:p>
        </w:tc>
      </w:tr>
      <w:tr w:rsidR="00E011C3" w:rsidTr="00E011C3">
        <w:tc>
          <w:tcPr>
            <w:tcW w:w="3911" w:type="dxa"/>
          </w:tcPr>
          <w:p w:rsidR="00E011C3" w:rsidRPr="009E7DDD" w:rsidRDefault="00E011C3" w:rsidP="00E011C3">
            <w:pPr>
              <w:pStyle w:val="BodyText"/>
              <w:spacing w:before="200" w:line="260" w:lineRule="atLeast"/>
              <w:ind w:left="-105"/>
              <w:rPr>
                <w:rFonts w:ascii="Franklin Gothic Demi" w:hAnsi="Franklin Gothic Demi"/>
                <w:caps/>
                <w:color w:val="9B917E" w:themeColor="accent4"/>
                <w:spacing w:val="44"/>
              </w:rPr>
            </w:pPr>
            <w:r w:rsidRPr="001D72A4">
              <w:rPr>
                <w:rFonts w:ascii="Franklin Gothic Demi" w:hAnsi="Franklin Gothic Demi"/>
                <w:caps/>
                <w:color w:val="9B917E" w:themeColor="accent4"/>
                <w:spacing w:val="44"/>
              </w:rPr>
              <w:t>BRISBANE</w:t>
            </w:r>
          </w:p>
          <w:p w:rsidR="00E011C3" w:rsidRPr="007248CB" w:rsidRDefault="00E011C3" w:rsidP="00E011C3">
            <w:pPr>
              <w:pStyle w:val="SenderAddress"/>
              <w:ind w:left="-105"/>
            </w:pPr>
            <w:r w:rsidRPr="007248CB">
              <w:t>Centre for International Economics</w:t>
            </w:r>
            <w:r>
              <w:t xml:space="preserve"> </w:t>
            </w:r>
            <w:r>
              <w:br/>
              <w:t xml:space="preserve">Suite 1, </w:t>
            </w:r>
            <w:r w:rsidRPr="001D72A4">
              <w:t>888 Brunswick Street</w:t>
            </w:r>
            <w:r>
              <w:t xml:space="preserve"> </w:t>
            </w:r>
            <w:r>
              <w:br/>
            </w:r>
            <w:r w:rsidRPr="001D72A4">
              <w:t>New Farm QLD 4005</w:t>
            </w:r>
            <w:r>
              <w:t xml:space="preserve"> </w:t>
            </w:r>
          </w:p>
          <w:p w:rsidR="00E011C3" w:rsidRPr="007248CB" w:rsidRDefault="00E011C3" w:rsidP="00E011C3">
            <w:pPr>
              <w:pStyle w:val="SenderAddress"/>
              <w:ind w:left="-105"/>
            </w:pPr>
            <w:r>
              <w:t>Phone</w:t>
            </w:r>
            <w:r>
              <w:tab/>
            </w:r>
            <w:r w:rsidRPr="001D72A4">
              <w:t>+61 419 040 735</w:t>
            </w:r>
            <w:r>
              <w:t xml:space="preserve"> </w:t>
            </w:r>
            <w:r>
              <w:br/>
            </w:r>
            <w:r w:rsidRPr="007248CB">
              <w:t>Ema</w:t>
            </w:r>
            <w:r>
              <w:t>il</w:t>
            </w:r>
            <w:r>
              <w:tab/>
            </w:r>
            <w:r w:rsidRPr="007248CB">
              <w:t>cie@TheCIE.com.au</w:t>
            </w:r>
          </w:p>
          <w:p w:rsidR="00E011C3" w:rsidRPr="009E7DDD" w:rsidRDefault="00E011C3" w:rsidP="00E011C3">
            <w:pPr>
              <w:pStyle w:val="SenderAddress"/>
              <w:ind w:left="-105"/>
              <w:rPr>
                <w:rFonts w:ascii="Franklin Gothic Demi" w:hAnsi="Franklin Gothic Demi"/>
                <w:caps/>
                <w:color w:val="9B917E" w:themeColor="accent4"/>
                <w:spacing w:val="44"/>
              </w:rPr>
            </w:pPr>
            <w:r>
              <w:t>Website</w:t>
            </w:r>
            <w:r>
              <w:tab/>
            </w:r>
            <w:r w:rsidRPr="007248CB">
              <w:t>www.TheCIE.com.au</w:t>
            </w:r>
          </w:p>
        </w:tc>
        <w:tc>
          <w:tcPr>
            <w:tcW w:w="4026" w:type="dxa"/>
          </w:tcPr>
          <w:p w:rsidR="00E011C3" w:rsidRPr="009E7DDD" w:rsidRDefault="00E011C3" w:rsidP="00241023">
            <w:pPr>
              <w:pStyle w:val="BodyText"/>
              <w:spacing w:before="200" w:line="260" w:lineRule="atLeast"/>
              <w:rPr>
                <w:rFonts w:ascii="Franklin Gothic Demi" w:hAnsi="Franklin Gothic Demi"/>
                <w:caps/>
                <w:color w:val="9B917E" w:themeColor="accent4"/>
                <w:spacing w:val="44"/>
              </w:rPr>
            </w:pPr>
          </w:p>
        </w:tc>
      </w:tr>
    </w:tbl>
    <w:p w:rsidR="00E011C3" w:rsidRPr="00375BA6" w:rsidRDefault="00E011C3" w:rsidP="00E011C3">
      <w:pPr>
        <w:pStyle w:val="DisclaimerHeading"/>
      </w:pPr>
      <w:r w:rsidRPr="00375BA6">
        <w:t>Disclaimer</w:t>
      </w:r>
    </w:p>
    <w:p w:rsidR="005B7F03" w:rsidRDefault="00E011C3" w:rsidP="00E011C3">
      <w:pPr>
        <w:pStyle w:val="BodyText"/>
        <w:tabs>
          <w:tab w:val="left" w:pos="-1077"/>
          <w:tab w:val="left" w:pos="1418"/>
          <w:tab w:val="left" w:pos="2155"/>
        </w:tabs>
        <w:spacing w:before="100"/>
      </w:pPr>
      <w:r>
        <w:t>While the CIE endeavours to provide reliable analysis and believes the material it presents is accurate, it will not be liable for any party acting on such information</w:t>
      </w:r>
      <w:r w:rsidR="005B7F03">
        <w:t>.</w:t>
      </w:r>
    </w:p>
    <w:p w:rsidR="005B7F03" w:rsidRDefault="005B7F03" w:rsidP="003B3209">
      <w:pPr>
        <w:pStyle w:val="Contents"/>
        <w:sectPr w:rsidR="005B7F03" w:rsidSect="003B3209">
          <w:headerReference w:type="even" r:id="rId15"/>
          <w:footerReference w:type="even" r:id="rId16"/>
          <w:pgSz w:w="11906" w:h="16838" w:code="9"/>
          <w:pgMar w:top="2268" w:right="1701" w:bottom="1418" w:left="2268" w:header="680" w:footer="680" w:gutter="0"/>
          <w:cols w:space="708"/>
          <w:docGrid w:linePitch="360"/>
        </w:sectPr>
      </w:pPr>
    </w:p>
    <w:p w:rsidR="005B7F03" w:rsidRDefault="005B7F03" w:rsidP="003B3209">
      <w:pPr>
        <w:pStyle w:val="Contents"/>
      </w:pPr>
      <w:r>
        <w:lastRenderedPageBreak/>
        <w:t>Contents</w:t>
      </w:r>
    </w:p>
    <w:p w:rsidR="00BB4371" w:rsidRDefault="005B7F03">
      <w:pPr>
        <w:pStyle w:val="TOC1"/>
        <w:rPr>
          <w:rFonts w:asciiTheme="minorHAnsi" w:eastAsiaTheme="minorEastAsia" w:hAnsiTheme="minorHAnsi" w:cstheme="minorBidi"/>
          <w:noProof/>
          <w:sz w:val="22"/>
          <w:szCs w:val="22"/>
          <w:lang w:val="en-US" w:eastAsia="en-US"/>
        </w:rPr>
      </w:pPr>
      <w:r w:rsidRPr="00876B40">
        <w:fldChar w:fldCharType="begin"/>
      </w:r>
      <w:r w:rsidRPr="00876B40">
        <w:instrText xml:space="preserve"> TOC \t "Heading 1,1,Heading 2,2,Heading </w:instrText>
      </w:r>
      <w:r>
        <w:instrText>6</w:instrText>
      </w:r>
      <w:r w:rsidRPr="00876B40">
        <w:instrText xml:space="preserve">,1,Part Title,4" </w:instrText>
      </w:r>
      <w:r w:rsidRPr="00876B40">
        <w:fldChar w:fldCharType="separate"/>
      </w:r>
      <w:r w:rsidR="00BB4371">
        <w:rPr>
          <w:noProof/>
        </w:rPr>
        <w:t>Executive summary</w:t>
      </w:r>
      <w:r w:rsidR="00BB4371">
        <w:rPr>
          <w:noProof/>
        </w:rPr>
        <w:tab/>
      </w:r>
      <w:r w:rsidR="00BB4371">
        <w:rPr>
          <w:noProof/>
        </w:rPr>
        <w:fldChar w:fldCharType="begin"/>
      </w:r>
      <w:r w:rsidR="00BB4371">
        <w:rPr>
          <w:noProof/>
        </w:rPr>
        <w:instrText xml:space="preserve"> PAGEREF _Toc494120807 \h </w:instrText>
      </w:r>
      <w:r w:rsidR="00BB4371">
        <w:rPr>
          <w:noProof/>
        </w:rPr>
      </w:r>
      <w:r w:rsidR="00BB4371">
        <w:rPr>
          <w:noProof/>
        </w:rPr>
        <w:fldChar w:fldCharType="separate"/>
      </w:r>
      <w:r w:rsidR="00AB4D5D">
        <w:rPr>
          <w:noProof/>
        </w:rPr>
        <w:t>1</w:t>
      </w:r>
      <w:r w:rsidR="00BB4371">
        <w:rPr>
          <w:noProof/>
        </w:rPr>
        <w:fldChar w:fldCharType="end"/>
      </w:r>
    </w:p>
    <w:p w:rsidR="00BB4371" w:rsidRDefault="00BB4371">
      <w:pPr>
        <w:pStyle w:val="TOC1"/>
        <w:rPr>
          <w:rFonts w:asciiTheme="minorHAnsi" w:eastAsiaTheme="minorEastAsia" w:hAnsiTheme="minorHAnsi" w:cstheme="minorBidi"/>
          <w:noProof/>
          <w:sz w:val="22"/>
          <w:szCs w:val="22"/>
          <w:lang w:val="en-US" w:eastAsia="en-US"/>
        </w:rPr>
      </w:pPr>
      <w:r>
        <w:rPr>
          <w:noProof/>
        </w:rPr>
        <w:t>1</w:t>
      </w:r>
      <w:r>
        <w:rPr>
          <w:rFonts w:asciiTheme="minorHAnsi" w:eastAsiaTheme="minorEastAsia" w:hAnsiTheme="minorHAnsi" w:cstheme="minorBidi"/>
          <w:noProof/>
          <w:sz w:val="22"/>
          <w:szCs w:val="22"/>
          <w:lang w:val="en-US" w:eastAsia="en-US"/>
        </w:rPr>
        <w:tab/>
      </w:r>
      <w:r>
        <w:rPr>
          <w:noProof/>
        </w:rPr>
        <w:t>Australian trade liberalisation</w:t>
      </w:r>
      <w:r>
        <w:rPr>
          <w:noProof/>
        </w:rPr>
        <w:tab/>
      </w:r>
      <w:r>
        <w:rPr>
          <w:noProof/>
        </w:rPr>
        <w:fldChar w:fldCharType="begin"/>
      </w:r>
      <w:r>
        <w:rPr>
          <w:noProof/>
        </w:rPr>
        <w:instrText xml:space="preserve"> PAGEREF _Toc494120808 \h </w:instrText>
      </w:r>
      <w:r>
        <w:rPr>
          <w:noProof/>
        </w:rPr>
      </w:r>
      <w:r>
        <w:rPr>
          <w:noProof/>
        </w:rPr>
        <w:fldChar w:fldCharType="separate"/>
      </w:r>
      <w:r w:rsidR="00AB4D5D">
        <w:rPr>
          <w:noProof/>
        </w:rPr>
        <w:t>3</w:t>
      </w:r>
      <w:r>
        <w:rPr>
          <w:noProof/>
        </w:rPr>
        <w:fldChar w:fldCharType="end"/>
      </w:r>
    </w:p>
    <w:p w:rsidR="00BB4371" w:rsidRDefault="00BB4371">
      <w:pPr>
        <w:pStyle w:val="TOC2"/>
        <w:rPr>
          <w:rFonts w:asciiTheme="minorHAnsi" w:eastAsiaTheme="minorEastAsia" w:hAnsiTheme="minorHAnsi" w:cstheme="minorBidi"/>
          <w:noProof/>
          <w:sz w:val="22"/>
          <w:szCs w:val="22"/>
          <w:lang w:val="en-US" w:eastAsia="en-US"/>
        </w:rPr>
      </w:pPr>
      <w:r>
        <w:rPr>
          <w:noProof/>
        </w:rPr>
        <w:t>Australian merchandise trade liberalisation</w:t>
      </w:r>
      <w:r>
        <w:rPr>
          <w:noProof/>
        </w:rPr>
        <w:tab/>
      </w:r>
      <w:r>
        <w:rPr>
          <w:noProof/>
        </w:rPr>
        <w:fldChar w:fldCharType="begin"/>
      </w:r>
      <w:r>
        <w:rPr>
          <w:noProof/>
        </w:rPr>
        <w:instrText xml:space="preserve"> PAGEREF _Toc494120809 \h </w:instrText>
      </w:r>
      <w:r>
        <w:rPr>
          <w:noProof/>
        </w:rPr>
      </w:r>
      <w:r>
        <w:rPr>
          <w:noProof/>
        </w:rPr>
        <w:fldChar w:fldCharType="separate"/>
      </w:r>
      <w:r w:rsidR="00AB4D5D">
        <w:rPr>
          <w:noProof/>
        </w:rPr>
        <w:t>3</w:t>
      </w:r>
      <w:r>
        <w:rPr>
          <w:noProof/>
        </w:rPr>
        <w:fldChar w:fldCharType="end"/>
      </w:r>
    </w:p>
    <w:p w:rsidR="00BB4371" w:rsidRDefault="00BB4371">
      <w:pPr>
        <w:pStyle w:val="TOC2"/>
        <w:rPr>
          <w:rFonts w:asciiTheme="minorHAnsi" w:eastAsiaTheme="minorEastAsia" w:hAnsiTheme="minorHAnsi" w:cstheme="minorBidi"/>
          <w:noProof/>
          <w:sz w:val="22"/>
          <w:szCs w:val="22"/>
          <w:lang w:val="en-US" w:eastAsia="en-US"/>
        </w:rPr>
      </w:pPr>
      <w:r>
        <w:rPr>
          <w:noProof/>
        </w:rPr>
        <w:t>Liberalisation history</w:t>
      </w:r>
      <w:r>
        <w:rPr>
          <w:noProof/>
        </w:rPr>
        <w:tab/>
      </w:r>
      <w:r>
        <w:rPr>
          <w:noProof/>
        </w:rPr>
        <w:fldChar w:fldCharType="begin"/>
      </w:r>
      <w:r>
        <w:rPr>
          <w:noProof/>
        </w:rPr>
        <w:instrText xml:space="preserve"> PAGEREF _Toc494120810 \h </w:instrText>
      </w:r>
      <w:r>
        <w:rPr>
          <w:noProof/>
        </w:rPr>
      </w:r>
      <w:r>
        <w:rPr>
          <w:noProof/>
        </w:rPr>
        <w:fldChar w:fldCharType="separate"/>
      </w:r>
      <w:r w:rsidR="00AB4D5D">
        <w:rPr>
          <w:noProof/>
        </w:rPr>
        <w:t>5</w:t>
      </w:r>
      <w:r>
        <w:rPr>
          <w:noProof/>
        </w:rPr>
        <w:fldChar w:fldCharType="end"/>
      </w:r>
    </w:p>
    <w:p w:rsidR="00BB4371" w:rsidRDefault="00BB4371">
      <w:pPr>
        <w:pStyle w:val="TOC1"/>
        <w:rPr>
          <w:rFonts w:asciiTheme="minorHAnsi" w:eastAsiaTheme="minorEastAsia" w:hAnsiTheme="minorHAnsi" w:cstheme="minorBidi"/>
          <w:noProof/>
          <w:sz w:val="22"/>
          <w:szCs w:val="22"/>
          <w:lang w:val="en-US" w:eastAsia="en-US"/>
        </w:rPr>
      </w:pPr>
      <w:r>
        <w:rPr>
          <w:noProof/>
        </w:rPr>
        <w:t>2</w:t>
      </w:r>
      <w:r>
        <w:rPr>
          <w:rFonts w:asciiTheme="minorHAnsi" w:eastAsiaTheme="minorEastAsia" w:hAnsiTheme="minorHAnsi" w:cstheme="minorBidi"/>
          <w:noProof/>
          <w:sz w:val="22"/>
          <w:szCs w:val="22"/>
          <w:lang w:val="en-US" w:eastAsia="en-US"/>
        </w:rPr>
        <w:tab/>
      </w:r>
      <w:r>
        <w:rPr>
          <w:noProof/>
        </w:rPr>
        <w:t>International trade and Australian employment</w:t>
      </w:r>
      <w:r>
        <w:rPr>
          <w:noProof/>
        </w:rPr>
        <w:tab/>
      </w:r>
      <w:r>
        <w:rPr>
          <w:noProof/>
        </w:rPr>
        <w:fldChar w:fldCharType="begin"/>
      </w:r>
      <w:r>
        <w:rPr>
          <w:noProof/>
        </w:rPr>
        <w:instrText xml:space="preserve"> PAGEREF _Toc494120811 \h </w:instrText>
      </w:r>
      <w:r>
        <w:rPr>
          <w:noProof/>
        </w:rPr>
      </w:r>
      <w:r>
        <w:rPr>
          <w:noProof/>
        </w:rPr>
        <w:fldChar w:fldCharType="separate"/>
      </w:r>
      <w:r w:rsidR="00AB4D5D">
        <w:rPr>
          <w:noProof/>
        </w:rPr>
        <w:t>8</w:t>
      </w:r>
      <w:r>
        <w:rPr>
          <w:noProof/>
        </w:rPr>
        <w:fldChar w:fldCharType="end"/>
      </w:r>
    </w:p>
    <w:p w:rsidR="00BB4371" w:rsidRDefault="00BB4371">
      <w:pPr>
        <w:pStyle w:val="TOC2"/>
        <w:rPr>
          <w:rFonts w:asciiTheme="minorHAnsi" w:eastAsiaTheme="minorEastAsia" w:hAnsiTheme="minorHAnsi" w:cstheme="minorBidi"/>
          <w:noProof/>
          <w:sz w:val="22"/>
          <w:szCs w:val="22"/>
          <w:lang w:val="en-US" w:eastAsia="en-US"/>
        </w:rPr>
      </w:pPr>
      <w:r>
        <w:rPr>
          <w:noProof/>
        </w:rPr>
        <w:t>Trade-related employment</w:t>
      </w:r>
      <w:r>
        <w:rPr>
          <w:noProof/>
        </w:rPr>
        <w:tab/>
      </w:r>
      <w:r>
        <w:rPr>
          <w:noProof/>
        </w:rPr>
        <w:fldChar w:fldCharType="begin"/>
      </w:r>
      <w:r>
        <w:rPr>
          <w:noProof/>
        </w:rPr>
        <w:instrText xml:space="preserve"> PAGEREF _Toc494120812 \h </w:instrText>
      </w:r>
      <w:r>
        <w:rPr>
          <w:noProof/>
        </w:rPr>
      </w:r>
      <w:r>
        <w:rPr>
          <w:noProof/>
        </w:rPr>
        <w:fldChar w:fldCharType="separate"/>
      </w:r>
      <w:r w:rsidR="00AB4D5D">
        <w:rPr>
          <w:noProof/>
        </w:rPr>
        <w:t>8</w:t>
      </w:r>
      <w:r>
        <w:rPr>
          <w:noProof/>
        </w:rPr>
        <w:fldChar w:fldCharType="end"/>
      </w:r>
    </w:p>
    <w:p w:rsidR="00BB4371" w:rsidRDefault="00BB4371">
      <w:pPr>
        <w:pStyle w:val="TOC1"/>
        <w:rPr>
          <w:rFonts w:asciiTheme="minorHAnsi" w:eastAsiaTheme="minorEastAsia" w:hAnsiTheme="minorHAnsi" w:cstheme="minorBidi"/>
          <w:noProof/>
          <w:sz w:val="22"/>
          <w:szCs w:val="22"/>
          <w:lang w:val="en-US" w:eastAsia="en-US"/>
        </w:rPr>
      </w:pPr>
      <w:r>
        <w:rPr>
          <w:noProof/>
        </w:rPr>
        <w:t>3</w:t>
      </w:r>
      <w:r>
        <w:rPr>
          <w:rFonts w:asciiTheme="minorHAnsi" w:eastAsiaTheme="minorEastAsia" w:hAnsiTheme="minorHAnsi" w:cstheme="minorBidi"/>
          <w:noProof/>
          <w:sz w:val="22"/>
          <w:szCs w:val="22"/>
          <w:lang w:val="en-US" w:eastAsia="en-US"/>
        </w:rPr>
        <w:tab/>
      </w:r>
      <w:r>
        <w:rPr>
          <w:noProof/>
        </w:rPr>
        <w:t>Modelling the effects of Australian merchandise trade liberalisation</w:t>
      </w:r>
      <w:r>
        <w:rPr>
          <w:noProof/>
        </w:rPr>
        <w:tab/>
      </w:r>
      <w:r>
        <w:rPr>
          <w:noProof/>
        </w:rPr>
        <w:fldChar w:fldCharType="begin"/>
      </w:r>
      <w:r>
        <w:rPr>
          <w:noProof/>
        </w:rPr>
        <w:instrText xml:space="preserve"> PAGEREF _Toc494120813 \h </w:instrText>
      </w:r>
      <w:r>
        <w:rPr>
          <w:noProof/>
        </w:rPr>
      </w:r>
      <w:r>
        <w:rPr>
          <w:noProof/>
        </w:rPr>
        <w:fldChar w:fldCharType="separate"/>
      </w:r>
      <w:r w:rsidR="00AB4D5D">
        <w:rPr>
          <w:noProof/>
        </w:rPr>
        <w:t>11</w:t>
      </w:r>
      <w:r>
        <w:rPr>
          <w:noProof/>
        </w:rPr>
        <w:fldChar w:fldCharType="end"/>
      </w:r>
    </w:p>
    <w:p w:rsidR="00BB4371" w:rsidRDefault="00BB4371">
      <w:pPr>
        <w:pStyle w:val="TOC2"/>
        <w:rPr>
          <w:rFonts w:asciiTheme="minorHAnsi" w:eastAsiaTheme="minorEastAsia" w:hAnsiTheme="minorHAnsi" w:cstheme="minorBidi"/>
          <w:noProof/>
          <w:sz w:val="22"/>
          <w:szCs w:val="22"/>
          <w:lang w:val="en-US" w:eastAsia="en-US"/>
        </w:rPr>
      </w:pPr>
      <w:r>
        <w:rPr>
          <w:noProof/>
        </w:rPr>
        <w:t>Economic modelling results</w:t>
      </w:r>
      <w:r>
        <w:rPr>
          <w:noProof/>
        </w:rPr>
        <w:tab/>
      </w:r>
      <w:r>
        <w:rPr>
          <w:noProof/>
        </w:rPr>
        <w:fldChar w:fldCharType="begin"/>
      </w:r>
      <w:r>
        <w:rPr>
          <w:noProof/>
        </w:rPr>
        <w:instrText xml:space="preserve"> PAGEREF _Toc494120814 \h </w:instrText>
      </w:r>
      <w:r>
        <w:rPr>
          <w:noProof/>
        </w:rPr>
      </w:r>
      <w:r>
        <w:rPr>
          <w:noProof/>
        </w:rPr>
        <w:fldChar w:fldCharType="separate"/>
      </w:r>
      <w:r w:rsidR="00AB4D5D">
        <w:rPr>
          <w:noProof/>
        </w:rPr>
        <w:t>13</w:t>
      </w:r>
      <w:r>
        <w:rPr>
          <w:noProof/>
        </w:rPr>
        <w:fldChar w:fldCharType="end"/>
      </w:r>
    </w:p>
    <w:p w:rsidR="00BB4371" w:rsidRDefault="00BB4371" w:rsidP="00BB4371">
      <w:pPr>
        <w:pStyle w:val="TOC1"/>
        <w:ind w:left="340" w:hanging="340"/>
        <w:rPr>
          <w:rFonts w:asciiTheme="minorHAnsi" w:eastAsiaTheme="minorEastAsia" w:hAnsiTheme="minorHAnsi" w:cstheme="minorBidi"/>
          <w:noProof/>
          <w:sz w:val="22"/>
          <w:szCs w:val="22"/>
          <w:lang w:val="en-US" w:eastAsia="en-US"/>
        </w:rPr>
      </w:pPr>
      <w:r>
        <w:rPr>
          <w:noProof/>
        </w:rPr>
        <w:t>4</w:t>
      </w:r>
      <w:r>
        <w:rPr>
          <w:rFonts w:asciiTheme="minorHAnsi" w:eastAsiaTheme="minorEastAsia" w:hAnsiTheme="minorHAnsi" w:cstheme="minorBidi"/>
          <w:noProof/>
          <w:sz w:val="22"/>
          <w:szCs w:val="22"/>
          <w:lang w:val="en-US" w:eastAsia="en-US"/>
        </w:rPr>
        <w:tab/>
      </w:r>
      <w:r>
        <w:rPr>
          <w:noProof/>
        </w:rPr>
        <w:t>Economic scenario modelling of possible global changes in trade               protection</w:t>
      </w:r>
      <w:r>
        <w:rPr>
          <w:noProof/>
        </w:rPr>
        <w:tab/>
      </w:r>
      <w:r>
        <w:rPr>
          <w:noProof/>
        </w:rPr>
        <w:fldChar w:fldCharType="begin"/>
      </w:r>
      <w:r>
        <w:rPr>
          <w:noProof/>
        </w:rPr>
        <w:instrText xml:space="preserve"> PAGEREF _Toc494120815 \h </w:instrText>
      </w:r>
      <w:r>
        <w:rPr>
          <w:noProof/>
        </w:rPr>
      </w:r>
      <w:r>
        <w:rPr>
          <w:noProof/>
        </w:rPr>
        <w:fldChar w:fldCharType="separate"/>
      </w:r>
      <w:r w:rsidR="00AB4D5D">
        <w:rPr>
          <w:noProof/>
        </w:rPr>
        <w:t>17</w:t>
      </w:r>
      <w:r>
        <w:rPr>
          <w:noProof/>
        </w:rPr>
        <w:fldChar w:fldCharType="end"/>
      </w:r>
    </w:p>
    <w:p w:rsidR="00BB4371" w:rsidRDefault="00BB4371">
      <w:pPr>
        <w:pStyle w:val="TOC2"/>
        <w:rPr>
          <w:rFonts w:asciiTheme="minorHAnsi" w:eastAsiaTheme="minorEastAsia" w:hAnsiTheme="minorHAnsi" w:cstheme="minorBidi"/>
          <w:noProof/>
          <w:sz w:val="22"/>
          <w:szCs w:val="22"/>
          <w:lang w:val="en-US" w:eastAsia="en-US"/>
        </w:rPr>
      </w:pPr>
      <w:r>
        <w:rPr>
          <w:noProof/>
        </w:rPr>
        <w:t>Modelling the economic impact of changing protection</w:t>
      </w:r>
      <w:r>
        <w:rPr>
          <w:noProof/>
        </w:rPr>
        <w:tab/>
      </w:r>
      <w:r>
        <w:rPr>
          <w:noProof/>
        </w:rPr>
        <w:fldChar w:fldCharType="begin"/>
      </w:r>
      <w:r>
        <w:rPr>
          <w:noProof/>
        </w:rPr>
        <w:instrText xml:space="preserve"> PAGEREF _Toc494120816 \h </w:instrText>
      </w:r>
      <w:r>
        <w:rPr>
          <w:noProof/>
        </w:rPr>
      </w:r>
      <w:r>
        <w:rPr>
          <w:noProof/>
        </w:rPr>
        <w:fldChar w:fldCharType="separate"/>
      </w:r>
      <w:r w:rsidR="00AB4D5D">
        <w:rPr>
          <w:noProof/>
        </w:rPr>
        <w:t>18</w:t>
      </w:r>
      <w:r>
        <w:rPr>
          <w:noProof/>
        </w:rPr>
        <w:fldChar w:fldCharType="end"/>
      </w:r>
    </w:p>
    <w:p w:rsidR="00BB4371" w:rsidRDefault="00BB4371">
      <w:pPr>
        <w:pStyle w:val="TOC1"/>
        <w:rPr>
          <w:rFonts w:asciiTheme="minorHAnsi" w:eastAsiaTheme="minorEastAsia" w:hAnsiTheme="minorHAnsi" w:cstheme="minorBidi"/>
          <w:noProof/>
          <w:sz w:val="22"/>
          <w:szCs w:val="22"/>
          <w:lang w:val="en-US" w:eastAsia="en-US"/>
        </w:rPr>
      </w:pPr>
      <w:r>
        <w:rPr>
          <w:noProof/>
        </w:rPr>
        <w:t>A</w:t>
      </w:r>
      <w:r>
        <w:rPr>
          <w:rFonts w:asciiTheme="minorHAnsi" w:eastAsiaTheme="minorEastAsia" w:hAnsiTheme="minorHAnsi" w:cstheme="minorBidi"/>
          <w:noProof/>
          <w:sz w:val="22"/>
          <w:szCs w:val="22"/>
          <w:lang w:val="en-US" w:eastAsia="en-US"/>
        </w:rPr>
        <w:tab/>
      </w:r>
      <w:r>
        <w:rPr>
          <w:noProof/>
        </w:rPr>
        <w:t>Understanding Australia’s tariff schedule</w:t>
      </w:r>
      <w:r>
        <w:rPr>
          <w:noProof/>
        </w:rPr>
        <w:tab/>
      </w:r>
      <w:r>
        <w:rPr>
          <w:noProof/>
        </w:rPr>
        <w:fldChar w:fldCharType="begin"/>
      </w:r>
      <w:r>
        <w:rPr>
          <w:noProof/>
        </w:rPr>
        <w:instrText xml:space="preserve"> PAGEREF _Toc494120817 \h </w:instrText>
      </w:r>
      <w:r>
        <w:rPr>
          <w:noProof/>
        </w:rPr>
      </w:r>
      <w:r>
        <w:rPr>
          <w:noProof/>
        </w:rPr>
        <w:fldChar w:fldCharType="separate"/>
      </w:r>
      <w:r w:rsidR="00AB4D5D">
        <w:rPr>
          <w:noProof/>
        </w:rPr>
        <w:t>22</w:t>
      </w:r>
      <w:r>
        <w:rPr>
          <w:noProof/>
        </w:rPr>
        <w:fldChar w:fldCharType="end"/>
      </w:r>
    </w:p>
    <w:p w:rsidR="00BB4371" w:rsidRDefault="00BB4371">
      <w:pPr>
        <w:pStyle w:val="TOC1"/>
        <w:rPr>
          <w:rFonts w:asciiTheme="minorHAnsi" w:eastAsiaTheme="minorEastAsia" w:hAnsiTheme="minorHAnsi" w:cstheme="minorBidi"/>
          <w:noProof/>
          <w:sz w:val="22"/>
          <w:szCs w:val="22"/>
          <w:lang w:val="en-US" w:eastAsia="en-US"/>
        </w:rPr>
      </w:pPr>
      <w:r>
        <w:rPr>
          <w:noProof/>
        </w:rPr>
        <w:t>B</w:t>
      </w:r>
      <w:r>
        <w:rPr>
          <w:rFonts w:asciiTheme="minorHAnsi" w:eastAsiaTheme="minorEastAsia" w:hAnsiTheme="minorHAnsi" w:cstheme="minorBidi"/>
          <w:noProof/>
          <w:sz w:val="22"/>
          <w:szCs w:val="22"/>
          <w:lang w:val="en-US" w:eastAsia="en-US"/>
        </w:rPr>
        <w:tab/>
      </w:r>
      <w:r>
        <w:rPr>
          <w:noProof/>
        </w:rPr>
        <w:t>Economic analysis methodologies</w:t>
      </w:r>
      <w:r>
        <w:rPr>
          <w:noProof/>
        </w:rPr>
        <w:tab/>
      </w:r>
      <w:r>
        <w:rPr>
          <w:noProof/>
        </w:rPr>
        <w:fldChar w:fldCharType="begin"/>
      </w:r>
      <w:r>
        <w:rPr>
          <w:noProof/>
        </w:rPr>
        <w:instrText xml:space="preserve"> PAGEREF _Toc494120818 \h </w:instrText>
      </w:r>
      <w:r>
        <w:rPr>
          <w:noProof/>
        </w:rPr>
      </w:r>
      <w:r>
        <w:rPr>
          <w:noProof/>
        </w:rPr>
        <w:fldChar w:fldCharType="separate"/>
      </w:r>
      <w:r w:rsidR="00AB4D5D">
        <w:rPr>
          <w:noProof/>
        </w:rPr>
        <w:t>26</w:t>
      </w:r>
      <w:r>
        <w:rPr>
          <w:noProof/>
        </w:rPr>
        <w:fldChar w:fldCharType="end"/>
      </w:r>
    </w:p>
    <w:p w:rsidR="005B7F03" w:rsidRPr="002B76B3" w:rsidRDefault="005B7F03" w:rsidP="003B3209">
      <w:pPr>
        <w:pStyle w:val="BodyText"/>
        <w:spacing w:before="480"/>
        <w:rPr>
          <w:rFonts w:ascii="Franklin Gothic Demi" w:hAnsi="Franklin Gothic Demi"/>
          <w:caps/>
          <w:spacing w:val="10"/>
          <w:sz w:val="22"/>
        </w:rPr>
      </w:pPr>
      <w:r w:rsidRPr="00876B40">
        <w:fldChar w:fldCharType="end"/>
      </w:r>
      <w:r w:rsidRPr="002B76B3">
        <w:rPr>
          <w:rFonts w:ascii="Franklin Gothic Demi" w:hAnsi="Franklin Gothic Demi"/>
          <w:caps/>
          <w:spacing w:val="10"/>
          <w:sz w:val="22"/>
        </w:rPr>
        <w:t>Boxes, charts and tables</w:t>
      </w:r>
    </w:p>
    <w:p w:rsidR="00BB4371" w:rsidRDefault="003B3209">
      <w:pPr>
        <w:pStyle w:val="TableofFigures"/>
        <w:rPr>
          <w:rFonts w:eastAsiaTheme="minorEastAsia" w:cstheme="minorBidi"/>
          <w:noProof/>
          <w:sz w:val="22"/>
          <w:szCs w:val="22"/>
          <w:lang w:val="en-US" w:eastAsia="en-US"/>
        </w:rPr>
      </w:pPr>
      <w:r>
        <w:fldChar w:fldCharType="begin"/>
      </w:r>
      <w:r>
        <w:instrText xml:space="preserve"> TOC \t "Caption" \c </w:instrText>
      </w:r>
      <w:r>
        <w:fldChar w:fldCharType="separate"/>
      </w:r>
      <w:r w:rsidR="00BB4371">
        <w:rPr>
          <w:noProof/>
        </w:rPr>
        <w:t>1.1</w:t>
      </w:r>
      <w:r w:rsidR="00BB4371">
        <w:rPr>
          <w:rFonts w:eastAsiaTheme="minorEastAsia" w:cstheme="minorBidi"/>
          <w:noProof/>
          <w:sz w:val="22"/>
          <w:szCs w:val="22"/>
          <w:lang w:val="en-US" w:eastAsia="en-US"/>
        </w:rPr>
        <w:tab/>
      </w:r>
      <w:r w:rsidR="00BB4371">
        <w:rPr>
          <w:noProof/>
        </w:rPr>
        <w:t>Falling Australian tariffs and increasing Australian trade</w:t>
      </w:r>
      <w:r w:rsidR="00BB4371">
        <w:rPr>
          <w:noProof/>
        </w:rPr>
        <w:tab/>
      </w:r>
      <w:r w:rsidR="00BB4371">
        <w:rPr>
          <w:noProof/>
        </w:rPr>
        <w:fldChar w:fldCharType="begin"/>
      </w:r>
      <w:r w:rsidR="00BB4371">
        <w:rPr>
          <w:noProof/>
        </w:rPr>
        <w:instrText xml:space="preserve"> PAGEREF _Toc494120819 \h </w:instrText>
      </w:r>
      <w:r w:rsidR="00BB4371">
        <w:rPr>
          <w:noProof/>
        </w:rPr>
      </w:r>
      <w:r w:rsidR="00BB4371">
        <w:rPr>
          <w:noProof/>
        </w:rPr>
        <w:fldChar w:fldCharType="separate"/>
      </w:r>
      <w:r w:rsidR="00AB4D5D">
        <w:rPr>
          <w:noProof/>
        </w:rPr>
        <w:t>4</w:t>
      </w:r>
      <w:r w:rsidR="00BB4371">
        <w:rPr>
          <w:noProof/>
        </w:rPr>
        <w:fldChar w:fldCharType="end"/>
      </w:r>
    </w:p>
    <w:p w:rsidR="00BB4371" w:rsidRDefault="00BB4371">
      <w:pPr>
        <w:pStyle w:val="TableofFigures"/>
        <w:rPr>
          <w:rFonts w:eastAsiaTheme="minorEastAsia" w:cstheme="minorBidi"/>
          <w:noProof/>
          <w:sz w:val="22"/>
          <w:szCs w:val="22"/>
          <w:lang w:val="en-US" w:eastAsia="en-US"/>
        </w:rPr>
      </w:pPr>
      <w:r>
        <w:rPr>
          <w:noProof/>
        </w:rPr>
        <w:t>1.2</w:t>
      </w:r>
      <w:r>
        <w:rPr>
          <w:rFonts w:eastAsiaTheme="minorEastAsia" w:cstheme="minorBidi"/>
          <w:noProof/>
          <w:sz w:val="22"/>
          <w:szCs w:val="22"/>
          <w:lang w:val="en-US" w:eastAsia="en-US"/>
        </w:rPr>
        <w:tab/>
      </w:r>
      <w:r>
        <w:rPr>
          <w:noProof/>
        </w:rPr>
        <w:t>Australia’s increasing trade integration with the world</w:t>
      </w:r>
      <w:r>
        <w:rPr>
          <w:noProof/>
        </w:rPr>
        <w:tab/>
      </w:r>
      <w:r>
        <w:rPr>
          <w:noProof/>
        </w:rPr>
        <w:fldChar w:fldCharType="begin"/>
      </w:r>
      <w:r>
        <w:rPr>
          <w:noProof/>
        </w:rPr>
        <w:instrText xml:space="preserve"> PAGEREF _Toc494120820 \h </w:instrText>
      </w:r>
      <w:r>
        <w:rPr>
          <w:noProof/>
        </w:rPr>
      </w:r>
      <w:r>
        <w:rPr>
          <w:noProof/>
        </w:rPr>
        <w:fldChar w:fldCharType="separate"/>
      </w:r>
      <w:r w:rsidR="00AB4D5D">
        <w:rPr>
          <w:noProof/>
        </w:rPr>
        <w:t>5</w:t>
      </w:r>
      <w:r>
        <w:rPr>
          <w:noProof/>
        </w:rPr>
        <w:fldChar w:fldCharType="end"/>
      </w:r>
    </w:p>
    <w:p w:rsidR="00BB4371" w:rsidRDefault="00BB4371">
      <w:pPr>
        <w:pStyle w:val="TableofFigures"/>
        <w:rPr>
          <w:rFonts w:eastAsiaTheme="minorEastAsia" w:cstheme="minorBidi"/>
          <w:noProof/>
          <w:sz w:val="22"/>
          <w:szCs w:val="22"/>
          <w:lang w:val="en-US" w:eastAsia="en-US"/>
        </w:rPr>
      </w:pPr>
      <w:r>
        <w:rPr>
          <w:noProof/>
        </w:rPr>
        <w:t>1.3</w:t>
      </w:r>
      <w:r>
        <w:rPr>
          <w:rFonts w:eastAsiaTheme="minorEastAsia" w:cstheme="minorBidi"/>
          <w:noProof/>
          <w:sz w:val="22"/>
          <w:szCs w:val="22"/>
          <w:lang w:val="en-US" w:eastAsia="en-US"/>
        </w:rPr>
        <w:tab/>
      </w:r>
      <w:r>
        <w:rPr>
          <w:noProof/>
        </w:rPr>
        <w:t>Estimated Australian import-weighted tariff rate</w:t>
      </w:r>
      <w:r>
        <w:rPr>
          <w:noProof/>
        </w:rPr>
        <w:tab/>
      </w:r>
      <w:r>
        <w:rPr>
          <w:noProof/>
        </w:rPr>
        <w:fldChar w:fldCharType="begin"/>
      </w:r>
      <w:r>
        <w:rPr>
          <w:noProof/>
        </w:rPr>
        <w:instrText xml:space="preserve"> PAGEREF _Toc494120821 \h </w:instrText>
      </w:r>
      <w:r>
        <w:rPr>
          <w:noProof/>
        </w:rPr>
      </w:r>
      <w:r>
        <w:rPr>
          <w:noProof/>
        </w:rPr>
        <w:fldChar w:fldCharType="separate"/>
      </w:r>
      <w:r w:rsidR="00AB4D5D">
        <w:rPr>
          <w:noProof/>
        </w:rPr>
        <w:t>6</w:t>
      </w:r>
      <w:r>
        <w:rPr>
          <w:noProof/>
        </w:rPr>
        <w:fldChar w:fldCharType="end"/>
      </w:r>
    </w:p>
    <w:p w:rsidR="00BB4371" w:rsidRDefault="00BB4371">
      <w:pPr>
        <w:pStyle w:val="TableofFigures"/>
        <w:rPr>
          <w:rFonts w:eastAsiaTheme="minorEastAsia" w:cstheme="minorBidi"/>
          <w:noProof/>
          <w:sz w:val="22"/>
          <w:szCs w:val="22"/>
          <w:lang w:val="en-US" w:eastAsia="en-US"/>
        </w:rPr>
      </w:pPr>
      <w:r>
        <w:rPr>
          <w:noProof/>
        </w:rPr>
        <w:t>2.1</w:t>
      </w:r>
      <w:r>
        <w:rPr>
          <w:rFonts w:eastAsiaTheme="minorEastAsia" w:cstheme="minorBidi"/>
          <w:noProof/>
          <w:sz w:val="22"/>
          <w:szCs w:val="22"/>
          <w:lang w:val="en-US" w:eastAsia="en-US"/>
        </w:rPr>
        <w:tab/>
      </w:r>
      <w:r>
        <w:rPr>
          <w:noProof/>
        </w:rPr>
        <w:t>Australian employment related to international trade</w:t>
      </w:r>
      <w:r>
        <w:rPr>
          <w:noProof/>
        </w:rPr>
        <w:tab/>
      </w:r>
      <w:r>
        <w:rPr>
          <w:noProof/>
        </w:rPr>
        <w:fldChar w:fldCharType="begin"/>
      </w:r>
      <w:r>
        <w:rPr>
          <w:noProof/>
        </w:rPr>
        <w:instrText xml:space="preserve"> PAGEREF _Toc494120822 \h </w:instrText>
      </w:r>
      <w:r>
        <w:rPr>
          <w:noProof/>
        </w:rPr>
      </w:r>
      <w:r>
        <w:rPr>
          <w:noProof/>
        </w:rPr>
        <w:fldChar w:fldCharType="separate"/>
      </w:r>
      <w:r w:rsidR="00AB4D5D">
        <w:rPr>
          <w:noProof/>
        </w:rPr>
        <w:t>9</w:t>
      </w:r>
      <w:r>
        <w:rPr>
          <w:noProof/>
        </w:rPr>
        <w:fldChar w:fldCharType="end"/>
      </w:r>
    </w:p>
    <w:p w:rsidR="00BB4371" w:rsidRDefault="00BB4371">
      <w:pPr>
        <w:pStyle w:val="TableofFigures"/>
        <w:rPr>
          <w:rFonts w:eastAsiaTheme="minorEastAsia" w:cstheme="minorBidi"/>
          <w:noProof/>
          <w:sz w:val="22"/>
          <w:szCs w:val="22"/>
          <w:lang w:val="en-US" w:eastAsia="en-US"/>
        </w:rPr>
      </w:pPr>
      <w:r>
        <w:rPr>
          <w:noProof/>
        </w:rPr>
        <w:t>2.2</w:t>
      </w:r>
      <w:r>
        <w:rPr>
          <w:rFonts w:eastAsiaTheme="minorEastAsia" w:cstheme="minorBidi"/>
          <w:noProof/>
          <w:sz w:val="22"/>
          <w:szCs w:val="22"/>
          <w:lang w:val="en-US" w:eastAsia="en-US"/>
        </w:rPr>
        <w:tab/>
      </w:r>
      <w:r>
        <w:rPr>
          <w:noProof/>
        </w:rPr>
        <w:t>Change in Australian merchandise exports by broad product category</w:t>
      </w:r>
      <w:r>
        <w:rPr>
          <w:noProof/>
        </w:rPr>
        <w:tab/>
      </w:r>
      <w:r>
        <w:rPr>
          <w:noProof/>
        </w:rPr>
        <w:fldChar w:fldCharType="begin"/>
      </w:r>
      <w:r>
        <w:rPr>
          <w:noProof/>
        </w:rPr>
        <w:instrText xml:space="preserve"> PAGEREF _Toc494120823 \h </w:instrText>
      </w:r>
      <w:r>
        <w:rPr>
          <w:noProof/>
        </w:rPr>
      </w:r>
      <w:r>
        <w:rPr>
          <w:noProof/>
        </w:rPr>
        <w:fldChar w:fldCharType="separate"/>
      </w:r>
      <w:r w:rsidR="00AB4D5D">
        <w:rPr>
          <w:noProof/>
        </w:rPr>
        <w:t>10</w:t>
      </w:r>
      <w:r>
        <w:rPr>
          <w:noProof/>
        </w:rPr>
        <w:fldChar w:fldCharType="end"/>
      </w:r>
    </w:p>
    <w:p w:rsidR="00BB4371" w:rsidRDefault="00BB4371">
      <w:pPr>
        <w:pStyle w:val="TableofFigures"/>
        <w:rPr>
          <w:rFonts w:eastAsiaTheme="minorEastAsia" w:cstheme="minorBidi"/>
          <w:noProof/>
          <w:sz w:val="22"/>
          <w:szCs w:val="22"/>
          <w:lang w:val="en-US" w:eastAsia="en-US"/>
        </w:rPr>
      </w:pPr>
      <w:r>
        <w:rPr>
          <w:noProof/>
        </w:rPr>
        <w:t>3.1</w:t>
      </w:r>
      <w:r>
        <w:rPr>
          <w:rFonts w:eastAsiaTheme="minorEastAsia" w:cstheme="minorBidi"/>
          <w:noProof/>
          <w:sz w:val="22"/>
          <w:szCs w:val="22"/>
          <w:lang w:val="en-US" w:eastAsia="en-US"/>
        </w:rPr>
        <w:tab/>
      </w:r>
      <w:r>
        <w:rPr>
          <w:noProof/>
        </w:rPr>
        <w:t>Ad valorem equivalent tariff rates in 1986 and 2016</w:t>
      </w:r>
      <w:r>
        <w:rPr>
          <w:noProof/>
        </w:rPr>
        <w:tab/>
      </w:r>
      <w:r>
        <w:rPr>
          <w:noProof/>
        </w:rPr>
        <w:fldChar w:fldCharType="begin"/>
      </w:r>
      <w:r>
        <w:rPr>
          <w:noProof/>
        </w:rPr>
        <w:instrText xml:space="preserve"> PAGEREF _Toc494120824 \h </w:instrText>
      </w:r>
      <w:r>
        <w:rPr>
          <w:noProof/>
        </w:rPr>
      </w:r>
      <w:r>
        <w:rPr>
          <w:noProof/>
        </w:rPr>
        <w:fldChar w:fldCharType="separate"/>
      </w:r>
      <w:r w:rsidR="00AB4D5D">
        <w:rPr>
          <w:noProof/>
        </w:rPr>
        <w:t>12</w:t>
      </w:r>
      <w:r>
        <w:rPr>
          <w:noProof/>
        </w:rPr>
        <w:fldChar w:fldCharType="end"/>
      </w:r>
    </w:p>
    <w:p w:rsidR="00BB4371" w:rsidRDefault="00BB4371">
      <w:pPr>
        <w:pStyle w:val="TableofFigures"/>
        <w:rPr>
          <w:rFonts w:eastAsiaTheme="minorEastAsia" w:cstheme="minorBidi"/>
          <w:noProof/>
          <w:sz w:val="22"/>
          <w:szCs w:val="22"/>
          <w:lang w:val="en-US" w:eastAsia="en-US"/>
        </w:rPr>
      </w:pPr>
      <w:r>
        <w:rPr>
          <w:noProof/>
        </w:rPr>
        <w:t>3.2</w:t>
      </w:r>
      <w:r>
        <w:rPr>
          <w:rFonts w:eastAsiaTheme="minorEastAsia" w:cstheme="minorBidi"/>
          <w:noProof/>
          <w:sz w:val="22"/>
          <w:szCs w:val="22"/>
          <w:lang w:val="en-US" w:eastAsia="en-US"/>
        </w:rPr>
        <w:tab/>
      </w:r>
      <w:r>
        <w:rPr>
          <w:noProof/>
        </w:rPr>
        <w:t>Estimated impacts of merchandise trade liberalisation over 1986–2016</w:t>
      </w:r>
      <w:r>
        <w:rPr>
          <w:noProof/>
        </w:rPr>
        <w:tab/>
      </w:r>
      <w:r>
        <w:rPr>
          <w:noProof/>
        </w:rPr>
        <w:fldChar w:fldCharType="begin"/>
      </w:r>
      <w:r>
        <w:rPr>
          <w:noProof/>
        </w:rPr>
        <w:instrText xml:space="preserve"> PAGEREF _Toc494120825 \h </w:instrText>
      </w:r>
      <w:r>
        <w:rPr>
          <w:noProof/>
        </w:rPr>
      </w:r>
      <w:r>
        <w:rPr>
          <w:noProof/>
        </w:rPr>
        <w:fldChar w:fldCharType="separate"/>
      </w:r>
      <w:r w:rsidR="00AB4D5D">
        <w:rPr>
          <w:noProof/>
        </w:rPr>
        <w:t>13</w:t>
      </w:r>
      <w:r>
        <w:rPr>
          <w:noProof/>
        </w:rPr>
        <w:fldChar w:fldCharType="end"/>
      </w:r>
    </w:p>
    <w:p w:rsidR="00BB4371" w:rsidRDefault="00BB4371">
      <w:pPr>
        <w:pStyle w:val="TableofFigures"/>
        <w:rPr>
          <w:rFonts w:eastAsiaTheme="minorEastAsia" w:cstheme="minorBidi"/>
          <w:noProof/>
          <w:sz w:val="22"/>
          <w:szCs w:val="22"/>
          <w:lang w:val="en-US" w:eastAsia="en-US"/>
        </w:rPr>
      </w:pPr>
      <w:r>
        <w:rPr>
          <w:noProof/>
        </w:rPr>
        <w:t>3.3</w:t>
      </w:r>
      <w:r>
        <w:rPr>
          <w:rFonts w:eastAsiaTheme="minorEastAsia" w:cstheme="minorBidi"/>
          <w:noProof/>
          <w:sz w:val="22"/>
          <w:szCs w:val="22"/>
          <w:lang w:val="en-US" w:eastAsia="en-US"/>
        </w:rPr>
        <w:tab/>
      </w:r>
      <w:r>
        <w:rPr>
          <w:noProof/>
        </w:rPr>
        <w:t>Change in trade in 2016 due to Australian trade liberalisation over                      1986–2016</w:t>
      </w:r>
      <w:r>
        <w:rPr>
          <w:noProof/>
        </w:rPr>
        <w:tab/>
      </w:r>
      <w:r>
        <w:rPr>
          <w:noProof/>
        </w:rPr>
        <w:fldChar w:fldCharType="begin"/>
      </w:r>
      <w:r>
        <w:rPr>
          <w:noProof/>
        </w:rPr>
        <w:instrText xml:space="preserve"> PAGEREF _Toc494120826 \h </w:instrText>
      </w:r>
      <w:r>
        <w:rPr>
          <w:noProof/>
        </w:rPr>
      </w:r>
      <w:r>
        <w:rPr>
          <w:noProof/>
        </w:rPr>
        <w:fldChar w:fldCharType="separate"/>
      </w:r>
      <w:r w:rsidR="00AB4D5D">
        <w:rPr>
          <w:noProof/>
        </w:rPr>
        <w:t>15</w:t>
      </w:r>
      <w:r>
        <w:rPr>
          <w:noProof/>
        </w:rPr>
        <w:fldChar w:fldCharType="end"/>
      </w:r>
    </w:p>
    <w:p w:rsidR="00BB4371" w:rsidRDefault="00BB4371">
      <w:pPr>
        <w:pStyle w:val="TableofFigures"/>
        <w:rPr>
          <w:rFonts w:eastAsiaTheme="minorEastAsia" w:cstheme="minorBidi"/>
          <w:noProof/>
          <w:sz w:val="22"/>
          <w:szCs w:val="22"/>
          <w:lang w:val="en-US" w:eastAsia="en-US"/>
        </w:rPr>
      </w:pPr>
      <w:r>
        <w:rPr>
          <w:noProof/>
        </w:rPr>
        <w:t>4.1</w:t>
      </w:r>
      <w:r>
        <w:rPr>
          <w:rFonts w:eastAsiaTheme="minorEastAsia" w:cstheme="minorBidi"/>
          <w:noProof/>
          <w:sz w:val="22"/>
          <w:szCs w:val="22"/>
          <w:lang w:val="en-US" w:eastAsia="en-US"/>
        </w:rPr>
        <w:tab/>
      </w:r>
      <w:r>
        <w:rPr>
          <w:noProof/>
        </w:rPr>
        <w:t>Impact of changing protection (per cent deviation from baseline)</w:t>
      </w:r>
      <w:r>
        <w:rPr>
          <w:noProof/>
        </w:rPr>
        <w:tab/>
      </w:r>
      <w:r>
        <w:rPr>
          <w:noProof/>
        </w:rPr>
        <w:fldChar w:fldCharType="begin"/>
      </w:r>
      <w:r>
        <w:rPr>
          <w:noProof/>
        </w:rPr>
        <w:instrText xml:space="preserve"> PAGEREF _Toc494120827 \h </w:instrText>
      </w:r>
      <w:r>
        <w:rPr>
          <w:noProof/>
        </w:rPr>
      </w:r>
      <w:r>
        <w:rPr>
          <w:noProof/>
        </w:rPr>
        <w:fldChar w:fldCharType="separate"/>
      </w:r>
      <w:r w:rsidR="00AB4D5D">
        <w:rPr>
          <w:noProof/>
        </w:rPr>
        <w:t>18</w:t>
      </w:r>
      <w:r>
        <w:rPr>
          <w:noProof/>
        </w:rPr>
        <w:fldChar w:fldCharType="end"/>
      </w:r>
    </w:p>
    <w:p w:rsidR="00BB4371" w:rsidRDefault="00BB4371">
      <w:pPr>
        <w:pStyle w:val="TableofFigures"/>
        <w:rPr>
          <w:rFonts w:eastAsiaTheme="minorEastAsia" w:cstheme="minorBidi"/>
          <w:noProof/>
          <w:sz w:val="22"/>
          <w:szCs w:val="22"/>
          <w:lang w:val="en-US" w:eastAsia="en-US"/>
        </w:rPr>
      </w:pPr>
      <w:r>
        <w:rPr>
          <w:noProof/>
        </w:rPr>
        <w:t>4.2</w:t>
      </w:r>
      <w:r>
        <w:rPr>
          <w:rFonts w:eastAsiaTheme="minorEastAsia" w:cstheme="minorBidi"/>
          <w:noProof/>
          <w:sz w:val="22"/>
          <w:szCs w:val="22"/>
          <w:lang w:val="en-US" w:eastAsia="en-US"/>
        </w:rPr>
        <w:tab/>
      </w:r>
      <w:r>
        <w:rPr>
          <w:noProof/>
        </w:rPr>
        <w:t>Merchandise trade in 2015 as a share of GDP — various countries and regions</w:t>
      </w:r>
      <w:r>
        <w:rPr>
          <w:noProof/>
        </w:rPr>
        <w:tab/>
      </w:r>
      <w:r>
        <w:rPr>
          <w:noProof/>
        </w:rPr>
        <w:fldChar w:fldCharType="begin"/>
      </w:r>
      <w:r>
        <w:rPr>
          <w:noProof/>
        </w:rPr>
        <w:instrText xml:space="preserve"> PAGEREF _Toc494120828 \h </w:instrText>
      </w:r>
      <w:r>
        <w:rPr>
          <w:noProof/>
        </w:rPr>
      </w:r>
      <w:r>
        <w:rPr>
          <w:noProof/>
        </w:rPr>
        <w:fldChar w:fldCharType="separate"/>
      </w:r>
      <w:r w:rsidR="00AB4D5D">
        <w:rPr>
          <w:noProof/>
        </w:rPr>
        <w:t>20</w:t>
      </w:r>
      <w:r>
        <w:rPr>
          <w:noProof/>
        </w:rPr>
        <w:fldChar w:fldCharType="end"/>
      </w:r>
    </w:p>
    <w:p w:rsidR="00BB4371" w:rsidRDefault="00BB4371">
      <w:pPr>
        <w:pStyle w:val="TableofFigures"/>
        <w:rPr>
          <w:rFonts w:eastAsiaTheme="minorEastAsia" w:cstheme="minorBidi"/>
          <w:noProof/>
          <w:sz w:val="22"/>
          <w:szCs w:val="22"/>
          <w:lang w:val="en-US" w:eastAsia="en-US"/>
        </w:rPr>
      </w:pPr>
      <w:r>
        <w:rPr>
          <w:noProof/>
        </w:rPr>
        <w:t>A.1</w:t>
      </w:r>
      <w:r>
        <w:rPr>
          <w:rFonts w:eastAsiaTheme="minorEastAsia" w:cstheme="minorBidi"/>
          <w:noProof/>
          <w:sz w:val="22"/>
          <w:szCs w:val="22"/>
          <w:lang w:val="en-US" w:eastAsia="en-US"/>
        </w:rPr>
        <w:tab/>
      </w:r>
      <w:r>
        <w:rPr>
          <w:noProof/>
        </w:rPr>
        <w:t>Australian tariff reductions over 1986–2016</w:t>
      </w:r>
      <w:r>
        <w:rPr>
          <w:noProof/>
        </w:rPr>
        <w:tab/>
      </w:r>
      <w:r>
        <w:rPr>
          <w:noProof/>
        </w:rPr>
        <w:fldChar w:fldCharType="begin"/>
      </w:r>
      <w:r>
        <w:rPr>
          <w:noProof/>
        </w:rPr>
        <w:instrText xml:space="preserve"> PAGEREF _Toc494120829 \h </w:instrText>
      </w:r>
      <w:r>
        <w:rPr>
          <w:noProof/>
        </w:rPr>
      </w:r>
      <w:r>
        <w:rPr>
          <w:noProof/>
        </w:rPr>
        <w:fldChar w:fldCharType="separate"/>
      </w:r>
      <w:r w:rsidR="00AB4D5D">
        <w:rPr>
          <w:noProof/>
        </w:rPr>
        <w:t>23</w:t>
      </w:r>
      <w:r>
        <w:rPr>
          <w:noProof/>
        </w:rPr>
        <w:fldChar w:fldCharType="end"/>
      </w:r>
    </w:p>
    <w:p w:rsidR="005B7F03" w:rsidRPr="00C778E9" w:rsidRDefault="003B3209" w:rsidP="003B3209">
      <w:pPr>
        <w:pStyle w:val="TableofFigures"/>
      </w:pPr>
      <w:r>
        <w:rPr>
          <w:b/>
          <w:bCs/>
          <w:noProof/>
          <w:lang w:val="en-US"/>
        </w:rPr>
        <w:fldChar w:fldCharType="end"/>
      </w:r>
    </w:p>
    <w:p w:rsidR="005B7F03" w:rsidRDefault="005B7F03" w:rsidP="003B3209">
      <w:pPr>
        <w:pStyle w:val="Heading1"/>
        <w:numPr>
          <w:ilvl w:val="0"/>
          <w:numId w:val="0"/>
        </w:numPr>
        <w:sectPr w:rsidR="005B7F03" w:rsidSect="003B3209">
          <w:headerReference w:type="even" r:id="rId17"/>
          <w:headerReference w:type="default" r:id="rId18"/>
          <w:footerReference w:type="even" r:id="rId19"/>
          <w:footerReference w:type="default" r:id="rId20"/>
          <w:pgSz w:w="11906" w:h="16838" w:code="9"/>
          <w:pgMar w:top="2268" w:right="1701" w:bottom="1418" w:left="2268" w:header="680" w:footer="680" w:gutter="0"/>
          <w:pgNumType w:fmt="lowerRoman"/>
          <w:cols w:space="708"/>
          <w:docGrid w:linePitch="360"/>
        </w:sectPr>
      </w:pPr>
    </w:p>
    <w:p w:rsidR="005B7F03" w:rsidRPr="00DD0236" w:rsidRDefault="005B7F03" w:rsidP="003B3209">
      <w:pPr>
        <w:pStyle w:val="Heading1"/>
        <w:numPr>
          <w:ilvl w:val="0"/>
          <w:numId w:val="0"/>
        </w:numPr>
      </w:pPr>
      <w:bookmarkStart w:id="2" w:name="_Toc494120807"/>
      <w:r>
        <w:lastRenderedPageBreak/>
        <w:t>Executive summary</w:t>
      </w:r>
      <w:bookmarkEnd w:id="0"/>
      <w:bookmarkEnd w:id="2"/>
    </w:p>
    <w:p w:rsidR="00307E2E" w:rsidRPr="00830F2D" w:rsidRDefault="00307E2E" w:rsidP="00830F2D">
      <w:pPr>
        <w:pStyle w:val="ChapterSummary"/>
      </w:pPr>
      <w:r w:rsidRPr="00830F2D">
        <w:t>Australia has a long history of undertaking economic reforms aimed at realising a more flexible and resilient economy. The floating of the dollar, the deregulation of financial markets, the broadening of the tax base and corporatisation of government businesses, to name just a few reforms, have produced an economy that is better placed to take advantage of emerging opportunities and to weather global economic storms.</w:t>
      </w:r>
    </w:p>
    <w:p w:rsidR="00307E2E" w:rsidRPr="00830F2D" w:rsidRDefault="00307E2E" w:rsidP="00830F2D">
      <w:pPr>
        <w:pStyle w:val="ChapterSummary"/>
      </w:pPr>
      <w:r w:rsidRPr="00830F2D">
        <w:t>An integral part of the reform agenda has been the sustained liberalisation of trade barriers and reduced industry protection. Throughout the 1970s, 80s, 90s and over the last decade, Australia has embarked upon unilateral, bilateral and multilateral trade liberalisation.</w:t>
      </w:r>
    </w:p>
    <w:p w:rsidR="00AC2CEB" w:rsidRDefault="00AC2CEB" w:rsidP="00830F2D">
      <w:pPr>
        <w:pStyle w:val="ChapterSummary"/>
      </w:pPr>
      <w:r>
        <w:t xml:space="preserve">This report updates a 2009 study that quantified the economic impacts of Australian merchandise trade liberalisation over </w:t>
      </w:r>
      <w:r w:rsidR="00624B86">
        <w:t>the</w:t>
      </w:r>
      <w:r>
        <w:t xml:space="preserve"> 20 year period between 1988 </w:t>
      </w:r>
      <w:r w:rsidR="00624B86">
        <w:t>and</w:t>
      </w:r>
      <w:r>
        <w:t xml:space="preserve"> 2008.</w:t>
      </w:r>
      <w:r w:rsidR="00F67054">
        <w:rPr>
          <w:rStyle w:val="FootnoteReference"/>
        </w:rPr>
        <w:footnoteReference w:id="1"/>
      </w:r>
      <w:r>
        <w:t xml:space="preserve"> </w:t>
      </w:r>
      <w:r w:rsidR="00624B86">
        <w:t>This report, as did the previous, uses economic modelling to simulate the economic impact of Australian merchandise trade liberalisation.</w:t>
      </w:r>
      <w:r w:rsidR="00307E2E">
        <w:t xml:space="preserve"> This time, however, a 30 year </w:t>
      </w:r>
      <w:r w:rsidR="00F67054">
        <w:t xml:space="preserve">trade </w:t>
      </w:r>
      <w:r w:rsidR="00307E2E">
        <w:t>liberalisation window (1986–2016) has been considered</w:t>
      </w:r>
      <w:r w:rsidR="00DE211D">
        <w:t>.</w:t>
      </w:r>
    </w:p>
    <w:p w:rsidR="00B0068D" w:rsidRPr="00B0068D" w:rsidRDefault="00182C1B" w:rsidP="00830F2D">
      <w:pPr>
        <w:pStyle w:val="ChapterSummary"/>
      </w:pPr>
      <w:r w:rsidRPr="00B0068D">
        <w:t>Importantly, the economic modelling has only taken Australian merchandise trade liberalisation into account</w:t>
      </w:r>
      <w:r w:rsidR="00B0068D" w:rsidRPr="00B0068D">
        <w:t xml:space="preserve"> — the modelling excludes</w:t>
      </w:r>
      <w:r w:rsidR="00514F57">
        <w:t xml:space="preserve"> Australian </w:t>
      </w:r>
      <w:r w:rsidR="00B0068D" w:rsidRPr="00B0068D">
        <w:t xml:space="preserve">services and investment liberalisation, and any trade liberalisation undertaken by Australia’s trading partners. As such, the economic modelling results can be </w:t>
      </w:r>
      <w:r w:rsidR="0085350D">
        <w:t>seen as representing the minimum of</w:t>
      </w:r>
      <w:r w:rsidR="00B0068D" w:rsidRPr="00B0068D">
        <w:t xml:space="preserve"> what has resulted from Australia’s overall process of trade and investment liberalisation over the past 30 years</w:t>
      </w:r>
      <w:r w:rsidR="00B0068D">
        <w:t>.</w:t>
      </w:r>
    </w:p>
    <w:p w:rsidR="008774AD" w:rsidRDefault="008774AD" w:rsidP="00B86481">
      <w:pPr>
        <w:pStyle w:val="HighlightMessage"/>
        <w:ind w:right="140"/>
      </w:pPr>
      <w:r>
        <w:t>Trade is an important element of the Australian economy and accounts for 1 in 5 jobs</w:t>
      </w:r>
    </w:p>
    <w:p w:rsidR="008774AD" w:rsidRDefault="008774AD" w:rsidP="00B86481">
      <w:pPr>
        <w:pStyle w:val="Summary4"/>
        <w:spacing w:before="120"/>
        <w:ind w:right="140"/>
      </w:pPr>
      <w:r w:rsidRPr="008C4777">
        <w:t xml:space="preserve">Trade liberalisation undertaken by Australia over the period 1986 to 2016 </w:t>
      </w:r>
      <w:r>
        <w:t xml:space="preserve">has seen Australia become </w:t>
      </w:r>
      <w:r w:rsidRPr="008C4777">
        <w:t xml:space="preserve">more integrated into the global economy and </w:t>
      </w:r>
      <w:r w:rsidR="0085350D">
        <w:t xml:space="preserve">more </w:t>
      </w:r>
      <w:r w:rsidRPr="008C4777">
        <w:t>trade orientated</w:t>
      </w:r>
      <w:r w:rsidR="00FF3EC0">
        <w:t>,</w:t>
      </w:r>
      <w:r w:rsidR="0085350D">
        <w:t xml:space="preserve"> with trade growing faster than nominal GDP over the period. </w:t>
      </w:r>
      <w:r>
        <w:t>In 2016</w:t>
      </w:r>
      <w:r w:rsidR="00FF3EC0">
        <w:t>,</w:t>
      </w:r>
      <w:r>
        <w:t xml:space="preserve"> merchandise trade was equivalent to nearly 31 per cent of nominal GDP, up from 26 per cent in </w:t>
      </w:r>
      <w:r w:rsidR="0085350D">
        <w:t>1986</w:t>
      </w:r>
      <w:r>
        <w:t xml:space="preserve">. </w:t>
      </w:r>
      <w:r w:rsidR="0085350D">
        <w:t>Overall goods and service trade was even larger, at just under 40 per cent of nominal GDP in 2016.</w:t>
      </w:r>
    </w:p>
    <w:p w:rsidR="008774AD" w:rsidRPr="008C4777" w:rsidRDefault="0085350D" w:rsidP="00B86481">
      <w:pPr>
        <w:pStyle w:val="Summary4"/>
        <w:spacing w:before="240"/>
        <w:ind w:right="140"/>
      </w:pPr>
      <w:r>
        <w:t>Trade is also important to the Australian labour market. Using the latest input-output tables from the national accounts, i</w:t>
      </w:r>
      <w:r w:rsidR="008774AD" w:rsidRPr="008C4777">
        <w:t xml:space="preserve">t is estimated that </w:t>
      </w:r>
      <w:r>
        <w:t xml:space="preserve">around </w:t>
      </w:r>
      <w:r w:rsidR="008774AD" w:rsidRPr="008C4777">
        <w:t xml:space="preserve">one in five Australian workers, or 2.2 million people, are employed in a </w:t>
      </w:r>
      <w:r w:rsidR="00AB717B">
        <w:t>trade-related</w:t>
      </w:r>
      <w:r w:rsidR="008774AD" w:rsidRPr="008C4777">
        <w:t xml:space="preserve"> activity.</w:t>
      </w:r>
      <w:r>
        <w:t xml:space="preserve"> This includes workers in heavily export</w:t>
      </w:r>
      <w:r w:rsidR="00FF3EC0">
        <w:t>-</w:t>
      </w:r>
      <w:r>
        <w:t xml:space="preserve">focused industries like agriculture, minerals and energy, but also, importantly, </w:t>
      </w:r>
      <w:r>
        <w:lastRenderedPageBreak/>
        <w:t xml:space="preserve">incorporates the many tens of thousands of employees who each day work to </w:t>
      </w:r>
      <w:r w:rsidR="00076773">
        <w:t>bring imported goods into Australia and to distribute them to consumers and businesses who need them.</w:t>
      </w:r>
    </w:p>
    <w:p w:rsidR="00F077E1" w:rsidRDefault="00F077E1" w:rsidP="00B86481">
      <w:pPr>
        <w:pStyle w:val="HighlightMessage"/>
        <w:ind w:right="140"/>
      </w:pPr>
      <w:r>
        <w:t xml:space="preserve">Trade liberalisation has </w:t>
      </w:r>
      <w:r w:rsidR="00FB180D">
        <w:t xml:space="preserve">increased </w:t>
      </w:r>
      <w:r w:rsidR="00076773">
        <w:t xml:space="preserve">overall </w:t>
      </w:r>
      <w:r w:rsidR="00FB180D">
        <w:t xml:space="preserve">GDP and </w:t>
      </w:r>
      <w:r w:rsidR="00076773">
        <w:t>average Australian household</w:t>
      </w:r>
      <w:r w:rsidR="00FB180D">
        <w:t xml:space="preserve"> income</w:t>
      </w:r>
      <w:r w:rsidR="00076773">
        <w:t>s</w:t>
      </w:r>
    </w:p>
    <w:p w:rsidR="00FB180D" w:rsidRDefault="00FB180D" w:rsidP="00B86481">
      <w:pPr>
        <w:pStyle w:val="Summary4"/>
        <w:spacing w:before="120"/>
        <w:ind w:right="140"/>
      </w:pPr>
      <w:r>
        <w:t xml:space="preserve">The economic modelling </w:t>
      </w:r>
      <w:r w:rsidR="00076773">
        <w:t xml:space="preserve">undertaken for this report </w:t>
      </w:r>
      <w:r>
        <w:t xml:space="preserve">suggests that the merchandise trade liberalisation over the 1986 to 2016 period has benefitted the Australian economy, with </w:t>
      </w:r>
      <w:r w:rsidRPr="004009A3">
        <w:t xml:space="preserve">real GDP </w:t>
      </w:r>
      <w:r>
        <w:t>being</w:t>
      </w:r>
      <w:r w:rsidRPr="004009A3">
        <w:t xml:space="preserve"> 5.4 per cent higher </w:t>
      </w:r>
      <w:r w:rsidR="00076773">
        <w:t xml:space="preserve">in 2016 </w:t>
      </w:r>
      <w:r w:rsidRPr="004009A3">
        <w:t xml:space="preserve">than it would </w:t>
      </w:r>
      <w:r>
        <w:t xml:space="preserve">otherwise </w:t>
      </w:r>
      <w:r w:rsidRPr="004009A3">
        <w:t xml:space="preserve">have been </w:t>
      </w:r>
      <w:r>
        <w:t>(</w:t>
      </w:r>
      <w:r w:rsidR="00076773">
        <w:t xml:space="preserve">with </w:t>
      </w:r>
      <w:r>
        <w:t>no</w:t>
      </w:r>
      <w:r w:rsidRPr="004009A3">
        <w:t xml:space="preserve"> trade liberalisation</w:t>
      </w:r>
      <w:r>
        <w:t>)</w:t>
      </w:r>
      <w:r w:rsidRPr="004009A3">
        <w:t xml:space="preserve">. </w:t>
      </w:r>
    </w:p>
    <w:p w:rsidR="00FB180D" w:rsidRPr="00FB180D" w:rsidRDefault="00076773" w:rsidP="00B86481">
      <w:pPr>
        <w:pStyle w:val="Summary4"/>
        <w:spacing w:before="240"/>
        <w:ind w:right="140"/>
      </w:pPr>
      <w:r>
        <w:t xml:space="preserve">For the average Australian </w:t>
      </w:r>
      <w:r w:rsidR="00215864">
        <w:t>family</w:t>
      </w:r>
      <w:r>
        <w:t xml:space="preserve">, this period of </w:t>
      </w:r>
      <w:r w:rsidR="00FB180D" w:rsidRPr="00FB180D">
        <w:t xml:space="preserve">trade liberalisation is estimated to have seen real </w:t>
      </w:r>
      <w:r>
        <w:t xml:space="preserve">income </w:t>
      </w:r>
      <w:r w:rsidR="00FB180D" w:rsidRPr="00FB180D">
        <w:t xml:space="preserve">being </w:t>
      </w:r>
      <w:r w:rsidR="00C5657D">
        <w:t>A</w:t>
      </w:r>
      <w:r w:rsidR="00FB180D" w:rsidRPr="00FB180D">
        <w:t>$</w:t>
      </w:r>
      <w:r w:rsidR="00215864">
        <w:t>8448</w:t>
      </w:r>
      <w:r w:rsidR="00FB180D" w:rsidRPr="00FB180D">
        <w:t xml:space="preserve"> higher</w:t>
      </w:r>
      <w:r>
        <w:t xml:space="preserve"> in 2016 than otherwise</w:t>
      </w:r>
      <w:r w:rsidR="00FB180D" w:rsidRPr="00FB180D">
        <w:t xml:space="preserve">. </w:t>
      </w:r>
    </w:p>
    <w:p w:rsidR="00FB180D" w:rsidRDefault="00FB180D" w:rsidP="00B86481">
      <w:pPr>
        <w:pStyle w:val="HighlightMessage"/>
        <w:ind w:right="140"/>
      </w:pPr>
      <w:r>
        <w:t xml:space="preserve">Increased </w:t>
      </w:r>
      <w:r w:rsidR="001609EE">
        <w:t>tariffs</w:t>
      </w:r>
      <w:r>
        <w:t xml:space="preserve"> would be detrimental to </w:t>
      </w:r>
      <w:r w:rsidR="006A5C94">
        <w:t xml:space="preserve">the </w:t>
      </w:r>
      <w:r>
        <w:t>Australia</w:t>
      </w:r>
      <w:r w:rsidR="006A5C94">
        <w:t>n</w:t>
      </w:r>
      <w:r>
        <w:t xml:space="preserve"> economy</w:t>
      </w:r>
      <w:r w:rsidR="00076773">
        <w:t xml:space="preserve"> and labour market outcomes</w:t>
      </w:r>
    </w:p>
    <w:p w:rsidR="00B30146" w:rsidRDefault="00B30146" w:rsidP="00B86481">
      <w:pPr>
        <w:pStyle w:val="Summary4"/>
        <w:spacing w:before="120"/>
        <w:ind w:right="140"/>
      </w:pPr>
      <w:r>
        <w:t>Over the last few years</w:t>
      </w:r>
      <w:r w:rsidR="00C5657D">
        <w:t>,</w:t>
      </w:r>
      <w:r>
        <w:t xml:space="preserve"> there have been increasing calls to </w:t>
      </w:r>
      <w:r w:rsidR="00C5657D">
        <w:t xml:space="preserve">rollback decades of trade liberalisation and </w:t>
      </w:r>
      <w:r>
        <w:t>renegotiate, or even tear-up, previously agreed to trade agreements</w:t>
      </w:r>
      <w:r w:rsidR="00C5657D">
        <w:t>. These calls have been made</w:t>
      </w:r>
      <w:r>
        <w:t xml:space="preserve"> on the basis </w:t>
      </w:r>
      <w:r w:rsidR="00C5657D">
        <w:t xml:space="preserve">of an argument </w:t>
      </w:r>
      <w:r w:rsidRPr="0090302A">
        <w:t xml:space="preserve">that trade liberalisation has </w:t>
      </w:r>
      <w:r w:rsidR="00C5657D">
        <w:t xml:space="preserve">been undertaken </w:t>
      </w:r>
      <w:r w:rsidRPr="0090302A">
        <w:t xml:space="preserve">at the expense of local jobs and a loss of sovereignty, to the net detriment of the </w:t>
      </w:r>
      <w:r>
        <w:t xml:space="preserve">liberalising </w:t>
      </w:r>
      <w:r w:rsidRPr="0090302A">
        <w:t xml:space="preserve">country. </w:t>
      </w:r>
      <w:r w:rsidR="00C5657D">
        <w:t>In response, a</w:t>
      </w:r>
      <w:r>
        <w:t xml:space="preserve"> number of modelling simulations were conducted </w:t>
      </w:r>
      <w:r w:rsidR="00C5657D">
        <w:t xml:space="preserve">for this report </w:t>
      </w:r>
      <w:r>
        <w:t>to investigate the economic impact should tariffs be increased globally.</w:t>
      </w:r>
    </w:p>
    <w:p w:rsidR="00215488" w:rsidRDefault="0095365B" w:rsidP="00423AA0">
      <w:pPr>
        <w:pStyle w:val="Summary4"/>
        <w:spacing w:before="240"/>
        <w:ind w:right="140"/>
      </w:pPr>
      <w:r>
        <w:t>The e</w:t>
      </w:r>
      <w:r w:rsidR="00215488" w:rsidRPr="0095365B">
        <w:t xml:space="preserve">conomic modelling suggests that </w:t>
      </w:r>
      <w:r w:rsidR="00C5657D">
        <w:t xml:space="preserve">if tariffs </w:t>
      </w:r>
      <w:r w:rsidR="006B385A">
        <w:t xml:space="preserve">on manufacturing imports </w:t>
      </w:r>
      <w:r w:rsidR="00C5657D">
        <w:t xml:space="preserve">were raised </w:t>
      </w:r>
      <w:r w:rsidR="00A22D55">
        <w:t xml:space="preserve">such that there was a </w:t>
      </w:r>
      <w:r w:rsidR="00C5657D">
        <w:t xml:space="preserve">10 per cent </w:t>
      </w:r>
      <w:r w:rsidR="006B385A">
        <w:t xml:space="preserve">price </w:t>
      </w:r>
      <w:r w:rsidR="00C5657D">
        <w:t xml:space="preserve">increase </w:t>
      </w:r>
      <w:r w:rsidR="006B385A">
        <w:t xml:space="preserve">in such products across the world, </w:t>
      </w:r>
      <w:r w:rsidR="00FB180D" w:rsidRPr="0095365B">
        <w:t xml:space="preserve">real GDP </w:t>
      </w:r>
      <w:r w:rsidR="00215488" w:rsidRPr="0095365B">
        <w:t xml:space="preserve">in Australia </w:t>
      </w:r>
      <w:r w:rsidR="00FB180D" w:rsidRPr="0095365B">
        <w:t xml:space="preserve">would be </w:t>
      </w:r>
      <w:r w:rsidR="00B30146" w:rsidRPr="0095365B">
        <w:t>1.8 per cent lower</w:t>
      </w:r>
      <w:r w:rsidR="006B385A">
        <w:t xml:space="preserve">; while global real GDP would be 3.5 per cent lower. If tariffs on all merchandise imports were increased to raise all import prices by 10 per cent, real GDP in Australia would be </w:t>
      </w:r>
      <w:r w:rsidR="00B30146" w:rsidRPr="0095365B">
        <w:t xml:space="preserve">2.2 </w:t>
      </w:r>
      <w:r w:rsidR="00FB180D" w:rsidRPr="0095365B">
        <w:t>per cent lower</w:t>
      </w:r>
      <w:r w:rsidR="006B385A">
        <w:t>, and global real GDP 4.1 per cent lower. The short-term impacts of tariff increases would see job losses in Australia, while over the longer-term, real wages for Australian workers would be lower, in turn cutting household consumption and Australian living standards overall.</w:t>
      </w:r>
    </w:p>
    <w:p w:rsidR="0095365B" w:rsidRPr="0095365B" w:rsidRDefault="0095365B" w:rsidP="00B86481">
      <w:pPr>
        <w:pStyle w:val="Summary4"/>
        <w:spacing w:before="240"/>
        <w:ind w:right="140"/>
      </w:pPr>
      <w:r>
        <w:t xml:space="preserve">In contrast to the impact of raising tariffs, further liberalising </w:t>
      </w:r>
      <w:r w:rsidR="006B385A">
        <w:t xml:space="preserve">global </w:t>
      </w:r>
      <w:r>
        <w:t xml:space="preserve">merchandise trade </w:t>
      </w:r>
      <w:r w:rsidR="0026254F">
        <w:t xml:space="preserve">would </w:t>
      </w:r>
      <w:r>
        <w:t xml:space="preserve">act to grow economic activity. The modelling suggests that lowering tariffs such that import prices fall by 10 per cent </w:t>
      </w:r>
      <w:r w:rsidR="00975638">
        <w:t xml:space="preserve">across the world </w:t>
      </w:r>
      <w:r>
        <w:t>w</w:t>
      </w:r>
      <w:r w:rsidR="0026254F">
        <w:t>ould</w:t>
      </w:r>
      <w:r>
        <w:t xml:space="preserve"> see real GDP in Australia being 0.6 per cent higher, and </w:t>
      </w:r>
      <w:r w:rsidR="00975638">
        <w:t>1.1</w:t>
      </w:r>
      <w:r w:rsidR="002828BE">
        <w:t xml:space="preserve"> per cent higher globally.</w:t>
      </w:r>
      <w:r w:rsidR="0026254F">
        <w:t xml:space="preserve"> Short-term employment would grow, and in the longer-term, Australian real wages and living standards would increase.</w:t>
      </w:r>
    </w:p>
    <w:p w:rsidR="00ED220C" w:rsidRPr="00127204" w:rsidRDefault="0053440A" w:rsidP="003461B4">
      <w:pPr>
        <w:pStyle w:val="Heading1"/>
        <w:numPr>
          <w:ilvl w:val="0"/>
          <w:numId w:val="35"/>
        </w:numPr>
      </w:pPr>
      <w:bookmarkStart w:id="3" w:name="_Toc494120808"/>
      <w:r>
        <w:lastRenderedPageBreak/>
        <w:t>Australian trade liberalisation</w:t>
      </w:r>
      <w:bookmarkEnd w:id="3"/>
    </w:p>
    <w:p w:rsidR="005D4C66" w:rsidRPr="00DC6F8F" w:rsidRDefault="00A54EF7" w:rsidP="005B7F03">
      <w:pPr>
        <w:pStyle w:val="BodyText"/>
      </w:pPr>
      <w:r>
        <w:t xml:space="preserve">Australia has a long history of undertaking economic reforms aimed at </w:t>
      </w:r>
      <w:r w:rsidR="00F077E1">
        <w:t xml:space="preserve">realising </w:t>
      </w:r>
      <w:r>
        <w:t>a more flexible and resilient economy</w:t>
      </w:r>
      <w:r w:rsidR="00FD15E0">
        <w:t xml:space="preserve">. </w:t>
      </w:r>
      <w:r w:rsidR="00FD15E0" w:rsidRPr="00A41A54">
        <w:t>The floating of the dollar</w:t>
      </w:r>
      <w:r w:rsidR="005D4C66">
        <w:t>,</w:t>
      </w:r>
      <w:r w:rsidR="00FD15E0" w:rsidRPr="00A41A54">
        <w:t xml:space="preserve"> the deregulation of financial markets</w:t>
      </w:r>
      <w:r w:rsidR="005D4C66">
        <w:t>,</w:t>
      </w:r>
      <w:r w:rsidR="00FD15E0" w:rsidRPr="00A41A54">
        <w:t xml:space="preserve"> the decentralisation of the industrial relations system</w:t>
      </w:r>
      <w:r w:rsidR="005D4C66">
        <w:t>,</w:t>
      </w:r>
      <w:r w:rsidR="00FD15E0" w:rsidRPr="00A41A54">
        <w:t xml:space="preserve"> the introduction of competition policy</w:t>
      </w:r>
      <w:r w:rsidR="005D4C66">
        <w:t>,</w:t>
      </w:r>
      <w:r w:rsidR="00FD15E0" w:rsidRPr="00A41A54">
        <w:t xml:space="preserve"> </w:t>
      </w:r>
      <w:r w:rsidR="0053490C">
        <w:t xml:space="preserve">broadening the tax base, </w:t>
      </w:r>
      <w:r w:rsidR="005D4C66">
        <w:t xml:space="preserve">and </w:t>
      </w:r>
      <w:r w:rsidR="008D2145">
        <w:t>corporatisation</w:t>
      </w:r>
      <w:r w:rsidR="005D4C66">
        <w:t xml:space="preserve"> of government businesses </w:t>
      </w:r>
      <w:r w:rsidR="00FD15E0" w:rsidRPr="00A41A54">
        <w:t>have produced a</w:t>
      </w:r>
      <w:r w:rsidR="005D4C66">
        <w:t>n</w:t>
      </w:r>
      <w:r w:rsidR="00FD15E0" w:rsidRPr="00A41A54">
        <w:t xml:space="preserve"> economy that </w:t>
      </w:r>
      <w:r w:rsidR="00FD15E0">
        <w:t xml:space="preserve">is better placed </w:t>
      </w:r>
      <w:r w:rsidR="005D4C66">
        <w:t>to take advantage of emerging opportunities and</w:t>
      </w:r>
      <w:r w:rsidR="00FD15E0">
        <w:t xml:space="preserve"> to weather </w:t>
      </w:r>
      <w:r w:rsidR="005D4C66">
        <w:t>global economic storms.</w:t>
      </w:r>
      <w:r w:rsidR="008D2145">
        <w:t xml:space="preserve"> </w:t>
      </w:r>
      <w:r w:rsidR="0053440A" w:rsidRPr="00C47AE2">
        <w:t>The economic reforms have also benefited Australian households, with higher wages, higher levels of wealth, and improved living standards.</w:t>
      </w:r>
    </w:p>
    <w:p w:rsidR="008D2145" w:rsidRDefault="000425A5" w:rsidP="008D2145">
      <w:pPr>
        <w:pStyle w:val="BodyText"/>
      </w:pPr>
      <w:r w:rsidRPr="000425A5">
        <w:t>An integral part of the reform agenda has been the</w:t>
      </w:r>
      <w:r w:rsidR="008D2145" w:rsidRPr="000425A5">
        <w:t xml:space="preserve"> sustained liberalisation of trade</w:t>
      </w:r>
      <w:r w:rsidR="008D2145">
        <w:t xml:space="preserve"> barriers and reduc</w:t>
      </w:r>
      <w:r w:rsidR="00DC6F8F">
        <w:t>ed</w:t>
      </w:r>
      <w:r w:rsidR="008D2145">
        <w:t xml:space="preserve"> industry protection. </w:t>
      </w:r>
      <w:r w:rsidR="00784F15">
        <w:t xml:space="preserve">In 1948 Australia became a </w:t>
      </w:r>
      <w:r w:rsidR="008D2145">
        <w:t xml:space="preserve">founding member of the General Agreement on Tariffs and Trade (GATT), the multilateral organisation overseeing the </w:t>
      </w:r>
      <w:r w:rsidR="00C973F5">
        <w:t>global</w:t>
      </w:r>
      <w:r w:rsidR="008D2145">
        <w:t xml:space="preserve"> trading system prior to the establishment of the World Trade Organization </w:t>
      </w:r>
      <w:r w:rsidR="00DD6F27">
        <w:t>(WT</w:t>
      </w:r>
      <w:r w:rsidR="00127204">
        <w:t>O</w:t>
      </w:r>
      <w:r w:rsidR="00DD6F27">
        <w:t xml:space="preserve">) </w:t>
      </w:r>
      <w:r w:rsidR="008D2145">
        <w:t>in 1995.</w:t>
      </w:r>
      <w:r w:rsidR="00784F15">
        <w:t xml:space="preserve"> And throughout the 1970s, 80s, </w:t>
      </w:r>
      <w:r w:rsidR="00B030F2">
        <w:t>90s and over the last decade, Australia has embarked upon unilateral, bilateral and multilateral trade liberalisation.</w:t>
      </w:r>
    </w:p>
    <w:p w:rsidR="00931868" w:rsidRPr="00931868" w:rsidRDefault="00931868" w:rsidP="00010AED">
      <w:pPr>
        <w:pStyle w:val="BodyText"/>
      </w:pPr>
      <w:r w:rsidRPr="00931868">
        <w:t>Economic modelling has been used to quantify the contribution of Australia</w:t>
      </w:r>
      <w:r w:rsidR="00C47EE5">
        <w:t>n</w:t>
      </w:r>
      <w:r w:rsidRPr="00931868">
        <w:t xml:space="preserve"> merchandise trade liberalisation over 1986–2016, and the resulting integration into the global economy, to Australian </w:t>
      </w:r>
      <w:r w:rsidR="00C47EE5">
        <w:t xml:space="preserve">economic activity </w:t>
      </w:r>
      <w:r w:rsidRPr="00931868">
        <w:t>in 2016.</w:t>
      </w:r>
    </w:p>
    <w:p w:rsidR="00C47AE2" w:rsidRPr="00C47EE5" w:rsidRDefault="00C47EE5" w:rsidP="00C47AE2">
      <w:pPr>
        <w:pStyle w:val="BodyText"/>
      </w:pPr>
      <w:r w:rsidRPr="00C47EE5">
        <w:t xml:space="preserve">The report is structured as follows. </w:t>
      </w:r>
      <w:r w:rsidR="00010B57" w:rsidRPr="00C47EE5">
        <w:t>A brief h</w:t>
      </w:r>
      <w:r w:rsidR="00C47AE2" w:rsidRPr="00C47EE5">
        <w:t xml:space="preserve">istory </w:t>
      </w:r>
      <w:r w:rsidR="00010B57" w:rsidRPr="00C47EE5">
        <w:t xml:space="preserve">of Australia’s trade liberalisation </w:t>
      </w:r>
      <w:r w:rsidR="00C75454" w:rsidRPr="00C47EE5">
        <w:t xml:space="preserve">and our growing global integration </w:t>
      </w:r>
      <w:r w:rsidR="00010B57" w:rsidRPr="00C47EE5">
        <w:t xml:space="preserve">is provided </w:t>
      </w:r>
      <w:r w:rsidR="00931868" w:rsidRPr="00C47EE5">
        <w:t>below</w:t>
      </w:r>
      <w:r w:rsidR="00C75454" w:rsidRPr="00C47EE5">
        <w:t xml:space="preserve">. </w:t>
      </w:r>
      <w:r w:rsidR="00C47AE2" w:rsidRPr="00C47EE5">
        <w:t xml:space="preserve">Estimates of the number of people who are </w:t>
      </w:r>
      <w:r w:rsidR="00127204" w:rsidRPr="00C47EE5">
        <w:t xml:space="preserve">directly </w:t>
      </w:r>
      <w:r w:rsidR="00C47AE2" w:rsidRPr="00C47EE5">
        <w:t xml:space="preserve">employed in </w:t>
      </w:r>
      <w:r w:rsidR="00AB717B">
        <w:t>trade-related</w:t>
      </w:r>
      <w:r w:rsidR="00C47AE2" w:rsidRPr="00C47EE5">
        <w:t xml:space="preserve"> activities are presented in </w:t>
      </w:r>
      <w:r w:rsidR="00526A4F">
        <w:t>Chapter</w:t>
      </w:r>
      <w:r w:rsidR="00C47AE2" w:rsidRPr="00C47EE5">
        <w:t> </w:t>
      </w:r>
      <w:r w:rsidR="00931868" w:rsidRPr="00C47EE5">
        <w:t>2</w:t>
      </w:r>
      <w:r w:rsidR="00C47AE2" w:rsidRPr="00C47EE5">
        <w:t>.</w:t>
      </w:r>
      <w:r w:rsidR="00C75454" w:rsidRPr="00C47EE5">
        <w:t xml:space="preserve"> </w:t>
      </w:r>
      <w:r w:rsidR="00010B57" w:rsidRPr="00C47EE5">
        <w:t>T</w:t>
      </w:r>
      <w:r w:rsidR="00C47AE2" w:rsidRPr="00C47EE5">
        <w:t xml:space="preserve">he </w:t>
      </w:r>
      <w:r w:rsidRPr="00C47EE5">
        <w:t xml:space="preserve">modelling of the </w:t>
      </w:r>
      <w:r w:rsidR="00C47AE2" w:rsidRPr="00C47EE5">
        <w:t xml:space="preserve">merchandise trade liberalisation </w:t>
      </w:r>
      <w:r w:rsidR="00C75454" w:rsidRPr="00C47EE5">
        <w:t xml:space="preserve">undertaken by Australia </w:t>
      </w:r>
      <w:r w:rsidR="00C47AE2" w:rsidRPr="00C47EE5">
        <w:t xml:space="preserve">between 1986 and 2016 </w:t>
      </w:r>
      <w:r w:rsidRPr="00C47EE5">
        <w:t xml:space="preserve">and the resulting economic impact </w:t>
      </w:r>
      <w:r w:rsidR="00010B57" w:rsidRPr="00C47EE5">
        <w:t>is</w:t>
      </w:r>
      <w:r w:rsidR="00C47AE2" w:rsidRPr="00C47EE5">
        <w:t xml:space="preserve"> presented in </w:t>
      </w:r>
      <w:r w:rsidR="00526A4F">
        <w:t>Chapter</w:t>
      </w:r>
      <w:r w:rsidR="00C47AE2" w:rsidRPr="00C47EE5">
        <w:t> </w:t>
      </w:r>
      <w:r w:rsidR="00931868" w:rsidRPr="00C47EE5">
        <w:t>3</w:t>
      </w:r>
      <w:r w:rsidR="008C47EC">
        <w:t>.</w:t>
      </w:r>
      <w:r w:rsidR="00C75454" w:rsidRPr="00C47EE5">
        <w:t xml:space="preserve"> </w:t>
      </w:r>
      <w:r w:rsidR="00DD6F27" w:rsidRPr="00C47EE5">
        <w:t xml:space="preserve">In </w:t>
      </w:r>
      <w:r w:rsidR="00526A4F">
        <w:t>Chapter</w:t>
      </w:r>
      <w:r w:rsidR="00DD6F27" w:rsidRPr="00C47EE5">
        <w:t xml:space="preserve"> </w:t>
      </w:r>
      <w:r w:rsidR="008C47EC">
        <w:t>4</w:t>
      </w:r>
      <w:r w:rsidR="00931868" w:rsidRPr="00C47EE5">
        <w:t>,</w:t>
      </w:r>
      <w:r w:rsidR="00DD6F27" w:rsidRPr="00C47EE5">
        <w:t xml:space="preserve"> c</w:t>
      </w:r>
      <w:r w:rsidR="00C47AE2" w:rsidRPr="00C47EE5">
        <w:t xml:space="preserve">onsideration is given to what recent calls for </w:t>
      </w:r>
      <w:r w:rsidR="00C973F5" w:rsidRPr="00C47EE5">
        <w:t xml:space="preserve">increasing </w:t>
      </w:r>
      <w:r w:rsidR="00C47AE2" w:rsidRPr="00C47EE5">
        <w:t xml:space="preserve">protection mean for </w:t>
      </w:r>
      <w:r w:rsidR="00DD6F27" w:rsidRPr="00C47EE5">
        <w:t>workers</w:t>
      </w:r>
      <w:r w:rsidR="00010B57" w:rsidRPr="00C47EE5">
        <w:t xml:space="preserve"> </w:t>
      </w:r>
      <w:r w:rsidR="00DD6F27" w:rsidRPr="00C47EE5">
        <w:t xml:space="preserve">and the economy </w:t>
      </w:r>
      <w:r w:rsidR="00010B57" w:rsidRPr="00C47EE5">
        <w:t xml:space="preserve">in </w:t>
      </w:r>
      <w:r w:rsidR="00C47AE2" w:rsidRPr="00C47EE5">
        <w:t xml:space="preserve">Australia and </w:t>
      </w:r>
      <w:r w:rsidR="00C973F5" w:rsidRPr="00C47EE5">
        <w:t>elsewhere.</w:t>
      </w:r>
    </w:p>
    <w:p w:rsidR="00931868" w:rsidRPr="00C75454" w:rsidRDefault="00931868" w:rsidP="00C47AE2">
      <w:pPr>
        <w:pStyle w:val="BodyText"/>
      </w:pPr>
      <w:r>
        <w:t xml:space="preserve">There are </w:t>
      </w:r>
      <w:r w:rsidR="008C47EC">
        <w:t>two</w:t>
      </w:r>
      <w:r>
        <w:t xml:space="preserve"> appendixes. Appendix A provides details on the Australian tariff schedule; </w:t>
      </w:r>
      <w:r w:rsidR="00DA7EBD">
        <w:t xml:space="preserve">while </w:t>
      </w:r>
      <w:r w:rsidR="00526A4F">
        <w:t>A</w:t>
      </w:r>
      <w:r>
        <w:t>ppendix B discusses the economic analysis methodologies employed</w:t>
      </w:r>
    </w:p>
    <w:p w:rsidR="00931868" w:rsidRDefault="00931868" w:rsidP="00931868">
      <w:pPr>
        <w:pStyle w:val="Heading2"/>
      </w:pPr>
      <w:bookmarkStart w:id="4" w:name="_Toc494120809"/>
      <w:r>
        <w:t xml:space="preserve">Australian </w:t>
      </w:r>
      <w:r w:rsidR="0098671C">
        <w:t xml:space="preserve">merchandise </w:t>
      </w:r>
      <w:r>
        <w:t>trade liberalisation</w:t>
      </w:r>
      <w:bookmarkEnd w:id="4"/>
    </w:p>
    <w:p w:rsidR="003B3209" w:rsidRDefault="003B3209" w:rsidP="003B3209">
      <w:pPr>
        <w:pStyle w:val="BodyText"/>
      </w:pPr>
      <w:r>
        <w:t>Movement towards economic deregulation and trade liberalisation in Australia began in the mid</w:t>
      </w:r>
      <w:r w:rsidR="0071146A">
        <w:t>-</w:t>
      </w:r>
      <w:r>
        <w:t>1970s. It accompanied large changes in the world economy following on the breakdown of the Bretton Woods system of fixed exchange rates and the turmoil associated with the first oil price shock. These events, which were outside of Australia’s control, led to an increased consciousness that Australia faced an uncertain external environment. Australia needed to be competitive and responsive to maintain its place in the world. This continues to be the case today.</w:t>
      </w:r>
    </w:p>
    <w:p w:rsidR="003B3209" w:rsidRDefault="003B3209" w:rsidP="003B3209">
      <w:pPr>
        <w:pStyle w:val="BodyText"/>
      </w:pPr>
      <w:r>
        <w:t>In this report we look at the impacts of Australia</w:t>
      </w:r>
      <w:r w:rsidR="00881354">
        <w:t>n</w:t>
      </w:r>
      <w:r>
        <w:t xml:space="preserve"> tariff liberalisation </w:t>
      </w:r>
      <w:r w:rsidR="00881354">
        <w:t xml:space="preserve">for merchandise trade </w:t>
      </w:r>
      <w:r w:rsidR="00902E3F">
        <w:t>over</w:t>
      </w:r>
      <w:r>
        <w:t xml:space="preserve"> the 30 year period from 1986 to 2016. </w:t>
      </w:r>
      <w:r w:rsidR="00902E3F">
        <w:t xml:space="preserve">This time period is chosen for a number of reasons. </w:t>
      </w:r>
      <w:r>
        <w:t xml:space="preserve">Despite tariff reductions in 1973, trade protection peaked in the mid-1980s with industry assistance measures introduced for the textiles, clothing and footwear (TCF) and passenger motor vehicles (PMV) sectors. The period from 1986, therefore, presents a </w:t>
      </w:r>
      <w:r w:rsidR="00DD6F27">
        <w:t xml:space="preserve">30 year window of near </w:t>
      </w:r>
      <w:r>
        <w:t>consistent reduction in trade protection. Using th</w:t>
      </w:r>
      <w:r w:rsidR="00902E3F">
        <w:t>e 1986</w:t>
      </w:r>
      <w:r w:rsidR="00FF3EC0">
        <w:t>–</w:t>
      </w:r>
      <w:r w:rsidR="00902E3F">
        <w:t>2016</w:t>
      </w:r>
      <w:r>
        <w:t xml:space="preserve"> period also excludes </w:t>
      </w:r>
      <w:r w:rsidR="00881354">
        <w:t>the significant short-term swings in the Australian dollar that occurred in the years immediately after its float in</w:t>
      </w:r>
      <w:r w:rsidR="00902E3F">
        <w:t xml:space="preserve"> 1983. </w:t>
      </w:r>
      <w:r>
        <w:t xml:space="preserve">The implications of tariff reductions under </w:t>
      </w:r>
      <w:r w:rsidR="00902E3F">
        <w:t xml:space="preserve">a </w:t>
      </w:r>
      <w:r>
        <w:t>fixed exchange rate</w:t>
      </w:r>
      <w:r w:rsidR="00902E3F">
        <w:t xml:space="preserve"> </w:t>
      </w:r>
      <w:r w:rsidR="00FF3EC0">
        <w:t>are</w:t>
      </w:r>
      <w:r>
        <w:t xml:space="preserve"> quite different from th</w:t>
      </w:r>
      <w:r w:rsidR="00902E3F">
        <w:t>ose under a</w:t>
      </w:r>
      <w:r>
        <w:t xml:space="preserve"> floating exchange rate. Finally, gaining access to the relevant data in earlier years is challenging and acts a</w:t>
      </w:r>
      <w:r w:rsidR="00881354">
        <w:t>s</w:t>
      </w:r>
      <w:r>
        <w:t xml:space="preserve"> barrier to detailed analysis</w:t>
      </w:r>
      <w:r w:rsidR="00127204">
        <w:t>.</w:t>
      </w:r>
    </w:p>
    <w:p w:rsidR="003B3209" w:rsidRPr="00902E3F" w:rsidRDefault="003B3209" w:rsidP="003B3209">
      <w:pPr>
        <w:pStyle w:val="BodyText"/>
      </w:pPr>
      <w:r w:rsidRPr="00E46835">
        <w:t xml:space="preserve">Over the past 30 years the average </w:t>
      </w:r>
      <w:r w:rsidR="00164041">
        <w:t>(</w:t>
      </w:r>
      <w:r w:rsidR="009A7B3F">
        <w:t>import-weighted</w:t>
      </w:r>
      <w:r w:rsidR="00164041">
        <w:t xml:space="preserve">) </w:t>
      </w:r>
      <w:r w:rsidRPr="00E46835">
        <w:t xml:space="preserve">tariff rate applied in Australia has fallen from </w:t>
      </w:r>
      <w:r w:rsidR="004F5D72">
        <w:t>over 7</w:t>
      </w:r>
      <w:r w:rsidRPr="00E46835">
        <w:t xml:space="preserve"> per cent to less than 1 per cent. Individual tariffs have declined from a maximum of nearly 90 per cent down to a maximum </w:t>
      </w:r>
      <w:r w:rsidRPr="00902E3F">
        <w:t>of 5 per cent. Despite the maximum, most tariff lines are duty free. In 2016, 79 per cent of all imports (by value) to Australia attracted no tariff. Almost half of all product categories were tariff free for all countries and least developed countries enjoy tariff free access on all goods.</w:t>
      </w:r>
    </w:p>
    <w:p w:rsidR="003B3209" w:rsidRDefault="003B3209" w:rsidP="003B3209">
      <w:pPr>
        <w:pStyle w:val="BodyText"/>
      </w:pPr>
      <w:r>
        <w:t xml:space="preserve">The period of declining tariffs has coincided with increased trade — both merchandise imports and exports — and increasing integration of the Australian economy with the rest of the world. Chart </w:t>
      </w:r>
      <w:fldSimple w:instr=" REF _Caption5233 ">
        <w:r w:rsidR="00AB4D5D">
          <w:rPr>
            <w:noProof/>
          </w:rPr>
          <w:t>1</w:t>
        </w:r>
        <w:r w:rsidR="00AB4D5D" w:rsidRPr="007F4F56">
          <w:rPr>
            <w:noProof/>
          </w:rPr>
          <w:t>.</w:t>
        </w:r>
        <w:r w:rsidR="00AB4D5D">
          <w:rPr>
            <w:noProof/>
          </w:rPr>
          <w:t>1</w:t>
        </w:r>
      </w:fldSimple>
      <w:r>
        <w:t xml:space="preserve"> shows the volume of merchandise imports and exports over time alongside the Australia’s </w:t>
      </w:r>
      <w:r w:rsidR="00902E3F">
        <w:t>(</w:t>
      </w:r>
      <w:r w:rsidR="009A7B3F">
        <w:t>import-weighted</w:t>
      </w:r>
      <w:r w:rsidR="00902E3F">
        <w:t xml:space="preserve">) </w:t>
      </w:r>
      <w:r>
        <w:t>average tariff rate. Aside from some volatility around the time of the 2008 Global Financial Crisis, trade has increased consistently for 30 years.</w:t>
      </w:r>
      <w:r>
        <w:rPr>
          <w:rStyle w:val="FootnoteReference"/>
        </w:rPr>
        <w:footnoteReference w:id="2"/>
      </w:r>
      <w:r>
        <w:t xml:space="preserve"> </w:t>
      </w:r>
    </w:p>
    <w:p w:rsidR="003B3209" w:rsidRPr="007F4F56" w:rsidRDefault="003B3209" w:rsidP="00BB4371">
      <w:pPr>
        <w:pStyle w:val="Caption"/>
        <w:numPr>
          <w:ilvl w:val="0"/>
          <w:numId w:val="23"/>
        </w:numPr>
        <w:spacing w:before="240"/>
      </w:pPr>
      <w:r w:rsidRPr="007F4F56">
        <w:fldChar w:fldCharType="begin"/>
      </w:r>
      <w:r w:rsidRPr="007F4F56">
        <w:instrText xml:space="preserve"> IF 1 = 1 "</w:instrText>
      </w:r>
      <w:r w:rsidRPr="007F4F56">
        <w:fldChar w:fldCharType="begin"/>
      </w:r>
      <w:r w:rsidRPr="007F4F56">
        <w:instrText xml:space="preserve"> IF </w:instrText>
      </w:r>
      <w:fldSimple w:instr=" STYLEREF &quot;Heading 6&quot; \l \n ">
        <w:r w:rsidR="00AB4D5D">
          <w:rPr>
            <w:noProof/>
          </w:rPr>
          <w:instrText>0</w:instrText>
        </w:r>
      </w:fldSimple>
      <w:r w:rsidRPr="007F4F56">
        <w:instrText xml:space="preserve"> = 0 "</w:instrText>
      </w:r>
      <w:r w:rsidRPr="007F4F56">
        <w:fldChar w:fldCharType="begin"/>
      </w:r>
      <w:r w:rsidRPr="007F4F56">
        <w:instrText xml:space="preserve"> IF </w:instrText>
      </w:r>
      <w:fldSimple w:instr=" STYLEREF &quot;Heading 1&quot; \l \n ">
        <w:r w:rsidR="00AB4D5D">
          <w:rPr>
            <w:noProof/>
          </w:rPr>
          <w:instrText>1</w:instrText>
        </w:r>
      </w:fldSimple>
      <w:r w:rsidRPr="007F4F56">
        <w:instrText xml:space="preserve"> = 0 "" "</w:instrText>
      </w:r>
      <w:fldSimple w:instr=" STYLEREF &quot;Heading 1&quot; \l \n ">
        <w:r w:rsidR="00AB4D5D">
          <w:rPr>
            <w:noProof/>
          </w:rPr>
          <w:instrText>1</w:instrText>
        </w:r>
      </w:fldSimple>
      <w:r w:rsidRPr="007F4F56">
        <w:instrText xml:space="preserve">." </w:instrText>
      </w:r>
      <w:r w:rsidRPr="007F4F56">
        <w:fldChar w:fldCharType="separate"/>
      </w:r>
      <w:r w:rsidR="00AB4D5D">
        <w:rPr>
          <w:noProof/>
        </w:rPr>
        <w:instrText>1</w:instrText>
      </w:r>
      <w:r w:rsidR="00AB4D5D" w:rsidRPr="007F4F56">
        <w:rPr>
          <w:noProof/>
        </w:rPr>
        <w:instrText>.</w:instrText>
      </w:r>
      <w:r w:rsidRPr="007F4F56">
        <w:fldChar w:fldCharType="end"/>
      </w:r>
      <w:r w:rsidRPr="007F4F56">
        <w:instrText>" "</w:instrText>
      </w:r>
      <w:fldSimple w:instr=" STYLEREF &quot;Heading 6&quot; \l \n ">
        <w:r w:rsidRPr="007F4F56">
          <w:rPr>
            <w:noProof/>
          </w:rPr>
          <w:instrText>A</w:instrText>
        </w:r>
      </w:fldSimple>
      <w:r w:rsidRPr="007F4F56">
        <w:instrText xml:space="preserve">." </w:instrText>
      </w:r>
      <w:r w:rsidRPr="007F4F56">
        <w:fldChar w:fldCharType="separate"/>
      </w:r>
      <w:r w:rsidR="0025761E">
        <w:rPr>
          <w:noProof/>
        </w:rPr>
        <w:instrText>1</w:instrText>
      </w:r>
      <w:r w:rsidR="0025761E" w:rsidRPr="007F4F56">
        <w:rPr>
          <w:noProof/>
        </w:rPr>
        <w:instrText>.</w:instrText>
      </w:r>
      <w:r w:rsidRPr="007F4F56">
        <w:fldChar w:fldCharType="end"/>
      </w:r>
      <w:r w:rsidRPr="007F4F56">
        <w:fldChar w:fldCharType="begin"/>
      </w:r>
      <w:r w:rsidRPr="007F4F56">
        <w:instrText xml:space="preserve"> SEQ Item \* ARABIC \s </w:instrText>
      </w:r>
      <w:r w:rsidRPr="007F4F56">
        <w:fldChar w:fldCharType="begin"/>
      </w:r>
      <w:r w:rsidRPr="007F4F56">
        <w:instrText xml:space="preserve"> IF </w:instrText>
      </w:r>
      <w:fldSimple w:instr=" STYLEREF &quot;Heading 6&quot; \l \n ">
        <w:r w:rsidR="00AB4D5D">
          <w:rPr>
            <w:noProof/>
          </w:rPr>
          <w:instrText>0</w:instrText>
        </w:r>
      </w:fldSimple>
      <w:r w:rsidRPr="007F4F56">
        <w:instrText xml:space="preserve"> = 0 "</w:instrText>
      </w:r>
      <w:r w:rsidRPr="007F4F56">
        <w:fldChar w:fldCharType="begin"/>
      </w:r>
      <w:r w:rsidRPr="007F4F56">
        <w:instrText xml:space="preserve"> IF </w:instrText>
      </w:r>
      <w:fldSimple w:instr=" STYLEREF &quot;Heading 1&quot; \l \n ">
        <w:r w:rsidR="00AB4D5D">
          <w:rPr>
            <w:noProof/>
          </w:rPr>
          <w:instrText>1</w:instrText>
        </w:r>
      </w:fldSimple>
      <w:r w:rsidRPr="007F4F56">
        <w:instrText xml:space="preserve"> = 0 "" "1" </w:instrText>
      </w:r>
      <w:r w:rsidRPr="007F4F56">
        <w:fldChar w:fldCharType="separate"/>
      </w:r>
      <w:r w:rsidR="0025761E" w:rsidRPr="007F4F56">
        <w:rPr>
          <w:noProof/>
        </w:rPr>
        <w:instrText>1</w:instrText>
      </w:r>
      <w:r w:rsidRPr="007F4F56">
        <w:fldChar w:fldCharType="end"/>
      </w:r>
      <w:r w:rsidRPr="007F4F56">
        <w:instrText xml:space="preserve">" "6" </w:instrText>
      </w:r>
      <w:r w:rsidRPr="007F4F56">
        <w:fldChar w:fldCharType="separate"/>
      </w:r>
      <w:r w:rsidR="0025761E" w:rsidRPr="007F4F56">
        <w:rPr>
          <w:noProof/>
        </w:rPr>
        <w:instrText>1</w:instrText>
      </w:r>
      <w:r w:rsidRPr="007F4F56">
        <w:fldChar w:fldCharType="end"/>
      </w:r>
      <w:r w:rsidRPr="007F4F56">
        <w:instrText xml:space="preserve"> </w:instrText>
      </w:r>
      <w:r w:rsidRPr="007F4F56">
        <w:fldChar w:fldCharType="separate"/>
      </w:r>
      <w:r w:rsidR="00AB4D5D">
        <w:rPr>
          <w:noProof/>
        </w:rPr>
        <w:instrText>1</w:instrText>
      </w:r>
      <w:r w:rsidRPr="007F4F56">
        <w:fldChar w:fldCharType="end"/>
      </w:r>
      <w:r w:rsidRPr="007F4F56">
        <w:instrText xml:space="preserve">" "" </w:instrText>
      </w:r>
      <w:r w:rsidRPr="007F4F56">
        <w:fldChar w:fldCharType="separate"/>
      </w:r>
      <w:bookmarkStart w:id="5" w:name="_Caption3873"/>
      <w:bookmarkStart w:id="6" w:name="_Caption1249"/>
      <w:bookmarkStart w:id="7" w:name="_Caption7773"/>
      <w:bookmarkStart w:id="8" w:name="_Caption9047"/>
      <w:bookmarkStart w:id="9" w:name="_Caption7094"/>
      <w:bookmarkStart w:id="10" w:name="_Caption4586"/>
      <w:bookmarkStart w:id="11" w:name="_Caption0780"/>
      <w:bookmarkStart w:id="12" w:name="_Caption4613"/>
      <w:bookmarkStart w:id="13" w:name="_Caption6304"/>
      <w:bookmarkStart w:id="14" w:name="_Caption7469"/>
      <w:bookmarkStart w:id="15" w:name="_Caption5233"/>
      <w:bookmarkStart w:id="16" w:name="_Caption1940"/>
      <w:bookmarkStart w:id="17" w:name="_Caption8058"/>
      <w:bookmarkStart w:id="18" w:name="_Caption4278"/>
      <w:bookmarkStart w:id="19" w:name="_Caption6516"/>
      <w:bookmarkStart w:id="20" w:name="_Caption7578"/>
      <w:bookmarkStart w:id="21" w:name="_Caption4506"/>
      <w:bookmarkStart w:id="22" w:name="_Caption8713"/>
      <w:bookmarkStart w:id="23" w:name="_Caption9882"/>
      <w:bookmarkStart w:id="24" w:name="_Caption8047"/>
      <w:bookmarkStart w:id="25" w:name="_Caption5172"/>
      <w:bookmarkStart w:id="26" w:name="_Caption6343"/>
      <w:bookmarkStart w:id="27" w:name="_Caption1812"/>
      <w:bookmarkStart w:id="28" w:name="_Caption8740"/>
      <w:bookmarkStart w:id="29" w:name="_Caption0772"/>
      <w:bookmarkStart w:id="30" w:name="_Toc494120819"/>
      <w:r w:rsidR="0025761E">
        <w:rPr>
          <w:noProof/>
        </w:rPr>
        <w:t>1</w:t>
      </w:r>
      <w:r w:rsidR="0025761E" w:rsidRPr="007F4F56">
        <w:rPr>
          <w:noProof/>
        </w:rPr>
        <w:t>.</w:t>
      </w:r>
      <w:r w:rsidR="0025761E">
        <w:rPr>
          <w:noProof/>
        </w:rPr>
        <w:t>1</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7F4F56">
        <w:fldChar w:fldCharType="end"/>
      </w:r>
      <w:r w:rsidRPr="007F4F56">
        <w:tab/>
        <w:t xml:space="preserve">Falling </w:t>
      </w:r>
      <w:r w:rsidR="00D6640B">
        <w:t xml:space="preserve">Australian </w:t>
      </w:r>
      <w:r w:rsidRPr="007F4F56">
        <w:t xml:space="preserve">tariffs and increasing </w:t>
      </w:r>
      <w:r w:rsidR="00D6640B">
        <w:t xml:space="preserve">Australian </w:t>
      </w:r>
      <w:r w:rsidRPr="007F4F56">
        <w:t>trade</w:t>
      </w:r>
      <w:bookmarkEnd w:id="30"/>
    </w:p>
    <w:tbl>
      <w:tblPr>
        <w:tblStyle w:val="TableGrid"/>
        <w:tblW w:w="7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5"/>
      </w:tblGrid>
      <w:tr w:rsidR="003B3209" w:rsidTr="003B3209">
        <w:trPr>
          <w:cantSplit/>
        </w:trPr>
        <w:tc>
          <w:tcPr>
            <w:tcW w:w="7938" w:type="dxa"/>
            <w:shd w:val="clear" w:color="auto" w:fill="E9E8E5" w:themeFill="background2"/>
            <w:hideMark/>
          </w:tcPr>
          <w:p w:rsidR="003B3209" w:rsidRDefault="00D6640B">
            <w:pPr>
              <w:pStyle w:val="Chart"/>
              <w:jc w:val="center"/>
              <w:rPr>
                <w:lang w:eastAsia="en-AU"/>
              </w:rPr>
            </w:pPr>
            <w:r>
              <w:rPr>
                <w:noProof/>
                <w:lang w:eastAsia="en-AU"/>
              </w:rPr>
              <w:drawing>
                <wp:inline distT="0" distB="0" distL="0" distR="0">
                  <wp:extent cx="5025390" cy="273494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25390" cy="2734945"/>
                          </a:xfrm>
                          <a:prstGeom prst="rect">
                            <a:avLst/>
                          </a:prstGeom>
                          <a:noFill/>
                          <a:ln>
                            <a:noFill/>
                          </a:ln>
                        </pic:spPr>
                      </pic:pic>
                    </a:graphicData>
                  </a:graphic>
                </wp:inline>
              </w:drawing>
            </w:r>
          </w:p>
        </w:tc>
      </w:tr>
    </w:tbl>
    <w:p w:rsidR="003B3209" w:rsidRDefault="003B3209" w:rsidP="003B3209">
      <w:pPr>
        <w:pStyle w:val="Source"/>
      </w:pPr>
      <w:r>
        <w:rPr>
          <w:i/>
        </w:rPr>
        <w:t>Data source:</w:t>
      </w:r>
      <w:r w:rsidR="00DD6F27">
        <w:t xml:space="preserve"> ABS Cat. No. 5368.0 (Table 2) and CIE calculations based on ABS Cat. No. 5368 (Table 2), and Budget Paper No. 1 in various Budgets (</w:t>
      </w:r>
      <w:hyperlink r:id="rId22" w:history="1">
        <w:r w:rsidR="00DD6F27" w:rsidRPr="00E674ED">
          <w:rPr>
            <w:rStyle w:val="Hyperlink"/>
          </w:rPr>
          <w:t>www.budget.gov.au/past_budgets.htm</w:t>
        </w:r>
      </w:hyperlink>
      <w:r w:rsidR="00DD6F27" w:rsidRPr="00DD6F27">
        <w:t>)</w:t>
      </w:r>
      <w:r w:rsidR="00DD6F27">
        <w:t>.</w:t>
      </w:r>
    </w:p>
    <w:p w:rsidR="003B3209" w:rsidRDefault="003B3209" w:rsidP="003B3209">
      <w:pPr>
        <w:pStyle w:val="BodyText"/>
      </w:pPr>
      <w:r>
        <w:t xml:space="preserve">Increased trade volumes are both a driver and consequence of economic growth. Chart </w:t>
      </w:r>
      <w:fldSimple w:instr=" REF _Caption3075 ">
        <w:r w:rsidR="00AB4D5D">
          <w:rPr>
            <w:noProof/>
          </w:rPr>
          <w:t>1.2</w:t>
        </w:r>
      </w:fldSimple>
      <w:r>
        <w:t xml:space="preserve"> shows how </w:t>
      </w:r>
      <w:r w:rsidR="00A5300E">
        <w:t xml:space="preserve">total — merchandise and service — </w:t>
      </w:r>
      <w:r>
        <w:t xml:space="preserve">trade is becoming an increasingly important part of the Australian economy. As a share of GDP, both imports and exports have increased since 1986. </w:t>
      </w:r>
      <w:r w:rsidR="00A5300E">
        <w:t>Total</w:t>
      </w:r>
      <w:r>
        <w:t xml:space="preserve"> exports have increased from </w:t>
      </w:r>
      <w:r w:rsidR="00A5300E">
        <w:t>being equivalent to 15</w:t>
      </w:r>
      <w:r>
        <w:t>.1 per cent of GDP in 198</w:t>
      </w:r>
      <w:r w:rsidR="00A5300E">
        <w:t>6</w:t>
      </w:r>
      <w:r>
        <w:t xml:space="preserve"> to a peak of </w:t>
      </w:r>
      <w:r w:rsidR="00A5300E">
        <w:t>22.3</w:t>
      </w:r>
      <w:r>
        <w:t xml:space="preserve"> per cent in 20</w:t>
      </w:r>
      <w:r w:rsidR="00A5300E">
        <w:t>08</w:t>
      </w:r>
      <w:r>
        <w:t xml:space="preserve">. </w:t>
      </w:r>
      <w:r w:rsidR="00A5300E">
        <w:t>Total i</w:t>
      </w:r>
      <w:r>
        <w:t>mports have increased from 1</w:t>
      </w:r>
      <w:r w:rsidR="00A5300E">
        <w:t>7.7</w:t>
      </w:r>
      <w:r>
        <w:t xml:space="preserve"> per cent </w:t>
      </w:r>
      <w:r w:rsidR="00A5300E">
        <w:t xml:space="preserve">of GDP </w:t>
      </w:r>
      <w:r>
        <w:t>in 19</w:t>
      </w:r>
      <w:r w:rsidR="00A5300E">
        <w:t>86</w:t>
      </w:r>
      <w:r>
        <w:t xml:space="preserve"> to </w:t>
      </w:r>
      <w:r w:rsidR="00A5300E">
        <w:t>a high of 23.5</w:t>
      </w:r>
      <w:r>
        <w:t xml:space="preserve"> per cent in 2008</w:t>
      </w:r>
      <w:r w:rsidR="00A5300E">
        <w:t>,</w:t>
      </w:r>
      <w:r>
        <w:t xml:space="preserve"> and currently sit</w:t>
      </w:r>
      <w:r w:rsidR="00A5300E">
        <w:t>s</w:t>
      </w:r>
      <w:r>
        <w:t xml:space="preserve"> at </w:t>
      </w:r>
      <w:r w:rsidR="00A5300E">
        <w:t>20.2</w:t>
      </w:r>
      <w:r>
        <w:t xml:space="preserve"> per cent of GDP. </w:t>
      </w:r>
      <w:r w:rsidR="00A5300E">
        <w:t xml:space="preserve">Total trade </w:t>
      </w:r>
      <w:r w:rsidR="00E71CA7">
        <w:t>wa</w:t>
      </w:r>
      <w:r w:rsidR="00A5300E">
        <w:t>s equivalent to 39.7 per cent of GDP in 2016.</w:t>
      </w:r>
    </w:p>
    <w:p w:rsidR="003B3209" w:rsidRDefault="003B3209" w:rsidP="003B3209">
      <w:pPr>
        <w:pStyle w:val="Caption"/>
        <w:numPr>
          <w:ilvl w:val="0"/>
          <w:numId w:val="23"/>
        </w:numPr>
      </w:pPr>
      <w:r>
        <w:fldChar w:fldCharType="begin"/>
      </w:r>
      <w:r>
        <w:instrText xml:space="preserve"> IF 1 = 1 "</w:instrText>
      </w:r>
      <w:r>
        <w:fldChar w:fldCharType="begin"/>
      </w:r>
      <w:r>
        <w:instrText xml:space="preserve"> IF </w:instrText>
      </w:r>
      <w:fldSimple w:instr=" STYLEREF &quot;Heading 6&quot; \l \n ">
        <w:r w:rsidR="00AB4D5D">
          <w:rPr>
            <w:noProof/>
          </w:rPr>
          <w:instrText>0</w:instrText>
        </w:r>
      </w:fldSimple>
      <w:r>
        <w:instrText xml:space="preserve"> = 0 "</w:instrText>
      </w:r>
      <w:r>
        <w:fldChar w:fldCharType="begin"/>
      </w:r>
      <w:r>
        <w:instrText xml:space="preserve"> IF </w:instrText>
      </w:r>
      <w:fldSimple w:instr=" STYLEREF &quot;Heading 1&quot; \l \n ">
        <w:r w:rsidR="00AB4D5D">
          <w:rPr>
            <w:noProof/>
          </w:rPr>
          <w:instrText>1</w:instrText>
        </w:r>
      </w:fldSimple>
      <w:r>
        <w:instrText xml:space="preserve"> = 0 "" "</w:instrText>
      </w:r>
      <w:fldSimple w:instr=" STYLEREF &quot;Heading 1&quot; \l \n ">
        <w:r w:rsidR="00AB4D5D">
          <w:rPr>
            <w:noProof/>
          </w:rPr>
          <w:instrText>1</w:instrText>
        </w:r>
      </w:fldSimple>
      <w:r>
        <w:instrText xml:space="preserve">." </w:instrText>
      </w:r>
      <w:r>
        <w:fldChar w:fldCharType="separate"/>
      </w:r>
      <w:r w:rsidR="00AB4D5D">
        <w:rPr>
          <w:noProof/>
        </w:rPr>
        <w:instrText>1.</w:instrText>
      </w:r>
      <w:r>
        <w:fldChar w:fldCharType="end"/>
      </w:r>
      <w:r>
        <w:instrText>" "</w:instrText>
      </w:r>
      <w:fldSimple w:instr=" STYLEREF &quot;Heading 6&quot; \l \n ">
        <w:r>
          <w:rPr>
            <w:noProof/>
          </w:rPr>
          <w:instrText>A</w:instrText>
        </w:r>
      </w:fldSimple>
      <w:r>
        <w:instrText xml:space="preserve">." </w:instrText>
      </w:r>
      <w:r>
        <w:fldChar w:fldCharType="separate"/>
      </w:r>
      <w:r w:rsidR="0025761E">
        <w:rPr>
          <w:noProof/>
        </w:rPr>
        <w:instrText>1.</w:instrText>
      </w:r>
      <w:r>
        <w:fldChar w:fldCharType="end"/>
      </w:r>
      <w:r>
        <w:fldChar w:fldCharType="begin"/>
      </w:r>
      <w:r>
        <w:instrText xml:space="preserve"> SEQ Item \* ARABIC \s </w:instrText>
      </w:r>
      <w:r>
        <w:fldChar w:fldCharType="begin"/>
      </w:r>
      <w:r>
        <w:instrText xml:space="preserve"> IF </w:instrText>
      </w:r>
      <w:fldSimple w:instr=" STYLEREF &quot;Heading 6&quot; \l \n ">
        <w:r w:rsidR="00AB4D5D">
          <w:rPr>
            <w:noProof/>
          </w:rPr>
          <w:instrText>0</w:instrText>
        </w:r>
      </w:fldSimple>
      <w:r>
        <w:instrText xml:space="preserve"> = 0 "</w:instrText>
      </w:r>
      <w:r>
        <w:fldChar w:fldCharType="begin"/>
      </w:r>
      <w:r>
        <w:instrText xml:space="preserve"> IF </w:instrText>
      </w:r>
      <w:fldSimple w:instr=" STYLEREF &quot;Heading 1&quot; \l \n ">
        <w:r w:rsidR="00AB4D5D">
          <w:rPr>
            <w:noProof/>
          </w:rPr>
          <w:instrText>1</w:instrText>
        </w:r>
      </w:fldSimple>
      <w:r>
        <w:instrText xml:space="preserve"> = 0 "" "1" </w:instrText>
      </w:r>
      <w:r>
        <w:fldChar w:fldCharType="separate"/>
      </w:r>
      <w:r w:rsidR="0025761E">
        <w:rPr>
          <w:noProof/>
        </w:rPr>
        <w:instrText>1</w:instrText>
      </w:r>
      <w:r>
        <w:fldChar w:fldCharType="end"/>
      </w:r>
      <w:r>
        <w:instrText xml:space="preserve">" "6" </w:instrText>
      </w:r>
      <w:r>
        <w:fldChar w:fldCharType="separate"/>
      </w:r>
      <w:r w:rsidR="0025761E">
        <w:rPr>
          <w:noProof/>
        </w:rPr>
        <w:instrText>1</w:instrText>
      </w:r>
      <w:r>
        <w:fldChar w:fldCharType="end"/>
      </w:r>
      <w:r>
        <w:instrText xml:space="preserve"> </w:instrText>
      </w:r>
      <w:r>
        <w:fldChar w:fldCharType="separate"/>
      </w:r>
      <w:r w:rsidR="00AB4D5D">
        <w:rPr>
          <w:noProof/>
        </w:rPr>
        <w:instrText>2</w:instrText>
      </w:r>
      <w:r>
        <w:fldChar w:fldCharType="end"/>
      </w:r>
      <w:r>
        <w:instrText xml:space="preserve">" "" </w:instrText>
      </w:r>
      <w:r>
        <w:fldChar w:fldCharType="separate"/>
      </w:r>
      <w:bookmarkStart w:id="31" w:name="_Caption3044"/>
      <w:bookmarkStart w:id="32" w:name="_Caption2290"/>
      <w:bookmarkStart w:id="33" w:name="_Caption9600"/>
      <w:bookmarkStart w:id="34" w:name="_Caption6844"/>
      <w:bookmarkStart w:id="35" w:name="_Caption5919"/>
      <w:bookmarkStart w:id="36" w:name="_Caption0351"/>
      <w:bookmarkStart w:id="37" w:name="_Caption9120"/>
      <w:bookmarkStart w:id="38" w:name="_Caption9754"/>
      <w:bookmarkStart w:id="39" w:name="_Caption4102"/>
      <w:bookmarkStart w:id="40" w:name="_Caption3075"/>
      <w:bookmarkStart w:id="41" w:name="_Caption5028"/>
      <w:bookmarkStart w:id="42" w:name="_Caption5636"/>
      <w:bookmarkStart w:id="43" w:name="_Caption1852"/>
      <w:bookmarkStart w:id="44" w:name="_Caption2076"/>
      <w:bookmarkStart w:id="45" w:name="_Caption2697"/>
      <w:bookmarkStart w:id="46" w:name="_Caption4752"/>
      <w:bookmarkStart w:id="47" w:name="_Caption3331"/>
      <w:bookmarkStart w:id="48" w:name="_Caption9959"/>
      <w:bookmarkStart w:id="49" w:name="_Caption2910"/>
      <w:bookmarkStart w:id="50" w:name="_Caption9457"/>
      <w:bookmarkStart w:id="51" w:name="_Caption1688"/>
      <w:bookmarkStart w:id="52" w:name="_Caption3633"/>
      <w:bookmarkStart w:id="53" w:name="_Caption3628"/>
      <w:bookmarkStart w:id="54" w:name="_Caption0730"/>
      <w:bookmarkStart w:id="55" w:name="_Caption8697"/>
      <w:bookmarkStart w:id="56" w:name="_Toc494120820"/>
      <w:r w:rsidR="0025761E">
        <w:rPr>
          <w:noProof/>
        </w:rPr>
        <w:t>1.2</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fldChar w:fldCharType="end"/>
      </w:r>
      <w:r>
        <w:tab/>
      </w:r>
      <w:r w:rsidR="00D6640B">
        <w:t>Australia’s i</w:t>
      </w:r>
      <w:r>
        <w:t xml:space="preserve">ncreasing </w:t>
      </w:r>
      <w:r w:rsidR="00D6640B">
        <w:t xml:space="preserve">trade </w:t>
      </w:r>
      <w:r>
        <w:t>integration</w:t>
      </w:r>
      <w:r w:rsidR="00D6640B">
        <w:t xml:space="preserve"> with the world</w:t>
      </w:r>
      <w:bookmarkEnd w:id="56"/>
    </w:p>
    <w:tbl>
      <w:tblPr>
        <w:tblStyle w:val="TableGrid"/>
        <w:tblW w:w="7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5"/>
      </w:tblGrid>
      <w:tr w:rsidR="003B3209" w:rsidTr="003B3209">
        <w:trPr>
          <w:cantSplit/>
        </w:trPr>
        <w:tc>
          <w:tcPr>
            <w:tcW w:w="7938" w:type="dxa"/>
            <w:shd w:val="clear" w:color="auto" w:fill="E9E8E5" w:themeFill="background2"/>
            <w:hideMark/>
          </w:tcPr>
          <w:p w:rsidR="003B3209" w:rsidRDefault="00D6640B" w:rsidP="007F4F56">
            <w:pPr>
              <w:pStyle w:val="BodyText"/>
              <w:spacing w:before="0"/>
              <w:jc w:val="center"/>
            </w:pPr>
            <w:r>
              <w:rPr>
                <w:noProof/>
              </w:rPr>
              <w:drawing>
                <wp:inline distT="0" distB="0" distL="0" distR="0">
                  <wp:extent cx="4865392" cy="2781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3162" b="1728"/>
                          <a:stretch/>
                        </pic:blipFill>
                        <pic:spPr bwMode="auto">
                          <a:xfrm>
                            <a:off x="0" y="0"/>
                            <a:ext cx="4866484" cy="278192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B3209" w:rsidRDefault="003B3209" w:rsidP="003B3209">
      <w:pPr>
        <w:pStyle w:val="Source"/>
      </w:pPr>
      <w:r>
        <w:rPr>
          <w:i/>
        </w:rPr>
        <w:t>Data source:</w:t>
      </w:r>
      <w:r>
        <w:t xml:space="preserve"> ABS Cat. Nos. 5206.0 (Table 3) and 5368.0 (Table 2), and CIE calculations.</w:t>
      </w:r>
    </w:p>
    <w:p w:rsidR="003B3209" w:rsidRDefault="003B3209" w:rsidP="004F5D72">
      <w:pPr>
        <w:pStyle w:val="Heading2"/>
        <w:numPr>
          <w:ilvl w:val="1"/>
          <w:numId w:val="33"/>
        </w:numPr>
      </w:pPr>
      <w:bookmarkStart w:id="57" w:name="_Toc494120810"/>
      <w:r w:rsidRPr="00DD6F27">
        <w:t>Liberalisation history</w:t>
      </w:r>
      <w:bookmarkEnd w:id="57"/>
    </w:p>
    <w:p w:rsidR="003B3209" w:rsidRDefault="003B3209" w:rsidP="003B3209">
      <w:pPr>
        <w:pStyle w:val="BodyText"/>
      </w:pPr>
      <w:r w:rsidRPr="00E87C59">
        <w:t>Australia has pursued trade liberalisation through three different avenues — unilateral liberalisation, regional or bilateral liberalisation, and multilateral liberalisation under the auspices of the GATT</w:t>
      </w:r>
      <w:r w:rsidR="00DD6F27" w:rsidRPr="00E87C59">
        <w:t xml:space="preserve"> </w:t>
      </w:r>
      <w:r w:rsidR="00127204" w:rsidRPr="00E87C59">
        <w:t xml:space="preserve">and </w:t>
      </w:r>
      <w:r w:rsidRPr="00E87C59">
        <w:t xml:space="preserve">then </w:t>
      </w:r>
      <w:r w:rsidR="00DD6F27" w:rsidRPr="00E87C59">
        <w:t xml:space="preserve">the </w:t>
      </w:r>
      <w:r w:rsidRPr="00E87C59">
        <w:t xml:space="preserve">WTO. </w:t>
      </w:r>
      <w:r w:rsidR="0098671C">
        <w:t xml:space="preserve">As can be seen from </w:t>
      </w:r>
      <w:r w:rsidR="0098671C" w:rsidRPr="00E87C59">
        <w:t>chart</w:t>
      </w:r>
      <w:r w:rsidR="0098671C">
        <w:t> </w:t>
      </w:r>
      <w:fldSimple w:instr=" REF _Caption6964  \* MERGEFORMAT ">
        <w:r w:rsidR="00AB4D5D">
          <w:t>1</w:t>
        </w:r>
        <w:r w:rsidR="00AB4D5D" w:rsidRPr="007F4F56">
          <w:t>.</w:t>
        </w:r>
        <w:r w:rsidR="00AB4D5D">
          <w:t>3</w:t>
        </w:r>
      </w:fldSimple>
      <w:r w:rsidR="0098671C">
        <w:t>,</w:t>
      </w:r>
      <w:r w:rsidRPr="00E87C59">
        <w:t xml:space="preserve"> </w:t>
      </w:r>
      <w:r w:rsidR="0098671C">
        <w:t xml:space="preserve">the various </w:t>
      </w:r>
      <w:r w:rsidRPr="00E87C59">
        <w:t xml:space="preserve">trade liberalisation </w:t>
      </w:r>
      <w:r w:rsidR="0098671C">
        <w:t xml:space="preserve">avenues pursued </w:t>
      </w:r>
      <w:r w:rsidRPr="00E87C59">
        <w:t xml:space="preserve">by Australia has lowered the </w:t>
      </w:r>
      <w:r w:rsidR="00164041">
        <w:t>average (</w:t>
      </w:r>
      <w:r w:rsidR="009A7B3F">
        <w:t>import-weighted</w:t>
      </w:r>
      <w:r w:rsidR="00164041">
        <w:t>)</w:t>
      </w:r>
      <w:r w:rsidRPr="00E87C59">
        <w:t xml:space="preserve"> tariff rate from around 7 per cent in 1986 to under 1 per cent in 2016.</w:t>
      </w:r>
    </w:p>
    <w:p w:rsidR="003B3209" w:rsidRPr="007F4F56" w:rsidRDefault="003B3209" w:rsidP="00D9769B">
      <w:pPr>
        <w:pStyle w:val="Caption"/>
        <w:numPr>
          <w:ilvl w:val="0"/>
          <w:numId w:val="23"/>
        </w:numPr>
        <w:spacing w:before="240"/>
      </w:pPr>
      <w:r w:rsidRPr="007F4F56">
        <w:fldChar w:fldCharType="begin"/>
      </w:r>
      <w:r w:rsidRPr="007F4F56">
        <w:instrText xml:space="preserve"> IF 1 = 1 "</w:instrText>
      </w:r>
      <w:r w:rsidRPr="007F4F56">
        <w:fldChar w:fldCharType="begin"/>
      </w:r>
      <w:r w:rsidRPr="007F4F56">
        <w:instrText xml:space="preserve"> IF </w:instrText>
      </w:r>
      <w:fldSimple w:instr=" STYLEREF &quot;Heading 6&quot; \l \n ">
        <w:r w:rsidR="00AB4D5D">
          <w:rPr>
            <w:noProof/>
          </w:rPr>
          <w:instrText>0</w:instrText>
        </w:r>
      </w:fldSimple>
      <w:r w:rsidRPr="007F4F56">
        <w:instrText xml:space="preserve"> = 0 "</w:instrText>
      </w:r>
      <w:r w:rsidRPr="007F4F56">
        <w:fldChar w:fldCharType="begin"/>
      </w:r>
      <w:r w:rsidRPr="007F4F56">
        <w:instrText xml:space="preserve"> IF </w:instrText>
      </w:r>
      <w:fldSimple w:instr=" STYLEREF &quot;Heading 1&quot; \l \n ">
        <w:r w:rsidR="00AB4D5D">
          <w:rPr>
            <w:noProof/>
          </w:rPr>
          <w:instrText>1</w:instrText>
        </w:r>
      </w:fldSimple>
      <w:r w:rsidRPr="007F4F56">
        <w:instrText xml:space="preserve"> = 0 "" "</w:instrText>
      </w:r>
      <w:fldSimple w:instr=" STYLEREF &quot;Heading 1&quot; \l \n ">
        <w:r w:rsidR="00AB4D5D">
          <w:rPr>
            <w:noProof/>
          </w:rPr>
          <w:instrText>1</w:instrText>
        </w:r>
      </w:fldSimple>
      <w:r w:rsidRPr="007F4F56">
        <w:instrText xml:space="preserve">." </w:instrText>
      </w:r>
      <w:r w:rsidRPr="007F4F56">
        <w:fldChar w:fldCharType="separate"/>
      </w:r>
      <w:r w:rsidR="00AB4D5D">
        <w:rPr>
          <w:noProof/>
        </w:rPr>
        <w:instrText>1</w:instrText>
      </w:r>
      <w:r w:rsidR="00AB4D5D" w:rsidRPr="007F4F56">
        <w:rPr>
          <w:noProof/>
        </w:rPr>
        <w:instrText>.</w:instrText>
      </w:r>
      <w:r w:rsidRPr="007F4F56">
        <w:fldChar w:fldCharType="end"/>
      </w:r>
      <w:r w:rsidRPr="007F4F56">
        <w:instrText>" "</w:instrText>
      </w:r>
      <w:fldSimple w:instr=" STYLEREF &quot;Heading 6&quot; \l \n ">
        <w:r w:rsidRPr="007F4F56">
          <w:rPr>
            <w:noProof/>
          </w:rPr>
          <w:instrText>A</w:instrText>
        </w:r>
      </w:fldSimple>
      <w:r w:rsidRPr="007F4F56">
        <w:instrText xml:space="preserve">." </w:instrText>
      </w:r>
      <w:r w:rsidRPr="007F4F56">
        <w:fldChar w:fldCharType="separate"/>
      </w:r>
      <w:r w:rsidR="0025761E">
        <w:rPr>
          <w:noProof/>
        </w:rPr>
        <w:instrText>1</w:instrText>
      </w:r>
      <w:r w:rsidR="0025761E" w:rsidRPr="007F4F56">
        <w:rPr>
          <w:noProof/>
        </w:rPr>
        <w:instrText>.</w:instrText>
      </w:r>
      <w:r w:rsidRPr="007F4F56">
        <w:fldChar w:fldCharType="end"/>
      </w:r>
      <w:r w:rsidRPr="007F4F56">
        <w:fldChar w:fldCharType="begin"/>
      </w:r>
      <w:r w:rsidRPr="007F4F56">
        <w:instrText xml:space="preserve"> SEQ Item \* ARABIC \s </w:instrText>
      </w:r>
      <w:r w:rsidRPr="007F4F56">
        <w:fldChar w:fldCharType="begin"/>
      </w:r>
      <w:r w:rsidRPr="007F4F56">
        <w:instrText xml:space="preserve"> IF </w:instrText>
      </w:r>
      <w:fldSimple w:instr=" STYLEREF &quot;Heading 6&quot; \l \n ">
        <w:r w:rsidR="00AB4D5D">
          <w:rPr>
            <w:noProof/>
          </w:rPr>
          <w:instrText>0</w:instrText>
        </w:r>
      </w:fldSimple>
      <w:r w:rsidRPr="007F4F56">
        <w:instrText xml:space="preserve"> = 0 "</w:instrText>
      </w:r>
      <w:r w:rsidRPr="007F4F56">
        <w:fldChar w:fldCharType="begin"/>
      </w:r>
      <w:r w:rsidRPr="007F4F56">
        <w:instrText xml:space="preserve"> IF </w:instrText>
      </w:r>
      <w:fldSimple w:instr=" STYLEREF &quot;Heading 1&quot; \l \n ">
        <w:r w:rsidR="00AB4D5D">
          <w:rPr>
            <w:noProof/>
          </w:rPr>
          <w:instrText>1</w:instrText>
        </w:r>
      </w:fldSimple>
      <w:r w:rsidRPr="007F4F56">
        <w:instrText xml:space="preserve"> = 0 "" "1" </w:instrText>
      </w:r>
      <w:r w:rsidRPr="007F4F56">
        <w:fldChar w:fldCharType="separate"/>
      </w:r>
      <w:r w:rsidR="0025761E" w:rsidRPr="007F4F56">
        <w:rPr>
          <w:noProof/>
        </w:rPr>
        <w:instrText>1</w:instrText>
      </w:r>
      <w:r w:rsidRPr="007F4F56">
        <w:fldChar w:fldCharType="end"/>
      </w:r>
      <w:r w:rsidRPr="007F4F56">
        <w:instrText xml:space="preserve">" "6" </w:instrText>
      </w:r>
      <w:r w:rsidRPr="007F4F56">
        <w:fldChar w:fldCharType="separate"/>
      </w:r>
      <w:r w:rsidR="0025761E" w:rsidRPr="007F4F56">
        <w:rPr>
          <w:noProof/>
        </w:rPr>
        <w:instrText>1</w:instrText>
      </w:r>
      <w:r w:rsidRPr="007F4F56">
        <w:fldChar w:fldCharType="end"/>
      </w:r>
      <w:r w:rsidRPr="007F4F56">
        <w:instrText xml:space="preserve"> </w:instrText>
      </w:r>
      <w:r w:rsidRPr="007F4F56">
        <w:fldChar w:fldCharType="separate"/>
      </w:r>
      <w:r w:rsidR="00AB4D5D">
        <w:rPr>
          <w:noProof/>
        </w:rPr>
        <w:instrText>3</w:instrText>
      </w:r>
      <w:r w:rsidRPr="007F4F56">
        <w:fldChar w:fldCharType="end"/>
      </w:r>
      <w:r w:rsidRPr="007F4F56">
        <w:instrText xml:space="preserve">" "" </w:instrText>
      </w:r>
      <w:r w:rsidRPr="007F4F56">
        <w:fldChar w:fldCharType="separate"/>
      </w:r>
      <w:bookmarkStart w:id="58" w:name="_Caption8186"/>
      <w:bookmarkStart w:id="59" w:name="_Caption0087"/>
      <w:bookmarkStart w:id="60" w:name="_Caption7397"/>
      <w:bookmarkStart w:id="61" w:name="_Caption8141"/>
      <w:bookmarkStart w:id="62" w:name="_Caption9444"/>
      <w:bookmarkStart w:id="63" w:name="_Caption1647"/>
      <w:bookmarkStart w:id="64" w:name="_Caption8626"/>
      <w:bookmarkStart w:id="65" w:name="_Caption5902"/>
      <w:bookmarkStart w:id="66" w:name="_Caption8054"/>
      <w:bookmarkStart w:id="67" w:name="_Caption2607"/>
      <w:bookmarkStart w:id="68" w:name="_Caption6777"/>
      <w:bookmarkStart w:id="69" w:name="_Caption1475"/>
      <w:bookmarkStart w:id="70" w:name="_Caption6662"/>
      <w:bookmarkStart w:id="71" w:name="_Caption6964"/>
      <w:bookmarkStart w:id="72" w:name="_Caption0215"/>
      <w:bookmarkStart w:id="73" w:name="_Caption8811"/>
      <w:bookmarkStart w:id="74" w:name="_Caption6763"/>
      <w:bookmarkStart w:id="75" w:name="_Caption2398"/>
      <w:bookmarkStart w:id="76" w:name="_Caption3372"/>
      <w:bookmarkStart w:id="77" w:name="_Caption4778"/>
      <w:bookmarkStart w:id="78" w:name="_Caption8704"/>
      <w:bookmarkStart w:id="79" w:name="_Caption9511"/>
      <w:bookmarkStart w:id="80" w:name="_Caption7756"/>
      <w:bookmarkStart w:id="81" w:name="_Caption0384"/>
      <w:bookmarkStart w:id="82" w:name="_Caption1296"/>
      <w:bookmarkStart w:id="83" w:name="_Caption9485"/>
      <w:bookmarkStart w:id="84" w:name="_Caption7077"/>
      <w:bookmarkStart w:id="85" w:name="_Caption8180"/>
      <w:bookmarkStart w:id="86" w:name="_Caption5872"/>
      <w:bookmarkStart w:id="87" w:name="_Caption0857"/>
      <w:bookmarkStart w:id="88" w:name="_Toc494120821"/>
      <w:r w:rsidR="0025761E">
        <w:rPr>
          <w:noProof/>
        </w:rPr>
        <w:t>1</w:t>
      </w:r>
      <w:r w:rsidR="0025761E" w:rsidRPr="007F4F56">
        <w:rPr>
          <w:noProof/>
        </w:rPr>
        <w:t>.</w:t>
      </w:r>
      <w:r w:rsidR="0025761E">
        <w:rPr>
          <w:noProof/>
        </w:rPr>
        <w:t>3</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7F4F56">
        <w:fldChar w:fldCharType="end"/>
      </w:r>
      <w:r w:rsidRPr="007F4F56">
        <w:tab/>
        <w:t xml:space="preserve">Estimated </w:t>
      </w:r>
      <w:r w:rsidR="00CC70C8">
        <w:t xml:space="preserve">Australian import-weighted </w:t>
      </w:r>
      <w:r w:rsidRPr="007F4F56">
        <w:t>tariff rate</w:t>
      </w:r>
      <w:bookmarkEnd w:id="88"/>
    </w:p>
    <w:tbl>
      <w:tblPr>
        <w:tblStyle w:val="TableGrid"/>
        <w:tblW w:w="7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5"/>
      </w:tblGrid>
      <w:tr w:rsidR="003B3209" w:rsidTr="003B3209">
        <w:trPr>
          <w:cantSplit/>
        </w:trPr>
        <w:tc>
          <w:tcPr>
            <w:tcW w:w="7938" w:type="dxa"/>
            <w:shd w:val="clear" w:color="auto" w:fill="E9E8E5" w:themeFill="background2"/>
            <w:hideMark/>
          </w:tcPr>
          <w:p w:rsidR="003B3209" w:rsidRDefault="00661AD8" w:rsidP="007F4F56">
            <w:pPr>
              <w:pStyle w:val="Chart"/>
              <w:jc w:val="center"/>
              <w:rPr>
                <w:lang w:eastAsia="en-AU"/>
              </w:rPr>
            </w:pPr>
            <w:r w:rsidRPr="00661AD8">
              <w:rPr>
                <w:noProof/>
                <w:lang w:eastAsia="en-AU"/>
              </w:rPr>
              <w:drawing>
                <wp:inline distT="0" distB="0" distL="0" distR="0">
                  <wp:extent cx="5017135" cy="2997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17135" cy="2997835"/>
                          </a:xfrm>
                          <a:prstGeom prst="rect">
                            <a:avLst/>
                          </a:prstGeom>
                          <a:noFill/>
                          <a:ln>
                            <a:noFill/>
                          </a:ln>
                        </pic:spPr>
                      </pic:pic>
                    </a:graphicData>
                  </a:graphic>
                </wp:inline>
              </w:drawing>
            </w:r>
          </w:p>
        </w:tc>
      </w:tr>
    </w:tbl>
    <w:p w:rsidR="003B3209" w:rsidRPr="00902E3F" w:rsidRDefault="003B3209" w:rsidP="003B3209">
      <w:pPr>
        <w:pStyle w:val="Note"/>
      </w:pPr>
      <w:r>
        <w:rPr>
          <w:i/>
        </w:rPr>
        <w:t>Note: ITA = Information technology agreement, SAFTA = Singapore-Australia FTA, AUSFTA = Australia-US FTA, TAFTA = Thailand-Australia FTA, ACFTA = Australia-Chile FTA, AANZFTA = ASEAN-Australia-New Zealand FTA, MAFTA = Malaysia-Australia FTA, JAEPA = Japan-Australia Economic Partnership Agreement, KAFTA = Korea-Australia FTA, ChAFTA = China-Australia FTA</w:t>
      </w:r>
      <w:r w:rsidR="00902E3F">
        <w:t>.</w:t>
      </w:r>
    </w:p>
    <w:p w:rsidR="003B3209" w:rsidRDefault="003B3209" w:rsidP="003B3209">
      <w:pPr>
        <w:pStyle w:val="Source"/>
      </w:pPr>
      <w:r>
        <w:rPr>
          <w:i/>
        </w:rPr>
        <w:t>Data source:</w:t>
      </w:r>
      <w:r>
        <w:t xml:space="preserve"> CIE calculations based on ABS Cat. No. 5368 (Table 2), and Budget Paper No. 1 in various Budgets (</w:t>
      </w:r>
      <w:hyperlink r:id="rId25" w:history="1">
        <w:r>
          <w:rPr>
            <w:rStyle w:val="Hyperlink"/>
          </w:rPr>
          <w:t>www.budget.gov.au/past_budgets.htm</w:t>
        </w:r>
      </w:hyperlink>
      <w:r w:rsidR="00DD6F27">
        <w:rPr>
          <w:rStyle w:val="Hyperlink"/>
        </w:rPr>
        <w:t>)</w:t>
      </w:r>
      <w:r>
        <w:t>.</w:t>
      </w:r>
    </w:p>
    <w:p w:rsidR="003B3209" w:rsidRPr="003B3209" w:rsidRDefault="003B3209" w:rsidP="003B3209">
      <w:pPr>
        <w:pStyle w:val="BodyText"/>
        <w:rPr>
          <w:spacing w:val="-3"/>
        </w:rPr>
      </w:pPr>
      <w:r w:rsidRPr="003B3209">
        <w:rPr>
          <w:spacing w:val="-3"/>
        </w:rPr>
        <w:t xml:space="preserve">Liberalisation efforts started with unilateral liberalisation cuts in the 1970s. </w:t>
      </w:r>
      <w:r w:rsidR="00902E3F">
        <w:rPr>
          <w:spacing w:val="-3"/>
        </w:rPr>
        <w:t>At that time Australia was using a fixed exchange rate regime, with the t</w:t>
      </w:r>
      <w:r w:rsidRPr="003B3209">
        <w:rPr>
          <w:spacing w:val="-3"/>
        </w:rPr>
        <w:t>ariff reductions</w:t>
      </w:r>
      <w:r w:rsidR="00902E3F">
        <w:rPr>
          <w:spacing w:val="-3"/>
        </w:rPr>
        <w:t xml:space="preserve"> acting</w:t>
      </w:r>
      <w:r w:rsidRPr="003B3209">
        <w:rPr>
          <w:spacing w:val="-3"/>
        </w:rPr>
        <w:t xml:space="preserve"> as a macroeconomic management tool</w:t>
      </w:r>
      <w:r w:rsidR="00902E3F">
        <w:rPr>
          <w:spacing w:val="-3"/>
        </w:rPr>
        <w:t xml:space="preserve"> and used to limit</w:t>
      </w:r>
      <w:r w:rsidRPr="003B3209">
        <w:rPr>
          <w:spacing w:val="-3"/>
        </w:rPr>
        <w:t xml:space="preserve"> currency appreciation. The</w:t>
      </w:r>
      <w:r w:rsidR="00DD6F27">
        <w:rPr>
          <w:spacing w:val="-3"/>
        </w:rPr>
        <w:t>y also</w:t>
      </w:r>
      <w:r w:rsidRPr="003B3209">
        <w:rPr>
          <w:spacing w:val="-3"/>
        </w:rPr>
        <w:t xml:space="preserve"> allowed increased imports into Australia </w:t>
      </w:r>
      <w:r w:rsidR="00902E3F">
        <w:rPr>
          <w:spacing w:val="-3"/>
        </w:rPr>
        <w:t>—</w:t>
      </w:r>
      <w:r w:rsidRPr="003B3209">
        <w:rPr>
          <w:spacing w:val="-3"/>
        </w:rPr>
        <w:t xml:space="preserve"> addressing shortages of goods and inflationary pressures. Overall, goods purchased in Australia became more affordable.</w:t>
      </w:r>
    </w:p>
    <w:p w:rsidR="003B3209" w:rsidRPr="003B3209" w:rsidRDefault="004F5D72" w:rsidP="003B3209">
      <w:pPr>
        <w:pStyle w:val="BodyText"/>
        <w:rPr>
          <w:spacing w:val="-3"/>
        </w:rPr>
      </w:pPr>
      <w:r>
        <w:rPr>
          <w:spacing w:val="-3"/>
        </w:rPr>
        <w:t xml:space="preserve">After significant economywide tariff cuts in 1973, </w:t>
      </w:r>
      <w:r w:rsidR="00902E3F">
        <w:rPr>
          <w:spacing w:val="-3"/>
        </w:rPr>
        <w:t xml:space="preserve">a </w:t>
      </w:r>
      <w:r>
        <w:rPr>
          <w:spacing w:val="-3"/>
        </w:rPr>
        <w:t>r</w:t>
      </w:r>
      <w:r w:rsidR="003B3209" w:rsidRPr="003B3209">
        <w:rPr>
          <w:spacing w:val="-3"/>
        </w:rPr>
        <w:t xml:space="preserve">ecession in 1975 put pressure on the government to support Australian manufacturers. The government increased tariffs on PMVs and introduced import quotas. The TCF industry was also protected by tariffs, bounties and import quotas. By the 1980s, however, there was general recognition that Australian manufacturing was not internationally competitive. </w:t>
      </w:r>
      <w:r w:rsidR="00E9619A">
        <w:rPr>
          <w:spacing w:val="-3"/>
        </w:rPr>
        <w:t xml:space="preserve">As Australia’s </w:t>
      </w:r>
      <w:r w:rsidR="003B3209" w:rsidRPr="003B3209">
        <w:rPr>
          <w:spacing w:val="-3"/>
        </w:rPr>
        <w:t>Industry Minister, J</w:t>
      </w:r>
      <w:r w:rsidR="00824DA5">
        <w:rPr>
          <w:spacing w:val="-3"/>
        </w:rPr>
        <w:t>ohn</w:t>
      </w:r>
      <w:r w:rsidR="003B3209" w:rsidRPr="003B3209">
        <w:rPr>
          <w:spacing w:val="-3"/>
        </w:rPr>
        <w:t xml:space="preserve"> Button, said</w:t>
      </w:r>
      <w:r w:rsidR="00E9619A">
        <w:rPr>
          <w:spacing w:val="-3"/>
        </w:rPr>
        <w:t xml:space="preserve"> in 1983</w:t>
      </w:r>
      <w:r w:rsidR="003B3209" w:rsidRPr="003B3209">
        <w:rPr>
          <w:spacing w:val="-3"/>
        </w:rPr>
        <w:t>:</w:t>
      </w:r>
    </w:p>
    <w:p w:rsidR="003B3209" w:rsidRPr="003B3209" w:rsidRDefault="003B3209" w:rsidP="003B3209">
      <w:pPr>
        <w:pStyle w:val="Quote"/>
        <w:rPr>
          <w:spacing w:val="-3"/>
        </w:rPr>
      </w:pPr>
      <w:r w:rsidRPr="003B3209">
        <w:rPr>
          <w:spacing w:val="-3"/>
        </w:rPr>
        <w:t>Australian manufacturing industry was still focused on the domestic market. Factories were closing. People were not prepared to think much about longer term solutions. There was no export culture.</w:t>
      </w:r>
      <w:r w:rsidRPr="003B3209">
        <w:rPr>
          <w:rStyle w:val="FootnoteReference"/>
          <w:rFonts w:asciiTheme="minorHAnsi" w:hAnsiTheme="minorHAnsi"/>
          <w:spacing w:val="-3"/>
        </w:rPr>
        <w:footnoteReference w:id="3"/>
      </w:r>
    </w:p>
    <w:p w:rsidR="003B3209" w:rsidRPr="003B3209" w:rsidRDefault="003B3209" w:rsidP="003B3209">
      <w:pPr>
        <w:pStyle w:val="BodyText"/>
        <w:spacing w:before="100"/>
        <w:rPr>
          <w:spacing w:val="-3"/>
        </w:rPr>
      </w:pPr>
      <w:r w:rsidRPr="003B3209">
        <w:rPr>
          <w:spacing w:val="-3"/>
        </w:rPr>
        <w:t xml:space="preserve">Further </w:t>
      </w:r>
      <w:r w:rsidR="00953F02">
        <w:rPr>
          <w:spacing w:val="-3"/>
        </w:rPr>
        <w:t xml:space="preserve">economywide </w:t>
      </w:r>
      <w:r w:rsidRPr="003B3209">
        <w:rPr>
          <w:spacing w:val="-3"/>
        </w:rPr>
        <w:t>unilateral tariff reductions followed in 1988 and 1992.</w:t>
      </w:r>
      <w:r w:rsidR="00824DA5">
        <w:rPr>
          <w:rStyle w:val="FootnoteReference"/>
          <w:spacing w:val="-3"/>
        </w:rPr>
        <w:footnoteReference w:id="4"/>
      </w:r>
      <w:r w:rsidRPr="003B3209">
        <w:rPr>
          <w:spacing w:val="-3"/>
        </w:rPr>
        <w:t xml:space="preserve"> By this stage the Australian dollar had been floated which meant adjustments from any further tariff reductions would flow through the economy faster. It also meant that tariff reform became a microeconomic instrument.</w:t>
      </w:r>
    </w:p>
    <w:p w:rsidR="003B3209" w:rsidRPr="003B3209" w:rsidRDefault="00E9619A" w:rsidP="003B3209">
      <w:pPr>
        <w:pStyle w:val="BodyText"/>
        <w:spacing w:before="100"/>
        <w:rPr>
          <w:spacing w:val="-3"/>
        </w:rPr>
      </w:pPr>
      <w:r>
        <w:rPr>
          <w:spacing w:val="-3"/>
        </w:rPr>
        <w:t xml:space="preserve">The </w:t>
      </w:r>
      <w:r w:rsidR="003B3209" w:rsidRPr="003B3209">
        <w:rPr>
          <w:spacing w:val="-3"/>
        </w:rPr>
        <w:t xml:space="preserve">1992 </w:t>
      </w:r>
      <w:r>
        <w:rPr>
          <w:spacing w:val="-3"/>
        </w:rPr>
        <w:t>tariff reductions were implemented during a</w:t>
      </w:r>
      <w:r w:rsidR="00DD6F27">
        <w:rPr>
          <w:spacing w:val="-3"/>
        </w:rPr>
        <w:t xml:space="preserve"> </w:t>
      </w:r>
      <w:r w:rsidR="003B3209" w:rsidRPr="003B3209">
        <w:rPr>
          <w:spacing w:val="-3"/>
        </w:rPr>
        <w:t xml:space="preserve">recession and </w:t>
      </w:r>
      <w:r>
        <w:rPr>
          <w:spacing w:val="-3"/>
        </w:rPr>
        <w:t xml:space="preserve">time of </w:t>
      </w:r>
      <w:r w:rsidR="003B3209" w:rsidRPr="003B3209">
        <w:rPr>
          <w:spacing w:val="-3"/>
        </w:rPr>
        <w:t>high unemployment. Prime Minister Hawke highlighted that past tariff protection in Australia had led to:</w:t>
      </w:r>
    </w:p>
    <w:p w:rsidR="003B3209" w:rsidRPr="003B3209" w:rsidRDefault="00DD6F27" w:rsidP="003B3209">
      <w:pPr>
        <w:pStyle w:val="Quote"/>
        <w:spacing w:before="40"/>
        <w:rPr>
          <w:spacing w:val="-3"/>
        </w:rPr>
      </w:pPr>
      <w:r>
        <w:rPr>
          <w:spacing w:val="-3"/>
        </w:rPr>
        <w:t>…i</w:t>
      </w:r>
      <w:r w:rsidR="003B3209" w:rsidRPr="003B3209">
        <w:rPr>
          <w:spacing w:val="-3"/>
        </w:rPr>
        <w:t>nefficient industries that could not compete overseas; and higher prices for consumers and higher costs for our efficient primary producers. Worse still, tariffs are a regressive burden — the poorest Australians are hurt more than the richest.</w:t>
      </w:r>
      <w:r w:rsidR="003B3209" w:rsidRPr="003B3209">
        <w:rPr>
          <w:rStyle w:val="FootnoteReference"/>
          <w:rFonts w:asciiTheme="minorHAnsi" w:hAnsiTheme="minorHAnsi"/>
          <w:spacing w:val="-3"/>
        </w:rPr>
        <w:footnoteReference w:id="5"/>
      </w:r>
    </w:p>
    <w:p w:rsidR="003B3209" w:rsidRPr="003B3209" w:rsidRDefault="00881354" w:rsidP="003B3209">
      <w:pPr>
        <w:pStyle w:val="BodyText"/>
        <w:spacing w:before="100"/>
        <w:rPr>
          <w:spacing w:val="-3"/>
        </w:rPr>
      </w:pPr>
      <w:r>
        <w:rPr>
          <w:spacing w:val="-3"/>
        </w:rPr>
        <w:t xml:space="preserve">Prime Minister </w:t>
      </w:r>
      <w:r w:rsidR="003B3209" w:rsidRPr="003B3209">
        <w:rPr>
          <w:spacing w:val="-3"/>
        </w:rPr>
        <w:t>Hawke</w:t>
      </w:r>
      <w:r w:rsidR="00E9619A">
        <w:rPr>
          <w:spacing w:val="-3"/>
        </w:rPr>
        <w:t>’</w:t>
      </w:r>
      <w:r w:rsidR="003B3209" w:rsidRPr="003B3209">
        <w:rPr>
          <w:spacing w:val="-3"/>
        </w:rPr>
        <w:t xml:space="preserve">s point was that the tariffs that support domestic industries are paid for by the consumer through higher prices </w:t>
      </w:r>
      <w:r w:rsidR="00E9619A">
        <w:rPr>
          <w:spacing w:val="-3"/>
        </w:rPr>
        <w:t xml:space="preserve">for </w:t>
      </w:r>
      <w:r w:rsidR="003B3209" w:rsidRPr="003B3209">
        <w:rPr>
          <w:spacing w:val="-3"/>
        </w:rPr>
        <w:t xml:space="preserve">both imported and domestic products (compared to if </w:t>
      </w:r>
      <w:r w:rsidR="003B3209" w:rsidRPr="00E87C59">
        <w:rPr>
          <w:spacing w:val="-3"/>
        </w:rPr>
        <w:t>the goods were imported without tariffs, or produced efficiently domestically). The benefit of unilateral tariff liberalisation is removing this burden on consumers and allowing for efficient resource allocation within the economy.</w:t>
      </w:r>
      <w:r w:rsidR="004F5D72" w:rsidRPr="00E87C59">
        <w:rPr>
          <w:spacing w:val="-3"/>
        </w:rPr>
        <w:t xml:space="preserve"> </w:t>
      </w:r>
      <w:r w:rsidR="003B3209" w:rsidRPr="003B3209">
        <w:rPr>
          <w:spacing w:val="-3"/>
        </w:rPr>
        <w:t xml:space="preserve">In addition to </w:t>
      </w:r>
      <w:r>
        <w:rPr>
          <w:spacing w:val="-3"/>
        </w:rPr>
        <w:t>these sources of benefit</w:t>
      </w:r>
      <w:r w:rsidR="003B3209" w:rsidRPr="003B3209">
        <w:rPr>
          <w:spacing w:val="-3"/>
        </w:rPr>
        <w:t>, a reduction of trade restrictions can:</w:t>
      </w:r>
    </w:p>
    <w:p w:rsidR="003B3209" w:rsidRPr="003B3209" w:rsidRDefault="003B3209" w:rsidP="003B3209">
      <w:pPr>
        <w:pStyle w:val="ListBullet"/>
        <w:numPr>
          <w:ilvl w:val="0"/>
          <w:numId w:val="24"/>
        </w:numPr>
        <w:spacing w:before="50"/>
        <w:rPr>
          <w:spacing w:val="-3"/>
        </w:rPr>
      </w:pPr>
      <w:r w:rsidRPr="003B3209">
        <w:rPr>
          <w:spacing w:val="-3"/>
        </w:rPr>
        <w:t>improve dynamic productivity by providing greater incentive for firms to innovate and improve</w:t>
      </w:r>
    </w:p>
    <w:p w:rsidR="00E9619A" w:rsidRDefault="003B3209" w:rsidP="003B3209">
      <w:pPr>
        <w:pStyle w:val="ListBullet"/>
        <w:numPr>
          <w:ilvl w:val="0"/>
          <w:numId w:val="24"/>
        </w:numPr>
        <w:spacing w:before="50"/>
        <w:rPr>
          <w:spacing w:val="-3"/>
        </w:rPr>
      </w:pPr>
      <w:r w:rsidRPr="00E9619A">
        <w:rPr>
          <w:spacing w:val="-3"/>
        </w:rPr>
        <w:t>reduce unemployment effects through a more competitive labour market</w:t>
      </w:r>
    </w:p>
    <w:p w:rsidR="003B3209" w:rsidRPr="00E9619A" w:rsidRDefault="003B3209" w:rsidP="003B3209">
      <w:pPr>
        <w:pStyle w:val="ListBullet"/>
        <w:numPr>
          <w:ilvl w:val="0"/>
          <w:numId w:val="24"/>
        </w:numPr>
        <w:spacing w:before="50"/>
        <w:rPr>
          <w:spacing w:val="-3"/>
        </w:rPr>
      </w:pPr>
      <w:r w:rsidRPr="00E9619A">
        <w:rPr>
          <w:spacing w:val="-3"/>
        </w:rPr>
        <w:t xml:space="preserve">avoid administrative </w:t>
      </w:r>
      <w:r w:rsidR="00E9619A">
        <w:rPr>
          <w:spacing w:val="-3"/>
        </w:rPr>
        <w:t>costs</w:t>
      </w:r>
      <w:r w:rsidRPr="00E9619A">
        <w:rPr>
          <w:spacing w:val="-3"/>
        </w:rPr>
        <w:t xml:space="preserve"> associated with managing tariff systems.</w:t>
      </w:r>
    </w:p>
    <w:p w:rsidR="003B3209" w:rsidRPr="003B3209" w:rsidRDefault="003B3209" w:rsidP="003B3209">
      <w:pPr>
        <w:pStyle w:val="BodyText"/>
        <w:spacing w:before="100"/>
        <w:rPr>
          <w:spacing w:val="-3"/>
        </w:rPr>
      </w:pPr>
      <w:r w:rsidRPr="003B3209">
        <w:rPr>
          <w:spacing w:val="-3"/>
        </w:rPr>
        <w:t xml:space="preserve">Through the late 1980s Australia also participated in the multilateral trade negotiations </w:t>
      </w:r>
      <w:r w:rsidR="00DD6F27">
        <w:rPr>
          <w:spacing w:val="-3"/>
        </w:rPr>
        <w:t>through</w:t>
      </w:r>
      <w:r w:rsidRPr="003B3209">
        <w:rPr>
          <w:spacing w:val="-3"/>
        </w:rPr>
        <w:t xml:space="preserve"> the GATT. The outcomes, </w:t>
      </w:r>
      <w:r w:rsidR="00EB2168">
        <w:rPr>
          <w:spacing w:val="-3"/>
        </w:rPr>
        <w:t>while binding</w:t>
      </w:r>
      <w:r w:rsidRPr="003B3209">
        <w:rPr>
          <w:spacing w:val="-3"/>
        </w:rPr>
        <w:t xml:space="preserve">, </w:t>
      </w:r>
      <w:r w:rsidR="00EB2168">
        <w:rPr>
          <w:spacing w:val="-3"/>
        </w:rPr>
        <w:t>had no material impact on</w:t>
      </w:r>
      <w:r w:rsidRPr="003B3209">
        <w:rPr>
          <w:spacing w:val="-3"/>
        </w:rPr>
        <w:t xml:space="preserve"> Australia because of the </w:t>
      </w:r>
      <w:r w:rsidR="00305683">
        <w:rPr>
          <w:spacing w:val="-3"/>
        </w:rPr>
        <w:t xml:space="preserve">larger </w:t>
      </w:r>
      <w:r w:rsidRPr="003B3209">
        <w:rPr>
          <w:spacing w:val="-3"/>
        </w:rPr>
        <w:t>unilateral cuts in applied tariffs</w:t>
      </w:r>
      <w:r w:rsidR="00E9619A">
        <w:rPr>
          <w:spacing w:val="-3"/>
        </w:rPr>
        <w:t xml:space="preserve"> that Australia had already implemented</w:t>
      </w:r>
      <w:r w:rsidRPr="003B3209">
        <w:rPr>
          <w:spacing w:val="-3"/>
        </w:rPr>
        <w:t>.</w:t>
      </w:r>
      <w:r w:rsidRPr="003B3209">
        <w:rPr>
          <w:rStyle w:val="FootnoteReference"/>
          <w:rFonts w:asciiTheme="minorHAnsi" w:hAnsiTheme="minorHAnsi"/>
          <w:spacing w:val="-3"/>
        </w:rPr>
        <w:footnoteReference w:id="6"/>
      </w:r>
      <w:r w:rsidRPr="003B3209">
        <w:rPr>
          <w:spacing w:val="-3"/>
        </w:rPr>
        <w:t xml:space="preserve"> The WTO succeeded the GATT in 1995, with multilateral negotiations continuing in the WTO’s Doha Round from 2001. However, the Doha Round negotiations stalled in 2008 and the Round has not yet been concluded. </w:t>
      </w:r>
    </w:p>
    <w:p w:rsidR="003B3209" w:rsidRDefault="003B3209" w:rsidP="003B3209">
      <w:pPr>
        <w:pStyle w:val="BodyText"/>
        <w:spacing w:before="100"/>
        <w:rPr>
          <w:spacing w:val="-3"/>
        </w:rPr>
      </w:pPr>
      <w:r w:rsidRPr="00E87C59">
        <w:rPr>
          <w:spacing w:val="-3"/>
        </w:rPr>
        <w:t>Since the mid</w:t>
      </w:r>
      <w:r w:rsidR="00E9619A">
        <w:rPr>
          <w:spacing w:val="-3"/>
        </w:rPr>
        <w:t>-</w:t>
      </w:r>
      <w:r w:rsidRPr="00E87C59">
        <w:rPr>
          <w:spacing w:val="-3"/>
        </w:rPr>
        <w:t>2000s Australia’s trade liberalisation efforts have shifted towards bilateral or regional agreements, as well as continuing to implement unilateral tariff reductions in TCF and PMV. Australia is currently party to 10 agreements spanning a total of 16 trading</w:t>
      </w:r>
      <w:r w:rsidRPr="003B3209">
        <w:rPr>
          <w:spacing w:val="-3"/>
        </w:rPr>
        <w:t xml:space="preserve"> partners, with some trading partners being party to numerous agreements. A further </w:t>
      </w:r>
      <w:r w:rsidR="00770E1B">
        <w:rPr>
          <w:spacing w:val="-3"/>
        </w:rPr>
        <w:t>10</w:t>
      </w:r>
      <w:r w:rsidRPr="003B3209">
        <w:rPr>
          <w:spacing w:val="-3"/>
        </w:rPr>
        <w:t xml:space="preserve"> </w:t>
      </w:r>
      <w:r w:rsidR="00770E1B">
        <w:rPr>
          <w:spacing w:val="-3"/>
        </w:rPr>
        <w:t xml:space="preserve">multilateral, </w:t>
      </w:r>
      <w:r w:rsidRPr="003B3209">
        <w:rPr>
          <w:spacing w:val="-3"/>
        </w:rPr>
        <w:t>regional and bilateral agreements are under negotiation, or finalised but have not yet entered into force. Most provisions in earlier agreements with New Zealand (starting in 1933) and Canada (implemented in 1960) have been superseded by tariff reductions achieved by negotiation in the WTO and subsequent bilateral agreements.</w:t>
      </w:r>
      <w:r w:rsidRPr="003B3209">
        <w:rPr>
          <w:rStyle w:val="FootnoteReference"/>
          <w:rFonts w:asciiTheme="minorHAnsi" w:hAnsiTheme="minorHAnsi"/>
          <w:spacing w:val="-3"/>
        </w:rPr>
        <w:footnoteReference w:id="7"/>
      </w:r>
      <w:r w:rsidRPr="003B3209">
        <w:rPr>
          <w:spacing w:val="-3"/>
        </w:rPr>
        <w:t xml:space="preserve"> </w:t>
      </w:r>
    </w:p>
    <w:p w:rsidR="00EF7423" w:rsidRPr="003B3209" w:rsidRDefault="00EF7423" w:rsidP="003B3209">
      <w:pPr>
        <w:pStyle w:val="BodyText"/>
        <w:spacing w:before="100"/>
        <w:rPr>
          <w:spacing w:val="-3"/>
        </w:rPr>
      </w:pPr>
      <w:r>
        <w:t xml:space="preserve">Australia’s current tariff schedules reflect all of these various liberalisation efforts. Appendix </w:t>
      </w:r>
      <w:r w:rsidR="00B4493C">
        <w:t>A</w:t>
      </w:r>
      <w:r>
        <w:t xml:space="preserve"> provides a discussion of the detail and complexity of the resultant tariff schedules, and the </w:t>
      </w:r>
      <w:r w:rsidR="00E9619A">
        <w:t>challenges</w:t>
      </w:r>
      <w:r>
        <w:t xml:space="preserve"> in </w:t>
      </w:r>
      <w:r w:rsidR="00C20A4D">
        <w:t>estimating the effective tariff rate applied to Australia’s imports.</w:t>
      </w:r>
    </w:p>
    <w:p w:rsidR="003B3209" w:rsidRDefault="003B3209" w:rsidP="004F5D72">
      <w:pPr>
        <w:pStyle w:val="Heading1"/>
        <w:numPr>
          <w:ilvl w:val="0"/>
          <w:numId w:val="33"/>
        </w:numPr>
      </w:pPr>
      <w:bookmarkStart w:id="89" w:name="_Toc494120811"/>
      <w:r>
        <w:t xml:space="preserve">International trade and </w:t>
      </w:r>
      <w:r w:rsidR="00045E61">
        <w:t xml:space="preserve">Australian </w:t>
      </w:r>
      <w:r>
        <w:t>employment</w:t>
      </w:r>
      <w:bookmarkEnd w:id="89"/>
    </w:p>
    <w:p w:rsidR="00066066" w:rsidRDefault="00066066" w:rsidP="00066066">
      <w:pPr>
        <w:pStyle w:val="ChapterSummary"/>
      </w:pPr>
      <w:r>
        <w:t xml:space="preserve">This chapter </w:t>
      </w:r>
      <w:r w:rsidR="00891275">
        <w:t>shows that</w:t>
      </w:r>
      <w:r>
        <w:t xml:space="preserve"> </w:t>
      </w:r>
      <w:r w:rsidR="00891275">
        <w:t xml:space="preserve">trade is important to the Australian labour market. </w:t>
      </w:r>
      <w:r>
        <w:t xml:space="preserve">Drawing on input-output tables produced by the Australian Bureau of Statistics, it is estimated that around 1 in 5 Australian </w:t>
      </w:r>
      <w:r w:rsidR="00891275">
        <w:t>workers</w:t>
      </w:r>
      <w:r>
        <w:t xml:space="preserve"> are </w:t>
      </w:r>
      <w:r w:rsidR="00891275">
        <w:t>employed</w:t>
      </w:r>
      <w:r>
        <w:t xml:space="preserve"> in </w:t>
      </w:r>
      <w:r w:rsidR="00AB717B">
        <w:t>trade-related</w:t>
      </w:r>
      <w:r>
        <w:t xml:space="preserve"> activities.</w:t>
      </w:r>
    </w:p>
    <w:p w:rsidR="003B3209" w:rsidRDefault="003B3209" w:rsidP="00E011C3">
      <w:pPr>
        <w:pStyle w:val="BodyText"/>
        <w:spacing w:before="100"/>
      </w:pPr>
      <w:r>
        <w:t>Employment in Australia grew by 72 per cent between 1986 and 2016, increasing from just under 7 million employed persons to nearly 12 million in 2016. However, employment growth has not be</w:t>
      </w:r>
      <w:r w:rsidR="00891275">
        <w:t>en</w:t>
      </w:r>
      <w:r>
        <w:t xml:space="preserve"> consistent across all (aggregated) sectors of the Australian economy. </w:t>
      </w:r>
      <w:r w:rsidR="00891275">
        <w:t>Reflecting longer-term trends in Australia and elsewhere in the developed world, o</w:t>
      </w:r>
      <w:r>
        <w:t xml:space="preserve">ver </w:t>
      </w:r>
      <w:r w:rsidR="00891275">
        <w:t xml:space="preserve">the </w:t>
      </w:r>
      <w:r>
        <w:t>1986</w:t>
      </w:r>
      <w:r w:rsidR="00066066">
        <w:t>–</w:t>
      </w:r>
      <w:r>
        <w:t xml:space="preserve">2016 </w:t>
      </w:r>
      <w:r w:rsidR="00891275">
        <w:t xml:space="preserve">period, </w:t>
      </w:r>
      <w:r>
        <w:t>employment in the agricultural and manufacturing sectors fell by 26 and 17 per cent (respectively)</w:t>
      </w:r>
      <w:r w:rsidR="008D12C1">
        <w:t>. Meanwhile,</w:t>
      </w:r>
      <w:r>
        <w:t xml:space="preserve"> employment in the mining and service sectors grew </w:t>
      </w:r>
      <w:r w:rsidR="00066066">
        <w:t>by</w:t>
      </w:r>
      <w:r>
        <w:t xml:space="preserve"> 121 and 97 per cent (respectively).</w:t>
      </w:r>
    </w:p>
    <w:p w:rsidR="003B3209" w:rsidRDefault="003B3209" w:rsidP="00E011C3">
      <w:pPr>
        <w:pStyle w:val="BodyText"/>
        <w:spacing w:before="100"/>
      </w:pPr>
      <w:r>
        <w:t xml:space="preserve">The varying employment growth rates reflect the fact that employment is mobile within an economy, and as employment </w:t>
      </w:r>
      <w:r w:rsidR="00FC7A91">
        <w:t xml:space="preserve">has </w:t>
      </w:r>
      <w:r>
        <w:t>contract</w:t>
      </w:r>
      <w:r w:rsidR="00FC7A91">
        <w:t>ed</w:t>
      </w:r>
      <w:r>
        <w:t xml:space="preserve"> in one industry it </w:t>
      </w:r>
      <w:r w:rsidR="00FC7A91">
        <w:t xml:space="preserve">has </w:t>
      </w:r>
      <w:r>
        <w:t>increase</w:t>
      </w:r>
      <w:r w:rsidR="00FC7A91">
        <w:t>d</w:t>
      </w:r>
      <w:r>
        <w:t xml:space="preserve"> elsewhere. </w:t>
      </w:r>
    </w:p>
    <w:p w:rsidR="003B3209" w:rsidRDefault="00F60066" w:rsidP="00E011C3">
      <w:pPr>
        <w:pStyle w:val="BodyText"/>
        <w:spacing w:before="100"/>
      </w:pPr>
      <w:r>
        <w:t>T</w:t>
      </w:r>
      <w:r w:rsidR="003B3209">
        <w:t>otal employment depends on the overall level of economic activity</w:t>
      </w:r>
      <w:r w:rsidR="002C6EB3">
        <w:t xml:space="preserve"> and sectoral mix</w:t>
      </w:r>
      <w:r w:rsidR="003B3209">
        <w:t xml:space="preserve">, and not just on the volume of imports or exports. Indeed, population </w:t>
      </w:r>
      <w:r w:rsidR="003B3209" w:rsidRPr="00BE2301">
        <w:t xml:space="preserve">growth, </w:t>
      </w:r>
      <w:r w:rsidRPr="00BE2301">
        <w:t>technological change,</w:t>
      </w:r>
      <w:r>
        <w:t xml:space="preserve"> </w:t>
      </w:r>
      <w:r w:rsidR="003B3209">
        <w:t xml:space="preserve">growing household wealth and shifting consumption patterns can </w:t>
      </w:r>
      <w:r w:rsidR="00BE2301">
        <w:t xml:space="preserve">also </w:t>
      </w:r>
      <w:r w:rsidR="003B3209">
        <w:t xml:space="preserve">be expected to </w:t>
      </w:r>
      <w:r w:rsidR="00BE2301">
        <w:t xml:space="preserve">influence </w:t>
      </w:r>
      <w:r w:rsidR="003B3209">
        <w:t xml:space="preserve">employment. </w:t>
      </w:r>
    </w:p>
    <w:p w:rsidR="003B3209" w:rsidRDefault="00AB717B" w:rsidP="00E011C3">
      <w:pPr>
        <w:pStyle w:val="Heading2"/>
        <w:numPr>
          <w:ilvl w:val="1"/>
          <w:numId w:val="33"/>
        </w:numPr>
        <w:spacing w:before="480"/>
      </w:pPr>
      <w:bookmarkStart w:id="90" w:name="_Toc494120812"/>
      <w:r>
        <w:t>Trade-related</w:t>
      </w:r>
      <w:r w:rsidR="003B3209">
        <w:t xml:space="preserve"> employment</w:t>
      </w:r>
      <w:bookmarkEnd w:id="90"/>
    </w:p>
    <w:p w:rsidR="002C6EB3" w:rsidRDefault="002C6EB3" w:rsidP="00E011C3">
      <w:pPr>
        <w:pStyle w:val="BodyText"/>
        <w:spacing w:before="100"/>
      </w:pPr>
      <w:r>
        <w:t xml:space="preserve">International trade plays an important role in the Australian economy, and as will be seen below, many Australians are employed in trade-related activities. </w:t>
      </w:r>
      <w:r w:rsidR="00AB717B">
        <w:t>Trade-related</w:t>
      </w:r>
      <w:r>
        <w:t xml:space="preserve"> jobs are not only associated with exports, but also imports, which require people to move goods from the port of entry to the end user.</w:t>
      </w:r>
    </w:p>
    <w:p w:rsidR="00BF38D5" w:rsidRDefault="00BF38D5" w:rsidP="00E011C3">
      <w:pPr>
        <w:pStyle w:val="BodyText"/>
        <w:spacing w:before="100"/>
      </w:pPr>
      <w:r>
        <w:t>To calculate the number of jobs that are related to international trade</w:t>
      </w:r>
      <w:r w:rsidR="008D12C1">
        <w:t>,</w:t>
      </w:r>
      <w:r>
        <w:t xml:space="preserve"> ABS input-output tables </w:t>
      </w:r>
      <w:r w:rsidR="008D12C1">
        <w:t xml:space="preserve">produced for the national accounts </w:t>
      </w:r>
      <w:r>
        <w:t>are used. The tables allow us to trace the production of exports to their source and to account for import use.</w:t>
      </w:r>
      <w:r w:rsidR="00F773C4">
        <w:t xml:space="preserve"> </w:t>
      </w:r>
      <w:r w:rsidR="00F773C4" w:rsidRPr="00B4493C">
        <w:t xml:space="preserve">A description of the methodology </w:t>
      </w:r>
      <w:r w:rsidR="00F773C4">
        <w:t>underlying</w:t>
      </w:r>
      <w:r w:rsidR="00F773C4" w:rsidRPr="00B4493C">
        <w:t xml:space="preserve"> the analysis is provided in </w:t>
      </w:r>
      <w:r w:rsidR="00F773C4">
        <w:t>A</w:t>
      </w:r>
      <w:r w:rsidR="00F773C4" w:rsidRPr="00B4493C">
        <w:t>ppendix B.</w:t>
      </w:r>
    </w:p>
    <w:p w:rsidR="003B3209" w:rsidRDefault="00264620" w:rsidP="00E011C3">
      <w:pPr>
        <w:pStyle w:val="BodyText"/>
        <w:spacing w:before="100"/>
      </w:pPr>
      <w:r>
        <w:t>Since 1989-99, it is e</w:t>
      </w:r>
      <w:r w:rsidR="003B3209" w:rsidRPr="00B4493C">
        <w:t xml:space="preserve">stimated that the number of people in the Australian economy employed in </w:t>
      </w:r>
      <w:r>
        <w:t xml:space="preserve">trade-related activities has increased by 15 per cent, to reach </w:t>
      </w:r>
      <w:r w:rsidR="003B3209" w:rsidRPr="00B4493C">
        <w:t>around 2.2 million</w:t>
      </w:r>
      <w:r>
        <w:t xml:space="preserve"> in 2013-14, representing </w:t>
      </w:r>
      <w:r w:rsidR="003B3209" w:rsidRPr="00B4493C">
        <w:t>20 per cent of the total number of people employed</w:t>
      </w:r>
      <w:r w:rsidR="003A04B9" w:rsidRPr="00B4493C">
        <w:t xml:space="preserve"> (see table </w:t>
      </w:r>
      <w:r w:rsidR="00B4493C" w:rsidRPr="00B4493C">
        <w:fldChar w:fldCharType="begin"/>
      </w:r>
      <w:r w:rsidR="00B4493C" w:rsidRPr="00B4493C">
        <w:instrText xml:space="preserve"> REF _Caption4625 </w:instrText>
      </w:r>
      <w:r w:rsidR="00B4493C">
        <w:instrText xml:space="preserve"> \* MERGEFORMAT </w:instrText>
      </w:r>
      <w:r w:rsidR="00B4493C" w:rsidRPr="00B4493C">
        <w:fldChar w:fldCharType="separate"/>
      </w:r>
      <w:r w:rsidR="00AB4D5D">
        <w:rPr>
          <w:noProof/>
        </w:rPr>
        <w:t>2.1</w:t>
      </w:r>
      <w:r w:rsidR="00B4493C" w:rsidRPr="00B4493C">
        <w:rPr>
          <w:noProof/>
        </w:rPr>
        <w:fldChar w:fldCharType="end"/>
      </w:r>
      <w:r w:rsidR="003A04B9" w:rsidRPr="00B4493C">
        <w:t>)</w:t>
      </w:r>
      <w:r w:rsidR="002D3B95">
        <w:t>.</w:t>
      </w:r>
      <w:r w:rsidR="003B3209" w:rsidRPr="00B4493C">
        <w:t xml:space="preserve"> The analysis </w:t>
      </w:r>
      <w:r w:rsidR="002D3B95">
        <w:t xml:space="preserve">therefore </w:t>
      </w:r>
      <w:r w:rsidR="003B3209" w:rsidRPr="00B4493C">
        <w:t xml:space="preserve">suggests that 1 in 5 jobs in the Australian economy are currently </w:t>
      </w:r>
      <w:r w:rsidR="003417BD">
        <w:t>related to</w:t>
      </w:r>
      <w:r w:rsidR="003B3209" w:rsidRPr="00B4493C">
        <w:t xml:space="preserve"> international trade.</w:t>
      </w:r>
      <w:r w:rsidR="003B3209" w:rsidRPr="00B4493C">
        <w:rPr>
          <w:rStyle w:val="FootnoteReference"/>
        </w:rPr>
        <w:footnoteReference w:id="8"/>
      </w:r>
      <w:r w:rsidR="002D3B95" w:rsidRPr="003417BD">
        <w:rPr>
          <w:rStyle w:val="FootnoteReference"/>
        </w:rPr>
        <w:t>,</w:t>
      </w:r>
      <w:r w:rsidR="003B3209" w:rsidRPr="00B4493C">
        <w:t xml:space="preserve"> </w:t>
      </w:r>
      <w:r w:rsidR="00F60066" w:rsidRPr="00B4493C">
        <w:rPr>
          <w:rStyle w:val="FootnoteReference"/>
        </w:rPr>
        <w:footnoteReference w:id="9"/>
      </w:r>
      <w:r w:rsidR="003A04B9" w:rsidRPr="00B4493C">
        <w:t xml:space="preserve"> </w:t>
      </w:r>
    </w:p>
    <w:p w:rsidR="00F60066" w:rsidRDefault="00F60066" w:rsidP="00E011C3">
      <w:pPr>
        <w:pStyle w:val="Caption"/>
        <w:numPr>
          <w:ilvl w:val="0"/>
          <w:numId w:val="23"/>
        </w:numPr>
        <w:spacing w:before="240"/>
      </w:pPr>
      <w:r>
        <w:fldChar w:fldCharType="begin"/>
      </w:r>
      <w:r>
        <w:instrText xml:space="preserve"> IF 1 = 1 "</w:instrText>
      </w:r>
      <w:r>
        <w:fldChar w:fldCharType="begin"/>
      </w:r>
      <w:r>
        <w:instrText xml:space="preserve"> IF </w:instrText>
      </w:r>
      <w:fldSimple w:instr=" STYLEREF &quot;Heading 6&quot; \l \n ">
        <w:r w:rsidR="00AB4D5D">
          <w:rPr>
            <w:noProof/>
          </w:rPr>
          <w:instrText>0</w:instrText>
        </w:r>
      </w:fldSimple>
      <w:r>
        <w:instrText xml:space="preserve"> = 0 "</w:instrText>
      </w:r>
      <w:r>
        <w:fldChar w:fldCharType="begin"/>
      </w:r>
      <w:r>
        <w:instrText xml:space="preserve"> IF </w:instrText>
      </w:r>
      <w:fldSimple w:instr=" STYLEREF &quot;Heading 1&quot; \l \n ">
        <w:r w:rsidR="00AB4D5D">
          <w:rPr>
            <w:noProof/>
          </w:rPr>
          <w:instrText>2</w:instrText>
        </w:r>
      </w:fldSimple>
      <w:r>
        <w:instrText xml:space="preserve"> = 0 "" "</w:instrText>
      </w:r>
      <w:fldSimple w:instr=" STYLEREF &quot;Heading 1&quot; \l \n ">
        <w:r w:rsidR="00AB4D5D">
          <w:rPr>
            <w:noProof/>
          </w:rPr>
          <w:instrText>2</w:instrText>
        </w:r>
      </w:fldSimple>
      <w:r>
        <w:instrText xml:space="preserve">." </w:instrText>
      </w:r>
      <w:r>
        <w:fldChar w:fldCharType="separate"/>
      </w:r>
      <w:r w:rsidR="00AB4D5D">
        <w:rPr>
          <w:noProof/>
        </w:rPr>
        <w:instrText>2.</w:instrText>
      </w:r>
      <w:r>
        <w:fldChar w:fldCharType="end"/>
      </w:r>
      <w:r>
        <w:instrText>" "</w:instrText>
      </w:r>
      <w:fldSimple w:instr=" STYLEREF &quot;Heading 6&quot; \l \n ">
        <w:r>
          <w:instrText>B</w:instrText>
        </w:r>
      </w:fldSimple>
      <w:r>
        <w:instrText xml:space="preserve">." </w:instrText>
      </w:r>
      <w:r>
        <w:fldChar w:fldCharType="separate"/>
      </w:r>
      <w:r w:rsidR="0025761E">
        <w:rPr>
          <w:noProof/>
        </w:rPr>
        <w:instrText>2.</w:instrText>
      </w:r>
      <w:r>
        <w:fldChar w:fldCharType="end"/>
      </w:r>
      <w:r>
        <w:fldChar w:fldCharType="begin"/>
      </w:r>
      <w:r>
        <w:instrText xml:space="preserve"> SEQ Item \* ARABIC \s </w:instrText>
      </w:r>
      <w:r>
        <w:fldChar w:fldCharType="begin"/>
      </w:r>
      <w:r>
        <w:instrText xml:space="preserve"> IF </w:instrText>
      </w:r>
      <w:fldSimple w:instr=" STYLEREF &quot;Heading 6&quot; \l \n ">
        <w:r w:rsidR="00AB4D5D">
          <w:rPr>
            <w:noProof/>
          </w:rPr>
          <w:instrText>0</w:instrText>
        </w:r>
      </w:fldSimple>
      <w:r>
        <w:instrText xml:space="preserve"> = 0 "</w:instrText>
      </w:r>
      <w:r>
        <w:fldChar w:fldCharType="begin"/>
      </w:r>
      <w:r>
        <w:instrText xml:space="preserve"> IF </w:instrText>
      </w:r>
      <w:fldSimple w:instr=" STYLEREF &quot;Heading 1&quot; \l \n ">
        <w:r w:rsidR="00AB4D5D">
          <w:rPr>
            <w:noProof/>
          </w:rPr>
          <w:instrText>2</w:instrText>
        </w:r>
      </w:fldSimple>
      <w:r>
        <w:instrText xml:space="preserve"> = 0 "" "1" </w:instrText>
      </w:r>
      <w:r>
        <w:fldChar w:fldCharType="separate"/>
      </w:r>
      <w:r w:rsidR="0025761E">
        <w:rPr>
          <w:noProof/>
        </w:rPr>
        <w:instrText>1</w:instrText>
      </w:r>
      <w:r>
        <w:fldChar w:fldCharType="end"/>
      </w:r>
      <w:r>
        <w:instrText xml:space="preserve">" "6" </w:instrText>
      </w:r>
      <w:r>
        <w:fldChar w:fldCharType="separate"/>
      </w:r>
      <w:r w:rsidR="0025761E">
        <w:rPr>
          <w:noProof/>
        </w:rPr>
        <w:instrText>1</w:instrText>
      </w:r>
      <w:r>
        <w:fldChar w:fldCharType="end"/>
      </w:r>
      <w:r>
        <w:instrText xml:space="preserve"> </w:instrText>
      </w:r>
      <w:r>
        <w:fldChar w:fldCharType="separate"/>
      </w:r>
      <w:r w:rsidR="00AB4D5D">
        <w:rPr>
          <w:noProof/>
        </w:rPr>
        <w:instrText>1</w:instrText>
      </w:r>
      <w:r>
        <w:fldChar w:fldCharType="end"/>
      </w:r>
      <w:r>
        <w:instrText xml:space="preserve">" "" </w:instrText>
      </w:r>
      <w:r>
        <w:fldChar w:fldCharType="separate"/>
      </w:r>
      <w:bookmarkStart w:id="91" w:name="_Caption6827"/>
      <w:bookmarkStart w:id="92" w:name="_Caption4662"/>
      <w:bookmarkStart w:id="93" w:name="_Caption6661"/>
      <w:bookmarkStart w:id="94" w:name="_Caption9923"/>
      <w:bookmarkStart w:id="95" w:name="_Caption8711"/>
      <w:bookmarkStart w:id="96" w:name="_Caption5148"/>
      <w:bookmarkStart w:id="97" w:name="_Caption4625"/>
      <w:bookmarkStart w:id="98" w:name="_Caption1817"/>
      <w:bookmarkStart w:id="99" w:name="_Caption1965"/>
      <w:bookmarkStart w:id="100" w:name="_Caption2244"/>
      <w:bookmarkStart w:id="101" w:name="_Caption7008"/>
      <w:bookmarkStart w:id="102" w:name="_Caption9826"/>
      <w:bookmarkStart w:id="103" w:name="_Caption2332"/>
      <w:bookmarkStart w:id="104" w:name="_Caption0144"/>
      <w:bookmarkStart w:id="105" w:name="_Caption5728"/>
      <w:bookmarkStart w:id="106" w:name="_Caption6124"/>
      <w:bookmarkStart w:id="107" w:name="_Caption0681"/>
      <w:bookmarkStart w:id="108" w:name="_Caption0475"/>
      <w:bookmarkStart w:id="109" w:name="_Caption2651"/>
      <w:bookmarkStart w:id="110" w:name="_Caption9059"/>
      <w:bookmarkStart w:id="111" w:name="_Caption0025"/>
      <w:bookmarkStart w:id="112" w:name="_Caption1107"/>
      <w:bookmarkStart w:id="113" w:name="_Caption2490"/>
      <w:bookmarkStart w:id="114" w:name="_Caption1501"/>
      <w:bookmarkStart w:id="115" w:name="_Caption8548"/>
      <w:bookmarkStart w:id="116" w:name="_Toc494120822"/>
      <w:r w:rsidR="0025761E">
        <w:rPr>
          <w:noProof/>
        </w:rPr>
        <w:t>2.1</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fldChar w:fldCharType="end"/>
      </w:r>
      <w:r>
        <w:tab/>
      </w:r>
      <w:r w:rsidR="003417BD">
        <w:t>Australian e</w:t>
      </w:r>
      <w:r>
        <w:t>mployment related to international trade</w:t>
      </w:r>
      <w:bookmarkEnd w:id="116"/>
    </w:p>
    <w:tbl>
      <w:tblPr>
        <w:tblW w:w="7940" w:type="dxa"/>
        <w:tblLayout w:type="fixed"/>
        <w:tblLook w:val="04A0" w:firstRow="1" w:lastRow="0" w:firstColumn="1" w:lastColumn="0" w:noHBand="0" w:noVBand="1"/>
      </w:tblPr>
      <w:tblGrid>
        <w:gridCol w:w="1134"/>
        <w:gridCol w:w="1701"/>
        <w:gridCol w:w="1702"/>
        <w:gridCol w:w="1701"/>
        <w:gridCol w:w="1702"/>
      </w:tblGrid>
      <w:tr w:rsidR="0018271D" w:rsidTr="00E011C3">
        <w:tc>
          <w:tcPr>
            <w:tcW w:w="1134" w:type="dxa"/>
            <w:shd w:val="clear" w:color="auto" w:fill="6F6652"/>
            <w:tcMar>
              <w:top w:w="0" w:type="dxa"/>
              <w:left w:w="57" w:type="dxa"/>
              <w:bottom w:w="0" w:type="dxa"/>
              <w:right w:w="57" w:type="dxa"/>
            </w:tcMar>
          </w:tcPr>
          <w:p w:rsidR="0018271D" w:rsidRDefault="0018271D" w:rsidP="00C96F7B">
            <w:pPr>
              <w:pStyle w:val="TableDataColumnHeading"/>
              <w:jc w:val="left"/>
              <w:rPr>
                <w:lang w:eastAsia="en-AU"/>
              </w:rPr>
            </w:pPr>
          </w:p>
        </w:tc>
        <w:tc>
          <w:tcPr>
            <w:tcW w:w="3403" w:type="dxa"/>
            <w:gridSpan w:val="2"/>
            <w:shd w:val="clear" w:color="auto" w:fill="6F6652"/>
            <w:tcMar>
              <w:top w:w="0" w:type="dxa"/>
              <w:left w:w="57" w:type="dxa"/>
              <w:bottom w:w="0" w:type="dxa"/>
              <w:right w:w="57" w:type="dxa"/>
            </w:tcMar>
            <w:hideMark/>
          </w:tcPr>
          <w:p w:rsidR="0018271D" w:rsidRDefault="0018271D" w:rsidP="00C96F7B">
            <w:pPr>
              <w:pStyle w:val="TableDataColumnHeading"/>
              <w:jc w:val="center"/>
              <w:rPr>
                <w:lang w:eastAsia="en-AU"/>
              </w:rPr>
            </w:pPr>
            <w:r>
              <w:rPr>
                <w:lang w:eastAsia="en-AU"/>
              </w:rPr>
              <w:t xml:space="preserve">         1998-99</w:t>
            </w:r>
          </w:p>
        </w:tc>
        <w:tc>
          <w:tcPr>
            <w:tcW w:w="3403" w:type="dxa"/>
            <w:gridSpan w:val="2"/>
            <w:shd w:val="clear" w:color="auto" w:fill="6F6652"/>
            <w:tcMar>
              <w:top w:w="0" w:type="dxa"/>
              <w:left w:w="57" w:type="dxa"/>
              <w:bottom w:w="0" w:type="dxa"/>
              <w:right w:w="57" w:type="dxa"/>
            </w:tcMar>
          </w:tcPr>
          <w:p w:rsidR="0018271D" w:rsidRDefault="0018271D" w:rsidP="00C96F7B">
            <w:pPr>
              <w:pStyle w:val="TableDataColumnHeading"/>
              <w:jc w:val="center"/>
              <w:rPr>
                <w:lang w:eastAsia="en-AU"/>
              </w:rPr>
            </w:pPr>
            <w:r>
              <w:rPr>
                <w:lang w:eastAsia="en-AU"/>
              </w:rPr>
              <w:t xml:space="preserve">     2013-14</w:t>
            </w:r>
          </w:p>
        </w:tc>
      </w:tr>
      <w:tr w:rsidR="0018271D" w:rsidTr="00E011C3">
        <w:tc>
          <w:tcPr>
            <w:tcW w:w="1134" w:type="dxa"/>
            <w:shd w:val="clear" w:color="auto" w:fill="6F6652"/>
            <w:tcMar>
              <w:top w:w="0" w:type="dxa"/>
              <w:left w:w="57" w:type="dxa"/>
              <w:bottom w:w="0" w:type="dxa"/>
              <w:right w:w="57" w:type="dxa"/>
            </w:tcMar>
          </w:tcPr>
          <w:p w:rsidR="0018271D" w:rsidRDefault="0018271D" w:rsidP="00C96F7B">
            <w:pPr>
              <w:pStyle w:val="TableDataColumnHeading"/>
              <w:jc w:val="left"/>
              <w:rPr>
                <w:lang w:eastAsia="en-AU"/>
              </w:rPr>
            </w:pPr>
          </w:p>
        </w:tc>
        <w:tc>
          <w:tcPr>
            <w:tcW w:w="1701" w:type="dxa"/>
            <w:shd w:val="clear" w:color="auto" w:fill="6F6652"/>
            <w:tcMar>
              <w:top w:w="0" w:type="dxa"/>
              <w:left w:w="57" w:type="dxa"/>
              <w:bottom w:w="0" w:type="dxa"/>
              <w:right w:w="57" w:type="dxa"/>
            </w:tcMar>
            <w:hideMark/>
          </w:tcPr>
          <w:p w:rsidR="0018271D" w:rsidRDefault="00AB717B" w:rsidP="00066066">
            <w:pPr>
              <w:pStyle w:val="TableDataColumnHeading"/>
              <w:rPr>
                <w:lang w:eastAsia="en-AU"/>
              </w:rPr>
            </w:pPr>
            <w:r>
              <w:rPr>
                <w:lang w:eastAsia="en-AU"/>
              </w:rPr>
              <w:t>Trade-related</w:t>
            </w:r>
            <w:r w:rsidR="0018271D">
              <w:rPr>
                <w:lang w:eastAsia="en-AU"/>
              </w:rPr>
              <w:t xml:space="preserve"> employ.</w:t>
            </w:r>
          </w:p>
        </w:tc>
        <w:tc>
          <w:tcPr>
            <w:tcW w:w="1702" w:type="dxa"/>
            <w:shd w:val="clear" w:color="auto" w:fill="6F6652"/>
            <w:tcMar>
              <w:top w:w="0" w:type="dxa"/>
              <w:left w:w="57" w:type="dxa"/>
              <w:bottom w:w="0" w:type="dxa"/>
              <w:right w:w="57" w:type="dxa"/>
            </w:tcMar>
            <w:hideMark/>
          </w:tcPr>
          <w:p w:rsidR="0018271D" w:rsidRDefault="0018271D" w:rsidP="00066066">
            <w:pPr>
              <w:pStyle w:val="TableDataColumnHeading"/>
              <w:rPr>
                <w:lang w:eastAsia="en-AU"/>
              </w:rPr>
            </w:pPr>
            <w:r>
              <w:rPr>
                <w:lang w:eastAsia="en-AU"/>
              </w:rPr>
              <w:t>Share of total employ.</w:t>
            </w:r>
          </w:p>
        </w:tc>
        <w:tc>
          <w:tcPr>
            <w:tcW w:w="1701" w:type="dxa"/>
            <w:shd w:val="clear" w:color="auto" w:fill="6F6652"/>
            <w:tcMar>
              <w:top w:w="0" w:type="dxa"/>
              <w:left w:w="57" w:type="dxa"/>
              <w:bottom w:w="0" w:type="dxa"/>
              <w:right w:w="57" w:type="dxa"/>
            </w:tcMar>
          </w:tcPr>
          <w:p w:rsidR="0018271D" w:rsidRDefault="00AB717B" w:rsidP="00066066">
            <w:pPr>
              <w:pStyle w:val="TableDataColumnHeading"/>
              <w:rPr>
                <w:lang w:eastAsia="en-AU"/>
              </w:rPr>
            </w:pPr>
            <w:r>
              <w:rPr>
                <w:lang w:eastAsia="en-AU"/>
              </w:rPr>
              <w:t>Trade-related</w:t>
            </w:r>
            <w:r w:rsidR="0018271D">
              <w:rPr>
                <w:lang w:eastAsia="en-AU"/>
              </w:rPr>
              <w:t xml:space="preserve"> employ.</w:t>
            </w:r>
          </w:p>
        </w:tc>
        <w:tc>
          <w:tcPr>
            <w:tcW w:w="1702" w:type="dxa"/>
            <w:shd w:val="clear" w:color="auto" w:fill="6F6652"/>
            <w:tcMar>
              <w:top w:w="0" w:type="dxa"/>
              <w:left w:w="57" w:type="dxa"/>
              <w:bottom w:w="0" w:type="dxa"/>
              <w:right w:w="57" w:type="dxa"/>
            </w:tcMar>
            <w:hideMark/>
          </w:tcPr>
          <w:p w:rsidR="0018271D" w:rsidRDefault="0018271D" w:rsidP="00066066">
            <w:pPr>
              <w:pStyle w:val="TableDataColumnHeading"/>
              <w:rPr>
                <w:lang w:eastAsia="en-AU"/>
              </w:rPr>
            </w:pPr>
            <w:r>
              <w:rPr>
                <w:lang w:eastAsia="en-AU"/>
              </w:rPr>
              <w:t>Share of total employ.</w:t>
            </w:r>
          </w:p>
        </w:tc>
      </w:tr>
      <w:tr w:rsidR="0018271D" w:rsidTr="00E011C3">
        <w:tc>
          <w:tcPr>
            <w:tcW w:w="1134" w:type="dxa"/>
            <w:tcBorders>
              <w:bottom w:val="single" w:sz="8" w:space="0" w:color="FFFFFF" w:themeColor="background1"/>
            </w:tcBorders>
            <w:tcMar>
              <w:top w:w="0" w:type="dxa"/>
              <w:left w:w="57" w:type="dxa"/>
              <w:bottom w:w="0" w:type="dxa"/>
              <w:right w:w="57" w:type="dxa"/>
            </w:tcMar>
          </w:tcPr>
          <w:p w:rsidR="0018271D" w:rsidRDefault="0018271D" w:rsidP="00C96F7B">
            <w:pPr>
              <w:pStyle w:val="TableUnit"/>
              <w:jc w:val="left"/>
              <w:rPr>
                <w:lang w:eastAsia="en-AU"/>
              </w:rPr>
            </w:pPr>
          </w:p>
        </w:tc>
        <w:tc>
          <w:tcPr>
            <w:tcW w:w="1701" w:type="dxa"/>
            <w:tcBorders>
              <w:bottom w:val="single" w:sz="8" w:space="0" w:color="FFFFFF" w:themeColor="background1"/>
            </w:tcBorders>
            <w:tcMar>
              <w:top w:w="0" w:type="dxa"/>
              <w:left w:w="57" w:type="dxa"/>
              <w:bottom w:w="0" w:type="dxa"/>
              <w:right w:w="57" w:type="dxa"/>
            </w:tcMar>
            <w:hideMark/>
          </w:tcPr>
          <w:p w:rsidR="0018271D" w:rsidRDefault="0018271D" w:rsidP="00C96F7B">
            <w:pPr>
              <w:pStyle w:val="TableUnit"/>
              <w:rPr>
                <w:lang w:eastAsia="en-AU"/>
              </w:rPr>
            </w:pPr>
            <w:r>
              <w:rPr>
                <w:lang w:eastAsia="en-AU"/>
              </w:rPr>
              <w:t>‘000 people</w:t>
            </w:r>
          </w:p>
        </w:tc>
        <w:tc>
          <w:tcPr>
            <w:tcW w:w="1702" w:type="dxa"/>
            <w:tcBorders>
              <w:bottom w:val="single" w:sz="8" w:space="0" w:color="FFFFFF" w:themeColor="background1"/>
            </w:tcBorders>
            <w:tcMar>
              <w:top w:w="0" w:type="dxa"/>
              <w:left w:w="57" w:type="dxa"/>
              <w:bottom w:w="0" w:type="dxa"/>
              <w:right w:w="57" w:type="dxa"/>
            </w:tcMar>
            <w:hideMark/>
          </w:tcPr>
          <w:p w:rsidR="0018271D" w:rsidRDefault="0018271D" w:rsidP="00C96F7B">
            <w:pPr>
              <w:pStyle w:val="TableUnit"/>
              <w:rPr>
                <w:lang w:eastAsia="en-AU"/>
              </w:rPr>
            </w:pPr>
            <w:r>
              <w:rPr>
                <w:lang w:eastAsia="en-AU"/>
              </w:rPr>
              <w:t>Per cent</w:t>
            </w:r>
          </w:p>
        </w:tc>
        <w:tc>
          <w:tcPr>
            <w:tcW w:w="1701" w:type="dxa"/>
            <w:tcBorders>
              <w:bottom w:val="single" w:sz="8" w:space="0" w:color="FFFFFF" w:themeColor="background1"/>
            </w:tcBorders>
            <w:tcMar>
              <w:top w:w="0" w:type="dxa"/>
              <w:left w:w="57" w:type="dxa"/>
              <w:bottom w:w="0" w:type="dxa"/>
              <w:right w:w="57" w:type="dxa"/>
            </w:tcMar>
          </w:tcPr>
          <w:p w:rsidR="0018271D" w:rsidRDefault="0018271D" w:rsidP="00C96F7B">
            <w:pPr>
              <w:pStyle w:val="TableUnit"/>
              <w:rPr>
                <w:lang w:eastAsia="en-AU"/>
              </w:rPr>
            </w:pPr>
            <w:r>
              <w:rPr>
                <w:lang w:eastAsia="en-AU"/>
              </w:rPr>
              <w:t>‘000 people</w:t>
            </w:r>
          </w:p>
        </w:tc>
        <w:tc>
          <w:tcPr>
            <w:tcW w:w="1702" w:type="dxa"/>
            <w:tcBorders>
              <w:bottom w:val="single" w:sz="8" w:space="0" w:color="FFFFFF" w:themeColor="background1"/>
            </w:tcBorders>
            <w:tcMar>
              <w:top w:w="0" w:type="dxa"/>
              <w:left w:w="57" w:type="dxa"/>
              <w:bottom w:w="0" w:type="dxa"/>
              <w:right w:w="57" w:type="dxa"/>
            </w:tcMar>
            <w:hideMark/>
          </w:tcPr>
          <w:p w:rsidR="0018271D" w:rsidRDefault="0018271D" w:rsidP="00C96F7B">
            <w:pPr>
              <w:pStyle w:val="TableUnit"/>
              <w:rPr>
                <w:lang w:eastAsia="en-AU"/>
              </w:rPr>
            </w:pPr>
            <w:r>
              <w:rPr>
                <w:lang w:eastAsia="en-AU"/>
              </w:rPr>
              <w:t>Per cent</w:t>
            </w:r>
          </w:p>
        </w:tc>
      </w:tr>
      <w:tr w:rsidR="0018271D" w:rsidTr="00E011C3">
        <w:tc>
          <w:tcPr>
            <w:tcW w:w="1134"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hideMark/>
          </w:tcPr>
          <w:p w:rsidR="0018271D" w:rsidRDefault="0018271D" w:rsidP="00C96F7B">
            <w:pPr>
              <w:pStyle w:val="TableDataEntries"/>
              <w:jc w:val="left"/>
              <w:rPr>
                <w:lang w:eastAsia="en-AU"/>
              </w:rPr>
            </w:pPr>
            <w:r>
              <w:rPr>
                <w:lang w:eastAsia="en-AU"/>
              </w:rPr>
              <w:t>Agriculture</w:t>
            </w:r>
          </w:p>
        </w:tc>
        <w:tc>
          <w:tcPr>
            <w:tcW w:w="170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hideMark/>
          </w:tcPr>
          <w:p w:rsidR="0018271D" w:rsidRDefault="0018271D" w:rsidP="00C96F7B">
            <w:pPr>
              <w:pStyle w:val="TableDataEntries"/>
              <w:rPr>
                <w:lang w:eastAsia="en-AU"/>
              </w:rPr>
            </w:pPr>
            <w:r>
              <w:rPr>
                <w:lang w:eastAsia="en-AU"/>
              </w:rPr>
              <w:t xml:space="preserve">         186.2 </w:t>
            </w:r>
          </w:p>
        </w:tc>
        <w:tc>
          <w:tcPr>
            <w:tcW w:w="1702"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hideMark/>
          </w:tcPr>
          <w:p w:rsidR="0018271D" w:rsidRDefault="0018271D" w:rsidP="00C96F7B">
            <w:pPr>
              <w:pStyle w:val="TableDataEntries"/>
              <w:rPr>
                <w:lang w:eastAsia="en-AU"/>
              </w:rPr>
            </w:pPr>
            <w:r>
              <w:rPr>
                <w:lang w:eastAsia="en-AU"/>
              </w:rPr>
              <w:t>44</w:t>
            </w:r>
          </w:p>
        </w:tc>
        <w:tc>
          <w:tcPr>
            <w:tcW w:w="170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tcPr>
          <w:p w:rsidR="0018271D" w:rsidRDefault="0018271D" w:rsidP="00C96F7B">
            <w:pPr>
              <w:pStyle w:val="TableDataEntries"/>
              <w:rPr>
                <w:lang w:eastAsia="en-AU"/>
              </w:rPr>
            </w:pPr>
            <w:r>
              <w:rPr>
                <w:lang w:eastAsia="en-AU"/>
              </w:rPr>
              <w:t xml:space="preserve">           184.0 </w:t>
            </w:r>
          </w:p>
        </w:tc>
        <w:tc>
          <w:tcPr>
            <w:tcW w:w="1702"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hideMark/>
          </w:tcPr>
          <w:p w:rsidR="0018271D" w:rsidRDefault="0018271D" w:rsidP="00C96F7B">
            <w:pPr>
              <w:pStyle w:val="TableDataEntries"/>
              <w:rPr>
                <w:lang w:eastAsia="en-AU"/>
              </w:rPr>
            </w:pPr>
            <w:r>
              <w:rPr>
                <w:lang w:eastAsia="en-AU"/>
              </w:rPr>
              <w:t>59</w:t>
            </w:r>
          </w:p>
        </w:tc>
      </w:tr>
      <w:tr w:rsidR="0018271D" w:rsidTr="00E011C3">
        <w:tc>
          <w:tcPr>
            <w:tcW w:w="1134"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hideMark/>
          </w:tcPr>
          <w:p w:rsidR="0018271D" w:rsidRDefault="0018271D" w:rsidP="00C96F7B">
            <w:pPr>
              <w:pStyle w:val="TableDataEntries"/>
              <w:jc w:val="left"/>
              <w:rPr>
                <w:lang w:eastAsia="en-AU"/>
              </w:rPr>
            </w:pPr>
            <w:r>
              <w:rPr>
                <w:lang w:eastAsia="en-AU"/>
              </w:rPr>
              <w:t>Mining</w:t>
            </w:r>
          </w:p>
        </w:tc>
        <w:tc>
          <w:tcPr>
            <w:tcW w:w="170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hideMark/>
          </w:tcPr>
          <w:p w:rsidR="0018271D" w:rsidRDefault="0018271D" w:rsidP="00C96F7B">
            <w:pPr>
              <w:pStyle w:val="TableDataEntries"/>
              <w:rPr>
                <w:lang w:eastAsia="en-AU"/>
              </w:rPr>
            </w:pPr>
            <w:r>
              <w:rPr>
                <w:lang w:eastAsia="en-AU"/>
              </w:rPr>
              <w:t xml:space="preserve">           64.5 </w:t>
            </w:r>
          </w:p>
        </w:tc>
        <w:tc>
          <w:tcPr>
            <w:tcW w:w="1702"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hideMark/>
          </w:tcPr>
          <w:p w:rsidR="0018271D" w:rsidRDefault="0018271D" w:rsidP="00C96F7B">
            <w:pPr>
              <w:pStyle w:val="TableDataEntries"/>
              <w:rPr>
                <w:lang w:eastAsia="en-AU"/>
              </w:rPr>
            </w:pPr>
            <w:r>
              <w:rPr>
                <w:lang w:eastAsia="en-AU"/>
              </w:rPr>
              <w:t>81</w:t>
            </w:r>
          </w:p>
        </w:tc>
        <w:tc>
          <w:tcPr>
            <w:tcW w:w="170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tcPr>
          <w:p w:rsidR="0018271D" w:rsidRDefault="0018271D" w:rsidP="00C96F7B">
            <w:pPr>
              <w:pStyle w:val="TableDataEntries"/>
              <w:rPr>
                <w:lang w:eastAsia="en-AU"/>
              </w:rPr>
            </w:pPr>
            <w:r>
              <w:rPr>
                <w:lang w:eastAsia="en-AU"/>
              </w:rPr>
              <w:t xml:space="preserve">           178.6 </w:t>
            </w:r>
          </w:p>
        </w:tc>
        <w:tc>
          <w:tcPr>
            <w:tcW w:w="1702"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hideMark/>
          </w:tcPr>
          <w:p w:rsidR="0018271D" w:rsidRDefault="0018271D" w:rsidP="00C96F7B">
            <w:pPr>
              <w:pStyle w:val="TableDataEntries"/>
              <w:rPr>
                <w:lang w:eastAsia="en-AU"/>
              </w:rPr>
            </w:pPr>
            <w:r>
              <w:rPr>
                <w:lang w:eastAsia="en-AU"/>
              </w:rPr>
              <w:t>67</w:t>
            </w:r>
          </w:p>
        </w:tc>
      </w:tr>
      <w:tr w:rsidR="0018271D" w:rsidTr="00E011C3">
        <w:tc>
          <w:tcPr>
            <w:tcW w:w="1134"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hideMark/>
          </w:tcPr>
          <w:p w:rsidR="0018271D" w:rsidRDefault="0018271D" w:rsidP="00C96F7B">
            <w:pPr>
              <w:pStyle w:val="TableDataEntries"/>
              <w:jc w:val="left"/>
              <w:rPr>
                <w:lang w:eastAsia="en-AU"/>
              </w:rPr>
            </w:pPr>
            <w:r>
              <w:rPr>
                <w:lang w:eastAsia="en-AU"/>
              </w:rPr>
              <w:t>Manufacturing</w:t>
            </w:r>
          </w:p>
        </w:tc>
        <w:tc>
          <w:tcPr>
            <w:tcW w:w="170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hideMark/>
          </w:tcPr>
          <w:p w:rsidR="0018271D" w:rsidRDefault="0018271D" w:rsidP="00C96F7B">
            <w:pPr>
              <w:pStyle w:val="TableDataEntries"/>
              <w:rPr>
                <w:lang w:eastAsia="en-AU"/>
              </w:rPr>
            </w:pPr>
            <w:r>
              <w:rPr>
                <w:lang w:eastAsia="en-AU"/>
              </w:rPr>
              <w:t xml:space="preserve">         408.3 </w:t>
            </w:r>
          </w:p>
        </w:tc>
        <w:tc>
          <w:tcPr>
            <w:tcW w:w="1702"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hideMark/>
          </w:tcPr>
          <w:p w:rsidR="0018271D" w:rsidRDefault="0018271D" w:rsidP="00C96F7B">
            <w:pPr>
              <w:pStyle w:val="TableDataEntries"/>
              <w:rPr>
                <w:lang w:eastAsia="en-AU"/>
              </w:rPr>
            </w:pPr>
            <w:r>
              <w:rPr>
                <w:lang w:eastAsia="en-AU"/>
              </w:rPr>
              <w:t>38</w:t>
            </w:r>
          </w:p>
        </w:tc>
        <w:tc>
          <w:tcPr>
            <w:tcW w:w="170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tcPr>
          <w:p w:rsidR="0018271D" w:rsidRDefault="0018271D" w:rsidP="00C96F7B">
            <w:pPr>
              <w:pStyle w:val="TableDataEntries"/>
              <w:rPr>
                <w:lang w:eastAsia="en-AU"/>
              </w:rPr>
            </w:pPr>
            <w:r>
              <w:rPr>
                <w:lang w:eastAsia="en-AU"/>
              </w:rPr>
              <w:t xml:space="preserve">           377.8 </w:t>
            </w:r>
          </w:p>
        </w:tc>
        <w:tc>
          <w:tcPr>
            <w:tcW w:w="1702"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hideMark/>
          </w:tcPr>
          <w:p w:rsidR="0018271D" w:rsidRDefault="0018271D" w:rsidP="00C96F7B">
            <w:pPr>
              <w:pStyle w:val="TableDataEntries"/>
              <w:rPr>
                <w:lang w:eastAsia="en-AU"/>
              </w:rPr>
            </w:pPr>
            <w:r>
              <w:rPr>
                <w:lang w:eastAsia="en-AU"/>
              </w:rPr>
              <w:t>41</w:t>
            </w:r>
          </w:p>
        </w:tc>
      </w:tr>
      <w:tr w:rsidR="0018271D" w:rsidTr="00E011C3">
        <w:tc>
          <w:tcPr>
            <w:tcW w:w="1134"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hideMark/>
          </w:tcPr>
          <w:p w:rsidR="0018271D" w:rsidRDefault="0018271D" w:rsidP="00C96F7B">
            <w:pPr>
              <w:pStyle w:val="TableDataEntries"/>
              <w:jc w:val="left"/>
              <w:rPr>
                <w:lang w:eastAsia="en-AU"/>
              </w:rPr>
            </w:pPr>
            <w:r>
              <w:rPr>
                <w:lang w:eastAsia="en-AU"/>
              </w:rPr>
              <w:t>Services</w:t>
            </w:r>
          </w:p>
        </w:tc>
        <w:tc>
          <w:tcPr>
            <w:tcW w:w="170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hideMark/>
          </w:tcPr>
          <w:p w:rsidR="0018271D" w:rsidRDefault="0018271D" w:rsidP="00C96F7B">
            <w:pPr>
              <w:pStyle w:val="TableDataEntries"/>
              <w:rPr>
                <w:lang w:eastAsia="en-AU"/>
              </w:rPr>
            </w:pPr>
            <w:r>
              <w:rPr>
                <w:lang w:eastAsia="en-AU"/>
              </w:rPr>
              <w:t xml:space="preserve">         627.1 </w:t>
            </w:r>
          </w:p>
        </w:tc>
        <w:tc>
          <w:tcPr>
            <w:tcW w:w="1702"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hideMark/>
          </w:tcPr>
          <w:p w:rsidR="0018271D" w:rsidRDefault="0018271D" w:rsidP="00C96F7B">
            <w:pPr>
              <w:pStyle w:val="TableDataEntries"/>
              <w:rPr>
                <w:lang w:eastAsia="en-AU"/>
              </w:rPr>
            </w:pPr>
            <w:r>
              <w:rPr>
                <w:lang w:eastAsia="en-AU"/>
              </w:rPr>
              <w:t>9</w:t>
            </w:r>
          </w:p>
        </w:tc>
        <w:tc>
          <w:tcPr>
            <w:tcW w:w="170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tcPr>
          <w:p w:rsidR="0018271D" w:rsidRDefault="0018271D" w:rsidP="00C96F7B">
            <w:pPr>
              <w:pStyle w:val="TableDataEntries"/>
              <w:rPr>
                <w:lang w:eastAsia="en-AU"/>
              </w:rPr>
            </w:pPr>
            <w:r>
              <w:rPr>
                <w:lang w:eastAsia="en-AU"/>
              </w:rPr>
              <w:t xml:space="preserve">           826.5 </w:t>
            </w:r>
          </w:p>
        </w:tc>
        <w:tc>
          <w:tcPr>
            <w:tcW w:w="1702"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hideMark/>
          </w:tcPr>
          <w:p w:rsidR="0018271D" w:rsidRDefault="0018271D" w:rsidP="00C96F7B">
            <w:pPr>
              <w:pStyle w:val="TableDataEntries"/>
              <w:rPr>
                <w:lang w:eastAsia="en-AU"/>
              </w:rPr>
            </w:pPr>
            <w:r>
              <w:rPr>
                <w:lang w:eastAsia="en-AU"/>
              </w:rPr>
              <w:t>8</w:t>
            </w:r>
          </w:p>
        </w:tc>
      </w:tr>
      <w:tr w:rsidR="0018271D" w:rsidRPr="00CD3640" w:rsidTr="00E011C3">
        <w:tc>
          <w:tcPr>
            <w:tcW w:w="1134" w:type="dxa"/>
            <w:tcBorders>
              <w:top w:val="single" w:sz="8" w:space="0" w:color="FFFFFF" w:themeColor="background1"/>
              <w:bottom w:val="single" w:sz="8" w:space="0" w:color="FFFFFF" w:themeColor="background1"/>
            </w:tcBorders>
            <w:shd w:val="clear" w:color="auto" w:fill="C2DADB" w:themeFill="accent6" w:themeFillTint="99"/>
            <w:tcMar>
              <w:top w:w="0" w:type="dxa"/>
              <w:left w:w="57" w:type="dxa"/>
              <w:bottom w:w="0" w:type="dxa"/>
              <w:right w:w="57" w:type="dxa"/>
            </w:tcMar>
            <w:hideMark/>
          </w:tcPr>
          <w:p w:rsidR="0018271D" w:rsidRPr="00CD3640" w:rsidRDefault="0018271D" w:rsidP="00C96F7B">
            <w:pPr>
              <w:pStyle w:val="TableDataEntries"/>
              <w:jc w:val="left"/>
              <w:rPr>
                <w:rFonts w:ascii="Franklin Gothic Demi" w:hAnsi="Franklin Gothic Demi"/>
                <w:lang w:eastAsia="en-AU"/>
              </w:rPr>
            </w:pPr>
            <w:r w:rsidRPr="00CD3640">
              <w:rPr>
                <w:rFonts w:ascii="Franklin Gothic Demi" w:hAnsi="Franklin Gothic Demi"/>
                <w:lang w:eastAsia="en-AU"/>
              </w:rPr>
              <w:t>Total exports</w:t>
            </w:r>
          </w:p>
        </w:tc>
        <w:tc>
          <w:tcPr>
            <w:tcW w:w="1701" w:type="dxa"/>
            <w:tcBorders>
              <w:top w:val="single" w:sz="8" w:space="0" w:color="FFFFFF" w:themeColor="background1"/>
              <w:bottom w:val="single" w:sz="8" w:space="0" w:color="FFFFFF" w:themeColor="background1"/>
            </w:tcBorders>
            <w:shd w:val="clear" w:color="auto" w:fill="C2DADB" w:themeFill="accent6" w:themeFillTint="99"/>
            <w:tcMar>
              <w:top w:w="0" w:type="dxa"/>
              <w:left w:w="57" w:type="dxa"/>
              <w:bottom w:w="0" w:type="dxa"/>
              <w:right w:w="57" w:type="dxa"/>
            </w:tcMar>
            <w:vAlign w:val="center"/>
            <w:hideMark/>
          </w:tcPr>
          <w:p w:rsidR="0018271D" w:rsidRPr="00CD3640" w:rsidRDefault="0018271D" w:rsidP="00C96F7B">
            <w:pPr>
              <w:pStyle w:val="TableDataEntries"/>
              <w:rPr>
                <w:rFonts w:ascii="Franklin Gothic Demi" w:hAnsi="Franklin Gothic Demi"/>
                <w:lang w:eastAsia="en-AU"/>
              </w:rPr>
            </w:pPr>
            <w:r w:rsidRPr="00CD3640">
              <w:rPr>
                <w:rFonts w:ascii="Franklin Gothic Demi" w:hAnsi="Franklin Gothic Demi"/>
                <w:lang w:eastAsia="en-AU"/>
              </w:rPr>
              <w:t xml:space="preserve">      1 286.2 </w:t>
            </w:r>
          </w:p>
        </w:tc>
        <w:tc>
          <w:tcPr>
            <w:tcW w:w="1702" w:type="dxa"/>
            <w:tcBorders>
              <w:top w:val="single" w:sz="8" w:space="0" w:color="FFFFFF" w:themeColor="background1"/>
              <w:bottom w:val="single" w:sz="8" w:space="0" w:color="FFFFFF" w:themeColor="background1"/>
            </w:tcBorders>
            <w:shd w:val="clear" w:color="auto" w:fill="C2DADB" w:themeFill="accent6" w:themeFillTint="99"/>
            <w:tcMar>
              <w:top w:w="0" w:type="dxa"/>
              <w:left w:w="57" w:type="dxa"/>
              <w:bottom w:w="0" w:type="dxa"/>
              <w:right w:w="57" w:type="dxa"/>
            </w:tcMar>
            <w:vAlign w:val="center"/>
            <w:hideMark/>
          </w:tcPr>
          <w:p w:rsidR="0018271D" w:rsidRPr="00CD3640" w:rsidRDefault="0018271D" w:rsidP="00C96F7B">
            <w:pPr>
              <w:pStyle w:val="TableDataEntries"/>
              <w:rPr>
                <w:rFonts w:ascii="Franklin Gothic Demi" w:hAnsi="Franklin Gothic Demi"/>
                <w:lang w:eastAsia="en-AU"/>
              </w:rPr>
            </w:pPr>
            <w:r w:rsidRPr="00CD3640">
              <w:rPr>
                <w:rFonts w:ascii="Franklin Gothic Demi" w:hAnsi="Franklin Gothic Demi"/>
                <w:lang w:eastAsia="en-AU"/>
              </w:rPr>
              <w:t>15</w:t>
            </w:r>
          </w:p>
        </w:tc>
        <w:tc>
          <w:tcPr>
            <w:tcW w:w="1701" w:type="dxa"/>
            <w:tcBorders>
              <w:top w:val="single" w:sz="8" w:space="0" w:color="FFFFFF" w:themeColor="background1"/>
              <w:bottom w:val="single" w:sz="8" w:space="0" w:color="FFFFFF" w:themeColor="background1"/>
            </w:tcBorders>
            <w:shd w:val="clear" w:color="auto" w:fill="C2DADB" w:themeFill="accent6" w:themeFillTint="99"/>
            <w:tcMar>
              <w:top w:w="0" w:type="dxa"/>
              <w:left w:w="57" w:type="dxa"/>
              <w:bottom w:w="0" w:type="dxa"/>
              <w:right w:w="57" w:type="dxa"/>
            </w:tcMar>
            <w:vAlign w:val="center"/>
          </w:tcPr>
          <w:p w:rsidR="0018271D" w:rsidRPr="00CD3640" w:rsidRDefault="0018271D" w:rsidP="00C96F7B">
            <w:pPr>
              <w:pStyle w:val="TableDataEntries"/>
              <w:rPr>
                <w:rFonts w:ascii="Franklin Gothic Demi" w:hAnsi="Franklin Gothic Demi"/>
                <w:lang w:eastAsia="en-AU"/>
              </w:rPr>
            </w:pPr>
            <w:r w:rsidRPr="00CD3640">
              <w:rPr>
                <w:rFonts w:ascii="Franklin Gothic Demi" w:hAnsi="Franklin Gothic Demi"/>
                <w:lang w:eastAsia="en-AU"/>
              </w:rPr>
              <w:t xml:space="preserve">        1 566.9 </w:t>
            </w:r>
          </w:p>
        </w:tc>
        <w:tc>
          <w:tcPr>
            <w:tcW w:w="1702" w:type="dxa"/>
            <w:tcBorders>
              <w:top w:val="single" w:sz="8" w:space="0" w:color="FFFFFF" w:themeColor="background1"/>
              <w:bottom w:val="single" w:sz="8" w:space="0" w:color="FFFFFF" w:themeColor="background1"/>
            </w:tcBorders>
            <w:shd w:val="clear" w:color="auto" w:fill="C2DADB" w:themeFill="accent6" w:themeFillTint="99"/>
            <w:tcMar>
              <w:top w:w="0" w:type="dxa"/>
              <w:left w:w="57" w:type="dxa"/>
              <w:bottom w:w="0" w:type="dxa"/>
              <w:right w:w="57" w:type="dxa"/>
            </w:tcMar>
            <w:vAlign w:val="center"/>
            <w:hideMark/>
          </w:tcPr>
          <w:p w:rsidR="0018271D" w:rsidRPr="00CD3640" w:rsidRDefault="0018271D" w:rsidP="00C96F7B">
            <w:pPr>
              <w:pStyle w:val="TableDataEntries"/>
              <w:rPr>
                <w:rFonts w:ascii="Franklin Gothic Demi" w:hAnsi="Franklin Gothic Demi"/>
                <w:lang w:eastAsia="en-AU"/>
              </w:rPr>
            </w:pPr>
            <w:r w:rsidRPr="00CD3640">
              <w:rPr>
                <w:rFonts w:ascii="Franklin Gothic Demi" w:hAnsi="Franklin Gothic Demi"/>
                <w:lang w:eastAsia="en-AU"/>
              </w:rPr>
              <w:t>14</w:t>
            </w:r>
          </w:p>
        </w:tc>
      </w:tr>
      <w:tr w:rsidR="0018271D" w:rsidTr="00E011C3">
        <w:tc>
          <w:tcPr>
            <w:tcW w:w="1134"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hideMark/>
          </w:tcPr>
          <w:p w:rsidR="0018271D" w:rsidRDefault="0018271D" w:rsidP="00C96F7B">
            <w:pPr>
              <w:pStyle w:val="TableDataEntries"/>
              <w:jc w:val="left"/>
              <w:rPr>
                <w:lang w:eastAsia="en-AU"/>
              </w:rPr>
            </w:pPr>
            <w:r>
              <w:rPr>
                <w:lang w:eastAsia="en-AU"/>
              </w:rPr>
              <w:t>Imports</w:t>
            </w:r>
          </w:p>
        </w:tc>
        <w:tc>
          <w:tcPr>
            <w:tcW w:w="170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hideMark/>
          </w:tcPr>
          <w:p w:rsidR="0018271D" w:rsidRDefault="0018271D" w:rsidP="00C96F7B">
            <w:pPr>
              <w:pStyle w:val="TableDataEntries"/>
              <w:rPr>
                <w:lang w:eastAsia="en-AU"/>
              </w:rPr>
            </w:pPr>
            <w:r>
              <w:rPr>
                <w:lang w:eastAsia="en-AU"/>
              </w:rPr>
              <w:t xml:space="preserve">         655.1 </w:t>
            </w:r>
          </w:p>
        </w:tc>
        <w:tc>
          <w:tcPr>
            <w:tcW w:w="1702"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hideMark/>
          </w:tcPr>
          <w:p w:rsidR="0018271D" w:rsidRDefault="0018271D" w:rsidP="00C96F7B">
            <w:pPr>
              <w:pStyle w:val="TableDataEntries"/>
              <w:rPr>
                <w:lang w:eastAsia="en-AU"/>
              </w:rPr>
            </w:pPr>
            <w:r>
              <w:rPr>
                <w:lang w:eastAsia="en-AU"/>
              </w:rPr>
              <w:t>8</w:t>
            </w:r>
          </w:p>
        </w:tc>
        <w:tc>
          <w:tcPr>
            <w:tcW w:w="170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tcPr>
          <w:p w:rsidR="0018271D" w:rsidRDefault="0018271D" w:rsidP="00C96F7B">
            <w:pPr>
              <w:pStyle w:val="TableDataEntries"/>
              <w:rPr>
                <w:lang w:eastAsia="en-AU"/>
              </w:rPr>
            </w:pPr>
            <w:r>
              <w:rPr>
                <w:lang w:eastAsia="en-AU"/>
              </w:rPr>
              <w:t xml:space="preserve">           671.2 </w:t>
            </w:r>
          </w:p>
        </w:tc>
        <w:tc>
          <w:tcPr>
            <w:tcW w:w="1702"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center"/>
            <w:hideMark/>
          </w:tcPr>
          <w:p w:rsidR="0018271D" w:rsidRDefault="0018271D" w:rsidP="00C96F7B">
            <w:pPr>
              <w:pStyle w:val="TableDataEntries"/>
              <w:rPr>
                <w:lang w:eastAsia="en-AU"/>
              </w:rPr>
            </w:pPr>
            <w:r>
              <w:rPr>
                <w:lang w:eastAsia="en-AU"/>
              </w:rPr>
              <w:t>6</w:t>
            </w:r>
          </w:p>
        </w:tc>
      </w:tr>
      <w:tr w:rsidR="0018271D" w:rsidRPr="00CD3640" w:rsidTr="00E011C3">
        <w:tc>
          <w:tcPr>
            <w:tcW w:w="1134" w:type="dxa"/>
            <w:tcBorders>
              <w:top w:val="single" w:sz="8" w:space="0" w:color="FFFFFF" w:themeColor="background1"/>
              <w:left w:val="nil"/>
              <w:bottom w:val="single" w:sz="6" w:space="0" w:color="6F6652"/>
              <w:right w:val="nil"/>
            </w:tcBorders>
            <w:shd w:val="clear" w:color="auto" w:fill="C2DADB" w:themeFill="accent6" w:themeFillTint="99"/>
            <w:tcMar>
              <w:top w:w="0" w:type="dxa"/>
              <w:left w:w="57" w:type="dxa"/>
              <w:bottom w:w="0" w:type="dxa"/>
              <w:right w:w="57" w:type="dxa"/>
            </w:tcMar>
            <w:hideMark/>
          </w:tcPr>
          <w:p w:rsidR="0018271D" w:rsidRPr="00CD3640" w:rsidRDefault="0018271D" w:rsidP="00C96F7B">
            <w:pPr>
              <w:pStyle w:val="TableDataEntries"/>
              <w:jc w:val="left"/>
              <w:rPr>
                <w:rFonts w:ascii="Franklin Gothic Demi" w:hAnsi="Franklin Gothic Demi"/>
                <w:lang w:eastAsia="en-AU"/>
              </w:rPr>
            </w:pPr>
            <w:r w:rsidRPr="00CD3640">
              <w:rPr>
                <w:rFonts w:ascii="Franklin Gothic Demi" w:hAnsi="Franklin Gothic Demi"/>
                <w:lang w:eastAsia="en-AU"/>
              </w:rPr>
              <w:t>Total trade</w:t>
            </w:r>
          </w:p>
        </w:tc>
        <w:tc>
          <w:tcPr>
            <w:tcW w:w="1701" w:type="dxa"/>
            <w:tcBorders>
              <w:top w:val="single" w:sz="8" w:space="0" w:color="FFFFFF" w:themeColor="background1"/>
              <w:left w:val="nil"/>
              <w:bottom w:val="single" w:sz="6" w:space="0" w:color="6F6652"/>
              <w:right w:val="nil"/>
            </w:tcBorders>
            <w:shd w:val="clear" w:color="auto" w:fill="C2DADB" w:themeFill="accent6" w:themeFillTint="99"/>
            <w:tcMar>
              <w:top w:w="0" w:type="dxa"/>
              <w:left w:w="57" w:type="dxa"/>
              <w:bottom w:w="0" w:type="dxa"/>
              <w:right w:w="57" w:type="dxa"/>
            </w:tcMar>
            <w:vAlign w:val="center"/>
            <w:hideMark/>
          </w:tcPr>
          <w:p w:rsidR="0018271D" w:rsidRPr="00CD3640" w:rsidRDefault="0018271D" w:rsidP="00C96F7B">
            <w:pPr>
              <w:pStyle w:val="TableDataEntries"/>
              <w:rPr>
                <w:rFonts w:ascii="Franklin Gothic Demi" w:hAnsi="Franklin Gothic Demi"/>
                <w:lang w:eastAsia="en-AU"/>
              </w:rPr>
            </w:pPr>
            <w:r w:rsidRPr="00CD3640">
              <w:rPr>
                <w:rFonts w:ascii="Franklin Gothic Demi" w:hAnsi="Franklin Gothic Demi"/>
                <w:lang w:eastAsia="en-AU"/>
              </w:rPr>
              <w:t xml:space="preserve">      1 941.3 </w:t>
            </w:r>
          </w:p>
        </w:tc>
        <w:tc>
          <w:tcPr>
            <w:tcW w:w="1702" w:type="dxa"/>
            <w:tcBorders>
              <w:top w:val="single" w:sz="8" w:space="0" w:color="FFFFFF" w:themeColor="background1"/>
              <w:left w:val="nil"/>
              <w:bottom w:val="single" w:sz="6" w:space="0" w:color="6F6652"/>
              <w:right w:val="nil"/>
            </w:tcBorders>
            <w:shd w:val="clear" w:color="auto" w:fill="C2DADB" w:themeFill="accent6" w:themeFillTint="99"/>
            <w:tcMar>
              <w:top w:w="0" w:type="dxa"/>
              <w:left w:w="57" w:type="dxa"/>
              <w:bottom w:w="0" w:type="dxa"/>
              <w:right w:w="57" w:type="dxa"/>
            </w:tcMar>
            <w:vAlign w:val="center"/>
            <w:hideMark/>
          </w:tcPr>
          <w:p w:rsidR="0018271D" w:rsidRPr="00CD3640" w:rsidRDefault="0018271D" w:rsidP="00C96F7B">
            <w:pPr>
              <w:pStyle w:val="TableDataEntries"/>
              <w:rPr>
                <w:rFonts w:ascii="Franklin Gothic Demi" w:hAnsi="Franklin Gothic Demi"/>
                <w:lang w:eastAsia="en-AU"/>
              </w:rPr>
            </w:pPr>
            <w:r w:rsidRPr="00CD3640">
              <w:rPr>
                <w:rFonts w:ascii="Franklin Gothic Demi" w:hAnsi="Franklin Gothic Demi"/>
                <w:lang w:eastAsia="en-AU"/>
              </w:rPr>
              <w:t>22</w:t>
            </w:r>
          </w:p>
        </w:tc>
        <w:tc>
          <w:tcPr>
            <w:tcW w:w="1701" w:type="dxa"/>
            <w:tcBorders>
              <w:top w:val="single" w:sz="8" w:space="0" w:color="FFFFFF" w:themeColor="background1"/>
              <w:left w:val="nil"/>
              <w:bottom w:val="single" w:sz="6" w:space="0" w:color="6F6652"/>
              <w:right w:val="nil"/>
            </w:tcBorders>
            <w:shd w:val="clear" w:color="auto" w:fill="C2DADB" w:themeFill="accent6" w:themeFillTint="99"/>
            <w:tcMar>
              <w:top w:w="0" w:type="dxa"/>
              <w:left w:w="57" w:type="dxa"/>
              <w:bottom w:w="0" w:type="dxa"/>
              <w:right w:w="57" w:type="dxa"/>
            </w:tcMar>
            <w:vAlign w:val="center"/>
          </w:tcPr>
          <w:p w:rsidR="0018271D" w:rsidRPr="00CD3640" w:rsidRDefault="0018271D" w:rsidP="00C96F7B">
            <w:pPr>
              <w:pStyle w:val="TableDataEntries"/>
              <w:rPr>
                <w:rFonts w:ascii="Franklin Gothic Demi" w:hAnsi="Franklin Gothic Demi"/>
                <w:lang w:eastAsia="en-AU"/>
              </w:rPr>
            </w:pPr>
            <w:r w:rsidRPr="00CD3640">
              <w:rPr>
                <w:rFonts w:ascii="Franklin Gothic Demi" w:hAnsi="Franklin Gothic Demi"/>
                <w:lang w:eastAsia="en-AU"/>
              </w:rPr>
              <w:t xml:space="preserve">        2 238.1 </w:t>
            </w:r>
          </w:p>
        </w:tc>
        <w:tc>
          <w:tcPr>
            <w:tcW w:w="1702" w:type="dxa"/>
            <w:tcBorders>
              <w:top w:val="single" w:sz="8" w:space="0" w:color="FFFFFF" w:themeColor="background1"/>
              <w:left w:val="nil"/>
              <w:bottom w:val="single" w:sz="6" w:space="0" w:color="6F6652"/>
              <w:right w:val="nil"/>
            </w:tcBorders>
            <w:shd w:val="clear" w:color="auto" w:fill="C2DADB" w:themeFill="accent6" w:themeFillTint="99"/>
            <w:tcMar>
              <w:top w:w="0" w:type="dxa"/>
              <w:left w:w="57" w:type="dxa"/>
              <w:bottom w:w="0" w:type="dxa"/>
              <w:right w:w="57" w:type="dxa"/>
            </w:tcMar>
            <w:vAlign w:val="center"/>
            <w:hideMark/>
          </w:tcPr>
          <w:p w:rsidR="0018271D" w:rsidRPr="00CD3640" w:rsidRDefault="0018271D" w:rsidP="00C96F7B">
            <w:pPr>
              <w:pStyle w:val="TableDataEntries"/>
              <w:rPr>
                <w:rFonts w:ascii="Franklin Gothic Demi" w:hAnsi="Franklin Gothic Demi"/>
                <w:lang w:eastAsia="en-AU"/>
              </w:rPr>
            </w:pPr>
            <w:r w:rsidRPr="00CD3640">
              <w:rPr>
                <w:rFonts w:ascii="Franklin Gothic Demi" w:hAnsi="Franklin Gothic Demi"/>
                <w:lang w:eastAsia="en-AU"/>
              </w:rPr>
              <w:t>20</w:t>
            </w:r>
          </w:p>
        </w:tc>
      </w:tr>
    </w:tbl>
    <w:p w:rsidR="00F60066" w:rsidRDefault="00F60066" w:rsidP="00F60066">
      <w:pPr>
        <w:pStyle w:val="Source"/>
      </w:pPr>
      <w:r>
        <w:rPr>
          <w:i/>
        </w:rPr>
        <w:t>Source:</w:t>
      </w:r>
      <w:r>
        <w:t xml:space="preserve"> CIE calculations based on ABS </w:t>
      </w:r>
      <w:r w:rsidR="0018271D">
        <w:t xml:space="preserve">1998-99 and 2013-14 </w:t>
      </w:r>
      <w:r>
        <w:t>I-O tables.</w:t>
      </w:r>
    </w:p>
    <w:p w:rsidR="003B3209" w:rsidRDefault="00264620" w:rsidP="003B3209">
      <w:pPr>
        <w:pStyle w:val="BodyText"/>
      </w:pPr>
      <w:r>
        <w:t>As table </w:t>
      </w:r>
      <w:fldSimple w:instr=" REF _Caption8548 ">
        <w:r w:rsidR="00AB4D5D">
          <w:rPr>
            <w:noProof/>
          </w:rPr>
          <w:t>2.1</w:t>
        </w:r>
      </w:fldSimple>
      <w:r>
        <w:t xml:space="preserve"> shows, o</w:t>
      </w:r>
      <w:r w:rsidR="003B3209">
        <w:t xml:space="preserve">f all people employed in </w:t>
      </w:r>
      <w:r w:rsidR="009A7B3F">
        <w:t>export-related</w:t>
      </w:r>
      <w:r w:rsidR="003B3209">
        <w:t xml:space="preserve"> activities in Australia in 2013</w:t>
      </w:r>
      <w:r w:rsidR="0093066A">
        <w:t>-</w:t>
      </w:r>
      <w:r w:rsidR="003B3209">
        <w:t xml:space="preserve">14, the greatest number were employed in service </w:t>
      </w:r>
      <w:r w:rsidR="000A0552">
        <w:t>industries</w:t>
      </w:r>
      <w:r w:rsidR="003B3209">
        <w:t xml:space="preserve">. This is primarily due to the significantly higher total employment </w:t>
      </w:r>
      <w:r w:rsidR="001A4D49">
        <w:t>accounted for by the</w:t>
      </w:r>
      <w:r w:rsidR="003B3209">
        <w:t xml:space="preserve"> service industries.</w:t>
      </w:r>
      <w:r w:rsidR="003B3209">
        <w:rPr>
          <w:rStyle w:val="FootnoteReference"/>
        </w:rPr>
        <w:footnoteReference w:id="10"/>
      </w:r>
      <w:r w:rsidR="003B3209">
        <w:t xml:space="preserve"> The individual industry with the greatest number of people involved in export activities was the Professional, Scientific and Technical Services industry with 188 900 people. This is greater than the total </w:t>
      </w:r>
      <w:r w:rsidR="009A7B3F">
        <w:t>export-related</w:t>
      </w:r>
      <w:r w:rsidR="003B3209">
        <w:t xml:space="preserve"> employment in agriculture or mining.</w:t>
      </w:r>
    </w:p>
    <w:p w:rsidR="003B3209" w:rsidRDefault="003B3209" w:rsidP="003B3209">
      <w:pPr>
        <w:pStyle w:val="BodyText"/>
      </w:pPr>
      <w:r>
        <w:t xml:space="preserve">In terms of </w:t>
      </w:r>
      <w:r w:rsidR="007D64E9">
        <w:t xml:space="preserve">trade-related </w:t>
      </w:r>
      <w:r w:rsidR="00A452BD">
        <w:t xml:space="preserve">share of </w:t>
      </w:r>
      <w:r>
        <w:t>employment, however, the mining sector has the greatest export</w:t>
      </w:r>
      <w:r w:rsidR="003D6F6A">
        <w:t>-</w:t>
      </w:r>
      <w:r>
        <w:t>orientation, with 67 per cent of all jobs estimated to be related to export activities. This share has declined from 81 per cent in 1998</w:t>
      </w:r>
      <w:r w:rsidR="0093066A">
        <w:t>-</w:t>
      </w:r>
      <w:r>
        <w:t>99 due to:</w:t>
      </w:r>
    </w:p>
    <w:p w:rsidR="003B3209" w:rsidRDefault="003B3209" w:rsidP="003B3209">
      <w:pPr>
        <w:pStyle w:val="ListBullet"/>
        <w:numPr>
          <w:ilvl w:val="0"/>
          <w:numId w:val="24"/>
        </w:numPr>
      </w:pPr>
      <w:r>
        <w:t>a declining export</w:t>
      </w:r>
      <w:r w:rsidR="003D6F6A">
        <w:t>-</w:t>
      </w:r>
      <w:r w:rsidR="00A452BD">
        <w:t xml:space="preserve">orientation </w:t>
      </w:r>
      <w:r>
        <w:t>share across all mining</w:t>
      </w:r>
    </w:p>
    <w:p w:rsidR="003B3209" w:rsidRDefault="003B3209" w:rsidP="003B3209">
      <w:pPr>
        <w:pStyle w:val="ListBullet"/>
        <w:numPr>
          <w:ilvl w:val="0"/>
          <w:numId w:val="24"/>
        </w:numPr>
      </w:pPr>
      <w:r>
        <w:t xml:space="preserve">a </w:t>
      </w:r>
      <w:r w:rsidR="00A452BD">
        <w:t xml:space="preserve">more </w:t>
      </w:r>
      <w:r>
        <w:t>significant share of total mining employment (26 per cent) is associated with the (relatively less export</w:t>
      </w:r>
      <w:r w:rsidR="003D6F6A">
        <w:t>-</w:t>
      </w:r>
      <w:r>
        <w:t xml:space="preserve">oriented) </w:t>
      </w:r>
      <w:r w:rsidR="000A0552">
        <w:t xml:space="preserve">Mining Exploration and Services </w:t>
      </w:r>
      <w:r>
        <w:t>industry.</w:t>
      </w:r>
    </w:p>
    <w:p w:rsidR="003B3209" w:rsidRDefault="003B3209" w:rsidP="003B3209">
      <w:pPr>
        <w:pStyle w:val="BodyText"/>
      </w:pPr>
      <w:r>
        <w:t xml:space="preserve">The relative decline in </w:t>
      </w:r>
      <w:r w:rsidR="009A7B3F">
        <w:t>export-related</w:t>
      </w:r>
      <w:r>
        <w:t xml:space="preserve"> mining and manufacturing employment has been partly offset by an increase in the share of </w:t>
      </w:r>
      <w:r w:rsidR="009A7B3F">
        <w:t>export-related</w:t>
      </w:r>
      <w:r>
        <w:t xml:space="preserve"> employment in the agriculture sector. Export shares in the agriculture sector </w:t>
      </w:r>
      <w:r w:rsidR="000A0552">
        <w:t>are</w:t>
      </w:r>
      <w:r>
        <w:t xml:space="preserve"> highly variable because of the sector’s exposure to weather events. In a year of poor seasonal conditions and low output, the export share would be small. </w:t>
      </w:r>
    </w:p>
    <w:p w:rsidR="003B3209" w:rsidRPr="00B4493C" w:rsidRDefault="003A04B9" w:rsidP="003B3209">
      <w:pPr>
        <w:pStyle w:val="BodyText"/>
      </w:pPr>
      <w:r>
        <w:t xml:space="preserve">In addition to export-related jobs, many Australians are employed in services related to </w:t>
      </w:r>
      <w:r w:rsidRPr="00855259">
        <w:t xml:space="preserve">imports. </w:t>
      </w:r>
      <w:r w:rsidR="00FB3B68" w:rsidRPr="00855259">
        <w:t>ABS input-output tables suggest that a</w:t>
      </w:r>
      <w:r w:rsidR="003B3209" w:rsidRPr="00855259">
        <w:t>round 38 per</w:t>
      </w:r>
      <w:r w:rsidR="003B3209">
        <w:t xml:space="preserve"> cent of all goods in the Australian economy were imported</w:t>
      </w:r>
      <w:r w:rsidR="001A4D49">
        <w:t xml:space="preserve"> in 2013</w:t>
      </w:r>
      <w:r w:rsidR="0093066A">
        <w:t>-</w:t>
      </w:r>
      <w:r w:rsidR="001A4D49">
        <w:t>14</w:t>
      </w:r>
      <w:r w:rsidR="003B3209">
        <w:t xml:space="preserve">. </w:t>
      </w:r>
      <w:r w:rsidR="00B0465C">
        <w:t xml:space="preserve">Using that share and applying it to the number of Australian workers employed in the </w:t>
      </w:r>
      <w:r w:rsidR="00B0465C" w:rsidRPr="00B4493C">
        <w:t xml:space="preserve">distribution </w:t>
      </w:r>
      <w:r w:rsidR="00B0465C">
        <w:t xml:space="preserve">industries associated with the movement of goods in the economy </w:t>
      </w:r>
      <w:r w:rsidR="00B0465C" w:rsidRPr="00B4493C">
        <w:t>(transport and storage, wholesale and retail trade)</w:t>
      </w:r>
      <w:r w:rsidR="00B0465C">
        <w:t xml:space="preserve">, we estimate that around </w:t>
      </w:r>
      <w:r w:rsidR="003B3209" w:rsidRPr="00B4493C">
        <w:t xml:space="preserve">671 200 </w:t>
      </w:r>
      <w:r w:rsidR="00B0465C">
        <w:t xml:space="preserve">employees are associated with getting merchandise imports to </w:t>
      </w:r>
      <w:r w:rsidR="001A4D49">
        <w:t>end users.</w:t>
      </w:r>
      <w:r w:rsidR="003B3209" w:rsidRPr="00B4493C">
        <w:rPr>
          <w:rStyle w:val="FootnoteReference"/>
        </w:rPr>
        <w:footnoteReference w:id="11"/>
      </w:r>
      <w:r w:rsidR="003B3209" w:rsidRPr="00B4493C">
        <w:t xml:space="preserve"> This is 6 per cent of total Australian employment. </w:t>
      </w:r>
    </w:p>
    <w:p w:rsidR="003A04B9" w:rsidRPr="00963D2E" w:rsidRDefault="00611500" w:rsidP="003A04B9">
      <w:pPr>
        <w:pStyle w:val="BodyText"/>
      </w:pPr>
      <w:r w:rsidRPr="00963D2E">
        <w:t xml:space="preserve">While trade has increased over time, the share of workers involved in </w:t>
      </w:r>
      <w:r w:rsidR="00AB717B">
        <w:t>trade-related</w:t>
      </w:r>
      <w:r w:rsidRPr="00963D2E">
        <w:t xml:space="preserve"> activities has remained relatively constant at 20–22 per cent.</w:t>
      </w:r>
      <w:r w:rsidR="00DD000D">
        <w:rPr>
          <w:rStyle w:val="FootnoteReference"/>
        </w:rPr>
        <w:footnoteReference w:id="12"/>
      </w:r>
      <w:r w:rsidRPr="00963D2E">
        <w:t xml:space="preserve"> </w:t>
      </w:r>
      <w:r w:rsidR="00963D2E" w:rsidRPr="00963D2E">
        <w:t xml:space="preserve">This reflects two </w:t>
      </w:r>
      <w:r w:rsidR="00B0465C">
        <w:t>factors</w:t>
      </w:r>
      <w:r w:rsidR="00963D2E" w:rsidRPr="00963D2E">
        <w:t xml:space="preserve">. Firstly, an increase in exports will typically </w:t>
      </w:r>
      <w:r w:rsidR="003A04B9" w:rsidRPr="00963D2E">
        <w:t xml:space="preserve">increase employment in export sectors. </w:t>
      </w:r>
      <w:r w:rsidR="00054B18">
        <w:t xml:space="preserve">However, the composition of those exports is important. </w:t>
      </w:r>
      <w:r w:rsidR="003A04B9" w:rsidRPr="00963D2E">
        <w:t xml:space="preserve">Chart </w:t>
      </w:r>
      <w:fldSimple w:instr=" REF _Caption4446  \* MERGEFORMAT ">
        <w:r w:rsidR="00AB4D5D">
          <w:t>2.2</w:t>
        </w:r>
      </w:fldSimple>
      <w:r w:rsidR="003A04B9" w:rsidRPr="00963D2E">
        <w:t xml:space="preserve"> shows how Australia’s merchandise trade has increased since 1995, and also shows the dominance of the mining sector in the increased trade volumes. Mining, however</w:t>
      </w:r>
      <w:r w:rsidR="001A4D49" w:rsidRPr="00963D2E">
        <w:t>,</w:t>
      </w:r>
      <w:r w:rsidR="003A04B9" w:rsidRPr="00963D2E">
        <w:t xml:space="preserve"> is less labour intensive than the rest of the economy. </w:t>
      </w:r>
      <w:r w:rsidR="00054B18">
        <w:t>For example, l</w:t>
      </w:r>
      <w:r w:rsidR="003A04B9" w:rsidRPr="00963D2E">
        <w:t>abour expenses account for just 22 per cent of value added in mining compared to 52 per cent in services.</w:t>
      </w:r>
      <w:r w:rsidR="00963D2E" w:rsidRPr="00963D2E">
        <w:t xml:space="preserve"> </w:t>
      </w:r>
      <w:r w:rsidR="00054B18">
        <w:t>T</w:t>
      </w:r>
      <w:r w:rsidR="00963D2E" w:rsidRPr="00963D2E">
        <w:t xml:space="preserve">he changing composition of exports will </w:t>
      </w:r>
      <w:r w:rsidR="00054B18">
        <w:t xml:space="preserve">therefore </w:t>
      </w:r>
      <w:r w:rsidR="00963D2E" w:rsidRPr="00963D2E">
        <w:t xml:space="preserve">affect the share of economywide employment accounted for by exports. </w:t>
      </w:r>
    </w:p>
    <w:p w:rsidR="003A04B9" w:rsidRDefault="00054B18" w:rsidP="003A04B9">
      <w:pPr>
        <w:pStyle w:val="BodyText"/>
      </w:pPr>
      <w:r>
        <w:t>Secondly, t</w:t>
      </w:r>
      <w:r w:rsidR="003A04B9" w:rsidRPr="00B4493C">
        <w:t xml:space="preserve">rade will also </w:t>
      </w:r>
      <w:r w:rsidR="00963D2E">
        <w:t>have</w:t>
      </w:r>
      <w:r w:rsidR="003A04B9" w:rsidRPr="00B4493C">
        <w:t xml:space="preserve"> an income effect. Increased </w:t>
      </w:r>
      <w:r w:rsidR="00963D2E">
        <w:t>economic activity</w:t>
      </w:r>
      <w:r w:rsidR="003A04B9" w:rsidRPr="00B4493C">
        <w:t xml:space="preserve"> due to trade liberalisation </w:t>
      </w:r>
      <w:r>
        <w:t xml:space="preserve">will </w:t>
      </w:r>
      <w:r w:rsidR="003A04B9" w:rsidRPr="00B4493C">
        <w:t xml:space="preserve">increase overall demand </w:t>
      </w:r>
      <w:r w:rsidR="00963D2E">
        <w:t>in the</w:t>
      </w:r>
      <w:r w:rsidR="003A04B9" w:rsidRPr="00B4493C">
        <w:t xml:space="preserve"> economy. Services </w:t>
      </w:r>
      <w:r w:rsidR="00963D2E">
        <w:t>are</w:t>
      </w:r>
      <w:r w:rsidR="003A04B9" w:rsidRPr="00B4493C">
        <w:t xml:space="preserve"> by far the largest sector in the Australian economy, so the </w:t>
      </w:r>
      <w:r w:rsidR="00963D2E">
        <w:t>higher level of economic activity will increase employment</w:t>
      </w:r>
      <w:r w:rsidR="003A04B9" w:rsidRPr="00B4493C">
        <w:t xml:space="preserve"> in the service sector</w:t>
      </w:r>
      <w:r w:rsidR="00963D2E">
        <w:t>s</w:t>
      </w:r>
      <w:r w:rsidR="003A04B9" w:rsidRPr="00B4493C">
        <w:t>. The service sector</w:t>
      </w:r>
      <w:r w:rsidR="00963D2E">
        <w:t>s</w:t>
      </w:r>
      <w:r w:rsidR="003A04B9" w:rsidRPr="00B4493C">
        <w:t xml:space="preserve"> </w:t>
      </w:r>
      <w:r w:rsidR="00963D2E">
        <w:t xml:space="preserve">are </w:t>
      </w:r>
      <w:r w:rsidR="003A04B9" w:rsidRPr="00B4493C">
        <w:t xml:space="preserve">not </w:t>
      </w:r>
      <w:r w:rsidR="00963D2E">
        <w:t>overly</w:t>
      </w:r>
      <w:r w:rsidR="003A04B9" w:rsidRPr="00B4493C">
        <w:t xml:space="preserve"> export focused</w:t>
      </w:r>
      <w:r w:rsidR="00963D2E">
        <w:t>,</w:t>
      </w:r>
      <w:r w:rsidR="003A04B9" w:rsidRPr="00B4493C">
        <w:t xml:space="preserve"> and </w:t>
      </w:r>
      <w:r w:rsidR="00B0465C">
        <w:t>are</w:t>
      </w:r>
      <w:r w:rsidR="003A04B9" w:rsidRPr="00B4493C">
        <w:t xml:space="preserve"> more labour intensive than many of Australia’s export sectors (such as mining). </w:t>
      </w:r>
      <w:r w:rsidR="00963D2E">
        <w:t>The expansion of labour intensive and less export</w:t>
      </w:r>
      <w:r w:rsidR="00726649">
        <w:t>-</w:t>
      </w:r>
      <w:r w:rsidR="00963D2E">
        <w:t xml:space="preserve">orientated sectors therefore sees the share of employment in </w:t>
      </w:r>
      <w:r w:rsidR="009A7B3F">
        <w:t>export-related</w:t>
      </w:r>
      <w:r w:rsidR="00963D2E">
        <w:t xml:space="preserve"> activities potentially being smaller, even though the absolute number of people employed in </w:t>
      </w:r>
      <w:r w:rsidR="009A7B3F">
        <w:t>export-related</w:t>
      </w:r>
      <w:r w:rsidR="00963D2E">
        <w:t xml:space="preserve"> activities has increased.</w:t>
      </w:r>
    </w:p>
    <w:p w:rsidR="003A04B9" w:rsidRDefault="003A04B9" w:rsidP="00E011C3">
      <w:pPr>
        <w:pStyle w:val="Caption"/>
        <w:numPr>
          <w:ilvl w:val="0"/>
          <w:numId w:val="23"/>
        </w:numPr>
        <w:spacing w:before="240"/>
      </w:pPr>
      <w:r>
        <w:fldChar w:fldCharType="begin"/>
      </w:r>
      <w:r>
        <w:instrText xml:space="preserve"> IF 1 = 1 "</w:instrText>
      </w:r>
      <w:r>
        <w:fldChar w:fldCharType="begin"/>
      </w:r>
      <w:r>
        <w:instrText xml:space="preserve"> IF </w:instrText>
      </w:r>
      <w:fldSimple w:instr=" STYLEREF &quot;Heading 6&quot; \l \n ">
        <w:r w:rsidR="00AB4D5D">
          <w:rPr>
            <w:noProof/>
          </w:rPr>
          <w:instrText>0</w:instrText>
        </w:r>
      </w:fldSimple>
      <w:r>
        <w:instrText xml:space="preserve"> = 0 "</w:instrText>
      </w:r>
      <w:r>
        <w:fldChar w:fldCharType="begin"/>
      </w:r>
      <w:r>
        <w:instrText xml:space="preserve"> IF </w:instrText>
      </w:r>
      <w:fldSimple w:instr=" STYLEREF &quot;Heading 1&quot; \l \n ">
        <w:r w:rsidR="00AB4D5D">
          <w:rPr>
            <w:noProof/>
          </w:rPr>
          <w:instrText>2</w:instrText>
        </w:r>
      </w:fldSimple>
      <w:r>
        <w:instrText xml:space="preserve"> = 0 "" "</w:instrText>
      </w:r>
      <w:fldSimple w:instr=" STYLEREF &quot;Heading 1&quot; \l \n ">
        <w:r w:rsidR="00AB4D5D">
          <w:rPr>
            <w:noProof/>
          </w:rPr>
          <w:instrText>2</w:instrText>
        </w:r>
      </w:fldSimple>
      <w:r>
        <w:instrText xml:space="preserve">." </w:instrText>
      </w:r>
      <w:r>
        <w:fldChar w:fldCharType="separate"/>
      </w:r>
      <w:r w:rsidR="00AB4D5D">
        <w:rPr>
          <w:noProof/>
        </w:rPr>
        <w:instrText>2.</w:instrText>
      </w:r>
      <w:r>
        <w:fldChar w:fldCharType="end"/>
      </w:r>
      <w:r>
        <w:instrText>" "</w:instrText>
      </w:r>
      <w:fldSimple w:instr=" STYLEREF &quot;Heading 6&quot; \l \n ">
        <w:r>
          <w:rPr>
            <w:noProof/>
          </w:rPr>
          <w:instrText>A</w:instrText>
        </w:r>
      </w:fldSimple>
      <w:r>
        <w:instrText xml:space="preserve">." </w:instrText>
      </w:r>
      <w:r>
        <w:fldChar w:fldCharType="separate"/>
      </w:r>
      <w:r w:rsidR="0025761E">
        <w:rPr>
          <w:noProof/>
        </w:rPr>
        <w:instrText>2.</w:instrText>
      </w:r>
      <w:r>
        <w:fldChar w:fldCharType="end"/>
      </w:r>
      <w:r>
        <w:fldChar w:fldCharType="begin"/>
      </w:r>
      <w:r>
        <w:instrText xml:space="preserve"> SEQ Item \* ARABIC \s </w:instrText>
      </w:r>
      <w:r>
        <w:fldChar w:fldCharType="begin"/>
      </w:r>
      <w:r>
        <w:instrText xml:space="preserve"> IF </w:instrText>
      </w:r>
      <w:fldSimple w:instr=" STYLEREF &quot;Heading 6&quot; \l \n ">
        <w:r w:rsidR="00AB4D5D">
          <w:rPr>
            <w:noProof/>
          </w:rPr>
          <w:instrText>0</w:instrText>
        </w:r>
      </w:fldSimple>
      <w:r>
        <w:instrText xml:space="preserve"> = 0 "</w:instrText>
      </w:r>
      <w:r>
        <w:fldChar w:fldCharType="begin"/>
      </w:r>
      <w:r>
        <w:instrText xml:space="preserve"> IF </w:instrText>
      </w:r>
      <w:fldSimple w:instr=" STYLEREF &quot;Heading 1&quot; \l \n ">
        <w:r w:rsidR="00AB4D5D">
          <w:rPr>
            <w:noProof/>
          </w:rPr>
          <w:instrText>2</w:instrText>
        </w:r>
      </w:fldSimple>
      <w:r>
        <w:instrText xml:space="preserve"> = 0 "" "1" </w:instrText>
      </w:r>
      <w:r>
        <w:fldChar w:fldCharType="separate"/>
      </w:r>
      <w:r w:rsidR="0025761E">
        <w:rPr>
          <w:noProof/>
        </w:rPr>
        <w:instrText>1</w:instrText>
      </w:r>
      <w:r>
        <w:fldChar w:fldCharType="end"/>
      </w:r>
      <w:r>
        <w:instrText xml:space="preserve">" "6" </w:instrText>
      </w:r>
      <w:r>
        <w:fldChar w:fldCharType="separate"/>
      </w:r>
      <w:r w:rsidR="0025761E">
        <w:rPr>
          <w:noProof/>
        </w:rPr>
        <w:instrText>1</w:instrText>
      </w:r>
      <w:r>
        <w:fldChar w:fldCharType="end"/>
      </w:r>
      <w:r>
        <w:instrText xml:space="preserve"> </w:instrText>
      </w:r>
      <w:r>
        <w:fldChar w:fldCharType="separate"/>
      </w:r>
      <w:r w:rsidR="00AB4D5D">
        <w:rPr>
          <w:noProof/>
        </w:rPr>
        <w:instrText>2</w:instrText>
      </w:r>
      <w:r>
        <w:fldChar w:fldCharType="end"/>
      </w:r>
      <w:r>
        <w:instrText xml:space="preserve">" "" </w:instrText>
      </w:r>
      <w:r>
        <w:fldChar w:fldCharType="separate"/>
      </w:r>
      <w:bookmarkStart w:id="117" w:name="_Caption4347"/>
      <w:bookmarkStart w:id="118" w:name="_Caption7403"/>
      <w:bookmarkStart w:id="119" w:name="_Caption3395"/>
      <w:bookmarkStart w:id="120" w:name="_Caption9233"/>
      <w:bookmarkStart w:id="121" w:name="_Caption0331"/>
      <w:bookmarkStart w:id="122" w:name="_Caption7114"/>
      <w:bookmarkStart w:id="123" w:name="_Caption2496"/>
      <w:bookmarkStart w:id="124" w:name="_Caption9850"/>
      <w:bookmarkStart w:id="125" w:name="_Caption2031"/>
      <w:bookmarkStart w:id="126" w:name="_Caption4446"/>
      <w:bookmarkStart w:id="127" w:name="_Caption5491"/>
      <w:bookmarkStart w:id="128" w:name="_Caption8135"/>
      <w:bookmarkStart w:id="129" w:name="_Caption3565"/>
      <w:bookmarkStart w:id="130" w:name="_Caption9972"/>
      <w:bookmarkStart w:id="131" w:name="_Caption3715"/>
      <w:bookmarkStart w:id="132" w:name="_Caption4336"/>
      <w:bookmarkStart w:id="133" w:name="_Caption5502"/>
      <w:bookmarkStart w:id="134" w:name="_Caption7545"/>
      <w:bookmarkStart w:id="135" w:name="_Caption8200"/>
      <w:bookmarkStart w:id="136" w:name="_Caption8775"/>
      <w:bookmarkStart w:id="137" w:name="_Caption0105"/>
      <w:bookmarkStart w:id="138" w:name="_Caption7419"/>
      <w:bookmarkStart w:id="139" w:name="_Toc494120823"/>
      <w:r w:rsidR="0025761E">
        <w:rPr>
          <w:noProof/>
        </w:rPr>
        <w:t>2.2</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fldChar w:fldCharType="end"/>
      </w:r>
      <w:r>
        <w:tab/>
        <w:t xml:space="preserve">Change in Australian </w:t>
      </w:r>
      <w:r w:rsidR="00891275">
        <w:t xml:space="preserve">merchandise </w:t>
      </w:r>
      <w:r>
        <w:t>exports by broad product category</w:t>
      </w:r>
      <w:bookmarkEnd w:id="139"/>
    </w:p>
    <w:tbl>
      <w:tblPr>
        <w:tblStyle w:val="TableGrid"/>
        <w:tblW w:w="7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5"/>
      </w:tblGrid>
      <w:tr w:rsidR="003A04B9" w:rsidTr="00965D55">
        <w:trPr>
          <w:cantSplit/>
        </w:trPr>
        <w:tc>
          <w:tcPr>
            <w:tcW w:w="7935" w:type="dxa"/>
            <w:shd w:val="clear" w:color="auto" w:fill="E9E8E5" w:themeFill="background2"/>
            <w:hideMark/>
          </w:tcPr>
          <w:p w:rsidR="003A04B9" w:rsidRDefault="00965D55" w:rsidP="005070E4">
            <w:pPr>
              <w:pStyle w:val="BodyText"/>
              <w:spacing w:before="0"/>
              <w:jc w:val="center"/>
            </w:pPr>
            <w:r>
              <w:rPr>
                <w:noProof/>
              </w:rPr>
              <w:drawing>
                <wp:inline distT="0" distB="0" distL="0" distR="0" wp14:anchorId="3DD2972A" wp14:editId="52FDEE0A">
                  <wp:extent cx="4858385" cy="26574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372" b="2861"/>
                          <a:stretch/>
                        </pic:blipFill>
                        <pic:spPr bwMode="auto">
                          <a:xfrm>
                            <a:off x="0" y="0"/>
                            <a:ext cx="4858385" cy="26574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965D55" w:rsidRPr="00965D55" w:rsidRDefault="00965D55" w:rsidP="00965D55">
      <w:pPr>
        <w:pStyle w:val="Note"/>
      </w:pPr>
      <w:r w:rsidRPr="00A97BEC">
        <w:rPr>
          <w:i/>
        </w:rPr>
        <w:t xml:space="preserve">Note: </w:t>
      </w:r>
      <w:r>
        <w:t>Merchandise exports falling under HS Chapters 97 (Works of Art, Collectors’ Pieces and Antiques) and Chapters 98 and 99 (Special classification Provisions) have been excluded from the chart. Australia’s exports of products falling under HS Chapters 97, 98 and 99 amounted to A$7.8 billion in 2016.</w:t>
      </w:r>
    </w:p>
    <w:p w:rsidR="003A04B9" w:rsidRDefault="003A04B9" w:rsidP="0063598E">
      <w:pPr>
        <w:pStyle w:val="Source"/>
        <w:tabs>
          <w:tab w:val="left" w:pos="4666"/>
        </w:tabs>
      </w:pPr>
      <w:r>
        <w:rPr>
          <w:i/>
        </w:rPr>
        <w:t>Data source:</w:t>
      </w:r>
      <w:r>
        <w:t xml:space="preserve"> Global Trade Atlas</w:t>
      </w:r>
      <w:r w:rsidR="001A4D49">
        <w:t>.</w:t>
      </w:r>
      <w:r w:rsidR="0063598E">
        <w:tab/>
      </w:r>
    </w:p>
    <w:p w:rsidR="003B3209" w:rsidRDefault="003B3209" w:rsidP="003B3209">
      <w:pPr>
        <w:pStyle w:val="BodyText"/>
      </w:pPr>
    </w:p>
    <w:p w:rsidR="003B3209" w:rsidRDefault="008B3E95" w:rsidP="004F5D72">
      <w:pPr>
        <w:pStyle w:val="Heading1"/>
        <w:numPr>
          <w:ilvl w:val="0"/>
          <w:numId w:val="33"/>
        </w:numPr>
      </w:pPr>
      <w:bookmarkStart w:id="140" w:name="_Toc494120813"/>
      <w:r>
        <w:t xml:space="preserve">Modelling the </w:t>
      </w:r>
      <w:r w:rsidR="003B3209">
        <w:t xml:space="preserve">effects of </w:t>
      </w:r>
      <w:r>
        <w:t xml:space="preserve">Australian merchandise </w:t>
      </w:r>
      <w:r w:rsidR="003B3209">
        <w:t>trade liberalisation</w:t>
      </w:r>
      <w:bookmarkEnd w:id="140"/>
    </w:p>
    <w:p w:rsidR="006E75D0" w:rsidRDefault="0097656E" w:rsidP="008B3E95">
      <w:pPr>
        <w:pStyle w:val="ChapterSummary"/>
      </w:pPr>
      <w:r>
        <w:t xml:space="preserve">Economic modelling of Australian merchandise trade liberalisation over 1986 to 2016 has been undertaken </w:t>
      </w:r>
      <w:r w:rsidR="006E75D0">
        <w:t xml:space="preserve">in this chapter </w:t>
      </w:r>
      <w:r>
        <w:t xml:space="preserve">to understand </w:t>
      </w:r>
      <w:r w:rsidR="006E75D0">
        <w:t>the</w:t>
      </w:r>
      <w:r>
        <w:t xml:space="preserve"> contribution </w:t>
      </w:r>
      <w:r w:rsidR="006E75D0">
        <w:t xml:space="preserve">of increased openness </w:t>
      </w:r>
      <w:r>
        <w:t xml:space="preserve">to the Australian economy in 2016. </w:t>
      </w:r>
      <w:r w:rsidR="006E75D0">
        <w:t xml:space="preserve">The modelling suggests that the merchandise trade liberalisation over the 1986 to 2016 period has benefitted the Australian economy, with real GDP being 5.4 per cent higher in 2016 than it would otherwise have been (with no trade liberalisation). For the average Australian </w:t>
      </w:r>
      <w:r w:rsidR="00C46B1E">
        <w:t>family</w:t>
      </w:r>
      <w:r w:rsidR="006E75D0">
        <w:t>, the trade liberalisation is estimated to have seen real income being A$8</w:t>
      </w:r>
      <w:r w:rsidR="00C46B1E">
        <w:t>448</w:t>
      </w:r>
      <w:r w:rsidR="006E75D0">
        <w:t xml:space="preserve"> higher in 2016 than otherwise.</w:t>
      </w:r>
    </w:p>
    <w:p w:rsidR="008B3E95" w:rsidRPr="006E75D0" w:rsidRDefault="006E75D0" w:rsidP="006E75D0">
      <w:pPr>
        <w:pStyle w:val="BodyText"/>
      </w:pPr>
      <w:r>
        <w:t>It is important to note that t</w:t>
      </w:r>
      <w:r w:rsidR="0097656E" w:rsidRPr="006E75D0">
        <w:t xml:space="preserve">he economic modelling </w:t>
      </w:r>
      <w:r>
        <w:t xml:space="preserve">undertaken here </w:t>
      </w:r>
      <w:r w:rsidR="0097656E" w:rsidRPr="006E75D0">
        <w:t>only includes Australian tariff liberalisation</w:t>
      </w:r>
      <w:r>
        <w:t>. It does not model any</w:t>
      </w:r>
      <w:r w:rsidR="0097656E" w:rsidRPr="006E75D0">
        <w:t xml:space="preserve"> </w:t>
      </w:r>
      <w:r w:rsidR="00514F57">
        <w:t xml:space="preserve">Australian </w:t>
      </w:r>
      <w:r w:rsidR="0097656E" w:rsidRPr="006E75D0">
        <w:t>service</w:t>
      </w:r>
      <w:r>
        <w:t xml:space="preserve"> trade</w:t>
      </w:r>
      <w:r w:rsidR="0097656E" w:rsidRPr="006E75D0">
        <w:t xml:space="preserve"> and investment liberalisation, </w:t>
      </w:r>
      <w:r>
        <w:t>nor</w:t>
      </w:r>
      <w:r w:rsidR="0097656E" w:rsidRPr="006E75D0">
        <w:t xml:space="preserve"> any trade liberalisation undertaken by Australia’s trading partners. As such, the modelling results can be </w:t>
      </w:r>
      <w:r w:rsidR="0085350D" w:rsidRPr="006E75D0">
        <w:t>seen as representing the minimum of what</w:t>
      </w:r>
      <w:r w:rsidR="0097656E" w:rsidRPr="006E75D0">
        <w:t xml:space="preserve"> has resulted from Australia’s overall process of trade and investment liberalisation over the past 30 years.</w:t>
      </w:r>
    </w:p>
    <w:p w:rsidR="003B3209" w:rsidRDefault="008B3E95" w:rsidP="003B3209">
      <w:pPr>
        <w:pStyle w:val="BodyText"/>
      </w:pPr>
      <w:r>
        <w:t>As already noted, o</w:t>
      </w:r>
      <w:r w:rsidR="003B3209">
        <w:t>ver t</w:t>
      </w:r>
      <w:r w:rsidR="000A0552">
        <w:t>he last three decades Australia</w:t>
      </w:r>
      <w:r w:rsidR="003B3209">
        <w:t xml:space="preserve"> has undertaken substantial trade liberalisation — in 2016 the average </w:t>
      </w:r>
      <w:r>
        <w:t>(</w:t>
      </w:r>
      <w:r w:rsidR="009A7B3F">
        <w:t>import-weighted</w:t>
      </w:r>
      <w:r>
        <w:t xml:space="preserve">) </w:t>
      </w:r>
      <w:r w:rsidR="003B3209">
        <w:t xml:space="preserve">tariff was under 1 per cent, versus over 7 per cent in 1986. </w:t>
      </w:r>
    </w:p>
    <w:p w:rsidR="003B3209" w:rsidRDefault="003B3209" w:rsidP="003B3209">
      <w:pPr>
        <w:pStyle w:val="BodyText"/>
      </w:pPr>
      <w:r>
        <w:t>However, and as can be seen from chart </w:t>
      </w:r>
      <w:fldSimple w:instr=" REF _Caption4214 ">
        <w:r w:rsidR="00AB4D5D">
          <w:rPr>
            <w:noProof/>
          </w:rPr>
          <w:t>3.1</w:t>
        </w:r>
      </w:fldSimple>
      <w:r>
        <w:t>, these average tariffs mask considerable variation at the product level. In 1986</w:t>
      </w:r>
      <w:r w:rsidR="000A0552">
        <w:t>,</w:t>
      </w:r>
      <w:r>
        <w:t xml:space="preserve"> tariffs ranged between 0.5 per cent (forestry products) and 89 per cent (apparel). By 2016 the breadth of tariffs was substantially smaller, ranging between 0 (various primary products) and a maximum of 2.4 per cent (apparel). While the most protected sectors in 1986 are still the more heavily protected sectors in 2016, the magnitude of that protection has been greatly reduced. For example, in the case of wearing apparel, tariffs have fallen from 89 per cent to 2.4 per cent, a reduction in protection of nearly 87 percentage points, while motor vehicle protection has fallen by 56 percentage points.</w:t>
      </w:r>
    </w:p>
    <w:p w:rsidR="003B3209" w:rsidRDefault="003B3209" w:rsidP="003B3209">
      <w:pPr>
        <w:pStyle w:val="BodyText"/>
      </w:pPr>
      <w:r>
        <w:t xml:space="preserve">Removing such large price distortions should be associated with substantial efficiency gains in Australia. </w:t>
      </w:r>
    </w:p>
    <w:p w:rsidR="003B3209" w:rsidRDefault="003B3209" w:rsidP="003B3209">
      <w:pPr>
        <w:pStyle w:val="Caption"/>
        <w:numPr>
          <w:ilvl w:val="0"/>
          <w:numId w:val="23"/>
        </w:numPr>
      </w:pPr>
      <w:r>
        <w:fldChar w:fldCharType="begin"/>
      </w:r>
      <w:r>
        <w:instrText xml:space="preserve"> IF 1 = 1 "</w:instrText>
      </w:r>
      <w:r>
        <w:fldChar w:fldCharType="begin"/>
      </w:r>
      <w:r>
        <w:instrText xml:space="preserve"> IF </w:instrText>
      </w:r>
      <w:fldSimple w:instr=" STYLEREF &quot;Heading 6&quot; \l \n ">
        <w:r w:rsidR="00AB4D5D">
          <w:rPr>
            <w:noProof/>
          </w:rPr>
          <w:instrText>0</w:instrText>
        </w:r>
      </w:fldSimple>
      <w:r>
        <w:instrText xml:space="preserve"> = 0 "</w:instrText>
      </w:r>
      <w:r>
        <w:fldChar w:fldCharType="begin"/>
      </w:r>
      <w:r>
        <w:instrText xml:space="preserve"> IF </w:instrText>
      </w:r>
      <w:fldSimple w:instr=" STYLEREF &quot;Heading 1&quot; \l \n ">
        <w:r w:rsidR="00AB4D5D">
          <w:rPr>
            <w:noProof/>
          </w:rPr>
          <w:instrText>3</w:instrText>
        </w:r>
      </w:fldSimple>
      <w:r>
        <w:instrText xml:space="preserve"> = 0 "" "</w:instrText>
      </w:r>
      <w:fldSimple w:instr=" STYLEREF &quot;Heading 1&quot; \l \n ">
        <w:r w:rsidR="00AB4D5D">
          <w:rPr>
            <w:noProof/>
          </w:rPr>
          <w:instrText>3</w:instrText>
        </w:r>
      </w:fldSimple>
      <w:r>
        <w:instrText xml:space="preserve">." </w:instrText>
      </w:r>
      <w:r>
        <w:fldChar w:fldCharType="separate"/>
      </w:r>
      <w:r w:rsidR="00AB4D5D">
        <w:rPr>
          <w:noProof/>
        </w:rPr>
        <w:instrText>3.</w:instrText>
      </w:r>
      <w:r>
        <w:fldChar w:fldCharType="end"/>
      </w:r>
      <w:r>
        <w:instrText>" "</w:instrText>
      </w:r>
      <w:fldSimple w:instr=" STYLEREF &quot;Heading 6&quot; \l \n ">
        <w:r>
          <w:rPr>
            <w:noProof/>
          </w:rPr>
          <w:instrText>A</w:instrText>
        </w:r>
      </w:fldSimple>
      <w:r>
        <w:instrText xml:space="preserve">." </w:instrText>
      </w:r>
      <w:r>
        <w:fldChar w:fldCharType="separate"/>
      </w:r>
      <w:r w:rsidR="0025761E">
        <w:rPr>
          <w:noProof/>
        </w:rPr>
        <w:instrText>3.</w:instrText>
      </w:r>
      <w:r>
        <w:fldChar w:fldCharType="end"/>
      </w:r>
      <w:r>
        <w:fldChar w:fldCharType="begin"/>
      </w:r>
      <w:r>
        <w:instrText xml:space="preserve"> SEQ Item \* ARABIC \s </w:instrText>
      </w:r>
      <w:r>
        <w:fldChar w:fldCharType="begin"/>
      </w:r>
      <w:r>
        <w:instrText xml:space="preserve"> IF </w:instrText>
      </w:r>
      <w:fldSimple w:instr=" STYLEREF &quot;Heading 6&quot; \l \n ">
        <w:r w:rsidR="00AB4D5D">
          <w:rPr>
            <w:noProof/>
          </w:rPr>
          <w:instrText>0</w:instrText>
        </w:r>
      </w:fldSimple>
      <w:r>
        <w:instrText xml:space="preserve"> = 0 "</w:instrText>
      </w:r>
      <w:r>
        <w:fldChar w:fldCharType="begin"/>
      </w:r>
      <w:r>
        <w:instrText xml:space="preserve"> IF </w:instrText>
      </w:r>
      <w:fldSimple w:instr=" STYLEREF &quot;Heading 1&quot; \l \n ">
        <w:r w:rsidR="00AB4D5D">
          <w:rPr>
            <w:noProof/>
          </w:rPr>
          <w:instrText>3</w:instrText>
        </w:r>
      </w:fldSimple>
      <w:r>
        <w:instrText xml:space="preserve"> = 0 "" "1" </w:instrText>
      </w:r>
      <w:r>
        <w:fldChar w:fldCharType="separate"/>
      </w:r>
      <w:r w:rsidR="0025761E">
        <w:rPr>
          <w:noProof/>
        </w:rPr>
        <w:instrText>1</w:instrText>
      </w:r>
      <w:r>
        <w:fldChar w:fldCharType="end"/>
      </w:r>
      <w:r>
        <w:instrText xml:space="preserve">" "6" </w:instrText>
      </w:r>
      <w:r>
        <w:fldChar w:fldCharType="separate"/>
      </w:r>
      <w:r w:rsidR="0025761E">
        <w:rPr>
          <w:noProof/>
        </w:rPr>
        <w:instrText>1</w:instrText>
      </w:r>
      <w:r>
        <w:fldChar w:fldCharType="end"/>
      </w:r>
      <w:r>
        <w:instrText xml:space="preserve"> </w:instrText>
      </w:r>
      <w:r>
        <w:fldChar w:fldCharType="separate"/>
      </w:r>
      <w:r w:rsidR="00AB4D5D">
        <w:rPr>
          <w:noProof/>
        </w:rPr>
        <w:instrText>1</w:instrText>
      </w:r>
      <w:r>
        <w:fldChar w:fldCharType="end"/>
      </w:r>
      <w:r>
        <w:instrText xml:space="preserve">" "" </w:instrText>
      </w:r>
      <w:r>
        <w:fldChar w:fldCharType="separate"/>
      </w:r>
      <w:bookmarkStart w:id="141" w:name="_Caption2409"/>
      <w:bookmarkStart w:id="142" w:name="_Caption5004"/>
      <w:bookmarkStart w:id="143" w:name="_Caption1620"/>
      <w:bookmarkStart w:id="144" w:name="_Caption6776"/>
      <w:bookmarkStart w:id="145" w:name="_Caption0946"/>
      <w:bookmarkStart w:id="146" w:name="_Caption9969"/>
      <w:bookmarkStart w:id="147" w:name="_Caption4253"/>
      <w:bookmarkStart w:id="148" w:name="_Caption5696"/>
      <w:bookmarkStart w:id="149" w:name="_Caption1407"/>
      <w:bookmarkStart w:id="150" w:name="_Caption1059"/>
      <w:bookmarkStart w:id="151" w:name="_Caption4872"/>
      <w:bookmarkStart w:id="152" w:name="_Caption0347"/>
      <w:bookmarkStart w:id="153" w:name="_Caption1681"/>
      <w:bookmarkStart w:id="154" w:name="_Caption4056"/>
      <w:bookmarkStart w:id="155" w:name="_Caption9764"/>
      <w:bookmarkStart w:id="156" w:name="_Caption0648"/>
      <w:bookmarkStart w:id="157" w:name="_Caption5506"/>
      <w:bookmarkStart w:id="158" w:name="_Caption3954"/>
      <w:bookmarkStart w:id="159" w:name="_Caption4214"/>
      <w:bookmarkStart w:id="160" w:name="_Caption7859"/>
      <w:bookmarkStart w:id="161" w:name="_Caption0206"/>
      <w:bookmarkStart w:id="162" w:name="_Caption4061"/>
      <w:bookmarkStart w:id="163" w:name="_Caption2978"/>
      <w:bookmarkStart w:id="164" w:name="_Caption4848"/>
      <w:bookmarkStart w:id="165" w:name="_Caption6385"/>
      <w:bookmarkStart w:id="166" w:name="_Caption3761"/>
      <w:bookmarkStart w:id="167" w:name="_Caption6588"/>
      <w:bookmarkStart w:id="168" w:name="_Caption3737"/>
      <w:bookmarkStart w:id="169" w:name="_Caption0362"/>
      <w:bookmarkStart w:id="170" w:name="_Caption4447"/>
      <w:bookmarkStart w:id="171" w:name="_Caption9116"/>
      <w:bookmarkStart w:id="172" w:name="_Caption3448"/>
      <w:bookmarkStart w:id="173" w:name="_Toc494120824"/>
      <w:r w:rsidR="0025761E">
        <w:rPr>
          <w:noProof/>
        </w:rPr>
        <w:t>3.1</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fldChar w:fldCharType="end"/>
      </w:r>
      <w:r>
        <w:tab/>
        <w:t>Ad valorem equivalent tariff rates in 1986 and 2016</w:t>
      </w:r>
      <w:bookmarkEnd w:id="173"/>
    </w:p>
    <w:tbl>
      <w:tblPr>
        <w:tblStyle w:val="TableGrid"/>
        <w:tblW w:w="7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5"/>
      </w:tblGrid>
      <w:tr w:rsidR="003B3209" w:rsidTr="003B3209">
        <w:trPr>
          <w:cantSplit/>
        </w:trPr>
        <w:tc>
          <w:tcPr>
            <w:tcW w:w="7938" w:type="dxa"/>
            <w:shd w:val="clear" w:color="auto" w:fill="E9E8E5" w:themeFill="background2"/>
            <w:hideMark/>
          </w:tcPr>
          <w:p w:rsidR="003B3209" w:rsidRDefault="003B3209" w:rsidP="00BE4757">
            <w:pPr>
              <w:pStyle w:val="Chart"/>
              <w:spacing w:before="120"/>
              <w:jc w:val="center"/>
              <w:rPr>
                <w:lang w:eastAsia="en-AU"/>
              </w:rPr>
            </w:pPr>
            <w:r>
              <w:rPr>
                <w:noProof/>
                <w:lang w:eastAsia="en-AU"/>
              </w:rPr>
              <w:drawing>
                <wp:inline distT="0" distB="0" distL="0" distR="0" wp14:anchorId="1DB503E1" wp14:editId="44628360">
                  <wp:extent cx="4866005" cy="33318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66005" cy="3331845"/>
                          </a:xfrm>
                          <a:prstGeom prst="rect">
                            <a:avLst/>
                          </a:prstGeom>
                          <a:noFill/>
                          <a:ln>
                            <a:noFill/>
                          </a:ln>
                        </pic:spPr>
                      </pic:pic>
                    </a:graphicData>
                  </a:graphic>
                </wp:inline>
              </w:drawing>
            </w:r>
          </w:p>
        </w:tc>
      </w:tr>
    </w:tbl>
    <w:p w:rsidR="003B3209" w:rsidRDefault="003B3209" w:rsidP="003B3209">
      <w:pPr>
        <w:pStyle w:val="Note"/>
      </w:pPr>
      <w:r>
        <w:rPr>
          <w:i/>
        </w:rPr>
        <w:t>Note:</w:t>
      </w:r>
      <w:r>
        <w:t xml:space="preserve"> Import</w:t>
      </w:r>
      <w:r w:rsidR="000C6DEC">
        <w:t>-</w:t>
      </w:r>
      <w:r>
        <w:t>weights have been used to aggregate across countries facing differing tariff rates (for the same product) to arrive at average tariff rates for the various types of merchandise imports.</w:t>
      </w:r>
    </w:p>
    <w:p w:rsidR="003B3209" w:rsidRPr="00977A31" w:rsidRDefault="003B3209" w:rsidP="003B3209">
      <w:pPr>
        <w:pStyle w:val="Source"/>
      </w:pPr>
      <w:r>
        <w:rPr>
          <w:i/>
        </w:rPr>
        <w:t>Data source:</w:t>
      </w:r>
      <w:r>
        <w:t xml:space="preserve"> </w:t>
      </w:r>
      <w:r w:rsidR="006020C1">
        <w:t>CIE analysis of Australian tariff schedules.</w:t>
      </w:r>
    </w:p>
    <w:p w:rsidR="003B3209" w:rsidRDefault="003B3209" w:rsidP="004F5D72">
      <w:pPr>
        <w:pStyle w:val="Heading3"/>
        <w:numPr>
          <w:ilvl w:val="2"/>
          <w:numId w:val="33"/>
        </w:numPr>
      </w:pPr>
      <w:r>
        <w:t>Quantifying the economic impacts of Australia’s trade liberalisation</w:t>
      </w:r>
    </w:p>
    <w:p w:rsidR="003B3209" w:rsidRPr="003D20C4" w:rsidRDefault="003B3209" w:rsidP="003B3209">
      <w:pPr>
        <w:pStyle w:val="BodyText"/>
      </w:pPr>
      <w:r w:rsidRPr="003D20C4">
        <w:t xml:space="preserve">Quantifying the economic impacts of Australia’s merchandise trade liberalisation over the period 1986–2016 is a technically challenging exercise. Changes in the Australian economy between 1986 and 2016 reflect a multitude of </w:t>
      </w:r>
      <w:r w:rsidR="00F32044">
        <w:t>factors</w:t>
      </w:r>
      <w:r w:rsidRPr="003D20C4">
        <w:t xml:space="preserve"> — general productivity improvements, population growth, domestic and international policy reforms, global economic events such as the 2008 Global Financial Crisis, trade liberalisation and (any) </w:t>
      </w:r>
      <w:r w:rsidR="00AB717B">
        <w:t>trade-related</w:t>
      </w:r>
      <w:r w:rsidRPr="003D20C4">
        <w:t xml:space="preserve"> productivity gains.</w:t>
      </w:r>
    </w:p>
    <w:p w:rsidR="003B3209" w:rsidRPr="003D20C4" w:rsidRDefault="003B3209" w:rsidP="003B3209">
      <w:pPr>
        <w:pStyle w:val="BodyText"/>
      </w:pPr>
      <w:r w:rsidRPr="003D20C4">
        <w:t>Given the wide range of factors influencing the Australian economy, the economic modelling is not a matter of simply re-imposing the post 1986 tariff reductions. If this were done, then too much change will be attributed to the trade liberalisation. Rather, account needs to be taken of the factors that have given rise to the Australian economy today.</w:t>
      </w:r>
      <w:r w:rsidR="00571A1C" w:rsidRPr="003D20C4">
        <w:t xml:space="preserve"> To do this, a series of economic databases were used </w:t>
      </w:r>
      <w:r w:rsidR="00F32044">
        <w:t>that</w:t>
      </w:r>
      <w:r w:rsidR="00571A1C" w:rsidRPr="003D20C4">
        <w:t xml:space="preserve"> reflect the evolving Australian and global economic structures.</w:t>
      </w:r>
      <w:r w:rsidR="00F32044">
        <w:t xml:space="preserve"> Further d</w:t>
      </w:r>
      <w:r w:rsidR="00571A1C" w:rsidRPr="003D20C4">
        <w:t xml:space="preserve">etails of the methodology used for the </w:t>
      </w:r>
      <w:r w:rsidR="00F32044">
        <w:t xml:space="preserve">economic </w:t>
      </w:r>
      <w:r w:rsidR="00571A1C" w:rsidRPr="003D20C4">
        <w:t xml:space="preserve">modelling is provided in </w:t>
      </w:r>
      <w:r w:rsidR="00526A4F">
        <w:t>Appendix</w:t>
      </w:r>
      <w:r w:rsidR="00571A1C" w:rsidRPr="003D20C4">
        <w:t xml:space="preserve"> </w:t>
      </w:r>
      <w:r w:rsidR="00C37F83" w:rsidRPr="003D20C4">
        <w:t>B</w:t>
      </w:r>
      <w:r w:rsidR="00571A1C" w:rsidRPr="003D20C4">
        <w:t>.</w:t>
      </w:r>
    </w:p>
    <w:p w:rsidR="00F32044" w:rsidRDefault="00F32044" w:rsidP="003B3209">
      <w:pPr>
        <w:pStyle w:val="BodyText"/>
      </w:pPr>
      <w:r>
        <w:t xml:space="preserve">The modelling approach has only taken Australian merchandise trade liberalisation (that is, tariff reductions) into account. </w:t>
      </w:r>
      <w:r w:rsidRPr="003D20C4">
        <w:t>Due to difficulty in measuring barriers to services trade and foreign investment, the impacts of any service</w:t>
      </w:r>
      <w:r>
        <w:t>s</w:t>
      </w:r>
      <w:r w:rsidRPr="003D20C4">
        <w:t xml:space="preserve"> trade or investment liberalisation undertaken by Australia has </w:t>
      </w:r>
      <w:r>
        <w:t>not been modelled in this exercise</w:t>
      </w:r>
      <w:r w:rsidRPr="003D20C4">
        <w:t>.</w:t>
      </w:r>
      <w:r>
        <w:t xml:space="preserve"> </w:t>
      </w:r>
      <w:r w:rsidRPr="003D20C4">
        <w:t xml:space="preserve">Also excluded from the analysis is trade liberalisation undertaken by Australia’s trading partners. </w:t>
      </w:r>
      <w:r>
        <w:t xml:space="preserve">As a </w:t>
      </w:r>
      <w:r w:rsidR="00BC2FFA">
        <w:t>consequence of these omissions, the results of the modelling exercise will likely understate the economic impacts of Australian trade and investment liberalisation over the last 30 years.</w:t>
      </w:r>
    </w:p>
    <w:p w:rsidR="003B3209" w:rsidRDefault="00F32044" w:rsidP="004F5D72">
      <w:pPr>
        <w:pStyle w:val="Heading2"/>
        <w:numPr>
          <w:ilvl w:val="1"/>
          <w:numId w:val="33"/>
        </w:numPr>
      </w:pPr>
      <w:bookmarkStart w:id="174" w:name="_Toc494120814"/>
      <w:r>
        <w:t>Economic modelling results</w:t>
      </w:r>
      <w:bookmarkEnd w:id="174"/>
    </w:p>
    <w:p w:rsidR="00CE26DD" w:rsidRDefault="00CE26DD" w:rsidP="00CE26DD">
      <w:pPr>
        <w:pStyle w:val="BodyText"/>
      </w:pPr>
      <w:r>
        <w:t>Estimates of the economywide impacts of Australia’s trade liberalisation over the 1986 to 2016 period on key economic indicators are shown in table </w:t>
      </w:r>
      <w:fldSimple w:instr=" REF _Caption6946 ">
        <w:r w:rsidR="00AB4D5D">
          <w:rPr>
            <w:noProof/>
          </w:rPr>
          <w:t>3</w:t>
        </w:r>
        <w:r w:rsidR="00AB4D5D" w:rsidRPr="00695C93">
          <w:rPr>
            <w:noProof/>
          </w:rPr>
          <w:t>.</w:t>
        </w:r>
        <w:r w:rsidR="00AB4D5D">
          <w:rPr>
            <w:noProof/>
          </w:rPr>
          <w:t>2</w:t>
        </w:r>
      </w:fldSimple>
      <w:r>
        <w:t>. As can be seen, the trade liberalisation is estimated to have seen all key economic indicators being higher than otherwise (had there been no trade liberalisation).</w:t>
      </w:r>
    </w:p>
    <w:p w:rsidR="00C741BD" w:rsidRDefault="00C741BD" w:rsidP="00C741BD">
      <w:pPr>
        <w:pStyle w:val="Caption"/>
      </w:pPr>
      <w:r w:rsidRPr="00695C93">
        <w:fldChar w:fldCharType="begin"/>
      </w:r>
      <w:r w:rsidRPr="00695C93">
        <w:instrText xml:space="preserve"> IF 1 = 1 "</w:instrText>
      </w:r>
      <w:r w:rsidRPr="00695C93">
        <w:fldChar w:fldCharType="begin"/>
      </w:r>
      <w:r w:rsidRPr="00695C93">
        <w:instrText xml:space="preserve"> IF </w:instrText>
      </w:r>
      <w:fldSimple w:instr=" STYLEREF &quot;Heading 6&quot; \l \n ">
        <w:r w:rsidR="00AB4D5D">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AB4D5D">
          <w:rPr>
            <w:noProof/>
          </w:rPr>
          <w:instrText>3</w:instrText>
        </w:r>
      </w:fldSimple>
      <w:r w:rsidRPr="00695C93">
        <w:instrText xml:space="preserve"> = 0 "" "</w:instrText>
      </w:r>
      <w:fldSimple w:instr=" STYLEREF &quot;Heading 1&quot; \l \n ">
        <w:r w:rsidR="00AB4D5D">
          <w:rPr>
            <w:noProof/>
          </w:rPr>
          <w:instrText>3</w:instrText>
        </w:r>
      </w:fldSimple>
      <w:r w:rsidRPr="00695C93">
        <w:instrText xml:space="preserve">." </w:instrText>
      </w:r>
      <w:r w:rsidRPr="00695C93">
        <w:fldChar w:fldCharType="separate"/>
      </w:r>
      <w:r w:rsidR="00AB4D5D">
        <w:rPr>
          <w:noProof/>
        </w:rPr>
        <w:instrText>3</w:instrText>
      </w:r>
      <w:r w:rsidR="00AB4D5D" w:rsidRPr="00695C93">
        <w:rPr>
          <w:noProof/>
        </w:rPr>
        <w:instrText>.</w:instrText>
      </w:r>
      <w:r w:rsidRPr="00695C93">
        <w:fldChar w:fldCharType="end"/>
      </w:r>
      <w:r w:rsidRPr="00695C93">
        <w:instrText>" "</w:instrText>
      </w:r>
      <w:fldSimple w:instr=" STYLEREF &quot;Heading 6&quot; \l \n ">
        <w:r w:rsidRPr="00695C93">
          <w:instrText>B</w:instrText>
        </w:r>
      </w:fldSimple>
      <w:r w:rsidRPr="00695C93">
        <w:instrText xml:space="preserve">." </w:instrText>
      </w:r>
      <w:r w:rsidRPr="00695C93">
        <w:fldChar w:fldCharType="separate"/>
      </w:r>
      <w:r w:rsidR="0025761E">
        <w:rPr>
          <w:noProof/>
        </w:rPr>
        <w:instrText>3</w:instrText>
      </w:r>
      <w:r w:rsidR="0025761E"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fldSimple w:instr=" STYLEREF &quot;Heading 6&quot; \l \n ">
        <w:r w:rsidR="00AB4D5D">
          <w:rPr>
            <w:noProof/>
          </w:rPr>
          <w:instrText>0</w:instrText>
        </w:r>
      </w:fldSimple>
      <w:r w:rsidRPr="00695C93">
        <w:instrText xml:space="preserve"> = 0 "</w:instrText>
      </w:r>
      <w:r w:rsidRPr="00695C93">
        <w:fldChar w:fldCharType="begin"/>
      </w:r>
      <w:r w:rsidRPr="00695C93">
        <w:instrText xml:space="preserve"> IF </w:instrText>
      </w:r>
      <w:fldSimple w:instr=" STYLEREF &quot;Heading 1&quot; \l \n ">
        <w:r w:rsidR="00AB4D5D">
          <w:rPr>
            <w:noProof/>
          </w:rPr>
          <w:instrText>3</w:instrText>
        </w:r>
      </w:fldSimple>
      <w:r w:rsidRPr="00695C93">
        <w:instrText xml:space="preserve"> = 0 "" "1" </w:instrText>
      </w:r>
      <w:r w:rsidRPr="00695C93">
        <w:fldChar w:fldCharType="separate"/>
      </w:r>
      <w:r w:rsidR="0025761E" w:rsidRPr="00695C93">
        <w:rPr>
          <w:noProof/>
        </w:rPr>
        <w:instrText>1</w:instrText>
      </w:r>
      <w:r w:rsidRPr="00695C93">
        <w:fldChar w:fldCharType="end"/>
      </w:r>
      <w:r w:rsidRPr="00695C93">
        <w:instrText xml:space="preserve">" "6" </w:instrText>
      </w:r>
      <w:r w:rsidRPr="00695C93">
        <w:fldChar w:fldCharType="separate"/>
      </w:r>
      <w:r w:rsidR="0025761E" w:rsidRPr="00695C93">
        <w:rPr>
          <w:noProof/>
        </w:rPr>
        <w:instrText>1</w:instrText>
      </w:r>
      <w:r w:rsidRPr="00695C93">
        <w:fldChar w:fldCharType="end"/>
      </w:r>
      <w:r w:rsidRPr="00695C93">
        <w:instrText xml:space="preserve"> </w:instrText>
      </w:r>
      <w:r w:rsidRPr="00695C93">
        <w:fldChar w:fldCharType="separate"/>
      </w:r>
      <w:r w:rsidR="00AB4D5D">
        <w:rPr>
          <w:noProof/>
        </w:rPr>
        <w:instrText>2</w:instrText>
      </w:r>
      <w:r w:rsidRPr="00695C93">
        <w:fldChar w:fldCharType="end"/>
      </w:r>
      <w:r w:rsidRPr="00695C93">
        <w:instrText xml:space="preserve">" "" </w:instrText>
      </w:r>
      <w:r w:rsidRPr="00695C93">
        <w:fldChar w:fldCharType="separate"/>
      </w:r>
      <w:bookmarkStart w:id="175" w:name="_Caption2423"/>
      <w:bookmarkStart w:id="176" w:name="_Caption9544"/>
      <w:bookmarkStart w:id="177" w:name="_Caption6946"/>
      <w:bookmarkStart w:id="178" w:name="_Caption8764"/>
      <w:bookmarkStart w:id="179" w:name="_Caption3300"/>
      <w:bookmarkStart w:id="180" w:name="_Caption3752"/>
      <w:bookmarkStart w:id="181" w:name="_Caption1843"/>
      <w:bookmarkStart w:id="182" w:name="_Caption8053"/>
      <w:bookmarkStart w:id="183" w:name="_Caption4398"/>
      <w:bookmarkStart w:id="184" w:name="_Caption8845"/>
      <w:bookmarkStart w:id="185" w:name="_Toc494120825"/>
      <w:r w:rsidR="0025761E">
        <w:rPr>
          <w:noProof/>
        </w:rPr>
        <w:t>3</w:t>
      </w:r>
      <w:r w:rsidR="0025761E" w:rsidRPr="00695C93">
        <w:rPr>
          <w:noProof/>
        </w:rPr>
        <w:t>.</w:t>
      </w:r>
      <w:r w:rsidR="0025761E">
        <w:rPr>
          <w:noProof/>
        </w:rPr>
        <w:t>2</w:t>
      </w:r>
      <w:bookmarkEnd w:id="175"/>
      <w:bookmarkEnd w:id="176"/>
      <w:bookmarkEnd w:id="177"/>
      <w:bookmarkEnd w:id="178"/>
      <w:bookmarkEnd w:id="179"/>
      <w:bookmarkEnd w:id="180"/>
      <w:bookmarkEnd w:id="181"/>
      <w:bookmarkEnd w:id="182"/>
      <w:bookmarkEnd w:id="183"/>
      <w:bookmarkEnd w:id="184"/>
      <w:r w:rsidRPr="00695C93">
        <w:fldChar w:fldCharType="end"/>
      </w:r>
      <w:r w:rsidRPr="00695C93">
        <w:tab/>
      </w:r>
      <w:r w:rsidRPr="007F4F56">
        <w:t xml:space="preserve">Estimated impacts of </w:t>
      </w:r>
      <w:r>
        <w:t xml:space="preserve">merchandise </w:t>
      </w:r>
      <w:r w:rsidRPr="007F4F56">
        <w:t>trade liberalisation over 1986–2016</w:t>
      </w:r>
      <w:bookmarkEnd w:id="185"/>
    </w:p>
    <w:tbl>
      <w:tblPr>
        <w:tblW w:w="7937" w:type="dxa"/>
        <w:tblLayout w:type="fixed"/>
        <w:tblLook w:val="0000" w:firstRow="0" w:lastRow="0" w:firstColumn="0" w:lastColumn="0" w:noHBand="0" w:noVBand="0"/>
      </w:tblPr>
      <w:tblGrid>
        <w:gridCol w:w="4820"/>
        <w:gridCol w:w="992"/>
        <w:gridCol w:w="2125"/>
      </w:tblGrid>
      <w:tr w:rsidR="00C741BD" w:rsidTr="00BB4371">
        <w:tc>
          <w:tcPr>
            <w:tcW w:w="4820" w:type="dxa"/>
            <w:tcBorders>
              <w:bottom w:val="single" w:sz="8" w:space="0" w:color="FFFFFF" w:themeColor="background1"/>
            </w:tcBorders>
            <w:shd w:val="clear" w:color="auto" w:fill="6F6652"/>
            <w:tcMar>
              <w:left w:w="57" w:type="dxa"/>
              <w:right w:w="57" w:type="dxa"/>
            </w:tcMar>
          </w:tcPr>
          <w:p w:rsidR="00C741BD" w:rsidRDefault="00C741BD" w:rsidP="00C741BD">
            <w:pPr>
              <w:pStyle w:val="TableDataColumnHeading"/>
              <w:jc w:val="left"/>
            </w:pPr>
            <w:r>
              <w:t>Indicator</w:t>
            </w:r>
          </w:p>
        </w:tc>
        <w:tc>
          <w:tcPr>
            <w:tcW w:w="992" w:type="dxa"/>
            <w:tcBorders>
              <w:bottom w:val="single" w:sz="8" w:space="0" w:color="FFFFFF" w:themeColor="background1"/>
            </w:tcBorders>
            <w:shd w:val="clear" w:color="auto" w:fill="6F6652"/>
            <w:tcMar>
              <w:left w:w="57" w:type="dxa"/>
              <w:right w:w="57" w:type="dxa"/>
            </w:tcMar>
          </w:tcPr>
          <w:p w:rsidR="00C741BD" w:rsidRDefault="00C741BD" w:rsidP="00C741BD">
            <w:pPr>
              <w:pStyle w:val="TableDataColumnHeading"/>
              <w:jc w:val="left"/>
            </w:pPr>
            <w:r>
              <w:t>Unit</w:t>
            </w:r>
          </w:p>
        </w:tc>
        <w:tc>
          <w:tcPr>
            <w:tcW w:w="2125" w:type="dxa"/>
            <w:tcBorders>
              <w:bottom w:val="single" w:sz="8" w:space="0" w:color="FFFFFF" w:themeColor="background1"/>
            </w:tcBorders>
            <w:shd w:val="clear" w:color="auto" w:fill="6F6652"/>
            <w:tcMar>
              <w:left w:w="57" w:type="dxa"/>
              <w:right w:w="57" w:type="dxa"/>
            </w:tcMar>
          </w:tcPr>
          <w:p w:rsidR="00C741BD" w:rsidRDefault="00A5187D" w:rsidP="00C741BD">
            <w:pPr>
              <w:pStyle w:val="TableDataColumnHeading"/>
            </w:pPr>
            <w:r>
              <w:t>Modelling result</w:t>
            </w:r>
          </w:p>
        </w:tc>
      </w:tr>
      <w:tr w:rsidR="00D85AFD" w:rsidTr="00BB4371">
        <w:tc>
          <w:tcPr>
            <w:tcW w:w="48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D85AFD" w:rsidRDefault="00D85AFD" w:rsidP="00273B75">
            <w:pPr>
              <w:pStyle w:val="TableDataEntries"/>
              <w:jc w:val="left"/>
            </w:pPr>
            <w:r>
              <w:t xml:space="preserve">Real </w:t>
            </w:r>
            <w:r w:rsidR="00273B75">
              <w:t>gross domestic product</w:t>
            </w:r>
          </w:p>
        </w:tc>
        <w:tc>
          <w:tcPr>
            <w:tcW w:w="99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D85AFD" w:rsidRDefault="00D85AFD" w:rsidP="00C741BD">
            <w:pPr>
              <w:pStyle w:val="TableDataEntries"/>
              <w:jc w:val="left"/>
            </w:pPr>
            <w:r>
              <w:t>Per cent</w:t>
            </w:r>
          </w:p>
        </w:tc>
        <w:tc>
          <w:tcPr>
            <w:tcW w:w="212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D85AFD" w:rsidRDefault="00D85AFD" w:rsidP="00D85AFD">
            <w:pPr>
              <w:pStyle w:val="TableDataEntries"/>
            </w:pPr>
            <w:r>
              <w:t>+ 5.4</w:t>
            </w:r>
          </w:p>
        </w:tc>
      </w:tr>
      <w:tr w:rsidR="001502A3" w:rsidRPr="001F46A5" w:rsidTr="00BB4371">
        <w:tc>
          <w:tcPr>
            <w:tcW w:w="48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1502A3" w:rsidRDefault="001502A3" w:rsidP="001609EE">
            <w:pPr>
              <w:pStyle w:val="TableDataEntries"/>
              <w:jc w:val="left"/>
            </w:pPr>
            <w:r>
              <w:t>Real national income</w:t>
            </w:r>
          </w:p>
        </w:tc>
        <w:tc>
          <w:tcPr>
            <w:tcW w:w="99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1502A3" w:rsidRDefault="001502A3" w:rsidP="001609EE">
            <w:pPr>
              <w:pStyle w:val="TableDataEntries"/>
              <w:jc w:val="left"/>
            </w:pPr>
            <w:r>
              <w:t>Per cent</w:t>
            </w:r>
          </w:p>
        </w:tc>
        <w:tc>
          <w:tcPr>
            <w:tcW w:w="212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1502A3" w:rsidRPr="001F46A5" w:rsidRDefault="0023685B" w:rsidP="00C01A7F">
            <w:pPr>
              <w:pStyle w:val="TableDataEntries"/>
            </w:pPr>
            <w:r>
              <w:t>+ 5.1</w:t>
            </w:r>
          </w:p>
        </w:tc>
      </w:tr>
      <w:tr w:rsidR="00D85AFD" w:rsidTr="00BB4371">
        <w:tc>
          <w:tcPr>
            <w:tcW w:w="48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D85AFD" w:rsidRDefault="00D85AFD" w:rsidP="00981AA7">
            <w:pPr>
              <w:pStyle w:val="TableDataEntries"/>
              <w:jc w:val="left"/>
            </w:pPr>
            <w:r>
              <w:t xml:space="preserve">Real </w:t>
            </w:r>
            <w:r w:rsidR="00981AA7">
              <w:t>c</w:t>
            </w:r>
            <w:r>
              <w:t>onsumption</w:t>
            </w:r>
          </w:p>
        </w:tc>
        <w:tc>
          <w:tcPr>
            <w:tcW w:w="99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D85AFD" w:rsidRDefault="00D85AFD" w:rsidP="00C741BD">
            <w:pPr>
              <w:pStyle w:val="TableDataEntries"/>
              <w:jc w:val="left"/>
            </w:pPr>
            <w:r>
              <w:t>Per cent</w:t>
            </w:r>
          </w:p>
        </w:tc>
        <w:tc>
          <w:tcPr>
            <w:tcW w:w="212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D85AFD" w:rsidRDefault="00D85AFD" w:rsidP="00D85AFD">
            <w:pPr>
              <w:pStyle w:val="TableDataEntries"/>
            </w:pPr>
            <w:r>
              <w:t>+ 2.1</w:t>
            </w:r>
          </w:p>
        </w:tc>
      </w:tr>
      <w:tr w:rsidR="00D85AFD" w:rsidTr="00BB4371">
        <w:tc>
          <w:tcPr>
            <w:tcW w:w="48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D85AFD" w:rsidRDefault="00D85AFD" w:rsidP="00981AA7">
            <w:pPr>
              <w:pStyle w:val="TableDataEntries"/>
              <w:jc w:val="left"/>
            </w:pPr>
            <w:r>
              <w:t xml:space="preserve">Real </w:t>
            </w:r>
            <w:r w:rsidR="00981AA7">
              <w:t>e</w:t>
            </w:r>
            <w:r>
              <w:t>xports</w:t>
            </w:r>
          </w:p>
        </w:tc>
        <w:tc>
          <w:tcPr>
            <w:tcW w:w="99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D85AFD" w:rsidRDefault="00D85AFD" w:rsidP="00C741BD">
            <w:pPr>
              <w:pStyle w:val="TableDataEntries"/>
              <w:jc w:val="left"/>
            </w:pPr>
            <w:r>
              <w:t>Per cent</w:t>
            </w:r>
          </w:p>
        </w:tc>
        <w:tc>
          <w:tcPr>
            <w:tcW w:w="212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D85AFD" w:rsidRDefault="00D85AFD" w:rsidP="00D85AFD">
            <w:pPr>
              <w:pStyle w:val="TableDataEntries"/>
            </w:pPr>
            <w:r>
              <w:t>+ 28.5</w:t>
            </w:r>
          </w:p>
        </w:tc>
      </w:tr>
      <w:tr w:rsidR="00D85AFD" w:rsidTr="00BB4371">
        <w:tc>
          <w:tcPr>
            <w:tcW w:w="48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D85AFD" w:rsidRDefault="00D85AFD" w:rsidP="00981AA7">
            <w:pPr>
              <w:pStyle w:val="TableDataEntries"/>
              <w:jc w:val="left"/>
            </w:pPr>
            <w:r>
              <w:t xml:space="preserve">Real </w:t>
            </w:r>
            <w:r w:rsidR="00981AA7">
              <w:t>i</w:t>
            </w:r>
            <w:r>
              <w:t>mports</w:t>
            </w:r>
          </w:p>
        </w:tc>
        <w:tc>
          <w:tcPr>
            <w:tcW w:w="99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D85AFD" w:rsidRDefault="00D85AFD" w:rsidP="00C741BD">
            <w:pPr>
              <w:pStyle w:val="TableDataEntries"/>
              <w:jc w:val="left"/>
            </w:pPr>
            <w:r>
              <w:t>Per cent</w:t>
            </w:r>
          </w:p>
        </w:tc>
        <w:tc>
          <w:tcPr>
            <w:tcW w:w="212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D85AFD" w:rsidRDefault="00D85AFD" w:rsidP="00D85AFD">
            <w:pPr>
              <w:pStyle w:val="TableDataEntries"/>
            </w:pPr>
            <w:r>
              <w:t>+ 28.6</w:t>
            </w:r>
          </w:p>
        </w:tc>
      </w:tr>
      <w:tr w:rsidR="00D85AFD" w:rsidTr="00BB4371">
        <w:tc>
          <w:tcPr>
            <w:tcW w:w="48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D85AFD" w:rsidRDefault="00D85AFD" w:rsidP="00981AA7">
            <w:pPr>
              <w:pStyle w:val="TableDataEntries"/>
              <w:jc w:val="left"/>
            </w:pPr>
            <w:r>
              <w:t xml:space="preserve">Real </w:t>
            </w:r>
            <w:r w:rsidR="00981AA7">
              <w:t>i</w:t>
            </w:r>
            <w:r>
              <w:t>nvestment</w:t>
            </w:r>
          </w:p>
        </w:tc>
        <w:tc>
          <w:tcPr>
            <w:tcW w:w="99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D85AFD" w:rsidRDefault="00D85AFD" w:rsidP="00C741BD">
            <w:pPr>
              <w:pStyle w:val="TableDataEntries"/>
              <w:jc w:val="left"/>
            </w:pPr>
            <w:r>
              <w:t>Per cent</w:t>
            </w:r>
          </w:p>
        </w:tc>
        <w:tc>
          <w:tcPr>
            <w:tcW w:w="212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D85AFD" w:rsidRDefault="00D85AFD" w:rsidP="00D85AFD">
            <w:pPr>
              <w:pStyle w:val="TableDataEntries"/>
            </w:pPr>
            <w:r>
              <w:t>+ 11.7</w:t>
            </w:r>
          </w:p>
        </w:tc>
      </w:tr>
      <w:tr w:rsidR="00D85AFD" w:rsidTr="00BB4371">
        <w:tc>
          <w:tcPr>
            <w:tcW w:w="48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D85AFD" w:rsidRDefault="00D85AFD" w:rsidP="00981AA7">
            <w:pPr>
              <w:pStyle w:val="TableDataEntries"/>
              <w:jc w:val="left"/>
            </w:pPr>
            <w:r>
              <w:t xml:space="preserve">Real </w:t>
            </w:r>
            <w:r w:rsidR="00981AA7">
              <w:t>w</w:t>
            </w:r>
            <w:r>
              <w:t>ages</w:t>
            </w:r>
          </w:p>
        </w:tc>
        <w:tc>
          <w:tcPr>
            <w:tcW w:w="99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D85AFD" w:rsidRDefault="00D85AFD" w:rsidP="00C741BD">
            <w:pPr>
              <w:pStyle w:val="TableDataEntries"/>
              <w:jc w:val="left"/>
            </w:pPr>
            <w:r>
              <w:t>Per cent</w:t>
            </w:r>
          </w:p>
        </w:tc>
        <w:tc>
          <w:tcPr>
            <w:tcW w:w="212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D85AFD" w:rsidRDefault="00D85AFD" w:rsidP="00D85AFD">
            <w:pPr>
              <w:pStyle w:val="TableDataEntries"/>
            </w:pPr>
            <w:r>
              <w:t>+ 7.4</w:t>
            </w:r>
          </w:p>
        </w:tc>
      </w:tr>
      <w:tr w:rsidR="00D85AFD" w:rsidTr="00BB4371">
        <w:tc>
          <w:tcPr>
            <w:tcW w:w="48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D85AFD" w:rsidRDefault="00D85AFD" w:rsidP="00981AA7">
            <w:pPr>
              <w:pStyle w:val="TableDataEntries"/>
              <w:jc w:val="left"/>
            </w:pPr>
            <w:r>
              <w:t xml:space="preserve">Nominal </w:t>
            </w:r>
            <w:r w:rsidR="00981AA7">
              <w:t>w</w:t>
            </w:r>
            <w:r>
              <w:t>ages</w:t>
            </w:r>
          </w:p>
        </w:tc>
        <w:tc>
          <w:tcPr>
            <w:tcW w:w="99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D85AFD" w:rsidRDefault="00D85AFD" w:rsidP="00C741BD">
            <w:pPr>
              <w:pStyle w:val="TableDataEntries"/>
              <w:jc w:val="left"/>
            </w:pPr>
            <w:r>
              <w:t>Per cent</w:t>
            </w:r>
          </w:p>
        </w:tc>
        <w:tc>
          <w:tcPr>
            <w:tcW w:w="212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F36F72" w:rsidRDefault="00D85AFD" w:rsidP="00981AA7">
            <w:pPr>
              <w:pStyle w:val="TableDataEntries"/>
            </w:pPr>
            <w:r>
              <w:t>+ 3.8</w:t>
            </w:r>
          </w:p>
        </w:tc>
      </w:tr>
      <w:tr w:rsidR="006C55B7" w:rsidTr="00BB4371">
        <w:tc>
          <w:tcPr>
            <w:tcW w:w="48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C55B7" w:rsidRPr="006C55B7" w:rsidRDefault="006C55B7" w:rsidP="009D3F73">
            <w:pPr>
              <w:pStyle w:val="TableDataEntries"/>
              <w:jc w:val="left"/>
            </w:pPr>
            <w:r w:rsidRPr="006C55B7">
              <w:t>Prices</w:t>
            </w:r>
          </w:p>
        </w:tc>
        <w:tc>
          <w:tcPr>
            <w:tcW w:w="99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6C55B7" w:rsidRDefault="006C55B7" w:rsidP="001609EE">
            <w:pPr>
              <w:pStyle w:val="TableDataEntries"/>
              <w:jc w:val="left"/>
            </w:pPr>
            <w:r>
              <w:t>Per cent</w:t>
            </w:r>
          </w:p>
        </w:tc>
        <w:tc>
          <w:tcPr>
            <w:tcW w:w="212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rsidR="006C55B7" w:rsidRDefault="006C55B7" w:rsidP="006C55B7">
            <w:pPr>
              <w:pStyle w:val="TableDataEntries"/>
            </w:pPr>
            <w:r>
              <w:t>-  3.4</w:t>
            </w:r>
          </w:p>
        </w:tc>
      </w:tr>
      <w:tr w:rsidR="00273B75" w:rsidTr="00BB4371">
        <w:tc>
          <w:tcPr>
            <w:tcW w:w="48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273B75" w:rsidRDefault="00273B75" w:rsidP="001609EE">
            <w:pPr>
              <w:pStyle w:val="TableDataEntries"/>
              <w:jc w:val="left"/>
            </w:pPr>
            <w:r>
              <w:t>Real gross domestic product</w:t>
            </w:r>
          </w:p>
        </w:tc>
        <w:tc>
          <w:tcPr>
            <w:tcW w:w="99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273B75" w:rsidRDefault="00273B75" w:rsidP="00C741BD">
            <w:pPr>
              <w:pStyle w:val="TableDataEntries"/>
              <w:jc w:val="left"/>
            </w:pPr>
            <w:r>
              <w:t>$ billion</w:t>
            </w:r>
          </w:p>
        </w:tc>
        <w:tc>
          <w:tcPr>
            <w:tcW w:w="212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273B75" w:rsidRDefault="00273B75" w:rsidP="00D85AFD">
            <w:pPr>
              <w:pStyle w:val="TableDataEntries"/>
            </w:pPr>
            <w:r>
              <w:t>+ 85.5</w:t>
            </w:r>
          </w:p>
        </w:tc>
      </w:tr>
      <w:tr w:rsidR="00273B75" w:rsidRPr="001F46A5" w:rsidTr="00BB4371">
        <w:tc>
          <w:tcPr>
            <w:tcW w:w="48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273B75" w:rsidRDefault="00273B75" w:rsidP="00273B75">
            <w:pPr>
              <w:pStyle w:val="TableDataEntries"/>
              <w:jc w:val="left"/>
            </w:pPr>
            <w:r>
              <w:t>Real national income</w:t>
            </w:r>
          </w:p>
        </w:tc>
        <w:tc>
          <w:tcPr>
            <w:tcW w:w="99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273B75" w:rsidRDefault="00273B75" w:rsidP="00C741BD">
            <w:pPr>
              <w:pStyle w:val="TableDataEntries"/>
              <w:jc w:val="left"/>
            </w:pPr>
            <w:r>
              <w:t>$ billion</w:t>
            </w:r>
          </w:p>
        </w:tc>
        <w:tc>
          <w:tcPr>
            <w:tcW w:w="212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273B75" w:rsidRPr="001F46A5" w:rsidRDefault="006F7F51" w:rsidP="00C01A7F">
            <w:pPr>
              <w:pStyle w:val="TableDataEntries"/>
            </w:pPr>
            <w:r>
              <w:t>+ 65.1</w:t>
            </w:r>
          </w:p>
        </w:tc>
      </w:tr>
      <w:tr w:rsidR="00273B75" w:rsidTr="00BB4371">
        <w:tc>
          <w:tcPr>
            <w:tcW w:w="4820"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273B75" w:rsidRDefault="00273B75" w:rsidP="001F46A5">
            <w:pPr>
              <w:pStyle w:val="TableDataEntries"/>
              <w:jc w:val="left"/>
            </w:pPr>
            <w:r>
              <w:t xml:space="preserve">Real GDP per </w:t>
            </w:r>
            <w:r w:rsidR="006A760F">
              <w:t>capita</w:t>
            </w:r>
            <w:r w:rsidR="001F46A5">
              <w:rPr>
                <w:vertAlign w:val="superscript"/>
              </w:rPr>
              <w:t>a</w:t>
            </w:r>
          </w:p>
        </w:tc>
        <w:tc>
          <w:tcPr>
            <w:tcW w:w="99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273B75" w:rsidRDefault="00273B75" w:rsidP="001609EE">
            <w:pPr>
              <w:pStyle w:val="TableDataEntries"/>
              <w:jc w:val="left"/>
            </w:pPr>
            <w:r>
              <w:t>$</w:t>
            </w:r>
          </w:p>
        </w:tc>
        <w:tc>
          <w:tcPr>
            <w:tcW w:w="212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rsidR="00273B75" w:rsidRDefault="00417A10" w:rsidP="001609EE">
            <w:pPr>
              <w:pStyle w:val="TableDataEntries"/>
            </w:pPr>
            <w:r>
              <w:t>+ 3 506</w:t>
            </w:r>
          </w:p>
        </w:tc>
      </w:tr>
      <w:tr w:rsidR="001F46A5" w:rsidTr="00BB4371">
        <w:tc>
          <w:tcPr>
            <w:tcW w:w="4820" w:type="dxa"/>
            <w:tcBorders>
              <w:top w:val="single" w:sz="8" w:space="0" w:color="FFFFFF" w:themeColor="background1"/>
              <w:bottom w:val="single" w:sz="6" w:space="0" w:color="6F6652"/>
            </w:tcBorders>
            <w:shd w:val="clear" w:color="auto" w:fill="E9E8E5" w:themeFill="background2"/>
            <w:tcMar>
              <w:left w:w="57" w:type="dxa"/>
              <w:right w:w="57" w:type="dxa"/>
            </w:tcMar>
          </w:tcPr>
          <w:p w:rsidR="001F46A5" w:rsidRDefault="001F46A5" w:rsidP="001F46A5">
            <w:pPr>
              <w:pStyle w:val="TableDataEntries"/>
              <w:jc w:val="left"/>
            </w:pPr>
            <w:r>
              <w:t xml:space="preserve">Real </w:t>
            </w:r>
            <w:r w:rsidR="00FD30FB">
              <w:t>national income</w:t>
            </w:r>
            <w:r>
              <w:t xml:space="preserve"> per </w:t>
            </w:r>
            <w:r w:rsidR="006A760F">
              <w:t>capita</w:t>
            </w:r>
            <w:r>
              <w:rPr>
                <w:vertAlign w:val="superscript"/>
              </w:rPr>
              <w:t>a</w:t>
            </w:r>
          </w:p>
        </w:tc>
        <w:tc>
          <w:tcPr>
            <w:tcW w:w="992" w:type="dxa"/>
            <w:tcBorders>
              <w:top w:val="single" w:sz="8" w:space="0" w:color="FFFFFF" w:themeColor="background1"/>
              <w:bottom w:val="single" w:sz="6" w:space="0" w:color="6F6652"/>
            </w:tcBorders>
            <w:shd w:val="clear" w:color="auto" w:fill="E9E8E5" w:themeFill="background2"/>
            <w:tcMar>
              <w:left w:w="57" w:type="dxa"/>
              <w:right w:w="57" w:type="dxa"/>
            </w:tcMar>
          </w:tcPr>
          <w:p w:rsidR="001F46A5" w:rsidRDefault="001F46A5" w:rsidP="00D9769B">
            <w:pPr>
              <w:pStyle w:val="TableDataEntries"/>
              <w:jc w:val="left"/>
            </w:pPr>
            <w:r>
              <w:t>$</w:t>
            </w:r>
          </w:p>
        </w:tc>
        <w:tc>
          <w:tcPr>
            <w:tcW w:w="2125" w:type="dxa"/>
            <w:tcBorders>
              <w:top w:val="single" w:sz="8" w:space="0" w:color="FFFFFF" w:themeColor="background1"/>
              <w:bottom w:val="single" w:sz="6" w:space="0" w:color="6F6652"/>
            </w:tcBorders>
            <w:shd w:val="clear" w:color="auto" w:fill="E9E8E5" w:themeFill="background2"/>
            <w:tcMar>
              <w:left w:w="57" w:type="dxa"/>
              <w:right w:w="57" w:type="dxa"/>
            </w:tcMar>
          </w:tcPr>
          <w:p w:rsidR="001F46A5" w:rsidRDefault="00417A10" w:rsidP="001609EE">
            <w:pPr>
              <w:pStyle w:val="TableDataEntries"/>
            </w:pPr>
            <w:r>
              <w:t>+ 2 671</w:t>
            </w:r>
          </w:p>
        </w:tc>
      </w:tr>
    </w:tbl>
    <w:p w:rsidR="00224345" w:rsidRPr="00224345" w:rsidRDefault="00224345" w:rsidP="00224345">
      <w:pPr>
        <w:pStyle w:val="Note"/>
      </w:pPr>
      <w:r w:rsidRPr="00E4232C">
        <w:rPr>
          <w:rStyle w:val="NoteLabel"/>
        </w:rPr>
        <w:t>a</w:t>
      </w:r>
      <w:r>
        <w:t xml:space="preserve"> The Australian </w:t>
      </w:r>
      <w:r w:rsidR="00417A10">
        <w:t>population as at December 2016 is e</w:t>
      </w:r>
      <w:r>
        <w:t xml:space="preserve">stimated to be </w:t>
      </w:r>
      <w:r w:rsidR="00417A10">
        <w:t>24 385 635</w:t>
      </w:r>
      <w:r>
        <w:t xml:space="preserve"> (ABS 3</w:t>
      </w:r>
      <w:r w:rsidR="00417A10">
        <w:t>101</w:t>
      </w:r>
      <w:r>
        <w:t xml:space="preserve">.0, </w:t>
      </w:r>
      <w:r w:rsidR="00417A10">
        <w:t>Table 4</w:t>
      </w:r>
      <w:r>
        <w:t>).</w:t>
      </w:r>
    </w:p>
    <w:p w:rsidR="00C741BD" w:rsidRDefault="00C741BD" w:rsidP="00C741BD">
      <w:pPr>
        <w:pStyle w:val="Source"/>
      </w:pPr>
      <w:r>
        <w:rPr>
          <w:i/>
        </w:rPr>
        <w:t>Source</w:t>
      </w:r>
      <w:r w:rsidRPr="00E4232C">
        <w:rPr>
          <w:i/>
        </w:rPr>
        <w:t>:</w:t>
      </w:r>
      <w:r>
        <w:t xml:space="preserve"> CIE analysis using the GTAP model</w:t>
      </w:r>
      <w:r w:rsidR="001F46A5">
        <w:t xml:space="preserve"> and ABS publications 3236 and 5206 (Table 1)</w:t>
      </w:r>
      <w:r>
        <w:t>.</w:t>
      </w:r>
    </w:p>
    <w:p w:rsidR="00CE26DD" w:rsidRDefault="0063598E" w:rsidP="00CE26DD">
      <w:pPr>
        <w:pStyle w:val="BodyText"/>
      </w:pPr>
      <w:r>
        <w:t xml:space="preserve">The tariff liberalisation is akin to removing a tax from imports. Competition between importers sees the tax removal, and resultant cost savings, being passed on, giving rise to cheaper imports. </w:t>
      </w:r>
      <w:r w:rsidR="00CE26DD">
        <w:t>The modelling results demonstrate the relationship between tariff liberalisation</w:t>
      </w:r>
      <w:r>
        <w:t xml:space="preserve"> (and resulting </w:t>
      </w:r>
      <w:r w:rsidR="00CE26DD">
        <w:t>cheaper imports</w:t>
      </w:r>
      <w:r>
        <w:t>)</w:t>
      </w:r>
      <w:r w:rsidR="00CE26DD">
        <w:t xml:space="preserve"> and greater exports. As can be seen, trade liberalisation is estimated to have seen an increase in exports of roughly the same magnitude as the increase in imports. This reflects imports being used as production inputs in goods that are then exported, with cheaper imports improving the competitive position of Australian exports. Lowering tariffs therefore sees an increase in exports.</w:t>
      </w:r>
    </w:p>
    <w:p w:rsidR="00CE26DD" w:rsidRDefault="00CE26DD" w:rsidP="00CE26DD">
      <w:pPr>
        <w:pStyle w:val="BodyText"/>
      </w:pPr>
      <w:r>
        <w:t>By removing protection for some domestic industries, the tariff liberalisation sees productive resources — land, labour and capital — moving to activities where they are most highly valued and productive, and where consumer preferences are met.</w:t>
      </w:r>
    </w:p>
    <w:p w:rsidR="00CE26DD" w:rsidRDefault="00CE26DD" w:rsidP="00CE26DD">
      <w:pPr>
        <w:pStyle w:val="BodyText"/>
      </w:pPr>
      <w:r>
        <w:t>The improved efficiency within the Australian economy sees capital earning a greater return, leading to greater investment and productive capacity. Higher exports and investment is associated with higher demand for labour, with the tariff liberalisation seeing real wages being 7.4 per cent higher. Higher wages, combined with cheaper imports and lower Australian production costs, sees household consumption being higher. Rising exports, investment and household consumption see Australian real GDP being 5.4 per cent</w:t>
      </w:r>
      <w:r w:rsidR="006C55B7">
        <w:t xml:space="preserve">, or some </w:t>
      </w:r>
      <w:r w:rsidR="00FE6640">
        <w:t>A</w:t>
      </w:r>
      <w:r w:rsidR="006C55B7">
        <w:t xml:space="preserve">$85 billion, </w:t>
      </w:r>
      <w:r>
        <w:t>higher as a result of tariff liberalisation over the 1986 to 2016 period.</w:t>
      </w:r>
      <w:r>
        <w:rPr>
          <w:rStyle w:val="FootnoteReference"/>
        </w:rPr>
        <w:footnoteReference w:id="13"/>
      </w:r>
      <w:r>
        <w:t xml:space="preserve"> </w:t>
      </w:r>
    </w:p>
    <w:p w:rsidR="006C55B7" w:rsidRPr="006C55B7" w:rsidRDefault="00981AA7" w:rsidP="00981AA7">
      <w:pPr>
        <w:pStyle w:val="BodyText"/>
      </w:pPr>
      <w:r w:rsidRPr="006C55B7">
        <w:t xml:space="preserve">Part of the increase in </w:t>
      </w:r>
      <w:r w:rsidR="00273B75">
        <w:t xml:space="preserve">real </w:t>
      </w:r>
      <w:r w:rsidRPr="006C55B7">
        <w:t>GDP is due to an increase in the capital stock</w:t>
      </w:r>
      <w:r w:rsidR="00273B75">
        <w:t xml:space="preserve"> (real investment is 11.7 per cent higher)</w:t>
      </w:r>
      <w:r w:rsidRPr="006C55B7">
        <w:t xml:space="preserve">, part of which is funded by inflows from overseas. As the </w:t>
      </w:r>
      <w:r w:rsidR="006C55B7" w:rsidRPr="006C55B7">
        <w:t xml:space="preserve">capital </w:t>
      </w:r>
      <w:r w:rsidRPr="006C55B7">
        <w:t xml:space="preserve">inflows need to be serviced, the </w:t>
      </w:r>
      <w:r w:rsidRPr="001F46A5">
        <w:t xml:space="preserve">increase in </w:t>
      </w:r>
      <w:r w:rsidR="00273B75" w:rsidRPr="001F46A5">
        <w:t xml:space="preserve">real </w:t>
      </w:r>
      <w:r w:rsidRPr="001F46A5">
        <w:t>national income is</w:t>
      </w:r>
      <w:r w:rsidRPr="006C55B7">
        <w:t xml:space="preserve"> less than </w:t>
      </w:r>
      <w:r w:rsidR="006C55B7">
        <w:t xml:space="preserve">real </w:t>
      </w:r>
      <w:r w:rsidRPr="006C55B7">
        <w:t xml:space="preserve">GDP </w:t>
      </w:r>
      <w:r w:rsidRPr="001F46A5">
        <w:t xml:space="preserve">at </w:t>
      </w:r>
      <w:r w:rsidR="001F46A5" w:rsidRPr="001F46A5">
        <w:t>5.1</w:t>
      </w:r>
      <w:r w:rsidRPr="001F46A5">
        <w:t xml:space="preserve"> per</w:t>
      </w:r>
      <w:r w:rsidRPr="006C55B7">
        <w:t xml:space="preserve"> cent. </w:t>
      </w:r>
    </w:p>
    <w:p w:rsidR="006C55B7" w:rsidRPr="006F7F51" w:rsidRDefault="006C55B7" w:rsidP="00981AA7">
      <w:pPr>
        <w:pStyle w:val="BodyText"/>
      </w:pPr>
      <w:r w:rsidRPr="006F7F51">
        <w:t xml:space="preserve">In terms of the average Australian </w:t>
      </w:r>
      <w:r w:rsidR="00417A10">
        <w:t>family</w:t>
      </w:r>
      <w:r w:rsidRPr="006F7F51">
        <w:t xml:space="preserve">, </w:t>
      </w:r>
      <w:r w:rsidR="00B568CE" w:rsidRPr="006F7F51">
        <w:t>Australia’s</w:t>
      </w:r>
      <w:r w:rsidR="00B82DC4" w:rsidRPr="006F7F51">
        <w:t xml:space="preserve"> trade liberalisation over 1986–2016 is estimated to have seen </w:t>
      </w:r>
      <w:r w:rsidRPr="006F7F51">
        <w:t xml:space="preserve">real GDP </w:t>
      </w:r>
      <w:r w:rsidR="00B82DC4" w:rsidRPr="006F7F51">
        <w:t>in 2016 being some</w:t>
      </w:r>
      <w:r w:rsidRPr="006F7F51">
        <w:t xml:space="preserve"> </w:t>
      </w:r>
      <w:r w:rsidR="00FE6640" w:rsidRPr="006F7F51">
        <w:t>A</w:t>
      </w:r>
      <w:r w:rsidRPr="006F7F51">
        <w:t>$</w:t>
      </w:r>
      <w:r w:rsidR="00417A10">
        <w:t>11 088</w:t>
      </w:r>
      <w:r w:rsidRPr="006F7F51">
        <w:t xml:space="preserve"> </w:t>
      </w:r>
      <w:r w:rsidR="00B82DC4" w:rsidRPr="006F7F51">
        <w:t>higher than otherwise</w:t>
      </w:r>
      <w:r w:rsidR="00B568CE" w:rsidRPr="006F7F51">
        <w:t>. Once adjustments are made for payments to foreign capital inflows, real income</w:t>
      </w:r>
      <w:r w:rsidR="00FE6640" w:rsidRPr="006F7F51">
        <w:t xml:space="preserve"> </w:t>
      </w:r>
      <w:r w:rsidR="00417A10">
        <w:t>for the average family</w:t>
      </w:r>
      <w:r w:rsidR="00FE6640" w:rsidRPr="006F7F51">
        <w:t xml:space="preserve"> household (represented by real </w:t>
      </w:r>
      <w:r w:rsidR="006F7F51" w:rsidRPr="006F7F51">
        <w:t>national income</w:t>
      </w:r>
      <w:r w:rsidR="00FE6640" w:rsidRPr="006F7F51">
        <w:t>) is estimated to be A</w:t>
      </w:r>
      <w:r w:rsidR="00B82DC4" w:rsidRPr="006F7F51">
        <w:t>$</w:t>
      </w:r>
      <w:r w:rsidR="00417A10">
        <w:t>8448</w:t>
      </w:r>
      <w:r w:rsidR="00B82DC4" w:rsidRPr="006F7F51">
        <w:t xml:space="preserve"> higher.</w:t>
      </w:r>
      <w:r w:rsidR="00417A10">
        <w:rPr>
          <w:rStyle w:val="FootnoteReference"/>
        </w:rPr>
        <w:footnoteReference w:id="14"/>
      </w:r>
      <w:r w:rsidR="00126C21" w:rsidRPr="00126C21">
        <w:rPr>
          <w:rStyle w:val="FootnoteReference"/>
        </w:rPr>
        <w:t>,</w:t>
      </w:r>
      <w:r w:rsidR="00215864">
        <w:rPr>
          <w:rStyle w:val="FootnoteReference"/>
        </w:rPr>
        <w:footnoteReference w:id="15"/>
      </w:r>
    </w:p>
    <w:p w:rsidR="006B27D7" w:rsidRDefault="006B27D7" w:rsidP="006B27D7">
      <w:pPr>
        <w:pStyle w:val="Heading3"/>
      </w:pPr>
      <w:r>
        <w:t>Economic impacts at the sectoral level</w:t>
      </w:r>
    </w:p>
    <w:p w:rsidR="003B3209" w:rsidRDefault="00CB028E" w:rsidP="003B3209">
      <w:pPr>
        <w:pStyle w:val="BodyText"/>
      </w:pPr>
      <w:r>
        <w:t>T</w:t>
      </w:r>
      <w:r w:rsidR="003B3209">
        <w:t>he tariff liberalisation undertaken by Australia between 1986 and 2016 saw substantial tariff reductions for some merchandise imports. As such, imports of those products could be expected to likewise substantially increase. Chart </w:t>
      </w:r>
      <w:fldSimple w:instr=" REF _Caption5782 ">
        <w:r w:rsidR="00AB4D5D">
          <w:rPr>
            <w:noProof/>
          </w:rPr>
          <w:t>3</w:t>
        </w:r>
        <w:r w:rsidR="00AB4D5D" w:rsidRPr="007F4F56">
          <w:rPr>
            <w:noProof/>
          </w:rPr>
          <w:t>.</w:t>
        </w:r>
        <w:r w:rsidR="00AB4D5D">
          <w:rPr>
            <w:noProof/>
          </w:rPr>
          <w:t>3</w:t>
        </w:r>
      </w:fldSimple>
      <w:r w:rsidR="003B3209">
        <w:rPr>
          <w:noProof/>
        </w:rPr>
        <w:t xml:space="preserve"> shows</w:t>
      </w:r>
      <w:r w:rsidR="000A0552">
        <w:rPr>
          <w:noProof/>
        </w:rPr>
        <w:t xml:space="preserve"> </w:t>
      </w:r>
      <w:r w:rsidR="003B3209">
        <w:rPr>
          <w:noProof/>
        </w:rPr>
        <w:t>how much higher (or lower) imports are in 2016 than would have otherwise been the case (if the trade liberalisation over 1986–2016 had not occurred). The change in exports is also repo</w:t>
      </w:r>
      <w:r w:rsidR="000A0552">
        <w:rPr>
          <w:noProof/>
        </w:rPr>
        <w:t>r</w:t>
      </w:r>
      <w:r w:rsidR="003B3209">
        <w:rPr>
          <w:noProof/>
        </w:rPr>
        <w:t>ted.</w:t>
      </w:r>
      <w:r w:rsidR="003B3209">
        <w:rPr>
          <w:rStyle w:val="FootnoteReference"/>
          <w:noProof/>
        </w:rPr>
        <w:footnoteReference w:id="16"/>
      </w:r>
    </w:p>
    <w:p w:rsidR="003B3209" w:rsidRDefault="003B3209" w:rsidP="003B3209">
      <w:pPr>
        <w:pStyle w:val="BodyText"/>
      </w:pPr>
      <w:r>
        <w:t xml:space="preserve">The change in imports is driven by two factors. Firstly, imports are cheaper following the trade liberalisation, and depending on the extent to which imports are substitutes for local production, demand for the now cheaper imports will increase. Secondly, and as </w:t>
      </w:r>
      <w:r w:rsidR="006B27D7">
        <w:t>was reported above</w:t>
      </w:r>
      <w:r>
        <w:t xml:space="preserve">, the trade liberalisation is associated with an expansion of economic activity, with the now larger </w:t>
      </w:r>
      <w:r w:rsidR="006B27D7">
        <w:t xml:space="preserve">Australian </w:t>
      </w:r>
      <w:r>
        <w:t xml:space="preserve">economy </w:t>
      </w:r>
      <w:r w:rsidR="003F779F">
        <w:t>sucking</w:t>
      </w:r>
      <w:r>
        <w:t xml:space="preserve"> in additional imports. However, for some imports, the ‘larger economy more imports’ rule needs to be tempered by what happens at the sectoral level (as discussed below).</w:t>
      </w:r>
    </w:p>
    <w:p w:rsidR="003B3209" w:rsidRDefault="003B3209" w:rsidP="003B3209">
      <w:pPr>
        <w:pStyle w:val="BodyText"/>
      </w:pPr>
      <w:r>
        <w:t xml:space="preserve">The increase in imports is broadly proportional to the </w:t>
      </w:r>
      <w:r w:rsidR="003F6C95">
        <w:t>degree trade is liberalised.</w:t>
      </w:r>
      <w:r>
        <w:t xml:space="preserve"> Imports of agricultural and mining products typically show the smallest change, as these products typically face relatively small tariff reductions in the order of 2–3 percentage points</w:t>
      </w:r>
      <w:r w:rsidRPr="003D20C4">
        <w:t>. While agricultural and primary products typically experience the lowest tariff reductions, such imports are often commodity type products, with small price changes leading to large substitution effects from domestic production to imports.</w:t>
      </w:r>
      <w:r>
        <w:t xml:space="preserve"> Imports of foods and most manufacture</w:t>
      </w:r>
      <w:r w:rsidR="000A0552">
        <w:t>s</w:t>
      </w:r>
      <w:r>
        <w:t xml:space="preserve"> face tariff reductions in the order of 10–20 percentage points, with imports increasing by up to 50 per cent. Imports of textiles, wearing apparel and motor vehicles are all more than 100 per cent higher than otherwise, reflecting the large tariff reductions</w:t>
      </w:r>
      <w:r w:rsidR="000A0552">
        <w:t xml:space="preserve"> for</w:t>
      </w:r>
      <w:r>
        <w:t xml:space="preserve"> these imports.</w:t>
      </w:r>
    </w:p>
    <w:p w:rsidR="003B3209" w:rsidRPr="007F4F56" w:rsidRDefault="003B3209" w:rsidP="003B3209">
      <w:pPr>
        <w:pStyle w:val="Caption"/>
        <w:numPr>
          <w:ilvl w:val="0"/>
          <w:numId w:val="23"/>
        </w:numPr>
      </w:pPr>
      <w:r w:rsidRPr="007F4F56">
        <w:fldChar w:fldCharType="begin"/>
      </w:r>
      <w:r w:rsidRPr="007F4F56">
        <w:instrText xml:space="preserve"> IF 1 = 1 "</w:instrText>
      </w:r>
      <w:r w:rsidRPr="007F4F56">
        <w:fldChar w:fldCharType="begin"/>
      </w:r>
      <w:r w:rsidRPr="007F4F56">
        <w:instrText xml:space="preserve"> IF </w:instrText>
      </w:r>
      <w:fldSimple w:instr=" STYLEREF &quot;Heading 6&quot; \l \n ">
        <w:r w:rsidR="00AB4D5D">
          <w:rPr>
            <w:noProof/>
          </w:rPr>
          <w:instrText>0</w:instrText>
        </w:r>
      </w:fldSimple>
      <w:r w:rsidRPr="007F4F56">
        <w:instrText xml:space="preserve"> = 0 "</w:instrText>
      </w:r>
      <w:r w:rsidRPr="007F4F56">
        <w:fldChar w:fldCharType="begin"/>
      </w:r>
      <w:r w:rsidRPr="007F4F56">
        <w:instrText xml:space="preserve"> IF </w:instrText>
      </w:r>
      <w:fldSimple w:instr=" STYLEREF &quot;Heading 1&quot; \l \n ">
        <w:r w:rsidR="00AB4D5D">
          <w:rPr>
            <w:noProof/>
          </w:rPr>
          <w:instrText>3</w:instrText>
        </w:r>
      </w:fldSimple>
      <w:r w:rsidRPr="007F4F56">
        <w:instrText xml:space="preserve"> = 0 "" "</w:instrText>
      </w:r>
      <w:fldSimple w:instr=" STYLEREF &quot;Heading 1&quot; \l \n ">
        <w:r w:rsidR="00AB4D5D">
          <w:rPr>
            <w:noProof/>
          </w:rPr>
          <w:instrText>3</w:instrText>
        </w:r>
      </w:fldSimple>
      <w:r w:rsidRPr="007F4F56">
        <w:instrText xml:space="preserve">." </w:instrText>
      </w:r>
      <w:r w:rsidRPr="007F4F56">
        <w:fldChar w:fldCharType="separate"/>
      </w:r>
      <w:r w:rsidR="00AB4D5D">
        <w:rPr>
          <w:noProof/>
        </w:rPr>
        <w:instrText>3</w:instrText>
      </w:r>
      <w:r w:rsidR="00AB4D5D" w:rsidRPr="007F4F56">
        <w:rPr>
          <w:noProof/>
        </w:rPr>
        <w:instrText>.</w:instrText>
      </w:r>
      <w:r w:rsidRPr="007F4F56">
        <w:fldChar w:fldCharType="end"/>
      </w:r>
      <w:r w:rsidRPr="007F4F56">
        <w:instrText>" "</w:instrText>
      </w:r>
      <w:fldSimple w:instr=" STYLEREF &quot;Heading 6&quot; \l \n ">
        <w:r w:rsidRPr="007F4F56">
          <w:rPr>
            <w:noProof/>
          </w:rPr>
          <w:instrText>A</w:instrText>
        </w:r>
      </w:fldSimple>
      <w:r w:rsidRPr="007F4F56">
        <w:instrText xml:space="preserve">." </w:instrText>
      </w:r>
      <w:r w:rsidRPr="007F4F56">
        <w:fldChar w:fldCharType="separate"/>
      </w:r>
      <w:r w:rsidR="0025761E">
        <w:rPr>
          <w:noProof/>
        </w:rPr>
        <w:instrText>3</w:instrText>
      </w:r>
      <w:r w:rsidR="0025761E" w:rsidRPr="007F4F56">
        <w:rPr>
          <w:noProof/>
        </w:rPr>
        <w:instrText>.</w:instrText>
      </w:r>
      <w:r w:rsidRPr="007F4F56">
        <w:fldChar w:fldCharType="end"/>
      </w:r>
      <w:r w:rsidRPr="007F4F56">
        <w:fldChar w:fldCharType="begin"/>
      </w:r>
      <w:r w:rsidRPr="007F4F56">
        <w:instrText xml:space="preserve"> SEQ Item \* ARABIC \s </w:instrText>
      </w:r>
      <w:r w:rsidRPr="007F4F56">
        <w:fldChar w:fldCharType="begin"/>
      </w:r>
      <w:r w:rsidRPr="007F4F56">
        <w:instrText xml:space="preserve"> IF </w:instrText>
      </w:r>
      <w:fldSimple w:instr=" STYLEREF &quot;Heading 6&quot; \l \n ">
        <w:r w:rsidR="00AB4D5D">
          <w:rPr>
            <w:noProof/>
          </w:rPr>
          <w:instrText>0</w:instrText>
        </w:r>
      </w:fldSimple>
      <w:r w:rsidRPr="007F4F56">
        <w:instrText xml:space="preserve"> = 0 "</w:instrText>
      </w:r>
      <w:r w:rsidRPr="007F4F56">
        <w:fldChar w:fldCharType="begin"/>
      </w:r>
      <w:r w:rsidRPr="007F4F56">
        <w:instrText xml:space="preserve"> IF </w:instrText>
      </w:r>
      <w:fldSimple w:instr=" STYLEREF &quot;Heading 1&quot; \l \n ">
        <w:r w:rsidR="00AB4D5D">
          <w:rPr>
            <w:noProof/>
          </w:rPr>
          <w:instrText>3</w:instrText>
        </w:r>
      </w:fldSimple>
      <w:r w:rsidRPr="007F4F56">
        <w:instrText xml:space="preserve"> = 0 "" "1" </w:instrText>
      </w:r>
      <w:r w:rsidRPr="007F4F56">
        <w:fldChar w:fldCharType="separate"/>
      </w:r>
      <w:r w:rsidR="0025761E" w:rsidRPr="007F4F56">
        <w:rPr>
          <w:noProof/>
        </w:rPr>
        <w:instrText>1</w:instrText>
      </w:r>
      <w:r w:rsidRPr="007F4F56">
        <w:fldChar w:fldCharType="end"/>
      </w:r>
      <w:r w:rsidRPr="007F4F56">
        <w:instrText xml:space="preserve">" "6" </w:instrText>
      </w:r>
      <w:r w:rsidRPr="007F4F56">
        <w:fldChar w:fldCharType="separate"/>
      </w:r>
      <w:r w:rsidR="0025761E" w:rsidRPr="007F4F56">
        <w:rPr>
          <w:noProof/>
        </w:rPr>
        <w:instrText>1</w:instrText>
      </w:r>
      <w:r w:rsidRPr="007F4F56">
        <w:fldChar w:fldCharType="end"/>
      </w:r>
      <w:r w:rsidRPr="007F4F56">
        <w:instrText xml:space="preserve"> </w:instrText>
      </w:r>
      <w:r w:rsidRPr="007F4F56">
        <w:fldChar w:fldCharType="separate"/>
      </w:r>
      <w:r w:rsidR="00AB4D5D">
        <w:rPr>
          <w:noProof/>
        </w:rPr>
        <w:instrText>3</w:instrText>
      </w:r>
      <w:r w:rsidRPr="007F4F56">
        <w:fldChar w:fldCharType="end"/>
      </w:r>
      <w:r w:rsidRPr="007F4F56">
        <w:instrText xml:space="preserve">" "" </w:instrText>
      </w:r>
      <w:r w:rsidRPr="007F4F56">
        <w:fldChar w:fldCharType="separate"/>
      </w:r>
      <w:bookmarkStart w:id="186" w:name="_Caption0478"/>
      <w:bookmarkStart w:id="187" w:name="_Caption3402"/>
      <w:bookmarkStart w:id="188" w:name="_Caption9558"/>
      <w:bookmarkStart w:id="189" w:name="_Caption3553"/>
      <w:bookmarkStart w:id="190" w:name="_Caption3789"/>
      <w:bookmarkStart w:id="191" w:name="_Caption4683"/>
      <w:bookmarkStart w:id="192" w:name="_Caption3505"/>
      <w:bookmarkStart w:id="193" w:name="_Caption5099"/>
      <w:bookmarkStart w:id="194" w:name="_Caption8777"/>
      <w:bookmarkStart w:id="195" w:name="_Caption3291"/>
      <w:bookmarkStart w:id="196" w:name="_Caption9575"/>
      <w:bookmarkStart w:id="197" w:name="_Caption3710"/>
      <w:bookmarkStart w:id="198" w:name="_Caption9596"/>
      <w:bookmarkStart w:id="199" w:name="_Caption4027"/>
      <w:bookmarkStart w:id="200" w:name="_Caption1421"/>
      <w:bookmarkStart w:id="201" w:name="_Caption9876"/>
      <w:bookmarkStart w:id="202" w:name="_Caption9459"/>
      <w:bookmarkStart w:id="203" w:name="_Caption5782"/>
      <w:bookmarkStart w:id="204" w:name="_Caption4374"/>
      <w:bookmarkStart w:id="205" w:name="_Caption0128"/>
      <w:bookmarkStart w:id="206" w:name="_Caption2216"/>
      <w:bookmarkStart w:id="207" w:name="_Caption0348"/>
      <w:bookmarkStart w:id="208" w:name="_Caption1629"/>
      <w:bookmarkStart w:id="209" w:name="_Caption0243"/>
      <w:bookmarkStart w:id="210" w:name="_Caption1975"/>
      <w:bookmarkStart w:id="211" w:name="_Caption9533"/>
      <w:bookmarkStart w:id="212" w:name="_Caption0266"/>
      <w:bookmarkStart w:id="213" w:name="_Caption4745"/>
      <w:bookmarkStart w:id="214" w:name="_Caption2547"/>
      <w:bookmarkStart w:id="215" w:name="_Caption7348"/>
      <w:bookmarkStart w:id="216" w:name="_Caption1102"/>
      <w:bookmarkStart w:id="217" w:name="_Toc494120826"/>
      <w:r w:rsidR="0025761E">
        <w:rPr>
          <w:noProof/>
        </w:rPr>
        <w:t>3</w:t>
      </w:r>
      <w:r w:rsidR="0025761E" w:rsidRPr="007F4F56">
        <w:rPr>
          <w:noProof/>
        </w:rPr>
        <w:t>.</w:t>
      </w:r>
      <w:r w:rsidR="0025761E">
        <w:rPr>
          <w:noProof/>
        </w:rPr>
        <w:t>3</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7F4F56">
        <w:fldChar w:fldCharType="end"/>
      </w:r>
      <w:r w:rsidRPr="007F4F56">
        <w:tab/>
        <w:t xml:space="preserve">Change in trade </w:t>
      </w:r>
      <w:r w:rsidR="00550D1F">
        <w:t xml:space="preserve">in </w:t>
      </w:r>
      <w:r w:rsidR="005D05E3">
        <w:t>2</w:t>
      </w:r>
      <w:r w:rsidR="00550D1F">
        <w:t xml:space="preserve">016 </w:t>
      </w:r>
      <w:r w:rsidRPr="007F4F56">
        <w:t>due to Australian trade liberalisation over 1986–2016</w:t>
      </w:r>
      <w:bookmarkEnd w:id="217"/>
    </w:p>
    <w:tbl>
      <w:tblPr>
        <w:tblStyle w:val="TableGrid"/>
        <w:tblW w:w="7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5"/>
      </w:tblGrid>
      <w:tr w:rsidR="003B3209" w:rsidTr="003B3209">
        <w:trPr>
          <w:cantSplit/>
        </w:trPr>
        <w:tc>
          <w:tcPr>
            <w:tcW w:w="7938" w:type="dxa"/>
            <w:shd w:val="clear" w:color="auto" w:fill="E9E8E5" w:themeFill="background2"/>
            <w:hideMark/>
          </w:tcPr>
          <w:p w:rsidR="003B3209" w:rsidRDefault="003B3209" w:rsidP="00CD3640">
            <w:pPr>
              <w:pStyle w:val="Chart"/>
              <w:spacing w:before="120" w:after="120"/>
              <w:jc w:val="center"/>
              <w:rPr>
                <w:lang w:eastAsia="en-AU"/>
              </w:rPr>
            </w:pPr>
            <w:r>
              <w:rPr>
                <w:noProof/>
                <w:lang w:eastAsia="en-AU"/>
              </w:rPr>
              <w:drawing>
                <wp:inline distT="0" distB="0" distL="0" distR="0" wp14:anchorId="1256D7A7" wp14:editId="289BCE54">
                  <wp:extent cx="4866005" cy="2926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66005" cy="2926080"/>
                          </a:xfrm>
                          <a:prstGeom prst="rect">
                            <a:avLst/>
                          </a:prstGeom>
                          <a:noFill/>
                          <a:ln>
                            <a:noFill/>
                          </a:ln>
                        </pic:spPr>
                      </pic:pic>
                    </a:graphicData>
                  </a:graphic>
                </wp:inline>
              </w:drawing>
            </w:r>
          </w:p>
        </w:tc>
      </w:tr>
    </w:tbl>
    <w:p w:rsidR="003B3209" w:rsidRDefault="003B3209" w:rsidP="003B3209">
      <w:pPr>
        <w:pStyle w:val="Source"/>
      </w:pPr>
      <w:r w:rsidRPr="007F4F56">
        <w:rPr>
          <w:i/>
        </w:rPr>
        <w:t>Data source:</w:t>
      </w:r>
      <w:r w:rsidRPr="007F4F56">
        <w:t xml:space="preserve"> </w:t>
      </w:r>
      <w:r w:rsidR="00977A31" w:rsidRPr="007F4F56">
        <w:t>CIE analysis using the GTAP model</w:t>
      </w:r>
      <w:r w:rsidR="006020C1">
        <w:t>.</w:t>
      </w:r>
    </w:p>
    <w:p w:rsidR="003B3209" w:rsidRPr="00E2180B" w:rsidRDefault="003B3209" w:rsidP="003B3209">
      <w:pPr>
        <w:pStyle w:val="BodyText"/>
      </w:pPr>
      <w:r w:rsidRPr="00E2180B">
        <w:t xml:space="preserve">While imports typically increase in line with the size of the tariff reduction, there are some standout results — imports of plant based fibres fall (the trade liberalisation sees imports being 5 per cent lower than otherwise in 2016), while gas imports are over 300 per cent higher in 2016. These </w:t>
      </w:r>
      <w:r w:rsidR="003217B6" w:rsidRPr="00E2180B">
        <w:t xml:space="preserve">modelling </w:t>
      </w:r>
      <w:r w:rsidRPr="00E2180B">
        <w:t xml:space="preserve">results </w:t>
      </w:r>
      <w:r w:rsidR="003217B6" w:rsidRPr="00E2180B">
        <w:t xml:space="preserve">can be explained by the fact </w:t>
      </w:r>
      <w:r w:rsidRPr="00E2180B">
        <w:t>that imports are often used by Australian firms, rather than being destined for end consumers. For example, consider imports of plant based fibres. Imports of plant based fibres are used by many Australian sectors, however, the Australian textiles sector is the largest user. Textile imports experience a large 72 percentage point reduction in protection, leading to a large (136 per cent) increase in textile imports and a fall in output of the Australian textile sector. The smaller Australian textile sector demands less production inputs, including imported plant based fibres.</w:t>
      </w:r>
    </w:p>
    <w:p w:rsidR="003B3209" w:rsidRPr="00E2180B" w:rsidRDefault="003B3209" w:rsidP="003B3209">
      <w:pPr>
        <w:pStyle w:val="BodyText"/>
      </w:pPr>
      <w:r w:rsidRPr="00E2180B">
        <w:t>A similar story exists for gas imports. The vast majority of gas imports are used by the petroleum sector, whose output is higher as a result of the trade liberalisation and resulting economic growth. As the petroleum sector grows, it demands more gas, some of which is imported. Gas is a commodity type product, w</w:t>
      </w:r>
      <w:r w:rsidR="000A0552" w:rsidRPr="00E2180B">
        <w:t>ith</w:t>
      </w:r>
      <w:r w:rsidRPr="00E2180B">
        <w:t xml:space="preserve"> users being very price sensitive, with imported gas being highly substitutable for domestically sourced gas. This high degree of substitutability means that the petroleum sector’s increased demand for gas inputs is mainly met through an increase in </w:t>
      </w:r>
      <w:r w:rsidR="003217B6" w:rsidRPr="00E2180B">
        <w:t xml:space="preserve">(now cheaper) </w:t>
      </w:r>
      <w:r w:rsidRPr="00E2180B">
        <w:t>imports. Finally, gas imports are not overly large (about 1.5 per cent of domestic production), so the greater than 300 per cent increase in gas imports result also reflects a low base issue.</w:t>
      </w:r>
      <w:r w:rsidRPr="00E2180B">
        <w:rPr>
          <w:rStyle w:val="FootnoteReference"/>
        </w:rPr>
        <w:footnoteReference w:id="17"/>
      </w:r>
    </w:p>
    <w:p w:rsidR="003B3209" w:rsidRPr="00E2180B" w:rsidRDefault="003B3209" w:rsidP="003B3209">
      <w:pPr>
        <w:pStyle w:val="BodyText"/>
      </w:pPr>
      <w:r w:rsidRPr="00E2180B">
        <w:t>While the tariff liberalisation sees an increase in imports, it is also associated with an increase in exports. The increase in exports reflects the fact that imports are often used in the production of goods that are later exported, hence production costs fall due to tariff reductions on imported components. This improves the competitive position of Australian products in foreign markets, leading to an increase in exports.</w:t>
      </w:r>
    </w:p>
    <w:p w:rsidR="003B3209" w:rsidRPr="00E2180B" w:rsidRDefault="003B3209" w:rsidP="003B3209">
      <w:pPr>
        <w:pStyle w:val="BodyText"/>
      </w:pPr>
      <w:r w:rsidRPr="00E2180B">
        <w:t xml:space="preserve">Take exports of wearing apparel as an example, which are estimated to be some 200 per cent higher in 2016 due to Australia’s trade liberalisation. Around 75 per cent of textile imports are destined for industrial use in Australia, with the main users being the textile industry itself (around 20 per cent of textile imports) and the wearing apparel sector (around 25 per cent). With 72 percentage points of tariff being removed, textile imports are substantially cheaper following </w:t>
      </w:r>
      <w:r w:rsidR="003217B6" w:rsidRPr="00E2180B">
        <w:t xml:space="preserve">Australian </w:t>
      </w:r>
      <w:r w:rsidRPr="00E2180B">
        <w:t xml:space="preserve">trade liberalisation. The imported textiles used by the wearing apparel sector account for a sizeable share of production costs, and with these imports now being substantially cheaper, production costs fall for the wearing apparel sector. The falling </w:t>
      </w:r>
      <w:r w:rsidR="003217B6" w:rsidRPr="00E2180B">
        <w:t xml:space="preserve">domestic </w:t>
      </w:r>
      <w:r w:rsidRPr="00E2180B">
        <w:t>production costs see a large increase in exports.</w:t>
      </w:r>
    </w:p>
    <w:p w:rsidR="00E2180B" w:rsidRPr="005D1CEF" w:rsidRDefault="00674430" w:rsidP="003B3209">
      <w:pPr>
        <w:pStyle w:val="BodyText"/>
      </w:pPr>
      <w:r w:rsidRPr="005D1CEF">
        <w:t xml:space="preserve">While Australia’s merchandise trade liberalisation over 1986 to 2016 </w:t>
      </w:r>
      <w:r w:rsidR="00227FC5" w:rsidRPr="005D1CEF">
        <w:t xml:space="preserve">is estimated to have </w:t>
      </w:r>
      <w:r w:rsidR="005D1CEF" w:rsidRPr="005D1CEF">
        <w:t xml:space="preserve">been beneficial for the Australian economy, with </w:t>
      </w:r>
      <w:r w:rsidR="00227FC5" w:rsidRPr="005D1CEF">
        <w:t>real GDP being 5.4 per cent higher</w:t>
      </w:r>
      <w:r w:rsidR="005D1CEF" w:rsidRPr="005D1CEF">
        <w:t xml:space="preserve"> than otherwise, the </w:t>
      </w:r>
      <w:r w:rsidR="003B3209" w:rsidRPr="005D1CEF">
        <w:t xml:space="preserve">increase in imports </w:t>
      </w:r>
      <w:r w:rsidR="005D1CEF" w:rsidRPr="005D1CEF">
        <w:t>is</w:t>
      </w:r>
      <w:r w:rsidR="003B3209" w:rsidRPr="005D1CEF">
        <w:t xml:space="preserve"> associated with a fall in output for some Australian sectors</w:t>
      </w:r>
      <w:r w:rsidR="005D1CEF" w:rsidRPr="005D1CEF">
        <w:t xml:space="preserve">. Most notably, the (formerly) more heavily </w:t>
      </w:r>
      <w:r w:rsidR="00E2180B" w:rsidRPr="005D1CEF">
        <w:t xml:space="preserve">protected </w:t>
      </w:r>
      <w:r w:rsidR="003B3209" w:rsidRPr="005D1CEF">
        <w:t>textiles, wearing apparel and motor vehicle</w:t>
      </w:r>
      <w:r w:rsidR="00E2180B" w:rsidRPr="005D1CEF">
        <w:t xml:space="preserve"> sectors</w:t>
      </w:r>
      <w:r w:rsidR="005D1CEF" w:rsidRPr="005D1CEF">
        <w:t xml:space="preserve"> are smaller than otherwise due to the removal of their large tariffs</w:t>
      </w:r>
      <w:r w:rsidRPr="005D1CEF">
        <w:t>.</w:t>
      </w:r>
    </w:p>
    <w:p w:rsidR="003B3209" w:rsidRPr="005D1CEF" w:rsidRDefault="003B3209" w:rsidP="003B3209">
      <w:pPr>
        <w:pStyle w:val="BodyText"/>
      </w:pPr>
      <w:r w:rsidRPr="005D1CEF">
        <w:t>While other sectors also experience increasing competition from imports, the negative effects of greater import competition is more than offset by gains in the export market and a larger Australian economy</w:t>
      </w:r>
      <w:r w:rsidR="005D1CEF">
        <w:t>.</w:t>
      </w:r>
    </w:p>
    <w:p w:rsidR="003B3209" w:rsidRPr="005D1CEF" w:rsidRDefault="003B3209" w:rsidP="003B3209">
      <w:pPr>
        <w:pStyle w:val="BodyText"/>
      </w:pPr>
      <w:r w:rsidRPr="005D1CEF">
        <w:t xml:space="preserve">It is also interesting to note that the service sectors, which were not subjected to trade liberalisation in the modelling, also benefit from liberalisation of merchandise trade. </w:t>
      </w:r>
      <w:r w:rsidR="00505F6A" w:rsidRPr="005D1CEF">
        <w:t>The t</w:t>
      </w:r>
      <w:r w:rsidRPr="005D1CEF">
        <w:t xml:space="preserve">rade liberalisation is associated with an </w:t>
      </w:r>
      <w:r w:rsidR="00505F6A" w:rsidRPr="005D1CEF">
        <w:t xml:space="preserve">(overall) </w:t>
      </w:r>
      <w:r w:rsidRPr="005D1CEF">
        <w:t xml:space="preserve">increase in </w:t>
      </w:r>
      <w:r w:rsidR="00C24053" w:rsidRPr="005D1CEF">
        <w:t xml:space="preserve">economic activity </w:t>
      </w:r>
      <w:r w:rsidR="00505F6A" w:rsidRPr="005D1CEF">
        <w:t>of the merchandise sectors</w:t>
      </w:r>
      <w:r w:rsidRPr="005D1CEF">
        <w:t xml:space="preserve">, and as </w:t>
      </w:r>
      <w:r w:rsidR="00C24053" w:rsidRPr="005D1CEF">
        <w:t>activity</w:t>
      </w:r>
      <w:r w:rsidRPr="005D1CEF">
        <w:t xml:space="preserve"> </w:t>
      </w:r>
      <w:r w:rsidR="00505F6A" w:rsidRPr="005D1CEF">
        <w:t xml:space="preserve">in these sectors </w:t>
      </w:r>
      <w:r w:rsidRPr="005D1CEF">
        <w:t>increases</w:t>
      </w:r>
      <w:r w:rsidR="005D1CEF" w:rsidRPr="005D1CEF">
        <w:t>,</w:t>
      </w:r>
      <w:r w:rsidRPr="005D1CEF">
        <w:t xml:space="preserve"> </w:t>
      </w:r>
      <w:r w:rsidR="00505F6A" w:rsidRPr="005D1CEF">
        <w:t xml:space="preserve">their </w:t>
      </w:r>
      <w:r w:rsidR="00C24053" w:rsidRPr="005D1CEF">
        <w:t xml:space="preserve">economic linkages </w:t>
      </w:r>
      <w:r w:rsidR="00505F6A" w:rsidRPr="005D1CEF">
        <w:t xml:space="preserve">to the service sectors </w:t>
      </w:r>
      <w:r w:rsidR="00C24053" w:rsidRPr="005D1CEF">
        <w:t xml:space="preserve">see </w:t>
      </w:r>
      <w:r w:rsidRPr="005D1CEF">
        <w:t>the demand for, and output of, the service sectors</w:t>
      </w:r>
      <w:r w:rsidR="00C24053" w:rsidRPr="005D1CEF">
        <w:t xml:space="preserve"> increasing</w:t>
      </w:r>
      <w:r w:rsidRPr="005D1CEF">
        <w:t>.</w:t>
      </w:r>
    </w:p>
    <w:p w:rsidR="003B3209" w:rsidRDefault="003B3209" w:rsidP="003B3209">
      <w:pPr>
        <w:pStyle w:val="BodyText"/>
      </w:pPr>
    </w:p>
    <w:p w:rsidR="003B3209" w:rsidRDefault="00425D14" w:rsidP="004F5D72">
      <w:pPr>
        <w:pStyle w:val="Heading1"/>
        <w:numPr>
          <w:ilvl w:val="0"/>
          <w:numId w:val="33"/>
        </w:numPr>
      </w:pPr>
      <w:bookmarkStart w:id="218" w:name="_Toc494120815"/>
      <w:r>
        <w:t xml:space="preserve">Economic </w:t>
      </w:r>
      <w:r w:rsidR="00514F57">
        <w:t xml:space="preserve">scenario </w:t>
      </w:r>
      <w:r>
        <w:t xml:space="preserve">modelling of </w:t>
      </w:r>
      <w:r w:rsidR="00514F57">
        <w:t xml:space="preserve">possible </w:t>
      </w:r>
      <w:r>
        <w:t>global changes in trade protection</w:t>
      </w:r>
      <w:bookmarkEnd w:id="218"/>
    </w:p>
    <w:p w:rsidR="001E24D1" w:rsidRDefault="008B731A" w:rsidP="005F1872">
      <w:pPr>
        <w:pStyle w:val="ChapterSummary"/>
      </w:pPr>
      <w:r w:rsidRPr="008465AD">
        <w:t xml:space="preserve">In this chapter a number of </w:t>
      </w:r>
      <w:r w:rsidR="0063598E">
        <w:t xml:space="preserve">hypothetical </w:t>
      </w:r>
      <w:r w:rsidRPr="008465AD">
        <w:t xml:space="preserve">economic modelling simulations are conducted to investigate whether a more protectionist trading environment can </w:t>
      </w:r>
      <w:r w:rsidR="00425D14">
        <w:t>lead to better economic outcomes. Overall, if tariffs on all merchandise imports were increased to raise all import prices by 10 per cent, the economic modelling suggests real GDP in Australia would be 2.2 per cent lower</w:t>
      </w:r>
      <w:r w:rsidR="00EA66BF">
        <w:t xml:space="preserve">, and global real GDP 4.1 per cent lower. </w:t>
      </w:r>
      <w:r w:rsidR="00B87855">
        <w:t>The short term impacts of increased tariffs would see job losses in Australia, while over the longer term real wages and living standards would be lower.</w:t>
      </w:r>
    </w:p>
    <w:p w:rsidR="005F1872" w:rsidRDefault="00EA66BF" w:rsidP="005F1872">
      <w:pPr>
        <w:pStyle w:val="ChapterSummary"/>
      </w:pPr>
      <w:r>
        <w:t>By contrast, further liberalising global merchandise trade would act to grow Australian and global economic activity. The modelling suggests that lowering tariffs such that import prices fall by 10 per cent would see real GDP in Australia being 0.6 per cent higher, and 1.1 per cent higher globally.</w:t>
      </w:r>
      <w:r w:rsidR="001E24D1">
        <w:t xml:space="preserve"> Short term employment in Australia would grow, and over the longer term, Australian real wages and living standards would be higher.</w:t>
      </w:r>
    </w:p>
    <w:p w:rsidR="003B3209" w:rsidRDefault="003B3209" w:rsidP="003B3209">
      <w:pPr>
        <w:pStyle w:val="BodyText"/>
      </w:pPr>
      <w:r>
        <w:t xml:space="preserve">Over the last 2–3 decades, Australia, like many other developed and developing economies, has implemented a policy of unilateral, bilateral and multilateral trade liberalisation. Underpinning Australia’s approach to trade liberalisation is the </w:t>
      </w:r>
      <w:r w:rsidR="00FF578E">
        <w:t>view</w:t>
      </w:r>
      <w:r>
        <w:t xml:space="preserve"> that protecting inefficient and uncompetitive domestic industries is not in the </w:t>
      </w:r>
      <w:r w:rsidR="00EA66BF">
        <w:t xml:space="preserve">wider </w:t>
      </w:r>
      <w:r>
        <w:t>nation’s best interests.</w:t>
      </w:r>
      <w:r w:rsidR="00EF28A9">
        <w:t xml:space="preserve"> This approach to liberalising trade has become even more important as world economies become more integrated. </w:t>
      </w:r>
      <w:r w:rsidR="004C6E69">
        <w:t>This is particularly so where businesses are creating increasingly-sophisticated regional and global production system (called ‘value chains’), and where the success of these business models is based in part on continued low barriers to cross-border trade.</w:t>
      </w:r>
    </w:p>
    <w:p w:rsidR="003B3209" w:rsidRDefault="003B3209" w:rsidP="003B3209">
      <w:pPr>
        <w:pStyle w:val="BodyText"/>
      </w:pPr>
      <w:r>
        <w:t>However, over the last few years</w:t>
      </w:r>
      <w:r w:rsidR="00FF578E">
        <w:t xml:space="preserve"> in other parts of the world</w:t>
      </w:r>
      <w:r>
        <w:t xml:space="preserve">, there have been increasing calls to </w:t>
      </w:r>
      <w:r w:rsidR="00EA66BF">
        <w:t xml:space="preserve">rollback decades of trade liberalisation and </w:t>
      </w:r>
      <w:r>
        <w:t xml:space="preserve">renegotiate, or even tear-up, previously agreed to trade (and common market) agreements. </w:t>
      </w:r>
      <w:r w:rsidRPr="0090302A">
        <w:t xml:space="preserve">The line of arguing is that trade liberalisation has come at the expense of local jobs and a loss of sovereignty, to the net detriment of the country. An often-cited complaint is the loss of local manufacturing jobs and capability, which is attributed to trade liberalisation and increasing imports. </w:t>
      </w:r>
      <w:r w:rsidR="00EA66BF">
        <w:t>Returning to a protectionist trading regime</w:t>
      </w:r>
      <w:r>
        <w:t xml:space="preserve">, and by association, </w:t>
      </w:r>
      <w:r w:rsidR="00EA66BF">
        <w:t xml:space="preserve">restricting imports </w:t>
      </w:r>
      <w:r>
        <w:t>is seen as necessary if manufacturing is to return.</w:t>
      </w:r>
    </w:p>
    <w:p w:rsidR="003B3209" w:rsidRPr="0090302A" w:rsidRDefault="003B3209" w:rsidP="004F5D72">
      <w:pPr>
        <w:pStyle w:val="Heading3"/>
        <w:numPr>
          <w:ilvl w:val="2"/>
          <w:numId w:val="33"/>
        </w:numPr>
      </w:pPr>
      <w:r w:rsidRPr="0090302A">
        <w:t>Is increased trade protection the answer?</w:t>
      </w:r>
    </w:p>
    <w:p w:rsidR="003B3209" w:rsidRDefault="003B3209" w:rsidP="003B3209">
      <w:pPr>
        <w:pStyle w:val="BodyText"/>
      </w:pPr>
      <w:r>
        <w:t xml:space="preserve">In response to increasing calls for a move to a more protectionist trade policy, several additional (and illustrative) modelling simulations have been conducted to investigate the economic impacts if this were to happen. </w:t>
      </w:r>
      <w:r w:rsidR="00A56176">
        <w:t xml:space="preserve">An increase in tariff rates, which increases the price of imports to a certain </w:t>
      </w:r>
      <w:r w:rsidR="003940AC">
        <w:t xml:space="preserve">specified </w:t>
      </w:r>
      <w:r w:rsidR="00A56176">
        <w:t xml:space="preserve">extent, is used as a proxy for increased protection. </w:t>
      </w:r>
      <w:r>
        <w:t xml:space="preserve">The following </w:t>
      </w:r>
      <w:r w:rsidR="003940AC">
        <w:t xml:space="preserve">three </w:t>
      </w:r>
      <w:r>
        <w:t>simulations have been conducted:</w:t>
      </w:r>
    </w:p>
    <w:p w:rsidR="003B3209" w:rsidRDefault="003B3209" w:rsidP="00BB4371">
      <w:pPr>
        <w:pStyle w:val="ListBullet"/>
        <w:numPr>
          <w:ilvl w:val="0"/>
          <w:numId w:val="24"/>
        </w:numPr>
        <w:spacing w:before="50"/>
      </w:pPr>
      <w:r>
        <w:t>tariffs increased such that the price of manufacturing imports increase by 10 per cent worldwide</w:t>
      </w:r>
    </w:p>
    <w:p w:rsidR="003B3209" w:rsidRDefault="003B3209" w:rsidP="00BB4371">
      <w:pPr>
        <w:pStyle w:val="ListBullet"/>
        <w:numPr>
          <w:ilvl w:val="0"/>
          <w:numId w:val="24"/>
        </w:numPr>
        <w:spacing w:before="50"/>
      </w:pPr>
      <w:r>
        <w:t>tariffs increased such that the price of all imports increase by 10 per cent worldwide.</w:t>
      </w:r>
    </w:p>
    <w:p w:rsidR="003B3209" w:rsidRDefault="003B3209" w:rsidP="00BB4371">
      <w:pPr>
        <w:pStyle w:val="BodyText"/>
        <w:spacing w:before="50"/>
      </w:pPr>
      <w:r>
        <w:t xml:space="preserve">And, as a counter to the increasing protection simulations, we have also undertaken a simulation </w:t>
      </w:r>
      <w:r w:rsidR="003940AC">
        <w:t xml:space="preserve">of more openness globally </w:t>
      </w:r>
      <w:r>
        <w:t>whereby:</w:t>
      </w:r>
    </w:p>
    <w:p w:rsidR="003B3209" w:rsidRDefault="00241023" w:rsidP="00BB4371">
      <w:pPr>
        <w:pStyle w:val="ListBullet"/>
        <w:numPr>
          <w:ilvl w:val="0"/>
          <w:numId w:val="24"/>
        </w:numPr>
        <w:spacing w:before="50"/>
      </w:pPr>
      <w:r>
        <w:t xml:space="preserve">tariffs are decreased such that </w:t>
      </w:r>
      <w:r w:rsidR="003B3209">
        <w:t>the price of all imports decrease by 10 per cent worldwide.</w:t>
      </w:r>
      <w:r w:rsidR="003B3209">
        <w:rPr>
          <w:rStyle w:val="FootnoteReference"/>
        </w:rPr>
        <w:footnoteReference w:id="18"/>
      </w:r>
    </w:p>
    <w:p w:rsidR="003B3209" w:rsidRDefault="003B3209" w:rsidP="003B3209">
      <w:pPr>
        <w:pStyle w:val="BodyText"/>
      </w:pPr>
      <w:r>
        <w:t xml:space="preserve">Of interest is whether economic activity is higher with increased, or lower, protection; and what the findings suggest for trade policy going forward. </w:t>
      </w:r>
    </w:p>
    <w:p w:rsidR="003B3209" w:rsidRDefault="00FF578E" w:rsidP="00BB4371">
      <w:pPr>
        <w:pStyle w:val="Heading2"/>
        <w:numPr>
          <w:ilvl w:val="1"/>
          <w:numId w:val="33"/>
        </w:numPr>
        <w:spacing w:before="400"/>
      </w:pPr>
      <w:bookmarkStart w:id="219" w:name="_Toc494120816"/>
      <w:r>
        <w:t>Modelling t</w:t>
      </w:r>
      <w:r w:rsidR="003B3209">
        <w:t>he economic impact of changing protection</w:t>
      </w:r>
      <w:bookmarkEnd w:id="219"/>
    </w:p>
    <w:p w:rsidR="003B3209" w:rsidRDefault="003B3209" w:rsidP="00BB4371">
      <w:pPr>
        <w:pStyle w:val="BodyText"/>
        <w:spacing w:before="100"/>
      </w:pPr>
      <w:r>
        <w:t>The economic impact for a number of countries/regions of increasing or lowering trade protection under the above three simulations is reported in table </w:t>
      </w:r>
      <w:fldSimple w:instr=" REF _Caption8998 ">
        <w:r w:rsidR="00AB4D5D">
          <w:rPr>
            <w:noProof/>
          </w:rPr>
          <w:t>4</w:t>
        </w:r>
        <w:r w:rsidR="00AB4D5D" w:rsidRPr="007F4F56">
          <w:rPr>
            <w:noProof/>
          </w:rPr>
          <w:t>.</w:t>
        </w:r>
        <w:r w:rsidR="00AB4D5D">
          <w:rPr>
            <w:noProof/>
          </w:rPr>
          <w:t>1</w:t>
        </w:r>
      </w:fldSimple>
      <w:r>
        <w:t>.</w:t>
      </w:r>
    </w:p>
    <w:p w:rsidR="003B3209" w:rsidRDefault="003B3209" w:rsidP="003B3209">
      <w:pPr>
        <w:pStyle w:val="BodyText"/>
      </w:pPr>
      <w:r>
        <w:t>The first observation to make is that increased protection does not benefit workers or economic activity</w:t>
      </w:r>
      <w:r w:rsidR="003940AC">
        <w:t xml:space="preserve">. Increased </w:t>
      </w:r>
      <w:r>
        <w:t>protection see</w:t>
      </w:r>
      <w:r w:rsidR="003940AC">
        <w:t>s</w:t>
      </w:r>
      <w:r>
        <w:t xml:space="preserve"> both wages and GDP being lower</w:t>
      </w:r>
      <w:r w:rsidR="00FF578E">
        <w:t xml:space="preserve"> than otherwise</w:t>
      </w:r>
      <w:r>
        <w:t>. As can be seen from table </w:t>
      </w:r>
      <w:fldSimple w:instr=" REF _Caption6829 ">
        <w:r w:rsidR="00AB4D5D">
          <w:rPr>
            <w:noProof/>
          </w:rPr>
          <w:t>4</w:t>
        </w:r>
        <w:r w:rsidR="00AB4D5D" w:rsidRPr="007F4F56">
          <w:rPr>
            <w:noProof/>
          </w:rPr>
          <w:t>.</w:t>
        </w:r>
        <w:r w:rsidR="00AB4D5D">
          <w:rPr>
            <w:noProof/>
          </w:rPr>
          <w:t>1</w:t>
        </w:r>
      </w:fldSimple>
      <w:r>
        <w:t xml:space="preserve">, increased protection is associated with contractions across the reported key </w:t>
      </w:r>
      <w:r w:rsidR="003940AC">
        <w:t xml:space="preserve">(real) </w:t>
      </w:r>
      <w:r>
        <w:t xml:space="preserve">economic indicators. Furthermore, as the coverage of increased protection expands from manufacturing imports to all imports, the </w:t>
      </w:r>
      <w:r w:rsidR="00C81C1F">
        <w:t xml:space="preserve">size of the </w:t>
      </w:r>
      <w:r w:rsidR="003940AC">
        <w:t>negative economic impacts</w:t>
      </w:r>
      <w:r>
        <w:t xml:space="preserve"> increase. </w:t>
      </w:r>
    </w:p>
    <w:p w:rsidR="003B3209" w:rsidRDefault="003B3209" w:rsidP="003B3209">
      <w:pPr>
        <w:pStyle w:val="BodyText"/>
      </w:pPr>
      <w:r>
        <w:t xml:space="preserve">Globally, world GDP is estimated to be some 3.5 per cent lower as a result of </w:t>
      </w:r>
      <w:r w:rsidR="00C81C1F">
        <w:t>increased protection</w:t>
      </w:r>
      <w:r>
        <w:t xml:space="preserve"> such that the price of manufactured imports increased by 10 per cent, and 4.1 per cent lower if the price of all imports increases by 10 per cent.</w:t>
      </w:r>
    </w:p>
    <w:p w:rsidR="003B3209" w:rsidRPr="007F4F56" w:rsidRDefault="003B3209" w:rsidP="00CA53D2">
      <w:pPr>
        <w:pStyle w:val="Caption"/>
        <w:numPr>
          <w:ilvl w:val="0"/>
          <w:numId w:val="23"/>
        </w:numPr>
        <w:spacing w:before="240"/>
      </w:pPr>
      <w:r w:rsidRPr="007F4F56">
        <w:fldChar w:fldCharType="begin"/>
      </w:r>
      <w:r w:rsidRPr="007F4F56">
        <w:instrText xml:space="preserve"> IF 1 = 1 "</w:instrText>
      </w:r>
      <w:r w:rsidRPr="007F4F56">
        <w:fldChar w:fldCharType="begin"/>
      </w:r>
      <w:r w:rsidRPr="007F4F56">
        <w:instrText xml:space="preserve"> IF </w:instrText>
      </w:r>
      <w:fldSimple w:instr=" STYLEREF &quot;Heading 6&quot; \l \n ">
        <w:r w:rsidR="00AB4D5D">
          <w:rPr>
            <w:noProof/>
          </w:rPr>
          <w:instrText>0</w:instrText>
        </w:r>
      </w:fldSimple>
      <w:r w:rsidRPr="007F4F56">
        <w:instrText xml:space="preserve"> = 0 "</w:instrText>
      </w:r>
      <w:r w:rsidRPr="007F4F56">
        <w:fldChar w:fldCharType="begin"/>
      </w:r>
      <w:r w:rsidRPr="007F4F56">
        <w:instrText xml:space="preserve"> IF </w:instrText>
      </w:r>
      <w:fldSimple w:instr=" STYLEREF &quot;Heading 1&quot; \l \n ">
        <w:r w:rsidR="00AB4D5D">
          <w:rPr>
            <w:noProof/>
          </w:rPr>
          <w:instrText>4</w:instrText>
        </w:r>
      </w:fldSimple>
      <w:r w:rsidRPr="007F4F56">
        <w:instrText xml:space="preserve"> = 0 "" "</w:instrText>
      </w:r>
      <w:fldSimple w:instr=" STYLEREF &quot;Heading 1&quot; \l \n ">
        <w:r w:rsidR="00AB4D5D">
          <w:rPr>
            <w:noProof/>
          </w:rPr>
          <w:instrText>4</w:instrText>
        </w:r>
      </w:fldSimple>
      <w:r w:rsidRPr="007F4F56">
        <w:instrText xml:space="preserve">." </w:instrText>
      </w:r>
      <w:r w:rsidRPr="007F4F56">
        <w:fldChar w:fldCharType="separate"/>
      </w:r>
      <w:r w:rsidR="00AB4D5D">
        <w:rPr>
          <w:noProof/>
        </w:rPr>
        <w:instrText>4</w:instrText>
      </w:r>
      <w:r w:rsidR="00AB4D5D" w:rsidRPr="007F4F56">
        <w:rPr>
          <w:noProof/>
        </w:rPr>
        <w:instrText>.</w:instrText>
      </w:r>
      <w:r w:rsidRPr="007F4F56">
        <w:fldChar w:fldCharType="end"/>
      </w:r>
      <w:r w:rsidRPr="007F4F56">
        <w:instrText>" "</w:instrText>
      </w:r>
      <w:fldSimple w:instr=" STYLEREF &quot;Heading 6&quot; \l \n ">
        <w:r w:rsidRPr="007F4F56">
          <w:instrText>B</w:instrText>
        </w:r>
      </w:fldSimple>
      <w:r w:rsidRPr="007F4F56">
        <w:instrText xml:space="preserve">." </w:instrText>
      </w:r>
      <w:r w:rsidRPr="007F4F56">
        <w:fldChar w:fldCharType="separate"/>
      </w:r>
      <w:r w:rsidR="0025761E">
        <w:rPr>
          <w:noProof/>
        </w:rPr>
        <w:instrText>4</w:instrText>
      </w:r>
      <w:r w:rsidR="0025761E" w:rsidRPr="007F4F56">
        <w:rPr>
          <w:noProof/>
        </w:rPr>
        <w:instrText>.</w:instrText>
      </w:r>
      <w:r w:rsidRPr="007F4F56">
        <w:fldChar w:fldCharType="end"/>
      </w:r>
      <w:r w:rsidRPr="007F4F56">
        <w:fldChar w:fldCharType="begin"/>
      </w:r>
      <w:r w:rsidRPr="007F4F56">
        <w:instrText xml:space="preserve"> SEQ Item \* ARABIC \s </w:instrText>
      </w:r>
      <w:r w:rsidRPr="007F4F56">
        <w:fldChar w:fldCharType="begin"/>
      </w:r>
      <w:r w:rsidRPr="007F4F56">
        <w:instrText xml:space="preserve"> IF </w:instrText>
      </w:r>
      <w:fldSimple w:instr=" STYLEREF &quot;Heading 6&quot; \l \n ">
        <w:r w:rsidR="00AB4D5D">
          <w:rPr>
            <w:noProof/>
          </w:rPr>
          <w:instrText>0</w:instrText>
        </w:r>
      </w:fldSimple>
      <w:r w:rsidRPr="007F4F56">
        <w:instrText xml:space="preserve"> = 0 "</w:instrText>
      </w:r>
      <w:r w:rsidRPr="007F4F56">
        <w:fldChar w:fldCharType="begin"/>
      </w:r>
      <w:r w:rsidRPr="007F4F56">
        <w:instrText xml:space="preserve"> IF </w:instrText>
      </w:r>
      <w:fldSimple w:instr=" STYLEREF &quot;Heading 1&quot; \l \n ">
        <w:r w:rsidR="00AB4D5D">
          <w:rPr>
            <w:noProof/>
          </w:rPr>
          <w:instrText>4</w:instrText>
        </w:r>
      </w:fldSimple>
      <w:r w:rsidRPr="007F4F56">
        <w:instrText xml:space="preserve"> = 0 "" "1" </w:instrText>
      </w:r>
      <w:r w:rsidRPr="007F4F56">
        <w:fldChar w:fldCharType="separate"/>
      </w:r>
      <w:r w:rsidR="0025761E" w:rsidRPr="007F4F56">
        <w:rPr>
          <w:noProof/>
        </w:rPr>
        <w:instrText>1</w:instrText>
      </w:r>
      <w:r w:rsidRPr="007F4F56">
        <w:fldChar w:fldCharType="end"/>
      </w:r>
      <w:r w:rsidRPr="007F4F56">
        <w:instrText xml:space="preserve">" "6" </w:instrText>
      </w:r>
      <w:r w:rsidRPr="007F4F56">
        <w:fldChar w:fldCharType="separate"/>
      </w:r>
      <w:r w:rsidR="0025761E" w:rsidRPr="007F4F56">
        <w:rPr>
          <w:noProof/>
        </w:rPr>
        <w:instrText>1</w:instrText>
      </w:r>
      <w:r w:rsidRPr="007F4F56">
        <w:fldChar w:fldCharType="end"/>
      </w:r>
      <w:r w:rsidRPr="007F4F56">
        <w:instrText xml:space="preserve"> </w:instrText>
      </w:r>
      <w:r w:rsidRPr="007F4F56">
        <w:fldChar w:fldCharType="separate"/>
      </w:r>
      <w:r w:rsidR="00AB4D5D">
        <w:rPr>
          <w:noProof/>
        </w:rPr>
        <w:instrText>1</w:instrText>
      </w:r>
      <w:r w:rsidRPr="007F4F56">
        <w:fldChar w:fldCharType="end"/>
      </w:r>
      <w:r w:rsidRPr="007F4F56">
        <w:instrText xml:space="preserve">" "" </w:instrText>
      </w:r>
      <w:r w:rsidRPr="007F4F56">
        <w:fldChar w:fldCharType="separate"/>
      </w:r>
      <w:bookmarkStart w:id="220" w:name="_Caption4128"/>
      <w:bookmarkStart w:id="221" w:name="_Caption8833"/>
      <w:bookmarkStart w:id="222" w:name="_Caption2171"/>
      <w:bookmarkStart w:id="223" w:name="_Caption7416"/>
      <w:bookmarkStart w:id="224" w:name="_Caption0335"/>
      <w:bookmarkStart w:id="225" w:name="_Caption0579"/>
      <w:bookmarkStart w:id="226" w:name="_Caption9702"/>
      <w:bookmarkStart w:id="227" w:name="_Caption5194"/>
      <w:bookmarkStart w:id="228" w:name="_Caption4509"/>
      <w:bookmarkStart w:id="229" w:name="_Caption6829"/>
      <w:bookmarkStart w:id="230" w:name="_Caption2453"/>
      <w:bookmarkStart w:id="231" w:name="_Caption0069"/>
      <w:bookmarkStart w:id="232" w:name="_Caption8152"/>
      <w:bookmarkStart w:id="233" w:name="_Caption6928"/>
      <w:bookmarkStart w:id="234" w:name="_Caption8998"/>
      <w:bookmarkStart w:id="235" w:name="_Caption4786"/>
      <w:bookmarkStart w:id="236" w:name="_Caption2533"/>
      <w:bookmarkStart w:id="237" w:name="_Caption6963"/>
      <w:bookmarkStart w:id="238" w:name="_Caption5355"/>
      <w:bookmarkStart w:id="239" w:name="_Caption0472"/>
      <w:bookmarkStart w:id="240" w:name="_Caption1889"/>
      <w:bookmarkStart w:id="241" w:name="_Caption7438"/>
      <w:bookmarkStart w:id="242" w:name="_Caption4170"/>
      <w:bookmarkStart w:id="243" w:name="_Caption0358"/>
      <w:bookmarkStart w:id="244" w:name="_Caption6413"/>
      <w:bookmarkStart w:id="245" w:name="_Caption7993"/>
      <w:bookmarkStart w:id="246" w:name="_Caption6553"/>
      <w:bookmarkStart w:id="247" w:name="_Caption1769"/>
      <w:bookmarkStart w:id="248" w:name="_Caption8874"/>
      <w:bookmarkStart w:id="249" w:name="_Toc494120827"/>
      <w:r w:rsidR="0025761E">
        <w:rPr>
          <w:noProof/>
        </w:rPr>
        <w:t>4</w:t>
      </w:r>
      <w:r w:rsidR="0025761E" w:rsidRPr="007F4F56">
        <w:rPr>
          <w:noProof/>
        </w:rPr>
        <w:t>.</w:t>
      </w:r>
      <w:r w:rsidR="0025761E">
        <w:rPr>
          <w:noProof/>
        </w:rPr>
        <w:t>1</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7F4F56">
        <w:fldChar w:fldCharType="end"/>
      </w:r>
      <w:r w:rsidRPr="007F4F56">
        <w:tab/>
        <w:t>Impact of changing protection (per cent deviation from baseline)</w:t>
      </w:r>
      <w:bookmarkEnd w:id="249"/>
    </w:p>
    <w:tbl>
      <w:tblPr>
        <w:tblW w:w="7936" w:type="dxa"/>
        <w:tblLayout w:type="fixed"/>
        <w:tblLook w:val="04A0" w:firstRow="1" w:lastRow="0" w:firstColumn="1" w:lastColumn="0" w:noHBand="0" w:noVBand="1"/>
      </w:tblPr>
      <w:tblGrid>
        <w:gridCol w:w="1133"/>
        <w:gridCol w:w="1133"/>
        <w:gridCol w:w="1134"/>
        <w:gridCol w:w="1134"/>
        <w:gridCol w:w="1134"/>
        <w:gridCol w:w="1134"/>
        <w:gridCol w:w="1134"/>
      </w:tblGrid>
      <w:tr w:rsidR="003B3209" w:rsidTr="00E011C3">
        <w:trPr>
          <w:tblHeader/>
        </w:trPr>
        <w:tc>
          <w:tcPr>
            <w:tcW w:w="1133" w:type="dxa"/>
            <w:shd w:val="clear" w:color="auto" w:fill="6F6652"/>
            <w:tcMar>
              <w:top w:w="0" w:type="dxa"/>
              <w:left w:w="57" w:type="dxa"/>
              <w:bottom w:w="0" w:type="dxa"/>
              <w:right w:w="57" w:type="dxa"/>
            </w:tcMar>
            <w:hideMark/>
          </w:tcPr>
          <w:p w:rsidR="003B3209" w:rsidRDefault="003B3209">
            <w:pPr>
              <w:pStyle w:val="TableDataColumnHeading"/>
              <w:jc w:val="left"/>
              <w:rPr>
                <w:lang w:eastAsia="en-AU"/>
              </w:rPr>
            </w:pPr>
            <w:r>
              <w:rPr>
                <w:lang w:eastAsia="en-AU"/>
              </w:rPr>
              <w:t>Country/</w:t>
            </w:r>
            <w:r>
              <w:rPr>
                <w:lang w:eastAsia="en-AU"/>
              </w:rPr>
              <w:br/>
              <w:t>region</w:t>
            </w:r>
          </w:p>
        </w:tc>
        <w:tc>
          <w:tcPr>
            <w:tcW w:w="1133" w:type="dxa"/>
            <w:shd w:val="clear" w:color="auto" w:fill="6F6652"/>
            <w:tcMar>
              <w:top w:w="0" w:type="dxa"/>
              <w:left w:w="57" w:type="dxa"/>
              <w:bottom w:w="0" w:type="dxa"/>
              <w:right w:w="57" w:type="dxa"/>
            </w:tcMar>
            <w:hideMark/>
          </w:tcPr>
          <w:p w:rsidR="003B3209" w:rsidRDefault="003B3209">
            <w:pPr>
              <w:pStyle w:val="TableDataColumnHeading"/>
              <w:rPr>
                <w:lang w:eastAsia="en-AU"/>
              </w:rPr>
            </w:pPr>
            <w:r>
              <w:rPr>
                <w:lang w:eastAsia="en-AU"/>
              </w:rPr>
              <w:t>Wages</w:t>
            </w:r>
          </w:p>
        </w:tc>
        <w:tc>
          <w:tcPr>
            <w:tcW w:w="1134" w:type="dxa"/>
            <w:shd w:val="clear" w:color="auto" w:fill="6F6652"/>
            <w:tcMar>
              <w:top w:w="0" w:type="dxa"/>
              <w:left w:w="57" w:type="dxa"/>
              <w:bottom w:w="0" w:type="dxa"/>
              <w:right w:w="57" w:type="dxa"/>
            </w:tcMar>
            <w:hideMark/>
          </w:tcPr>
          <w:p w:rsidR="003B3209" w:rsidRDefault="003B3209">
            <w:pPr>
              <w:pStyle w:val="TableDataColumnHeading"/>
              <w:rPr>
                <w:lang w:eastAsia="en-AU"/>
              </w:rPr>
            </w:pPr>
            <w:r>
              <w:rPr>
                <w:lang w:eastAsia="en-AU"/>
              </w:rPr>
              <w:t>Imports</w:t>
            </w:r>
          </w:p>
        </w:tc>
        <w:tc>
          <w:tcPr>
            <w:tcW w:w="1134" w:type="dxa"/>
            <w:shd w:val="clear" w:color="auto" w:fill="6F6652"/>
            <w:tcMar>
              <w:top w:w="0" w:type="dxa"/>
              <w:left w:w="57" w:type="dxa"/>
              <w:bottom w:w="0" w:type="dxa"/>
              <w:right w:w="57" w:type="dxa"/>
            </w:tcMar>
            <w:hideMark/>
          </w:tcPr>
          <w:p w:rsidR="003B3209" w:rsidRDefault="003B3209">
            <w:pPr>
              <w:pStyle w:val="TableDataColumnHeading"/>
              <w:rPr>
                <w:lang w:eastAsia="en-AU"/>
              </w:rPr>
            </w:pPr>
            <w:r>
              <w:rPr>
                <w:lang w:eastAsia="en-AU"/>
              </w:rPr>
              <w:t>Exports</w:t>
            </w:r>
          </w:p>
        </w:tc>
        <w:tc>
          <w:tcPr>
            <w:tcW w:w="1134" w:type="dxa"/>
            <w:shd w:val="clear" w:color="auto" w:fill="6F6652"/>
            <w:tcMar>
              <w:top w:w="0" w:type="dxa"/>
              <w:left w:w="57" w:type="dxa"/>
              <w:bottom w:w="0" w:type="dxa"/>
              <w:right w:w="57" w:type="dxa"/>
            </w:tcMar>
            <w:hideMark/>
          </w:tcPr>
          <w:p w:rsidR="003B3209" w:rsidRDefault="003B3209">
            <w:pPr>
              <w:pStyle w:val="TableDataColumnHeading"/>
              <w:rPr>
                <w:lang w:eastAsia="en-AU"/>
              </w:rPr>
            </w:pPr>
            <w:r>
              <w:rPr>
                <w:lang w:eastAsia="en-AU"/>
              </w:rPr>
              <w:t>Investment</w:t>
            </w:r>
          </w:p>
        </w:tc>
        <w:tc>
          <w:tcPr>
            <w:tcW w:w="1134" w:type="dxa"/>
            <w:shd w:val="clear" w:color="auto" w:fill="6F6652"/>
            <w:tcMar>
              <w:top w:w="0" w:type="dxa"/>
              <w:left w:w="57" w:type="dxa"/>
              <w:bottom w:w="0" w:type="dxa"/>
              <w:right w:w="57" w:type="dxa"/>
            </w:tcMar>
            <w:hideMark/>
          </w:tcPr>
          <w:p w:rsidR="003B3209" w:rsidRDefault="003B3209">
            <w:pPr>
              <w:pStyle w:val="TableDataColumnHeading"/>
              <w:rPr>
                <w:lang w:eastAsia="en-AU"/>
              </w:rPr>
            </w:pPr>
            <w:r>
              <w:rPr>
                <w:lang w:eastAsia="en-AU"/>
              </w:rPr>
              <w:t>Consumption</w:t>
            </w:r>
          </w:p>
        </w:tc>
        <w:tc>
          <w:tcPr>
            <w:tcW w:w="1134" w:type="dxa"/>
            <w:shd w:val="clear" w:color="auto" w:fill="6F6652"/>
            <w:tcMar>
              <w:top w:w="0" w:type="dxa"/>
              <w:left w:w="57" w:type="dxa"/>
              <w:bottom w:w="0" w:type="dxa"/>
              <w:right w:w="57" w:type="dxa"/>
            </w:tcMar>
            <w:hideMark/>
          </w:tcPr>
          <w:p w:rsidR="003B3209" w:rsidRDefault="003B3209">
            <w:pPr>
              <w:pStyle w:val="TableDataColumnHeading"/>
              <w:rPr>
                <w:lang w:eastAsia="en-AU"/>
              </w:rPr>
            </w:pPr>
            <w:r>
              <w:rPr>
                <w:lang w:eastAsia="en-AU"/>
              </w:rPr>
              <w:t>GDP</w:t>
            </w:r>
          </w:p>
        </w:tc>
      </w:tr>
      <w:tr w:rsidR="003B3209" w:rsidTr="00E011C3">
        <w:trPr>
          <w:tblHeader/>
        </w:trPr>
        <w:tc>
          <w:tcPr>
            <w:tcW w:w="1133" w:type="dxa"/>
            <w:tcBorders>
              <w:top w:val="nil"/>
              <w:left w:val="nil"/>
              <w:bottom w:val="single" w:sz="8" w:space="0" w:color="FFFFFF" w:themeColor="background1"/>
              <w:right w:val="nil"/>
            </w:tcBorders>
            <w:tcMar>
              <w:top w:w="0" w:type="dxa"/>
              <w:left w:w="57" w:type="dxa"/>
              <w:bottom w:w="0" w:type="dxa"/>
              <w:right w:w="57" w:type="dxa"/>
            </w:tcMar>
          </w:tcPr>
          <w:p w:rsidR="003B3209" w:rsidRDefault="003B3209" w:rsidP="00CA53D2">
            <w:pPr>
              <w:pStyle w:val="TableUnit"/>
              <w:spacing w:before="60" w:after="60"/>
              <w:jc w:val="left"/>
              <w:rPr>
                <w:lang w:eastAsia="en-AU"/>
              </w:rPr>
            </w:pPr>
          </w:p>
        </w:tc>
        <w:tc>
          <w:tcPr>
            <w:tcW w:w="1133" w:type="dxa"/>
            <w:tcBorders>
              <w:top w:val="nil"/>
              <w:left w:val="nil"/>
              <w:bottom w:val="single" w:sz="8" w:space="0" w:color="FFFFFF" w:themeColor="background1"/>
              <w:right w:val="nil"/>
            </w:tcBorders>
            <w:tcMar>
              <w:top w:w="0" w:type="dxa"/>
              <w:left w:w="57" w:type="dxa"/>
              <w:bottom w:w="0" w:type="dxa"/>
              <w:right w:w="57" w:type="dxa"/>
            </w:tcMar>
            <w:hideMark/>
          </w:tcPr>
          <w:p w:rsidR="003B3209" w:rsidRDefault="003B3209" w:rsidP="00CA53D2">
            <w:pPr>
              <w:pStyle w:val="TableUnit"/>
              <w:spacing w:before="60" w:after="60"/>
              <w:rPr>
                <w:lang w:eastAsia="en-AU"/>
              </w:rPr>
            </w:pPr>
            <w:r>
              <w:rPr>
                <w:lang w:eastAsia="en-AU"/>
              </w:rPr>
              <w:t>Per cent</w:t>
            </w:r>
          </w:p>
        </w:tc>
        <w:tc>
          <w:tcPr>
            <w:tcW w:w="1134" w:type="dxa"/>
            <w:tcBorders>
              <w:top w:val="nil"/>
              <w:left w:val="nil"/>
              <w:bottom w:val="single" w:sz="8" w:space="0" w:color="FFFFFF" w:themeColor="background1"/>
              <w:right w:val="nil"/>
            </w:tcBorders>
            <w:tcMar>
              <w:top w:w="0" w:type="dxa"/>
              <w:left w:w="57" w:type="dxa"/>
              <w:bottom w:w="0" w:type="dxa"/>
              <w:right w:w="57" w:type="dxa"/>
            </w:tcMar>
            <w:hideMark/>
          </w:tcPr>
          <w:p w:rsidR="003B3209" w:rsidRDefault="003B3209" w:rsidP="00CA53D2">
            <w:pPr>
              <w:pStyle w:val="TableUnit"/>
              <w:spacing w:before="60" w:after="60"/>
              <w:rPr>
                <w:lang w:eastAsia="en-AU"/>
              </w:rPr>
            </w:pPr>
            <w:r>
              <w:rPr>
                <w:lang w:eastAsia="en-AU"/>
              </w:rPr>
              <w:t>Per cent</w:t>
            </w:r>
          </w:p>
        </w:tc>
        <w:tc>
          <w:tcPr>
            <w:tcW w:w="1134" w:type="dxa"/>
            <w:tcBorders>
              <w:top w:val="nil"/>
              <w:left w:val="nil"/>
              <w:bottom w:val="single" w:sz="8" w:space="0" w:color="FFFFFF" w:themeColor="background1"/>
              <w:right w:val="nil"/>
            </w:tcBorders>
            <w:tcMar>
              <w:top w:w="0" w:type="dxa"/>
              <w:left w:w="57" w:type="dxa"/>
              <w:bottom w:w="0" w:type="dxa"/>
              <w:right w:w="57" w:type="dxa"/>
            </w:tcMar>
            <w:hideMark/>
          </w:tcPr>
          <w:p w:rsidR="003B3209" w:rsidRDefault="003B3209" w:rsidP="00CA53D2">
            <w:pPr>
              <w:pStyle w:val="TableUnit"/>
              <w:spacing w:before="60" w:after="60"/>
              <w:rPr>
                <w:lang w:eastAsia="en-AU"/>
              </w:rPr>
            </w:pPr>
            <w:r>
              <w:rPr>
                <w:lang w:eastAsia="en-AU"/>
              </w:rPr>
              <w:t>Per cent</w:t>
            </w:r>
          </w:p>
        </w:tc>
        <w:tc>
          <w:tcPr>
            <w:tcW w:w="1134" w:type="dxa"/>
            <w:tcBorders>
              <w:top w:val="nil"/>
              <w:left w:val="nil"/>
              <w:bottom w:val="single" w:sz="8" w:space="0" w:color="FFFFFF" w:themeColor="background1"/>
              <w:right w:val="nil"/>
            </w:tcBorders>
            <w:tcMar>
              <w:top w:w="0" w:type="dxa"/>
              <w:left w:w="57" w:type="dxa"/>
              <w:bottom w:w="0" w:type="dxa"/>
              <w:right w:w="57" w:type="dxa"/>
            </w:tcMar>
            <w:hideMark/>
          </w:tcPr>
          <w:p w:rsidR="003B3209" w:rsidRDefault="003B3209" w:rsidP="00CA53D2">
            <w:pPr>
              <w:pStyle w:val="TableUnit"/>
              <w:spacing w:before="60" w:after="60"/>
              <w:rPr>
                <w:lang w:eastAsia="en-AU"/>
              </w:rPr>
            </w:pPr>
            <w:r>
              <w:rPr>
                <w:lang w:eastAsia="en-AU"/>
              </w:rPr>
              <w:t>Per cent</w:t>
            </w:r>
          </w:p>
        </w:tc>
        <w:tc>
          <w:tcPr>
            <w:tcW w:w="1134" w:type="dxa"/>
            <w:tcBorders>
              <w:top w:val="nil"/>
              <w:left w:val="nil"/>
              <w:bottom w:val="single" w:sz="8" w:space="0" w:color="FFFFFF" w:themeColor="background1"/>
              <w:right w:val="nil"/>
            </w:tcBorders>
            <w:tcMar>
              <w:top w:w="0" w:type="dxa"/>
              <w:left w:w="57" w:type="dxa"/>
              <w:bottom w:w="0" w:type="dxa"/>
              <w:right w:w="57" w:type="dxa"/>
            </w:tcMar>
            <w:hideMark/>
          </w:tcPr>
          <w:p w:rsidR="003B3209" w:rsidRDefault="003B3209" w:rsidP="00CA53D2">
            <w:pPr>
              <w:pStyle w:val="TableUnit"/>
              <w:spacing w:before="60" w:after="60"/>
              <w:rPr>
                <w:lang w:eastAsia="en-AU"/>
              </w:rPr>
            </w:pPr>
            <w:r>
              <w:rPr>
                <w:lang w:eastAsia="en-AU"/>
              </w:rPr>
              <w:t>Per cent</w:t>
            </w:r>
          </w:p>
        </w:tc>
        <w:tc>
          <w:tcPr>
            <w:tcW w:w="1134" w:type="dxa"/>
            <w:tcBorders>
              <w:top w:val="nil"/>
              <w:left w:val="nil"/>
              <w:bottom w:val="single" w:sz="8" w:space="0" w:color="FFFFFF" w:themeColor="background1"/>
              <w:right w:val="nil"/>
            </w:tcBorders>
            <w:tcMar>
              <w:top w:w="0" w:type="dxa"/>
              <w:left w:w="57" w:type="dxa"/>
              <w:bottom w:w="0" w:type="dxa"/>
              <w:right w:w="57" w:type="dxa"/>
            </w:tcMar>
            <w:hideMark/>
          </w:tcPr>
          <w:p w:rsidR="003B3209" w:rsidRDefault="003B3209" w:rsidP="00CA53D2">
            <w:pPr>
              <w:pStyle w:val="TableUnit"/>
              <w:spacing w:before="60" w:after="60"/>
              <w:rPr>
                <w:lang w:eastAsia="en-AU"/>
              </w:rPr>
            </w:pPr>
            <w:r>
              <w:rPr>
                <w:lang w:eastAsia="en-AU"/>
              </w:rPr>
              <w:t>Per cent</w:t>
            </w:r>
          </w:p>
        </w:tc>
      </w:tr>
      <w:tr w:rsidR="003B3209" w:rsidTr="00E011C3">
        <w:tc>
          <w:tcPr>
            <w:tcW w:w="7936" w:type="dxa"/>
            <w:gridSpan w:val="7"/>
            <w:tcBorders>
              <w:top w:val="single" w:sz="8" w:space="0" w:color="FFFFFF" w:themeColor="background1"/>
              <w:left w:val="nil"/>
              <w:bottom w:val="single" w:sz="8" w:space="0" w:color="FFFFFF" w:themeColor="background1"/>
              <w:right w:val="nil"/>
            </w:tcBorders>
            <w:shd w:val="clear" w:color="auto" w:fill="E4E0DA" w:themeFill="text2" w:themeFillTint="33"/>
            <w:tcMar>
              <w:top w:w="0" w:type="dxa"/>
              <w:left w:w="57" w:type="dxa"/>
              <w:bottom w:w="0" w:type="dxa"/>
              <w:right w:w="57" w:type="dxa"/>
            </w:tcMar>
            <w:hideMark/>
          </w:tcPr>
          <w:p w:rsidR="003B3209" w:rsidRDefault="00C81C1F" w:rsidP="00CD3640">
            <w:pPr>
              <w:pStyle w:val="TableHeading1"/>
            </w:pPr>
            <w:r>
              <w:t xml:space="preserve">Simulation 1: </w:t>
            </w:r>
            <w:r w:rsidR="003B3209">
              <w:t>10 per cent increase in price of manufacturing imports</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hideMark/>
          </w:tcPr>
          <w:p w:rsidR="00A14706" w:rsidRDefault="00A14706">
            <w:pPr>
              <w:pStyle w:val="TableDataEntries"/>
              <w:jc w:val="left"/>
              <w:rPr>
                <w:lang w:eastAsia="en-AU"/>
              </w:rPr>
            </w:pPr>
            <w:r>
              <w:rPr>
                <w:lang w:eastAsia="en-AU"/>
              </w:rPr>
              <w:t>Australia</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-0.3</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-11.7</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-10.9</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-4.0</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-1.0</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-1.8</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hideMark/>
          </w:tcPr>
          <w:p w:rsidR="00A14706" w:rsidRDefault="00A14706">
            <w:pPr>
              <w:pStyle w:val="TableDataEntries"/>
              <w:jc w:val="left"/>
              <w:rPr>
                <w:lang w:eastAsia="en-AU"/>
              </w:rPr>
            </w:pPr>
            <w:r>
              <w:rPr>
                <w:lang w:eastAsia="en-AU"/>
              </w:rPr>
              <w:t>ASEAN</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-4.4</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-22.2</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-22.1</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-15.0</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-6.2</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-9.2</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tcPr>
          <w:p w:rsidR="00A14706" w:rsidRDefault="00A14706">
            <w:pPr>
              <w:pStyle w:val="TableDataEntries"/>
              <w:jc w:val="left"/>
              <w:rPr>
                <w:lang w:eastAsia="en-AU"/>
              </w:rPr>
            </w:pPr>
            <w:r>
              <w:rPr>
                <w:lang w:eastAsia="en-AU"/>
              </w:rPr>
              <w:t>China</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A14706" w:rsidRDefault="00A14706" w:rsidP="00A14706">
            <w:pPr>
              <w:pStyle w:val="TableDataEntries"/>
            </w:pPr>
            <w:r>
              <w:t>-0.8</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A14706" w:rsidRDefault="00A14706" w:rsidP="00A14706">
            <w:pPr>
              <w:pStyle w:val="TableDataEntries"/>
            </w:pPr>
            <w:r>
              <w:t>-19.2</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A14706" w:rsidRDefault="00A14706" w:rsidP="00A14706">
            <w:pPr>
              <w:pStyle w:val="TableDataEntries"/>
            </w:pPr>
            <w:r>
              <w:t>-16.1</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A14706" w:rsidRDefault="00A14706" w:rsidP="00A14706">
            <w:pPr>
              <w:pStyle w:val="TableDataEntries"/>
            </w:pPr>
            <w:r>
              <w:t>-4.9</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A14706" w:rsidRDefault="00A14706" w:rsidP="00A14706">
            <w:pPr>
              <w:pStyle w:val="TableDataEntries"/>
            </w:pPr>
            <w:r>
              <w:t>-1.1</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A14706" w:rsidRDefault="00A14706" w:rsidP="00A14706">
            <w:pPr>
              <w:pStyle w:val="TableDataEntries"/>
            </w:pPr>
            <w:r>
              <w:t>-2.8</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hideMark/>
          </w:tcPr>
          <w:p w:rsidR="00A14706" w:rsidRDefault="00A14706">
            <w:pPr>
              <w:pStyle w:val="TableDataEntries"/>
              <w:jc w:val="left"/>
              <w:rPr>
                <w:lang w:eastAsia="en-AU"/>
              </w:rPr>
            </w:pPr>
            <w:r>
              <w:rPr>
                <w:lang w:eastAsia="en-AU"/>
              </w:rPr>
              <w:t>New Zealand</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-3.4</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-14.7</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-12.7</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-9.5</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-4.0</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-4.7</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hideMark/>
          </w:tcPr>
          <w:p w:rsidR="00A14706" w:rsidRDefault="00A14706">
            <w:pPr>
              <w:pStyle w:val="TableDataEntries"/>
              <w:jc w:val="left"/>
              <w:rPr>
                <w:lang w:eastAsia="en-AU"/>
              </w:rPr>
            </w:pPr>
            <w:r>
              <w:rPr>
                <w:lang w:eastAsia="en-AU"/>
              </w:rPr>
              <w:t>Other North Asia</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-1.7</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-15.7</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-15.5</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-5.4</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-1.7</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-2.5</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hideMark/>
          </w:tcPr>
          <w:p w:rsidR="00A14706" w:rsidRDefault="00A14706">
            <w:pPr>
              <w:pStyle w:val="TableDataEntries"/>
              <w:jc w:val="left"/>
              <w:rPr>
                <w:lang w:eastAsia="en-AU"/>
              </w:rPr>
            </w:pPr>
            <w:r>
              <w:rPr>
                <w:lang w:eastAsia="en-AU"/>
              </w:rPr>
              <w:t>United States</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-0.6</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-16.5</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-22.5</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-3.5</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-0.7</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-1.2</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hideMark/>
          </w:tcPr>
          <w:p w:rsidR="00A14706" w:rsidRDefault="00A14706">
            <w:pPr>
              <w:pStyle w:val="TableDataEntries"/>
              <w:jc w:val="left"/>
              <w:rPr>
                <w:lang w:eastAsia="en-AU"/>
              </w:rPr>
            </w:pPr>
            <w:r>
              <w:rPr>
                <w:lang w:eastAsia="en-AU"/>
              </w:rPr>
              <w:t>Rest of World</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-2.5</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-15.8</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-15.4</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-8.8</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-3.4</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-4.5</w:t>
            </w:r>
          </w:p>
        </w:tc>
      </w:tr>
      <w:tr w:rsidR="002F4907"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tcPr>
          <w:p w:rsidR="002F4907" w:rsidRDefault="002F4907" w:rsidP="002F4907">
            <w:pPr>
              <w:pStyle w:val="TableDataEntries"/>
              <w:jc w:val="left"/>
              <w:rPr>
                <w:lang w:eastAsia="en-AU"/>
              </w:rPr>
            </w:pPr>
            <w:r>
              <w:rPr>
                <w:lang w:eastAsia="en-AU"/>
              </w:rPr>
              <w:t>Global</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2F4907" w:rsidRDefault="002F4907" w:rsidP="008B48BB">
            <w:pPr>
              <w:pStyle w:val="TableDataEntries"/>
            </w:pPr>
            <w:r>
              <w:t>-1.7</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2F4907" w:rsidRDefault="002F4907" w:rsidP="008B48BB">
            <w:pPr>
              <w:pStyle w:val="TableDataEntries"/>
            </w:pPr>
            <w:r>
              <w:t>-16.5</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2F4907" w:rsidRDefault="002F4907" w:rsidP="008B48BB">
            <w:pPr>
              <w:pStyle w:val="TableDataEntries"/>
            </w:pPr>
            <w:r>
              <w:t>-16.5</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2F4907" w:rsidRDefault="002F4907" w:rsidP="008B48BB">
            <w:pPr>
              <w:pStyle w:val="TableDataEntries"/>
            </w:pPr>
            <w:r>
              <w:t>-6.9</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2F4907" w:rsidRDefault="002F4907" w:rsidP="008B48BB">
            <w:pPr>
              <w:pStyle w:val="TableDataEntries"/>
            </w:pPr>
            <w:r>
              <w:t>-2.4</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2F4907" w:rsidRDefault="002F4907" w:rsidP="008B48BB">
            <w:pPr>
              <w:pStyle w:val="TableDataEntries"/>
            </w:pPr>
            <w:r>
              <w:t>-3.5</w:t>
            </w:r>
          </w:p>
        </w:tc>
      </w:tr>
      <w:tr w:rsidR="003B3209" w:rsidTr="00E011C3">
        <w:tc>
          <w:tcPr>
            <w:tcW w:w="7936" w:type="dxa"/>
            <w:gridSpan w:val="7"/>
            <w:tcBorders>
              <w:top w:val="single" w:sz="8" w:space="0" w:color="FFFFFF" w:themeColor="background1"/>
              <w:left w:val="nil"/>
              <w:bottom w:val="single" w:sz="8" w:space="0" w:color="FFFFFF" w:themeColor="background1"/>
              <w:right w:val="nil"/>
            </w:tcBorders>
            <w:shd w:val="clear" w:color="auto" w:fill="E4E0DA" w:themeFill="text2" w:themeFillTint="33"/>
            <w:tcMar>
              <w:top w:w="0" w:type="dxa"/>
              <w:left w:w="57" w:type="dxa"/>
              <w:bottom w:w="0" w:type="dxa"/>
              <w:right w:w="57" w:type="dxa"/>
            </w:tcMar>
            <w:hideMark/>
          </w:tcPr>
          <w:p w:rsidR="003B3209" w:rsidRDefault="00C81C1F" w:rsidP="00CD3640">
            <w:pPr>
              <w:pStyle w:val="TableHeading1"/>
            </w:pPr>
            <w:r>
              <w:t>Simulation 2:</w:t>
            </w:r>
            <w:r w:rsidR="003568F6">
              <w:t xml:space="preserve"> </w:t>
            </w:r>
            <w:r w:rsidR="003B3209">
              <w:t xml:space="preserve">10 per cent increase in price of </w:t>
            </w:r>
            <w:r w:rsidR="003940AC">
              <w:t xml:space="preserve">all </w:t>
            </w:r>
            <w:r w:rsidR="003B3209">
              <w:t>imports</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hideMark/>
          </w:tcPr>
          <w:p w:rsidR="00A14706" w:rsidRDefault="00A14706">
            <w:pPr>
              <w:pStyle w:val="TableDataEntries"/>
              <w:jc w:val="left"/>
              <w:rPr>
                <w:lang w:eastAsia="en-AU"/>
              </w:rPr>
            </w:pPr>
            <w:r>
              <w:rPr>
                <w:lang w:eastAsia="en-AU"/>
              </w:rPr>
              <w:t>Australia</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-0.7</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-14.4</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-12.5</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-4.7</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-1.5</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-2.2</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hideMark/>
          </w:tcPr>
          <w:p w:rsidR="00A14706" w:rsidRDefault="00A14706">
            <w:pPr>
              <w:pStyle w:val="TableDataEntries"/>
              <w:jc w:val="left"/>
              <w:rPr>
                <w:lang w:eastAsia="en-AU"/>
              </w:rPr>
            </w:pPr>
            <w:r>
              <w:rPr>
                <w:lang w:eastAsia="en-AU"/>
              </w:rPr>
              <w:t>ASEAN</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-4.8</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-24.4</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-24.2</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-16.4</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-6.9</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-10.2</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tcPr>
          <w:p w:rsidR="00A14706" w:rsidRDefault="00A14706">
            <w:pPr>
              <w:pStyle w:val="TableDataEntries"/>
              <w:jc w:val="left"/>
              <w:rPr>
                <w:lang w:eastAsia="en-AU"/>
              </w:rPr>
            </w:pPr>
            <w:r>
              <w:rPr>
                <w:lang w:eastAsia="en-AU"/>
              </w:rPr>
              <w:t>China</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A14706" w:rsidRDefault="00A14706" w:rsidP="00A14706">
            <w:pPr>
              <w:pStyle w:val="TableDataEntries"/>
            </w:pPr>
            <w:r>
              <w:t>-0.7</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A14706" w:rsidRDefault="00A14706" w:rsidP="00A14706">
            <w:pPr>
              <w:pStyle w:val="TableDataEntries"/>
            </w:pPr>
            <w:r>
              <w:t>-21.9</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A14706" w:rsidRDefault="00A14706" w:rsidP="00A14706">
            <w:pPr>
              <w:pStyle w:val="TableDataEntries"/>
            </w:pPr>
            <w:r>
              <w:t>-18.7</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A14706" w:rsidRDefault="00A14706" w:rsidP="00A14706">
            <w:pPr>
              <w:pStyle w:val="TableDataEntries"/>
            </w:pPr>
            <w:r>
              <w:t>-6.8</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A14706" w:rsidRDefault="00A14706" w:rsidP="00A14706">
            <w:pPr>
              <w:pStyle w:val="TableDataEntries"/>
            </w:pPr>
            <w:r>
              <w:t>-0.9</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A14706" w:rsidRDefault="00A14706" w:rsidP="00A14706">
            <w:pPr>
              <w:pStyle w:val="TableDataEntries"/>
            </w:pPr>
            <w:r>
              <w:t>-3.7</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hideMark/>
          </w:tcPr>
          <w:p w:rsidR="00A14706" w:rsidRDefault="00A14706">
            <w:pPr>
              <w:pStyle w:val="TableDataEntries"/>
              <w:jc w:val="left"/>
              <w:rPr>
                <w:lang w:eastAsia="en-AU"/>
              </w:rPr>
            </w:pPr>
            <w:r>
              <w:rPr>
                <w:lang w:eastAsia="en-AU"/>
              </w:rPr>
              <w:t>New Zealand</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-3.7</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-16.4</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-14.2</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-10.0</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-4.4</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-5.1</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hideMark/>
          </w:tcPr>
          <w:p w:rsidR="00A14706" w:rsidRDefault="00A14706">
            <w:pPr>
              <w:pStyle w:val="TableDataEntries"/>
              <w:jc w:val="left"/>
              <w:rPr>
                <w:lang w:eastAsia="en-AU"/>
              </w:rPr>
            </w:pPr>
            <w:r>
              <w:rPr>
                <w:lang w:eastAsia="en-AU"/>
              </w:rPr>
              <w:t>Other North Asia</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-1.9</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-17.4</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-18.0</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-6.8</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-2.0</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-3.3</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hideMark/>
          </w:tcPr>
          <w:p w:rsidR="00A14706" w:rsidRDefault="00A14706">
            <w:pPr>
              <w:pStyle w:val="TableDataEntries"/>
              <w:jc w:val="left"/>
              <w:rPr>
                <w:lang w:eastAsia="en-AU"/>
              </w:rPr>
            </w:pPr>
            <w:r>
              <w:rPr>
                <w:lang w:eastAsia="en-AU"/>
              </w:rPr>
              <w:t>United States</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-1.0</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-19.6</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-26.4</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-3.9</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-0.9</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-1.3</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hideMark/>
          </w:tcPr>
          <w:p w:rsidR="00A14706" w:rsidRDefault="00A14706">
            <w:pPr>
              <w:pStyle w:val="TableDataEntries"/>
              <w:jc w:val="left"/>
              <w:rPr>
                <w:lang w:eastAsia="en-AU"/>
              </w:rPr>
            </w:pPr>
            <w:r>
              <w:rPr>
                <w:lang w:eastAsia="en-AU"/>
              </w:rPr>
              <w:t>Rest of World</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-2.9</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-18.0</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-17.5</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-9.9</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-4.0</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-5.2</w:t>
            </w:r>
          </w:p>
        </w:tc>
      </w:tr>
      <w:tr w:rsidR="008B48BB"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tcPr>
          <w:p w:rsidR="008B48BB" w:rsidRDefault="008B48BB" w:rsidP="008B48BB">
            <w:pPr>
              <w:pStyle w:val="TableDataEntries"/>
              <w:jc w:val="left"/>
              <w:rPr>
                <w:lang w:eastAsia="en-AU"/>
              </w:rPr>
            </w:pPr>
            <w:r>
              <w:rPr>
                <w:lang w:eastAsia="en-AU"/>
              </w:rPr>
              <w:t>Global</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8B48BB" w:rsidRDefault="008B48BB" w:rsidP="008B48BB">
            <w:pPr>
              <w:pStyle w:val="TableDataEntries"/>
            </w:pPr>
            <w:r>
              <w:t>-2.0</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8B48BB" w:rsidRDefault="008B48BB" w:rsidP="008B48BB">
            <w:pPr>
              <w:pStyle w:val="TableDataEntries"/>
            </w:pPr>
            <w:r>
              <w:t>-18.8</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8B48BB" w:rsidRDefault="008B48BB" w:rsidP="008B48BB">
            <w:pPr>
              <w:pStyle w:val="TableDataEntries"/>
            </w:pPr>
            <w:r>
              <w:t>-18.8</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8B48BB" w:rsidRDefault="008B48BB" w:rsidP="008B48BB">
            <w:pPr>
              <w:pStyle w:val="TableDataEntries"/>
            </w:pPr>
            <w:r>
              <w:t>-8.1</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8B48BB" w:rsidRDefault="008B48BB" w:rsidP="008B48BB">
            <w:pPr>
              <w:pStyle w:val="TableDataEntries"/>
            </w:pPr>
            <w:r>
              <w:t>-2.8</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8B48BB" w:rsidRDefault="008B48BB" w:rsidP="008B48BB">
            <w:pPr>
              <w:pStyle w:val="TableDataEntries"/>
            </w:pPr>
            <w:r>
              <w:t>-4.1</w:t>
            </w:r>
          </w:p>
        </w:tc>
      </w:tr>
      <w:tr w:rsidR="003B3209" w:rsidTr="00E011C3">
        <w:tc>
          <w:tcPr>
            <w:tcW w:w="7936" w:type="dxa"/>
            <w:gridSpan w:val="7"/>
            <w:tcBorders>
              <w:top w:val="single" w:sz="8" w:space="0" w:color="FFFFFF" w:themeColor="background1"/>
              <w:left w:val="nil"/>
              <w:bottom w:val="single" w:sz="8" w:space="0" w:color="FFFFFF" w:themeColor="background1"/>
              <w:right w:val="nil"/>
            </w:tcBorders>
            <w:shd w:val="clear" w:color="auto" w:fill="E4E0DA" w:themeFill="text2" w:themeFillTint="33"/>
            <w:tcMar>
              <w:top w:w="0" w:type="dxa"/>
              <w:left w:w="57" w:type="dxa"/>
              <w:bottom w:w="0" w:type="dxa"/>
              <w:right w:w="57" w:type="dxa"/>
            </w:tcMar>
            <w:hideMark/>
          </w:tcPr>
          <w:p w:rsidR="003B3209" w:rsidRDefault="00C81C1F" w:rsidP="00CD3640">
            <w:pPr>
              <w:pStyle w:val="TableHeading1"/>
            </w:pPr>
            <w:r>
              <w:t>Simulation 3:</w:t>
            </w:r>
            <w:r w:rsidR="003568F6">
              <w:t xml:space="preserve"> </w:t>
            </w:r>
            <w:r w:rsidR="003B3209">
              <w:t xml:space="preserve">10 per cent decrease in price of </w:t>
            </w:r>
            <w:r w:rsidR="003940AC">
              <w:t xml:space="preserve">all </w:t>
            </w:r>
            <w:r w:rsidR="003B3209">
              <w:t>imports</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hideMark/>
          </w:tcPr>
          <w:p w:rsidR="00A14706" w:rsidRDefault="00A14706">
            <w:pPr>
              <w:pStyle w:val="TableDataEntries"/>
              <w:jc w:val="left"/>
              <w:rPr>
                <w:lang w:eastAsia="en-AU"/>
              </w:rPr>
            </w:pPr>
            <w:r>
              <w:rPr>
                <w:lang w:eastAsia="en-AU"/>
              </w:rPr>
              <w:t>Australia</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0.2</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3.8</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3.0</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1.4</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0.4</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0.6</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hideMark/>
          </w:tcPr>
          <w:p w:rsidR="00A14706" w:rsidRDefault="00A14706">
            <w:pPr>
              <w:pStyle w:val="TableDataEntries"/>
              <w:jc w:val="left"/>
              <w:rPr>
                <w:lang w:eastAsia="en-AU"/>
              </w:rPr>
            </w:pPr>
            <w:r>
              <w:rPr>
                <w:lang w:eastAsia="en-AU"/>
              </w:rPr>
              <w:t>ASEAN</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1.5</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8.6</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8.5</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5.6</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1.9</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3.1</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tcPr>
          <w:p w:rsidR="00A14706" w:rsidRDefault="00A14706">
            <w:pPr>
              <w:pStyle w:val="TableDataEntries"/>
              <w:jc w:val="left"/>
              <w:rPr>
                <w:lang w:eastAsia="en-AU"/>
              </w:rPr>
            </w:pPr>
            <w:r>
              <w:rPr>
                <w:lang w:eastAsia="en-AU"/>
              </w:rPr>
              <w:t>China</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A14706" w:rsidRDefault="00A14706" w:rsidP="00A14706">
            <w:pPr>
              <w:pStyle w:val="TableDataEntries"/>
            </w:pPr>
            <w:r>
              <w:t>0.5</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A14706" w:rsidRDefault="00A14706" w:rsidP="00A14706">
            <w:pPr>
              <w:pStyle w:val="TableDataEntries"/>
            </w:pPr>
            <w:r>
              <w:t>12.7</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A14706" w:rsidRDefault="00A14706" w:rsidP="00A14706">
            <w:pPr>
              <w:pStyle w:val="TableDataEntries"/>
            </w:pPr>
            <w:r>
              <w:t>10.3</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A14706" w:rsidRDefault="00A14706" w:rsidP="00A14706">
            <w:pPr>
              <w:pStyle w:val="TableDataEntries"/>
            </w:pPr>
            <w:r>
              <w:t>3.2</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A14706" w:rsidRDefault="00A14706" w:rsidP="00A14706">
            <w:pPr>
              <w:pStyle w:val="TableDataEntries"/>
            </w:pPr>
            <w:r>
              <w:t>0.7</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tcPr>
          <w:p w:rsidR="00A14706" w:rsidRDefault="00A14706" w:rsidP="00A14706">
            <w:pPr>
              <w:pStyle w:val="TableDataEntries"/>
            </w:pPr>
            <w:r>
              <w:t>1.7</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hideMark/>
          </w:tcPr>
          <w:p w:rsidR="00A14706" w:rsidRDefault="00A14706">
            <w:pPr>
              <w:pStyle w:val="TableDataEntries"/>
              <w:jc w:val="left"/>
              <w:rPr>
                <w:lang w:eastAsia="en-AU"/>
              </w:rPr>
            </w:pPr>
            <w:r>
              <w:rPr>
                <w:lang w:eastAsia="en-AU"/>
              </w:rPr>
              <w:t>New Zealand</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1.6</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5.5</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3.4</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3.2</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1.8</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1.5</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hideMark/>
          </w:tcPr>
          <w:p w:rsidR="00A14706" w:rsidRDefault="00A14706">
            <w:pPr>
              <w:pStyle w:val="TableDataEntries"/>
              <w:jc w:val="left"/>
              <w:rPr>
                <w:lang w:eastAsia="en-AU"/>
              </w:rPr>
            </w:pPr>
            <w:r>
              <w:rPr>
                <w:lang w:eastAsia="en-AU"/>
              </w:rPr>
              <w:t>Other North Asia</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1.3</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7.7</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6.4</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2.7</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1.1</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1.2</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hideMark/>
          </w:tcPr>
          <w:p w:rsidR="00A14706" w:rsidRDefault="00A14706">
            <w:pPr>
              <w:pStyle w:val="TableDataEntries"/>
              <w:jc w:val="left"/>
              <w:rPr>
                <w:lang w:eastAsia="en-AU"/>
              </w:rPr>
            </w:pPr>
            <w:r>
              <w:rPr>
                <w:lang w:eastAsia="en-AU"/>
              </w:rPr>
              <w:t>United States</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0.1</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2.7</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3.6</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0.6</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0.1</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0.2</w:t>
            </w:r>
          </w:p>
        </w:tc>
      </w:tr>
      <w:tr w:rsidR="00A14706" w:rsidTr="00E011C3">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hideMark/>
          </w:tcPr>
          <w:p w:rsidR="00A14706" w:rsidRDefault="00A14706">
            <w:pPr>
              <w:pStyle w:val="TableDataEntries"/>
              <w:jc w:val="left"/>
              <w:rPr>
                <w:lang w:eastAsia="en-AU"/>
              </w:rPr>
            </w:pPr>
            <w:r>
              <w:rPr>
                <w:lang w:eastAsia="en-AU"/>
              </w:rPr>
              <w:t>Rest of World</w:t>
            </w:r>
          </w:p>
        </w:tc>
        <w:tc>
          <w:tcPr>
            <w:tcW w:w="1133"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0.4</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4.1</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4.2</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2.6</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0.8</w:t>
            </w:r>
          </w:p>
        </w:tc>
        <w:tc>
          <w:tcPr>
            <w:tcW w:w="1134" w:type="dxa"/>
            <w:tcBorders>
              <w:top w:val="single" w:sz="8" w:space="0" w:color="FFFFFF" w:themeColor="background1"/>
              <w:left w:val="nil"/>
              <w:bottom w:val="single" w:sz="8" w:space="0" w:color="FFFFFF" w:themeColor="background1"/>
              <w:right w:val="nil"/>
            </w:tcBorders>
            <w:shd w:val="clear" w:color="auto" w:fill="E9E8E5" w:themeFill="background2"/>
            <w:tcMar>
              <w:top w:w="0" w:type="dxa"/>
              <w:left w:w="57" w:type="dxa"/>
              <w:bottom w:w="0" w:type="dxa"/>
              <w:right w:w="57" w:type="dxa"/>
            </w:tcMar>
            <w:vAlign w:val="center"/>
            <w:hideMark/>
          </w:tcPr>
          <w:p w:rsidR="00A14706" w:rsidRDefault="00A14706" w:rsidP="00A14706">
            <w:pPr>
              <w:pStyle w:val="TableDataEntries"/>
            </w:pPr>
            <w:r>
              <w:t>1.2</w:t>
            </w:r>
          </w:p>
        </w:tc>
      </w:tr>
      <w:tr w:rsidR="008B48BB" w:rsidTr="00E011C3">
        <w:tc>
          <w:tcPr>
            <w:tcW w:w="1133" w:type="dxa"/>
            <w:tcBorders>
              <w:top w:val="single" w:sz="8" w:space="0" w:color="FFFFFF" w:themeColor="background1"/>
              <w:left w:val="nil"/>
              <w:bottom w:val="single" w:sz="6" w:space="0" w:color="6F6652"/>
              <w:right w:val="nil"/>
            </w:tcBorders>
            <w:shd w:val="clear" w:color="auto" w:fill="E9E8E5" w:themeFill="background2"/>
            <w:tcMar>
              <w:top w:w="0" w:type="dxa"/>
              <w:left w:w="57" w:type="dxa"/>
              <w:bottom w:w="0" w:type="dxa"/>
              <w:right w:w="57" w:type="dxa"/>
            </w:tcMar>
          </w:tcPr>
          <w:p w:rsidR="008B48BB" w:rsidRDefault="008B48BB" w:rsidP="008B48BB">
            <w:pPr>
              <w:pStyle w:val="TableDataEntries"/>
              <w:jc w:val="left"/>
              <w:rPr>
                <w:lang w:eastAsia="en-AU"/>
              </w:rPr>
            </w:pPr>
            <w:r>
              <w:rPr>
                <w:lang w:eastAsia="en-AU"/>
              </w:rPr>
              <w:t>Global</w:t>
            </w:r>
          </w:p>
        </w:tc>
        <w:tc>
          <w:tcPr>
            <w:tcW w:w="1133" w:type="dxa"/>
            <w:tcBorders>
              <w:top w:val="single" w:sz="8" w:space="0" w:color="FFFFFF" w:themeColor="background1"/>
              <w:left w:val="nil"/>
              <w:bottom w:val="single" w:sz="6" w:space="0" w:color="6F6652"/>
              <w:right w:val="nil"/>
            </w:tcBorders>
            <w:shd w:val="clear" w:color="auto" w:fill="E9E8E5" w:themeFill="background2"/>
            <w:tcMar>
              <w:top w:w="0" w:type="dxa"/>
              <w:left w:w="57" w:type="dxa"/>
              <w:bottom w:w="0" w:type="dxa"/>
              <w:right w:w="57" w:type="dxa"/>
            </w:tcMar>
            <w:vAlign w:val="center"/>
          </w:tcPr>
          <w:p w:rsidR="008B48BB" w:rsidRDefault="008B48BB" w:rsidP="008B48BB">
            <w:pPr>
              <w:pStyle w:val="TableDataEntries"/>
            </w:pPr>
            <w:r>
              <w:t>0.5</w:t>
            </w:r>
          </w:p>
        </w:tc>
        <w:tc>
          <w:tcPr>
            <w:tcW w:w="1134" w:type="dxa"/>
            <w:tcBorders>
              <w:top w:val="single" w:sz="8" w:space="0" w:color="FFFFFF" w:themeColor="background1"/>
              <w:left w:val="nil"/>
              <w:bottom w:val="single" w:sz="6" w:space="0" w:color="6F6652"/>
              <w:right w:val="nil"/>
            </w:tcBorders>
            <w:shd w:val="clear" w:color="auto" w:fill="E9E8E5" w:themeFill="background2"/>
            <w:tcMar>
              <w:top w:w="0" w:type="dxa"/>
              <w:left w:w="57" w:type="dxa"/>
              <w:bottom w:w="0" w:type="dxa"/>
              <w:right w:w="57" w:type="dxa"/>
            </w:tcMar>
            <w:vAlign w:val="center"/>
          </w:tcPr>
          <w:p w:rsidR="008B48BB" w:rsidRDefault="008B48BB" w:rsidP="008B48BB">
            <w:pPr>
              <w:pStyle w:val="TableDataEntries"/>
            </w:pPr>
            <w:r>
              <w:t>5.1</w:t>
            </w:r>
          </w:p>
        </w:tc>
        <w:tc>
          <w:tcPr>
            <w:tcW w:w="1134" w:type="dxa"/>
            <w:tcBorders>
              <w:top w:val="single" w:sz="8" w:space="0" w:color="FFFFFF" w:themeColor="background1"/>
              <w:left w:val="nil"/>
              <w:bottom w:val="single" w:sz="6" w:space="0" w:color="6F6652"/>
              <w:right w:val="nil"/>
            </w:tcBorders>
            <w:shd w:val="clear" w:color="auto" w:fill="E9E8E5" w:themeFill="background2"/>
            <w:tcMar>
              <w:top w:w="0" w:type="dxa"/>
              <w:left w:w="57" w:type="dxa"/>
              <w:bottom w:w="0" w:type="dxa"/>
              <w:right w:w="57" w:type="dxa"/>
            </w:tcMar>
            <w:vAlign w:val="center"/>
          </w:tcPr>
          <w:p w:rsidR="008B48BB" w:rsidRDefault="008B48BB" w:rsidP="008B48BB">
            <w:pPr>
              <w:pStyle w:val="TableDataEntries"/>
            </w:pPr>
            <w:r>
              <w:t>5.1</w:t>
            </w:r>
          </w:p>
        </w:tc>
        <w:tc>
          <w:tcPr>
            <w:tcW w:w="1134" w:type="dxa"/>
            <w:tcBorders>
              <w:top w:val="single" w:sz="8" w:space="0" w:color="FFFFFF" w:themeColor="background1"/>
              <w:left w:val="nil"/>
              <w:bottom w:val="single" w:sz="6" w:space="0" w:color="6F6652"/>
              <w:right w:val="nil"/>
            </w:tcBorders>
            <w:shd w:val="clear" w:color="auto" w:fill="E9E8E5" w:themeFill="background2"/>
            <w:tcMar>
              <w:top w:w="0" w:type="dxa"/>
              <w:left w:w="57" w:type="dxa"/>
              <w:bottom w:w="0" w:type="dxa"/>
              <w:right w:w="57" w:type="dxa"/>
            </w:tcMar>
            <w:vAlign w:val="center"/>
          </w:tcPr>
          <w:p w:rsidR="008B48BB" w:rsidRDefault="008B48BB" w:rsidP="008B48BB">
            <w:pPr>
              <w:pStyle w:val="TableDataEntries"/>
            </w:pPr>
            <w:r>
              <w:t>2.5</w:t>
            </w:r>
          </w:p>
        </w:tc>
        <w:tc>
          <w:tcPr>
            <w:tcW w:w="1134" w:type="dxa"/>
            <w:tcBorders>
              <w:top w:val="single" w:sz="8" w:space="0" w:color="FFFFFF" w:themeColor="background1"/>
              <w:left w:val="nil"/>
              <w:bottom w:val="single" w:sz="6" w:space="0" w:color="6F6652"/>
              <w:right w:val="nil"/>
            </w:tcBorders>
            <w:shd w:val="clear" w:color="auto" w:fill="E9E8E5" w:themeFill="background2"/>
            <w:tcMar>
              <w:top w:w="0" w:type="dxa"/>
              <w:left w:w="57" w:type="dxa"/>
              <w:bottom w:w="0" w:type="dxa"/>
              <w:right w:w="57" w:type="dxa"/>
            </w:tcMar>
            <w:vAlign w:val="center"/>
          </w:tcPr>
          <w:p w:rsidR="008B48BB" w:rsidRDefault="008B48BB" w:rsidP="008B48BB">
            <w:pPr>
              <w:pStyle w:val="TableDataEntries"/>
            </w:pPr>
            <w:r>
              <w:t>0.7</w:t>
            </w:r>
          </w:p>
        </w:tc>
        <w:tc>
          <w:tcPr>
            <w:tcW w:w="1134" w:type="dxa"/>
            <w:tcBorders>
              <w:top w:val="single" w:sz="8" w:space="0" w:color="FFFFFF" w:themeColor="background1"/>
              <w:left w:val="nil"/>
              <w:bottom w:val="single" w:sz="6" w:space="0" w:color="6F6652"/>
              <w:right w:val="nil"/>
            </w:tcBorders>
            <w:shd w:val="clear" w:color="auto" w:fill="E9E8E5" w:themeFill="background2"/>
            <w:tcMar>
              <w:top w:w="0" w:type="dxa"/>
              <w:left w:w="57" w:type="dxa"/>
              <w:bottom w:w="0" w:type="dxa"/>
              <w:right w:w="57" w:type="dxa"/>
            </w:tcMar>
            <w:vAlign w:val="center"/>
          </w:tcPr>
          <w:p w:rsidR="008B48BB" w:rsidRDefault="008B48BB" w:rsidP="008B48BB">
            <w:pPr>
              <w:pStyle w:val="TableDataEntries"/>
            </w:pPr>
            <w:r>
              <w:t>1.1</w:t>
            </w:r>
          </w:p>
        </w:tc>
      </w:tr>
    </w:tbl>
    <w:p w:rsidR="003B3209" w:rsidRDefault="003B3209" w:rsidP="003B3209">
      <w:pPr>
        <w:pStyle w:val="Source"/>
      </w:pPr>
      <w:r w:rsidRPr="007F4F56">
        <w:rPr>
          <w:i/>
        </w:rPr>
        <w:t>Source:</w:t>
      </w:r>
      <w:r w:rsidRPr="007F4F56">
        <w:t xml:space="preserve"> </w:t>
      </w:r>
      <w:r w:rsidR="00977A31" w:rsidRPr="007F4F56">
        <w:t>CIE analysis using the GTAP model</w:t>
      </w:r>
      <w:r w:rsidR="0090302A">
        <w:t>.</w:t>
      </w:r>
    </w:p>
    <w:p w:rsidR="003B3209" w:rsidRDefault="003B3209" w:rsidP="003B3209">
      <w:pPr>
        <w:pStyle w:val="BodyText"/>
      </w:pPr>
      <w:r>
        <w:t>Also apparent from table </w:t>
      </w:r>
      <w:fldSimple w:instr=" REF _Caption0069 ">
        <w:r w:rsidR="00AB4D5D">
          <w:rPr>
            <w:noProof/>
          </w:rPr>
          <w:t>4</w:t>
        </w:r>
        <w:r w:rsidR="00AB4D5D" w:rsidRPr="007F4F56">
          <w:rPr>
            <w:noProof/>
          </w:rPr>
          <w:t>.</w:t>
        </w:r>
        <w:r w:rsidR="00AB4D5D">
          <w:rPr>
            <w:noProof/>
          </w:rPr>
          <w:t>1</w:t>
        </w:r>
      </w:fldSimple>
      <w:r>
        <w:t xml:space="preserve"> is that those countries more heavily trade orientated, such as the ASEAN group of countries, stand to incur large economic losses from even a small increase in global protection. As can be seen from chart </w:t>
      </w:r>
      <w:fldSimple w:instr=" REF _Caption9851 ">
        <w:r w:rsidR="00AB4D5D">
          <w:rPr>
            <w:noProof/>
          </w:rPr>
          <w:t>4.2</w:t>
        </w:r>
      </w:fldSimple>
      <w:r>
        <w:t xml:space="preserve">, merchandise trade is less important to countries such as Australia and the US, with the increase in tariffs </w:t>
      </w:r>
      <w:r w:rsidR="00462EDB">
        <w:t xml:space="preserve">consequently </w:t>
      </w:r>
      <w:r>
        <w:t xml:space="preserve">having a smaller </w:t>
      </w:r>
      <w:r w:rsidR="00462EDB">
        <w:t xml:space="preserve">(but still negative) </w:t>
      </w:r>
      <w:r>
        <w:t>impact on these countries.</w:t>
      </w:r>
    </w:p>
    <w:p w:rsidR="003B3209" w:rsidRDefault="003B3209" w:rsidP="003B3209">
      <w:pPr>
        <w:pStyle w:val="Caption"/>
        <w:numPr>
          <w:ilvl w:val="0"/>
          <w:numId w:val="23"/>
        </w:numPr>
      </w:pPr>
      <w:r>
        <w:fldChar w:fldCharType="begin"/>
      </w:r>
      <w:r>
        <w:instrText xml:space="preserve"> IF 1 = 1 "</w:instrText>
      </w:r>
      <w:r>
        <w:fldChar w:fldCharType="begin"/>
      </w:r>
      <w:r>
        <w:instrText xml:space="preserve"> IF </w:instrText>
      </w:r>
      <w:fldSimple w:instr=" STYLEREF &quot;Heading 6&quot; \l \n ">
        <w:r w:rsidR="00AB4D5D">
          <w:rPr>
            <w:noProof/>
          </w:rPr>
          <w:instrText>0</w:instrText>
        </w:r>
      </w:fldSimple>
      <w:r>
        <w:instrText xml:space="preserve"> = 0 "</w:instrText>
      </w:r>
      <w:r>
        <w:fldChar w:fldCharType="begin"/>
      </w:r>
      <w:r>
        <w:instrText xml:space="preserve"> IF </w:instrText>
      </w:r>
      <w:fldSimple w:instr=" STYLEREF &quot;Heading 1&quot; \l \n ">
        <w:r w:rsidR="00AB4D5D">
          <w:rPr>
            <w:noProof/>
          </w:rPr>
          <w:instrText>4</w:instrText>
        </w:r>
      </w:fldSimple>
      <w:r>
        <w:instrText xml:space="preserve"> = 0 "" "</w:instrText>
      </w:r>
      <w:fldSimple w:instr=" STYLEREF &quot;Heading 1&quot; \l \n ">
        <w:r w:rsidR="00AB4D5D">
          <w:rPr>
            <w:noProof/>
          </w:rPr>
          <w:instrText>4</w:instrText>
        </w:r>
      </w:fldSimple>
      <w:r>
        <w:instrText xml:space="preserve">." </w:instrText>
      </w:r>
      <w:r>
        <w:fldChar w:fldCharType="separate"/>
      </w:r>
      <w:r w:rsidR="00AB4D5D">
        <w:rPr>
          <w:noProof/>
        </w:rPr>
        <w:instrText>4.</w:instrText>
      </w:r>
      <w:r>
        <w:fldChar w:fldCharType="end"/>
      </w:r>
      <w:r>
        <w:instrText>" "</w:instrText>
      </w:r>
      <w:fldSimple w:instr=" STYLEREF &quot;Heading 6&quot; \l \n ">
        <w:r>
          <w:rPr>
            <w:noProof/>
          </w:rPr>
          <w:instrText>A</w:instrText>
        </w:r>
      </w:fldSimple>
      <w:r>
        <w:instrText xml:space="preserve">." </w:instrText>
      </w:r>
      <w:r>
        <w:fldChar w:fldCharType="separate"/>
      </w:r>
      <w:r w:rsidR="0025761E">
        <w:rPr>
          <w:noProof/>
        </w:rPr>
        <w:instrText>4.</w:instrText>
      </w:r>
      <w:r>
        <w:fldChar w:fldCharType="end"/>
      </w:r>
      <w:r>
        <w:fldChar w:fldCharType="begin"/>
      </w:r>
      <w:r>
        <w:instrText xml:space="preserve"> SEQ Item \* ARABIC \s </w:instrText>
      </w:r>
      <w:r>
        <w:fldChar w:fldCharType="begin"/>
      </w:r>
      <w:r>
        <w:instrText xml:space="preserve"> IF </w:instrText>
      </w:r>
      <w:fldSimple w:instr=" STYLEREF &quot;Heading 6&quot; \l \n ">
        <w:r w:rsidR="00AB4D5D">
          <w:rPr>
            <w:noProof/>
          </w:rPr>
          <w:instrText>0</w:instrText>
        </w:r>
      </w:fldSimple>
      <w:r>
        <w:instrText xml:space="preserve"> = 0 "</w:instrText>
      </w:r>
      <w:r>
        <w:fldChar w:fldCharType="begin"/>
      </w:r>
      <w:r>
        <w:instrText xml:space="preserve"> IF </w:instrText>
      </w:r>
      <w:fldSimple w:instr=" STYLEREF &quot;Heading 1&quot; \l \n ">
        <w:r w:rsidR="00AB4D5D">
          <w:rPr>
            <w:noProof/>
          </w:rPr>
          <w:instrText>4</w:instrText>
        </w:r>
      </w:fldSimple>
      <w:r>
        <w:instrText xml:space="preserve"> = 0 "" "1" </w:instrText>
      </w:r>
      <w:r>
        <w:fldChar w:fldCharType="separate"/>
      </w:r>
      <w:r w:rsidR="0025761E">
        <w:rPr>
          <w:noProof/>
        </w:rPr>
        <w:instrText>1</w:instrText>
      </w:r>
      <w:r>
        <w:fldChar w:fldCharType="end"/>
      </w:r>
      <w:r>
        <w:instrText xml:space="preserve">" "6" </w:instrText>
      </w:r>
      <w:r>
        <w:fldChar w:fldCharType="separate"/>
      </w:r>
      <w:r w:rsidR="0025761E">
        <w:rPr>
          <w:noProof/>
        </w:rPr>
        <w:instrText>1</w:instrText>
      </w:r>
      <w:r>
        <w:fldChar w:fldCharType="end"/>
      </w:r>
      <w:r>
        <w:instrText xml:space="preserve"> </w:instrText>
      </w:r>
      <w:r>
        <w:fldChar w:fldCharType="separate"/>
      </w:r>
      <w:r w:rsidR="00AB4D5D">
        <w:rPr>
          <w:noProof/>
        </w:rPr>
        <w:instrText>2</w:instrText>
      </w:r>
      <w:r>
        <w:fldChar w:fldCharType="end"/>
      </w:r>
      <w:r>
        <w:instrText xml:space="preserve">" "" </w:instrText>
      </w:r>
      <w:r>
        <w:fldChar w:fldCharType="separate"/>
      </w:r>
      <w:bookmarkStart w:id="250" w:name="_Caption7503"/>
      <w:bookmarkStart w:id="251" w:name="_Caption9350"/>
      <w:bookmarkStart w:id="252" w:name="_Caption3027"/>
      <w:bookmarkStart w:id="253" w:name="_Caption3458"/>
      <w:bookmarkStart w:id="254" w:name="_Caption4598"/>
      <w:bookmarkStart w:id="255" w:name="_Caption5509"/>
      <w:bookmarkStart w:id="256" w:name="_Caption3958"/>
      <w:bookmarkStart w:id="257" w:name="_Caption6904"/>
      <w:bookmarkStart w:id="258" w:name="_Caption4827"/>
      <w:bookmarkStart w:id="259" w:name="_Caption2558"/>
      <w:bookmarkStart w:id="260" w:name="_Caption1221"/>
      <w:bookmarkStart w:id="261" w:name="_Caption9919"/>
      <w:bookmarkStart w:id="262" w:name="_Caption9851"/>
      <w:bookmarkStart w:id="263" w:name="_Caption8581"/>
      <w:bookmarkStart w:id="264" w:name="_Caption3588"/>
      <w:bookmarkStart w:id="265" w:name="_Caption3399"/>
      <w:bookmarkStart w:id="266" w:name="_Caption6578"/>
      <w:bookmarkStart w:id="267" w:name="_Caption8290"/>
      <w:bookmarkStart w:id="268" w:name="_Caption3974"/>
      <w:bookmarkStart w:id="269" w:name="_Caption5599"/>
      <w:bookmarkStart w:id="270" w:name="_Caption8515"/>
      <w:bookmarkStart w:id="271" w:name="_Caption7705"/>
      <w:bookmarkStart w:id="272" w:name="_Caption5874"/>
      <w:bookmarkStart w:id="273" w:name="_Caption0447"/>
      <w:bookmarkStart w:id="274" w:name="_Caption9385"/>
      <w:bookmarkStart w:id="275" w:name="_Toc494120828"/>
      <w:r w:rsidR="0025761E">
        <w:rPr>
          <w:noProof/>
        </w:rPr>
        <w:t>4.2</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fldChar w:fldCharType="end"/>
      </w:r>
      <w:r>
        <w:tab/>
        <w:t>Merchandise trade in 2015 as a share of GDP</w:t>
      </w:r>
      <w:r w:rsidR="00462EDB">
        <w:t xml:space="preserve"> — various countries and regions</w:t>
      </w:r>
      <w:bookmarkEnd w:id="275"/>
    </w:p>
    <w:tbl>
      <w:tblPr>
        <w:tblStyle w:val="TableGrid"/>
        <w:tblW w:w="7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5"/>
      </w:tblGrid>
      <w:tr w:rsidR="003B3209" w:rsidTr="003B3209">
        <w:trPr>
          <w:cantSplit/>
        </w:trPr>
        <w:tc>
          <w:tcPr>
            <w:tcW w:w="7938" w:type="dxa"/>
            <w:shd w:val="clear" w:color="auto" w:fill="E9E8E5" w:themeFill="background2"/>
            <w:hideMark/>
          </w:tcPr>
          <w:p w:rsidR="003B3209" w:rsidRDefault="00A63E5F" w:rsidP="00A63E5F">
            <w:pPr>
              <w:pStyle w:val="Chart"/>
              <w:spacing w:after="60"/>
              <w:jc w:val="center"/>
              <w:rPr>
                <w:lang w:eastAsia="en-AU"/>
              </w:rPr>
            </w:pPr>
            <w:r>
              <w:rPr>
                <w:noProof/>
                <w:lang w:eastAsia="en-AU"/>
              </w:rPr>
              <w:drawing>
                <wp:inline distT="0" distB="0" distL="0" distR="0">
                  <wp:extent cx="4874260" cy="2822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74260" cy="2822575"/>
                          </a:xfrm>
                          <a:prstGeom prst="rect">
                            <a:avLst/>
                          </a:prstGeom>
                          <a:noFill/>
                          <a:ln>
                            <a:noFill/>
                          </a:ln>
                        </pic:spPr>
                      </pic:pic>
                    </a:graphicData>
                  </a:graphic>
                </wp:inline>
              </w:drawing>
            </w:r>
          </w:p>
        </w:tc>
      </w:tr>
    </w:tbl>
    <w:p w:rsidR="003B3209" w:rsidRDefault="003B3209" w:rsidP="003B3209">
      <w:pPr>
        <w:pStyle w:val="Source"/>
      </w:pPr>
      <w:r>
        <w:rPr>
          <w:i/>
        </w:rPr>
        <w:t>Data source:</w:t>
      </w:r>
      <w:r>
        <w:t xml:space="preserve"> World Bank World Development Indicators.</w:t>
      </w:r>
    </w:p>
    <w:p w:rsidR="003B3209" w:rsidRDefault="00462EDB" w:rsidP="003B3209">
      <w:pPr>
        <w:pStyle w:val="BodyText"/>
      </w:pPr>
      <w:r>
        <w:t xml:space="preserve">If </w:t>
      </w:r>
      <w:r w:rsidR="003B3209">
        <w:t xml:space="preserve">Australia </w:t>
      </w:r>
      <w:r>
        <w:t xml:space="preserve">were to </w:t>
      </w:r>
      <w:r w:rsidR="003B3209">
        <w:t>raise its tariff barriers</w:t>
      </w:r>
      <w:r>
        <w:t xml:space="preserve"> in the manner simulated here</w:t>
      </w:r>
      <w:r w:rsidR="003B3209">
        <w:t xml:space="preserve">, merchandise imports </w:t>
      </w:r>
      <w:r>
        <w:t>would</w:t>
      </w:r>
      <w:r w:rsidR="003B3209">
        <w:t xml:space="preserve"> </w:t>
      </w:r>
      <w:r>
        <w:t>fall,</w:t>
      </w:r>
      <w:r w:rsidR="003B3209">
        <w:t xml:space="preserve"> as they will now be more expensive. Imports are also used by local Australian businesses in the production of their goods and services, with some of those goods and services being exported. The increasing cost of imports sees Australian exports also becoming more expensive and hence less competitive internationally. </w:t>
      </w:r>
      <w:r>
        <w:t>Crucially, therefore, i</w:t>
      </w:r>
      <w:r w:rsidR="003B3209">
        <w:t xml:space="preserve">ncreasing Australian tariffs sees a fall in Australian exports </w:t>
      </w:r>
      <w:r>
        <w:t xml:space="preserve">also </w:t>
      </w:r>
      <w:r w:rsidR="003B3209">
        <w:t xml:space="preserve">(reinforcing the idea that tariffs act as a tax on exports). With our trading partners also increasing their tariffs, Australian exports will obviously be </w:t>
      </w:r>
      <w:r>
        <w:t xml:space="preserve">even </w:t>
      </w:r>
      <w:r w:rsidR="003B3209">
        <w:t xml:space="preserve">less competitive in foreign markets, further </w:t>
      </w:r>
      <w:r>
        <w:t>reducing Australian</w:t>
      </w:r>
      <w:r w:rsidR="003B3209">
        <w:t xml:space="preserve"> exports.</w:t>
      </w:r>
    </w:p>
    <w:p w:rsidR="003B3209" w:rsidRDefault="003B3209" w:rsidP="003B3209">
      <w:pPr>
        <w:pStyle w:val="BodyText"/>
      </w:pPr>
      <w:r>
        <w:t xml:space="preserve">Increasing protection sees distortions (allocative inefficiencies) being introduced into the Australian economy, culminating in capital earning a lower return and therefore making Australia a less attractive destination for </w:t>
      </w:r>
      <w:r w:rsidRPr="00514DEA">
        <w:t>investment.</w:t>
      </w:r>
      <w:r w:rsidR="00514DEA" w:rsidRPr="00514DEA">
        <w:t xml:space="preserve"> In the short run</w:t>
      </w:r>
      <w:r w:rsidR="00FA30FE">
        <w:rPr>
          <w:rStyle w:val="FootnoteReference"/>
        </w:rPr>
        <w:footnoteReference w:id="19"/>
      </w:r>
      <w:r w:rsidR="00514DEA" w:rsidRPr="00514DEA">
        <w:t xml:space="preserve">, increased protection could lead to a decline in employment of up to 2.2 per cent, or up to 270 000 jobs. Over time, however, real wages are expected to decline and employment increase back to the level before the change in protection. </w:t>
      </w:r>
      <w:r w:rsidRPr="00514DEA">
        <w:t>Lower</w:t>
      </w:r>
      <w:r>
        <w:t xml:space="preserve"> exports and investment is associated with increasing </w:t>
      </w:r>
      <w:r w:rsidR="004842B7">
        <w:t xml:space="preserve">short term </w:t>
      </w:r>
      <w:r>
        <w:t>unemploy</w:t>
      </w:r>
      <w:r w:rsidR="004842B7">
        <w:t>ment and</w:t>
      </w:r>
      <w:r>
        <w:t xml:space="preserve"> </w:t>
      </w:r>
      <w:r w:rsidR="00674BD0">
        <w:t xml:space="preserve">persistent </w:t>
      </w:r>
      <w:r>
        <w:t>lower wages</w:t>
      </w:r>
      <w:r w:rsidR="00514DEA">
        <w:t xml:space="preserve"> over the longer term</w:t>
      </w:r>
      <w:r>
        <w:t>, which in turn sees household income falling. Lower disposable income combined with higher import and local production costs see household consumption falling. Falling exports, investment and household consumption combine to see a contraction in Australian GDP</w:t>
      </w:r>
      <w:r w:rsidR="003644A9">
        <w:t xml:space="preserve"> compared to without the increased protection</w:t>
      </w:r>
      <w:r>
        <w:t>.</w:t>
      </w:r>
    </w:p>
    <w:p w:rsidR="00D1208F" w:rsidRPr="004D302D" w:rsidRDefault="003B3209" w:rsidP="004D302D">
      <w:pPr>
        <w:pStyle w:val="BodyText"/>
      </w:pPr>
      <w:r w:rsidRPr="004D302D">
        <w:t>In contrast to increasing trade barriers, further liberalising merchandise trade acts to grow economic activity. As can be seen from table </w:t>
      </w:r>
      <w:r w:rsidR="00D1208F" w:rsidRPr="004D302D">
        <w:fldChar w:fldCharType="begin"/>
      </w:r>
      <w:r w:rsidR="00D1208F" w:rsidRPr="004D302D">
        <w:instrText xml:space="preserve"> REF _Caption2453 </w:instrText>
      </w:r>
      <w:r w:rsidR="004D302D">
        <w:instrText xml:space="preserve"> \* MERGEFORMAT </w:instrText>
      </w:r>
      <w:r w:rsidR="00D1208F" w:rsidRPr="004D302D">
        <w:fldChar w:fldCharType="separate"/>
      </w:r>
      <w:r w:rsidR="00AB4D5D">
        <w:t>4</w:t>
      </w:r>
      <w:r w:rsidR="00AB4D5D" w:rsidRPr="007F4F56">
        <w:t>.</w:t>
      </w:r>
      <w:r w:rsidR="00AB4D5D">
        <w:t>1</w:t>
      </w:r>
      <w:r w:rsidR="00D1208F" w:rsidRPr="004D302D">
        <w:fldChar w:fldCharType="end"/>
      </w:r>
      <w:r w:rsidRPr="004D302D">
        <w:t>, lowering tariffs sees increases in all of the (reported) key economic indicators.</w:t>
      </w:r>
      <w:r w:rsidR="00D1208F" w:rsidRPr="004D302D">
        <w:t xml:space="preserve"> The modelling suggests that lowering tariffs such that import prices fall by 10 per cent across the world will see real GDP in Australia being 0.6 per cent higher, and 1.1 per cent higher globally.</w:t>
      </w:r>
    </w:p>
    <w:p w:rsidR="003B3209" w:rsidRDefault="004D302D" w:rsidP="003B3209">
      <w:pPr>
        <w:pStyle w:val="BodyText"/>
      </w:pPr>
      <w:r>
        <w:t>The l</w:t>
      </w:r>
      <w:r w:rsidR="003B3209">
        <w:t xml:space="preserve">ower priced imports improve the competitive position of exports, improve allocative efficiency and make </w:t>
      </w:r>
      <w:r>
        <w:t>an</w:t>
      </w:r>
      <w:r w:rsidR="003B3209">
        <w:t xml:space="preserve"> economy a more attractive investment destination, with the increased exports and investment seeing a </w:t>
      </w:r>
      <w:r w:rsidR="004842B7">
        <w:t xml:space="preserve">short run </w:t>
      </w:r>
      <w:r w:rsidR="003B3209">
        <w:t xml:space="preserve">fall in unemployment </w:t>
      </w:r>
      <w:r w:rsidR="004842B7">
        <w:t>and a</w:t>
      </w:r>
      <w:r w:rsidR="00674BD0">
        <w:t xml:space="preserve"> lasting </w:t>
      </w:r>
      <w:r w:rsidR="004842B7">
        <w:t xml:space="preserve">increase in </w:t>
      </w:r>
      <w:r w:rsidR="003B3209">
        <w:t>wages</w:t>
      </w:r>
      <w:r w:rsidR="003B3209" w:rsidRPr="00514DEA">
        <w:t xml:space="preserve">. </w:t>
      </w:r>
      <w:r w:rsidR="00514DEA" w:rsidRPr="00514DEA">
        <w:t xml:space="preserve">In the short run, lower protection could increase the number of jobs in Australia by up to 1.2 per cent, or 146 000 jobs. Employment will return to </w:t>
      </w:r>
      <w:r w:rsidR="00514DEA">
        <w:t>the baseline level</w:t>
      </w:r>
      <w:r w:rsidR="00514DEA" w:rsidRPr="00514DEA">
        <w:t xml:space="preserve"> as wages increase over time. </w:t>
      </w:r>
      <w:r w:rsidR="003B3209" w:rsidRPr="00514DEA">
        <w:t>As household income</w:t>
      </w:r>
      <w:r w:rsidR="003B3209">
        <w:t xml:space="preserve"> rises so too does household consumption. Greater exports, investment and household consumption combine to see an increase in Australian GDP.</w:t>
      </w:r>
    </w:p>
    <w:p w:rsidR="003B3209" w:rsidRDefault="003B3209" w:rsidP="003B3209">
      <w:pPr>
        <w:pStyle w:val="BodyText"/>
      </w:pPr>
    </w:p>
    <w:p w:rsidR="00305683" w:rsidRDefault="00FF578E" w:rsidP="00C96F7B">
      <w:pPr>
        <w:pStyle w:val="Heading6"/>
      </w:pPr>
      <w:bookmarkStart w:id="276" w:name="_Toc494120817"/>
      <w:r>
        <w:t>Understanding Australia’s tariff schedule</w:t>
      </w:r>
      <w:bookmarkEnd w:id="276"/>
    </w:p>
    <w:p w:rsidR="00C20A4D" w:rsidRPr="009D3F73" w:rsidRDefault="00C20A4D" w:rsidP="00C20A4D">
      <w:pPr>
        <w:pStyle w:val="BodyText"/>
      </w:pPr>
      <w:r>
        <w:t xml:space="preserve">Tariff schedules are, in general, complex documents and Australia’s tariff system is no different. </w:t>
      </w:r>
      <w:r w:rsidR="00B87855">
        <w:t xml:space="preserve">Based as it is on the Harmonized Commodity Description and Coding System (HS system) international standard, </w:t>
      </w:r>
      <w:r>
        <w:t>Australia’s tariff schedule identifies over 6000 different product categories. There is also a different tariff schedule for each preference arrangement Australia has in place. That is, a schedule for each partner under a bilateral or regional trade agreement, and a separate schedule for each category under Australia’s Generalised System of Preferences arrangements</w:t>
      </w:r>
      <w:r w:rsidRPr="009D3F73">
        <w:t xml:space="preserve">. </w:t>
      </w:r>
      <w:r w:rsidR="009D3F73" w:rsidRPr="009D3F73">
        <w:t xml:space="preserve">Across all preference arrangements, </w:t>
      </w:r>
      <w:r w:rsidRPr="009D3F73">
        <w:t xml:space="preserve">Australia had over 84 000 </w:t>
      </w:r>
      <w:r w:rsidR="009D3F73" w:rsidRPr="009D3F73">
        <w:t xml:space="preserve">lines of </w:t>
      </w:r>
      <w:r w:rsidRPr="009D3F73">
        <w:t xml:space="preserve">tariff </w:t>
      </w:r>
      <w:r w:rsidR="009D3F73" w:rsidRPr="009D3F73">
        <w:t>schedule</w:t>
      </w:r>
      <w:r w:rsidRPr="009D3F73">
        <w:t xml:space="preserve"> in 201</w:t>
      </w:r>
      <w:r w:rsidR="00514D4B">
        <w:t xml:space="preserve"> </w:t>
      </w:r>
      <w:r w:rsidRPr="009D3F73">
        <w:t>6.</w:t>
      </w:r>
    </w:p>
    <w:p w:rsidR="00C20A4D" w:rsidRDefault="00C20A4D" w:rsidP="00C20A4D">
      <w:pPr>
        <w:pStyle w:val="BodyText"/>
      </w:pPr>
      <w:r>
        <w:t>Australia’s preference arrangements currently comprise five preference categories: Least Developed Country (LDC), Forum Island Country (FIC), Developing Country (DC), Developing Country Status (DCS), and Developing Country Category T (DCT).</w:t>
      </w:r>
      <w:r w:rsidR="00C37F83">
        <w:rPr>
          <w:rStyle w:val="FootnoteReference"/>
        </w:rPr>
        <w:footnoteReference w:id="20"/>
      </w:r>
      <w:r>
        <w:t xml:space="preserve"> Some countries face multiple tariff schedules. For example, imports from Malaysia could enter Australia under three alternative preferential tariff schedules: the Malaysia-Australia FTA, the ASEAN-Australia-NZ FTA, or the DCS schedule.</w:t>
      </w:r>
    </w:p>
    <w:p w:rsidR="00C20A4D" w:rsidRDefault="00C20A4D" w:rsidP="00C20A4D">
      <w:pPr>
        <w:pStyle w:val="BodyText"/>
      </w:pPr>
      <w:r>
        <w:t>In addition to preferential tarif</w:t>
      </w:r>
      <w:r w:rsidR="00A13A6A">
        <w:t>fs, there are currently over 15 </w:t>
      </w:r>
      <w:r>
        <w:t>000 Tariff Concession Orders. These orders provide importers an exemption from import duties where particular conditions are met, such as where there are no known Australian manufacturers of goods that are substitutable for imported goods.</w:t>
      </w:r>
      <w:r>
        <w:rPr>
          <w:rStyle w:val="FootnoteReference"/>
        </w:rPr>
        <w:footnoteReference w:id="21"/>
      </w:r>
      <w:r>
        <w:t xml:space="preserve"> The applicability of these orders can change at any time. Individual importers can apply for a concession, and once in place the concession may be applied to any qualifying imports. Domestic manufacturers, however, may seek to revoke concession orders at any time. Other tariff concessions also apply to goods donated to charity organisations and products imported under policy by-laws (such as those applying in the TCF sector) as intermediate inputs to domestic production.</w:t>
      </w:r>
    </w:p>
    <w:p w:rsidR="00C20A4D" w:rsidRDefault="00C20A4D" w:rsidP="00C20A4D">
      <w:pPr>
        <w:pStyle w:val="BodyText"/>
      </w:pPr>
      <w:r>
        <w:t>For a range of reasons, not all importers make use of preferential tariff rates made available through the various bilateral or regional trade agreements. For example, an importer may conclude that the costs associated with establishing the country of origin required to make use of the preferential rate are greater than the ben</w:t>
      </w:r>
      <w:r w:rsidR="00A13A6A">
        <w:t xml:space="preserve">efits of the preferential rate; some traders do not know they require origin certificates to make use of preferential rates; and some goods do not meet origin requirements of the agreements. </w:t>
      </w:r>
      <w:r>
        <w:t>The rate of utilisation of preferential rates is an area that requires further research.</w:t>
      </w:r>
      <w:r>
        <w:rPr>
          <w:rStyle w:val="FootnoteReference"/>
        </w:rPr>
        <w:footnoteReference w:id="22"/>
      </w:r>
    </w:p>
    <w:p w:rsidR="00C20A4D" w:rsidRPr="00A13A6A" w:rsidRDefault="00C20A4D" w:rsidP="00A13A6A">
      <w:pPr>
        <w:pStyle w:val="BodyText"/>
        <w:rPr>
          <w:rStyle w:val="DraftingNote"/>
          <w:b w:val="0"/>
          <w:color w:val="auto"/>
          <w:u w:val="none"/>
        </w:rPr>
      </w:pPr>
      <w:r w:rsidRPr="00A13A6A">
        <w:rPr>
          <w:rStyle w:val="DraftingNote"/>
          <w:b w:val="0"/>
          <w:color w:val="auto"/>
          <w:u w:val="none"/>
        </w:rPr>
        <w:t>The various tariff concessions available, the complications of different tariff schedules, and less than comprehensive utilisation of preferential tariffs, mean that precise calculation of Australia’s effective tariff rate is difficult. A bottom-up approach based on individual tariff rates under various preferential arrangements and trade data results in an estimated value of import duties somewhat different to the official revenue accounts.</w:t>
      </w:r>
      <w:r w:rsidR="00A13A6A" w:rsidRPr="00A13A6A">
        <w:rPr>
          <w:rStyle w:val="DraftingNote"/>
          <w:b w:val="0"/>
          <w:color w:val="auto"/>
          <w:u w:val="none"/>
        </w:rPr>
        <w:t xml:space="preserve"> A top-down approach, using the value of imports and duty collected has been used in this report to establish the average effective tariff rate applied in Australia over the past 30 years (as shown in chart </w:t>
      </w:r>
      <w:r w:rsidR="00A13A6A" w:rsidRPr="00A13A6A">
        <w:rPr>
          <w:rStyle w:val="DraftingNote"/>
          <w:b w:val="0"/>
          <w:color w:val="auto"/>
          <w:u w:val="none"/>
        </w:rPr>
        <w:fldChar w:fldCharType="begin"/>
      </w:r>
      <w:r w:rsidR="00A13A6A" w:rsidRPr="00A13A6A">
        <w:rPr>
          <w:rStyle w:val="DraftingNote"/>
          <w:b w:val="0"/>
          <w:color w:val="auto"/>
          <w:u w:val="none"/>
        </w:rPr>
        <w:instrText xml:space="preserve"> REF _Caption8141 </w:instrText>
      </w:r>
      <w:r w:rsidR="00A13A6A">
        <w:rPr>
          <w:rStyle w:val="DraftingNote"/>
          <w:b w:val="0"/>
          <w:color w:val="auto"/>
          <w:u w:val="none"/>
        </w:rPr>
        <w:instrText xml:space="preserve"> \* MERGEFORMAT </w:instrText>
      </w:r>
      <w:r w:rsidR="00A13A6A" w:rsidRPr="00A13A6A">
        <w:rPr>
          <w:rStyle w:val="DraftingNote"/>
          <w:b w:val="0"/>
          <w:color w:val="auto"/>
          <w:u w:val="none"/>
        </w:rPr>
        <w:fldChar w:fldCharType="separate"/>
      </w:r>
      <w:r w:rsidR="00AB4D5D">
        <w:t>1</w:t>
      </w:r>
      <w:r w:rsidR="00AB4D5D" w:rsidRPr="007F4F56">
        <w:t>.</w:t>
      </w:r>
      <w:r w:rsidR="00AB4D5D">
        <w:t>3</w:t>
      </w:r>
      <w:r w:rsidR="00A13A6A" w:rsidRPr="00A13A6A">
        <w:rPr>
          <w:rStyle w:val="DraftingNote"/>
          <w:b w:val="0"/>
          <w:color w:val="auto"/>
          <w:u w:val="none"/>
        </w:rPr>
        <w:fldChar w:fldCharType="end"/>
      </w:r>
      <w:r w:rsidR="00A13A6A" w:rsidRPr="00A13A6A">
        <w:rPr>
          <w:rStyle w:val="DraftingNote"/>
          <w:b w:val="0"/>
          <w:color w:val="auto"/>
          <w:u w:val="none"/>
        </w:rPr>
        <w:t xml:space="preserve">). A bottom-up approach, based on individual tariff rates, was used to determine the change in tariff rates at the sectoral level for the analysis outlined in </w:t>
      </w:r>
      <w:r w:rsidR="00526A4F">
        <w:rPr>
          <w:rStyle w:val="DraftingNote"/>
          <w:b w:val="0"/>
          <w:color w:val="auto"/>
          <w:u w:val="none"/>
        </w:rPr>
        <w:t>Chapter</w:t>
      </w:r>
      <w:r w:rsidR="00A13A6A" w:rsidRPr="00A13A6A">
        <w:rPr>
          <w:rStyle w:val="DraftingNote"/>
          <w:b w:val="0"/>
          <w:color w:val="auto"/>
          <w:u w:val="none"/>
        </w:rPr>
        <w:t xml:space="preserve"> </w:t>
      </w:r>
      <w:r w:rsidR="00A35A38">
        <w:rPr>
          <w:rStyle w:val="DraftingNote"/>
          <w:b w:val="0"/>
          <w:color w:val="auto"/>
          <w:u w:val="none"/>
        </w:rPr>
        <w:t>3</w:t>
      </w:r>
      <w:r w:rsidR="00A13A6A" w:rsidRPr="00A13A6A">
        <w:rPr>
          <w:rStyle w:val="DraftingNote"/>
          <w:b w:val="0"/>
          <w:color w:val="auto"/>
          <w:u w:val="none"/>
        </w:rPr>
        <w:t>.</w:t>
      </w:r>
    </w:p>
    <w:p w:rsidR="00305683" w:rsidRDefault="009D3F73" w:rsidP="009D3F73">
      <w:pPr>
        <w:pStyle w:val="Heading3"/>
      </w:pPr>
      <w:r>
        <w:t>Measures implemented by Australia to realise tariff reductions</w:t>
      </w:r>
    </w:p>
    <w:p w:rsidR="00A35A38" w:rsidRDefault="009D3F73" w:rsidP="006509F2">
      <w:r w:rsidRPr="009D3F73">
        <w:t xml:space="preserve">As was noted in </w:t>
      </w:r>
      <w:r w:rsidR="00526A4F">
        <w:t>Chapter</w:t>
      </w:r>
      <w:r w:rsidRPr="009D3F73">
        <w:t> 1,</w:t>
      </w:r>
      <w:r w:rsidR="00A35A38" w:rsidRPr="009D3F73">
        <w:t xml:space="preserve"> Australia has pursued trade liberalisation through three different avenues — unilateral liberalisation, regional or bilateral liberalisation, and multilateral liberalisation under the auspices of the GATT and then the WTO. Overall, trade liberalisation by Australia has lowered the </w:t>
      </w:r>
      <w:r w:rsidRPr="009D3F73">
        <w:t>average (</w:t>
      </w:r>
      <w:r w:rsidR="009A7B3F">
        <w:t>import-weighted</w:t>
      </w:r>
      <w:r w:rsidRPr="009D3F73">
        <w:t>)</w:t>
      </w:r>
      <w:r w:rsidR="00A35A38" w:rsidRPr="009D3F73">
        <w:t xml:space="preserve"> tariff rate from around 7 per cent in 1986 to under 1 per cent in 2016 (see chart </w:t>
      </w:r>
      <w:fldSimple w:instr=" REF _Caption6964  \* MERGEFORMAT ">
        <w:r w:rsidR="00AB4D5D">
          <w:t>1</w:t>
        </w:r>
        <w:r w:rsidR="00AB4D5D" w:rsidRPr="007F4F56">
          <w:t>.</w:t>
        </w:r>
        <w:r w:rsidR="00AB4D5D">
          <w:t>3</w:t>
        </w:r>
      </w:fldSimple>
      <w:r w:rsidR="00A35A38" w:rsidRPr="009D3F73">
        <w:t>). Box</w:t>
      </w:r>
      <w:r w:rsidR="006509F2">
        <w:t> </w:t>
      </w:r>
      <w:fldSimple w:instr=" REF _Caption1977 ">
        <w:r w:rsidR="00AB4D5D">
          <w:rPr>
            <w:noProof/>
          </w:rPr>
          <w:t>A.1</w:t>
        </w:r>
      </w:fldSimple>
      <w:r w:rsidR="006509F2">
        <w:t xml:space="preserve"> </w:t>
      </w:r>
      <w:r w:rsidR="00A35A38" w:rsidRPr="009D3F73">
        <w:t xml:space="preserve">describes the specific measures implemented to realise these tariff reductions. </w:t>
      </w:r>
    </w:p>
    <w:p w:rsidR="006509F2" w:rsidRDefault="006509F2" w:rsidP="006509F2"/>
    <w:tbl>
      <w:tblPr>
        <w:tblW w:w="8077" w:type="dxa"/>
        <w:tblBorders>
          <w:top w:val="single" w:sz="2" w:space="0" w:color="auto"/>
          <w:left w:val="single" w:sz="2" w:space="0" w:color="auto"/>
          <w:bottom w:val="single" w:sz="2" w:space="0" w:color="auto"/>
          <w:right w:val="single" w:sz="2" w:space="0" w:color="auto"/>
        </w:tblBorders>
        <w:tblLayout w:type="fixed"/>
        <w:tblCellMar>
          <w:left w:w="142" w:type="dxa"/>
          <w:right w:w="142" w:type="dxa"/>
        </w:tblCellMar>
        <w:tblLook w:val="04A0" w:firstRow="1" w:lastRow="0" w:firstColumn="1" w:lastColumn="0" w:noHBand="0" w:noVBand="1"/>
      </w:tblPr>
      <w:tblGrid>
        <w:gridCol w:w="8077"/>
      </w:tblGrid>
      <w:tr w:rsidR="00502C03" w:rsidTr="00E011C3">
        <w:trPr>
          <w:cantSplit/>
        </w:trPr>
        <w:tc>
          <w:tcPr>
            <w:tcW w:w="8077" w:type="dxa"/>
            <w:tcBorders>
              <w:top w:val="nil"/>
              <w:left w:val="nil"/>
              <w:bottom w:val="nil"/>
              <w:right w:val="nil"/>
            </w:tcBorders>
            <w:shd w:val="clear" w:color="auto" w:fill="C6BFAB" w:themeFill="accent3"/>
            <w:hideMark/>
          </w:tcPr>
          <w:p w:rsidR="00502C03" w:rsidRDefault="00502C03" w:rsidP="00D1208F">
            <w:pPr>
              <w:pStyle w:val="Caption"/>
              <w:numPr>
                <w:ilvl w:val="0"/>
                <w:numId w:val="25"/>
              </w:numPr>
              <w:spacing w:before="120" w:after="100"/>
            </w:pPr>
            <w:r>
              <w:fldChar w:fldCharType="begin"/>
            </w:r>
            <w:r>
              <w:instrText xml:space="preserve"> IF 1 = 1 "</w:instrText>
            </w:r>
            <w:r>
              <w:fldChar w:fldCharType="begin"/>
            </w:r>
            <w:r>
              <w:instrText xml:space="preserve"> IF </w:instrText>
            </w:r>
            <w:fldSimple w:instr=" STYLEREF &quot;Heading 6&quot; \l \n ">
              <w:r w:rsidR="00AB4D5D">
                <w:rPr>
                  <w:noProof/>
                </w:rPr>
                <w:instrText>A</w:instrText>
              </w:r>
            </w:fldSimple>
            <w:r>
              <w:instrText xml:space="preserve"> = 0 "</w:instrText>
            </w:r>
            <w:r>
              <w:fldChar w:fldCharType="begin"/>
            </w:r>
            <w:r>
              <w:instrText xml:space="preserve"> IF </w:instrText>
            </w:r>
            <w:fldSimple w:instr=" STYLEREF &quot;Heading 1&quot; \l \n ">
              <w:r>
                <w:rPr>
                  <w:noProof/>
                </w:rPr>
                <w:instrText>2</w:instrText>
              </w:r>
            </w:fldSimple>
            <w:r>
              <w:instrText xml:space="preserve"> = 0 "" "</w:instrText>
            </w:r>
            <w:fldSimple w:instr=" STYLEREF &quot;Heading 1&quot; \l \n ">
              <w:r>
                <w:rPr>
                  <w:noProof/>
                </w:rPr>
                <w:instrText>2</w:instrText>
              </w:r>
            </w:fldSimple>
            <w:r>
              <w:instrText xml:space="preserve">." </w:instrText>
            </w:r>
            <w:r>
              <w:fldChar w:fldCharType="separate"/>
            </w:r>
            <w:r>
              <w:rPr>
                <w:noProof/>
              </w:rPr>
              <w:instrText>2.</w:instrText>
            </w:r>
            <w:r>
              <w:fldChar w:fldCharType="end"/>
            </w:r>
            <w:r>
              <w:instrText>" "</w:instrText>
            </w:r>
            <w:fldSimple w:instr=" STYLEREF &quot;Heading 6&quot; \l \n ">
              <w:r w:rsidR="00AB4D5D">
                <w:rPr>
                  <w:noProof/>
                </w:rPr>
                <w:instrText>A</w:instrText>
              </w:r>
            </w:fldSimple>
            <w:r>
              <w:instrText xml:space="preserve">." </w:instrText>
            </w:r>
            <w:r>
              <w:fldChar w:fldCharType="separate"/>
            </w:r>
            <w:r w:rsidR="00AB4D5D">
              <w:rPr>
                <w:noProof/>
              </w:rPr>
              <w:instrText>A.</w:instrText>
            </w:r>
            <w:r>
              <w:fldChar w:fldCharType="end"/>
            </w:r>
            <w:r>
              <w:fldChar w:fldCharType="begin"/>
            </w:r>
            <w:r>
              <w:instrText xml:space="preserve"> SEQ Item \* ARABIC \s </w:instrText>
            </w:r>
            <w:r>
              <w:fldChar w:fldCharType="begin"/>
            </w:r>
            <w:r>
              <w:instrText xml:space="preserve"> IF </w:instrText>
            </w:r>
            <w:fldSimple w:instr=" STYLEREF &quot;Heading 6&quot; \l \n ">
              <w:r w:rsidR="00AB4D5D">
                <w:rPr>
                  <w:noProof/>
                </w:rPr>
                <w:instrText>A</w:instrText>
              </w:r>
            </w:fldSimple>
            <w:r>
              <w:instrText xml:space="preserve"> = 0 "</w:instrText>
            </w:r>
            <w:r>
              <w:fldChar w:fldCharType="begin"/>
            </w:r>
            <w:r>
              <w:instrText xml:space="preserve"> IF </w:instrText>
            </w:r>
            <w:fldSimple w:instr=" STYLEREF &quot;Heading 1&quot; \l \n ">
              <w:r>
                <w:rPr>
                  <w:noProof/>
                </w:rPr>
                <w:instrText>2</w:instrText>
              </w:r>
            </w:fldSimple>
            <w:r>
              <w:instrText xml:space="preserve"> = 0 "" "1" </w:instrText>
            </w:r>
            <w:r>
              <w:fldChar w:fldCharType="separate"/>
            </w:r>
            <w:r>
              <w:rPr>
                <w:noProof/>
              </w:rPr>
              <w:instrText>1</w:instrText>
            </w:r>
            <w:r>
              <w:fldChar w:fldCharType="end"/>
            </w:r>
            <w:r>
              <w:instrText xml:space="preserve">" "6" </w:instrText>
            </w:r>
            <w:r>
              <w:fldChar w:fldCharType="separate"/>
            </w:r>
            <w:r w:rsidR="00AB4D5D">
              <w:rPr>
                <w:noProof/>
              </w:rPr>
              <w:instrText>6</w:instrText>
            </w:r>
            <w:r>
              <w:fldChar w:fldCharType="end"/>
            </w:r>
            <w:r>
              <w:instrText xml:space="preserve"> </w:instrText>
            </w:r>
            <w:r>
              <w:fldChar w:fldCharType="separate"/>
            </w:r>
            <w:r w:rsidR="00AB4D5D">
              <w:rPr>
                <w:noProof/>
              </w:rPr>
              <w:instrText>1</w:instrText>
            </w:r>
            <w:r>
              <w:fldChar w:fldCharType="end"/>
            </w:r>
            <w:r>
              <w:instrText xml:space="preserve">" "" </w:instrText>
            </w:r>
            <w:r>
              <w:fldChar w:fldCharType="separate"/>
            </w:r>
            <w:bookmarkStart w:id="277" w:name="_Caption1977"/>
            <w:bookmarkStart w:id="278" w:name="_Caption3971"/>
            <w:bookmarkStart w:id="279" w:name="_Caption0932"/>
            <w:bookmarkStart w:id="280" w:name="_Caption5260"/>
            <w:bookmarkStart w:id="281" w:name="_Caption8209"/>
            <w:bookmarkStart w:id="282" w:name="_Caption1596"/>
            <w:bookmarkStart w:id="283" w:name="_Caption5979"/>
            <w:bookmarkStart w:id="284" w:name="_Toc494120829"/>
            <w:r w:rsidR="0025761E">
              <w:rPr>
                <w:noProof/>
              </w:rPr>
              <w:t>A.1</w:t>
            </w:r>
            <w:bookmarkEnd w:id="277"/>
            <w:bookmarkEnd w:id="278"/>
            <w:bookmarkEnd w:id="279"/>
            <w:bookmarkEnd w:id="280"/>
            <w:bookmarkEnd w:id="281"/>
            <w:bookmarkEnd w:id="282"/>
            <w:bookmarkEnd w:id="283"/>
            <w:r>
              <w:fldChar w:fldCharType="end"/>
            </w:r>
            <w:r>
              <w:tab/>
              <w:t>Australian tariff reductions over 1986–2016</w:t>
            </w:r>
            <w:bookmarkEnd w:id="284"/>
          </w:p>
        </w:tc>
      </w:tr>
      <w:tr w:rsidR="00502C03" w:rsidTr="00E011C3">
        <w:tc>
          <w:tcPr>
            <w:tcW w:w="8077" w:type="dxa"/>
            <w:tcBorders>
              <w:top w:val="nil"/>
              <w:left w:val="nil"/>
              <w:bottom w:val="nil"/>
              <w:right w:val="nil"/>
            </w:tcBorders>
            <w:shd w:val="clear" w:color="auto" w:fill="E9E8E5" w:themeFill="background2"/>
            <w:hideMark/>
          </w:tcPr>
          <w:p w:rsidR="00502C03" w:rsidRDefault="00502C03" w:rsidP="00D1208F">
            <w:pPr>
              <w:pStyle w:val="Heading4"/>
              <w:spacing w:before="120"/>
            </w:pPr>
            <w:r>
              <w:t>Unilateral tariff reductions</w:t>
            </w:r>
          </w:p>
          <w:p w:rsidR="00502C03" w:rsidRDefault="00502C03" w:rsidP="00D1208F">
            <w:pPr>
              <w:pStyle w:val="BodyText"/>
              <w:spacing w:before="0"/>
            </w:pPr>
            <w:r>
              <w:t>Australia has undertaken two major rounds of economywide unilateral tariff reductions since 1986:</w:t>
            </w:r>
          </w:p>
          <w:p w:rsidR="00502C03" w:rsidRDefault="00502C03" w:rsidP="00D1208F">
            <w:pPr>
              <w:pStyle w:val="ListBullet"/>
              <w:numPr>
                <w:ilvl w:val="0"/>
                <w:numId w:val="24"/>
              </w:numPr>
              <w:spacing w:before="50"/>
            </w:pPr>
            <w:r>
              <w:t>1988–1992</w:t>
            </w:r>
          </w:p>
          <w:p w:rsidR="00502C03" w:rsidRDefault="00502C03" w:rsidP="00D1208F">
            <w:pPr>
              <w:pStyle w:val="ListBullet2"/>
              <w:numPr>
                <w:ilvl w:val="1"/>
                <w:numId w:val="24"/>
              </w:numPr>
              <w:spacing w:before="20"/>
              <w:ind w:left="568" w:hanging="284"/>
            </w:pPr>
            <w:r>
              <w:t xml:space="preserve">all tariffs over 15 per cent reduced to 15 </w:t>
            </w:r>
            <w:r w:rsidR="009A7B3F">
              <w:t>per cent</w:t>
            </w:r>
            <w:r>
              <w:t xml:space="preserve"> </w:t>
            </w:r>
          </w:p>
          <w:p w:rsidR="00502C03" w:rsidRDefault="00502C03" w:rsidP="00D1208F">
            <w:pPr>
              <w:pStyle w:val="ListBullet2"/>
              <w:numPr>
                <w:ilvl w:val="1"/>
                <w:numId w:val="24"/>
              </w:numPr>
              <w:spacing w:before="20"/>
              <w:ind w:left="568" w:hanging="284"/>
            </w:pPr>
            <w:r>
              <w:t xml:space="preserve">tariffs between 10 and 15 per cent reduced to 10 per cent </w:t>
            </w:r>
          </w:p>
          <w:p w:rsidR="00502C03" w:rsidRDefault="00502C03" w:rsidP="00D1208F">
            <w:pPr>
              <w:pStyle w:val="ListBullet2"/>
              <w:numPr>
                <w:ilvl w:val="1"/>
                <w:numId w:val="24"/>
              </w:numPr>
              <w:spacing w:before="20"/>
              <w:ind w:left="568" w:hanging="284"/>
            </w:pPr>
            <w:r>
              <w:t>passenger motor vehicles (PMV) and textiles, clothing and footwear (TCF) industries excepted.</w:t>
            </w:r>
          </w:p>
          <w:p w:rsidR="00502C03" w:rsidRDefault="00502C03" w:rsidP="00D1208F">
            <w:pPr>
              <w:pStyle w:val="ListBullet"/>
              <w:numPr>
                <w:ilvl w:val="0"/>
                <w:numId w:val="24"/>
              </w:numPr>
              <w:spacing w:before="50"/>
            </w:pPr>
            <w:r>
              <w:t>1992–1996</w:t>
            </w:r>
          </w:p>
          <w:p w:rsidR="00502C03" w:rsidRDefault="00502C03" w:rsidP="00D1208F">
            <w:pPr>
              <w:pStyle w:val="ListBullet2"/>
              <w:numPr>
                <w:ilvl w:val="1"/>
                <w:numId w:val="24"/>
              </w:numPr>
              <w:spacing w:before="20"/>
              <w:ind w:left="568" w:hanging="284"/>
            </w:pPr>
            <w:r>
              <w:t xml:space="preserve">all tariffs reduced to 5 per cent </w:t>
            </w:r>
          </w:p>
          <w:p w:rsidR="00502C03" w:rsidRDefault="00502C03" w:rsidP="00D1208F">
            <w:pPr>
              <w:pStyle w:val="ListBullet2"/>
              <w:numPr>
                <w:ilvl w:val="1"/>
                <w:numId w:val="24"/>
              </w:numPr>
              <w:spacing w:before="20"/>
              <w:ind w:left="568" w:hanging="284"/>
            </w:pPr>
            <w:r>
              <w:t>PMV and TCF industries excepted.</w:t>
            </w:r>
          </w:p>
          <w:p w:rsidR="00502C03" w:rsidRDefault="00502C03" w:rsidP="00502C03">
            <w:pPr>
              <w:pStyle w:val="BodyText"/>
            </w:pPr>
            <w:r>
              <w:t xml:space="preserve">The PMV and TCF industries followed separate trade liberalisation schedules. These industries actually saw an increase in protectionist measures in the period between 1974 and 1984. A range of tariffs, import quotas and bounties were implemented. </w:t>
            </w:r>
          </w:p>
        </w:tc>
      </w:tr>
    </w:tbl>
    <w:p w:rsidR="00502C03" w:rsidRDefault="00502C03" w:rsidP="00502C03"/>
    <w:p w:rsidR="00502C03" w:rsidRPr="009D3F73" w:rsidRDefault="00502C03" w:rsidP="00A35A38">
      <w:pPr>
        <w:pStyle w:val="BodyText"/>
      </w:pPr>
    </w:p>
    <w:tbl>
      <w:tblPr>
        <w:tblW w:w="7935" w:type="dxa"/>
        <w:tblInd w:w="142" w:type="dxa"/>
        <w:tblBorders>
          <w:top w:val="single" w:sz="2" w:space="0" w:color="auto"/>
          <w:left w:val="single" w:sz="2" w:space="0" w:color="auto"/>
          <w:bottom w:val="single" w:sz="2" w:space="0" w:color="auto"/>
          <w:right w:val="single" w:sz="2" w:space="0" w:color="auto"/>
        </w:tblBorders>
        <w:tblLayout w:type="fixed"/>
        <w:tblCellMar>
          <w:left w:w="142" w:type="dxa"/>
          <w:right w:w="142" w:type="dxa"/>
        </w:tblCellMar>
        <w:tblLook w:val="04A0" w:firstRow="1" w:lastRow="0" w:firstColumn="1" w:lastColumn="0" w:noHBand="0" w:noVBand="1"/>
      </w:tblPr>
      <w:tblGrid>
        <w:gridCol w:w="7935"/>
      </w:tblGrid>
      <w:tr w:rsidR="00A35A38" w:rsidTr="00CB028E">
        <w:tc>
          <w:tcPr>
            <w:tcW w:w="7935" w:type="dxa"/>
            <w:tcBorders>
              <w:top w:val="nil"/>
              <w:left w:val="nil"/>
              <w:bottom w:val="nil"/>
              <w:right w:val="nil"/>
            </w:tcBorders>
            <w:shd w:val="clear" w:color="auto" w:fill="E9E8E5" w:themeFill="background2"/>
            <w:hideMark/>
          </w:tcPr>
          <w:p w:rsidR="00A35A38" w:rsidRDefault="00D546BA" w:rsidP="00CB028E">
            <w:pPr>
              <w:pStyle w:val="BodyText"/>
            </w:pPr>
            <w:r>
              <w:t xml:space="preserve">A </w:t>
            </w:r>
            <w:r w:rsidR="00A35A38">
              <w:t>schedule of liberalisation for each industry was prepared in the mid-1980s under Industry Minister John Button, and subsequently extended to reduce tariff rates to 5 per cent or lower by 2015. The tariff reductions implemented for these industries is shown in the table below.</w:t>
            </w:r>
          </w:p>
          <w:p w:rsidR="00A35A38" w:rsidRPr="00D546BA" w:rsidRDefault="00D546BA" w:rsidP="00D546BA">
            <w:pPr>
              <w:spacing w:before="240" w:after="60"/>
              <w:rPr>
                <w:rFonts w:ascii="Franklin Gothic Demi" w:hAnsi="Franklin Gothic Demi"/>
              </w:rPr>
            </w:pPr>
            <w:r>
              <w:rPr>
                <w:rFonts w:ascii="Franklin Gothic Demi" w:hAnsi="Franklin Gothic Demi"/>
              </w:rPr>
              <w:t xml:space="preserve"> </w:t>
            </w:r>
            <w:r w:rsidR="00A35A38" w:rsidRPr="00D546BA">
              <w:rPr>
                <w:rFonts w:ascii="Franklin Gothic Demi" w:hAnsi="Franklin Gothic Demi"/>
              </w:rPr>
              <w:t>TCF and PMV tariffs 1990–2015</w:t>
            </w:r>
          </w:p>
          <w:tbl>
            <w:tblPr>
              <w:tblW w:w="7541" w:type="dxa"/>
              <w:tblInd w:w="57" w:type="dxa"/>
              <w:tblLayout w:type="fixed"/>
              <w:tblLook w:val="04A0" w:firstRow="1" w:lastRow="0" w:firstColumn="1" w:lastColumn="0" w:noHBand="0" w:noVBand="1"/>
            </w:tblPr>
            <w:tblGrid>
              <w:gridCol w:w="1361"/>
              <w:gridCol w:w="141"/>
              <w:gridCol w:w="511"/>
              <w:gridCol w:w="691"/>
              <w:gridCol w:w="691"/>
              <w:gridCol w:w="691"/>
              <w:gridCol w:w="691"/>
              <w:gridCol w:w="691"/>
              <w:gridCol w:w="691"/>
              <w:gridCol w:w="691"/>
              <w:gridCol w:w="691"/>
            </w:tblGrid>
            <w:tr w:rsidR="00A35A38" w:rsidTr="00CB028E">
              <w:tc>
                <w:tcPr>
                  <w:tcW w:w="1361" w:type="dxa"/>
                  <w:tcBorders>
                    <w:bottom w:val="single" w:sz="8" w:space="0" w:color="FFFFFF" w:themeColor="background1"/>
                  </w:tcBorders>
                  <w:shd w:val="clear" w:color="auto" w:fill="6F6652"/>
                  <w:tcMar>
                    <w:top w:w="0" w:type="dxa"/>
                    <w:left w:w="57" w:type="dxa"/>
                    <w:bottom w:w="0" w:type="dxa"/>
                    <w:right w:w="57" w:type="dxa"/>
                  </w:tcMar>
                </w:tcPr>
                <w:p w:rsidR="00A35A38" w:rsidRDefault="00A35A38" w:rsidP="00CB028E">
                  <w:pPr>
                    <w:pStyle w:val="TableDataColumnHeading"/>
                    <w:jc w:val="left"/>
                    <w:rPr>
                      <w:lang w:eastAsia="en-AU"/>
                    </w:rPr>
                  </w:pPr>
                </w:p>
              </w:tc>
              <w:tc>
                <w:tcPr>
                  <w:tcW w:w="652" w:type="dxa"/>
                  <w:gridSpan w:val="2"/>
                  <w:tcBorders>
                    <w:bottom w:val="single" w:sz="8" w:space="0" w:color="FFFFFF" w:themeColor="background1"/>
                  </w:tcBorders>
                  <w:shd w:val="clear" w:color="auto" w:fill="6F6652"/>
                  <w:tcMar>
                    <w:top w:w="0" w:type="dxa"/>
                    <w:left w:w="57" w:type="dxa"/>
                    <w:bottom w:w="0" w:type="dxa"/>
                    <w:right w:w="57" w:type="dxa"/>
                  </w:tcMar>
                  <w:hideMark/>
                </w:tcPr>
                <w:p w:rsidR="00A35A38" w:rsidRDefault="00A35A38" w:rsidP="00CB028E">
                  <w:pPr>
                    <w:pStyle w:val="TableDataColumnHeading"/>
                    <w:rPr>
                      <w:lang w:eastAsia="en-AU"/>
                    </w:rPr>
                  </w:pPr>
                  <w:r>
                    <w:rPr>
                      <w:lang w:eastAsia="en-AU"/>
                    </w:rPr>
                    <w:t>1990</w:t>
                  </w:r>
                </w:p>
              </w:tc>
              <w:tc>
                <w:tcPr>
                  <w:tcW w:w="691" w:type="dxa"/>
                  <w:tcBorders>
                    <w:bottom w:val="single" w:sz="8" w:space="0" w:color="FFFFFF" w:themeColor="background1"/>
                  </w:tcBorders>
                  <w:shd w:val="clear" w:color="auto" w:fill="6F6652"/>
                  <w:tcMar>
                    <w:top w:w="0" w:type="dxa"/>
                    <w:left w:w="57" w:type="dxa"/>
                    <w:bottom w:w="0" w:type="dxa"/>
                    <w:right w:w="57" w:type="dxa"/>
                  </w:tcMar>
                  <w:hideMark/>
                </w:tcPr>
                <w:p w:rsidR="00A35A38" w:rsidRDefault="00A35A38" w:rsidP="00CB028E">
                  <w:pPr>
                    <w:pStyle w:val="TableDataColumnHeading"/>
                    <w:rPr>
                      <w:lang w:eastAsia="en-AU"/>
                    </w:rPr>
                  </w:pPr>
                  <w:r>
                    <w:rPr>
                      <w:lang w:eastAsia="en-AU"/>
                    </w:rPr>
                    <w:t>1992</w:t>
                  </w:r>
                </w:p>
              </w:tc>
              <w:tc>
                <w:tcPr>
                  <w:tcW w:w="691" w:type="dxa"/>
                  <w:tcBorders>
                    <w:bottom w:val="single" w:sz="8" w:space="0" w:color="FFFFFF" w:themeColor="background1"/>
                  </w:tcBorders>
                  <w:shd w:val="clear" w:color="auto" w:fill="6F6652"/>
                  <w:tcMar>
                    <w:top w:w="0" w:type="dxa"/>
                    <w:left w:w="57" w:type="dxa"/>
                    <w:bottom w:w="0" w:type="dxa"/>
                    <w:right w:w="57" w:type="dxa"/>
                  </w:tcMar>
                  <w:hideMark/>
                </w:tcPr>
                <w:p w:rsidR="00A35A38" w:rsidRDefault="00A35A38" w:rsidP="00CB028E">
                  <w:pPr>
                    <w:pStyle w:val="TableDataColumnHeading"/>
                    <w:rPr>
                      <w:lang w:eastAsia="en-AU"/>
                    </w:rPr>
                  </w:pPr>
                  <w:r>
                    <w:rPr>
                      <w:lang w:eastAsia="en-AU"/>
                    </w:rPr>
                    <w:t>1994</w:t>
                  </w:r>
                </w:p>
              </w:tc>
              <w:tc>
                <w:tcPr>
                  <w:tcW w:w="691" w:type="dxa"/>
                  <w:tcBorders>
                    <w:bottom w:val="single" w:sz="8" w:space="0" w:color="FFFFFF" w:themeColor="background1"/>
                  </w:tcBorders>
                  <w:shd w:val="clear" w:color="auto" w:fill="6F6652"/>
                  <w:tcMar>
                    <w:top w:w="0" w:type="dxa"/>
                    <w:left w:w="57" w:type="dxa"/>
                    <w:bottom w:w="0" w:type="dxa"/>
                    <w:right w:w="57" w:type="dxa"/>
                  </w:tcMar>
                  <w:hideMark/>
                </w:tcPr>
                <w:p w:rsidR="00A35A38" w:rsidRDefault="00A35A38" w:rsidP="00CB028E">
                  <w:pPr>
                    <w:pStyle w:val="TableDataColumnHeading"/>
                    <w:rPr>
                      <w:lang w:eastAsia="en-AU"/>
                    </w:rPr>
                  </w:pPr>
                  <w:r>
                    <w:rPr>
                      <w:lang w:eastAsia="en-AU"/>
                    </w:rPr>
                    <w:t>1996</w:t>
                  </w:r>
                </w:p>
              </w:tc>
              <w:tc>
                <w:tcPr>
                  <w:tcW w:w="691" w:type="dxa"/>
                  <w:tcBorders>
                    <w:bottom w:val="single" w:sz="8" w:space="0" w:color="FFFFFF" w:themeColor="background1"/>
                  </w:tcBorders>
                  <w:shd w:val="clear" w:color="auto" w:fill="6F6652"/>
                  <w:tcMar>
                    <w:top w:w="0" w:type="dxa"/>
                    <w:left w:w="57" w:type="dxa"/>
                    <w:bottom w:w="0" w:type="dxa"/>
                    <w:right w:w="57" w:type="dxa"/>
                  </w:tcMar>
                  <w:hideMark/>
                </w:tcPr>
                <w:p w:rsidR="00A35A38" w:rsidRDefault="00A35A38" w:rsidP="00CB028E">
                  <w:pPr>
                    <w:pStyle w:val="TableDataColumnHeading"/>
                    <w:rPr>
                      <w:lang w:eastAsia="en-AU"/>
                    </w:rPr>
                  </w:pPr>
                  <w:r>
                    <w:rPr>
                      <w:lang w:eastAsia="en-AU"/>
                    </w:rPr>
                    <w:t>1998</w:t>
                  </w:r>
                </w:p>
              </w:tc>
              <w:tc>
                <w:tcPr>
                  <w:tcW w:w="691" w:type="dxa"/>
                  <w:tcBorders>
                    <w:bottom w:val="single" w:sz="8" w:space="0" w:color="FFFFFF" w:themeColor="background1"/>
                  </w:tcBorders>
                  <w:shd w:val="clear" w:color="auto" w:fill="6F6652"/>
                  <w:tcMar>
                    <w:top w:w="0" w:type="dxa"/>
                    <w:left w:w="57" w:type="dxa"/>
                    <w:bottom w:w="0" w:type="dxa"/>
                    <w:right w:w="57" w:type="dxa"/>
                  </w:tcMar>
                  <w:hideMark/>
                </w:tcPr>
                <w:p w:rsidR="00A35A38" w:rsidRDefault="00A35A38" w:rsidP="00CB028E">
                  <w:pPr>
                    <w:pStyle w:val="TableDataColumnHeading"/>
                    <w:rPr>
                      <w:lang w:eastAsia="en-AU"/>
                    </w:rPr>
                  </w:pPr>
                  <w:r>
                    <w:rPr>
                      <w:lang w:eastAsia="en-AU"/>
                    </w:rPr>
                    <w:t>2000</w:t>
                  </w:r>
                </w:p>
              </w:tc>
              <w:tc>
                <w:tcPr>
                  <w:tcW w:w="691" w:type="dxa"/>
                  <w:tcBorders>
                    <w:bottom w:val="single" w:sz="8" w:space="0" w:color="FFFFFF" w:themeColor="background1"/>
                  </w:tcBorders>
                  <w:shd w:val="clear" w:color="auto" w:fill="6F6652"/>
                  <w:tcMar>
                    <w:top w:w="0" w:type="dxa"/>
                    <w:left w:w="57" w:type="dxa"/>
                    <w:bottom w:w="0" w:type="dxa"/>
                    <w:right w:w="57" w:type="dxa"/>
                  </w:tcMar>
                  <w:hideMark/>
                </w:tcPr>
                <w:p w:rsidR="00A35A38" w:rsidRDefault="00A35A38" w:rsidP="00CB028E">
                  <w:pPr>
                    <w:pStyle w:val="TableDataColumnHeading"/>
                    <w:rPr>
                      <w:lang w:eastAsia="en-AU"/>
                    </w:rPr>
                  </w:pPr>
                  <w:r>
                    <w:rPr>
                      <w:lang w:eastAsia="en-AU"/>
                    </w:rPr>
                    <w:t>2005</w:t>
                  </w:r>
                </w:p>
              </w:tc>
              <w:tc>
                <w:tcPr>
                  <w:tcW w:w="691" w:type="dxa"/>
                  <w:tcBorders>
                    <w:bottom w:val="single" w:sz="8" w:space="0" w:color="FFFFFF" w:themeColor="background1"/>
                  </w:tcBorders>
                  <w:shd w:val="clear" w:color="auto" w:fill="6F6652"/>
                  <w:hideMark/>
                </w:tcPr>
                <w:p w:rsidR="00A35A38" w:rsidRDefault="00A35A38" w:rsidP="00CB028E">
                  <w:pPr>
                    <w:pStyle w:val="TableDataColumnHeading"/>
                    <w:rPr>
                      <w:lang w:eastAsia="en-AU"/>
                    </w:rPr>
                  </w:pPr>
                  <w:r>
                    <w:rPr>
                      <w:lang w:eastAsia="en-AU"/>
                    </w:rPr>
                    <w:t>2010</w:t>
                  </w:r>
                </w:p>
              </w:tc>
              <w:tc>
                <w:tcPr>
                  <w:tcW w:w="691" w:type="dxa"/>
                  <w:tcBorders>
                    <w:bottom w:val="single" w:sz="8" w:space="0" w:color="FFFFFF" w:themeColor="background1"/>
                  </w:tcBorders>
                  <w:shd w:val="clear" w:color="auto" w:fill="6F6652"/>
                  <w:hideMark/>
                </w:tcPr>
                <w:p w:rsidR="00A35A38" w:rsidRDefault="00A35A38" w:rsidP="00CB028E">
                  <w:pPr>
                    <w:pStyle w:val="TableDataColumnHeading"/>
                    <w:rPr>
                      <w:lang w:eastAsia="en-AU"/>
                    </w:rPr>
                  </w:pPr>
                  <w:r>
                    <w:rPr>
                      <w:lang w:eastAsia="en-AU"/>
                    </w:rPr>
                    <w:t>2015</w:t>
                  </w:r>
                </w:p>
              </w:tc>
            </w:tr>
            <w:tr w:rsidR="00A35A38" w:rsidTr="00CB028E">
              <w:tc>
                <w:tcPr>
                  <w:tcW w:w="1361" w:type="dxa"/>
                  <w:tcBorders>
                    <w:top w:val="single" w:sz="8" w:space="0" w:color="FFFFFF" w:themeColor="background1"/>
                    <w:bottom w:val="single" w:sz="8" w:space="0" w:color="FFFFFF" w:themeColor="background1"/>
                  </w:tcBorders>
                  <w:shd w:val="clear" w:color="auto" w:fill="FFFFFF" w:themeFill="background1"/>
                  <w:tcMar>
                    <w:top w:w="0" w:type="dxa"/>
                    <w:left w:w="57" w:type="dxa"/>
                    <w:bottom w:w="0" w:type="dxa"/>
                    <w:right w:w="57" w:type="dxa"/>
                  </w:tcMar>
                </w:tcPr>
                <w:p w:rsidR="00A35A38" w:rsidRDefault="00A35A38" w:rsidP="00CB028E">
                  <w:pPr>
                    <w:pStyle w:val="TableUnit"/>
                    <w:jc w:val="left"/>
                    <w:rPr>
                      <w:lang w:eastAsia="en-AU"/>
                    </w:rPr>
                  </w:pPr>
                </w:p>
              </w:tc>
              <w:tc>
                <w:tcPr>
                  <w:tcW w:w="652" w:type="dxa"/>
                  <w:gridSpan w:val="2"/>
                  <w:tcBorders>
                    <w:top w:val="single" w:sz="8" w:space="0" w:color="FFFFFF" w:themeColor="background1"/>
                    <w:bottom w:val="single" w:sz="8" w:space="0" w:color="FFFFFF" w:themeColor="background1"/>
                  </w:tcBorders>
                  <w:shd w:val="clear" w:color="auto" w:fill="FFFFFF" w:themeFill="background1"/>
                  <w:tcMar>
                    <w:top w:w="0" w:type="dxa"/>
                    <w:left w:w="57" w:type="dxa"/>
                    <w:bottom w:w="0" w:type="dxa"/>
                    <w:right w:w="57" w:type="dxa"/>
                  </w:tcMar>
                  <w:hideMark/>
                </w:tcPr>
                <w:p w:rsidR="00A35A38" w:rsidRDefault="00E34203" w:rsidP="00CB028E">
                  <w:pPr>
                    <w:pStyle w:val="TableUnit"/>
                    <w:rPr>
                      <w:lang w:eastAsia="en-AU"/>
                    </w:rPr>
                  </w:pPr>
                  <w:r>
                    <w:rPr>
                      <w:lang w:eastAsia="en-AU"/>
                    </w:rPr>
                    <w:t>%</w:t>
                  </w:r>
                </w:p>
              </w:tc>
              <w:tc>
                <w:tcPr>
                  <w:tcW w:w="691" w:type="dxa"/>
                  <w:tcBorders>
                    <w:top w:val="single" w:sz="8" w:space="0" w:color="FFFFFF" w:themeColor="background1"/>
                    <w:bottom w:val="single" w:sz="8" w:space="0" w:color="FFFFFF" w:themeColor="background1"/>
                  </w:tcBorders>
                  <w:shd w:val="clear" w:color="auto" w:fill="FFFFFF" w:themeFill="background1"/>
                  <w:tcMar>
                    <w:top w:w="0" w:type="dxa"/>
                    <w:left w:w="57" w:type="dxa"/>
                    <w:bottom w:w="0" w:type="dxa"/>
                    <w:right w:w="57" w:type="dxa"/>
                  </w:tcMar>
                  <w:hideMark/>
                </w:tcPr>
                <w:p w:rsidR="00A35A38" w:rsidRDefault="00A35A38" w:rsidP="00CB028E">
                  <w:pPr>
                    <w:pStyle w:val="TableUnit"/>
                    <w:rPr>
                      <w:lang w:eastAsia="en-AU"/>
                    </w:rPr>
                  </w:pPr>
                  <w:r>
                    <w:rPr>
                      <w:lang w:eastAsia="en-AU"/>
                    </w:rPr>
                    <w:t>%</w:t>
                  </w:r>
                </w:p>
              </w:tc>
              <w:tc>
                <w:tcPr>
                  <w:tcW w:w="691" w:type="dxa"/>
                  <w:tcBorders>
                    <w:top w:val="single" w:sz="8" w:space="0" w:color="FFFFFF" w:themeColor="background1"/>
                    <w:bottom w:val="single" w:sz="8" w:space="0" w:color="FFFFFF" w:themeColor="background1"/>
                  </w:tcBorders>
                  <w:shd w:val="clear" w:color="auto" w:fill="FFFFFF" w:themeFill="background1"/>
                  <w:tcMar>
                    <w:top w:w="0" w:type="dxa"/>
                    <w:left w:w="57" w:type="dxa"/>
                    <w:bottom w:w="0" w:type="dxa"/>
                    <w:right w:w="57" w:type="dxa"/>
                  </w:tcMar>
                  <w:hideMark/>
                </w:tcPr>
                <w:p w:rsidR="00A35A38" w:rsidRDefault="00A35A38" w:rsidP="00CB028E">
                  <w:pPr>
                    <w:pStyle w:val="TableUnit"/>
                    <w:rPr>
                      <w:lang w:eastAsia="en-AU"/>
                    </w:rPr>
                  </w:pPr>
                  <w:r>
                    <w:rPr>
                      <w:lang w:eastAsia="en-AU"/>
                    </w:rPr>
                    <w:t>%</w:t>
                  </w:r>
                </w:p>
              </w:tc>
              <w:tc>
                <w:tcPr>
                  <w:tcW w:w="691" w:type="dxa"/>
                  <w:tcBorders>
                    <w:top w:val="single" w:sz="8" w:space="0" w:color="FFFFFF" w:themeColor="background1"/>
                    <w:bottom w:val="single" w:sz="8" w:space="0" w:color="FFFFFF" w:themeColor="background1"/>
                  </w:tcBorders>
                  <w:shd w:val="clear" w:color="auto" w:fill="FFFFFF" w:themeFill="background1"/>
                  <w:tcMar>
                    <w:top w:w="0" w:type="dxa"/>
                    <w:left w:w="57" w:type="dxa"/>
                    <w:bottom w:w="0" w:type="dxa"/>
                    <w:right w:w="57" w:type="dxa"/>
                  </w:tcMar>
                  <w:hideMark/>
                </w:tcPr>
                <w:p w:rsidR="00A35A38" w:rsidRDefault="00A35A38" w:rsidP="00CB028E">
                  <w:pPr>
                    <w:pStyle w:val="TableUnit"/>
                    <w:rPr>
                      <w:lang w:eastAsia="en-AU"/>
                    </w:rPr>
                  </w:pPr>
                  <w:r>
                    <w:rPr>
                      <w:lang w:eastAsia="en-AU"/>
                    </w:rPr>
                    <w:t>%</w:t>
                  </w:r>
                </w:p>
              </w:tc>
              <w:tc>
                <w:tcPr>
                  <w:tcW w:w="691" w:type="dxa"/>
                  <w:tcBorders>
                    <w:top w:val="single" w:sz="8" w:space="0" w:color="FFFFFF" w:themeColor="background1"/>
                    <w:bottom w:val="single" w:sz="8" w:space="0" w:color="FFFFFF" w:themeColor="background1"/>
                  </w:tcBorders>
                  <w:shd w:val="clear" w:color="auto" w:fill="FFFFFF" w:themeFill="background1"/>
                  <w:tcMar>
                    <w:top w:w="0" w:type="dxa"/>
                    <w:left w:w="57" w:type="dxa"/>
                    <w:bottom w:w="0" w:type="dxa"/>
                    <w:right w:w="57" w:type="dxa"/>
                  </w:tcMar>
                  <w:hideMark/>
                </w:tcPr>
                <w:p w:rsidR="00A35A38" w:rsidRDefault="00A35A38" w:rsidP="00CB028E">
                  <w:pPr>
                    <w:pStyle w:val="TableUnit"/>
                    <w:rPr>
                      <w:lang w:eastAsia="en-AU"/>
                    </w:rPr>
                  </w:pPr>
                  <w:r>
                    <w:rPr>
                      <w:lang w:eastAsia="en-AU"/>
                    </w:rPr>
                    <w:t>%</w:t>
                  </w:r>
                </w:p>
              </w:tc>
              <w:tc>
                <w:tcPr>
                  <w:tcW w:w="691" w:type="dxa"/>
                  <w:tcBorders>
                    <w:top w:val="single" w:sz="8" w:space="0" w:color="FFFFFF" w:themeColor="background1"/>
                    <w:bottom w:val="single" w:sz="8" w:space="0" w:color="FFFFFF" w:themeColor="background1"/>
                  </w:tcBorders>
                  <w:shd w:val="clear" w:color="auto" w:fill="FFFFFF" w:themeFill="background1"/>
                  <w:tcMar>
                    <w:top w:w="0" w:type="dxa"/>
                    <w:left w:w="57" w:type="dxa"/>
                    <w:bottom w:w="0" w:type="dxa"/>
                    <w:right w:w="57" w:type="dxa"/>
                  </w:tcMar>
                  <w:hideMark/>
                </w:tcPr>
                <w:p w:rsidR="00A35A38" w:rsidRDefault="00A35A38" w:rsidP="00CB028E">
                  <w:pPr>
                    <w:pStyle w:val="TableUnit"/>
                    <w:rPr>
                      <w:lang w:eastAsia="en-AU"/>
                    </w:rPr>
                  </w:pPr>
                  <w:r>
                    <w:rPr>
                      <w:lang w:eastAsia="en-AU"/>
                    </w:rPr>
                    <w:t>%</w:t>
                  </w:r>
                </w:p>
              </w:tc>
              <w:tc>
                <w:tcPr>
                  <w:tcW w:w="691" w:type="dxa"/>
                  <w:tcBorders>
                    <w:top w:val="single" w:sz="8" w:space="0" w:color="FFFFFF" w:themeColor="background1"/>
                    <w:bottom w:val="single" w:sz="8" w:space="0" w:color="FFFFFF" w:themeColor="background1"/>
                  </w:tcBorders>
                  <w:shd w:val="clear" w:color="auto" w:fill="FFFFFF" w:themeFill="background1"/>
                  <w:tcMar>
                    <w:top w:w="0" w:type="dxa"/>
                    <w:left w:w="57" w:type="dxa"/>
                    <w:bottom w:w="0" w:type="dxa"/>
                    <w:right w:w="57" w:type="dxa"/>
                  </w:tcMar>
                  <w:hideMark/>
                </w:tcPr>
                <w:p w:rsidR="00A35A38" w:rsidRDefault="00A35A38" w:rsidP="00CB028E">
                  <w:pPr>
                    <w:pStyle w:val="TableUnit"/>
                    <w:rPr>
                      <w:lang w:eastAsia="en-AU"/>
                    </w:rPr>
                  </w:pPr>
                  <w:r>
                    <w:rPr>
                      <w:lang w:eastAsia="en-AU"/>
                    </w:rPr>
                    <w:t>%</w:t>
                  </w:r>
                </w:p>
              </w:tc>
              <w:tc>
                <w:tcPr>
                  <w:tcW w:w="691" w:type="dxa"/>
                  <w:tcBorders>
                    <w:top w:val="single" w:sz="8" w:space="0" w:color="FFFFFF" w:themeColor="background1"/>
                    <w:bottom w:val="single" w:sz="8" w:space="0" w:color="FFFFFF" w:themeColor="background1"/>
                  </w:tcBorders>
                  <w:shd w:val="clear" w:color="auto" w:fill="FFFFFF" w:themeFill="background1"/>
                </w:tcPr>
                <w:p w:rsidR="00A35A38" w:rsidRDefault="00E34203" w:rsidP="00CB028E">
                  <w:pPr>
                    <w:pStyle w:val="TableUnit"/>
                    <w:rPr>
                      <w:lang w:eastAsia="en-AU"/>
                    </w:rPr>
                  </w:pPr>
                  <w:r>
                    <w:rPr>
                      <w:lang w:eastAsia="en-AU"/>
                    </w:rPr>
                    <w:t>%</w:t>
                  </w:r>
                </w:p>
              </w:tc>
              <w:tc>
                <w:tcPr>
                  <w:tcW w:w="691" w:type="dxa"/>
                  <w:tcBorders>
                    <w:top w:val="single" w:sz="8" w:space="0" w:color="FFFFFF" w:themeColor="background1"/>
                    <w:bottom w:val="single" w:sz="8" w:space="0" w:color="FFFFFF" w:themeColor="background1"/>
                  </w:tcBorders>
                  <w:shd w:val="clear" w:color="auto" w:fill="FFFFFF" w:themeFill="background1"/>
                </w:tcPr>
                <w:p w:rsidR="00A35A38" w:rsidRDefault="00E34203" w:rsidP="00CB028E">
                  <w:pPr>
                    <w:pStyle w:val="TableUnit"/>
                    <w:rPr>
                      <w:lang w:eastAsia="en-AU"/>
                    </w:rPr>
                  </w:pPr>
                  <w:r>
                    <w:rPr>
                      <w:lang w:eastAsia="en-AU"/>
                    </w:rPr>
                    <w:t>%</w:t>
                  </w:r>
                </w:p>
              </w:tc>
            </w:tr>
            <w:tr w:rsidR="00A35A38" w:rsidTr="001C63E4">
              <w:tc>
                <w:tcPr>
                  <w:tcW w:w="1502" w:type="dxa"/>
                  <w:gridSpan w:val="2"/>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hideMark/>
                </w:tcPr>
                <w:p w:rsidR="00A35A38" w:rsidRDefault="00A35A38" w:rsidP="00CB028E">
                  <w:pPr>
                    <w:pStyle w:val="TableDataEntries"/>
                    <w:jc w:val="left"/>
                    <w:rPr>
                      <w:lang w:eastAsia="en-AU"/>
                    </w:rPr>
                  </w:pPr>
                  <w:r>
                    <w:rPr>
                      <w:lang w:eastAsia="en-AU"/>
                    </w:rPr>
                    <w:t>Apparel and certain finished textiles</w:t>
                  </w:r>
                </w:p>
              </w:tc>
              <w:tc>
                <w:tcPr>
                  <w:tcW w:w="51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55</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51</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43</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37</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31</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25</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17.5</w:t>
                  </w:r>
                </w:p>
              </w:tc>
              <w:tc>
                <w:tcPr>
                  <w:tcW w:w="691" w:type="dxa"/>
                  <w:tcBorders>
                    <w:top w:val="single" w:sz="8" w:space="0" w:color="FFFFFF" w:themeColor="background1"/>
                    <w:bottom w:val="single" w:sz="8" w:space="0" w:color="FFFFFF" w:themeColor="background1"/>
                  </w:tcBorders>
                  <w:shd w:val="clear" w:color="auto" w:fill="E9E8E5" w:themeFill="background2"/>
                  <w:vAlign w:val="bottom"/>
                  <w:hideMark/>
                </w:tcPr>
                <w:p w:rsidR="00A35A38" w:rsidRDefault="00A35A38" w:rsidP="001C63E4">
                  <w:pPr>
                    <w:pStyle w:val="TableDataEntries"/>
                    <w:rPr>
                      <w:lang w:eastAsia="en-AU"/>
                    </w:rPr>
                  </w:pPr>
                  <w:r>
                    <w:rPr>
                      <w:lang w:eastAsia="en-AU"/>
                    </w:rPr>
                    <w:t>10</w:t>
                  </w:r>
                </w:p>
              </w:tc>
              <w:tc>
                <w:tcPr>
                  <w:tcW w:w="691" w:type="dxa"/>
                  <w:tcBorders>
                    <w:top w:val="single" w:sz="8" w:space="0" w:color="FFFFFF" w:themeColor="background1"/>
                    <w:bottom w:val="single" w:sz="8" w:space="0" w:color="FFFFFF" w:themeColor="background1"/>
                  </w:tcBorders>
                  <w:shd w:val="clear" w:color="auto" w:fill="E9E8E5" w:themeFill="background2"/>
                  <w:vAlign w:val="bottom"/>
                  <w:hideMark/>
                </w:tcPr>
                <w:p w:rsidR="00A35A38" w:rsidRDefault="00A35A38" w:rsidP="001C63E4">
                  <w:pPr>
                    <w:pStyle w:val="TableDataEntries"/>
                    <w:rPr>
                      <w:lang w:eastAsia="en-AU"/>
                    </w:rPr>
                  </w:pPr>
                  <w:r>
                    <w:rPr>
                      <w:lang w:eastAsia="en-AU"/>
                    </w:rPr>
                    <w:t>5</w:t>
                  </w:r>
                </w:p>
              </w:tc>
            </w:tr>
            <w:tr w:rsidR="00A35A38" w:rsidTr="001C63E4">
              <w:tc>
                <w:tcPr>
                  <w:tcW w:w="1502" w:type="dxa"/>
                  <w:gridSpan w:val="2"/>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hideMark/>
                </w:tcPr>
                <w:p w:rsidR="00A35A38" w:rsidRDefault="00A35A38" w:rsidP="00CB028E">
                  <w:pPr>
                    <w:pStyle w:val="TableDataEntries"/>
                    <w:jc w:val="left"/>
                    <w:rPr>
                      <w:lang w:eastAsia="en-AU"/>
                    </w:rPr>
                  </w:pPr>
                  <w:r>
                    <w:rPr>
                      <w:lang w:eastAsia="en-AU"/>
                    </w:rPr>
                    <w:t>Footwear</w:t>
                  </w:r>
                </w:p>
              </w:tc>
              <w:tc>
                <w:tcPr>
                  <w:tcW w:w="51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45</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41</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33</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27</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21</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15</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10</w:t>
                  </w:r>
                </w:p>
              </w:tc>
              <w:tc>
                <w:tcPr>
                  <w:tcW w:w="691" w:type="dxa"/>
                  <w:tcBorders>
                    <w:top w:val="single" w:sz="8" w:space="0" w:color="FFFFFF" w:themeColor="background1"/>
                    <w:bottom w:val="single" w:sz="8" w:space="0" w:color="FFFFFF" w:themeColor="background1"/>
                  </w:tcBorders>
                  <w:shd w:val="clear" w:color="auto" w:fill="E9E8E5" w:themeFill="background2"/>
                  <w:vAlign w:val="bottom"/>
                  <w:hideMark/>
                </w:tcPr>
                <w:p w:rsidR="00A35A38" w:rsidRDefault="00A35A38" w:rsidP="001C63E4">
                  <w:pPr>
                    <w:pStyle w:val="TableDataEntries"/>
                    <w:rPr>
                      <w:lang w:eastAsia="en-AU"/>
                    </w:rPr>
                  </w:pPr>
                  <w:r>
                    <w:rPr>
                      <w:lang w:eastAsia="en-AU"/>
                    </w:rPr>
                    <w:t>5</w:t>
                  </w:r>
                </w:p>
              </w:tc>
              <w:tc>
                <w:tcPr>
                  <w:tcW w:w="691" w:type="dxa"/>
                  <w:tcBorders>
                    <w:top w:val="single" w:sz="8" w:space="0" w:color="FFFFFF" w:themeColor="background1"/>
                    <w:bottom w:val="single" w:sz="8" w:space="0" w:color="FFFFFF" w:themeColor="background1"/>
                  </w:tcBorders>
                  <w:shd w:val="clear" w:color="auto" w:fill="E9E8E5" w:themeFill="background2"/>
                  <w:vAlign w:val="bottom"/>
                  <w:hideMark/>
                </w:tcPr>
                <w:p w:rsidR="00A35A38" w:rsidRDefault="00A35A38" w:rsidP="001C63E4">
                  <w:pPr>
                    <w:pStyle w:val="TableDataEntries"/>
                    <w:rPr>
                      <w:lang w:eastAsia="en-AU"/>
                    </w:rPr>
                  </w:pPr>
                  <w:r>
                    <w:rPr>
                      <w:lang w:eastAsia="en-AU"/>
                    </w:rPr>
                    <w:t>5</w:t>
                  </w:r>
                </w:p>
              </w:tc>
            </w:tr>
            <w:tr w:rsidR="00A35A38" w:rsidTr="001C63E4">
              <w:tc>
                <w:tcPr>
                  <w:tcW w:w="1502" w:type="dxa"/>
                  <w:gridSpan w:val="2"/>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hideMark/>
                </w:tcPr>
                <w:p w:rsidR="00A35A38" w:rsidRDefault="00A35A38" w:rsidP="00CB028E">
                  <w:pPr>
                    <w:pStyle w:val="TableDataEntries"/>
                    <w:jc w:val="left"/>
                    <w:rPr>
                      <w:lang w:eastAsia="en-AU"/>
                    </w:rPr>
                  </w:pPr>
                  <w:r>
                    <w:rPr>
                      <w:lang w:eastAsia="en-AU"/>
                    </w:rPr>
                    <w:t>Woven fabrics</w:t>
                  </w:r>
                </w:p>
              </w:tc>
              <w:tc>
                <w:tcPr>
                  <w:tcW w:w="51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40</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37</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31</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25</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19</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15</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10</w:t>
                  </w:r>
                </w:p>
              </w:tc>
              <w:tc>
                <w:tcPr>
                  <w:tcW w:w="691" w:type="dxa"/>
                  <w:tcBorders>
                    <w:top w:val="single" w:sz="8" w:space="0" w:color="FFFFFF" w:themeColor="background1"/>
                    <w:bottom w:val="single" w:sz="8" w:space="0" w:color="FFFFFF" w:themeColor="background1"/>
                  </w:tcBorders>
                  <w:shd w:val="clear" w:color="auto" w:fill="E9E8E5" w:themeFill="background2"/>
                  <w:vAlign w:val="bottom"/>
                  <w:hideMark/>
                </w:tcPr>
                <w:p w:rsidR="00A35A38" w:rsidRDefault="00A35A38" w:rsidP="001C63E4">
                  <w:pPr>
                    <w:pStyle w:val="TableDataEntries"/>
                    <w:rPr>
                      <w:lang w:eastAsia="en-AU"/>
                    </w:rPr>
                  </w:pPr>
                  <w:r>
                    <w:rPr>
                      <w:lang w:eastAsia="en-AU"/>
                    </w:rPr>
                    <w:t>5</w:t>
                  </w:r>
                </w:p>
              </w:tc>
              <w:tc>
                <w:tcPr>
                  <w:tcW w:w="691" w:type="dxa"/>
                  <w:tcBorders>
                    <w:top w:val="single" w:sz="8" w:space="0" w:color="FFFFFF" w:themeColor="background1"/>
                    <w:bottom w:val="single" w:sz="8" w:space="0" w:color="FFFFFF" w:themeColor="background1"/>
                  </w:tcBorders>
                  <w:shd w:val="clear" w:color="auto" w:fill="E9E8E5" w:themeFill="background2"/>
                  <w:vAlign w:val="bottom"/>
                  <w:hideMark/>
                </w:tcPr>
                <w:p w:rsidR="00A35A38" w:rsidRDefault="00A35A38" w:rsidP="001C63E4">
                  <w:pPr>
                    <w:pStyle w:val="TableDataEntries"/>
                    <w:rPr>
                      <w:lang w:eastAsia="en-AU"/>
                    </w:rPr>
                  </w:pPr>
                  <w:r>
                    <w:rPr>
                      <w:lang w:eastAsia="en-AU"/>
                    </w:rPr>
                    <w:t>5</w:t>
                  </w:r>
                </w:p>
              </w:tc>
            </w:tr>
            <w:tr w:rsidR="00A35A38" w:rsidTr="001C63E4">
              <w:tc>
                <w:tcPr>
                  <w:tcW w:w="1502" w:type="dxa"/>
                  <w:gridSpan w:val="2"/>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hideMark/>
                </w:tcPr>
                <w:p w:rsidR="00A35A38" w:rsidRDefault="00A35A38" w:rsidP="00CB028E">
                  <w:pPr>
                    <w:pStyle w:val="TableDataEntries"/>
                    <w:jc w:val="left"/>
                    <w:rPr>
                      <w:lang w:eastAsia="en-AU"/>
                    </w:rPr>
                  </w:pPr>
                  <w:r>
                    <w:rPr>
                      <w:lang w:eastAsia="en-AU"/>
                    </w:rPr>
                    <w:t>Sleeping bags, table linen</w:t>
                  </w:r>
                </w:p>
              </w:tc>
              <w:tc>
                <w:tcPr>
                  <w:tcW w:w="51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25</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23</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19</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15</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12</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10</w:t>
                  </w:r>
                </w:p>
              </w:tc>
              <w:tc>
                <w:tcPr>
                  <w:tcW w:w="691"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7.5</w:t>
                  </w:r>
                </w:p>
              </w:tc>
              <w:tc>
                <w:tcPr>
                  <w:tcW w:w="691" w:type="dxa"/>
                  <w:tcBorders>
                    <w:top w:val="single" w:sz="8" w:space="0" w:color="FFFFFF" w:themeColor="background1"/>
                    <w:bottom w:val="single" w:sz="8" w:space="0" w:color="FFFFFF" w:themeColor="background1"/>
                  </w:tcBorders>
                  <w:shd w:val="clear" w:color="auto" w:fill="E9E8E5" w:themeFill="background2"/>
                  <w:vAlign w:val="bottom"/>
                  <w:hideMark/>
                </w:tcPr>
                <w:p w:rsidR="00A35A38" w:rsidRDefault="00A35A38" w:rsidP="001C63E4">
                  <w:pPr>
                    <w:pStyle w:val="TableDataEntries"/>
                    <w:rPr>
                      <w:lang w:eastAsia="en-AU"/>
                    </w:rPr>
                  </w:pPr>
                  <w:r>
                    <w:rPr>
                      <w:lang w:eastAsia="en-AU"/>
                    </w:rPr>
                    <w:t>5</w:t>
                  </w:r>
                </w:p>
              </w:tc>
              <w:tc>
                <w:tcPr>
                  <w:tcW w:w="691" w:type="dxa"/>
                  <w:tcBorders>
                    <w:top w:val="single" w:sz="8" w:space="0" w:color="FFFFFF" w:themeColor="background1"/>
                    <w:bottom w:val="single" w:sz="8" w:space="0" w:color="FFFFFF" w:themeColor="background1"/>
                  </w:tcBorders>
                  <w:shd w:val="clear" w:color="auto" w:fill="E9E8E5" w:themeFill="background2"/>
                  <w:vAlign w:val="bottom"/>
                  <w:hideMark/>
                </w:tcPr>
                <w:p w:rsidR="00A35A38" w:rsidRDefault="00A35A38" w:rsidP="001C63E4">
                  <w:pPr>
                    <w:pStyle w:val="TableDataEntries"/>
                    <w:rPr>
                      <w:lang w:eastAsia="en-AU"/>
                    </w:rPr>
                  </w:pPr>
                  <w:r>
                    <w:rPr>
                      <w:lang w:eastAsia="en-AU"/>
                    </w:rPr>
                    <w:t>5</w:t>
                  </w:r>
                </w:p>
              </w:tc>
            </w:tr>
            <w:tr w:rsidR="00A35A38" w:rsidTr="001C63E4">
              <w:tc>
                <w:tcPr>
                  <w:tcW w:w="1502" w:type="dxa"/>
                  <w:gridSpan w:val="2"/>
                  <w:tcBorders>
                    <w:top w:val="single" w:sz="8" w:space="0" w:color="FFFFFF" w:themeColor="background1"/>
                    <w:left w:val="nil"/>
                    <w:bottom w:val="single" w:sz="6" w:space="0" w:color="6F6652"/>
                    <w:right w:val="nil"/>
                  </w:tcBorders>
                  <w:shd w:val="clear" w:color="auto" w:fill="E9E8E5" w:themeFill="background2"/>
                  <w:tcMar>
                    <w:top w:w="0" w:type="dxa"/>
                    <w:left w:w="57" w:type="dxa"/>
                    <w:bottom w:w="0" w:type="dxa"/>
                    <w:right w:w="57" w:type="dxa"/>
                  </w:tcMar>
                  <w:hideMark/>
                </w:tcPr>
                <w:p w:rsidR="00A35A38" w:rsidRDefault="00A35A38" w:rsidP="00CB028E">
                  <w:pPr>
                    <w:pStyle w:val="TableDataEntries"/>
                    <w:jc w:val="left"/>
                    <w:rPr>
                      <w:lang w:eastAsia="en-AU"/>
                    </w:rPr>
                  </w:pPr>
                  <w:r>
                    <w:rPr>
                      <w:lang w:eastAsia="en-AU"/>
                    </w:rPr>
                    <w:t>Passenger motor vehicles</w:t>
                  </w:r>
                </w:p>
              </w:tc>
              <w:tc>
                <w:tcPr>
                  <w:tcW w:w="511" w:type="dxa"/>
                  <w:tcBorders>
                    <w:top w:val="single" w:sz="8" w:space="0" w:color="FFFFFF" w:themeColor="background1"/>
                    <w:left w:val="nil"/>
                    <w:bottom w:val="single" w:sz="6" w:space="0" w:color="6F6652"/>
                    <w:right w:val="nil"/>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40</w:t>
                  </w:r>
                </w:p>
              </w:tc>
              <w:tc>
                <w:tcPr>
                  <w:tcW w:w="691" w:type="dxa"/>
                  <w:tcBorders>
                    <w:top w:val="single" w:sz="8" w:space="0" w:color="FFFFFF" w:themeColor="background1"/>
                    <w:left w:val="nil"/>
                    <w:bottom w:val="single" w:sz="6" w:space="0" w:color="6F6652"/>
                    <w:right w:val="nil"/>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35</w:t>
                  </w:r>
                </w:p>
              </w:tc>
              <w:tc>
                <w:tcPr>
                  <w:tcW w:w="691" w:type="dxa"/>
                  <w:tcBorders>
                    <w:top w:val="single" w:sz="8" w:space="0" w:color="FFFFFF" w:themeColor="background1"/>
                    <w:left w:val="nil"/>
                    <w:bottom w:val="single" w:sz="6" w:space="0" w:color="6F6652"/>
                    <w:right w:val="nil"/>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30</w:t>
                  </w:r>
                </w:p>
              </w:tc>
              <w:tc>
                <w:tcPr>
                  <w:tcW w:w="691" w:type="dxa"/>
                  <w:tcBorders>
                    <w:top w:val="single" w:sz="8" w:space="0" w:color="FFFFFF" w:themeColor="background1"/>
                    <w:left w:val="nil"/>
                    <w:bottom w:val="single" w:sz="6" w:space="0" w:color="6F6652"/>
                    <w:right w:val="nil"/>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25</w:t>
                  </w:r>
                </w:p>
              </w:tc>
              <w:tc>
                <w:tcPr>
                  <w:tcW w:w="691" w:type="dxa"/>
                  <w:tcBorders>
                    <w:top w:val="single" w:sz="8" w:space="0" w:color="FFFFFF" w:themeColor="background1"/>
                    <w:left w:val="nil"/>
                    <w:bottom w:val="single" w:sz="6" w:space="0" w:color="6F6652"/>
                    <w:right w:val="nil"/>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20</w:t>
                  </w:r>
                </w:p>
              </w:tc>
              <w:tc>
                <w:tcPr>
                  <w:tcW w:w="691" w:type="dxa"/>
                  <w:tcBorders>
                    <w:top w:val="single" w:sz="8" w:space="0" w:color="FFFFFF" w:themeColor="background1"/>
                    <w:left w:val="nil"/>
                    <w:bottom w:val="single" w:sz="6" w:space="0" w:color="6F6652"/>
                    <w:right w:val="nil"/>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15</w:t>
                  </w:r>
                </w:p>
              </w:tc>
              <w:tc>
                <w:tcPr>
                  <w:tcW w:w="691" w:type="dxa"/>
                  <w:tcBorders>
                    <w:top w:val="single" w:sz="8" w:space="0" w:color="FFFFFF" w:themeColor="background1"/>
                    <w:left w:val="nil"/>
                    <w:bottom w:val="single" w:sz="6" w:space="0" w:color="6F6652"/>
                    <w:right w:val="nil"/>
                  </w:tcBorders>
                  <w:shd w:val="clear" w:color="auto" w:fill="E9E8E5" w:themeFill="background2"/>
                  <w:tcMar>
                    <w:top w:w="0" w:type="dxa"/>
                    <w:left w:w="57" w:type="dxa"/>
                    <w:bottom w:w="0" w:type="dxa"/>
                    <w:right w:w="57" w:type="dxa"/>
                  </w:tcMar>
                  <w:vAlign w:val="bottom"/>
                  <w:hideMark/>
                </w:tcPr>
                <w:p w:rsidR="00A35A38" w:rsidRDefault="00A35A38" w:rsidP="001C63E4">
                  <w:pPr>
                    <w:pStyle w:val="TableDataEntries"/>
                    <w:rPr>
                      <w:lang w:eastAsia="en-AU"/>
                    </w:rPr>
                  </w:pPr>
                  <w:r>
                    <w:rPr>
                      <w:lang w:eastAsia="en-AU"/>
                    </w:rPr>
                    <w:t>10</w:t>
                  </w:r>
                </w:p>
              </w:tc>
              <w:tc>
                <w:tcPr>
                  <w:tcW w:w="691" w:type="dxa"/>
                  <w:tcBorders>
                    <w:top w:val="single" w:sz="8" w:space="0" w:color="FFFFFF" w:themeColor="background1"/>
                    <w:left w:val="nil"/>
                    <w:bottom w:val="single" w:sz="6" w:space="0" w:color="6F6652"/>
                    <w:right w:val="nil"/>
                  </w:tcBorders>
                  <w:shd w:val="clear" w:color="auto" w:fill="E9E8E5" w:themeFill="background2"/>
                  <w:vAlign w:val="bottom"/>
                  <w:hideMark/>
                </w:tcPr>
                <w:p w:rsidR="00A35A38" w:rsidRDefault="00A35A38" w:rsidP="001C63E4">
                  <w:pPr>
                    <w:pStyle w:val="TableDataEntries"/>
                    <w:rPr>
                      <w:lang w:eastAsia="en-AU"/>
                    </w:rPr>
                  </w:pPr>
                  <w:r>
                    <w:rPr>
                      <w:lang w:eastAsia="en-AU"/>
                    </w:rPr>
                    <w:t>5</w:t>
                  </w:r>
                </w:p>
              </w:tc>
              <w:tc>
                <w:tcPr>
                  <w:tcW w:w="691" w:type="dxa"/>
                  <w:tcBorders>
                    <w:top w:val="single" w:sz="8" w:space="0" w:color="FFFFFF" w:themeColor="background1"/>
                    <w:left w:val="nil"/>
                    <w:bottom w:val="single" w:sz="6" w:space="0" w:color="6F6652"/>
                    <w:right w:val="nil"/>
                  </w:tcBorders>
                  <w:shd w:val="clear" w:color="auto" w:fill="E9E8E5" w:themeFill="background2"/>
                  <w:vAlign w:val="bottom"/>
                  <w:hideMark/>
                </w:tcPr>
                <w:p w:rsidR="00A35A38" w:rsidRDefault="00A35A38" w:rsidP="001C63E4">
                  <w:pPr>
                    <w:pStyle w:val="TableDataEntries"/>
                    <w:rPr>
                      <w:lang w:eastAsia="en-AU"/>
                    </w:rPr>
                  </w:pPr>
                  <w:r>
                    <w:rPr>
                      <w:lang w:eastAsia="en-AU"/>
                    </w:rPr>
                    <w:t>5</w:t>
                  </w:r>
                </w:p>
              </w:tc>
            </w:tr>
          </w:tbl>
          <w:p w:rsidR="00A35A38" w:rsidRDefault="00A35A38" w:rsidP="00D546BA">
            <w:pPr>
              <w:pStyle w:val="Source"/>
              <w:ind w:left="57"/>
            </w:pPr>
            <w:r>
              <w:rPr>
                <w:i/>
                <w:lang w:eastAsia="en-AU"/>
              </w:rPr>
              <w:t>Source:</w:t>
            </w:r>
            <w:r>
              <w:rPr>
                <w:lang w:eastAsia="en-AU"/>
              </w:rPr>
              <w:t xml:space="preserve"> Industry Commission 1997, </w:t>
            </w:r>
            <w:r>
              <w:rPr>
                <w:i/>
                <w:lang w:eastAsia="en-AU"/>
              </w:rPr>
              <w:t>The Textiles, Clothing And Footwear Industries Volume 1: Report</w:t>
            </w:r>
            <w:r>
              <w:rPr>
                <w:lang w:eastAsia="en-AU"/>
              </w:rPr>
              <w:t xml:space="preserve">, Report No. 59, Table 6.1; </w:t>
            </w:r>
            <w:r w:rsidR="00D546BA">
              <w:rPr>
                <w:lang w:eastAsia="en-AU"/>
              </w:rPr>
              <w:t xml:space="preserve">  </w:t>
            </w:r>
            <w:r>
              <w:rPr>
                <w:lang w:eastAsia="en-AU"/>
              </w:rPr>
              <w:t xml:space="preserve">Department of Immigration and Border Protection, </w:t>
            </w:r>
            <w:r>
              <w:rPr>
                <w:i/>
                <w:lang w:eastAsia="en-AU"/>
              </w:rPr>
              <w:t>Current Tariff Classification</w:t>
            </w:r>
            <w:r>
              <w:rPr>
                <w:lang w:eastAsia="en-AU"/>
              </w:rPr>
              <w:t xml:space="preserve"> available at: </w:t>
            </w:r>
            <w:hyperlink r:id="rId30" w:history="1">
              <w:r>
                <w:rPr>
                  <w:rStyle w:val="Hyperlink"/>
                  <w:lang w:eastAsia="en-AU"/>
                </w:rPr>
                <w:t>http://www.border.gov.au/Busi/cargo-support-trade-and-goods/importing-goods/tariff-classification-of-goods/current-tariff-classification/schedule-3/section-xii/chapter-64</w:t>
              </w:r>
            </w:hyperlink>
            <w:r>
              <w:rPr>
                <w:lang w:eastAsia="en-AU"/>
              </w:rPr>
              <w:t xml:space="preserve"> </w:t>
            </w:r>
            <w:r w:rsidRPr="00E9619A">
              <w:t>.</w:t>
            </w:r>
          </w:p>
          <w:p w:rsidR="00502C03" w:rsidRPr="003B3209" w:rsidRDefault="00502C03" w:rsidP="00D546BA">
            <w:pPr>
              <w:pStyle w:val="Heading4"/>
              <w:spacing w:before="300"/>
              <w:rPr>
                <w:rFonts w:ascii="Calisto MT" w:eastAsiaTheme="minorEastAsia" w:hAnsi="Calisto MT"/>
                <w:color w:val="auto"/>
                <w:kern w:val="0"/>
                <w:szCs w:val="21"/>
              </w:rPr>
            </w:pPr>
            <w:r w:rsidRPr="003B3209">
              <w:t>Multilateral trade liberalisation</w:t>
            </w:r>
          </w:p>
          <w:p w:rsidR="00502C03" w:rsidRDefault="00502C03" w:rsidP="00D546BA">
            <w:pPr>
              <w:spacing w:before="60"/>
            </w:pPr>
            <w:r>
              <w:t>Australia has been a member of the GATT since inception in 1948 and subsequently the WTO from 1995. Despite this, Australia did not participate in many of the early tariff negotiation rounds because they excluded agricultural products.</w:t>
            </w:r>
            <w:r w:rsidRPr="00DD6F27">
              <w:rPr>
                <w:rStyle w:val="FootnoteReference"/>
              </w:rPr>
              <w:footnoteReference w:id="23"/>
            </w:r>
            <w:r>
              <w:t xml:space="preserve"> Concessions agreed to under the Tokyo and Uruguay rounds to lower bound rates did not result in significant reductions in applied rates due to the unilateral tariff reductions that Australia had already undertaken in the 1970s and 1980s. </w:t>
            </w:r>
          </w:p>
          <w:p w:rsidR="00502C03" w:rsidRDefault="00502C03" w:rsidP="00502C03">
            <w:pPr>
              <w:spacing w:before="140"/>
            </w:pPr>
            <w:r>
              <w:t>Australia has also implemented tariff concessions under the Generalised System of Preferences (GSP). This provides developing countries with non-reciprocal, concessional tariff rates. Australia currently has five categories of member countries that receive varying levels of preferential treatment. These countries enjoyed tariff rates 5 percentage points below the general tariff rate (or free entry for goods with a tariff rate lower than 5 per cent).</w:t>
            </w:r>
          </w:p>
          <w:p w:rsidR="00502C03" w:rsidRPr="00502C03" w:rsidRDefault="00502C03" w:rsidP="00502C03">
            <w:pPr>
              <w:spacing w:before="140" w:after="120"/>
            </w:pPr>
            <w:r>
              <w:t>From 1992 Australia started a process of reducing preferences to all but the least developed countries (LDC) and Forum Island countries. Under this process, tariff rates did not increase for any country, but gradually moved towards the general rate. LDC and Forum Island countries have duty and quota free access to Australia.</w:t>
            </w:r>
            <w:r w:rsidRPr="00DD6F27">
              <w:rPr>
                <w:rStyle w:val="FootnoteReference"/>
              </w:rPr>
              <w:footnoteReference w:id="24"/>
            </w:r>
          </w:p>
        </w:tc>
      </w:tr>
      <w:tr w:rsidR="00A35A38" w:rsidTr="00CB028E">
        <w:trPr>
          <w:trHeight w:val="198"/>
        </w:trPr>
        <w:tc>
          <w:tcPr>
            <w:tcW w:w="7935" w:type="dxa"/>
            <w:tcBorders>
              <w:top w:val="nil"/>
              <w:left w:val="nil"/>
              <w:bottom w:val="nil"/>
              <w:right w:val="nil"/>
            </w:tcBorders>
            <w:shd w:val="clear" w:color="auto" w:fill="E9E8E5" w:themeFill="background2"/>
          </w:tcPr>
          <w:p w:rsidR="00A35A38" w:rsidRDefault="00A35A38" w:rsidP="00CB028E">
            <w:pPr>
              <w:spacing w:before="140"/>
            </w:pPr>
            <w:r>
              <w:t>Australia was also party to the Information Technology Agreement, reached in 1996, which sought to eliminate tariffs on high technology products. In 2015 members agreed to extend product coverage of the agreement to an additional 201 products. Tariffs on these products will be eliminated between 2016 and 2019.</w:t>
            </w:r>
            <w:r w:rsidRPr="00DD6F27">
              <w:rPr>
                <w:rStyle w:val="FootnoteReference"/>
              </w:rPr>
              <w:footnoteReference w:id="25"/>
            </w:r>
            <w:r w:rsidRPr="00DD6F27">
              <w:rPr>
                <w:rStyle w:val="FootnoteReference"/>
              </w:rPr>
              <w:t xml:space="preserve"> </w:t>
            </w:r>
          </w:p>
          <w:p w:rsidR="00A35A38" w:rsidRPr="003B3209" w:rsidRDefault="00A35A38" w:rsidP="00CB028E">
            <w:pPr>
              <w:pStyle w:val="Heading4"/>
              <w:rPr>
                <w:rFonts w:ascii="Calisto MT" w:eastAsiaTheme="minorEastAsia" w:hAnsi="Calisto MT"/>
                <w:color w:val="auto"/>
                <w:kern w:val="0"/>
                <w:szCs w:val="21"/>
              </w:rPr>
            </w:pPr>
            <w:r w:rsidRPr="003B3209">
              <w:t>Bilateral and regional liberalisation</w:t>
            </w:r>
          </w:p>
          <w:p w:rsidR="00A35A38" w:rsidRDefault="00A35A38" w:rsidP="00A35A38">
            <w:pPr>
              <w:spacing w:before="70" w:after="120"/>
            </w:pPr>
            <w:r>
              <w:t>Australia’s current bilateral and regional agreements, and their date of entry into force, are listed in the table below. In addition to these, Australia is currently negotiating a number of other regional and bilateral agreements.</w:t>
            </w:r>
            <w:r>
              <w:rPr>
                <w:rStyle w:val="FootnoteReference"/>
              </w:rPr>
              <w:footnoteReference w:id="26"/>
            </w:r>
          </w:p>
        </w:tc>
      </w:tr>
      <w:tr w:rsidR="00A35A38" w:rsidTr="00CB028E">
        <w:trPr>
          <w:trHeight w:val="198"/>
        </w:trPr>
        <w:tc>
          <w:tcPr>
            <w:tcW w:w="7935" w:type="dxa"/>
            <w:tcBorders>
              <w:top w:val="nil"/>
              <w:left w:val="nil"/>
              <w:bottom w:val="single" w:sz="4" w:space="0" w:color="6F6652" w:themeColor="accent5"/>
              <w:right w:val="nil"/>
            </w:tcBorders>
            <w:shd w:val="clear" w:color="auto" w:fill="E9E8E5" w:themeFill="background2"/>
          </w:tcPr>
          <w:p w:rsidR="00A35A38" w:rsidRPr="00D546BA" w:rsidRDefault="00A35A38" w:rsidP="00D546BA">
            <w:pPr>
              <w:spacing w:before="120" w:after="60"/>
              <w:rPr>
                <w:rFonts w:ascii="Franklin Gothic Demi" w:hAnsi="Franklin Gothic Demi"/>
              </w:rPr>
            </w:pPr>
            <w:r w:rsidRPr="00D546BA">
              <w:rPr>
                <w:rFonts w:ascii="Franklin Gothic Demi" w:hAnsi="Franklin Gothic Demi"/>
              </w:rPr>
              <w:t>Australia’s bilateral and regional agreements</w:t>
            </w:r>
          </w:p>
          <w:tbl>
            <w:tblPr>
              <w:tblW w:w="7365" w:type="dxa"/>
              <w:tblInd w:w="57" w:type="dxa"/>
              <w:tblLayout w:type="fixed"/>
              <w:tblLook w:val="04A0" w:firstRow="1" w:lastRow="0" w:firstColumn="1" w:lastColumn="0" w:noHBand="0" w:noVBand="1"/>
            </w:tblPr>
            <w:tblGrid>
              <w:gridCol w:w="3770"/>
              <w:gridCol w:w="3595"/>
            </w:tblGrid>
            <w:tr w:rsidR="00CE2FFA" w:rsidTr="00F42806">
              <w:tc>
                <w:tcPr>
                  <w:tcW w:w="3770" w:type="dxa"/>
                  <w:tcBorders>
                    <w:bottom w:val="single" w:sz="8" w:space="0" w:color="FFFFFF" w:themeColor="background1"/>
                  </w:tcBorders>
                  <w:shd w:val="clear" w:color="auto" w:fill="6F6652"/>
                  <w:tcMar>
                    <w:top w:w="0" w:type="dxa"/>
                    <w:left w:w="57" w:type="dxa"/>
                    <w:bottom w:w="0" w:type="dxa"/>
                    <w:right w:w="57" w:type="dxa"/>
                  </w:tcMar>
                  <w:hideMark/>
                </w:tcPr>
                <w:p w:rsidR="00CE2FFA" w:rsidRDefault="00CE2FFA" w:rsidP="00CB028E">
                  <w:pPr>
                    <w:pStyle w:val="TableDataColumnHeading"/>
                    <w:jc w:val="left"/>
                    <w:rPr>
                      <w:lang w:eastAsia="en-AU"/>
                    </w:rPr>
                  </w:pPr>
                  <w:r>
                    <w:rPr>
                      <w:lang w:eastAsia="en-AU"/>
                    </w:rPr>
                    <w:t>Country/region</w:t>
                  </w:r>
                </w:p>
              </w:tc>
              <w:tc>
                <w:tcPr>
                  <w:tcW w:w="3595" w:type="dxa"/>
                  <w:tcBorders>
                    <w:bottom w:val="single" w:sz="8" w:space="0" w:color="FFFFFF" w:themeColor="background1"/>
                  </w:tcBorders>
                  <w:shd w:val="clear" w:color="auto" w:fill="6F6652"/>
                  <w:tcMar>
                    <w:top w:w="0" w:type="dxa"/>
                    <w:left w:w="57" w:type="dxa"/>
                    <w:bottom w:w="0" w:type="dxa"/>
                    <w:right w:w="57" w:type="dxa"/>
                  </w:tcMar>
                  <w:hideMark/>
                </w:tcPr>
                <w:p w:rsidR="00CE2FFA" w:rsidRDefault="00CE2FFA" w:rsidP="00F42806">
                  <w:pPr>
                    <w:pStyle w:val="TableDataColumnHeading"/>
                    <w:jc w:val="left"/>
                    <w:rPr>
                      <w:lang w:eastAsia="en-AU"/>
                    </w:rPr>
                  </w:pPr>
                  <w:r>
                    <w:rPr>
                      <w:lang w:eastAsia="en-AU"/>
                    </w:rPr>
                    <w:t>Entry into force</w:t>
                  </w:r>
                </w:p>
              </w:tc>
            </w:tr>
            <w:tr w:rsidR="00CE2FFA" w:rsidTr="00F42806">
              <w:tc>
                <w:tcPr>
                  <w:tcW w:w="3770"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hideMark/>
                </w:tcPr>
                <w:p w:rsidR="00CE2FFA" w:rsidRDefault="00CE2FFA" w:rsidP="00CB028E">
                  <w:pPr>
                    <w:pStyle w:val="TableDataEntries"/>
                    <w:jc w:val="left"/>
                    <w:rPr>
                      <w:lang w:eastAsia="en-AU"/>
                    </w:rPr>
                  </w:pPr>
                  <w:r>
                    <w:rPr>
                      <w:lang w:eastAsia="en-AU"/>
                    </w:rPr>
                    <w:t>New Zealand</w:t>
                  </w:r>
                </w:p>
              </w:tc>
              <w:tc>
                <w:tcPr>
                  <w:tcW w:w="3595"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hideMark/>
                </w:tcPr>
                <w:p w:rsidR="00CE2FFA" w:rsidRDefault="00CE2FFA" w:rsidP="00F42806">
                  <w:pPr>
                    <w:pStyle w:val="TableDataEntries"/>
                    <w:jc w:val="left"/>
                    <w:rPr>
                      <w:lang w:eastAsia="en-AU"/>
                    </w:rPr>
                  </w:pPr>
                  <w:r>
                    <w:rPr>
                      <w:lang w:eastAsia="en-AU"/>
                    </w:rPr>
                    <w:t>1983</w:t>
                  </w:r>
                </w:p>
              </w:tc>
            </w:tr>
            <w:tr w:rsidR="00CE2FFA" w:rsidTr="00F42806">
              <w:tc>
                <w:tcPr>
                  <w:tcW w:w="3770"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hideMark/>
                </w:tcPr>
                <w:p w:rsidR="00CE2FFA" w:rsidRDefault="00CE2FFA" w:rsidP="00CB028E">
                  <w:pPr>
                    <w:pStyle w:val="TableDataEntries"/>
                    <w:jc w:val="left"/>
                    <w:rPr>
                      <w:lang w:eastAsia="en-AU"/>
                    </w:rPr>
                  </w:pPr>
                  <w:r>
                    <w:rPr>
                      <w:lang w:eastAsia="en-AU"/>
                    </w:rPr>
                    <w:t>Singapore</w:t>
                  </w:r>
                </w:p>
              </w:tc>
              <w:tc>
                <w:tcPr>
                  <w:tcW w:w="3595"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hideMark/>
                </w:tcPr>
                <w:p w:rsidR="00CE2FFA" w:rsidRDefault="00CE2FFA" w:rsidP="00F42806">
                  <w:pPr>
                    <w:pStyle w:val="TableDataEntries"/>
                    <w:jc w:val="left"/>
                    <w:rPr>
                      <w:lang w:eastAsia="en-AU"/>
                    </w:rPr>
                  </w:pPr>
                  <w:r>
                    <w:rPr>
                      <w:lang w:eastAsia="en-AU"/>
                    </w:rPr>
                    <w:t>2003</w:t>
                  </w:r>
                </w:p>
              </w:tc>
            </w:tr>
            <w:tr w:rsidR="00CE2FFA" w:rsidTr="00F42806">
              <w:tc>
                <w:tcPr>
                  <w:tcW w:w="3770"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hideMark/>
                </w:tcPr>
                <w:p w:rsidR="00CE2FFA" w:rsidRDefault="00CE2FFA" w:rsidP="00CB028E">
                  <w:pPr>
                    <w:pStyle w:val="TableDataEntries"/>
                    <w:jc w:val="left"/>
                    <w:rPr>
                      <w:lang w:eastAsia="en-AU"/>
                    </w:rPr>
                  </w:pPr>
                  <w:r>
                    <w:rPr>
                      <w:lang w:eastAsia="en-AU"/>
                    </w:rPr>
                    <w:t>US</w:t>
                  </w:r>
                </w:p>
              </w:tc>
              <w:tc>
                <w:tcPr>
                  <w:tcW w:w="3595"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hideMark/>
                </w:tcPr>
                <w:p w:rsidR="00CE2FFA" w:rsidRDefault="00CE2FFA" w:rsidP="00F42806">
                  <w:pPr>
                    <w:pStyle w:val="TableDataEntries"/>
                    <w:jc w:val="left"/>
                    <w:rPr>
                      <w:lang w:eastAsia="en-AU"/>
                    </w:rPr>
                  </w:pPr>
                  <w:r>
                    <w:rPr>
                      <w:lang w:eastAsia="en-AU"/>
                    </w:rPr>
                    <w:t>2005</w:t>
                  </w:r>
                </w:p>
              </w:tc>
            </w:tr>
            <w:tr w:rsidR="00CE2FFA" w:rsidTr="00F42806">
              <w:tc>
                <w:tcPr>
                  <w:tcW w:w="3770"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hideMark/>
                </w:tcPr>
                <w:p w:rsidR="00CE2FFA" w:rsidRDefault="00CE2FFA" w:rsidP="00CB028E">
                  <w:pPr>
                    <w:pStyle w:val="TableDataEntries"/>
                    <w:jc w:val="left"/>
                    <w:rPr>
                      <w:lang w:eastAsia="en-AU"/>
                    </w:rPr>
                  </w:pPr>
                  <w:r>
                    <w:rPr>
                      <w:lang w:eastAsia="en-AU"/>
                    </w:rPr>
                    <w:t>Thailand</w:t>
                  </w:r>
                </w:p>
              </w:tc>
              <w:tc>
                <w:tcPr>
                  <w:tcW w:w="3595"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hideMark/>
                </w:tcPr>
                <w:p w:rsidR="00CE2FFA" w:rsidRDefault="00CE2FFA" w:rsidP="00F42806">
                  <w:pPr>
                    <w:pStyle w:val="TableDataEntries"/>
                    <w:jc w:val="left"/>
                    <w:rPr>
                      <w:lang w:eastAsia="en-AU"/>
                    </w:rPr>
                  </w:pPr>
                  <w:r>
                    <w:rPr>
                      <w:lang w:eastAsia="en-AU"/>
                    </w:rPr>
                    <w:t>2005</w:t>
                  </w:r>
                </w:p>
              </w:tc>
            </w:tr>
            <w:tr w:rsidR="00F42806" w:rsidTr="00F42806">
              <w:tc>
                <w:tcPr>
                  <w:tcW w:w="3770"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tcPr>
                <w:p w:rsidR="00F42806" w:rsidRDefault="00F42806" w:rsidP="00CB028E">
                  <w:pPr>
                    <w:pStyle w:val="TableDataEntries"/>
                    <w:jc w:val="left"/>
                    <w:rPr>
                      <w:lang w:eastAsia="en-AU"/>
                    </w:rPr>
                  </w:pPr>
                  <w:r>
                    <w:rPr>
                      <w:lang w:eastAsia="en-AU"/>
                    </w:rPr>
                    <w:t>Chile</w:t>
                  </w:r>
                </w:p>
              </w:tc>
              <w:tc>
                <w:tcPr>
                  <w:tcW w:w="3595"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tcPr>
                <w:p w:rsidR="00F42806" w:rsidRDefault="00F42806" w:rsidP="00F42806">
                  <w:pPr>
                    <w:pStyle w:val="TableDataEntries"/>
                    <w:jc w:val="left"/>
                    <w:rPr>
                      <w:lang w:eastAsia="en-AU"/>
                    </w:rPr>
                  </w:pPr>
                  <w:r>
                    <w:rPr>
                      <w:lang w:eastAsia="en-AU"/>
                    </w:rPr>
                    <w:t>2009</w:t>
                  </w:r>
                </w:p>
              </w:tc>
            </w:tr>
            <w:tr w:rsidR="00F42806" w:rsidTr="00F42806">
              <w:tc>
                <w:tcPr>
                  <w:tcW w:w="3770"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tcPr>
                <w:p w:rsidR="00F42806" w:rsidRDefault="00F42806" w:rsidP="00CB028E">
                  <w:pPr>
                    <w:pStyle w:val="TableDataEntries"/>
                    <w:jc w:val="left"/>
                    <w:rPr>
                      <w:lang w:eastAsia="en-AU"/>
                    </w:rPr>
                  </w:pPr>
                  <w:r>
                    <w:rPr>
                      <w:lang w:eastAsia="en-AU"/>
                    </w:rPr>
                    <w:t>ASEAN &amp; NZ</w:t>
                  </w:r>
                </w:p>
              </w:tc>
              <w:tc>
                <w:tcPr>
                  <w:tcW w:w="3595"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tcPr>
                <w:p w:rsidR="00F42806" w:rsidRDefault="00F42806" w:rsidP="00F42806">
                  <w:pPr>
                    <w:pStyle w:val="TableDataEntries"/>
                    <w:jc w:val="left"/>
                    <w:rPr>
                      <w:lang w:eastAsia="en-AU"/>
                    </w:rPr>
                  </w:pPr>
                  <w:r>
                    <w:rPr>
                      <w:lang w:eastAsia="en-AU"/>
                    </w:rPr>
                    <w:t>2010–2012</w:t>
                  </w:r>
                </w:p>
              </w:tc>
            </w:tr>
            <w:tr w:rsidR="00F42806" w:rsidTr="00F42806">
              <w:tc>
                <w:tcPr>
                  <w:tcW w:w="3770"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tcPr>
                <w:p w:rsidR="00F42806" w:rsidRDefault="00F42806" w:rsidP="00CB028E">
                  <w:pPr>
                    <w:pStyle w:val="TableDataEntries"/>
                    <w:jc w:val="left"/>
                    <w:rPr>
                      <w:lang w:eastAsia="en-AU"/>
                    </w:rPr>
                  </w:pPr>
                  <w:r>
                    <w:rPr>
                      <w:lang w:eastAsia="en-AU"/>
                    </w:rPr>
                    <w:t>Malaysia</w:t>
                  </w:r>
                </w:p>
              </w:tc>
              <w:tc>
                <w:tcPr>
                  <w:tcW w:w="3595"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tcPr>
                <w:p w:rsidR="00F42806" w:rsidRDefault="00F42806" w:rsidP="00F42806">
                  <w:pPr>
                    <w:pStyle w:val="TableDataEntries"/>
                    <w:jc w:val="left"/>
                    <w:rPr>
                      <w:lang w:eastAsia="en-AU"/>
                    </w:rPr>
                  </w:pPr>
                  <w:r>
                    <w:rPr>
                      <w:lang w:eastAsia="en-AU"/>
                    </w:rPr>
                    <w:t>2013</w:t>
                  </w:r>
                </w:p>
              </w:tc>
            </w:tr>
            <w:tr w:rsidR="00CE2FFA" w:rsidTr="00F42806">
              <w:tc>
                <w:tcPr>
                  <w:tcW w:w="3770"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tcPr>
                <w:p w:rsidR="00CE2FFA" w:rsidRDefault="00CE2FFA" w:rsidP="00CB028E">
                  <w:pPr>
                    <w:pStyle w:val="TableDataEntries"/>
                    <w:jc w:val="left"/>
                    <w:rPr>
                      <w:lang w:eastAsia="en-AU"/>
                    </w:rPr>
                  </w:pPr>
                  <w:r>
                    <w:rPr>
                      <w:lang w:eastAsia="en-AU"/>
                    </w:rPr>
                    <w:t>Korea</w:t>
                  </w:r>
                </w:p>
              </w:tc>
              <w:tc>
                <w:tcPr>
                  <w:tcW w:w="3595"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tcPr>
                <w:p w:rsidR="00CE2FFA" w:rsidRDefault="00CE2FFA" w:rsidP="00F42806">
                  <w:pPr>
                    <w:pStyle w:val="TableDataEntries"/>
                    <w:jc w:val="left"/>
                    <w:rPr>
                      <w:lang w:eastAsia="en-AU"/>
                    </w:rPr>
                  </w:pPr>
                  <w:r>
                    <w:rPr>
                      <w:lang w:eastAsia="en-AU"/>
                    </w:rPr>
                    <w:t>2014</w:t>
                  </w:r>
                </w:p>
              </w:tc>
            </w:tr>
            <w:tr w:rsidR="00CE2FFA" w:rsidTr="00F42806">
              <w:tc>
                <w:tcPr>
                  <w:tcW w:w="3770"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tcPr>
                <w:p w:rsidR="00CE2FFA" w:rsidRDefault="00CE2FFA" w:rsidP="00CB028E">
                  <w:pPr>
                    <w:pStyle w:val="TableDataEntries"/>
                    <w:jc w:val="left"/>
                    <w:rPr>
                      <w:lang w:eastAsia="en-AU"/>
                    </w:rPr>
                  </w:pPr>
                  <w:r>
                    <w:rPr>
                      <w:lang w:eastAsia="en-AU"/>
                    </w:rPr>
                    <w:t>Japan</w:t>
                  </w:r>
                </w:p>
              </w:tc>
              <w:tc>
                <w:tcPr>
                  <w:tcW w:w="3595" w:type="dxa"/>
                  <w:tcBorders>
                    <w:top w:val="single" w:sz="8" w:space="0" w:color="FFFFFF" w:themeColor="background1"/>
                    <w:bottom w:val="single" w:sz="8" w:space="0" w:color="FFFFFF" w:themeColor="background1"/>
                  </w:tcBorders>
                  <w:shd w:val="clear" w:color="auto" w:fill="E9E8E5" w:themeFill="background2"/>
                  <w:tcMar>
                    <w:top w:w="0" w:type="dxa"/>
                    <w:left w:w="57" w:type="dxa"/>
                    <w:bottom w:w="0" w:type="dxa"/>
                    <w:right w:w="57" w:type="dxa"/>
                  </w:tcMar>
                </w:tcPr>
                <w:p w:rsidR="00CE2FFA" w:rsidRDefault="00CE2FFA" w:rsidP="00F42806">
                  <w:pPr>
                    <w:pStyle w:val="TableDataEntries"/>
                    <w:jc w:val="left"/>
                    <w:rPr>
                      <w:lang w:eastAsia="en-AU"/>
                    </w:rPr>
                  </w:pPr>
                  <w:r>
                    <w:rPr>
                      <w:lang w:eastAsia="en-AU"/>
                    </w:rPr>
                    <w:t>2015</w:t>
                  </w:r>
                </w:p>
              </w:tc>
            </w:tr>
            <w:tr w:rsidR="00F42806" w:rsidTr="00F42806">
              <w:tc>
                <w:tcPr>
                  <w:tcW w:w="3770" w:type="dxa"/>
                  <w:tcBorders>
                    <w:top w:val="single" w:sz="8" w:space="0" w:color="FFFFFF" w:themeColor="background1"/>
                    <w:left w:val="nil"/>
                    <w:bottom w:val="single" w:sz="6" w:space="0" w:color="6F6652"/>
                    <w:right w:val="nil"/>
                  </w:tcBorders>
                  <w:shd w:val="clear" w:color="auto" w:fill="E9E8E5" w:themeFill="background2"/>
                  <w:tcMar>
                    <w:top w:w="0" w:type="dxa"/>
                    <w:left w:w="57" w:type="dxa"/>
                    <w:bottom w:w="0" w:type="dxa"/>
                    <w:right w:w="57" w:type="dxa"/>
                  </w:tcMar>
                </w:tcPr>
                <w:p w:rsidR="00F42806" w:rsidRDefault="00F42806" w:rsidP="00CB028E">
                  <w:pPr>
                    <w:pStyle w:val="TableDataEntries"/>
                    <w:jc w:val="left"/>
                    <w:rPr>
                      <w:lang w:eastAsia="en-AU"/>
                    </w:rPr>
                  </w:pPr>
                  <w:r>
                    <w:rPr>
                      <w:lang w:eastAsia="en-AU"/>
                    </w:rPr>
                    <w:t>China</w:t>
                  </w:r>
                </w:p>
              </w:tc>
              <w:tc>
                <w:tcPr>
                  <w:tcW w:w="3595" w:type="dxa"/>
                  <w:tcBorders>
                    <w:top w:val="single" w:sz="8" w:space="0" w:color="FFFFFF" w:themeColor="background1"/>
                    <w:left w:val="nil"/>
                    <w:bottom w:val="single" w:sz="6" w:space="0" w:color="6F6652"/>
                    <w:right w:val="nil"/>
                  </w:tcBorders>
                  <w:shd w:val="clear" w:color="auto" w:fill="E9E8E5" w:themeFill="background2"/>
                  <w:tcMar>
                    <w:top w:w="0" w:type="dxa"/>
                    <w:left w:w="57" w:type="dxa"/>
                    <w:bottom w:w="0" w:type="dxa"/>
                    <w:right w:w="57" w:type="dxa"/>
                  </w:tcMar>
                </w:tcPr>
                <w:p w:rsidR="00F42806" w:rsidRDefault="00F42806" w:rsidP="00CB028E">
                  <w:pPr>
                    <w:pStyle w:val="TableDataEntries"/>
                    <w:jc w:val="left"/>
                    <w:rPr>
                      <w:lang w:eastAsia="en-AU"/>
                    </w:rPr>
                  </w:pPr>
                  <w:r>
                    <w:rPr>
                      <w:lang w:eastAsia="en-AU"/>
                    </w:rPr>
                    <w:t>2015</w:t>
                  </w:r>
                </w:p>
              </w:tc>
            </w:tr>
          </w:tbl>
          <w:p w:rsidR="00A35A38" w:rsidRDefault="00D546BA" w:rsidP="00CB028E">
            <w:pPr>
              <w:pStyle w:val="Source"/>
            </w:pPr>
            <w:r>
              <w:t xml:space="preserve">  </w:t>
            </w:r>
            <w:r w:rsidR="00A35A38" w:rsidRPr="003B3209">
              <w:t>Source:</w:t>
            </w:r>
            <w:r w:rsidR="00A35A38">
              <w:t xml:space="preserve"> DFAT n.d., </w:t>
            </w:r>
            <w:r w:rsidR="00A35A38" w:rsidRPr="00AD5009">
              <w:rPr>
                <w:i/>
              </w:rPr>
              <w:t>Status of FTA negotiations.</w:t>
            </w:r>
            <w:r w:rsidR="00A35A38">
              <w:t xml:space="preserve"> </w:t>
            </w:r>
            <w:hyperlink r:id="rId31" w:history="1">
              <w:r w:rsidR="00A35A38" w:rsidRPr="003B3209">
                <w:rPr>
                  <w:rStyle w:val="Hyperlink"/>
                </w:rPr>
                <w:t>http://dfat.gov.au/trade/agreements/Pages/status-of-fta-negotiations.aspx</w:t>
              </w:r>
            </w:hyperlink>
            <w:r w:rsidR="00A35A38" w:rsidRPr="004C3B43">
              <w:t>.</w:t>
            </w:r>
            <w:r w:rsidR="00A35A38">
              <w:t xml:space="preserve"> </w:t>
            </w:r>
          </w:p>
          <w:p w:rsidR="00A35A38" w:rsidRPr="00305683" w:rsidRDefault="00A35A38" w:rsidP="00502C03">
            <w:pPr>
              <w:pStyle w:val="BodyText"/>
              <w:spacing w:before="240" w:after="120"/>
              <w:rPr>
                <w:rStyle w:val="BodyTextChar1"/>
                <w:rFonts w:asciiTheme="minorHAnsi" w:hAnsiTheme="minorHAnsi"/>
              </w:rPr>
            </w:pPr>
            <w:r w:rsidRPr="00305683">
              <w:rPr>
                <w:rStyle w:val="BodyTextChar1"/>
                <w:rFonts w:asciiTheme="minorHAnsi" w:hAnsiTheme="minorHAnsi"/>
              </w:rPr>
              <w:t>Under each of the trade agreements, Australia has lowered tariff barriers below most favoured nation (MFN) rates (as well as services and investment provisions) for partner countries. The extent of the tariff reductions varies between agreements. As a result of these agreements, Australian exporters also gain enhanced access to partner markets.</w:t>
            </w:r>
          </w:p>
        </w:tc>
      </w:tr>
    </w:tbl>
    <w:p w:rsidR="00A35A38" w:rsidRDefault="00A35A38" w:rsidP="00C96F7B">
      <w:pPr>
        <w:pStyle w:val="BodyText"/>
      </w:pPr>
    </w:p>
    <w:p w:rsidR="003A04B9" w:rsidRDefault="003A04B9" w:rsidP="00C96F7B">
      <w:pPr>
        <w:pStyle w:val="Heading6"/>
      </w:pPr>
      <w:bookmarkStart w:id="285" w:name="_Toc494120818"/>
      <w:r>
        <w:t>Economic analysis methodologies</w:t>
      </w:r>
      <w:bookmarkEnd w:id="285"/>
    </w:p>
    <w:p w:rsidR="003A04B9" w:rsidRDefault="00AB717B" w:rsidP="009715FA">
      <w:pPr>
        <w:pStyle w:val="Heading7"/>
      </w:pPr>
      <w:r>
        <w:t>Trade-related</w:t>
      </w:r>
      <w:r w:rsidR="009715FA">
        <w:t xml:space="preserve"> employment estimates</w:t>
      </w:r>
    </w:p>
    <w:p w:rsidR="007B76F6" w:rsidRDefault="00F637AC" w:rsidP="009715FA">
      <w:pPr>
        <w:pStyle w:val="BodyText"/>
        <w:rPr>
          <w:rStyle w:val="BodyTextChar"/>
        </w:rPr>
      </w:pPr>
      <w:r>
        <w:t xml:space="preserve">The estimates of </w:t>
      </w:r>
      <w:r w:rsidR="00AB717B">
        <w:t>trade-related</w:t>
      </w:r>
      <w:r>
        <w:t xml:space="preserve"> employment, reported in </w:t>
      </w:r>
      <w:r w:rsidR="00526A4F">
        <w:t>Chapter</w:t>
      </w:r>
      <w:r>
        <w:t xml:space="preserve"> </w:t>
      </w:r>
      <w:r w:rsidR="00D33343">
        <w:t>2</w:t>
      </w:r>
      <w:r>
        <w:t xml:space="preserve">, were compiled using Australia’s input-output </w:t>
      </w:r>
      <w:r w:rsidR="00977CD1">
        <w:t xml:space="preserve">(I-O) </w:t>
      </w:r>
      <w:r>
        <w:t>tables</w:t>
      </w:r>
      <w:r w:rsidR="009D3F73">
        <w:t>.</w:t>
      </w:r>
      <w:r w:rsidR="009D3F73">
        <w:rPr>
          <w:rStyle w:val="FootnoteReference"/>
        </w:rPr>
        <w:footnoteReference w:id="27"/>
      </w:r>
      <w:r>
        <w:t xml:space="preserve">. The export share of each </w:t>
      </w:r>
      <w:r w:rsidR="00977CD1">
        <w:t>I-O industry was used to approximate the number of people employed in export</w:t>
      </w:r>
      <w:r w:rsidR="00726649">
        <w:t>-</w:t>
      </w:r>
      <w:r w:rsidR="00977CD1">
        <w:t>related activities in each industry. Table 5 (Direct allocation of imports) of the I-O tables was used for the export share calculation so that only Australian production was included. Changes in inventory were excluded from final use to ensure final use was positive. For all years except 2013</w:t>
      </w:r>
      <w:r w:rsidR="0093066A">
        <w:t>-</w:t>
      </w:r>
      <w:r w:rsidR="00977CD1">
        <w:t xml:space="preserve">14, employment data by industry was sourced from table 20 of the I-O tables. </w:t>
      </w:r>
      <w:r w:rsidR="007B76F6">
        <w:t>Table 20 was not published for 2013</w:t>
      </w:r>
      <w:r w:rsidR="0093066A">
        <w:t>-</w:t>
      </w:r>
      <w:r w:rsidR="007B76F6">
        <w:t>14 so e</w:t>
      </w:r>
      <w:r w:rsidR="00977CD1">
        <w:t xml:space="preserve">mployment </w:t>
      </w:r>
      <w:r>
        <w:t>data for 2013</w:t>
      </w:r>
      <w:r w:rsidR="0093066A">
        <w:t>-</w:t>
      </w:r>
      <w:r>
        <w:t xml:space="preserve">14 </w:t>
      </w:r>
      <w:r w:rsidR="00977CD1">
        <w:t>wa</w:t>
      </w:r>
      <w:r>
        <w:t xml:space="preserve">s from ABS </w:t>
      </w:r>
      <w:r w:rsidR="0026698B">
        <w:t xml:space="preserve">Quarterly Labour Force data (series </w:t>
      </w:r>
      <w:r>
        <w:t>6291</w:t>
      </w:r>
      <w:r w:rsidR="0026698B">
        <w:t>,</w:t>
      </w:r>
      <w:r>
        <w:t xml:space="preserve"> Table</w:t>
      </w:r>
      <w:r>
        <w:rPr>
          <w:rStyle w:val="BodyTextChar"/>
        </w:rPr>
        <w:t xml:space="preserve"> 6</w:t>
      </w:r>
      <w:r w:rsidR="0026698B">
        <w:rPr>
          <w:rStyle w:val="BodyTextChar"/>
        </w:rPr>
        <w:t>)</w:t>
      </w:r>
      <w:r w:rsidR="007B76F6">
        <w:rPr>
          <w:rStyle w:val="BodyTextChar"/>
        </w:rPr>
        <w:t xml:space="preserve">. </w:t>
      </w:r>
      <w:r w:rsidR="0026698B">
        <w:rPr>
          <w:rStyle w:val="BodyTextChar"/>
        </w:rPr>
        <w:t xml:space="preserve">Employment for ANZSIC sub-divisions was allocated to the I-O industries before the export share was applied. In each year, </w:t>
      </w:r>
      <w:r w:rsidR="009A7B3F">
        <w:rPr>
          <w:rStyle w:val="BodyTextChar"/>
        </w:rPr>
        <w:t>export-related</w:t>
      </w:r>
      <w:r w:rsidR="0026698B">
        <w:rPr>
          <w:rStyle w:val="BodyTextChar"/>
        </w:rPr>
        <w:t xml:space="preserve"> employment was summed to the reported aggregate sectors to determine the overall export-related employment share.</w:t>
      </w:r>
    </w:p>
    <w:p w:rsidR="0026698B" w:rsidRDefault="0026698B" w:rsidP="009715FA">
      <w:pPr>
        <w:pStyle w:val="BodyText"/>
      </w:pPr>
      <w:r>
        <w:rPr>
          <w:rStyle w:val="BodyTextChar"/>
        </w:rPr>
        <w:t xml:space="preserve">The employment in activities associated with imports was estimated based on the share of goods consumed in Australia that were imported, and the employment in goods distribution services, again using Australian I-O tables. The share of goods consumed that were imported was calculated based on total final use of goods in Australia, and total imports of goods (sourced from tables 2 and 3 of the </w:t>
      </w:r>
      <w:r w:rsidR="001C2698">
        <w:rPr>
          <w:rStyle w:val="BodyTextChar"/>
        </w:rPr>
        <w:t xml:space="preserve">I-O tables). </w:t>
      </w:r>
      <w:r w:rsidR="007D7EB8">
        <w:rPr>
          <w:rStyle w:val="BodyTextChar"/>
        </w:rPr>
        <w:t xml:space="preserve">Three industries </w:t>
      </w:r>
      <w:r w:rsidR="00E1208F">
        <w:rPr>
          <w:rStyle w:val="BodyTextChar"/>
        </w:rPr>
        <w:t>—</w:t>
      </w:r>
      <w:r w:rsidR="007D7EB8">
        <w:rPr>
          <w:rStyle w:val="BodyTextChar"/>
        </w:rPr>
        <w:t xml:space="preserve"> </w:t>
      </w:r>
      <w:r w:rsidR="007D7EB8" w:rsidRPr="00B4493C">
        <w:t>transport and stor</w:t>
      </w:r>
      <w:r w:rsidR="007D7EB8">
        <w:t xml:space="preserve">age, retail trade, and wholesale trade </w:t>
      </w:r>
      <w:r w:rsidR="00E1208F">
        <w:t>—</w:t>
      </w:r>
      <w:r w:rsidR="007D7EB8">
        <w:t xml:space="preserve"> were determined to be the key distribution industries involved in moving imports from the port of entry to the final consumer. Therefore, it was assumed that employment in these industries, adjusted by the share of imports in the economy, was import-related employment.</w:t>
      </w:r>
    </w:p>
    <w:p w:rsidR="007D7EB8" w:rsidRDefault="007D7EB8" w:rsidP="009715FA">
      <w:pPr>
        <w:pStyle w:val="BodyText"/>
        <w:rPr>
          <w:rStyle w:val="BodyTextChar"/>
        </w:rPr>
      </w:pPr>
      <w:r>
        <w:t xml:space="preserve">Total </w:t>
      </w:r>
      <w:r w:rsidR="00AB717B">
        <w:t>trade-related</w:t>
      </w:r>
      <w:r>
        <w:t xml:space="preserve"> employment is the sum of the export and </w:t>
      </w:r>
      <w:r w:rsidR="009A7B3F">
        <w:t>import-related</w:t>
      </w:r>
      <w:r>
        <w:t xml:space="preserve"> employment.</w:t>
      </w:r>
    </w:p>
    <w:p w:rsidR="009715FA" w:rsidRDefault="009715FA" w:rsidP="009715FA">
      <w:pPr>
        <w:pStyle w:val="Heading7"/>
      </w:pPr>
      <w:r>
        <w:t xml:space="preserve">General equilibrium modelling </w:t>
      </w:r>
      <w:r w:rsidR="00D33343">
        <w:t>—</w:t>
      </w:r>
      <w:r>
        <w:t xml:space="preserve"> economic effects of liberalisation and protection</w:t>
      </w:r>
    </w:p>
    <w:p w:rsidR="007D7EB8" w:rsidRDefault="007D7EB8" w:rsidP="007D7EB8">
      <w:pPr>
        <w:pStyle w:val="BodyText"/>
      </w:pPr>
      <w:r>
        <w:t xml:space="preserve">Modelling results presented in </w:t>
      </w:r>
      <w:r w:rsidR="0090302A">
        <w:t>c</w:t>
      </w:r>
      <w:r>
        <w:t>hapters</w:t>
      </w:r>
      <w:r w:rsidR="00CC0E19">
        <w:t xml:space="preserve"> 3</w:t>
      </w:r>
      <w:r>
        <w:t xml:space="preserve"> and </w:t>
      </w:r>
      <w:r w:rsidR="00CC0E19">
        <w:t>4</w:t>
      </w:r>
      <w:r>
        <w:t xml:space="preserve"> are based on results of analysis using the G</w:t>
      </w:r>
      <w:r w:rsidR="00D33343">
        <w:t>lobal Trade Analysis Project (G</w:t>
      </w:r>
      <w:r>
        <w:t>TAP</w:t>
      </w:r>
      <w:r w:rsidR="00D33343">
        <w:t>)</w:t>
      </w:r>
      <w:r>
        <w:t xml:space="preserve"> model. </w:t>
      </w:r>
      <w:r w:rsidRPr="002076EF">
        <w:t xml:space="preserve">GTAP is a publicly available modelling framework and database managed from the Center for Global Trade Analysis at Purdue University. </w:t>
      </w:r>
    </w:p>
    <w:p w:rsidR="007D7EB8" w:rsidRPr="002076EF" w:rsidRDefault="007D7EB8" w:rsidP="007D7EB8">
      <w:pPr>
        <w:pStyle w:val="BodyText"/>
      </w:pPr>
      <w:r w:rsidRPr="002076EF">
        <w:t>The standard GTAP model is a multi</w:t>
      </w:r>
      <w:r w:rsidR="00D33343">
        <w:t>-</w:t>
      </w:r>
      <w:r w:rsidRPr="002076EF">
        <w:t>region, multi</w:t>
      </w:r>
      <w:r w:rsidR="00D33343">
        <w:t>-</w:t>
      </w:r>
      <w:r w:rsidRPr="002076EF">
        <w:t xml:space="preserve">sector, </w:t>
      </w:r>
      <w:r w:rsidR="00D33343">
        <w:t xml:space="preserve">computable general equilibrium </w:t>
      </w:r>
      <w:r w:rsidRPr="002076EF">
        <w:t>model, with perfect competition and constant returns to scale. Innovative aspects of this model include:</w:t>
      </w:r>
    </w:p>
    <w:p w:rsidR="007D7EB8" w:rsidRPr="002076EF" w:rsidRDefault="007D7EB8" w:rsidP="007D7EB8">
      <w:pPr>
        <w:pStyle w:val="ListBullet"/>
      </w:pPr>
      <w:r w:rsidRPr="002076EF">
        <w:t xml:space="preserve">the treatment of private household preferences using the non-homothetic </w:t>
      </w:r>
      <w:r w:rsidR="00D33343">
        <w:t>constant difference of elasticity</w:t>
      </w:r>
      <w:r w:rsidRPr="002076EF">
        <w:t xml:space="preserve"> functional form</w:t>
      </w:r>
    </w:p>
    <w:p w:rsidR="007D7EB8" w:rsidRPr="002076EF" w:rsidRDefault="007D7EB8" w:rsidP="007D7EB8">
      <w:pPr>
        <w:pStyle w:val="ListBullet"/>
      </w:pPr>
      <w:r w:rsidRPr="002076EF">
        <w:t>the explicit treatment of international trade and transport margins</w:t>
      </w:r>
      <w:r w:rsidR="00D33343">
        <w:t>, with substitutability between imports by source and domestic production being han</w:t>
      </w:r>
      <w:r w:rsidRPr="002076EF">
        <w:t>dled via the Armington assumption</w:t>
      </w:r>
    </w:p>
    <w:p w:rsidR="007D7EB8" w:rsidRPr="002076EF" w:rsidRDefault="007D7EB8" w:rsidP="007D7EB8">
      <w:pPr>
        <w:pStyle w:val="ListBullet"/>
      </w:pPr>
      <w:r w:rsidRPr="002076EF">
        <w:t>a global banking sector which intermediates between global savings and consumption.</w:t>
      </w:r>
    </w:p>
    <w:p w:rsidR="00C809C6" w:rsidRDefault="007D7EB8" w:rsidP="007D7EB8">
      <w:pPr>
        <w:pStyle w:val="BodyText"/>
      </w:pPr>
      <w:r w:rsidRPr="002076EF">
        <w:t>For th</w:t>
      </w:r>
      <w:r w:rsidR="00C809C6">
        <w:t xml:space="preserve">e analysis presented in </w:t>
      </w:r>
      <w:r w:rsidR="00526A4F">
        <w:t>Chapter</w:t>
      </w:r>
      <w:r w:rsidR="00C809C6">
        <w:t xml:space="preserve"> </w:t>
      </w:r>
      <w:r w:rsidR="00D33343">
        <w:t>3</w:t>
      </w:r>
      <w:r w:rsidRPr="002076EF">
        <w:t xml:space="preserve">, the GTAP model is used to compare the world economy under current tariff rates with the state of the economy </w:t>
      </w:r>
      <w:r w:rsidR="00C809C6">
        <w:t xml:space="preserve">had Australian </w:t>
      </w:r>
      <w:r w:rsidRPr="002076EF">
        <w:t xml:space="preserve">tariff rates </w:t>
      </w:r>
      <w:r w:rsidR="00C809C6">
        <w:t>remained as they were in 1986</w:t>
      </w:r>
      <w:r w:rsidRPr="002076EF">
        <w:t>.</w:t>
      </w:r>
      <w:r w:rsidR="00C809C6">
        <w:t xml:space="preserve"> Results presented in </w:t>
      </w:r>
      <w:r w:rsidR="00526A4F">
        <w:t>Chapter</w:t>
      </w:r>
      <w:r w:rsidR="00C809C6">
        <w:t xml:space="preserve"> </w:t>
      </w:r>
      <w:r w:rsidR="00CC0E19">
        <w:t>4</w:t>
      </w:r>
      <w:r w:rsidR="00C809C6">
        <w:t xml:space="preserve"> use the GTAP model to compare the </w:t>
      </w:r>
      <w:r w:rsidR="00C809C6" w:rsidRPr="002076EF">
        <w:t>world economy under current tariff rates</w:t>
      </w:r>
      <w:r w:rsidR="00C809C6">
        <w:t xml:space="preserve"> with hypothetical scenarios with higher or lower rates of protection across the world.</w:t>
      </w:r>
    </w:p>
    <w:p w:rsidR="007D7EB8" w:rsidRDefault="00C809C6" w:rsidP="009715FA">
      <w:pPr>
        <w:pStyle w:val="BodyText"/>
      </w:pPr>
      <w:r>
        <w:t xml:space="preserve">A key advantage of the GTAP model for this project was the availability of historical databases. </w:t>
      </w:r>
      <w:r w:rsidR="002B7169">
        <w:t xml:space="preserve">The model databases effectively determine the structure of the economies on which the analysis is conducted. The starting economic structure (database) has significant impacts on the modelling results. As the Australian (and world) economy has changed significantly over the past 30 years (for many different reasons, including changes in trade protection), simply increasing tariff rates back to levels seen in 1986 on the current economic structure would provide an unrealistic estimate of the impact of continual tariff reductions over a long time period. Rather, we have used the available historical databases so that the economic structure on which the tariff changes are applied more closely reflect reality. </w:t>
      </w:r>
      <w:r w:rsidR="00532EFB">
        <w:t xml:space="preserve">The databases used for the project were GTAP 4 (base year 1995), GTAP 5 (base year 1997), GTAP 6 (base year 2001), and GTAP 9 (base years 2004, 2007, 2011). </w:t>
      </w:r>
      <w:r w:rsidR="00E277B7">
        <w:t>The results of separate model runs (using each database and the tariff change corresponding to the time period between the databases) were compiled to provide an overall impact of 30 years of trade liberalisation.</w:t>
      </w:r>
    </w:p>
    <w:p w:rsidR="00305683" w:rsidRDefault="00305683" w:rsidP="003B3209">
      <w:pPr>
        <w:pStyle w:val="BodyText"/>
      </w:pPr>
    </w:p>
    <w:p w:rsidR="00305683" w:rsidRDefault="00305683" w:rsidP="003B3209">
      <w:pPr>
        <w:pStyle w:val="BodyText"/>
        <w:sectPr w:rsidR="00305683" w:rsidSect="00BE4757">
          <w:headerReference w:type="even" r:id="rId32"/>
          <w:headerReference w:type="default" r:id="rId33"/>
          <w:footerReference w:type="even" r:id="rId34"/>
          <w:footerReference w:type="default" r:id="rId35"/>
          <w:pgSz w:w="11906" w:h="16838" w:code="9"/>
          <w:pgMar w:top="2268" w:right="1701" w:bottom="1418" w:left="2268" w:header="680" w:footer="680" w:gutter="0"/>
          <w:pgNumType w:start="1"/>
          <w:cols w:space="708"/>
          <w:docGrid w:linePitch="360"/>
        </w:sectPr>
      </w:pPr>
    </w:p>
    <w:p w:rsidR="003B3209" w:rsidRPr="00884722" w:rsidRDefault="003B3209" w:rsidP="003B3209">
      <w:pPr>
        <w:pStyle w:val="BodyText"/>
      </w:pPr>
      <w:r>
        <w:rPr>
          <w:noProof/>
        </w:rPr>
        <w:drawing>
          <wp:anchor distT="0" distB="0" distL="114300" distR="114300" simplePos="0" relativeHeight="251662336" behindDoc="0" locked="0" layoutInCell="0" allowOverlap="1" wp14:anchorId="72E94A13" wp14:editId="7ACBBCF9">
            <wp:simplePos x="0" y="0"/>
            <wp:positionH relativeFrom="page">
              <wp:posOffset>0</wp:posOffset>
            </wp:positionH>
            <wp:positionV relativeFrom="page">
              <wp:posOffset>0</wp:posOffset>
            </wp:positionV>
            <wp:extent cx="7559675" cy="10691495"/>
            <wp:effectExtent l="0" t="0" r="317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lients\CIE, New templates\Logo &amp; cover options\Final artwork\report cover graphics\backcover_600dpi.png"/>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3209" w:rsidRDefault="003B3209" w:rsidP="003B3209">
      <w:pPr>
        <w:pStyle w:val="BodyText"/>
      </w:pPr>
      <w:r>
        <w:rPr>
          <w:noProof/>
        </w:rPr>
        <mc:AlternateContent>
          <mc:Choice Requires="wps">
            <w:drawing>
              <wp:anchor distT="0" distB="0" distL="114300" distR="114300" simplePos="0" relativeHeight="251663360" behindDoc="0" locked="0" layoutInCell="0" allowOverlap="1" wp14:anchorId="751DA93F" wp14:editId="0DF2BB6B">
                <wp:simplePos x="0" y="0"/>
                <wp:positionH relativeFrom="page">
                  <wp:posOffset>1231265</wp:posOffset>
                </wp:positionH>
                <wp:positionV relativeFrom="page">
                  <wp:posOffset>7164705</wp:posOffset>
                </wp:positionV>
                <wp:extent cx="3351600" cy="540000"/>
                <wp:effectExtent l="0" t="0" r="1270" b="12700"/>
                <wp:wrapNone/>
                <wp:docPr id="21" name="Text Box 21"/>
                <wp:cNvGraphicFramePr/>
                <a:graphic xmlns:a="http://schemas.openxmlformats.org/drawingml/2006/main">
                  <a:graphicData uri="http://schemas.microsoft.com/office/word/2010/wordprocessingShape">
                    <wps:wsp>
                      <wps:cNvSpPr txBox="1"/>
                      <wps:spPr>
                        <a:xfrm>
                          <a:off x="0" y="0"/>
                          <a:ext cx="33516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023" w:rsidRPr="003E1F01" w:rsidRDefault="00241023" w:rsidP="003B3209">
                            <w:pPr>
                              <w:pStyle w:val="BodyText"/>
                              <w:spacing w:before="0" w:line="240" w:lineRule="auto"/>
                              <w:rPr>
                                <w:rFonts w:ascii="Franklin Gothic Demi" w:hAnsi="Franklin Gothic Demi"/>
                                <w:caps/>
                                <w:spacing w:val="10"/>
                                <w:sz w:val="18"/>
                              </w:rPr>
                            </w:pPr>
                            <w:r w:rsidRPr="003E1F01">
                              <w:rPr>
                                <w:rFonts w:ascii="Franklin Gothic Demi" w:hAnsi="Franklin Gothic Demi"/>
                                <w:caps/>
                                <w:spacing w:val="10"/>
                                <w:sz w:val="18"/>
                              </w:rPr>
                              <w:t>The Centre for International Economics</w:t>
                            </w:r>
                          </w:p>
                          <w:p w:rsidR="00241023" w:rsidRPr="003E1F01" w:rsidRDefault="00241023" w:rsidP="003B3209">
                            <w:pPr>
                              <w:pStyle w:val="BodyText"/>
                              <w:spacing w:before="0" w:line="240" w:lineRule="auto"/>
                              <w:rPr>
                                <w:i/>
                                <w:sz w:val="22"/>
                              </w:rPr>
                            </w:pPr>
                            <w:r w:rsidRPr="003E1F01">
                              <w:rPr>
                                <w:i/>
                                <w:sz w:val="22"/>
                              </w:rPr>
                              <w:t>www.TheCIE.com.au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1DA93F" id="_x0000_t202" coordsize="21600,21600" o:spt="202" path="m,l,21600r21600,l21600,xe">
                <v:stroke joinstyle="miter"/>
                <v:path gradientshapeok="t" o:connecttype="rect"/>
              </v:shapetype>
              <v:shape id="Text Box 21" o:spid="_x0000_s1026" type="#_x0000_t202" style="position:absolute;margin-left:96.95pt;margin-top:564.15pt;width:263.9pt;height:4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" o:allowincell="f" filled="f" stroked="f" strokeweight=".5pt">
                <v:textbox inset="0,0,0,0">
                  <w:txbxContent>
                    <w:p w:rsidR="00241023" w:rsidRPr="003E1F01" w:rsidRDefault="00241023" w:rsidP="003B3209">
                      <w:pPr>
                        <w:pStyle w:val="BodyText"/>
                        <w:spacing w:before="0" w:line="240" w:lineRule="auto"/>
                        <w:rPr>
                          <w:rFonts w:ascii="Franklin Gothic Demi" w:hAnsi="Franklin Gothic Demi"/>
                          <w:caps/>
                          <w:spacing w:val="10"/>
                          <w:sz w:val="18"/>
                        </w:rPr>
                      </w:pPr>
                      <w:r w:rsidRPr="003E1F01">
                        <w:rPr>
                          <w:rFonts w:ascii="Franklin Gothic Demi" w:hAnsi="Franklin Gothic Demi"/>
                          <w:caps/>
                          <w:spacing w:val="10"/>
                          <w:sz w:val="18"/>
                        </w:rPr>
                        <w:t>The Centre for International Economics</w:t>
                      </w:r>
                    </w:p>
                    <w:p w:rsidR="00241023" w:rsidRPr="003E1F01" w:rsidRDefault="00241023" w:rsidP="003B3209">
                      <w:pPr>
                        <w:pStyle w:val="BodyText"/>
                        <w:spacing w:before="0" w:line="240" w:lineRule="auto"/>
                        <w:rPr>
                          <w:i/>
                          <w:sz w:val="22"/>
                        </w:rPr>
                      </w:pPr>
                      <w:r w:rsidRPr="003E1F01">
                        <w:rPr>
                          <w:i/>
                          <w:sz w:val="22"/>
                        </w:rPr>
                        <w:t>www.TheCIE.com.au</w:t>
                      </w:r>
                    </w:p>
                  </w:txbxContent>
                </v:textbox>
                <w10:wrap anchorx="page" anchory="page"/>
              </v:shape>
            </w:pict>
          </mc:Fallback>
        </mc:AlternateContent>
      </w:r>
    </w:p>
    <w:p w:rsidR="00336195" w:rsidRPr="00C75454" w:rsidRDefault="00336195" w:rsidP="00010AED">
      <w:pPr>
        <w:pStyle w:val="BodyText"/>
      </w:pPr>
    </w:p>
    <w:sectPr w:rsidR="00336195" w:rsidRPr="00C75454" w:rsidSect="003B3209">
      <w:headerReference w:type="even" r:id="rId37"/>
      <w:headerReference w:type="default" r:id="rId38"/>
      <w:footerReference w:type="even" r:id="rId39"/>
      <w:footerReference w:type="default" r:id="rId40"/>
      <w:type w:val="evenPage"/>
      <w:pgSz w:w="11906" w:h="16838" w:code="9"/>
      <w:pgMar w:top="2268" w:right="1701" w:bottom="1418" w:left="226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023" w:rsidRDefault="00241023" w:rsidP="00996DC5">
      <w:pPr>
        <w:spacing w:line="240" w:lineRule="auto"/>
      </w:pPr>
      <w:r>
        <w:separator/>
      </w:r>
    </w:p>
  </w:endnote>
  <w:endnote w:type="continuationSeparator" w:id="0">
    <w:p w:rsidR="00241023" w:rsidRDefault="00241023" w:rsidP="0099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23" w:rsidRPr="009C5A0E" w:rsidRDefault="00241023" w:rsidP="003B3209">
    <w:pPr>
      <w:pStyle w:val="Footer"/>
    </w:pPr>
    <w:r>
      <w:t>www.TheCIE.com.au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23" w:rsidRPr="009C5A0E" w:rsidRDefault="00241023" w:rsidP="003B3209">
    <w:pPr>
      <w:pStyle w:val="Footer"/>
      <w:jc w:val="right"/>
    </w:pPr>
    <w:r>
      <w:t>www.TheCIE.com.au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23" w:rsidRPr="00A731D9" w:rsidRDefault="00241023" w:rsidP="003B32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23" w:rsidRDefault="00241023">
    <w:pPr>
      <w:pStyle w:val="Footer"/>
    </w:pPr>
    <w:r>
      <w:t>www.TheCIE.com.au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23" w:rsidRDefault="00241023" w:rsidP="003B3209">
    <w:pPr>
      <w:pStyle w:val="Footer"/>
      <w:jc w:val="right"/>
    </w:pPr>
    <w:r>
      <w:t>www.TheCIE.com.au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23" w:rsidRDefault="00241023">
    <w:pPr>
      <w:pStyle w:val="Footer"/>
    </w:pPr>
    <w:r>
      <w:t>www.TheCIE.com.au</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23" w:rsidRDefault="00241023" w:rsidP="003B3209">
    <w:pPr>
      <w:pStyle w:val="Footer"/>
      <w:jc w:val="right"/>
    </w:pPr>
    <w:r>
      <w:t>www.TheCIE.com.au</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23" w:rsidRDefault="00241023">
    <w:pPr>
      <w:pStyle w:val="Footer"/>
    </w:pPr>
    <w:r>
      <w:t>www.TheCIE.com.au</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23" w:rsidRDefault="00241023" w:rsidP="007C4C46">
    <w:pPr>
      <w:pStyle w:val="Footer"/>
      <w:jc w:val="right"/>
    </w:pPr>
    <w:r>
      <w:t>www.TheCIE.com.au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023" w:rsidRDefault="00241023" w:rsidP="00996DC5">
      <w:pPr>
        <w:spacing w:line="240" w:lineRule="auto"/>
      </w:pPr>
      <w:r w:rsidRPr="00B75719">
        <w:rPr>
          <w:color w:val="6F6652" w:themeColor="text2"/>
        </w:rPr>
        <w:separator/>
      </w:r>
    </w:p>
  </w:footnote>
  <w:footnote w:type="continuationSeparator" w:id="0">
    <w:p w:rsidR="00241023" w:rsidRDefault="00241023" w:rsidP="00996DC5">
      <w:pPr>
        <w:spacing w:line="240" w:lineRule="auto"/>
      </w:pPr>
      <w:r>
        <w:continuationSeparator/>
      </w:r>
    </w:p>
  </w:footnote>
  <w:footnote w:id="1">
    <w:p w:rsidR="00241023" w:rsidRDefault="00241023">
      <w:pPr>
        <w:pStyle w:val="FootnoteText"/>
      </w:pPr>
      <w:r>
        <w:rPr>
          <w:rStyle w:val="FootnoteReference"/>
        </w:rPr>
        <w:footnoteRef/>
      </w:r>
      <w:r>
        <w:t xml:space="preserve"> </w:t>
      </w:r>
      <w:r>
        <w:tab/>
        <w:t xml:space="preserve">See CIE (2009), </w:t>
      </w:r>
      <w:r w:rsidRPr="00F67054">
        <w:rPr>
          <w:i/>
        </w:rPr>
        <w:t>Benefits of trade and trade liberalisation</w:t>
      </w:r>
      <w:r>
        <w:t>, report prepared for the Department of Foreign Affairs and Trade, May 2009.</w:t>
      </w:r>
    </w:p>
  </w:footnote>
  <w:footnote w:id="2">
    <w:p w:rsidR="00241023" w:rsidRDefault="00241023" w:rsidP="003B3209">
      <w:pPr>
        <w:pStyle w:val="FootnoteText"/>
        <w:rPr>
          <w:lang w:val="en-GB"/>
        </w:rPr>
      </w:pPr>
      <w:r>
        <w:rPr>
          <w:rStyle w:val="FootnoteReference"/>
        </w:rPr>
        <w:footnoteRef/>
      </w:r>
      <w:r>
        <w:t xml:space="preserve"> </w:t>
      </w:r>
      <w:r>
        <w:rPr>
          <w:lang w:val="en-GB"/>
        </w:rPr>
        <w:tab/>
        <w:t>The greater volatility in exports compared with imports is associated with the impact of seasonal conditions on Australian agricultural exports, and volatility in mineral export markets.</w:t>
      </w:r>
    </w:p>
  </w:footnote>
  <w:footnote w:id="3">
    <w:p w:rsidR="00241023" w:rsidRDefault="00241023" w:rsidP="003B3209">
      <w:pPr>
        <w:pStyle w:val="FootnoteText"/>
        <w:rPr>
          <w:lang w:val="en-GB"/>
        </w:rPr>
      </w:pPr>
      <w:r>
        <w:rPr>
          <w:rStyle w:val="FootnoteReference"/>
        </w:rPr>
        <w:footnoteRef/>
      </w:r>
      <w:r>
        <w:t xml:space="preserve"> </w:t>
      </w:r>
      <w:r>
        <w:rPr>
          <w:lang w:val="en-GB"/>
        </w:rPr>
        <w:tab/>
      </w:r>
      <w:r>
        <w:t xml:space="preserve">Button 1998, in Emmery, M. 1999, </w:t>
      </w:r>
      <w:r>
        <w:rPr>
          <w:i/>
        </w:rPr>
        <w:t>Australian Manufacturing: A Brief History of Industry Policy and Trade Liberalisation,</w:t>
      </w:r>
      <w:r>
        <w:t xml:space="preserve"> Department of the Parliamentary Library Research Paper No. 7, Canberra.</w:t>
      </w:r>
    </w:p>
  </w:footnote>
  <w:footnote w:id="4">
    <w:p w:rsidR="00241023" w:rsidRPr="00953F02" w:rsidRDefault="00241023" w:rsidP="00824DA5">
      <w:pPr>
        <w:pStyle w:val="FootnoteText"/>
        <w:rPr>
          <w:lang w:val="en-GB"/>
        </w:rPr>
      </w:pPr>
      <w:r>
        <w:rPr>
          <w:rStyle w:val="FootnoteReference"/>
        </w:rPr>
        <w:footnoteRef/>
      </w:r>
      <w:r>
        <w:t xml:space="preserve"> </w:t>
      </w:r>
      <w:r>
        <w:rPr>
          <w:lang w:val="en-GB"/>
        </w:rPr>
        <w:tab/>
        <w:t>Economywide tariff cuts referred to here exclude the TCF and PMV industries. Tariff reductions in these industries followed a different schedule (</w:t>
      </w:r>
      <w:r w:rsidRPr="00D9769B">
        <w:rPr>
          <w:lang w:val="en-GB"/>
        </w:rPr>
        <w:t>see box </w:t>
      </w:r>
      <w:r>
        <w:rPr>
          <w:lang w:val="en-GB"/>
        </w:rPr>
        <w:fldChar w:fldCharType="begin"/>
      </w:r>
      <w:r>
        <w:rPr>
          <w:lang w:val="en-GB"/>
        </w:rPr>
        <w:instrText xml:space="preserve"> REF _Caption1596 </w:instrText>
      </w:r>
      <w:r>
        <w:rPr>
          <w:lang w:val="en-GB"/>
        </w:rPr>
        <w:fldChar w:fldCharType="separate"/>
      </w:r>
      <w:r w:rsidR="00AB4D5D">
        <w:rPr>
          <w:noProof/>
        </w:rPr>
        <w:t>A.1</w:t>
      </w:r>
      <w:r>
        <w:rPr>
          <w:lang w:val="en-GB"/>
        </w:rPr>
        <w:fldChar w:fldCharType="end"/>
      </w:r>
      <w:r w:rsidRPr="00D9769B">
        <w:rPr>
          <w:lang w:val="en-GB"/>
        </w:rPr>
        <w:t xml:space="preserve"> in appendix A).</w:t>
      </w:r>
    </w:p>
  </w:footnote>
  <w:footnote w:id="5">
    <w:p w:rsidR="00241023" w:rsidRDefault="00241023" w:rsidP="003B3209">
      <w:pPr>
        <w:pStyle w:val="FootnoteText"/>
        <w:rPr>
          <w:lang w:val="en-GB"/>
        </w:rPr>
      </w:pPr>
      <w:r>
        <w:rPr>
          <w:rStyle w:val="FootnoteReference"/>
        </w:rPr>
        <w:footnoteRef/>
      </w:r>
      <w:r>
        <w:t xml:space="preserve"> </w:t>
      </w:r>
      <w:r>
        <w:rPr>
          <w:lang w:val="en-GB"/>
        </w:rPr>
        <w:tab/>
      </w:r>
      <w:r>
        <w:t xml:space="preserve">Commonwealth of Australia 1991, in Emmery, M. 1999, </w:t>
      </w:r>
      <w:r>
        <w:rPr>
          <w:i/>
        </w:rPr>
        <w:t>Australian Manufacturing: A Brief History of Industry Policy and Trade Liberalisation,</w:t>
      </w:r>
      <w:r>
        <w:t xml:space="preserve"> Department of the Parliamentary Library Research Paper No. 7, Canberra.</w:t>
      </w:r>
    </w:p>
  </w:footnote>
  <w:footnote w:id="6">
    <w:p w:rsidR="00241023" w:rsidRDefault="00241023" w:rsidP="003B3209">
      <w:pPr>
        <w:pStyle w:val="FootnoteText"/>
        <w:rPr>
          <w:lang w:val="en-GB"/>
        </w:rPr>
      </w:pPr>
      <w:r>
        <w:rPr>
          <w:rStyle w:val="FootnoteReference"/>
        </w:rPr>
        <w:footnoteRef/>
      </w:r>
      <w:r>
        <w:t xml:space="preserve"> </w:t>
      </w:r>
      <w:r>
        <w:rPr>
          <w:lang w:val="en-GB"/>
        </w:rPr>
        <w:tab/>
        <w:t>At the Tokyo and Uruguay rounds members agreed to reduce bound tariff rates. These reductions were less than the unilateral reductions in applied tariffs implemented by Australia around the same time. Therefore, Australia’s applied tariff rates were not affected by the multilateral negotiations.</w:t>
      </w:r>
    </w:p>
  </w:footnote>
  <w:footnote w:id="7">
    <w:p w:rsidR="00241023" w:rsidRDefault="00241023" w:rsidP="003B3209">
      <w:pPr>
        <w:pStyle w:val="FootnoteText"/>
        <w:rPr>
          <w:lang w:val="en-GB"/>
        </w:rPr>
      </w:pPr>
      <w:r>
        <w:rPr>
          <w:rStyle w:val="FootnoteReference"/>
        </w:rPr>
        <w:footnoteRef/>
      </w:r>
      <w:r>
        <w:t xml:space="preserve"> </w:t>
      </w:r>
      <w:r>
        <w:rPr>
          <w:lang w:val="en-GB"/>
        </w:rPr>
        <w:tab/>
        <w:t xml:space="preserve">See </w:t>
      </w:r>
      <w:hyperlink r:id="rId1" w:history="1">
        <w:r>
          <w:rPr>
            <w:rStyle w:val="Hyperlink"/>
            <w:lang w:val="en-GB"/>
          </w:rPr>
          <w:t>http://dfat.gov.au/geo/canada/pages/canada-country-brief.aspx</w:t>
        </w:r>
      </w:hyperlink>
      <w:r>
        <w:rPr>
          <w:lang w:val="en-GB"/>
        </w:rPr>
        <w:t xml:space="preserve">, and </w:t>
      </w:r>
      <w:hyperlink r:id="rId2" w:history="1">
        <w:r>
          <w:rPr>
            <w:rStyle w:val="Hyperlink"/>
            <w:lang w:val="en-GB"/>
          </w:rPr>
          <w:t>http://dfat.gov.au/trade/agreements/anzcerta/Pages/australia-new-zealand-closer-economic-relations-trade-agreement.aspx</w:t>
        </w:r>
      </w:hyperlink>
      <w:r w:rsidRPr="00E9619A">
        <w:t>.</w:t>
      </w:r>
    </w:p>
  </w:footnote>
  <w:footnote w:id="8">
    <w:p w:rsidR="00241023" w:rsidRDefault="00241023" w:rsidP="003B3209">
      <w:pPr>
        <w:pStyle w:val="FootnoteText"/>
      </w:pPr>
      <w:r>
        <w:rPr>
          <w:rStyle w:val="FootnoteReference"/>
        </w:rPr>
        <w:footnoteRef/>
      </w:r>
      <w:r>
        <w:t xml:space="preserve"> </w:t>
      </w:r>
      <w:r>
        <w:tab/>
        <w:t>One in every 5.1 workers.</w:t>
      </w:r>
    </w:p>
  </w:footnote>
  <w:footnote w:id="9">
    <w:p w:rsidR="00241023" w:rsidRDefault="00241023" w:rsidP="00F60066">
      <w:pPr>
        <w:pStyle w:val="FootnoteText"/>
        <w:rPr>
          <w:lang w:val="en-GB"/>
        </w:rPr>
      </w:pPr>
      <w:r>
        <w:rPr>
          <w:rStyle w:val="FootnoteReference"/>
        </w:rPr>
        <w:footnoteRef/>
      </w:r>
      <w:r>
        <w:t xml:space="preserve"> </w:t>
      </w:r>
      <w:r>
        <w:rPr>
          <w:lang w:val="en-GB"/>
        </w:rPr>
        <w:tab/>
      </w:r>
      <w:r>
        <w:t xml:space="preserve">Similar work undertaken for Canada found that 17 per cent of employment was due to exports, higher than Australia’s 14 per cent due to Canada’s greater share of exports in GDP (32 per cent compared to 19 per cent in Australia). </w:t>
      </w:r>
      <w:r>
        <w:rPr>
          <w:lang w:val="en-GB"/>
        </w:rPr>
        <w:t xml:space="preserve">See Cross, P. 2016, </w:t>
      </w:r>
      <w:r>
        <w:rPr>
          <w:i/>
          <w:lang w:val="en-GB"/>
        </w:rPr>
        <w:t xml:space="preserve">The importance of International Trade to the Canadian Economy: An overview, </w:t>
      </w:r>
      <w:r>
        <w:rPr>
          <w:lang w:val="en-GB"/>
        </w:rPr>
        <w:t xml:space="preserve">Fraser Research Bulletin, October. Available at: </w:t>
      </w:r>
      <w:hyperlink r:id="rId3" w:history="1">
        <w:r>
          <w:rPr>
            <w:rStyle w:val="Hyperlink"/>
            <w:lang w:val="en-GB"/>
          </w:rPr>
          <w:t>https://www.fraserinstitute.org/studies/the-importance-of-international-trade-to-the-canadian-economy-an-overview</w:t>
        </w:r>
      </w:hyperlink>
      <w:r w:rsidRPr="001A4D49">
        <w:t>.</w:t>
      </w:r>
    </w:p>
  </w:footnote>
  <w:footnote w:id="10">
    <w:p w:rsidR="00241023" w:rsidRDefault="00241023" w:rsidP="003B3209">
      <w:pPr>
        <w:pStyle w:val="FootnoteText"/>
        <w:rPr>
          <w:lang w:val="en-GB"/>
        </w:rPr>
      </w:pPr>
      <w:r>
        <w:rPr>
          <w:rStyle w:val="FootnoteReference"/>
        </w:rPr>
        <w:footnoteRef/>
      </w:r>
      <w:r>
        <w:t xml:space="preserve"> </w:t>
      </w:r>
      <w:r>
        <w:rPr>
          <w:lang w:val="en-GB"/>
        </w:rPr>
        <w:tab/>
        <w:t>The service industries accounted for 78 per cent of all employment in 2013</w:t>
      </w:r>
      <w:r>
        <w:t>–</w:t>
      </w:r>
      <w:r>
        <w:rPr>
          <w:lang w:val="en-GB"/>
        </w:rPr>
        <w:t>14.</w:t>
      </w:r>
    </w:p>
  </w:footnote>
  <w:footnote w:id="11">
    <w:p w:rsidR="00241023" w:rsidRDefault="00241023" w:rsidP="003B3209">
      <w:pPr>
        <w:pStyle w:val="FootnoteText"/>
        <w:rPr>
          <w:lang w:val="en-GB"/>
        </w:rPr>
      </w:pPr>
      <w:r>
        <w:rPr>
          <w:rStyle w:val="FootnoteReference"/>
        </w:rPr>
        <w:footnoteRef/>
      </w:r>
      <w:r>
        <w:t xml:space="preserve"> </w:t>
      </w:r>
      <w:r>
        <w:rPr>
          <w:lang w:val="en-GB"/>
        </w:rPr>
        <w:tab/>
      </w:r>
      <w:r>
        <w:t>671 200 is 38 per cent of the total employment in distributional services (1.7 million).</w:t>
      </w:r>
    </w:p>
  </w:footnote>
  <w:footnote w:id="12">
    <w:p w:rsidR="00241023" w:rsidRDefault="00241023">
      <w:pPr>
        <w:pStyle w:val="FootnoteText"/>
      </w:pPr>
      <w:r>
        <w:rPr>
          <w:rStyle w:val="FootnoteReference"/>
        </w:rPr>
        <w:footnoteRef/>
      </w:r>
      <w:r>
        <w:t xml:space="preserve"> The ABS I-O tables for years 2004-05 and 2008-09 also suggest that 20 per cent of total employment was trade-related.</w:t>
      </w:r>
    </w:p>
  </w:footnote>
  <w:footnote w:id="13">
    <w:p w:rsidR="00241023" w:rsidRDefault="00241023" w:rsidP="00CE26DD">
      <w:pPr>
        <w:pStyle w:val="FootnoteText"/>
      </w:pPr>
      <w:r>
        <w:rPr>
          <w:rStyle w:val="FootnoteReference"/>
        </w:rPr>
        <w:footnoteRef/>
      </w:r>
      <w:r>
        <w:t xml:space="preserve"> </w:t>
      </w:r>
      <w:r>
        <w:tab/>
        <w:t>In CIE (2009), Australian trade liberalisation over the 1988 to 2008 period was estimated under the GTAP model to have increased Australian (real) GDP by 3.1 per cent, versus 5.4 per cent as reported here. The additional 2.3 percentage point increase in GDP reflects two factors. Firstly, a 30 year liberalisation window (1986–2016) was considered in this study versus a 20 year period (1988–2008) in the earlier study, with the additional liberalisation carried out over 1987–1988 and 2009–2016 accounting for 1.1 of the 2.3 percentage point gain. Secondly, a different methodology was employed that saw usage of databases that better reflected the structure of the Australian economy in the earlier time periods. The methodological change accounted for 1.2 percentage points of the 2.3 percentage point GDP gain.</w:t>
      </w:r>
    </w:p>
  </w:footnote>
  <w:footnote w:id="14">
    <w:p w:rsidR="00241023" w:rsidRDefault="00241023">
      <w:pPr>
        <w:pStyle w:val="FootnoteText"/>
      </w:pPr>
      <w:r>
        <w:rPr>
          <w:rStyle w:val="FootnoteReference"/>
        </w:rPr>
        <w:footnoteRef/>
      </w:r>
      <w:r>
        <w:t xml:space="preserve"> </w:t>
      </w:r>
      <w:r>
        <w:tab/>
        <w:t>The number of family households (taken from ABS 32360DO001, Table 1.1, Series III) and number of people in family households (taken from ABS 32360DO003, Table 1.1, Series III) are combined to arrive at an average of 3.16 people per average Australian family household.</w:t>
      </w:r>
    </w:p>
  </w:footnote>
  <w:footnote w:id="15">
    <w:p w:rsidR="00241023" w:rsidRDefault="00241023">
      <w:pPr>
        <w:pStyle w:val="FootnoteText"/>
      </w:pPr>
      <w:r>
        <w:rPr>
          <w:rStyle w:val="FootnoteReference"/>
        </w:rPr>
        <w:footnoteRef/>
      </w:r>
      <w:r>
        <w:t xml:space="preserve"> </w:t>
      </w:r>
      <w:r>
        <w:tab/>
        <w:t xml:space="preserve">Note that the estimated increase in household income is pre-tax, with increases in disposable income also depending on government taxational and welfare policies. </w:t>
      </w:r>
    </w:p>
  </w:footnote>
  <w:footnote w:id="16">
    <w:p w:rsidR="00241023" w:rsidRPr="006020C1" w:rsidRDefault="00241023" w:rsidP="003B3209">
      <w:pPr>
        <w:pStyle w:val="FootnoteText"/>
      </w:pPr>
      <w:r>
        <w:rPr>
          <w:rStyle w:val="FootnoteReference"/>
        </w:rPr>
        <w:footnoteRef/>
      </w:r>
      <w:r>
        <w:t xml:space="preserve"> </w:t>
      </w:r>
      <w:r>
        <w:tab/>
      </w:r>
      <w:r w:rsidRPr="006020C1">
        <w:t>Note that the modelling results presented in this chapter can also be used to calculate how much lower (or higher) observed imports, exports etc in 2016 would have been had there been no trade liberalisation over 1986–2016 (given by 1/(1+per cent change) – 1).</w:t>
      </w:r>
    </w:p>
  </w:footnote>
  <w:footnote w:id="17">
    <w:p w:rsidR="00241023" w:rsidRPr="006020C1" w:rsidRDefault="00241023" w:rsidP="003B3209">
      <w:pPr>
        <w:pStyle w:val="FootnoteText"/>
      </w:pPr>
      <w:r>
        <w:rPr>
          <w:rStyle w:val="FootnoteReference"/>
        </w:rPr>
        <w:footnoteRef/>
      </w:r>
      <w:r>
        <w:t xml:space="preserve"> </w:t>
      </w:r>
      <w:r>
        <w:tab/>
      </w:r>
      <w:r w:rsidRPr="006020C1">
        <w:t xml:space="preserve">To put sector import and export results into perspective, and as </w:t>
      </w:r>
      <w:r>
        <w:t xml:space="preserve">was </w:t>
      </w:r>
      <w:r w:rsidRPr="006020C1">
        <w:t xml:space="preserve">reported </w:t>
      </w:r>
      <w:r>
        <w:t>in table </w:t>
      </w:r>
      <w:fldSimple w:instr=" REF _Caption3300 ">
        <w:r w:rsidR="00AB4D5D">
          <w:rPr>
            <w:noProof/>
          </w:rPr>
          <w:t>3</w:t>
        </w:r>
        <w:r w:rsidR="00AB4D5D" w:rsidRPr="00695C93">
          <w:rPr>
            <w:noProof/>
          </w:rPr>
          <w:t>.</w:t>
        </w:r>
        <w:r w:rsidR="00AB4D5D">
          <w:rPr>
            <w:noProof/>
          </w:rPr>
          <w:t>2</w:t>
        </w:r>
      </w:fldSimple>
      <w:r w:rsidRPr="006020C1">
        <w:t>, total Australian imports and exports are both estimated to be around 28 per cent higher in 2016 due to the trade liberalisation undertaken over 1986–2016.</w:t>
      </w:r>
    </w:p>
  </w:footnote>
  <w:footnote w:id="18">
    <w:p w:rsidR="00241023" w:rsidRDefault="00241023" w:rsidP="003B3209">
      <w:pPr>
        <w:pStyle w:val="FootnoteText"/>
      </w:pPr>
      <w:r>
        <w:rPr>
          <w:rStyle w:val="FootnoteReference"/>
        </w:rPr>
        <w:footnoteRef/>
      </w:r>
      <w:r>
        <w:t xml:space="preserve"> </w:t>
      </w:r>
      <w:r>
        <w:tab/>
        <w:t>If a country’s tariffs saw import prices being increased by less than 10 per cent, then such tariffs have been lowered to zero.</w:t>
      </w:r>
    </w:p>
  </w:footnote>
  <w:footnote w:id="19">
    <w:p w:rsidR="00241023" w:rsidRPr="00FA30FE" w:rsidRDefault="00241023">
      <w:pPr>
        <w:pStyle w:val="FootnoteText"/>
        <w:rPr>
          <w:lang w:val="en-GB"/>
        </w:rPr>
      </w:pPr>
      <w:r>
        <w:rPr>
          <w:rStyle w:val="FootnoteReference"/>
        </w:rPr>
        <w:footnoteRef/>
      </w:r>
      <w:r>
        <w:t xml:space="preserve"> </w:t>
      </w:r>
      <w:r>
        <w:rPr>
          <w:lang w:val="en-GB"/>
        </w:rPr>
        <w:tab/>
        <w:t>Short run results are based on the same GTAP model simulations as the long term results, but using a short run model closure where wages are assumed to be sticky (fixed) and employment changes.</w:t>
      </w:r>
    </w:p>
  </w:footnote>
  <w:footnote w:id="20">
    <w:p w:rsidR="00241023" w:rsidRPr="00C37F83" w:rsidRDefault="00241023" w:rsidP="00C37F83">
      <w:pPr>
        <w:pStyle w:val="FootnoteText"/>
        <w:rPr>
          <w:lang w:val="en-GB"/>
        </w:rPr>
      </w:pPr>
      <w:r>
        <w:rPr>
          <w:rStyle w:val="FootnoteReference"/>
        </w:rPr>
        <w:footnoteRef/>
      </w:r>
      <w:r>
        <w:t xml:space="preserve"> </w:t>
      </w:r>
      <w:r>
        <w:rPr>
          <w:lang w:val="en-GB"/>
        </w:rPr>
        <w:tab/>
        <w:t xml:space="preserve">A list of countries included under each category can be found in DFAT 2016, </w:t>
      </w:r>
      <w:r w:rsidRPr="00C37F83">
        <w:rPr>
          <w:i/>
          <w:lang w:val="en-GB"/>
        </w:rPr>
        <w:t>Review of the Australian System of Tariff Preferences (ASTP) Discussion Paper</w:t>
      </w:r>
      <w:r>
        <w:rPr>
          <w:lang w:val="en-GB"/>
        </w:rPr>
        <w:t xml:space="preserve">, available at: </w:t>
      </w:r>
      <w:hyperlink r:id="rId4" w:history="1">
        <w:r w:rsidRPr="00C11616">
          <w:rPr>
            <w:rStyle w:val="Hyperlink"/>
            <w:lang w:val="en-GB"/>
          </w:rPr>
          <w:t>http://dfat.gov.au/trade/topics/Documents/astp-review-discussion-paper.pdf</w:t>
        </w:r>
      </w:hyperlink>
      <w:r>
        <w:rPr>
          <w:lang w:val="en-GB"/>
        </w:rPr>
        <w:t xml:space="preserve"> </w:t>
      </w:r>
    </w:p>
  </w:footnote>
  <w:footnote w:id="21">
    <w:p w:rsidR="00241023" w:rsidRDefault="00241023" w:rsidP="00C20A4D">
      <w:pPr>
        <w:pStyle w:val="FootnoteText"/>
        <w:rPr>
          <w:lang w:val="en-GB"/>
        </w:rPr>
      </w:pPr>
      <w:r>
        <w:rPr>
          <w:rStyle w:val="FootnoteReference"/>
        </w:rPr>
        <w:footnoteRef/>
      </w:r>
      <w:r>
        <w:t xml:space="preserve"> </w:t>
      </w:r>
      <w:r>
        <w:rPr>
          <w:lang w:val="en-GB"/>
        </w:rPr>
        <w:tab/>
        <w:t xml:space="preserve">See </w:t>
      </w:r>
      <w:r>
        <w:t xml:space="preserve">Department of Immigration and Border Protection, </w:t>
      </w:r>
      <w:r>
        <w:rPr>
          <w:i/>
        </w:rPr>
        <w:t>Advice about Tariff Concession Orders</w:t>
      </w:r>
      <w:r>
        <w:t>, available from:</w:t>
      </w:r>
      <w:r>
        <w:rPr>
          <w:lang w:val="en-GB"/>
        </w:rPr>
        <w:t xml:space="preserve"> </w:t>
      </w:r>
      <w:hyperlink r:id="rId5" w:history="1">
        <w:r>
          <w:rPr>
            <w:rStyle w:val="Hyperlink"/>
          </w:rPr>
          <w:t>http://www.border.gov.au/Tariffclassificationofgoods/Pages/Advice-about-tariff-concession-orders.aspx</w:t>
        </w:r>
      </w:hyperlink>
    </w:p>
  </w:footnote>
  <w:footnote w:id="22">
    <w:p w:rsidR="00241023" w:rsidRDefault="00241023" w:rsidP="00C20A4D">
      <w:pPr>
        <w:pStyle w:val="FootnoteText"/>
        <w:rPr>
          <w:lang w:val="en-GB"/>
        </w:rPr>
      </w:pPr>
      <w:r>
        <w:rPr>
          <w:rStyle w:val="FootnoteReference"/>
        </w:rPr>
        <w:footnoteRef/>
      </w:r>
      <w:r>
        <w:t xml:space="preserve"> </w:t>
      </w:r>
      <w:r>
        <w:rPr>
          <w:lang w:val="en-GB"/>
        </w:rPr>
        <w:tab/>
        <w:t>In calculating tariff rates for this report we have assumed 100 per cent utilisation of tariff preferences. While we understand this is unlikely to be true, this is not believed to change the substantive outcomes of the analysis as the other elements that lower the effective tariff rate (such as concessions) appear to more than offset the impact of a lower utilisation rate at the aggregate level. This would differ by sector, however.</w:t>
      </w:r>
    </w:p>
  </w:footnote>
  <w:footnote w:id="23">
    <w:p w:rsidR="00241023" w:rsidRDefault="00241023" w:rsidP="00502C03">
      <w:pPr>
        <w:pStyle w:val="FootnoteText"/>
        <w:rPr>
          <w:lang w:val="en-GB"/>
        </w:rPr>
      </w:pPr>
      <w:r>
        <w:rPr>
          <w:rStyle w:val="FootnoteReference"/>
        </w:rPr>
        <w:footnoteRef/>
      </w:r>
      <w:r>
        <w:t xml:space="preserve"> </w:t>
      </w:r>
      <w:r>
        <w:rPr>
          <w:lang w:val="en-GB"/>
        </w:rPr>
        <w:tab/>
        <w:t xml:space="preserve">Parliament of Australia 2001, </w:t>
      </w:r>
      <w:r>
        <w:rPr>
          <w:i/>
          <w:lang w:val="en-GB"/>
        </w:rPr>
        <w:t>Who’s Afraid of the WTO? Australia and the World Trade Organization</w:t>
      </w:r>
      <w:r>
        <w:rPr>
          <w:lang w:val="en-GB"/>
        </w:rPr>
        <w:t>, Joint Standing Committee on Treaties, Report 42.</w:t>
      </w:r>
    </w:p>
  </w:footnote>
  <w:footnote w:id="24">
    <w:p w:rsidR="00241023" w:rsidRDefault="00241023" w:rsidP="00502C03">
      <w:pPr>
        <w:pStyle w:val="FootnoteText"/>
        <w:rPr>
          <w:lang w:val="en-GB"/>
        </w:rPr>
      </w:pPr>
      <w:r>
        <w:rPr>
          <w:rStyle w:val="FootnoteReference"/>
        </w:rPr>
        <w:footnoteRef/>
      </w:r>
      <w:r>
        <w:t xml:space="preserve"> </w:t>
      </w:r>
      <w:r>
        <w:rPr>
          <w:lang w:val="en-GB"/>
        </w:rPr>
        <w:tab/>
        <w:t xml:space="preserve">UNCTAD 2000, </w:t>
      </w:r>
      <w:r w:rsidRPr="00DD6F27">
        <w:rPr>
          <w:i/>
          <w:lang w:val="en-GB"/>
        </w:rPr>
        <w:t>Generalized System of Preferences: Handbook on the Scheme of Australia,</w:t>
      </w:r>
      <w:r>
        <w:rPr>
          <w:lang w:val="en-GB"/>
        </w:rPr>
        <w:t xml:space="preserve"> </w:t>
      </w:r>
      <w:r w:rsidRPr="00DD6F27">
        <w:rPr>
          <w:lang w:val="en-GB"/>
        </w:rPr>
        <w:t>UNCTAD Technical Cooperation Project on Market Access,</w:t>
      </w:r>
      <w:r>
        <w:rPr>
          <w:lang w:val="en-GB"/>
        </w:rPr>
        <w:t xml:space="preserve"> </w:t>
      </w:r>
      <w:r w:rsidRPr="00DD6F27">
        <w:rPr>
          <w:lang w:val="en-GB"/>
        </w:rPr>
        <w:t>Trade Laws and Preferences</w:t>
      </w:r>
      <w:r>
        <w:rPr>
          <w:lang w:val="en-GB"/>
        </w:rPr>
        <w:t xml:space="preserve">, </w:t>
      </w:r>
      <w:hyperlink r:id="rId6" w:history="1">
        <w:r>
          <w:rPr>
            <w:rStyle w:val="Hyperlink"/>
            <w:lang w:val="en-GB"/>
          </w:rPr>
          <w:t>http://unctad.org/en/Docs/itcdtsbmisc56_en.pdf</w:t>
        </w:r>
      </w:hyperlink>
      <w:r w:rsidRPr="00E9619A">
        <w:t>.</w:t>
      </w:r>
    </w:p>
  </w:footnote>
  <w:footnote w:id="25">
    <w:p w:rsidR="00241023" w:rsidRDefault="00241023" w:rsidP="00A35A38">
      <w:pPr>
        <w:pStyle w:val="FootnoteText"/>
        <w:rPr>
          <w:lang w:val="en-GB"/>
        </w:rPr>
      </w:pPr>
      <w:r>
        <w:rPr>
          <w:rStyle w:val="FootnoteReference"/>
        </w:rPr>
        <w:footnoteRef/>
      </w:r>
      <w:r>
        <w:t xml:space="preserve"> </w:t>
      </w:r>
      <w:r>
        <w:rPr>
          <w:lang w:val="en-GB"/>
        </w:rPr>
        <w:tab/>
        <w:t xml:space="preserve">WTO n.d., </w:t>
      </w:r>
      <w:r w:rsidRPr="00AD5009">
        <w:rPr>
          <w:i/>
          <w:lang w:val="en-GB"/>
        </w:rPr>
        <w:t>Information Technology Agreement – an explanation</w:t>
      </w:r>
      <w:r>
        <w:rPr>
          <w:lang w:val="en-GB"/>
        </w:rPr>
        <w:t xml:space="preserve">, </w:t>
      </w:r>
      <w:hyperlink r:id="rId7" w:history="1">
        <w:r>
          <w:rPr>
            <w:rStyle w:val="Hyperlink"/>
            <w:lang w:val="en-GB"/>
          </w:rPr>
          <w:t>https://www.wto.org/english/tratop_e/inftec_e/itaintro_e.htm</w:t>
        </w:r>
      </w:hyperlink>
      <w:r w:rsidRPr="00E9619A">
        <w:t>.</w:t>
      </w:r>
    </w:p>
  </w:footnote>
  <w:footnote w:id="26">
    <w:p w:rsidR="00241023" w:rsidRPr="00305683" w:rsidRDefault="00241023" w:rsidP="00A35A38">
      <w:pPr>
        <w:pStyle w:val="FootnoteText"/>
        <w:rPr>
          <w:lang w:val="en-GB"/>
        </w:rPr>
      </w:pPr>
      <w:r>
        <w:rPr>
          <w:rStyle w:val="FootnoteReference"/>
        </w:rPr>
        <w:footnoteRef/>
      </w:r>
      <w:r>
        <w:t xml:space="preserve"> </w:t>
      </w:r>
      <w:r>
        <w:rPr>
          <w:lang w:val="en-GB"/>
        </w:rPr>
        <w:tab/>
        <w:t xml:space="preserve">For details of these see the DFAT website at: </w:t>
      </w:r>
      <w:hyperlink r:id="rId8" w:history="1">
        <w:r w:rsidRPr="003B3209">
          <w:rPr>
            <w:rStyle w:val="Hyperlink"/>
          </w:rPr>
          <w:t>http://dfat.gov.au/trade/agreements/Pages/status-of-fta-negotiations.aspx</w:t>
        </w:r>
      </w:hyperlink>
      <w:r w:rsidRPr="00E9619A">
        <w:t>.</w:t>
      </w:r>
    </w:p>
  </w:footnote>
  <w:footnote w:id="27">
    <w:p w:rsidR="00241023" w:rsidRDefault="00241023">
      <w:pPr>
        <w:pStyle w:val="FootnoteText"/>
      </w:pPr>
      <w:r>
        <w:rPr>
          <w:rStyle w:val="FootnoteReference"/>
        </w:rPr>
        <w:footnoteRef/>
      </w:r>
      <w:r>
        <w:t xml:space="preserve"> </w:t>
      </w:r>
      <w:r>
        <w:tab/>
        <w:t>See ABS series 5209 for each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23" w:rsidRPr="009D4FBD" w:rsidRDefault="00241023" w:rsidP="003B3209">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fldSimple w:instr=" STYLEREF  Title ">
      <w:r w:rsidR="00AB4D5D">
        <w:rPr>
          <w:noProof/>
        </w:rPr>
        <w:t>Australian trade liberalisation</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23" w:rsidRPr="00E95793" w:rsidRDefault="00241023" w:rsidP="003B3209">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23" w:rsidRPr="00A731D9" w:rsidRDefault="00241023" w:rsidP="003B3209">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23" w:rsidRDefault="00241023" w:rsidP="003B3209">
    <w:pPr>
      <w:pStyle w:val="Header"/>
    </w:pPr>
    <w:r>
      <w:rPr>
        <w:b/>
      </w:rPr>
      <w:tab/>
    </w:r>
    <w:sdt>
      <w:sdtPr>
        <w:id w:val="587430190"/>
        <w:docPartObj>
          <w:docPartGallery w:val="Page Numbers (Bottom of Page)"/>
          <w:docPartUnique/>
        </w:docPartObj>
      </w:sdtPr>
      <w:sdtEndPr>
        <w:rPr>
          <w:rStyle w:val="PageNumber"/>
          <w:rFonts w:ascii="Franklin Gothic Demi" w:hAnsi="Franklin Gothic Demi"/>
          <w:color w:val="006B7A" w:themeColor="accent1"/>
          <w:sz w:val="20"/>
          <w:szCs w:val="20"/>
        </w:rPr>
      </w:sdtEndPr>
      <w:sdtContent>
        <w:r w:rsidRPr="00D44D70">
          <w:rPr>
            <w:rStyle w:val="PageNumber"/>
          </w:rPr>
          <w:fldChar w:fldCharType="begin"/>
        </w:r>
        <w:r w:rsidRPr="00D44D70">
          <w:rPr>
            <w:rStyle w:val="PageNumber"/>
          </w:rPr>
          <w:instrText xml:space="preserve"> PAGE   \* MERGEFORMAT </w:instrText>
        </w:r>
        <w:r w:rsidRPr="00D44D70">
          <w:rPr>
            <w:rStyle w:val="PageNumber"/>
          </w:rPr>
          <w:fldChar w:fldCharType="separate"/>
        </w:r>
        <w:r>
          <w:rPr>
            <w:rStyle w:val="PageNumber"/>
            <w:noProof/>
          </w:rPr>
          <w:t>iv</w:t>
        </w:r>
        <w:r w:rsidRPr="00D44D70">
          <w:rPr>
            <w:rStyle w:val="PageNumber"/>
          </w:rPr>
          <w:fldChar w:fldCharType="end"/>
        </w:r>
      </w:sdtContent>
    </w:sdt>
    <w:r>
      <w:rPr>
        <w:b/>
      </w:rPr>
      <w:tab/>
    </w:r>
    <w:fldSimple w:instr=" STYLEREF  Title ">
      <w:r w:rsidR="00AB4D5D">
        <w:rPr>
          <w:noProof/>
        </w:rPr>
        <w:t>Australian trade liberalisation</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23" w:rsidRPr="003D2A2B" w:rsidRDefault="00241023" w:rsidP="003B3209">
    <w:pPr>
      <w:pStyle w:val="Header"/>
    </w:pPr>
    <w:r>
      <w:tab/>
    </w:r>
    <w:r>
      <w:tab/>
    </w:r>
    <w:r>
      <w:tab/>
    </w:r>
    <w:fldSimple w:instr=" STYLEREF  Title ">
      <w:r w:rsidR="0025761E">
        <w:rPr>
          <w:noProof/>
        </w:rPr>
        <w:t>Australian trade liberalisation</w:t>
      </w:r>
    </w:fldSimple>
    <w:r>
      <w:tab/>
    </w:r>
    <w:r>
      <w:rPr>
        <w:rStyle w:val="PageNumber"/>
      </w:rPr>
      <w:fldChar w:fldCharType="begin"/>
    </w:r>
    <w:r>
      <w:rPr>
        <w:rStyle w:val="PageNumber"/>
      </w:rPr>
      <w:instrText xml:space="preserve"> PAGE </w:instrText>
    </w:r>
    <w:r>
      <w:rPr>
        <w:rStyle w:val="PageNumber"/>
      </w:rPr>
      <w:fldChar w:fldCharType="separate"/>
    </w:r>
    <w:r w:rsidR="0025761E">
      <w:rPr>
        <w:rStyle w:val="PageNumber"/>
        <w:noProof/>
      </w:rPr>
      <w:t>iii</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23" w:rsidRDefault="00241023" w:rsidP="003B3209">
    <w:pPr>
      <w:pStyle w:val="Header"/>
    </w:pPr>
    <w:r>
      <w:rPr>
        <w:b/>
      </w:rPr>
      <w:tab/>
    </w:r>
    <w:sdt>
      <w:sdtPr>
        <w:id w:val="-1120608803"/>
        <w:docPartObj>
          <w:docPartGallery w:val="Page Numbers (Bottom of Page)"/>
          <w:docPartUnique/>
        </w:docPartObj>
      </w:sdtPr>
      <w:sdtEndPr>
        <w:rPr>
          <w:rStyle w:val="PageNumber"/>
          <w:rFonts w:ascii="Franklin Gothic Demi" w:hAnsi="Franklin Gothic Demi"/>
          <w:color w:val="006B7A" w:themeColor="accent1"/>
          <w:sz w:val="20"/>
          <w:szCs w:val="20"/>
        </w:rPr>
      </w:sdtEndPr>
      <w:sdtContent>
        <w:r w:rsidRPr="00D44D70">
          <w:rPr>
            <w:rStyle w:val="PageNumber"/>
          </w:rPr>
          <w:fldChar w:fldCharType="begin"/>
        </w:r>
        <w:r w:rsidRPr="00D44D70">
          <w:rPr>
            <w:rStyle w:val="PageNumber"/>
          </w:rPr>
          <w:instrText xml:space="preserve"> PAGE   \* MERGEFORMAT </w:instrText>
        </w:r>
        <w:r w:rsidRPr="00D44D70">
          <w:rPr>
            <w:rStyle w:val="PageNumber"/>
          </w:rPr>
          <w:fldChar w:fldCharType="separate"/>
        </w:r>
        <w:r w:rsidR="0025761E">
          <w:rPr>
            <w:rStyle w:val="PageNumber"/>
            <w:noProof/>
          </w:rPr>
          <w:t>18</w:t>
        </w:r>
        <w:r w:rsidRPr="00D44D70">
          <w:rPr>
            <w:rStyle w:val="PageNumber"/>
          </w:rPr>
          <w:fldChar w:fldCharType="end"/>
        </w:r>
      </w:sdtContent>
    </w:sdt>
    <w:r>
      <w:rPr>
        <w:b/>
      </w:rPr>
      <w:tab/>
    </w:r>
    <w:fldSimple w:instr=" STYLEREF  Title ">
      <w:r w:rsidR="0025761E">
        <w:rPr>
          <w:noProof/>
        </w:rPr>
        <w:t>Australian trade liberalisation</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23" w:rsidRPr="003D2A2B" w:rsidRDefault="00241023" w:rsidP="003B3209">
    <w:pPr>
      <w:pStyle w:val="Header"/>
    </w:pPr>
    <w:r>
      <w:tab/>
    </w:r>
    <w:r>
      <w:tab/>
    </w:r>
    <w:r>
      <w:tab/>
    </w:r>
    <w:fldSimple w:instr=" STYLEREF  Title ">
      <w:r w:rsidR="0025761E">
        <w:rPr>
          <w:noProof/>
        </w:rPr>
        <w:t>Australian trade liberalisation</w:t>
      </w:r>
    </w:fldSimple>
    <w:r>
      <w:tab/>
    </w:r>
    <w:r>
      <w:rPr>
        <w:rStyle w:val="PageNumber"/>
      </w:rPr>
      <w:fldChar w:fldCharType="begin"/>
    </w:r>
    <w:r>
      <w:rPr>
        <w:rStyle w:val="PageNumber"/>
      </w:rPr>
      <w:instrText xml:space="preserve"> PAGE </w:instrText>
    </w:r>
    <w:r>
      <w:rPr>
        <w:rStyle w:val="PageNumber"/>
      </w:rPr>
      <w:fldChar w:fldCharType="separate"/>
    </w:r>
    <w:r w:rsidR="0025761E">
      <w:rPr>
        <w:rStyle w:val="PageNumber"/>
        <w:noProof/>
      </w:rPr>
      <w:t>1</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23" w:rsidRPr="009D4FBD" w:rsidRDefault="00241023" w:rsidP="00A43AF7">
    <w:pPr>
      <w:pStyle w:val="Header"/>
    </w:pPr>
    <w:r>
      <w:tab/>
    </w:r>
    <w:r>
      <w:rPr>
        <w:rStyle w:val="PageNumber"/>
      </w:rPr>
      <w:fldChar w:fldCharType="begin"/>
    </w:r>
    <w:r>
      <w:rPr>
        <w:rStyle w:val="PageNumber"/>
      </w:rPr>
      <w:instrText xml:space="preserve"> PAGE </w:instrText>
    </w:r>
    <w:r>
      <w:rPr>
        <w:rStyle w:val="PageNumber"/>
      </w:rPr>
      <w:fldChar w:fldCharType="separate"/>
    </w:r>
    <w:r w:rsidR="0025761E">
      <w:rPr>
        <w:rStyle w:val="PageNumber"/>
        <w:noProof/>
      </w:rPr>
      <w:t>28</w:t>
    </w:r>
    <w:r>
      <w:rPr>
        <w:rStyle w:val="PageNumber"/>
      </w:rPr>
      <w:fldChar w:fldCharType="end"/>
    </w:r>
    <w:r>
      <w:tab/>
    </w:r>
    <w:fldSimple w:instr=" STYLEREF  Title ">
      <w:r w:rsidR="0025761E">
        <w:rPr>
          <w:noProof/>
        </w:rPr>
        <w:t>Australian trade liberalisation</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23" w:rsidRPr="009D4FBD" w:rsidRDefault="00241023" w:rsidP="00A43AF7">
    <w:pPr>
      <w:pStyle w:val="Header"/>
    </w:pPr>
    <w:r>
      <w:tab/>
    </w:r>
    <w:r>
      <w:tab/>
    </w:r>
    <w:r>
      <w:tab/>
    </w:r>
    <w:fldSimple w:instr=" STYLEREF  Title ">
      <w:r w:rsidR="00AB4D5D">
        <w:rPr>
          <w:noProof/>
        </w:rPr>
        <w:t>Australian trade liberalisation</w:t>
      </w:r>
    </w:fldSimple>
    <w: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360EF6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08E0B9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3254EB"/>
    <w:multiLevelType w:val="multilevel"/>
    <w:tmpl w:val="A8A0795C"/>
    <w:numStyleLink w:val="RecommendationNumbers"/>
  </w:abstractNum>
  <w:abstractNum w:abstractNumId="3" w15:restartNumberingAfterBreak="0">
    <w:nsid w:val="0AC902B9"/>
    <w:multiLevelType w:val="multilevel"/>
    <w:tmpl w:val="7286E4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6C37E3"/>
    <w:multiLevelType w:val="multilevel"/>
    <w:tmpl w:val="5BCE45E4"/>
    <w:numStyleLink w:val="NoteListNumber"/>
  </w:abstractNum>
  <w:abstractNum w:abstractNumId="5" w15:restartNumberingAfterBreak="0">
    <w:nsid w:val="0DF0714B"/>
    <w:multiLevelType w:val="multilevel"/>
    <w:tmpl w:val="0C09001F"/>
    <w:name w:val="NoteNumbers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1F659F"/>
    <w:multiLevelType w:val="multilevel"/>
    <w:tmpl w:val="60E6D4CC"/>
    <w:styleLink w:val="ListNumbers"/>
    <w:lvl w:ilvl="0">
      <w:start w:val="1"/>
      <w:numFmt w:val="decimal"/>
      <w:pStyle w:val="ListNumber"/>
      <w:lvlText w:val="%1"/>
      <w:lvlJc w:val="left"/>
      <w:pPr>
        <w:tabs>
          <w:tab w:val="num" w:pos="284"/>
        </w:tabs>
        <w:ind w:left="284" w:hanging="284"/>
      </w:pPr>
      <w:rPr>
        <w:rFonts w:ascii="Calisto MT" w:hAnsi="Calisto MT"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0106066"/>
    <w:multiLevelType w:val="singleLevel"/>
    <w:tmpl w:val="210655DA"/>
    <w:lvl w:ilvl="0">
      <w:start w:val="1"/>
      <w:numFmt w:val="bullet"/>
      <w:lvlText w:val="–"/>
      <w:lvlJc w:val="left"/>
      <w:pPr>
        <w:tabs>
          <w:tab w:val="num" w:pos="530"/>
        </w:tabs>
        <w:ind w:left="170" w:firstLine="0"/>
      </w:pPr>
      <w:rPr>
        <w:rFonts w:ascii="Arial Narrow" w:hAnsi="Arial Narrow" w:hint="default"/>
        <w:sz w:val="18"/>
      </w:rPr>
    </w:lvl>
  </w:abstractNum>
  <w:abstractNum w:abstractNumId="8" w15:restartNumberingAfterBreak="0">
    <w:nsid w:val="158D63BB"/>
    <w:multiLevelType w:val="multilevel"/>
    <w:tmpl w:val="5BCE45E4"/>
    <w:styleLink w:val="NoteListNumber"/>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9" w15:restartNumberingAfterBreak="0">
    <w:nsid w:val="19B85820"/>
    <w:multiLevelType w:val="multilevel"/>
    <w:tmpl w:val="F94A5772"/>
    <w:styleLink w:val="ChartListBullets"/>
    <w:lvl w:ilvl="0">
      <w:start w:val="1"/>
      <w:numFmt w:val="bullet"/>
      <w:pStyle w:val="ChartListBullet"/>
      <w:lvlText w:val="■"/>
      <w:lvlJc w:val="left"/>
      <w:pPr>
        <w:tabs>
          <w:tab w:val="num" w:pos="170"/>
        </w:tabs>
        <w:ind w:left="170" w:hanging="170"/>
      </w:pPr>
      <w:rPr>
        <w:rFonts w:ascii="Franklin Gothic Book" w:hAnsi="Franklin Gothic Book" w:hint="default"/>
        <w:color w:val="9B917E" w:themeColor="accent4"/>
        <w:position w:val="2"/>
        <w:sz w:val="12"/>
      </w:rPr>
    </w:lvl>
    <w:lvl w:ilvl="1">
      <w:start w:val="1"/>
      <w:numFmt w:val="bullet"/>
      <w:pStyle w:val="ChartListBullet2"/>
      <w:lvlText w:val="–"/>
      <w:lvlJc w:val="left"/>
      <w:pPr>
        <w:tabs>
          <w:tab w:val="num" w:pos="340"/>
        </w:tabs>
        <w:ind w:left="340" w:hanging="170"/>
      </w:pPr>
      <w:rPr>
        <w:rFonts w:ascii="Franklin Gothic Book" w:hAnsi="Franklin Gothic Book"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006C08"/>
    <w:multiLevelType w:val="multilevel"/>
    <w:tmpl w:val="149034BA"/>
    <w:styleLink w:val="KeyPointBullets"/>
    <w:lvl w:ilvl="0">
      <w:start w:val="1"/>
      <w:numFmt w:val="bullet"/>
      <w:pStyle w:val="KeyPoint"/>
      <w:lvlText w:val="■"/>
      <w:lvlJc w:val="left"/>
      <w:pPr>
        <w:tabs>
          <w:tab w:val="num" w:pos="284"/>
        </w:tabs>
        <w:ind w:left="284" w:hanging="284"/>
      </w:pPr>
      <w:rPr>
        <w:rFonts w:ascii="Franklin Gothic Demi" w:hAnsi="Franklin Gothic Demi" w:hint="default"/>
        <w:color w:val="F61D12" w:themeColor="accent2"/>
      </w:rPr>
    </w:lvl>
    <w:lvl w:ilvl="1">
      <w:start w:val="1"/>
      <w:numFmt w:val="bullet"/>
      <w:pStyle w:val="KeyPoint2"/>
      <w:lvlText w:val="–"/>
      <w:lvlJc w:val="left"/>
      <w:pPr>
        <w:tabs>
          <w:tab w:val="num" w:pos="567"/>
        </w:tabs>
        <w:ind w:left="567" w:hanging="283"/>
      </w:pPr>
      <w:rPr>
        <w:rFonts w:ascii="Franklin Gothic Demi" w:hAnsi="Franklin Gothic Demi" w:hint="default"/>
        <w:color w:val="F61D12" w:themeColor="accent2"/>
        <w:position w:val="2"/>
      </w:rPr>
    </w:lvl>
    <w:lvl w:ilvl="2">
      <w:start w:val="1"/>
      <w:numFmt w:val="bullet"/>
      <w:pStyle w:val="KeyPoint3"/>
      <w:lvlText w:val="…"/>
      <w:lvlJc w:val="left"/>
      <w:pPr>
        <w:tabs>
          <w:tab w:val="num" w:pos="992"/>
        </w:tabs>
        <w:ind w:left="992" w:hanging="425"/>
      </w:pPr>
      <w:rPr>
        <w:rFonts w:ascii="Franklin Gothic Demi" w:hAnsi="Franklin Gothic Demi" w:hint="default"/>
        <w:color w:val="F61D12"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E231F0"/>
    <w:multiLevelType w:val="multilevel"/>
    <w:tmpl w:val="A8A0795C"/>
    <w:styleLink w:val="RecommendationNumbers"/>
    <w:lvl w:ilvl="0">
      <w:start w:val="1"/>
      <w:numFmt w:val="decimal"/>
      <w:pStyle w:val="RecommendationNumber"/>
      <w:lvlText w:val="%1"/>
      <w:lvlJc w:val="left"/>
      <w:pPr>
        <w:tabs>
          <w:tab w:val="num" w:pos="284"/>
        </w:tabs>
        <w:ind w:left="284" w:hanging="284"/>
      </w:pPr>
      <w:rPr>
        <w:rFonts w:hint="default"/>
      </w:rPr>
    </w:lvl>
    <w:lvl w:ilvl="1">
      <w:start w:val="1"/>
      <w:numFmt w:val="lowerLetter"/>
      <w:pStyle w:val="RecommendationNumber2"/>
      <w:lvlText w:val="%2)"/>
      <w:lvlJc w:val="left"/>
      <w:pPr>
        <w:tabs>
          <w:tab w:val="num" w:pos="567"/>
        </w:tabs>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624A0E"/>
    <w:multiLevelType w:val="multilevel"/>
    <w:tmpl w:val="5BCE45E4"/>
    <w:numStyleLink w:val="NoteListNumber"/>
  </w:abstractNum>
  <w:abstractNum w:abstractNumId="13" w15:restartNumberingAfterBreak="0">
    <w:nsid w:val="3487660B"/>
    <w:multiLevelType w:val="multilevel"/>
    <w:tmpl w:val="5BCE45E4"/>
    <w:numStyleLink w:val="NoteListNumber"/>
  </w:abstractNum>
  <w:abstractNum w:abstractNumId="14" w15:restartNumberingAfterBreak="0">
    <w:nsid w:val="41535386"/>
    <w:multiLevelType w:val="multilevel"/>
    <w:tmpl w:val="8C8656A2"/>
    <w:styleLink w:val="TableListNumbers"/>
    <w:lvl w:ilvl="0">
      <w:start w:val="1"/>
      <w:numFmt w:val="decimal"/>
      <w:pStyle w:val="TableListNumber"/>
      <w:lvlText w:val="%1"/>
      <w:lvlJc w:val="left"/>
      <w:pPr>
        <w:tabs>
          <w:tab w:val="num" w:pos="170"/>
        </w:tabs>
        <w:ind w:left="170" w:hanging="170"/>
      </w:pPr>
      <w:rPr>
        <w:rFonts w:ascii="Franklin Gothic Book" w:hAnsi="Franklin Gothic Book"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E3E75E8"/>
    <w:multiLevelType w:val="multilevel"/>
    <w:tmpl w:val="A3AC9912"/>
    <w:styleLink w:val="HeadingNumbers"/>
    <w:lvl w:ilvl="0">
      <w:start w:val="1"/>
      <w:numFmt w:val="decimal"/>
      <w:pStyle w:val="Heading1"/>
      <w:lvlText w:val="%1"/>
      <w:lvlJc w:val="left"/>
      <w:pPr>
        <w:tabs>
          <w:tab w:val="num" w:pos="567"/>
        </w:tabs>
        <w:ind w:left="567" w:hanging="567"/>
      </w:pPr>
      <w:rPr>
        <w:rFonts w:hint="default"/>
        <w:b w:val="0"/>
        <w:i/>
        <w:color w:val="auto"/>
        <w:sz w:val="36"/>
      </w:rPr>
    </w:lvl>
    <w:lvl w:ilvl="1">
      <w:start w:val="1"/>
      <w:numFmt w:val="none"/>
      <w:lvlRestart w:val="0"/>
      <w:pStyle w:val="Heading2"/>
      <w:suff w:val="nothing"/>
      <w:lvlText w:val=""/>
      <w:lvlJc w:val="left"/>
      <w:pPr>
        <w:ind w:left="0"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567"/>
        </w:tabs>
        <w:ind w:left="567" w:hanging="567"/>
      </w:pPr>
      <w:rPr>
        <w:rFonts w:hint="default"/>
        <w:b w:val="0"/>
        <w:i/>
        <w:caps w:val="0"/>
        <w:sz w:val="36"/>
        <w:szCs w:val="28"/>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asciiTheme="majorHAnsi" w:hAnsiTheme="majorHAnsi" w:hint="default"/>
      </w:rPr>
    </w:lvl>
    <w:lvl w:ilvl="8">
      <w:start w:val="1"/>
      <w:numFmt w:val="none"/>
      <w:lvlRestart w:val="0"/>
      <w:pStyle w:val="Heading9"/>
      <w:suff w:val="nothing"/>
      <w:lvlText w:val=""/>
      <w:lvlJc w:val="left"/>
      <w:pPr>
        <w:ind w:left="0" w:firstLine="0"/>
      </w:pPr>
      <w:rPr>
        <w:rFonts w:asciiTheme="majorHAnsi" w:hAnsiTheme="majorHAnsi" w:hint="default"/>
      </w:rPr>
    </w:lvl>
  </w:abstractNum>
  <w:abstractNum w:abstractNumId="16" w15:restartNumberingAfterBreak="0">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9B917E"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787896"/>
    <w:multiLevelType w:val="multilevel"/>
    <w:tmpl w:val="567ADE74"/>
    <w:numStyleLink w:val="TableListBullets"/>
  </w:abstractNum>
  <w:abstractNum w:abstractNumId="18" w15:restartNumberingAfterBreak="0">
    <w:nsid w:val="58B8648D"/>
    <w:multiLevelType w:val="multilevel"/>
    <w:tmpl w:val="5BCE45E4"/>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pStyle w:val="NoteNumb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19" w15:restartNumberingAfterBreak="0">
    <w:nsid w:val="6C420028"/>
    <w:multiLevelType w:val="multilevel"/>
    <w:tmpl w:val="AD122346"/>
    <w:styleLink w:val="ChartListNumber"/>
    <w:lvl w:ilvl="0">
      <w:start w:val="1"/>
      <w:numFmt w:val="decimal"/>
      <w:pStyle w:val="ChartListNumber0"/>
      <w:lvlText w:val="%1"/>
      <w:lvlJc w:val="left"/>
      <w:pPr>
        <w:tabs>
          <w:tab w:val="num" w:pos="170"/>
        </w:tabs>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9B917E"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9B917E"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20F67A8"/>
    <w:multiLevelType w:val="multilevel"/>
    <w:tmpl w:val="0C090029"/>
    <w:name w:val="NoteNumber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2BB502B"/>
    <w:multiLevelType w:val="multilevel"/>
    <w:tmpl w:val="CB90F828"/>
    <w:lvl w:ilvl="0">
      <w:start w:val="1"/>
      <w:numFmt w:val="lowerLetter"/>
      <w:lvlRestart w:val="0"/>
      <w:lvlText w:val="%1"/>
      <w:lvlJc w:val="left"/>
      <w:pPr>
        <w:tabs>
          <w:tab w:val="num" w:pos="170"/>
        </w:tabs>
        <w:ind w:left="0" w:firstLine="0"/>
      </w:pPr>
      <w:rPr>
        <w:rFonts w:hint="default"/>
        <w:b/>
        <w:bCs w:val="0"/>
        <w:i w:val="0"/>
        <w:iCs w:val="0"/>
        <w:caps w:val="0"/>
        <w:smallCaps w:val="0"/>
        <w:strike w:val="0"/>
        <w:dstrike w:val="0"/>
        <w:noProof w:val="0"/>
        <w:vanish w:val="0"/>
        <w:color w:val="00497E"/>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3" w15:restartNumberingAfterBreak="0">
    <w:nsid w:val="7C3A0DF8"/>
    <w:multiLevelType w:val="multilevel"/>
    <w:tmpl w:val="E6863C72"/>
    <w:lvl w:ilvl="0">
      <w:start w:val="1"/>
      <w:numFmt w:val="none"/>
      <w:lvlRestart w:val="0"/>
      <w:pStyle w:val="Caption"/>
      <w:suff w:val="nothing"/>
      <w:lvlText w:val="%1"/>
      <w:lvlJc w:val="left"/>
      <w:pPr>
        <w:ind w:left="0" w:firstLine="0"/>
      </w:pPr>
      <w:rPr>
        <w:rFonts w:ascii="Calibri" w:hAnsi="Calibri" w:cs="Calibri" w:hint="default"/>
        <w:b/>
        <w:i w:val="0"/>
        <w:color w:val="C6BFAB" w:themeColor="accent3"/>
        <w:position w:val="4"/>
      </w:rPr>
    </w:lvl>
    <w:lvl w:ilvl="1">
      <w:start w:val="1"/>
      <w:numFmt w:val="lowerLett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num w:numId="1">
    <w:abstractNumId w:val="14"/>
  </w:num>
  <w:num w:numId="2">
    <w:abstractNumId w:val="16"/>
  </w:num>
  <w:num w:numId="3">
    <w:abstractNumId w:val="9"/>
  </w:num>
  <w:num w:numId="4">
    <w:abstractNumId w:val="19"/>
  </w:num>
  <w:num w:numId="5">
    <w:abstractNumId w:val="15"/>
  </w:num>
  <w:num w:numId="6">
    <w:abstractNumId w:val="11"/>
  </w:num>
  <w:num w:numId="7">
    <w:abstractNumId w:val="23"/>
  </w:num>
  <w:num w:numId="8">
    <w:abstractNumId w:val="20"/>
    <w:lvlOverride w:ilvl="0">
      <w:lvl w:ilvl="0">
        <w:start w:val="1"/>
        <w:numFmt w:val="bullet"/>
        <w:pStyle w:val="ListBullet"/>
        <w:lvlText w:val="■"/>
        <w:lvlJc w:val="left"/>
        <w:pPr>
          <w:tabs>
            <w:tab w:val="num" w:pos="284"/>
          </w:tabs>
          <w:ind w:left="284" w:hanging="284"/>
        </w:pPr>
        <w:rPr>
          <w:rFonts w:ascii="Franklin Gothic Demi" w:hAnsi="Franklin Gothic Demi" w:hint="default"/>
          <w:color w:val="006B7A" w:themeColor="accent1"/>
        </w:rPr>
      </w:lvl>
    </w:lvlOverride>
    <w:lvlOverride w:ilvl="1">
      <w:lvl w:ilvl="1">
        <w:start w:val="1"/>
        <w:numFmt w:val="bullet"/>
        <w:pStyle w:val="ListBullet2"/>
        <w:lvlText w:val="–"/>
        <w:lvlJc w:val="left"/>
        <w:pPr>
          <w:tabs>
            <w:tab w:val="num" w:pos="567"/>
          </w:tabs>
          <w:ind w:left="567" w:hanging="283"/>
        </w:pPr>
        <w:rPr>
          <w:rFonts w:ascii="Franklin Gothic Demi" w:hAnsi="Franklin Gothic Demi" w:hint="default"/>
          <w:color w:val="006B7A" w:themeColor="accent1"/>
          <w:position w:val="2"/>
        </w:rPr>
      </w:lvl>
    </w:lvlOverride>
    <w:lvlOverride w:ilvl="2">
      <w:lvl w:ilvl="2">
        <w:start w:val="1"/>
        <w:numFmt w:val="bullet"/>
        <w:pStyle w:val="ListBullet3"/>
        <w:lvlText w:val="…"/>
        <w:lvlJc w:val="left"/>
        <w:pPr>
          <w:tabs>
            <w:tab w:val="num" w:pos="992"/>
          </w:tabs>
          <w:ind w:left="992" w:hanging="425"/>
        </w:pPr>
        <w:rPr>
          <w:rFonts w:ascii="Franklin Gothic Demi" w:hAnsi="Franklin Gothic Demi" w:hint="default"/>
          <w:color w:val="EF1209"/>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17"/>
  </w:num>
  <w:num w:numId="10">
    <w:abstractNumId w:val="2"/>
  </w:num>
  <w:num w:numId="11">
    <w:abstractNumId w:val="20"/>
  </w:num>
  <w:num w:numId="12">
    <w:abstractNumId w:val="6"/>
  </w:num>
  <w:num w:numId="13">
    <w:abstractNumId w:val="10"/>
  </w:num>
  <w:num w:numId="14">
    <w:abstractNumId w:val="8"/>
  </w:num>
  <w:num w:numId="15">
    <w:abstractNumId w:val="13"/>
  </w:num>
  <w:num w:numId="16">
    <w:abstractNumId w:val="3"/>
  </w:num>
  <w:num w:numId="17">
    <w:abstractNumId w:val="1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num>
  <w:num w:numId="21">
    <w:abstractNumId w:val="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
  </w:num>
  <w:num w:numId="28">
    <w:abstractNumId w:val="0"/>
  </w:num>
  <w:num w:numId="29">
    <w:abstractNumId w:val="15"/>
  </w:num>
  <w:num w:numId="30">
    <w:abstractNumId w:val="23"/>
  </w:num>
  <w:num w:numId="31">
    <w:abstractNumId w:val="15"/>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A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284"/>
  <w:clickAndTypeStyle w:val="BodyText"/>
  <w:evenAndOddHeaders/>
  <w:drawingGridHorizontalSpacing w:val="142"/>
  <w:drawingGridVerticalSpacing w:val="14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77"/>
    <w:rsid w:val="0000017E"/>
    <w:rsid w:val="0000067B"/>
    <w:rsid w:val="00000726"/>
    <w:rsid w:val="00000B5C"/>
    <w:rsid w:val="00000C6A"/>
    <w:rsid w:val="000011BA"/>
    <w:rsid w:val="000011E7"/>
    <w:rsid w:val="0000168F"/>
    <w:rsid w:val="000018EB"/>
    <w:rsid w:val="0000203F"/>
    <w:rsid w:val="00002049"/>
    <w:rsid w:val="0000244A"/>
    <w:rsid w:val="00002D2D"/>
    <w:rsid w:val="00002F90"/>
    <w:rsid w:val="0000404E"/>
    <w:rsid w:val="00004ADD"/>
    <w:rsid w:val="00005191"/>
    <w:rsid w:val="000053BF"/>
    <w:rsid w:val="00005768"/>
    <w:rsid w:val="000059D3"/>
    <w:rsid w:val="00005E78"/>
    <w:rsid w:val="00006302"/>
    <w:rsid w:val="00006577"/>
    <w:rsid w:val="00006740"/>
    <w:rsid w:val="000069B3"/>
    <w:rsid w:val="00006C1B"/>
    <w:rsid w:val="000078F0"/>
    <w:rsid w:val="00007A73"/>
    <w:rsid w:val="00007B13"/>
    <w:rsid w:val="00010217"/>
    <w:rsid w:val="0001044E"/>
    <w:rsid w:val="00010AED"/>
    <w:rsid w:val="00010B57"/>
    <w:rsid w:val="00010CDD"/>
    <w:rsid w:val="00010D29"/>
    <w:rsid w:val="00012041"/>
    <w:rsid w:val="00012E97"/>
    <w:rsid w:val="00013055"/>
    <w:rsid w:val="00013815"/>
    <w:rsid w:val="0001385F"/>
    <w:rsid w:val="00013983"/>
    <w:rsid w:val="00013BA9"/>
    <w:rsid w:val="00013CE6"/>
    <w:rsid w:val="00013E0D"/>
    <w:rsid w:val="00013FA7"/>
    <w:rsid w:val="00014030"/>
    <w:rsid w:val="000142B9"/>
    <w:rsid w:val="00014ADE"/>
    <w:rsid w:val="00015528"/>
    <w:rsid w:val="00015942"/>
    <w:rsid w:val="0001594E"/>
    <w:rsid w:val="00015C84"/>
    <w:rsid w:val="00015CB7"/>
    <w:rsid w:val="000168BA"/>
    <w:rsid w:val="0001709F"/>
    <w:rsid w:val="00017D5A"/>
    <w:rsid w:val="00017E72"/>
    <w:rsid w:val="00017F0A"/>
    <w:rsid w:val="00020201"/>
    <w:rsid w:val="0002020A"/>
    <w:rsid w:val="00020E95"/>
    <w:rsid w:val="00021015"/>
    <w:rsid w:val="00021300"/>
    <w:rsid w:val="00021FCF"/>
    <w:rsid w:val="00022345"/>
    <w:rsid w:val="000225B9"/>
    <w:rsid w:val="00022D46"/>
    <w:rsid w:val="00023440"/>
    <w:rsid w:val="0002347C"/>
    <w:rsid w:val="00023677"/>
    <w:rsid w:val="00023957"/>
    <w:rsid w:val="00024206"/>
    <w:rsid w:val="00024872"/>
    <w:rsid w:val="0002565B"/>
    <w:rsid w:val="0002600A"/>
    <w:rsid w:val="0002614A"/>
    <w:rsid w:val="0002665B"/>
    <w:rsid w:val="000269CE"/>
    <w:rsid w:val="00026D19"/>
    <w:rsid w:val="00026FC6"/>
    <w:rsid w:val="0002729E"/>
    <w:rsid w:val="000274B2"/>
    <w:rsid w:val="00027E7C"/>
    <w:rsid w:val="00030186"/>
    <w:rsid w:val="00030AE2"/>
    <w:rsid w:val="0003150F"/>
    <w:rsid w:val="0003192F"/>
    <w:rsid w:val="00032991"/>
    <w:rsid w:val="00032DD2"/>
    <w:rsid w:val="000330AD"/>
    <w:rsid w:val="00033187"/>
    <w:rsid w:val="000331D6"/>
    <w:rsid w:val="0003366A"/>
    <w:rsid w:val="00033F44"/>
    <w:rsid w:val="0003413A"/>
    <w:rsid w:val="00034885"/>
    <w:rsid w:val="0003515C"/>
    <w:rsid w:val="00035C09"/>
    <w:rsid w:val="00036276"/>
    <w:rsid w:val="00036FD6"/>
    <w:rsid w:val="00037608"/>
    <w:rsid w:val="00037B27"/>
    <w:rsid w:val="0004057C"/>
    <w:rsid w:val="000407C2"/>
    <w:rsid w:val="0004182D"/>
    <w:rsid w:val="00041F65"/>
    <w:rsid w:val="0004208A"/>
    <w:rsid w:val="00042326"/>
    <w:rsid w:val="00042363"/>
    <w:rsid w:val="000425A5"/>
    <w:rsid w:val="00042C38"/>
    <w:rsid w:val="000436F5"/>
    <w:rsid w:val="00043C19"/>
    <w:rsid w:val="00043E02"/>
    <w:rsid w:val="00043FE2"/>
    <w:rsid w:val="00044241"/>
    <w:rsid w:val="000442E7"/>
    <w:rsid w:val="00044618"/>
    <w:rsid w:val="000447A5"/>
    <w:rsid w:val="00044D92"/>
    <w:rsid w:val="00045326"/>
    <w:rsid w:val="000453F1"/>
    <w:rsid w:val="000454CC"/>
    <w:rsid w:val="00045E61"/>
    <w:rsid w:val="000461CB"/>
    <w:rsid w:val="000463B8"/>
    <w:rsid w:val="00047081"/>
    <w:rsid w:val="000473DD"/>
    <w:rsid w:val="00047D29"/>
    <w:rsid w:val="00050D11"/>
    <w:rsid w:val="00051172"/>
    <w:rsid w:val="00052303"/>
    <w:rsid w:val="00052FDE"/>
    <w:rsid w:val="0005306A"/>
    <w:rsid w:val="000530E0"/>
    <w:rsid w:val="00053250"/>
    <w:rsid w:val="00053D2B"/>
    <w:rsid w:val="000540C8"/>
    <w:rsid w:val="000542AA"/>
    <w:rsid w:val="00054AAC"/>
    <w:rsid w:val="00054B18"/>
    <w:rsid w:val="00054C8B"/>
    <w:rsid w:val="00055350"/>
    <w:rsid w:val="000563F1"/>
    <w:rsid w:val="000565E8"/>
    <w:rsid w:val="000567BD"/>
    <w:rsid w:val="000568E3"/>
    <w:rsid w:val="000568F5"/>
    <w:rsid w:val="00056FC9"/>
    <w:rsid w:val="0005774F"/>
    <w:rsid w:val="000602A5"/>
    <w:rsid w:val="00061292"/>
    <w:rsid w:val="000614F7"/>
    <w:rsid w:val="00061529"/>
    <w:rsid w:val="00061C03"/>
    <w:rsid w:val="00061CDB"/>
    <w:rsid w:val="00061D65"/>
    <w:rsid w:val="000626D3"/>
    <w:rsid w:val="0006343C"/>
    <w:rsid w:val="00063497"/>
    <w:rsid w:val="000638DB"/>
    <w:rsid w:val="00063ABB"/>
    <w:rsid w:val="00063D61"/>
    <w:rsid w:val="000640ED"/>
    <w:rsid w:val="000642B7"/>
    <w:rsid w:val="00064624"/>
    <w:rsid w:val="00064B34"/>
    <w:rsid w:val="000652FC"/>
    <w:rsid w:val="000656CA"/>
    <w:rsid w:val="00065889"/>
    <w:rsid w:val="00065CC3"/>
    <w:rsid w:val="00065E29"/>
    <w:rsid w:val="00065ED3"/>
    <w:rsid w:val="0006600E"/>
    <w:rsid w:val="00066066"/>
    <w:rsid w:val="00066253"/>
    <w:rsid w:val="0006720E"/>
    <w:rsid w:val="0006764B"/>
    <w:rsid w:val="00067B37"/>
    <w:rsid w:val="00067E47"/>
    <w:rsid w:val="00070083"/>
    <w:rsid w:val="000701EA"/>
    <w:rsid w:val="00070207"/>
    <w:rsid w:val="00070654"/>
    <w:rsid w:val="00070DC4"/>
    <w:rsid w:val="00071995"/>
    <w:rsid w:val="000719EA"/>
    <w:rsid w:val="00071A54"/>
    <w:rsid w:val="0007217F"/>
    <w:rsid w:val="00072312"/>
    <w:rsid w:val="00072427"/>
    <w:rsid w:val="0007270E"/>
    <w:rsid w:val="00072873"/>
    <w:rsid w:val="00073B55"/>
    <w:rsid w:val="00073C36"/>
    <w:rsid w:val="00074306"/>
    <w:rsid w:val="00074905"/>
    <w:rsid w:val="000752CE"/>
    <w:rsid w:val="00075707"/>
    <w:rsid w:val="0007578A"/>
    <w:rsid w:val="000758B6"/>
    <w:rsid w:val="00075991"/>
    <w:rsid w:val="00075AAB"/>
    <w:rsid w:val="000761BA"/>
    <w:rsid w:val="0007657C"/>
    <w:rsid w:val="00076773"/>
    <w:rsid w:val="00076EEE"/>
    <w:rsid w:val="0007725A"/>
    <w:rsid w:val="00077A7F"/>
    <w:rsid w:val="00077E49"/>
    <w:rsid w:val="00080122"/>
    <w:rsid w:val="000803E1"/>
    <w:rsid w:val="00080F22"/>
    <w:rsid w:val="0008155A"/>
    <w:rsid w:val="000819DF"/>
    <w:rsid w:val="00082452"/>
    <w:rsid w:val="00082E69"/>
    <w:rsid w:val="00082EE0"/>
    <w:rsid w:val="00083567"/>
    <w:rsid w:val="00083A60"/>
    <w:rsid w:val="00084800"/>
    <w:rsid w:val="00085CBA"/>
    <w:rsid w:val="00085D00"/>
    <w:rsid w:val="00085D7B"/>
    <w:rsid w:val="000866A5"/>
    <w:rsid w:val="00086B5C"/>
    <w:rsid w:val="000872FB"/>
    <w:rsid w:val="000873CC"/>
    <w:rsid w:val="000875A0"/>
    <w:rsid w:val="00087691"/>
    <w:rsid w:val="00087BBC"/>
    <w:rsid w:val="00087D81"/>
    <w:rsid w:val="00087E0F"/>
    <w:rsid w:val="00087E40"/>
    <w:rsid w:val="0009079A"/>
    <w:rsid w:val="00090B41"/>
    <w:rsid w:val="00090E75"/>
    <w:rsid w:val="00090EB1"/>
    <w:rsid w:val="0009135D"/>
    <w:rsid w:val="00091AD2"/>
    <w:rsid w:val="00091C81"/>
    <w:rsid w:val="000923A8"/>
    <w:rsid w:val="00092BC9"/>
    <w:rsid w:val="000935AE"/>
    <w:rsid w:val="000938B7"/>
    <w:rsid w:val="000938C2"/>
    <w:rsid w:val="00093F64"/>
    <w:rsid w:val="000940E4"/>
    <w:rsid w:val="000945B3"/>
    <w:rsid w:val="00095461"/>
    <w:rsid w:val="00095D2C"/>
    <w:rsid w:val="0009623A"/>
    <w:rsid w:val="000973D9"/>
    <w:rsid w:val="000978D6"/>
    <w:rsid w:val="000A0155"/>
    <w:rsid w:val="000A04F6"/>
    <w:rsid w:val="000A0552"/>
    <w:rsid w:val="000A0BAC"/>
    <w:rsid w:val="000A0DB8"/>
    <w:rsid w:val="000A106A"/>
    <w:rsid w:val="000A1DBD"/>
    <w:rsid w:val="000A2045"/>
    <w:rsid w:val="000A20DC"/>
    <w:rsid w:val="000A2B34"/>
    <w:rsid w:val="000A3975"/>
    <w:rsid w:val="000A4F02"/>
    <w:rsid w:val="000A5046"/>
    <w:rsid w:val="000A5191"/>
    <w:rsid w:val="000A5982"/>
    <w:rsid w:val="000A5F16"/>
    <w:rsid w:val="000A6719"/>
    <w:rsid w:val="000A6D13"/>
    <w:rsid w:val="000A7351"/>
    <w:rsid w:val="000A744E"/>
    <w:rsid w:val="000A7668"/>
    <w:rsid w:val="000A7695"/>
    <w:rsid w:val="000A7858"/>
    <w:rsid w:val="000A7946"/>
    <w:rsid w:val="000A7CFE"/>
    <w:rsid w:val="000B0698"/>
    <w:rsid w:val="000B0B99"/>
    <w:rsid w:val="000B0CC7"/>
    <w:rsid w:val="000B2600"/>
    <w:rsid w:val="000B2602"/>
    <w:rsid w:val="000B2AFE"/>
    <w:rsid w:val="000B2BB1"/>
    <w:rsid w:val="000B2D15"/>
    <w:rsid w:val="000B35AD"/>
    <w:rsid w:val="000B3715"/>
    <w:rsid w:val="000B397D"/>
    <w:rsid w:val="000B3BF8"/>
    <w:rsid w:val="000B42DB"/>
    <w:rsid w:val="000B4404"/>
    <w:rsid w:val="000B44A6"/>
    <w:rsid w:val="000B4C94"/>
    <w:rsid w:val="000B5065"/>
    <w:rsid w:val="000B5089"/>
    <w:rsid w:val="000B5700"/>
    <w:rsid w:val="000B6546"/>
    <w:rsid w:val="000B6AB0"/>
    <w:rsid w:val="000B6BC5"/>
    <w:rsid w:val="000B710E"/>
    <w:rsid w:val="000B74BC"/>
    <w:rsid w:val="000B76AC"/>
    <w:rsid w:val="000B7C41"/>
    <w:rsid w:val="000B7C4C"/>
    <w:rsid w:val="000B7CB8"/>
    <w:rsid w:val="000C09DA"/>
    <w:rsid w:val="000C0A63"/>
    <w:rsid w:val="000C1921"/>
    <w:rsid w:val="000C1B07"/>
    <w:rsid w:val="000C28DA"/>
    <w:rsid w:val="000C2CDF"/>
    <w:rsid w:val="000C35CB"/>
    <w:rsid w:val="000C3989"/>
    <w:rsid w:val="000C39EF"/>
    <w:rsid w:val="000C3CB6"/>
    <w:rsid w:val="000C477E"/>
    <w:rsid w:val="000C4A2B"/>
    <w:rsid w:val="000C4F8A"/>
    <w:rsid w:val="000C5494"/>
    <w:rsid w:val="000C55C5"/>
    <w:rsid w:val="000C56C9"/>
    <w:rsid w:val="000C5BBD"/>
    <w:rsid w:val="000C5F3C"/>
    <w:rsid w:val="000C6441"/>
    <w:rsid w:val="000C664B"/>
    <w:rsid w:val="000C6AF1"/>
    <w:rsid w:val="000C6BD6"/>
    <w:rsid w:val="000C6BEF"/>
    <w:rsid w:val="000C6C4B"/>
    <w:rsid w:val="000C6CD7"/>
    <w:rsid w:val="000C6DEC"/>
    <w:rsid w:val="000C7A0B"/>
    <w:rsid w:val="000D052F"/>
    <w:rsid w:val="000D09CE"/>
    <w:rsid w:val="000D1AEF"/>
    <w:rsid w:val="000D2830"/>
    <w:rsid w:val="000D289C"/>
    <w:rsid w:val="000D3278"/>
    <w:rsid w:val="000D3AAC"/>
    <w:rsid w:val="000D3AE0"/>
    <w:rsid w:val="000D4774"/>
    <w:rsid w:val="000D49B5"/>
    <w:rsid w:val="000D4C79"/>
    <w:rsid w:val="000D521B"/>
    <w:rsid w:val="000D53CB"/>
    <w:rsid w:val="000D54F5"/>
    <w:rsid w:val="000D5543"/>
    <w:rsid w:val="000D5B4B"/>
    <w:rsid w:val="000D5C9D"/>
    <w:rsid w:val="000D5E9C"/>
    <w:rsid w:val="000D6E53"/>
    <w:rsid w:val="000D738C"/>
    <w:rsid w:val="000D7997"/>
    <w:rsid w:val="000D7C8E"/>
    <w:rsid w:val="000D7F09"/>
    <w:rsid w:val="000E001D"/>
    <w:rsid w:val="000E0110"/>
    <w:rsid w:val="000E05BB"/>
    <w:rsid w:val="000E06BD"/>
    <w:rsid w:val="000E06CA"/>
    <w:rsid w:val="000E0962"/>
    <w:rsid w:val="000E0E93"/>
    <w:rsid w:val="000E0ECB"/>
    <w:rsid w:val="000E1B28"/>
    <w:rsid w:val="000E2005"/>
    <w:rsid w:val="000E2A66"/>
    <w:rsid w:val="000E2B6A"/>
    <w:rsid w:val="000E314F"/>
    <w:rsid w:val="000E3271"/>
    <w:rsid w:val="000E3DC6"/>
    <w:rsid w:val="000E4243"/>
    <w:rsid w:val="000E4E14"/>
    <w:rsid w:val="000E5171"/>
    <w:rsid w:val="000E5329"/>
    <w:rsid w:val="000E5731"/>
    <w:rsid w:val="000E5BF2"/>
    <w:rsid w:val="000E6B51"/>
    <w:rsid w:val="000E6D1D"/>
    <w:rsid w:val="000F01FF"/>
    <w:rsid w:val="000F02D4"/>
    <w:rsid w:val="000F0ECB"/>
    <w:rsid w:val="000F15E3"/>
    <w:rsid w:val="000F19DD"/>
    <w:rsid w:val="000F2B6B"/>
    <w:rsid w:val="000F30F4"/>
    <w:rsid w:val="000F3AD5"/>
    <w:rsid w:val="000F3D61"/>
    <w:rsid w:val="000F4197"/>
    <w:rsid w:val="000F4225"/>
    <w:rsid w:val="000F441C"/>
    <w:rsid w:val="000F47F2"/>
    <w:rsid w:val="000F4EFD"/>
    <w:rsid w:val="000F4F64"/>
    <w:rsid w:val="000F5132"/>
    <w:rsid w:val="000F5463"/>
    <w:rsid w:val="000F54B4"/>
    <w:rsid w:val="000F5561"/>
    <w:rsid w:val="000F5565"/>
    <w:rsid w:val="000F5B23"/>
    <w:rsid w:val="000F6274"/>
    <w:rsid w:val="000F681B"/>
    <w:rsid w:val="000F6FA2"/>
    <w:rsid w:val="000F73E1"/>
    <w:rsid w:val="000F76FA"/>
    <w:rsid w:val="000F7C28"/>
    <w:rsid w:val="000F7DCD"/>
    <w:rsid w:val="0010038B"/>
    <w:rsid w:val="00100EB8"/>
    <w:rsid w:val="0010164F"/>
    <w:rsid w:val="001020F1"/>
    <w:rsid w:val="00102417"/>
    <w:rsid w:val="00102AD9"/>
    <w:rsid w:val="00102AF1"/>
    <w:rsid w:val="00102C49"/>
    <w:rsid w:val="0010327D"/>
    <w:rsid w:val="0010339F"/>
    <w:rsid w:val="00103CFD"/>
    <w:rsid w:val="00104315"/>
    <w:rsid w:val="001048BE"/>
    <w:rsid w:val="00104997"/>
    <w:rsid w:val="00104EB7"/>
    <w:rsid w:val="00105079"/>
    <w:rsid w:val="001052CF"/>
    <w:rsid w:val="00105351"/>
    <w:rsid w:val="00105B3E"/>
    <w:rsid w:val="00105C2B"/>
    <w:rsid w:val="00105D88"/>
    <w:rsid w:val="0010628B"/>
    <w:rsid w:val="00106425"/>
    <w:rsid w:val="0010664F"/>
    <w:rsid w:val="00106756"/>
    <w:rsid w:val="00106B92"/>
    <w:rsid w:val="0010714D"/>
    <w:rsid w:val="001072CD"/>
    <w:rsid w:val="001077C6"/>
    <w:rsid w:val="0011016F"/>
    <w:rsid w:val="00110DD2"/>
    <w:rsid w:val="00110E2B"/>
    <w:rsid w:val="001113DF"/>
    <w:rsid w:val="00112299"/>
    <w:rsid w:val="001124BC"/>
    <w:rsid w:val="001127F7"/>
    <w:rsid w:val="0011290A"/>
    <w:rsid w:val="001132FF"/>
    <w:rsid w:val="00113387"/>
    <w:rsid w:val="00113AC8"/>
    <w:rsid w:val="00113B78"/>
    <w:rsid w:val="00113D46"/>
    <w:rsid w:val="00114298"/>
    <w:rsid w:val="00114309"/>
    <w:rsid w:val="00114542"/>
    <w:rsid w:val="00114AD7"/>
    <w:rsid w:val="001153AF"/>
    <w:rsid w:val="0011542B"/>
    <w:rsid w:val="00116717"/>
    <w:rsid w:val="00116D3D"/>
    <w:rsid w:val="001174BB"/>
    <w:rsid w:val="001178FF"/>
    <w:rsid w:val="00117B3F"/>
    <w:rsid w:val="00120039"/>
    <w:rsid w:val="00120D0A"/>
    <w:rsid w:val="00121387"/>
    <w:rsid w:val="0012178D"/>
    <w:rsid w:val="00121935"/>
    <w:rsid w:val="00121ABD"/>
    <w:rsid w:val="001223EA"/>
    <w:rsid w:val="001227FA"/>
    <w:rsid w:val="0012293A"/>
    <w:rsid w:val="00122AC3"/>
    <w:rsid w:val="00122B77"/>
    <w:rsid w:val="00122CBF"/>
    <w:rsid w:val="00123752"/>
    <w:rsid w:val="001245CE"/>
    <w:rsid w:val="0012478E"/>
    <w:rsid w:val="00125045"/>
    <w:rsid w:val="00125058"/>
    <w:rsid w:val="001251C9"/>
    <w:rsid w:val="00125C84"/>
    <w:rsid w:val="001267A4"/>
    <w:rsid w:val="001268AF"/>
    <w:rsid w:val="00126AB9"/>
    <w:rsid w:val="00126C21"/>
    <w:rsid w:val="00127068"/>
    <w:rsid w:val="00127204"/>
    <w:rsid w:val="00130109"/>
    <w:rsid w:val="0013013D"/>
    <w:rsid w:val="0013033E"/>
    <w:rsid w:val="00130341"/>
    <w:rsid w:val="00130D71"/>
    <w:rsid w:val="00131CCF"/>
    <w:rsid w:val="00131EC3"/>
    <w:rsid w:val="00132628"/>
    <w:rsid w:val="00132A04"/>
    <w:rsid w:val="00133640"/>
    <w:rsid w:val="00134173"/>
    <w:rsid w:val="00134A31"/>
    <w:rsid w:val="00135ED6"/>
    <w:rsid w:val="0013655A"/>
    <w:rsid w:val="0013667C"/>
    <w:rsid w:val="001367E1"/>
    <w:rsid w:val="001369DF"/>
    <w:rsid w:val="00136B8E"/>
    <w:rsid w:val="00137548"/>
    <w:rsid w:val="001377C2"/>
    <w:rsid w:val="001377F8"/>
    <w:rsid w:val="00137D5D"/>
    <w:rsid w:val="0014071D"/>
    <w:rsid w:val="00140B24"/>
    <w:rsid w:val="00140DBF"/>
    <w:rsid w:val="00141BEE"/>
    <w:rsid w:val="00141E1F"/>
    <w:rsid w:val="00141EF7"/>
    <w:rsid w:val="0014230C"/>
    <w:rsid w:val="001425DE"/>
    <w:rsid w:val="00142B7F"/>
    <w:rsid w:val="00142D35"/>
    <w:rsid w:val="00143513"/>
    <w:rsid w:val="00143AED"/>
    <w:rsid w:val="0014411A"/>
    <w:rsid w:val="0014415F"/>
    <w:rsid w:val="0014459C"/>
    <w:rsid w:val="00144AC4"/>
    <w:rsid w:val="00144B99"/>
    <w:rsid w:val="00144DF2"/>
    <w:rsid w:val="00145444"/>
    <w:rsid w:val="0014565C"/>
    <w:rsid w:val="00145B30"/>
    <w:rsid w:val="00145EFC"/>
    <w:rsid w:val="00147133"/>
    <w:rsid w:val="0015017B"/>
    <w:rsid w:val="001502A3"/>
    <w:rsid w:val="0015116B"/>
    <w:rsid w:val="00151468"/>
    <w:rsid w:val="00151D8E"/>
    <w:rsid w:val="0015214B"/>
    <w:rsid w:val="00152447"/>
    <w:rsid w:val="00152E3C"/>
    <w:rsid w:val="0015309D"/>
    <w:rsid w:val="00153716"/>
    <w:rsid w:val="00153A64"/>
    <w:rsid w:val="00153C9B"/>
    <w:rsid w:val="00154B08"/>
    <w:rsid w:val="00154EE1"/>
    <w:rsid w:val="00155C18"/>
    <w:rsid w:val="00155EBB"/>
    <w:rsid w:val="001561F1"/>
    <w:rsid w:val="001562ED"/>
    <w:rsid w:val="00156A11"/>
    <w:rsid w:val="00156AC3"/>
    <w:rsid w:val="00156AF7"/>
    <w:rsid w:val="00156E7C"/>
    <w:rsid w:val="00156F30"/>
    <w:rsid w:val="00156FB3"/>
    <w:rsid w:val="00157279"/>
    <w:rsid w:val="0015729C"/>
    <w:rsid w:val="00157456"/>
    <w:rsid w:val="00157BD6"/>
    <w:rsid w:val="00157C0F"/>
    <w:rsid w:val="00157C25"/>
    <w:rsid w:val="00157D16"/>
    <w:rsid w:val="001605E1"/>
    <w:rsid w:val="00160701"/>
    <w:rsid w:val="001608C7"/>
    <w:rsid w:val="001609EE"/>
    <w:rsid w:val="00160D83"/>
    <w:rsid w:val="00160FB8"/>
    <w:rsid w:val="00161506"/>
    <w:rsid w:val="00161FB8"/>
    <w:rsid w:val="001624ED"/>
    <w:rsid w:val="00162763"/>
    <w:rsid w:val="00163193"/>
    <w:rsid w:val="00164041"/>
    <w:rsid w:val="001647E4"/>
    <w:rsid w:val="001648AA"/>
    <w:rsid w:val="0016496B"/>
    <w:rsid w:val="00164A52"/>
    <w:rsid w:val="00165377"/>
    <w:rsid w:val="001661D7"/>
    <w:rsid w:val="00167266"/>
    <w:rsid w:val="00167329"/>
    <w:rsid w:val="00167383"/>
    <w:rsid w:val="001673E0"/>
    <w:rsid w:val="00170C10"/>
    <w:rsid w:val="00170CAD"/>
    <w:rsid w:val="00170E42"/>
    <w:rsid w:val="0017130D"/>
    <w:rsid w:val="001717BC"/>
    <w:rsid w:val="00171AA7"/>
    <w:rsid w:val="00171FD6"/>
    <w:rsid w:val="001720BF"/>
    <w:rsid w:val="00172845"/>
    <w:rsid w:val="00172A23"/>
    <w:rsid w:val="00172EE8"/>
    <w:rsid w:val="0017310D"/>
    <w:rsid w:val="0017341D"/>
    <w:rsid w:val="00173618"/>
    <w:rsid w:val="00173B54"/>
    <w:rsid w:val="00173DE2"/>
    <w:rsid w:val="001744DD"/>
    <w:rsid w:val="0017461F"/>
    <w:rsid w:val="00174A26"/>
    <w:rsid w:val="00174CF3"/>
    <w:rsid w:val="001750CC"/>
    <w:rsid w:val="001754CB"/>
    <w:rsid w:val="00176390"/>
    <w:rsid w:val="001769AF"/>
    <w:rsid w:val="00176A00"/>
    <w:rsid w:val="00176D50"/>
    <w:rsid w:val="001774A0"/>
    <w:rsid w:val="001774BF"/>
    <w:rsid w:val="00177EB2"/>
    <w:rsid w:val="00180A73"/>
    <w:rsid w:val="00180E68"/>
    <w:rsid w:val="00181984"/>
    <w:rsid w:val="0018271D"/>
    <w:rsid w:val="00182813"/>
    <w:rsid w:val="00182C1B"/>
    <w:rsid w:val="00182FB8"/>
    <w:rsid w:val="00183A25"/>
    <w:rsid w:val="00183D95"/>
    <w:rsid w:val="001850B1"/>
    <w:rsid w:val="001852E4"/>
    <w:rsid w:val="00185494"/>
    <w:rsid w:val="00185A39"/>
    <w:rsid w:val="00185D88"/>
    <w:rsid w:val="00185F2A"/>
    <w:rsid w:val="00186FC5"/>
    <w:rsid w:val="00187648"/>
    <w:rsid w:val="00187B57"/>
    <w:rsid w:val="001905A3"/>
    <w:rsid w:val="001908C1"/>
    <w:rsid w:val="00191562"/>
    <w:rsid w:val="00191B7F"/>
    <w:rsid w:val="00192088"/>
    <w:rsid w:val="0019242D"/>
    <w:rsid w:val="0019261A"/>
    <w:rsid w:val="00192D12"/>
    <w:rsid w:val="00193441"/>
    <w:rsid w:val="00193AD3"/>
    <w:rsid w:val="00193B0F"/>
    <w:rsid w:val="001951A7"/>
    <w:rsid w:val="001957D0"/>
    <w:rsid w:val="00195939"/>
    <w:rsid w:val="001962E5"/>
    <w:rsid w:val="00196E09"/>
    <w:rsid w:val="00197013"/>
    <w:rsid w:val="0019703F"/>
    <w:rsid w:val="0019740E"/>
    <w:rsid w:val="00197871"/>
    <w:rsid w:val="00197E09"/>
    <w:rsid w:val="001A0013"/>
    <w:rsid w:val="001A00E9"/>
    <w:rsid w:val="001A066A"/>
    <w:rsid w:val="001A0767"/>
    <w:rsid w:val="001A08AD"/>
    <w:rsid w:val="001A0B0B"/>
    <w:rsid w:val="001A0B79"/>
    <w:rsid w:val="001A0EE4"/>
    <w:rsid w:val="001A1065"/>
    <w:rsid w:val="001A179B"/>
    <w:rsid w:val="001A1922"/>
    <w:rsid w:val="001A1FA4"/>
    <w:rsid w:val="001A2002"/>
    <w:rsid w:val="001A24BC"/>
    <w:rsid w:val="001A27C4"/>
    <w:rsid w:val="001A2A99"/>
    <w:rsid w:val="001A2D20"/>
    <w:rsid w:val="001A38B1"/>
    <w:rsid w:val="001A4026"/>
    <w:rsid w:val="001A4BDB"/>
    <w:rsid w:val="001A4D49"/>
    <w:rsid w:val="001A50AE"/>
    <w:rsid w:val="001A593F"/>
    <w:rsid w:val="001A59B2"/>
    <w:rsid w:val="001A59BF"/>
    <w:rsid w:val="001A6BF9"/>
    <w:rsid w:val="001A6EA7"/>
    <w:rsid w:val="001A6EAB"/>
    <w:rsid w:val="001A75FB"/>
    <w:rsid w:val="001A7F42"/>
    <w:rsid w:val="001B023E"/>
    <w:rsid w:val="001B03B3"/>
    <w:rsid w:val="001B08D9"/>
    <w:rsid w:val="001B0B61"/>
    <w:rsid w:val="001B0D60"/>
    <w:rsid w:val="001B117A"/>
    <w:rsid w:val="001B1A9E"/>
    <w:rsid w:val="001B1B01"/>
    <w:rsid w:val="001B1C9C"/>
    <w:rsid w:val="001B2A30"/>
    <w:rsid w:val="001B2F94"/>
    <w:rsid w:val="001B378F"/>
    <w:rsid w:val="001B3876"/>
    <w:rsid w:val="001B398C"/>
    <w:rsid w:val="001B3E4D"/>
    <w:rsid w:val="001B48D9"/>
    <w:rsid w:val="001B4F00"/>
    <w:rsid w:val="001B5273"/>
    <w:rsid w:val="001B5B7D"/>
    <w:rsid w:val="001B5D48"/>
    <w:rsid w:val="001B64D0"/>
    <w:rsid w:val="001B6941"/>
    <w:rsid w:val="001B6FF1"/>
    <w:rsid w:val="001B747F"/>
    <w:rsid w:val="001B7C37"/>
    <w:rsid w:val="001B7C8F"/>
    <w:rsid w:val="001C00CF"/>
    <w:rsid w:val="001C0972"/>
    <w:rsid w:val="001C0E54"/>
    <w:rsid w:val="001C171F"/>
    <w:rsid w:val="001C1EE2"/>
    <w:rsid w:val="001C1FCC"/>
    <w:rsid w:val="001C24C9"/>
    <w:rsid w:val="001C251F"/>
    <w:rsid w:val="001C2698"/>
    <w:rsid w:val="001C2CCB"/>
    <w:rsid w:val="001C2DB7"/>
    <w:rsid w:val="001C31C7"/>
    <w:rsid w:val="001C3627"/>
    <w:rsid w:val="001C3CC5"/>
    <w:rsid w:val="001C3E07"/>
    <w:rsid w:val="001C41C7"/>
    <w:rsid w:val="001C4413"/>
    <w:rsid w:val="001C4AF3"/>
    <w:rsid w:val="001C4C4B"/>
    <w:rsid w:val="001C5040"/>
    <w:rsid w:val="001C58F4"/>
    <w:rsid w:val="001C5ABA"/>
    <w:rsid w:val="001C5CE7"/>
    <w:rsid w:val="001C5EE5"/>
    <w:rsid w:val="001C6163"/>
    <w:rsid w:val="001C6315"/>
    <w:rsid w:val="001C63E4"/>
    <w:rsid w:val="001C6452"/>
    <w:rsid w:val="001C6DDF"/>
    <w:rsid w:val="001C6E74"/>
    <w:rsid w:val="001C7481"/>
    <w:rsid w:val="001C752D"/>
    <w:rsid w:val="001C7695"/>
    <w:rsid w:val="001C7846"/>
    <w:rsid w:val="001D00F0"/>
    <w:rsid w:val="001D0CE2"/>
    <w:rsid w:val="001D15D0"/>
    <w:rsid w:val="001D1781"/>
    <w:rsid w:val="001D200A"/>
    <w:rsid w:val="001D2A32"/>
    <w:rsid w:val="001D2D60"/>
    <w:rsid w:val="001D33E1"/>
    <w:rsid w:val="001D397D"/>
    <w:rsid w:val="001D3CCF"/>
    <w:rsid w:val="001D3E1A"/>
    <w:rsid w:val="001D408D"/>
    <w:rsid w:val="001D450F"/>
    <w:rsid w:val="001D4942"/>
    <w:rsid w:val="001D4C5E"/>
    <w:rsid w:val="001D4DF2"/>
    <w:rsid w:val="001D4F8A"/>
    <w:rsid w:val="001D6065"/>
    <w:rsid w:val="001D6494"/>
    <w:rsid w:val="001D686A"/>
    <w:rsid w:val="001D6B0A"/>
    <w:rsid w:val="001D6EB0"/>
    <w:rsid w:val="001D6EC0"/>
    <w:rsid w:val="001D78EC"/>
    <w:rsid w:val="001E01C4"/>
    <w:rsid w:val="001E022F"/>
    <w:rsid w:val="001E031B"/>
    <w:rsid w:val="001E04F5"/>
    <w:rsid w:val="001E09CA"/>
    <w:rsid w:val="001E0E43"/>
    <w:rsid w:val="001E22CC"/>
    <w:rsid w:val="001E24D1"/>
    <w:rsid w:val="001E2A83"/>
    <w:rsid w:val="001E2D52"/>
    <w:rsid w:val="001E34F6"/>
    <w:rsid w:val="001E3D69"/>
    <w:rsid w:val="001E4040"/>
    <w:rsid w:val="001E4A6C"/>
    <w:rsid w:val="001E4E51"/>
    <w:rsid w:val="001E55FC"/>
    <w:rsid w:val="001E6313"/>
    <w:rsid w:val="001E68A0"/>
    <w:rsid w:val="001E6A14"/>
    <w:rsid w:val="001E6F0A"/>
    <w:rsid w:val="001E7374"/>
    <w:rsid w:val="001E7455"/>
    <w:rsid w:val="001E77F9"/>
    <w:rsid w:val="001E7AAA"/>
    <w:rsid w:val="001E7BC2"/>
    <w:rsid w:val="001F057F"/>
    <w:rsid w:val="001F087D"/>
    <w:rsid w:val="001F091E"/>
    <w:rsid w:val="001F1667"/>
    <w:rsid w:val="001F182E"/>
    <w:rsid w:val="001F1E6F"/>
    <w:rsid w:val="001F1F2E"/>
    <w:rsid w:val="001F24D0"/>
    <w:rsid w:val="001F25DF"/>
    <w:rsid w:val="001F2906"/>
    <w:rsid w:val="001F2D76"/>
    <w:rsid w:val="001F3012"/>
    <w:rsid w:val="001F3254"/>
    <w:rsid w:val="001F33CA"/>
    <w:rsid w:val="001F354B"/>
    <w:rsid w:val="001F3E78"/>
    <w:rsid w:val="001F438A"/>
    <w:rsid w:val="001F43FA"/>
    <w:rsid w:val="001F45EB"/>
    <w:rsid w:val="001F46A5"/>
    <w:rsid w:val="001F54CF"/>
    <w:rsid w:val="001F5579"/>
    <w:rsid w:val="001F5611"/>
    <w:rsid w:val="001F5CE0"/>
    <w:rsid w:val="001F62C5"/>
    <w:rsid w:val="001F650C"/>
    <w:rsid w:val="001F6655"/>
    <w:rsid w:val="001F6829"/>
    <w:rsid w:val="001F709E"/>
    <w:rsid w:val="001F71D9"/>
    <w:rsid w:val="001F730F"/>
    <w:rsid w:val="001F76A9"/>
    <w:rsid w:val="001F78EB"/>
    <w:rsid w:val="001F7B10"/>
    <w:rsid w:val="001F7BDA"/>
    <w:rsid w:val="001F7F69"/>
    <w:rsid w:val="002000AA"/>
    <w:rsid w:val="002004C0"/>
    <w:rsid w:val="002006F2"/>
    <w:rsid w:val="00200760"/>
    <w:rsid w:val="002008FE"/>
    <w:rsid w:val="0020097E"/>
    <w:rsid w:val="00200DE7"/>
    <w:rsid w:val="00200E73"/>
    <w:rsid w:val="0020128F"/>
    <w:rsid w:val="0020199C"/>
    <w:rsid w:val="00201F04"/>
    <w:rsid w:val="002029EA"/>
    <w:rsid w:val="00202BB1"/>
    <w:rsid w:val="00203A7E"/>
    <w:rsid w:val="00203DB0"/>
    <w:rsid w:val="00203E7A"/>
    <w:rsid w:val="002043F1"/>
    <w:rsid w:val="00204A30"/>
    <w:rsid w:val="002051E1"/>
    <w:rsid w:val="00205229"/>
    <w:rsid w:val="002054AC"/>
    <w:rsid w:val="002076A4"/>
    <w:rsid w:val="002078CE"/>
    <w:rsid w:val="002119D9"/>
    <w:rsid w:val="002126E0"/>
    <w:rsid w:val="0021275F"/>
    <w:rsid w:val="00212CA5"/>
    <w:rsid w:val="00213046"/>
    <w:rsid w:val="002132F0"/>
    <w:rsid w:val="0021385F"/>
    <w:rsid w:val="00213AC3"/>
    <w:rsid w:val="00213B84"/>
    <w:rsid w:val="00214962"/>
    <w:rsid w:val="002149A9"/>
    <w:rsid w:val="002149C9"/>
    <w:rsid w:val="0021522A"/>
    <w:rsid w:val="00215488"/>
    <w:rsid w:val="00215719"/>
    <w:rsid w:val="00215864"/>
    <w:rsid w:val="0021586A"/>
    <w:rsid w:val="002164D6"/>
    <w:rsid w:val="002165DA"/>
    <w:rsid w:val="00216BB7"/>
    <w:rsid w:val="00216C66"/>
    <w:rsid w:val="00216C8F"/>
    <w:rsid w:val="00217000"/>
    <w:rsid w:val="0021708E"/>
    <w:rsid w:val="002175B7"/>
    <w:rsid w:val="0021770B"/>
    <w:rsid w:val="00217BE6"/>
    <w:rsid w:val="002200B0"/>
    <w:rsid w:val="002205FC"/>
    <w:rsid w:val="0022095B"/>
    <w:rsid w:val="00220F9D"/>
    <w:rsid w:val="002210E3"/>
    <w:rsid w:val="00221134"/>
    <w:rsid w:val="00221BE0"/>
    <w:rsid w:val="00222007"/>
    <w:rsid w:val="00222181"/>
    <w:rsid w:val="00222BF5"/>
    <w:rsid w:val="00223400"/>
    <w:rsid w:val="0022386A"/>
    <w:rsid w:val="00223916"/>
    <w:rsid w:val="00224345"/>
    <w:rsid w:val="0022493B"/>
    <w:rsid w:val="002249BD"/>
    <w:rsid w:val="00224AC5"/>
    <w:rsid w:val="00225400"/>
    <w:rsid w:val="00225D69"/>
    <w:rsid w:val="00226230"/>
    <w:rsid w:val="002262E1"/>
    <w:rsid w:val="00226734"/>
    <w:rsid w:val="0022695E"/>
    <w:rsid w:val="002277BA"/>
    <w:rsid w:val="00227BD5"/>
    <w:rsid w:val="00227E65"/>
    <w:rsid w:val="00227FC5"/>
    <w:rsid w:val="00230635"/>
    <w:rsid w:val="00231AE1"/>
    <w:rsid w:val="00231E5E"/>
    <w:rsid w:val="00231E7E"/>
    <w:rsid w:val="002321B8"/>
    <w:rsid w:val="0023290D"/>
    <w:rsid w:val="00232F0C"/>
    <w:rsid w:val="00232F15"/>
    <w:rsid w:val="002331C9"/>
    <w:rsid w:val="00233598"/>
    <w:rsid w:val="002336C3"/>
    <w:rsid w:val="00233EF7"/>
    <w:rsid w:val="00234687"/>
    <w:rsid w:val="002346D5"/>
    <w:rsid w:val="00234760"/>
    <w:rsid w:val="00234EAC"/>
    <w:rsid w:val="002355AE"/>
    <w:rsid w:val="00235787"/>
    <w:rsid w:val="002364C8"/>
    <w:rsid w:val="00236516"/>
    <w:rsid w:val="0023685B"/>
    <w:rsid w:val="0023701E"/>
    <w:rsid w:val="002371D5"/>
    <w:rsid w:val="00237D6C"/>
    <w:rsid w:val="00237D9F"/>
    <w:rsid w:val="0024043A"/>
    <w:rsid w:val="00240AAB"/>
    <w:rsid w:val="00240BD4"/>
    <w:rsid w:val="00240D8A"/>
    <w:rsid w:val="00241023"/>
    <w:rsid w:val="002411F9"/>
    <w:rsid w:val="0024172A"/>
    <w:rsid w:val="00242071"/>
    <w:rsid w:val="002425FD"/>
    <w:rsid w:val="00242B32"/>
    <w:rsid w:val="00242E6C"/>
    <w:rsid w:val="00242F11"/>
    <w:rsid w:val="0024390F"/>
    <w:rsid w:val="00243FE6"/>
    <w:rsid w:val="002444B1"/>
    <w:rsid w:val="002450EE"/>
    <w:rsid w:val="002462EA"/>
    <w:rsid w:val="0024641D"/>
    <w:rsid w:val="00247074"/>
    <w:rsid w:val="00247219"/>
    <w:rsid w:val="002473F7"/>
    <w:rsid w:val="002479E2"/>
    <w:rsid w:val="00247BA4"/>
    <w:rsid w:val="00247CD1"/>
    <w:rsid w:val="0025014B"/>
    <w:rsid w:val="002501B3"/>
    <w:rsid w:val="00250C9D"/>
    <w:rsid w:val="00251526"/>
    <w:rsid w:val="00251A0B"/>
    <w:rsid w:val="00251E9D"/>
    <w:rsid w:val="00251F89"/>
    <w:rsid w:val="002525BD"/>
    <w:rsid w:val="00252755"/>
    <w:rsid w:val="0025299B"/>
    <w:rsid w:val="00252A3F"/>
    <w:rsid w:val="00252E29"/>
    <w:rsid w:val="0025306F"/>
    <w:rsid w:val="002533C6"/>
    <w:rsid w:val="00253CD0"/>
    <w:rsid w:val="00254123"/>
    <w:rsid w:val="00254830"/>
    <w:rsid w:val="00255187"/>
    <w:rsid w:val="00255341"/>
    <w:rsid w:val="00255868"/>
    <w:rsid w:val="00256062"/>
    <w:rsid w:val="002561C2"/>
    <w:rsid w:val="002564ED"/>
    <w:rsid w:val="002568C5"/>
    <w:rsid w:val="00256FA9"/>
    <w:rsid w:val="0025709F"/>
    <w:rsid w:val="0025761E"/>
    <w:rsid w:val="00257809"/>
    <w:rsid w:val="00257F35"/>
    <w:rsid w:val="002600C3"/>
    <w:rsid w:val="002605CE"/>
    <w:rsid w:val="00260CEA"/>
    <w:rsid w:val="002613B7"/>
    <w:rsid w:val="00261A38"/>
    <w:rsid w:val="00261CF7"/>
    <w:rsid w:val="0026254F"/>
    <w:rsid w:val="00262F13"/>
    <w:rsid w:val="00262F1C"/>
    <w:rsid w:val="00262F91"/>
    <w:rsid w:val="00264620"/>
    <w:rsid w:val="00264672"/>
    <w:rsid w:val="002646BA"/>
    <w:rsid w:val="002658EB"/>
    <w:rsid w:val="00266090"/>
    <w:rsid w:val="0026633E"/>
    <w:rsid w:val="00266919"/>
    <w:rsid w:val="0026698B"/>
    <w:rsid w:val="002669ED"/>
    <w:rsid w:val="00266A42"/>
    <w:rsid w:val="00267165"/>
    <w:rsid w:val="0026736B"/>
    <w:rsid w:val="002675C8"/>
    <w:rsid w:val="0027008A"/>
    <w:rsid w:val="00270091"/>
    <w:rsid w:val="0027030C"/>
    <w:rsid w:val="00272184"/>
    <w:rsid w:val="002724B5"/>
    <w:rsid w:val="00272656"/>
    <w:rsid w:val="002735C5"/>
    <w:rsid w:val="0027369B"/>
    <w:rsid w:val="00273B75"/>
    <w:rsid w:val="00273DCE"/>
    <w:rsid w:val="0027402D"/>
    <w:rsid w:val="002740F6"/>
    <w:rsid w:val="00274729"/>
    <w:rsid w:val="0027481A"/>
    <w:rsid w:val="00274BEB"/>
    <w:rsid w:val="00274D34"/>
    <w:rsid w:val="00275290"/>
    <w:rsid w:val="00275846"/>
    <w:rsid w:val="00275958"/>
    <w:rsid w:val="002761F9"/>
    <w:rsid w:val="0027765F"/>
    <w:rsid w:val="00277D10"/>
    <w:rsid w:val="00280C4E"/>
    <w:rsid w:val="00280C8D"/>
    <w:rsid w:val="00280D84"/>
    <w:rsid w:val="00280DD2"/>
    <w:rsid w:val="00280FB4"/>
    <w:rsid w:val="002812E4"/>
    <w:rsid w:val="00281A5C"/>
    <w:rsid w:val="00281A61"/>
    <w:rsid w:val="00281A92"/>
    <w:rsid w:val="00281B59"/>
    <w:rsid w:val="00281BDE"/>
    <w:rsid w:val="002827FE"/>
    <w:rsid w:val="002828BE"/>
    <w:rsid w:val="00283276"/>
    <w:rsid w:val="00284E74"/>
    <w:rsid w:val="002853ED"/>
    <w:rsid w:val="0028569D"/>
    <w:rsid w:val="0028571F"/>
    <w:rsid w:val="002859BE"/>
    <w:rsid w:val="00285C05"/>
    <w:rsid w:val="00285F13"/>
    <w:rsid w:val="0028721C"/>
    <w:rsid w:val="002877D4"/>
    <w:rsid w:val="00287992"/>
    <w:rsid w:val="00287996"/>
    <w:rsid w:val="002879C3"/>
    <w:rsid w:val="00287B1D"/>
    <w:rsid w:val="00287F1E"/>
    <w:rsid w:val="0029010C"/>
    <w:rsid w:val="00290195"/>
    <w:rsid w:val="00290268"/>
    <w:rsid w:val="00290273"/>
    <w:rsid w:val="002909AF"/>
    <w:rsid w:val="002909F7"/>
    <w:rsid w:val="00291943"/>
    <w:rsid w:val="00291FB4"/>
    <w:rsid w:val="00292044"/>
    <w:rsid w:val="00292067"/>
    <w:rsid w:val="00292105"/>
    <w:rsid w:val="002923E2"/>
    <w:rsid w:val="00292438"/>
    <w:rsid w:val="0029248B"/>
    <w:rsid w:val="002926B1"/>
    <w:rsid w:val="002927DD"/>
    <w:rsid w:val="00292BD1"/>
    <w:rsid w:val="00292E30"/>
    <w:rsid w:val="002930FE"/>
    <w:rsid w:val="002937D6"/>
    <w:rsid w:val="002937EB"/>
    <w:rsid w:val="00293A2E"/>
    <w:rsid w:val="00293ADE"/>
    <w:rsid w:val="00293C6B"/>
    <w:rsid w:val="00294A91"/>
    <w:rsid w:val="00294E33"/>
    <w:rsid w:val="00295145"/>
    <w:rsid w:val="00295AFD"/>
    <w:rsid w:val="00296D7A"/>
    <w:rsid w:val="002A04E7"/>
    <w:rsid w:val="002A175A"/>
    <w:rsid w:val="002A1A71"/>
    <w:rsid w:val="002A206D"/>
    <w:rsid w:val="002A261D"/>
    <w:rsid w:val="002A28B0"/>
    <w:rsid w:val="002A28B5"/>
    <w:rsid w:val="002A2C7B"/>
    <w:rsid w:val="002A3541"/>
    <w:rsid w:val="002A43AE"/>
    <w:rsid w:val="002A440E"/>
    <w:rsid w:val="002A53B9"/>
    <w:rsid w:val="002A570D"/>
    <w:rsid w:val="002A5E6E"/>
    <w:rsid w:val="002A60C1"/>
    <w:rsid w:val="002A636C"/>
    <w:rsid w:val="002A6BBD"/>
    <w:rsid w:val="002A7161"/>
    <w:rsid w:val="002A7FB4"/>
    <w:rsid w:val="002A7FBB"/>
    <w:rsid w:val="002B0F21"/>
    <w:rsid w:val="002B1106"/>
    <w:rsid w:val="002B1B67"/>
    <w:rsid w:val="002B1BC8"/>
    <w:rsid w:val="002B1CE8"/>
    <w:rsid w:val="002B22AD"/>
    <w:rsid w:val="002B286C"/>
    <w:rsid w:val="002B2CF4"/>
    <w:rsid w:val="002B2DE1"/>
    <w:rsid w:val="002B3349"/>
    <w:rsid w:val="002B3628"/>
    <w:rsid w:val="002B3A68"/>
    <w:rsid w:val="002B418C"/>
    <w:rsid w:val="002B4305"/>
    <w:rsid w:val="002B4717"/>
    <w:rsid w:val="002B4E94"/>
    <w:rsid w:val="002B599D"/>
    <w:rsid w:val="002B5AD0"/>
    <w:rsid w:val="002B636A"/>
    <w:rsid w:val="002B6576"/>
    <w:rsid w:val="002B6771"/>
    <w:rsid w:val="002B67C8"/>
    <w:rsid w:val="002B68C2"/>
    <w:rsid w:val="002B6CBF"/>
    <w:rsid w:val="002B7169"/>
    <w:rsid w:val="002B76B3"/>
    <w:rsid w:val="002B7F1E"/>
    <w:rsid w:val="002C0234"/>
    <w:rsid w:val="002C06DE"/>
    <w:rsid w:val="002C0B69"/>
    <w:rsid w:val="002C1088"/>
    <w:rsid w:val="002C10C1"/>
    <w:rsid w:val="002C1BF8"/>
    <w:rsid w:val="002C2A96"/>
    <w:rsid w:val="002C3087"/>
    <w:rsid w:val="002C3196"/>
    <w:rsid w:val="002C37E3"/>
    <w:rsid w:val="002C3B19"/>
    <w:rsid w:val="002C4640"/>
    <w:rsid w:val="002C49AE"/>
    <w:rsid w:val="002C49E2"/>
    <w:rsid w:val="002C4DAF"/>
    <w:rsid w:val="002C51D1"/>
    <w:rsid w:val="002C54B9"/>
    <w:rsid w:val="002C5924"/>
    <w:rsid w:val="002C5E17"/>
    <w:rsid w:val="002C60DD"/>
    <w:rsid w:val="002C66EB"/>
    <w:rsid w:val="002C6EB3"/>
    <w:rsid w:val="002C6F5A"/>
    <w:rsid w:val="002C7097"/>
    <w:rsid w:val="002C7A20"/>
    <w:rsid w:val="002C7ED2"/>
    <w:rsid w:val="002D0F84"/>
    <w:rsid w:val="002D0FAC"/>
    <w:rsid w:val="002D12E6"/>
    <w:rsid w:val="002D16DF"/>
    <w:rsid w:val="002D1BE7"/>
    <w:rsid w:val="002D1CF5"/>
    <w:rsid w:val="002D1EA5"/>
    <w:rsid w:val="002D219D"/>
    <w:rsid w:val="002D245D"/>
    <w:rsid w:val="002D2686"/>
    <w:rsid w:val="002D2E56"/>
    <w:rsid w:val="002D3B95"/>
    <w:rsid w:val="002D3E70"/>
    <w:rsid w:val="002D3EB9"/>
    <w:rsid w:val="002D4623"/>
    <w:rsid w:val="002D4888"/>
    <w:rsid w:val="002D4BD9"/>
    <w:rsid w:val="002D4C2F"/>
    <w:rsid w:val="002D5208"/>
    <w:rsid w:val="002D574E"/>
    <w:rsid w:val="002D6262"/>
    <w:rsid w:val="002D62C5"/>
    <w:rsid w:val="002D65F6"/>
    <w:rsid w:val="002D742D"/>
    <w:rsid w:val="002D77F6"/>
    <w:rsid w:val="002D7C90"/>
    <w:rsid w:val="002D7FDE"/>
    <w:rsid w:val="002E20EB"/>
    <w:rsid w:val="002E2140"/>
    <w:rsid w:val="002E21AF"/>
    <w:rsid w:val="002E258B"/>
    <w:rsid w:val="002E2B8A"/>
    <w:rsid w:val="002E3000"/>
    <w:rsid w:val="002E30F4"/>
    <w:rsid w:val="002E358E"/>
    <w:rsid w:val="002E42E5"/>
    <w:rsid w:val="002E4B26"/>
    <w:rsid w:val="002E525D"/>
    <w:rsid w:val="002E5345"/>
    <w:rsid w:val="002E5D40"/>
    <w:rsid w:val="002E63FF"/>
    <w:rsid w:val="002E641C"/>
    <w:rsid w:val="002E65F3"/>
    <w:rsid w:val="002E6D12"/>
    <w:rsid w:val="002E7470"/>
    <w:rsid w:val="002E751C"/>
    <w:rsid w:val="002E762F"/>
    <w:rsid w:val="002E795A"/>
    <w:rsid w:val="002E7BAB"/>
    <w:rsid w:val="002E7E50"/>
    <w:rsid w:val="002E7FE4"/>
    <w:rsid w:val="002F021D"/>
    <w:rsid w:val="002F04EC"/>
    <w:rsid w:val="002F0710"/>
    <w:rsid w:val="002F0754"/>
    <w:rsid w:val="002F07AA"/>
    <w:rsid w:val="002F0966"/>
    <w:rsid w:val="002F1808"/>
    <w:rsid w:val="002F1A3D"/>
    <w:rsid w:val="002F1AB0"/>
    <w:rsid w:val="002F1E83"/>
    <w:rsid w:val="002F2AD2"/>
    <w:rsid w:val="002F2BF3"/>
    <w:rsid w:val="002F2DAD"/>
    <w:rsid w:val="002F2E4F"/>
    <w:rsid w:val="002F3A05"/>
    <w:rsid w:val="002F3BED"/>
    <w:rsid w:val="002F472F"/>
    <w:rsid w:val="002F4907"/>
    <w:rsid w:val="002F5317"/>
    <w:rsid w:val="002F54D7"/>
    <w:rsid w:val="002F61BD"/>
    <w:rsid w:val="002F629B"/>
    <w:rsid w:val="002F6401"/>
    <w:rsid w:val="002F64BB"/>
    <w:rsid w:val="002F66BB"/>
    <w:rsid w:val="002F7658"/>
    <w:rsid w:val="002F7BD9"/>
    <w:rsid w:val="002F7E2D"/>
    <w:rsid w:val="002F7E32"/>
    <w:rsid w:val="00300BFC"/>
    <w:rsid w:val="00300FE4"/>
    <w:rsid w:val="00301B14"/>
    <w:rsid w:val="003022D5"/>
    <w:rsid w:val="00302704"/>
    <w:rsid w:val="00303124"/>
    <w:rsid w:val="003031C7"/>
    <w:rsid w:val="00303406"/>
    <w:rsid w:val="003034B4"/>
    <w:rsid w:val="003035DB"/>
    <w:rsid w:val="00303656"/>
    <w:rsid w:val="00303CDD"/>
    <w:rsid w:val="00303E96"/>
    <w:rsid w:val="003040E9"/>
    <w:rsid w:val="003040F6"/>
    <w:rsid w:val="0030436A"/>
    <w:rsid w:val="003045B2"/>
    <w:rsid w:val="00304901"/>
    <w:rsid w:val="00304BEE"/>
    <w:rsid w:val="00304C10"/>
    <w:rsid w:val="00304EB4"/>
    <w:rsid w:val="00305517"/>
    <w:rsid w:val="00305683"/>
    <w:rsid w:val="00305777"/>
    <w:rsid w:val="0030590B"/>
    <w:rsid w:val="00305AB2"/>
    <w:rsid w:val="00305E02"/>
    <w:rsid w:val="003062B0"/>
    <w:rsid w:val="0030644E"/>
    <w:rsid w:val="00306A53"/>
    <w:rsid w:val="0030748E"/>
    <w:rsid w:val="00307E2E"/>
    <w:rsid w:val="00310010"/>
    <w:rsid w:val="00310176"/>
    <w:rsid w:val="0031057F"/>
    <w:rsid w:val="003105CA"/>
    <w:rsid w:val="0031085A"/>
    <w:rsid w:val="00310A04"/>
    <w:rsid w:val="00311464"/>
    <w:rsid w:val="00311A93"/>
    <w:rsid w:val="00311B82"/>
    <w:rsid w:val="003121C1"/>
    <w:rsid w:val="00312244"/>
    <w:rsid w:val="00312347"/>
    <w:rsid w:val="003126F2"/>
    <w:rsid w:val="00312D13"/>
    <w:rsid w:val="00313071"/>
    <w:rsid w:val="0031326E"/>
    <w:rsid w:val="00313866"/>
    <w:rsid w:val="00313D7A"/>
    <w:rsid w:val="00314283"/>
    <w:rsid w:val="0031435D"/>
    <w:rsid w:val="003143B9"/>
    <w:rsid w:val="003146E5"/>
    <w:rsid w:val="0031492A"/>
    <w:rsid w:val="00314C70"/>
    <w:rsid w:val="00316D94"/>
    <w:rsid w:val="00316E40"/>
    <w:rsid w:val="00316FB2"/>
    <w:rsid w:val="00317737"/>
    <w:rsid w:val="00320146"/>
    <w:rsid w:val="003202CB"/>
    <w:rsid w:val="0032043E"/>
    <w:rsid w:val="00320615"/>
    <w:rsid w:val="00320B11"/>
    <w:rsid w:val="003217B6"/>
    <w:rsid w:val="00321BC7"/>
    <w:rsid w:val="00321C79"/>
    <w:rsid w:val="00322059"/>
    <w:rsid w:val="003223A9"/>
    <w:rsid w:val="0032274E"/>
    <w:rsid w:val="00322B2B"/>
    <w:rsid w:val="00323332"/>
    <w:rsid w:val="00323AD2"/>
    <w:rsid w:val="00323B0D"/>
    <w:rsid w:val="00323C56"/>
    <w:rsid w:val="00323D69"/>
    <w:rsid w:val="00323FFA"/>
    <w:rsid w:val="003247B1"/>
    <w:rsid w:val="00324AC0"/>
    <w:rsid w:val="00325DF3"/>
    <w:rsid w:val="00325E0C"/>
    <w:rsid w:val="00326017"/>
    <w:rsid w:val="003264FC"/>
    <w:rsid w:val="0032665B"/>
    <w:rsid w:val="003269D0"/>
    <w:rsid w:val="003269DE"/>
    <w:rsid w:val="00326D2F"/>
    <w:rsid w:val="00326D84"/>
    <w:rsid w:val="0032763F"/>
    <w:rsid w:val="003277D3"/>
    <w:rsid w:val="00327F04"/>
    <w:rsid w:val="00327FB1"/>
    <w:rsid w:val="003312B5"/>
    <w:rsid w:val="00331340"/>
    <w:rsid w:val="003316BC"/>
    <w:rsid w:val="00331A98"/>
    <w:rsid w:val="00332085"/>
    <w:rsid w:val="0033219E"/>
    <w:rsid w:val="003322E8"/>
    <w:rsid w:val="0033245D"/>
    <w:rsid w:val="00332852"/>
    <w:rsid w:val="00332C04"/>
    <w:rsid w:val="00332F07"/>
    <w:rsid w:val="003330B3"/>
    <w:rsid w:val="00333190"/>
    <w:rsid w:val="003331F0"/>
    <w:rsid w:val="00333489"/>
    <w:rsid w:val="00333694"/>
    <w:rsid w:val="003336FB"/>
    <w:rsid w:val="00333ADF"/>
    <w:rsid w:val="00333C1A"/>
    <w:rsid w:val="003341FB"/>
    <w:rsid w:val="00334622"/>
    <w:rsid w:val="00334F7C"/>
    <w:rsid w:val="0033515F"/>
    <w:rsid w:val="00335812"/>
    <w:rsid w:val="00336195"/>
    <w:rsid w:val="003361BB"/>
    <w:rsid w:val="00337449"/>
    <w:rsid w:val="00337540"/>
    <w:rsid w:val="00340544"/>
    <w:rsid w:val="00340F91"/>
    <w:rsid w:val="003410F6"/>
    <w:rsid w:val="003417BD"/>
    <w:rsid w:val="00341CE1"/>
    <w:rsid w:val="00341DC3"/>
    <w:rsid w:val="00342852"/>
    <w:rsid w:val="00342CCB"/>
    <w:rsid w:val="00342E44"/>
    <w:rsid w:val="00343028"/>
    <w:rsid w:val="0034363F"/>
    <w:rsid w:val="00343707"/>
    <w:rsid w:val="00343724"/>
    <w:rsid w:val="00344521"/>
    <w:rsid w:val="00345C21"/>
    <w:rsid w:val="00346118"/>
    <w:rsid w:val="003461B4"/>
    <w:rsid w:val="003462AE"/>
    <w:rsid w:val="0034658F"/>
    <w:rsid w:val="00346AF9"/>
    <w:rsid w:val="00347146"/>
    <w:rsid w:val="00347361"/>
    <w:rsid w:val="003474DF"/>
    <w:rsid w:val="0034759A"/>
    <w:rsid w:val="00347843"/>
    <w:rsid w:val="00347B60"/>
    <w:rsid w:val="00347E35"/>
    <w:rsid w:val="003502AA"/>
    <w:rsid w:val="003506C7"/>
    <w:rsid w:val="00350F84"/>
    <w:rsid w:val="00350FAC"/>
    <w:rsid w:val="0035105D"/>
    <w:rsid w:val="00351D0F"/>
    <w:rsid w:val="00351FA7"/>
    <w:rsid w:val="0035212F"/>
    <w:rsid w:val="00352A44"/>
    <w:rsid w:val="00352EC0"/>
    <w:rsid w:val="00353020"/>
    <w:rsid w:val="003535C1"/>
    <w:rsid w:val="00353955"/>
    <w:rsid w:val="00354223"/>
    <w:rsid w:val="00354C35"/>
    <w:rsid w:val="00354C97"/>
    <w:rsid w:val="0035564A"/>
    <w:rsid w:val="00355CF9"/>
    <w:rsid w:val="00356023"/>
    <w:rsid w:val="003561F3"/>
    <w:rsid w:val="0035659D"/>
    <w:rsid w:val="003568F6"/>
    <w:rsid w:val="00356DB3"/>
    <w:rsid w:val="00357024"/>
    <w:rsid w:val="003573D1"/>
    <w:rsid w:val="00357593"/>
    <w:rsid w:val="00360168"/>
    <w:rsid w:val="00360679"/>
    <w:rsid w:val="00360AC7"/>
    <w:rsid w:val="00360F7D"/>
    <w:rsid w:val="00361389"/>
    <w:rsid w:val="00362D77"/>
    <w:rsid w:val="0036347B"/>
    <w:rsid w:val="00363845"/>
    <w:rsid w:val="00363A6B"/>
    <w:rsid w:val="00363C20"/>
    <w:rsid w:val="00363C6A"/>
    <w:rsid w:val="00363CA0"/>
    <w:rsid w:val="003644A9"/>
    <w:rsid w:val="00364961"/>
    <w:rsid w:val="0036505C"/>
    <w:rsid w:val="003650D8"/>
    <w:rsid w:val="003651F4"/>
    <w:rsid w:val="00365319"/>
    <w:rsid w:val="00365681"/>
    <w:rsid w:val="00365FF0"/>
    <w:rsid w:val="0036603C"/>
    <w:rsid w:val="003661D3"/>
    <w:rsid w:val="00367620"/>
    <w:rsid w:val="00370631"/>
    <w:rsid w:val="00370C12"/>
    <w:rsid w:val="00370FC4"/>
    <w:rsid w:val="00371098"/>
    <w:rsid w:val="00371296"/>
    <w:rsid w:val="0037167C"/>
    <w:rsid w:val="00371FAF"/>
    <w:rsid w:val="003721CE"/>
    <w:rsid w:val="003726AE"/>
    <w:rsid w:val="0037281D"/>
    <w:rsid w:val="00372986"/>
    <w:rsid w:val="003729C1"/>
    <w:rsid w:val="00372E7F"/>
    <w:rsid w:val="00373553"/>
    <w:rsid w:val="0037389E"/>
    <w:rsid w:val="003739E8"/>
    <w:rsid w:val="003740B5"/>
    <w:rsid w:val="00374CA9"/>
    <w:rsid w:val="00374D8B"/>
    <w:rsid w:val="00375025"/>
    <w:rsid w:val="003754C1"/>
    <w:rsid w:val="00375955"/>
    <w:rsid w:val="00375A3B"/>
    <w:rsid w:val="00375BA6"/>
    <w:rsid w:val="00375F1A"/>
    <w:rsid w:val="0037633B"/>
    <w:rsid w:val="003763A5"/>
    <w:rsid w:val="00377569"/>
    <w:rsid w:val="0037786A"/>
    <w:rsid w:val="00377C63"/>
    <w:rsid w:val="00380770"/>
    <w:rsid w:val="00380D55"/>
    <w:rsid w:val="00381413"/>
    <w:rsid w:val="003818BB"/>
    <w:rsid w:val="00381DFF"/>
    <w:rsid w:val="00381EBD"/>
    <w:rsid w:val="00382B64"/>
    <w:rsid w:val="0038418E"/>
    <w:rsid w:val="0038434E"/>
    <w:rsid w:val="00384ECE"/>
    <w:rsid w:val="00384FCD"/>
    <w:rsid w:val="00385378"/>
    <w:rsid w:val="0038569B"/>
    <w:rsid w:val="00385A4A"/>
    <w:rsid w:val="003860A6"/>
    <w:rsid w:val="0038623C"/>
    <w:rsid w:val="0038664C"/>
    <w:rsid w:val="00387343"/>
    <w:rsid w:val="003874C9"/>
    <w:rsid w:val="0038763C"/>
    <w:rsid w:val="003876B2"/>
    <w:rsid w:val="003877FE"/>
    <w:rsid w:val="003878BD"/>
    <w:rsid w:val="00387CB5"/>
    <w:rsid w:val="00387FB4"/>
    <w:rsid w:val="0039016D"/>
    <w:rsid w:val="003905D2"/>
    <w:rsid w:val="00392882"/>
    <w:rsid w:val="00392952"/>
    <w:rsid w:val="00392E66"/>
    <w:rsid w:val="00392FDF"/>
    <w:rsid w:val="003937D6"/>
    <w:rsid w:val="003940AC"/>
    <w:rsid w:val="003942E8"/>
    <w:rsid w:val="00394476"/>
    <w:rsid w:val="00394D91"/>
    <w:rsid w:val="00395119"/>
    <w:rsid w:val="00395A25"/>
    <w:rsid w:val="00395D18"/>
    <w:rsid w:val="00396688"/>
    <w:rsid w:val="003966C8"/>
    <w:rsid w:val="00396917"/>
    <w:rsid w:val="00396ABD"/>
    <w:rsid w:val="00396E78"/>
    <w:rsid w:val="00396F04"/>
    <w:rsid w:val="00397CF7"/>
    <w:rsid w:val="00397DC8"/>
    <w:rsid w:val="003A00F2"/>
    <w:rsid w:val="003A022D"/>
    <w:rsid w:val="003A046A"/>
    <w:rsid w:val="003A04B9"/>
    <w:rsid w:val="003A0549"/>
    <w:rsid w:val="003A1AE9"/>
    <w:rsid w:val="003A1DFF"/>
    <w:rsid w:val="003A20B3"/>
    <w:rsid w:val="003A226A"/>
    <w:rsid w:val="003A22CD"/>
    <w:rsid w:val="003A24B5"/>
    <w:rsid w:val="003A251A"/>
    <w:rsid w:val="003A28F7"/>
    <w:rsid w:val="003A33AF"/>
    <w:rsid w:val="003A3912"/>
    <w:rsid w:val="003A39BB"/>
    <w:rsid w:val="003A3A62"/>
    <w:rsid w:val="003A3BB6"/>
    <w:rsid w:val="003A400E"/>
    <w:rsid w:val="003A4189"/>
    <w:rsid w:val="003A4537"/>
    <w:rsid w:val="003A48F4"/>
    <w:rsid w:val="003A4CBF"/>
    <w:rsid w:val="003A50C3"/>
    <w:rsid w:val="003A56F3"/>
    <w:rsid w:val="003A5804"/>
    <w:rsid w:val="003A580C"/>
    <w:rsid w:val="003A62AA"/>
    <w:rsid w:val="003A7B0E"/>
    <w:rsid w:val="003B0297"/>
    <w:rsid w:val="003B06E1"/>
    <w:rsid w:val="003B0837"/>
    <w:rsid w:val="003B09E6"/>
    <w:rsid w:val="003B0ED3"/>
    <w:rsid w:val="003B0F2C"/>
    <w:rsid w:val="003B121C"/>
    <w:rsid w:val="003B187C"/>
    <w:rsid w:val="003B1CD7"/>
    <w:rsid w:val="003B1D62"/>
    <w:rsid w:val="003B1E5D"/>
    <w:rsid w:val="003B27D3"/>
    <w:rsid w:val="003B2929"/>
    <w:rsid w:val="003B2B11"/>
    <w:rsid w:val="003B2E96"/>
    <w:rsid w:val="003B3209"/>
    <w:rsid w:val="003B334E"/>
    <w:rsid w:val="003B34DD"/>
    <w:rsid w:val="003B36E6"/>
    <w:rsid w:val="003B38E8"/>
    <w:rsid w:val="003B3BE9"/>
    <w:rsid w:val="003B3D27"/>
    <w:rsid w:val="003B4AAA"/>
    <w:rsid w:val="003B4EA8"/>
    <w:rsid w:val="003B5DCB"/>
    <w:rsid w:val="003B5EBE"/>
    <w:rsid w:val="003B6756"/>
    <w:rsid w:val="003B69FF"/>
    <w:rsid w:val="003B6AD0"/>
    <w:rsid w:val="003B7167"/>
    <w:rsid w:val="003B7400"/>
    <w:rsid w:val="003B7905"/>
    <w:rsid w:val="003B7B16"/>
    <w:rsid w:val="003C00B2"/>
    <w:rsid w:val="003C0184"/>
    <w:rsid w:val="003C0309"/>
    <w:rsid w:val="003C04FC"/>
    <w:rsid w:val="003C0622"/>
    <w:rsid w:val="003C0BFF"/>
    <w:rsid w:val="003C166E"/>
    <w:rsid w:val="003C186F"/>
    <w:rsid w:val="003C1A59"/>
    <w:rsid w:val="003C1D3C"/>
    <w:rsid w:val="003C2015"/>
    <w:rsid w:val="003C2B26"/>
    <w:rsid w:val="003C392D"/>
    <w:rsid w:val="003C3A35"/>
    <w:rsid w:val="003C3A51"/>
    <w:rsid w:val="003C420B"/>
    <w:rsid w:val="003C4883"/>
    <w:rsid w:val="003C4AD3"/>
    <w:rsid w:val="003C4E9E"/>
    <w:rsid w:val="003C4F27"/>
    <w:rsid w:val="003C53D9"/>
    <w:rsid w:val="003C57C3"/>
    <w:rsid w:val="003C5EB9"/>
    <w:rsid w:val="003C62AC"/>
    <w:rsid w:val="003C659A"/>
    <w:rsid w:val="003C69DE"/>
    <w:rsid w:val="003C6E28"/>
    <w:rsid w:val="003C7751"/>
    <w:rsid w:val="003C7B15"/>
    <w:rsid w:val="003C7CBC"/>
    <w:rsid w:val="003D007E"/>
    <w:rsid w:val="003D08D7"/>
    <w:rsid w:val="003D0A62"/>
    <w:rsid w:val="003D13AB"/>
    <w:rsid w:val="003D1EFD"/>
    <w:rsid w:val="003D1FFF"/>
    <w:rsid w:val="003D2089"/>
    <w:rsid w:val="003D20C4"/>
    <w:rsid w:val="003D2A2B"/>
    <w:rsid w:val="003D2D91"/>
    <w:rsid w:val="003D2E10"/>
    <w:rsid w:val="003D2F30"/>
    <w:rsid w:val="003D2FD2"/>
    <w:rsid w:val="003D31A0"/>
    <w:rsid w:val="003D3E0C"/>
    <w:rsid w:val="003D3F59"/>
    <w:rsid w:val="003D401C"/>
    <w:rsid w:val="003D41EA"/>
    <w:rsid w:val="003D4229"/>
    <w:rsid w:val="003D447F"/>
    <w:rsid w:val="003D44C8"/>
    <w:rsid w:val="003D5069"/>
    <w:rsid w:val="003D5A6C"/>
    <w:rsid w:val="003D5F98"/>
    <w:rsid w:val="003D65CD"/>
    <w:rsid w:val="003D687D"/>
    <w:rsid w:val="003D6F6A"/>
    <w:rsid w:val="003D6FA5"/>
    <w:rsid w:val="003D711D"/>
    <w:rsid w:val="003D7451"/>
    <w:rsid w:val="003D7572"/>
    <w:rsid w:val="003D75C0"/>
    <w:rsid w:val="003D764D"/>
    <w:rsid w:val="003E04B9"/>
    <w:rsid w:val="003E1E25"/>
    <w:rsid w:val="003E1F01"/>
    <w:rsid w:val="003E20B6"/>
    <w:rsid w:val="003E2512"/>
    <w:rsid w:val="003E2AB5"/>
    <w:rsid w:val="003E2B90"/>
    <w:rsid w:val="003E2FC3"/>
    <w:rsid w:val="003E3724"/>
    <w:rsid w:val="003E3BB2"/>
    <w:rsid w:val="003E428F"/>
    <w:rsid w:val="003E44C6"/>
    <w:rsid w:val="003E4834"/>
    <w:rsid w:val="003E4C1B"/>
    <w:rsid w:val="003E547F"/>
    <w:rsid w:val="003E55ED"/>
    <w:rsid w:val="003E566D"/>
    <w:rsid w:val="003E5943"/>
    <w:rsid w:val="003E6D0E"/>
    <w:rsid w:val="003E73C0"/>
    <w:rsid w:val="003E77DE"/>
    <w:rsid w:val="003F1B76"/>
    <w:rsid w:val="003F1C8D"/>
    <w:rsid w:val="003F2101"/>
    <w:rsid w:val="003F2681"/>
    <w:rsid w:val="003F2BDB"/>
    <w:rsid w:val="003F3700"/>
    <w:rsid w:val="003F3859"/>
    <w:rsid w:val="003F3CA8"/>
    <w:rsid w:val="003F3E18"/>
    <w:rsid w:val="003F4082"/>
    <w:rsid w:val="003F496B"/>
    <w:rsid w:val="003F4D9B"/>
    <w:rsid w:val="003F5250"/>
    <w:rsid w:val="003F657D"/>
    <w:rsid w:val="003F6ACF"/>
    <w:rsid w:val="003F6C95"/>
    <w:rsid w:val="003F6E2A"/>
    <w:rsid w:val="003F779F"/>
    <w:rsid w:val="003F7D09"/>
    <w:rsid w:val="004006EE"/>
    <w:rsid w:val="004007C7"/>
    <w:rsid w:val="004009A3"/>
    <w:rsid w:val="004009D0"/>
    <w:rsid w:val="00400DC5"/>
    <w:rsid w:val="00401AA5"/>
    <w:rsid w:val="004020C9"/>
    <w:rsid w:val="00402897"/>
    <w:rsid w:val="00402CFE"/>
    <w:rsid w:val="00402DAF"/>
    <w:rsid w:val="004037DA"/>
    <w:rsid w:val="00404334"/>
    <w:rsid w:val="00404D97"/>
    <w:rsid w:val="004054F5"/>
    <w:rsid w:val="00405E34"/>
    <w:rsid w:val="0040648C"/>
    <w:rsid w:val="00407097"/>
    <w:rsid w:val="00407359"/>
    <w:rsid w:val="004073EA"/>
    <w:rsid w:val="00407739"/>
    <w:rsid w:val="00407B9C"/>
    <w:rsid w:val="0041035C"/>
    <w:rsid w:val="004112B2"/>
    <w:rsid w:val="004117C7"/>
    <w:rsid w:val="0041191A"/>
    <w:rsid w:val="00411DC1"/>
    <w:rsid w:val="00411FDB"/>
    <w:rsid w:val="00412028"/>
    <w:rsid w:val="004123F5"/>
    <w:rsid w:val="00412573"/>
    <w:rsid w:val="004126DE"/>
    <w:rsid w:val="00412AF1"/>
    <w:rsid w:val="00412D50"/>
    <w:rsid w:val="00413AAB"/>
    <w:rsid w:val="00415214"/>
    <w:rsid w:val="0041598E"/>
    <w:rsid w:val="00415BAB"/>
    <w:rsid w:val="00415E68"/>
    <w:rsid w:val="00416D44"/>
    <w:rsid w:val="00416E6E"/>
    <w:rsid w:val="00416E78"/>
    <w:rsid w:val="004172D9"/>
    <w:rsid w:val="0041733A"/>
    <w:rsid w:val="00417A10"/>
    <w:rsid w:val="004201BE"/>
    <w:rsid w:val="00420D56"/>
    <w:rsid w:val="004223AE"/>
    <w:rsid w:val="004224A7"/>
    <w:rsid w:val="0042267F"/>
    <w:rsid w:val="004226EA"/>
    <w:rsid w:val="00422897"/>
    <w:rsid w:val="004228FD"/>
    <w:rsid w:val="00422A07"/>
    <w:rsid w:val="00423461"/>
    <w:rsid w:val="00423664"/>
    <w:rsid w:val="00423CA8"/>
    <w:rsid w:val="00423F9F"/>
    <w:rsid w:val="004256F2"/>
    <w:rsid w:val="00425BAF"/>
    <w:rsid w:val="00425D14"/>
    <w:rsid w:val="00425DEE"/>
    <w:rsid w:val="0042620F"/>
    <w:rsid w:val="0042634F"/>
    <w:rsid w:val="004263AE"/>
    <w:rsid w:val="00426582"/>
    <w:rsid w:val="0042693F"/>
    <w:rsid w:val="0042696A"/>
    <w:rsid w:val="004278E6"/>
    <w:rsid w:val="004278EA"/>
    <w:rsid w:val="00427B74"/>
    <w:rsid w:val="00430E53"/>
    <w:rsid w:val="00431328"/>
    <w:rsid w:val="004313B9"/>
    <w:rsid w:val="00431443"/>
    <w:rsid w:val="00431B6D"/>
    <w:rsid w:val="0043229F"/>
    <w:rsid w:val="004324F0"/>
    <w:rsid w:val="0043270F"/>
    <w:rsid w:val="00432955"/>
    <w:rsid w:val="00433128"/>
    <w:rsid w:val="0043371E"/>
    <w:rsid w:val="00433F3A"/>
    <w:rsid w:val="00434616"/>
    <w:rsid w:val="00434C46"/>
    <w:rsid w:val="00434FEA"/>
    <w:rsid w:val="0043570D"/>
    <w:rsid w:val="00435EE9"/>
    <w:rsid w:val="00435F0C"/>
    <w:rsid w:val="00436EC7"/>
    <w:rsid w:val="00437769"/>
    <w:rsid w:val="00437934"/>
    <w:rsid w:val="00437D32"/>
    <w:rsid w:val="00437EC1"/>
    <w:rsid w:val="00437F4E"/>
    <w:rsid w:val="004401E2"/>
    <w:rsid w:val="00440D2A"/>
    <w:rsid w:val="004411DB"/>
    <w:rsid w:val="00441901"/>
    <w:rsid w:val="00441A42"/>
    <w:rsid w:val="00441D8D"/>
    <w:rsid w:val="00442C7C"/>
    <w:rsid w:val="00442D03"/>
    <w:rsid w:val="00442DD4"/>
    <w:rsid w:val="00443026"/>
    <w:rsid w:val="0044371D"/>
    <w:rsid w:val="00443908"/>
    <w:rsid w:val="00443AF6"/>
    <w:rsid w:val="00443E7D"/>
    <w:rsid w:val="00444087"/>
    <w:rsid w:val="0044468E"/>
    <w:rsid w:val="004446EA"/>
    <w:rsid w:val="00444736"/>
    <w:rsid w:val="0044498A"/>
    <w:rsid w:val="004452F5"/>
    <w:rsid w:val="00445C88"/>
    <w:rsid w:val="00445D13"/>
    <w:rsid w:val="00445D6D"/>
    <w:rsid w:val="004463A5"/>
    <w:rsid w:val="004468DF"/>
    <w:rsid w:val="00446993"/>
    <w:rsid w:val="0044762A"/>
    <w:rsid w:val="00450612"/>
    <w:rsid w:val="004511A8"/>
    <w:rsid w:val="004517C0"/>
    <w:rsid w:val="00451CC6"/>
    <w:rsid w:val="00451F31"/>
    <w:rsid w:val="004521FF"/>
    <w:rsid w:val="00452243"/>
    <w:rsid w:val="004526DD"/>
    <w:rsid w:val="0045303E"/>
    <w:rsid w:val="004531E8"/>
    <w:rsid w:val="00453BB0"/>
    <w:rsid w:val="0045438E"/>
    <w:rsid w:val="004543FD"/>
    <w:rsid w:val="0045456F"/>
    <w:rsid w:val="0045490F"/>
    <w:rsid w:val="00454A27"/>
    <w:rsid w:val="00455348"/>
    <w:rsid w:val="0045559C"/>
    <w:rsid w:val="004556E8"/>
    <w:rsid w:val="004557E5"/>
    <w:rsid w:val="004558EF"/>
    <w:rsid w:val="004559DC"/>
    <w:rsid w:val="00455B3E"/>
    <w:rsid w:val="00455C36"/>
    <w:rsid w:val="00456260"/>
    <w:rsid w:val="004562C8"/>
    <w:rsid w:val="004563C5"/>
    <w:rsid w:val="004564C5"/>
    <w:rsid w:val="00456AAF"/>
    <w:rsid w:val="00456AE4"/>
    <w:rsid w:val="0045700A"/>
    <w:rsid w:val="004570B5"/>
    <w:rsid w:val="00457271"/>
    <w:rsid w:val="00457CDE"/>
    <w:rsid w:val="00457E0A"/>
    <w:rsid w:val="00460415"/>
    <w:rsid w:val="00460557"/>
    <w:rsid w:val="0046121C"/>
    <w:rsid w:val="00461B22"/>
    <w:rsid w:val="00461C16"/>
    <w:rsid w:val="00462135"/>
    <w:rsid w:val="00462EDB"/>
    <w:rsid w:val="00462EEE"/>
    <w:rsid w:val="00463886"/>
    <w:rsid w:val="0046460B"/>
    <w:rsid w:val="004649C6"/>
    <w:rsid w:val="00465140"/>
    <w:rsid w:val="00465609"/>
    <w:rsid w:val="00465C68"/>
    <w:rsid w:val="00465E62"/>
    <w:rsid w:val="00465FB9"/>
    <w:rsid w:val="0046606D"/>
    <w:rsid w:val="0046630D"/>
    <w:rsid w:val="00466C26"/>
    <w:rsid w:val="0046709B"/>
    <w:rsid w:val="00467616"/>
    <w:rsid w:val="00467D80"/>
    <w:rsid w:val="00467FBA"/>
    <w:rsid w:val="00470541"/>
    <w:rsid w:val="00470871"/>
    <w:rsid w:val="00470EA9"/>
    <w:rsid w:val="00471388"/>
    <w:rsid w:val="0047158C"/>
    <w:rsid w:val="004716E2"/>
    <w:rsid w:val="0047188E"/>
    <w:rsid w:val="00471A32"/>
    <w:rsid w:val="00471AB0"/>
    <w:rsid w:val="00472362"/>
    <w:rsid w:val="004726FA"/>
    <w:rsid w:val="00473070"/>
    <w:rsid w:val="004732BF"/>
    <w:rsid w:val="0047384D"/>
    <w:rsid w:val="00473BA2"/>
    <w:rsid w:val="004742B8"/>
    <w:rsid w:val="004745CC"/>
    <w:rsid w:val="004747DF"/>
    <w:rsid w:val="00474A13"/>
    <w:rsid w:val="00474AA1"/>
    <w:rsid w:val="00474B78"/>
    <w:rsid w:val="00474CBB"/>
    <w:rsid w:val="00475277"/>
    <w:rsid w:val="00475A61"/>
    <w:rsid w:val="00475BA5"/>
    <w:rsid w:val="00475C32"/>
    <w:rsid w:val="0047640F"/>
    <w:rsid w:val="004770AF"/>
    <w:rsid w:val="00477920"/>
    <w:rsid w:val="00477B98"/>
    <w:rsid w:val="00480239"/>
    <w:rsid w:val="004818B3"/>
    <w:rsid w:val="00481E74"/>
    <w:rsid w:val="004822A0"/>
    <w:rsid w:val="004822AC"/>
    <w:rsid w:val="004825C4"/>
    <w:rsid w:val="00483DB7"/>
    <w:rsid w:val="004842B7"/>
    <w:rsid w:val="004851C6"/>
    <w:rsid w:val="004855BB"/>
    <w:rsid w:val="00486058"/>
    <w:rsid w:val="004865D1"/>
    <w:rsid w:val="00486956"/>
    <w:rsid w:val="00487754"/>
    <w:rsid w:val="00487AE4"/>
    <w:rsid w:val="0049011A"/>
    <w:rsid w:val="00490399"/>
    <w:rsid w:val="00491173"/>
    <w:rsid w:val="0049119C"/>
    <w:rsid w:val="00491805"/>
    <w:rsid w:val="00491C57"/>
    <w:rsid w:val="0049244A"/>
    <w:rsid w:val="00492F3A"/>
    <w:rsid w:val="00493247"/>
    <w:rsid w:val="004941C4"/>
    <w:rsid w:val="0049453C"/>
    <w:rsid w:val="00495066"/>
    <w:rsid w:val="00495895"/>
    <w:rsid w:val="00495970"/>
    <w:rsid w:val="00495B89"/>
    <w:rsid w:val="00495E87"/>
    <w:rsid w:val="004962F1"/>
    <w:rsid w:val="00496368"/>
    <w:rsid w:val="004976C4"/>
    <w:rsid w:val="00497862"/>
    <w:rsid w:val="00497C53"/>
    <w:rsid w:val="004A00CA"/>
    <w:rsid w:val="004A02A0"/>
    <w:rsid w:val="004A07D0"/>
    <w:rsid w:val="004A0D2B"/>
    <w:rsid w:val="004A1406"/>
    <w:rsid w:val="004A1B3F"/>
    <w:rsid w:val="004A1B8D"/>
    <w:rsid w:val="004A1CC7"/>
    <w:rsid w:val="004A1E93"/>
    <w:rsid w:val="004A20FD"/>
    <w:rsid w:val="004A217A"/>
    <w:rsid w:val="004A272C"/>
    <w:rsid w:val="004A2A05"/>
    <w:rsid w:val="004A2B30"/>
    <w:rsid w:val="004A3029"/>
    <w:rsid w:val="004A3427"/>
    <w:rsid w:val="004A3602"/>
    <w:rsid w:val="004A3FA1"/>
    <w:rsid w:val="004A4D35"/>
    <w:rsid w:val="004A5199"/>
    <w:rsid w:val="004A557F"/>
    <w:rsid w:val="004A570B"/>
    <w:rsid w:val="004A5A03"/>
    <w:rsid w:val="004A5B31"/>
    <w:rsid w:val="004A6747"/>
    <w:rsid w:val="004A7608"/>
    <w:rsid w:val="004A775D"/>
    <w:rsid w:val="004A79E7"/>
    <w:rsid w:val="004A7C70"/>
    <w:rsid w:val="004A7F86"/>
    <w:rsid w:val="004B00D3"/>
    <w:rsid w:val="004B02B6"/>
    <w:rsid w:val="004B06F6"/>
    <w:rsid w:val="004B0C23"/>
    <w:rsid w:val="004B115F"/>
    <w:rsid w:val="004B12B4"/>
    <w:rsid w:val="004B1755"/>
    <w:rsid w:val="004B19E6"/>
    <w:rsid w:val="004B1CE6"/>
    <w:rsid w:val="004B1E66"/>
    <w:rsid w:val="004B207C"/>
    <w:rsid w:val="004B22A1"/>
    <w:rsid w:val="004B299F"/>
    <w:rsid w:val="004B2C33"/>
    <w:rsid w:val="004B3088"/>
    <w:rsid w:val="004B36BD"/>
    <w:rsid w:val="004B3ADD"/>
    <w:rsid w:val="004B46FE"/>
    <w:rsid w:val="004B668E"/>
    <w:rsid w:val="004B70FE"/>
    <w:rsid w:val="004B74E8"/>
    <w:rsid w:val="004B781D"/>
    <w:rsid w:val="004B7A7E"/>
    <w:rsid w:val="004B7C93"/>
    <w:rsid w:val="004B7EA5"/>
    <w:rsid w:val="004C01C8"/>
    <w:rsid w:val="004C09AB"/>
    <w:rsid w:val="004C09BD"/>
    <w:rsid w:val="004C0C9A"/>
    <w:rsid w:val="004C1481"/>
    <w:rsid w:val="004C1886"/>
    <w:rsid w:val="004C1BEF"/>
    <w:rsid w:val="004C1E80"/>
    <w:rsid w:val="004C25F6"/>
    <w:rsid w:val="004C2A24"/>
    <w:rsid w:val="004C31EE"/>
    <w:rsid w:val="004C3B43"/>
    <w:rsid w:val="004C4978"/>
    <w:rsid w:val="004C4A3F"/>
    <w:rsid w:val="004C4AE9"/>
    <w:rsid w:val="004C4FC0"/>
    <w:rsid w:val="004C4FF4"/>
    <w:rsid w:val="004C50F9"/>
    <w:rsid w:val="004C5201"/>
    <w:rsid w:val="004C54C7"/>
    <w:rsid w:val="004C57F5"/>
    <w:rsid w:val="004C5CA1"/>
    <w:rsid w:val="004C5D35"/>
    <w:rsid w:val="004C6101"/>
    <w:rsid w:val="004C6383"/>
    <w:rsid w:val="004C65C1"/>
    <w:rsid w:val="004C697D"/>
    <w:rsid w:val="004C6E69"/>
    <w:rsid w:val="004C741A"/>
    <w:rsid w:val="004C7607"/>
    <w:rsid w:val="004D07BA"/>
    <w:rsid w:val="004D1A0B"/>
    <w:rsid w:val="004D1BEB"/>
    <w:rsid w:val="004D1CD8"/>
    <w:rsid w:val="004D2302"/>
    <w:rsid w:val="004D2679"/>
    <w:rsid w:val="004D28E2"/>
    <w:rsid w:val="004D2F78"/>
    <w:rsid w:val="004D302D"/>
    <w:rsid w:val="004D3617"/>
    <w:rsid w:val="004D3FB4"/>
    <w:rsid w:val="004D4963"/>
    <w:rsid w:val="004D4A87"/>
    <w:rsid w:val="004D4E36"/>
    <w:rsid w:val="004D515B"/>
    <w:rsid w:val="004D55B1"/>
    <w:rsid w:val="004D5649"/>
    <w:rsid w:val="004D5986"/>
    <w:rsid w:val="004D5B01"/>
    <w:rsid w:val="004D5C4F"/>
    <w:rsid w:val="004D5F52"/>
    <w:rsid w:val="004D633F"/>
    <w:rsid w:val="004D6AA5"/>
    <w:rsid w:val="004D7507"/>
    <w:rsid w:val="004D76D8"/>
    <w:rsid w:val="004D79D3"/>
    <w:rsid w:val="004E0FE7"/>
    <w:rsid w:val="004E1233"/>
    <w:rsid w:val="004E3854"/>
    <w:rsid w:val="004E3F2A"/>
    <w:rsid w:val="004E45E5"/>
    <w:rsid w:val="004E4A71"/>
    <w:rsid w:val="004E4ECD"/>
    <w:rsid w:val="004E5295"/>
    <w:rsid w:val="004E547F"/>
    <w:rsid w:val="004E5783"/>
    <w:rsid w:val="004E6686"/>
    <w:rsid w:val="004E7276"/>
    <w:rsid w:val="004E7B54"/>
    <w:rsid w:val="004F0326"/>
    <w:rsid w:val="004F0943"/>
    <w:rsid w:val="004F133C"/>
    <w:rsid w:val="004F18B4"/>
    <w:rsid w:val="004F1A9E"/>
    <w:rsid w:val="004F1D99"/>
    <w:rsid w:val="004F1E87"/>
    <w:rsid w:val="004F21F4"/>
    <w:rsid w:val="004F24EB"/>
    <w:rsid w:val="004F3736"/>
    <w:rsid w:val="004F4149"/>
    <w:rsid w:val="004F5659"/>
    <w:rsid w:val="004F573F"/>
    <w:rsid w:val="004F57BA"/>
    <w:rsid w:val="004F5810"/>
    <w:rsid w:val="004F5D72"/>
    <w:rsid w:val="004F6111"/>
    <w:rsid w:val="004F6255"/>
    <w:rsid w:val="004F6AEC"/>
    <w:rsid w:val="004F702D"/>
    <w:rsid w:val="004F7137"/>
    <w:rsid w:val="004F7258"/>
    <w:rsid w:val="004F75B9"/>
    <w:rsid w:val="004F76C9"/>
    <w:rsid w:val="004F785D"/>
    <w:rsid w:val="004F7BAC"/>
    <w:rsid w:val="004F7DFE"/>
    <w:rsid w:val="00500063"/>
    <w:rsid w:val="00500A1A"/>
    <w:rsid w:val="00500CAC"/>
    <w:rsid w:val="00500DAC"/>
    <w:rsid w:val="00500E08"/>
    <w:rsid w:val="00501213"/>
    <w:rsid w:val="005013C5"/>
    <w:rsid w:val="005013F8"/>
    <w:rsid w:val="00501A93"/>
    <w:rsid w:val="00502303"/>
    <w:rsid w:val="00502C03"/>
    <w:rsid w:val="00502E44"/>
    <w:rsid w:val="005030D2"/>
    <w:rsid w:val="00503EA0"/>
    <w:rsid w:val="005048BF"/>
    <w:rsid w:val="00504BEA"/>
    <w:rsid w:val="0050505D"/>
    <w:rsid w:val="00505430"/>
    <w:rsid w:val="00505714"/>
    <w:rsid w:val="00505BE4"/>
    <w:rsid w:val="00505F6A"/>
    <w:rsid w:val="005060A4"/>
    <w:rsid w:val="005060FF"/>
    <w:rsid w:val="0050684A"/>
    <w:rsid w:val="00506EC5"/>
    <w:rsid w:val="005070E4"/>
    <w:rsid w:val="0050726F"/>
    <w:rsid w:val="00507580"/>
    <w:rsid w:val="00510159"/>
    <w:rsid w:val="005102AF"/>
    <w:rsid w:val="0051089E"/>
    <w:rsid w:val="005108F1"/>
    <w:rsid w:val="005109E1"/>
    <w:rsid w:val="00511610"/>
    <w:rsid w:val="00511766"/>
    <w:rsid w:val="005117F6"/>
    <w:rsid w:val="005127B3"/>
    <w:rsid w:val="00512EC0"/>
    <w:rsid w:val="005143E6"/>
    <w:rsid w:val="00514446"/>
    <w:rsid w:val="005145E3"/>
    <w:rsid w:val="00514890"/>
    <w:rsid w:val="00514D4B"/>
    <w:rsid w:val="00514DEA"/>
    <w:rsid w:val="00514F57"/>
    <w:rsid w:val="005153BD"/>
    <w:rsid w:val="00515A41"/>
    <w:rsid w:val="00515B89"/>
    <w:rsid w:val="00515CB5"/>
    <w:rsid w:val="00515CE0"/>
    <w:rsid w:val="005166E9"/>
    <w:rsid w:val="005168F0"/>
    <w:rsid w:val="00516EAF"/>
    <w:rsid w:val="005172DD"/>
    <w:rsid w:val="00517627"/>
    <w:rsid w:val="0051785A"/>
    <w:rsid w:val="00517862"/>
    <w:rsid w:val="0052034D"/>
    <w:rsid w:val="00520B14"/>
    <w:rsid w:val="00520FDF"/>
    <w:rsid w:val="00521946"/>
    <w:rsid w:val="00521ABF"/>
    <w:rsid w:val="00521C03"/>
    <w:rsid w:val="00521CAA"/>
    <w:rsid w:val="00521E59"/>
    <w:rsid w:val="00523E54"/>
    <w:rsid w:val="00523F8B"/>
    <w:rsid w:val="00524339"/>
    <w:rsid w:val="0052491E"/>
    <w:rsid w:val="00524A97"/>
    <w:rsid w:val="00525830"/>
    <w:rsid w:val="00525B83"/>
    <w:rsid w:val="00525F12"/>
    <w:rsid w:val="0052602A"/>
    <w:rsid w:val="00526A4F"/>
    <w:rsid w:val="0052781F"/>
    <w:rsid w:val="00527DA0"/>
    <w:rsid w:val="00527E7D"/>
    <w:rsid w:val="0053000A"/>
    <w:rsid w:val="005300A6"/>
    <w:rsid w:val="00530593"/>
    <w:rsid w:val="00530845"/>
    <w:rsid w:val="00530E16"/>
    <w:rsid w:val="00530EE8"/>
    <w:rsid w:val="0053103E"/>
    <w:rsid w:val="005312D1"/>
    <w:rsid w:val="00532170"/>
    <w:rsid w:val="005329F3"/>
    <w:rsid w:val="00532EFB"/>
    <w:rsid w:val="00534210"/>
    <w:rsid w:val="0053440A"/>
    <w:rsid w:val="0053490C"/>
    <w:rsid w:val="00534D1B"/>
    <w:rsid w:val="005351DF"/>
    <w:rsid w:val="0053540C"/>
    <w:rsid w:val="0053548D"/>
    <w:rsid w:val="005354A2"/>
    <w:rsid w:val="0053593F"/>
    <w:rsid w:val="00535D0B"/>
    <w:rsid w:val="005362A1"/>
    <w:rsid w:val="0053699A"/>
    <w:rsid w:val="00536A87"/>
    <w:rsid w:val="00536D4D"/>
    <w:rsid w:val="00536DBE"/>
    <w:rsid w:val="00536F5B"/>
    <w:rsid w:val="005370BB"/>
    <w:rsid w:val="00537163"/>
    <w:rsid w:val="0053722B"/>
    <w:rsid w:val="00540341"/>
    <w:rsid w:val="0054086F"/>
    <w:rsid w:val="00540AC1"/>
    <w:rsid w:val="00540AD0"/>
    <w:rsid w:val="00541050"/>
    <w:rsid w:val="0054133C"/>
    <w:rsid w:val="005419D6"/>
    <w:rsid w:val="00542F4B"/>
    <w:rsid w:val="00543713"/>
    <w:rsid w:val="00543728"/>
    <w:rsid w:val="00543BDC"/>
    <w:rsid w:val="00543C51"/>
    <w:rsid w:val="005441EE"/>
    <w:rsid w:val="005442BF"/>
    <w:rsid w:val="00544499"/>
    <w:rsid w:val="00544691"/>
    <w:rsid w:val="00544FDC"/>
    <w:rsid w:val="00545E04"/>
    <w:rsid w:val="00545F83"/>
    <w:rsid w:val="00546868"/>
    <w:rsid w:val="00547B83"/>
    <w:rsid w:val="00547F86"/>
    <w:rsid w:val="0055011D"/>
    <w:rsid w:val="005506D4"/>
    <w:rsid w:val="00550721"/>
    <w:rsid w:val="00550D1F"/>
    <w:rsid w:val="00550FDA"/>
    <w:rsid w:val="005519DF"/>
    <w:rsid w:val="00551A1C"/>
    <w:rsid w:val="00552321"/>
    <w:rsid w:val="005524EA"/>
    <w:rsid w:val="00552D9A"/>
    <w:rsid w:val="00554840"/>
    <w:rsid w:val="005549EA"/>
    <w:rsid w:val="00556412"/>
    <w:rsid w:val="00557182"/>
    <w:rsid w:val="0055775D"/>
    <w:rsid w:val="0056021E"/>
    <w:rsid w:val="005617EF"/>
    <w:rsid w:val="00561858"/>
    <w:rsid w:val="00561862"/>
    <w:rsid w:val="00561A79"/>
    <w:rsid w:val="00562864"/>
    <w:rsid w:val="00562B60"/>
    <w:rsid w:val="00562FEB"/>
    <w:rsid w:val="00562FF2"/>
    <w:rsid w:val="00563792"/>
    <w:rsid w:val="005640A1"/>
    <w:rsid w:val="00564568"/>
    <w:rsid w:val="005647D0"/>
    <w:rsid w:val="00564DE9"/>
    <w:rsid w:val="0056546B"/>
    <w:rsid w:val="005665E8"/>
    <w:rsid w:val="0056685B"/>
    <w:rsid w:val="0056690A"/>
    <w:rsid w:val="00566BC3"/>
    <w:rsid w:val="005670F7"/>
    <w:rsid w:val="0056775D"/>
    <w:rsid w:val="005709FE"/>
    <w:rsid w:val="00570FDC"/>
    <w:rsid w:val="0057156E"/>
    <w:rsid w:val="005718F0"/>
    <w:rsid w:val="00571A1C"/>
    <w:rsid w:val="00571C39"/>
    <w:rsid w:val="00571D05"/>
    <w:rsid w:val="00572830"/>
    <w:rsid w:val="0057294A"/>
    <w:rsid w:val="00572BB7"/>
    <w:rsid w:val="00572FAA"/>
    <w:rsid w:val="0057326A"/>
    <w:rsid w:val="005733C7"/>
    <w:rsid w:val="00573420"/>
    <w:rsid w:val="005738E7"/>
    <w:rsid w:val="00573B72"/>
    <w:rsid w:val="005740B2"/>
    <w:rsid w:val="00574154"/>
    <w:rsid w:val="005742E9"/>
    <w:rsid w:val="005749A8"/>
    <w:rsid w:val="00574B15"/>
    <w:rsid w:val="00575282"/>
    <w:rsid w:val="0057528A"/>
    <w:rsid w:val="0057540B"/>
    <w:rsid w:val="0057557D"/>
    <w:rsid w:val="00575AC1"/>
    <w:rsid w:val="00575E6F"/>
    <w:rsid w:val="005767CE"/>
    <w:rsid w:val="00576C2E"/>
    <w:rsid w:val="00577143"/>
    <w:rsid w:val="0057772F"/>
    <w:rsid w:val="0057787E"/>
    <w:rsid w:val="00577F7E"/>
    <w:rsid w:val="00580191"/>
    <w:rsid w:val="00580192"/>
    <w:rsid w:val="005803FE"/>
    <w:rsid w:val="00580D47"/>
    <w:rsid w:val="00580D65"/>
    <w:rsid w:val="00581322"/>
    <w:rsid w:val="00581829"/>
    <w:rsid w:val="00581E71"/>
    <w:rsid w:val="00581EE4"/>
    <w:rsid w:val="00582001"/>
    <w:rsid w:val="00582730"/>
    <w:rsid w:val="005830FB"/>
    <w:rsid w:val="00583164"/>
    <w:rsid w:val="005831E2"/>
    <w:rsid w:val="005832E7"/>
    <w:rsid w:val="005834C8"/>
    <w:rsid w:val="005835BA"/>
    <w:rsid w:val="00583A18"/>
    <w:rsid w:val="00583DDE"/>
    <w:rsid w:val="00583EDE"/>
    <w:rsid w:val="00583F87"/>
    <w:rsid w:val="00584674"/>
    <w:rsid w:val="0058498D"/>
    <w:rsid w:val="00584DAF"/>
    <w:rsid w:val="00584DCD"/>
    <w:rsid w:val="00584FAF"/>
    <w:rsid w:val="0058519A"/>
    <w:rsid w:val="0058597E"/>
    <w:rsid w:val="00585B46"/>
    <w:rsid w:val="00585F55"/>
    <w:rsid w:val="00586011"/>
    <w:rsid w:val="00586528"/>
    <w:rsid w:val="00586835"/>
    <w:rsid w:val="005868CF"/>
    <w:rsid w:val="00586BC3"/>
    <w:rsid w:val="00587291"/>
    <w:rsid w:val="005902EC"/>
    <w:rsid w:val="005906CF"/>
    <w:rsid w:val="00590988"/>
    <w:rsid w:val="00590B77"/>
    <w:rsid w:val="005911FD"/>
    <w:rsid w:val="005912F9"/>
    <w:rsid w:val="00591715"/>
    <w:rsid w:val="00591C8C"/>
    <w:rsid w:val="00591F69"/>
    <w:rsid w:val="00592008"/>
    <w:rsid w:val="005924FF"/>
    <w:rsid w:val="00592EA1"/>
    <w:rsid w:val="00592FFB"/>
    <w:rsid w:val="00593C6D"/>
    <w:rsid w:val="00593E9A"/>
    <w:rsid w:val="00594CAA"/>
    <w:rsid w:val="00594D32"/>
    <w:rsid w:val="00595386"/>
    <w:rsid w:val="005958F7"/>
    <w:rsid w:val="00595A64"/>
    <w:rsid w:val="005961AB"/>
    <w:rsid w:val="005966CC"/>
    <w:rsid w:val="00596ADD"/>
    <w:rsid w:val="00596E6E"/>
    <w:rsid w:val="00596EBF"/>
    <w:rsid w:val="005976FD"/>
    <w:rsid w:val="00597C4B"/>
    <w:rsid w:val="005A0EF0"/>
    <w:rsid w:val="005A0F34"/>
    <w:rsid w:val="005A109F"/>
    <w:rsid w:val="005A2148"/>
    <w:rsid w:val="005A2192"/>
    <w:rsid w:val="005A224A"/>
    <w:rsid w:val="005A2624"/>
    <w:rsid w:val="005A2727"/>
    <w:rsid w:val="005A2F9F"/>
    <w:rsid w:val="005A34A6"/>
    <w:rsid w:val="005A3A26"/>
    <w:rsid w:val="005A4194"/>
    <w:rsid w:val="005A4603"/>
    <w:rsid w:val="005A4B30"/>
    <w:rsid w:val="005A4F30"/>
    <w:rsid w:val="005A5E72"/>
    <w:rsid w:val="005A6113"/>
    <w:rsid w:val="005A64D8"/>
    <w:rsid w:val="005A6593"/>
    <w:rsid w:val="005A6C5E"/>
    <w:rsid w:val="005A6DA8"/>
    <w:rsid w:val="005A7389"/>
    <w:rsid w:val="005A7D8B"/>
    <w:rsid w:val="005B01B8"/>
    <w:rsid w:val="005B04DD"/>
    <w:rsid w:val="005B0771"/>
    <w:rsid w:val="005B0D87"/>
    <w:rsid w:val="005B0DA9"/>
    <w:rsid w:val="005B0F7B"/>
    <w:rsid w:val="005B1311"/>
    <w:rsid w:val="005B14B1"/>
    <w:rsid w:val="005B2377"/>
    <w:rsid w:val="005B2A99"/>
    <w:rsid w:val="005B2B8B"/>
    <w:rsid w:val="005B30E1"/>
    <w:rsid w:val="005B3232"/>
    <w:rsid w:val="005B3499"/>
    <w:rsid w:val="005B3A90"/>
    <w:rsid w:val="005B4231"/>
    <w:rsid w:val="005B4267"/>
    <w:rsid w:val="005B429C"/>
    <w:rsid w:val="005B42B9"/>
    <w:rsid w:val="005B435E"/>
    <w:rsid w:val="005B4670"/>
    <w:rsid w:val="005B4774"/>
    <w:rsid w:val="005B4F10"/>
    <w:rsid w:val="005B512A"/>
    <w:rsid w:val="005B696B"/>
    <w:rsid w:val="005B7099"/>
    <w:rsid w:val="005B7941"/>
    <w:rsid w:val="005B7EF0"/>
    <w:rsid w:val="005B7F03"/>
    <w:rsid w:val="005C01FA"/>
    <w:rsid w:val="005C046D"/>
    <w:rsid w:val="005C0D82"/>
    <w:rsid w:val="005C1436"/>
    <w:rsid w:val="005C22F6"/>
    <w:rsid w:val="005C2384"/>
    <w:rsid w:val="005C2954"/>
    <w:rsid w:val="005C3603"/>
    <w:rsid w:val="005C386A"/>
    <w:rsid w:val="005C3B34"/>
    <w:rsid w:val="005C41FC"/>
    <w:rsid w:val="005C42B4"/>
    <w:rsid w:val="005C453D"/>
    <w:rsid w:val="005C48AD"/>
    <w:rsid w:val="005C4BDB"/>
    <w:rsid w:val="005C4CD1"/>
    <w:rsid w:val="005C4FDF"/>
    <w:rsid w:val="005C5257"/>
    <w:rsid w:val="005C5337"/>
    <w:rsid w:val="005C5984"/>
    <w:rsid w:val="005C5B4A"/>
    <w:rsid w:val="005C7449"/>
    <w:rsid w:val="005C76A4"/>
    <w:rsid w:val="005C7918"/>
    <w:rsid w:val="005D05E3"/>
    <w:rsid w:val="005D1CEF"/>
    <w:rsid w:val="005D302E"/>
    <w:rsid w:val="005D399D"/>
    <w:rsid w:val="005D3C6B"/>
    <w:rsid w:val="005D3E21"/>
    <w:rsid w:val="005D4C66"/>
    <w:rsid w:val="005D4FA7"/>
    <w:rsid w:val="005D5B75"/>
    <w:rsid w:val="005D5B85"/>
    <w:rsid w:val="005D5BD5"/>
    <w:rsid w:val="005D614E"/>
    <w:rsid w:val="005D6282"/>
    <w:rsid w:val="005D648A"/>
    <w:rsid w:val="005D6577"/>
    <w:rsid w:val="005D6BA1"/>
    <w:rsid w:val="005D6E9B"/>
    <w:rsid w:val="005D6F19"/>
    <w:rsid w:val="005D7562"/>
    <w:rsid w:val="005D7B07"/>
    <w:rsid w:val="005D7BD8"/>
    <w:rsid w:val="005D7C32"/>
    <w:rsid w:val="005D7DDE"/>
    <w:rsid w:val="005E098A"/>
    <w:rsid w:val="005E1598"/>
    <w:rsid w:val="005E17F9"/>
    <w:rsid w:val="005E1B66"/>
    <w:rsid w:val="005E1B88"/>
    <w:rsid w:val="005E1D27"/>
    <w:rsid w:val="005E1DD6"/>
    <w:rsid w:val="005E2466"/>
    <w:rsid w:val="005E2E48"/>
    <w:rsid w:val="005E40CB"/>
    <w:rsid w:val="005E43A8"/>
    <w:rsid w:val="005E4732"/>
    <w:rsid w:val="005E4919"/>
    <w:rsid w:val="005E4A7A"/>
    <w:rsid w:val="005E4B08"/>
    <w:rsid w:val="005E56BE"/>
    <w:rsid w:val="005E63C8"/>
    <w:rsid w:val="005E6B5F"/>
    <w:rsid w:val="005E710A"/>
    <w:rsid w:val="005E7621"/>
    <w:rsid w:val="005E775A"/>
    <w:rsid w:val="005E7AA5"/>
    <w:rsid w:val="005E7C37"/>
    <w:rsid w:val="005F0CCA"/>
    <w:rsid w:val="005F1059"/>
    <w:rsid w:val="005F1415"/>
    <w:rsid w:val="005F1653"/>
    <w:rsid w:val="005F1872"/>
    <w:rsid w:val="005F1DB6"/>
    <w:rsid w:val="005F2613"/>
    <w:rsid w:val="005F2E4B"/>
    <w:rsid w:val="005F382D"/>
    <w:rsid w:val="005F3A7A"/>
    <w:rsid w:val="005F3F77"/>
    <w:rsid w:val="005F42E6"/>
    <w:rsid w:val="005F5015"/>
    <w:rsid w:val="005F5F44"/>
    <w:rsid w:val="005F636C"/>
    <w:rsid w:val="005F6502"/>
    <w:rsid w:val="005F6771"/>
    <w:rsid w:val="005F6E78"/>
    <w:rsid w:val="005F6EA4"/>
    <w:rsid w:val="005F6EDC"/>
    <w:rsid w:val="005F6FE3"/>
    <w:rsid w:val="005F737A"/>
    <w:rsid w:val="005F73C6"/>
    <w:rsid w:val="005F7660"/>
    <w:rsid w:val="005F7940"/>
    <w:rsid w:val="005F7C5F"/>
    <w:rsid w:val="00600968"/>
    <w:rsid w:val="00600B58"/>
    <w:rsid w:val="006010C7"/>
    <w:rsid w:val="00601887"/>
    <w:rsid w:val="00601EE8"/>
    <w:rsid w:val="006020C1"/>
    <w:rsid w:val="0060299F"/>
    <w:rsid w:val="0060367B"/>
    <w:rsid w:val="0060392C"/>
    <w:rsid w:val="00603A55"/>
    <w:rsid w:val="00604100"/>
    <w:rsid w:val="0060478E"/>
    <w:rsid w:val="0060506D"/>
    <w:rsid w:val="0060518A"/>
    <w:rsid w:val="00605299"/>
    <w:rsid w:val="006054DF"/>
    <w:rsid w:val="00605AC1"/>
    <w:rsid w:val="00605D38"/>
    <w:rsid w:val="00606460"/>
    <w:rsid w:val="00606507"/>
    <w:rsid w:val="006065C6"/>
    <w:rsid w:val="00606716"/>
    <w:rsid w:val="00606B6D"/>
    <w:rsid w:val="0060725C"/>
    <w:rsid w:val="00607314"/>
    <w:rsid w:val="00607738"/>
    <w:rsid w:val="00607D08"/>
    <w:rsid w:val="006104AF"/>
    <w:rsid w:val="006104F5"/>
    <w:rsid w:val="00610AB1"/>
    <w:rsid w:val="00610BCC"/>
    <w:rsid w:val="00610DD5"/>
    <w:rsid w:val="00611500"/>
    <w:rsid w:val="00611A44"/>
    <w:rsid w:val="00611AAF"/>
    <w:rsid w:val="00611B77"/>
    <w:rsid w:val="00612211"/>
    <w:rsid w:val="0061264A"/>
    <w:rsid w:val="006131AC"/>
    <w:rsid w:val="006132D8"/>
    <w:rsid w:val="006133B3"/>
    <w:rsid w:val="00613720"/>
    <w:rsid w:val="0061383D"/>
    <w:rsid w:val="00613B0E"/>
    <w:rsid w:val="00613E6C"/>
    <w:rsid w:val="00613EF7"/>
    <w:rsid w:val="00613F44"/>
    <w:rsid w:val="00615336"/>
    <w:rsid w:val="00615E6F"/>
    <w:rsid w:val="0061615A"/>
    <w:rsid w:val="00616516"/>
    <w:rsid w:val="0061664B"/>
    <w:rsid w:val="00616864"/>
    <w:rsid w:val="00616E6E"/>
    <w:rsid w:val="0061720C"/>
    <w:rsid w:val="00617885"/>
    <w:rsid w:val="00617A29"/>
    <w:rsid w:val="00617DC6"/>
    <w:rsid w:val="00617EA3"/>
    <w:rsid w:val="00620516"/>
    <w:rsid w:val="00620AEA"/>
    <w:rsid w:val="00620BD1"/>
    <w:rsid w:val="00620E39"/>
    <w:rsid w:val="00621110"/>
    <w:rsid w:val="006213C7"/>
    <w:rsid w:val="00621846"/>
    <w:rsid w:val="006219F0"/>
    <w:rsid w:val="00621B0C"/>
    <w:rsid w:val="006220D4"/>
    <w:rsid w:val="00622632"/>
    <w:rsid w:val="00622BBD"/>
    <w:rsid w:val="00622C20"/>
    <w:rsid w:val="00622C4B"/>
    <w:rsid w:val="00623078"/>
    <w:rsid w:val="0062327E"/>
    <w:rsid w:val="00623312"/>
    <w:rsid w:val="0062339A"/>
    <w:rsid w:val="006235C7"/>
    <w:rsid w:val="0062379B"/>
    <w:rsid w:val="00624515"/>
    <w:rsid w:val="00624B86"/>
    <w:rsid w:val="00624E85"/>
    <w:rsid w:val="00624F08"/>
    <w:rsid w:val="006251DC"/>
    <w:rsid w:val="006251EB"/>
    <w:rsid w:val="0062536C"/>
    <w:rsid w:val="00626A1D"/>
    <w:rsid w:val="00627DF4"/>
    <w:rsid w:val="006303AD"/>
    <w:rsid w:val="00630E24"/>
    <w:rsid w:val="0063151C"/>
    <w:rsid w:val="00631619"/>
    <w:rsid w:val="00631A1E"/>
    <w:rsid w:val="00631A7E"/>
    <w:rsid w:val="00631B51"/>
    <w:rsid w:val="006325F1"/>
    <w:rsid w:val="006327E2"/>
    <w:rsid w:val="00632996"/>
    <w:rsid w:val="00632FF8"/>
    <w:rsid w:val="006331F7"/>
    <w:rsid w:val="00633258"/>
    <w:rsid w:val="006338B2"/>
    <w:rsid w:val="006339BA"/>
    <w:rsid w:val="00633BAC"/>
    <w:rsid w:val="006341FC"/>
    <w:rsid w:val="00634254"/>
    <w:rsid w:val="00634F57"/>
    <w:rsid w:val="0063598E"/>
    <w:rsid w:val="00635A4E"/>
    <w:rsid w:val="00636348"/>
    <w:rsid w:val="00636B5B"/>
    <w:rsid w:val="00636E39"/>
    <w:rsid w:val="00637168"/>
    <w:rsid w:val="006371F9"/>
    <w:rsid w:val="00637374"/>
    <w:rsid w:val="00637C5F"/>
    <w:rsid w:val="006401D9"/>
    <w:rsid w:val="00640507"/>
    <w:rsid w:val="006406EE"/>
    <w:rsid w:val="00640731"/>
    <w:rsid w:val="006409A2"/>
    <w:rsid w:val="00640BE2"/>
    <w:rsid w:val="006417B1"/>
    <w:rsid w:val="00642759"/>
    <w:rsid w:val="00642FCE"/>
    <w:rsid w:val="0064326C"/>
    <w:rsid w:val="0064327D"/>
    <w:rsid w:val="006436AB"/>
    <w:rsid w:val="00643994"/>
    <w:rsid w:val="006441ED"/>
    <w:rsid w:val="00644409"/>
    <w:rsid w:val="006448EE"/>
    <w:rsid w:val="00645233"/>
    <w:rsid w:val="006453DF"/>
    <w:rsid w:val="0064617C"/>
    <w:rsid w:val="006464DD"/>
    <w:rsid w:val="00646B46"/>
    <w:rsid w:val="00646C5D"/>
    <w:rsid w:val="00646E25"/>
    <w:rsid w:val="0064735E"/>
    <w:rsid w:val="00647417"/>
    <w:rsid w:val="00647A52"/>
    <w:rsid w:val="0065026B"/>
    <w:rsid w:val="00650338"/>
    <w:rsid w:val="00650365"/>
    <w:rsid w:val="00650538"/>
    <w:rsid w:val="006509F2"/>
    <w:rsid w:val="00651029"/>
    <w:rsid w:val="006515D0"/>
    <w:rsid w:val="00651BB5"/>
    <w:rsid w:val="00651D51"/>
    <w:rsid w:val="0065255D"/>
    <w:rsid w:val="006525E0"/>
    <w:rsid w:val="00652CE1"/>
    <w:rsid w:val="00652D0A"/>
    <w:rsid w:val="00654068"/>
    <w:rsid w:val="00654083"/>
    <w:rsid w:val="00654133"/>
    <w:rsid w:val="00654141"/>
    <w:rsid w:val="006544F3"/>
    <w:rsid w:val="00654D52"/>
    <w:rsid w:val="00654FB9"/>
    <w:rsid w:val="00655656"/>
    <w:rsid w:val="00657612"/>
    <w:rsid w:val="00657DD9"/>
    <w:rsid w:val="006605AA"/>
    <w:rsid w:val="0066079E"/>
    <w:rsid w:val="00660A21"/>
    <w:rsid w:val="00660B2D"/>
    <w:rsid w:val="00660F2C"/>
    <w:rsid w:val="006618B4"/>
    <w:rsid w:val="00661AD8"/>
    <w:rsid w:val="00661D2C"/>
    <w:rsid w:val="00662609"/>
    <w:rsid w:val="00662763"/>
    <w:rsid w:val="00662769"/>
    <w:rsid w:val="006628D5"/>
    <w:rsid w:val="0066321F"/>
    <w:rsid w:val="00663324"/>
    <w:rsid w:val="00664723"/>
    <w:rsid w:val="00664B5D"/>
    <w:rsid w:val="0066585C"/>
    <w:rsid w:val="00665E4E"/>
    <w:rsid w:val="00666146"/>
    <w:rsid w:val="006669B5"/>
    <w:rsid w:val="00666F73"/>
    <w:rsid w:val="00667378"/>
    <w:rsid w:val="006676A9"/>
    <w:rsid w:val="006677C1"/>
    <w:rsid w:val="00670076"/>
    <w:rsid w:val="006702CF"/>
    <w:rsid w:val="0067052D"/>
    <w:rsid w:val="006705EA"/>
    <w:rsid w:val="006712CD"/>
    <w:rsid w:val="00671404"/>
    <w:rsid w:val="006717B9"/>
    <w:rsid w:val="0067183A"/>
    <w:rsid w:val="00672F9C"/>
    <w:rsid w:val="00674239"/>
    <w:rsid w:val="00674430"/>
    <w:rsid w:val="00674BD0"/>
    <w:rsid w:val="006756A3"/>
    <w:rsid w:val="00675C29"/>
    <w:rsid w:val="00675D23"/>
    <w:rsid w:val="006773AB"/>
    <w:rsid w:val="00677A38"/>
    <w:rsid w:val="00677ABA"/>
    <w:rsid w:val="00677ED3"/>
    <w:rsid w:val="0068075B"/>
    <w:rsid w:val="00680E9E"/>
    <w:rsid w:val="00682600"/>
    <w:rsid w:val="00682820"/>
    <w:rsid w:val="00682C6B"/>
    <w:rsid w:val="0068319A"/>
    <w:rsid w:val="0068357E"/>
    <w:rsid w:val="00683800"/>
    <w:rsid w:val="0068410E"/>
    <w:rsid w:val="00684A23"/>
    <w:rsid w:val="0068546E"/>
    <w:rsid w:val="006862A1"/>
    <w:rsid w:val="006867E0"/>
    <w:rsid w:val="00686D37"/>
    <w:rsid w:val="00686E72"/>
    <w:rsid w:val="006876FF"/>
    <w:rsid w:val="006877E9"/>
    <w:rsid w:val="00687A40"/>
    <w:rsid w:val="00690C85"/>
    <w:rsid w:val="006919D2"/>
    <w:rsid w:val="00691E30"/>
    <w:rsid w:val="00691F42"/>
    <w:rsid w:val="0069217A"/>
    <w:rsid w:val="006921C6"/>
    <w:rsid w:val="006924F7"/>
    <w:rsid w:val="0069258E"/>
    <w:rsid w:val="00692803"/>
    <w:rsid w:val="00693CD2"/>
    <w:rsid w:val="00693EAE"/>
    <w:rsid w:val="00694C09"/>
    <w:rsid w:val="0069563B"/>
    <w:rsid w:val="00695C93"/>
    <w:rsid w:val="00697A73"/>
    <w:rsid w:val="006A04DE"/>
    <w:rsid w:val="006A09F4"/>
    <w:rsid w:val="006A0C88"/>
    <w:rsid w:val="006A0FFD"/>
    <w:rsid w:val="006A1DC0"/>
    <w:rsid w:val="006A27F4"/>
    <w:rsid w:val="006A2B64"/>
    <w:rsid w:val="006A31AE"/>
    <w:rsid w:val="006A5722"/>
    <w:rsid w:val="006A5912"/>
    <w:rsid w:val="006A5C94"/>
    <w:rsid w:val="006A614B"/>
    <w:rsid w:val="006A62FB"/>
    <w:rsid w:val="006A69CA"/>
    <w:rsid w:val="006A7213"/>
    <w:rsid w:val="006A760F"/>
    <w:rsid w:val="006A78D4"/>
    <w:rsid w:val="006B0120"/>
    <w:rsid w:val="006B02DA"/>
    <w:rsid w:val="006B044F"/>
    <w:rsid w:val="006B0639"/>
    <w:rsid w:val="006B07F5"/>
    <w:rsid w:val="006B0A4F"/>
    <w:rsid w:val="006B1234"/>
    <w:rsid w:val="006B18F1"/>
    <w:rsid w:val="006B1EFF"/>
    <w:rsid w:val="006B21B6"/>
    <w:rsid w:val="006B27D7"/>
    <w:rsid w:val="006B2949"/>
    <w:rsid w:val="006B2B02"/>
    <w:rsid w:val="006B2B68"/>
    <w:rsid w:val="006B2BBB"/>
    <w:rsid w:val="006B2F3B"/>
    <w:rsid w:val="006B3382"/>
    <w:rsid w:val="006B34C3"/>
    <w:rsid w:val="006B352F"/>
    <w:rsid w:val="006B35A4"/>
    <w:rsid w:val="006B385A"/>
    <w:rsid w:val="006B3897"/>
    <w:rsid w:val="006B3FE3"/>
    <w:rsid w:val="006B44CA"/>
    <w:rsid w:val="006B4788"/>
    <w:rsid w:val="006B4B9F"/>
    <w:rsid w:val="006B53E0"/>
    <w:rsid w:val="006B6291"/>
    <w:rsid w:val="006B62AE"/>
    <w:rsid w:val="006B63F3"/>
    <w:rsid w:val="006B70CF"/>
    <w:rsid w:val="006B7229"/>
    <w:rsid w:val="006B7473"/>
    <w:rsid w:val="006B7822"/>
    <w:rsid w:val="006B7B3C"/>
    <w:rsid w:val="006C0CCD"/>
    <w:rsid w:val="006C13F0"/>
    <w:rsid w:val="006C220C"/>
    <w:rsid w:val="006C27C9"/>
    <w:rsid w:val="006C2A5E"/>
    <w:rsid w:val="006C2AD9"/>
    <w:rsid w:val="006C2B4A"/>
    <w:rsid w:val="006C2C99"/>
    <w:rsid w:val="006C2FD2"/>
    <w:rsid w:val="006C3639"/>
    <w:rsid w:val="006C3855"/>
    <w:rsid w:val="006C418F"/>
    <w:rsid w:val="006C4465"/>
    <w:rsid w:val="006C4922"/>
    <w:rsid w:val="006C49BA"/>
    <w:rsid w:val="006C4A9A"/>
    <w:rsid w:val="006C4B48"/>
    <w:rsid w:val="006C4E0D"/>
    <w:rsid w:val="006C4EC4"/>
    <w:rsid w:val="006C55B7"/>
    <w:rsid w:val="006C560D"/>
    <w:rsid w:val="006C564F"/>
    <w:rsid w:val="006C570A"/>
    <w:rsid w:val="006C5B39"/>
    <w:rsid w:val="006C5BC2"/>
    <w:rsid w:val="006C625E"/>
    <w:rsid w:val="006C65F6"/>
    <w:rsid w:val="006C664B"/>
    <w:rsid w:val="006C6A7B"/>
    <w:rsid w:val="006C6C2C"/>
    <w:rsid w:val="006C6D01"/>
    <w:rsid w:val="006C7B91"/>
    <w:rsid w:val="006C7C68"/>
    <w:rsid w:val="006C7FFC"/>
    <w:rsid w:val="006D0624"/>
    <w:rsid w:val="006D07DB"/>
    <w:rsid w:val="006D0B92"/>
    <w:rsid w:val="006D0CA2"/>
    <w:rsid w:val="006D0D14"/>
    <w:rsid w:val="006D0F27"/>
    <w:rsid w:val="006D10AA"/>
    <w:rsid w:val="006D1782"/>
    <w:rsid w:val="006D1BB0"/>
    <w:rsid w:val="006D3310"/>
    <w:rsid w:val="006D3397"/>
    <w:rsid w:val="006D3BD4"/>
    <w:rsid w:val="006D4687"/>
    <w:rsid w:val="006D48A6"/>
    <w:rsid w:val="006D4DC7"/>
    <w:rsid w:val="006D52B5"/>
    <w:rsid w:val="006D6324"/>
    <w:rsid w:val="006D63D1"/>
    <w:rsid w:val="006D6517"/>
    <w:rsid w:val="006D664D"/>
    <w:rsid w:val="006D6B25"/>
    <w:rsid w:val="006D78AC"/>
    <w:rsid w:val="006E0165"/>
    <w:rsid w:val="006E02EF"/>
    <w:rsid w:val="006E03FF"/>
    <w:rsid w:val="006E0AD6"/>
    <w:rsid w:val="006E1BE8"/>
    <w:rsid w:val="006E1C85"/>
    <w:rsid w:val="006E2350"/>
    <w:rsid w:val="006E2B94"/>
    <w:rsid w:val="006E2FE1"/>
    <w:rsid w:val="006E31DA"/>
    <w:rsid w:val="006E3510"/>
    <w:rsid w:val="006E43E2"/>
    <w:rsid w:val="006E50E2"/>
    <w:rsid w:val="006E5440"/>
    <w:rsid w:val="006E568D"/>
    <w:rsid w:val="006E571B"/>
    <w:rsid w:val="006E58EF"/>
    <w:rsid w:val="006E5B55"/>
    <w:rsid w:val="006E5F93"/>
    <w:rsid w:val="006E6B46"/>
    <w:rsid w:val="006E736B"/>
    <w:rsid w:val="006E75D0"/>
    <w:rsid w:val="006F01BB"/>
    <w:rsid w:val="006F043F"/>
    <w:rsid w:val="006F091A"/>
    <w:rsid w:val="006F112D"/>
    <w:rsid w:val="006F143E"/>
    <w:rsid w:val="006F1580"/>
    <w:rsid w:val="006F15AE"/>
    <w:rsid w:val="006F1BD6"/>
    <w:rsid w:val="006F262C"/>
    <w:rsid w:val="006F2822"/>
    <w:rsid w:val="006F2C0D"/>
    <w:rsid w:val="006F3002"/>
    <w:rsid w:val="006F32B9"/>
    <w:rsid w:val="006F3A8D"/>
    <w:rsid w:val="006F3D5D"/>
    <w:rsid w:val="006F5DA3"/>
    <w:rsid w:val="006F5F91"/>
    <w:rsid w:val="006F62B4"/>
    <w:rsid w:val="006F644B"/>
    <w:rsid w:val="006F6640"/>
    <w:rsid w:val="006F6837"/>
    <w:rsid w:val="006F75E3"/>
    <w:rsid w:val="006F7DE4"/>
    <w:rsid w:val="006F7F51"/>
    <w:rsid w:val="00700214"/>
    <w:rsid w:val="007006E1"/>
    <w:rsid w:val="00701183"/>
    <w:rsid w:val="00702B48"/>
    <w:rsid w:val="00702DED"/>
    <w:rsid w:val="00702F7B"/>
    <w:rsid w:val="00703C2A"/>
    <w:rsid w:val="00704844"/>
    <w:rsid w:val="00705139"/>
    <w:rsid w:val="0070587E"/>
    <w:rsid w:val="00706285"/>
    <w:rsid w:val="00706740"/>
    <w:rsid w:val="00706D3A"/>
    <w:rsid w:val="00706E0A"/>
    <w:rsid w:val="00707495"/>
    <w:rsid w:val="00707664"/>
    <w:rsid w:val="00707801"/>
    <w:rsid w:val="00707BE5"/>
    <w:rsid w:val="00707E73"/>
    <w:rsid w:val="00707F3F"/>
    <w:rsid w:val="0071060E"/>
    <w:rsid w:val="0071092E"/>
    <w:rsid w:val="007109A1"/>
    <w:rsid w:val="00711235"/>
    <w:rsid w:val="0071146A"/>
    <w:rsid w:val="00711F7F"/>
    <w:rsid w:val="0071225B"/>
    <w:rsid w:val="00712260"/>
    <w:rsid w:val="00712737"/>
    <w:rsid w:val="00712CC3"/>
    <w:rsid w:val="00712E5B"/>
    <w:rsid w:val="00713DA9"/>
    <w:rsid w:val="0071425E"/>
    <w:rsid w:val="0071480D"/>
    <w:rsid w:val="00715664"/>
    <w:rsid w:val="00715E78"/>
    <w:rsid w:val="0071617D"/>
    <w:rsid w:val="007162F3"/>
    <w:rsid w:val="00716886"/>
    <w:rsid w:val="00717610"/>
    <w:rsid w:val="00720C09"/>
    <w:rsid w:val="00720D7F"/>
    <w:rsid w:val="00721011"/>
    <w:rsid w:val="00721BD2"/>
    <w:rsid w:val="00721ECF"/>
    <w:rsid w:val="007222AD"/>
    <w:rsid w:val="00723662"/>
    <w:rsid w:val="00723BE6"/>
    <w:rsid w:val="00724100"/>
    <w:rsid w:val="007248CB"/>
    <w:rsid w:val="00724F88"/>
    <w:rsid w:val="007250EE"/>
    <w:rsid w:val="00725391"/>
    <w:rsid w:val="0072548C"/>
    <w:rsid w:val="0072566B"/>
    <w:rsid w:val="00725994"/>
    <w:rsid w:val="00725BED"/>
    <w:rsid w:val="00725E5F"/>
    <w:rsid w:val="00726649"/>
    <w:rsid w:val="0072689E"/>
    <w:rsid w:val="00726AA9"/>
    <w:rsid w:val="00727552"/>
    <w:rsid w:val="007279AA"/>
    <w:rsid w:val="007300C6"/>
    <w:rsid w:val="007303CA"/>
    <w:rsid w:val="00730ADB"/>
    <w:rsid w:val="00730C09"/>
    <w:rsid w:val="00731099"/>
    <w:rsid w:val="0073118C"/>
    <w:rsid w:val="00731BC0"/>
    <w:rsid w:val="00731FC7"/>
    <w:rsid w:val="007321C0"/>
    <w:rsid w:val="00732E23"/>
    <w:rsid w:val="0073366B"/>
    <w:rsid w:val="00733D75"/>
    <w:rsid w:val="007345CE"/>
    <w:rsid w:val="007348DE"/>
    <w:rsid w:val="0073657A"/>
    <w:rsid w:val="00736E88"/>
    <w:rsid w:val="00737253"/>
    <w:rsid w:val="007375C7"/>
    <w:rsid w:val="007378D2"/>
    <w:rsid w:val="00737B26"/>
    <w:rsid w:val="007402C4"/>
    <w:rsid w:val="00740F0B"/>
    <w:rsid w:val="007415B7"/>
    <w:rsid w:val="00741732"/>
    <w:rsid w:val="00741BFC"/>
    <w:rsid w:val="00741EE0"/>
    <w:rsid w:val="00742492"/>
    <w:rsid w:val="00742A5F"/>
    <w:rsid w:val="00742D3D"/>
    <w:rsid w:val="00743096"/>
    <w:rsid w:val="007438FF"/>
    <w:rsid w:val="0074502A"/>
    <w:rsid w:val="00745458"/>
    <w:rsid w:val="00745A6D"/>
    <w:rsid w:val="00745B33"/>
    <w:rsid w:val="00745B58"/>
    <w:rsid w:val="00746325"/>
    <w:rsid w:val="00746724"/>
    <w:rsid w:val="00746F59"/>
    <w:rsid w:val="0074727D"/>
    <w:rsid w:val="00747407"/>
    <w:rsid w:val="0074785F"/>
    <w:rsid w:val="00747BF1"/>
    <w:rsid w:val="007505E8"/>
    <w:rsid w:val="00750E89"/>
    <w:rsid w:val="00752B34"/>
    <w:rsid w:val="00753129"/>
    <w:rsid w:val="00753209"/>
    <w:rsid w:val="007535D8"/>
    <w:rsid w:val="007542D3"/>
    <w:rsid w:val="00754355"/>
    <w:rsid w:val="0075595C"/>
    <w:rsid w:val="00756880"/>
    <w:rsid w:val="00756ABA"/>
    <w:rsid w:val="00756AEC"/>
    <w:rsid w:val="00757E45"/>
    <w:rsid w:val="00757E4C"/>
    <w:rsid w:val="0076042D"/>
    <w:rsid w:val="007604B6"/>
    <w:rsid w:val="007609C2"/>
    <w:rsid w:val="00761200"/>
    <w:rsid w:val="00761663"/>
    <w:rsid w:val="007618AA"/>
    <w:rsid w:val="00761ACE"/>
    <w:rsid w:val="00761E82"/>
    <w:rsid w:val="00761F60"/>
    <w:rsid w:val="007622FD"/>
    <w:rsid w:val="0076255B"/>
    <w:rsid w:val="00763BBF"/>
    <w:rsid w:val="007641CD"/>
    <w:rsid w:val="00764BEE"/>
    <w:rsid w:val="00765577"/>
    <w:rsid w:val="007655FF"/>
    <w:rsid w:val="00765957"/>
    <w:rsid w:val="007666BA"/>
    <w:rsid w:val="00766AE1"/>
    <w:rsid w:val="00766DDC"/>
    <w:rsid w:val="00766E1E"/>
    <w:rsid w:val="0076760D"/>
    <w:rsid w:val="0076787A"/>
    <w:rsid w:val="00767A68"/>
    <w:rsid w:val="00767B48"/>
    <w:rsid w:val="007701E2"/>
    <w:rsid w:val="00770218"/>
    <w:rsid w:val="007704E5"/>
    <w:rsid w:val="00770C06"/>
    <w:rsid w:val="00770E1B"/>
    <w:rsid w:val="007714DC"/>
    <w:rsid w:val="007715DE"/>
    <w:rsid w:val="00771726"/>
    <w:rsid w:val="007719D7"/>
    <w:rsid w:val="00771BA4"/>
    <w:rsid w:val="00771D2E"/>
    <w:rsid w:val="00771FC3"/>
    <w:rsid w:val="00771FE6"/>
    <w:rsid w:val="007723E5"/>
    <w:rsid w:val="00773F1E"/>
    <w:rsid w:val="00774332"/>
    <w:rsid w:val="0077465E"/>
    <w:rsid w:val="00775130"/>
    <w:rsid w:val="007753A9"/>
    <w:rsid w:val="0077589F"/>
    <w:rsid w:val="00775AE3"/>
    <w:rsid w:val="00775DFD"/>
    <w:rsid w:val="00775F9A"/>
    <w:rsid w:val="007762D6"/>
    <w:rsid w:val="00776943"/>
    <w:rsid w:val="00776B5B"/>
    <w:rsid w:val="007772AA"/>
    <w:rsid w:val="007773A5"/>
    <w:rsid w:val="00777F9E"/>
    <w:rsid w:val="007804DC"/>
    <w:rsid w:val="00780804"/>
    <w:rsid w:val="00780DF8"/>
    <w:rsid w:val="00780E20"/>
    <w:rsid w:val="007811DE"/>
    <w:rsid w:val="0078155B"/>
    <w:rsid w:val="0078170A"/>
    <w:rsid w:val="00781776"/>
    <w:rsid w:val="007818F8"/>
    <w:rsid w:val="00781F81"/>
    <w:rsid w:val="00781FBA"/>
    <w:rsid w:val="00782924"/>
    <w:rsid w:val="00783DE7"/>
    <w:rsid w:val="00783FE3"/>
    <w:rsid w:val="00784087"/>
    <w:rsid w:val="007841B3"/>
    <w:rsid w:val="00784C2E"/>
    <w:rsid w:val="00784DB9"/>
    <w:rsid w:val="00784F08"/>
    <w:rsid w:val="00784F15"/>
    <w:rsid w:val="00785434"/>
    <w:rsid w:val="00785447"/>
    <w:rsid w:val="00785B6D"/>
    <w:rsid w:val="00785F27"/>
    <w:rsid w:val="00786E51"/>
    <w:rsid w:val="00787547"/>
    <w:rsid w:val="0078755C"/>
    <w:rsid w:val="00787A6D"/>
    <w:rsid w:val="00790201"/>
    <w:rsid w:val="0079064F"/>
    <w:rsid w:val="00790A25"/>
    <w:rsid w:val="00791C3D"/>
    <w:rsid w:val="00791D69"/>
    <w:rsid w:val="00791E19"/>
    <w:rsid w:val="00792881"/>
    <w:rsid w:val="00792AC2"/>
    <w:rsid w:val="00792D26"/>
    <w:rsid w:val="00792D78"/>
    <w:rsid w:val="007930C7"/>
    <w:rsid w:val="00793112"/>
    <w:rsid w:val="007932A9"/>
    <w:rsid w:val="00793697"/>
    <w:rsid w:val="00793858"/>
    <w:rsid w:val="0079385E"/>
    <w:rsid w:val="007938DE"/>
    <w:rsid w:val="00793E1E"/>
    <w:rsid w:val="00793F96"/>
    <w:rsid w:val="00794747"/>
    <w:rsid w:val="00794AEB"/>
    <w:rsid w:val="00794F55"/>
    <w:rsid w:val="00795090"/>
    <w:rsid w:val="00795907"/>
    <w:rsid w:val="0079671B"/>
    <w:rsid w:val="007969BE"/>
    <w:rsid w:val="00796C75"/>
    <w:rsid w:val="007979BB"/>
    <w:rsid w:val="00797ECE"/>
    <w:rsid w:val="007A0201"/>
    <w:rsid w:val="007A07F9"/>
    <w:rsid w:val="007A0AA6"/>
    <w:rsid w:val="007A1A0A"/>
    <w:rsid w:val="007A1A76"/>
    <w:rsid w:val="007A1FE4"/>
    <w:rsid w:val="007A215F"/>
    <w:rsid w:val="007A21EF"/>
    <w:rsid w:val="007A2A3B"/>
    <w:rsid w:val="007A2DE4"/>
    <w:rsid w:val="007A2EA5"/>
    <w:rsid w:val="007A2EFE"/>
    <w:rsid w:val="007A3858"/>
    <w:rsid w:val="007A38B7"/>
    <w:rsid w:val="007A3C4D"/>
    <w:rsid w:val="007A4194"/>
    <w:rsid w:val="007A450B"/>
    <w:rsid w:val="007A4A55"/>
    <w:rsid w:val="007A5039"/>
    <w:rsid w:val="007A5239"/>
    <w:rsid w:val="007A5348"/>
    <w:rsid w:val="007A5368"/>
    <w:rsid w:val="007A5421"/>
    <w:rsid w:val="007A54BE"/>
    <w:rsid w:val="007A5B73"/>
    <w:rsid w:val="007A61BD"/>
    <w:rsid w:val="007A6906"/>
    <w:rsid w:val="007A6DA6"/>
    <w:rsid w:val="007A6EDD"/>
    <w:rsid w:val="007A7117"/>
    <w:rsid w:val="007A7714"/>
    <w:rsid w:val="007A796B"/>
    <w:rsid w:val="007A79F2"/>
    <w:rsid w:val="007B0042"/>
    <w:rsid w:val="007B0224"/>
    <w:rsid w:val="007B0420"/>
    <w:rsid w:val="007B04DC"/>
    <w:rsid w:val="007B0E77"/>
    <w:rsid w:val="007B14BF"/>
    <w:rsid w:val="007B270F"/>
    <w:rsid w:val="007B298B"/>
    <w:rsid w:val="007B2A58"/>
    <w:rsid w:val="007B2C9B"/>
    <w:rsid w:val="007B3596"/>
    <w:rsid w:val="007B37BA"/>
    <w:rsid w:val="007B3844"/>
    <w:rsid w:val="007B3D49"/>
    <w:rsid w:val="007B3D95"/>
    <w:rsid w:val="007B3F04"/>
    <w:rsid w:val="007B4082"/>
    <w:rsid w:val="007B5670"/>
    <w:rsid w:val="007B592E"/>
    <w:rsid w:val="007B5C92"/>
    <w:rsid w:val="007B5E9F"/>
    <w:rsid w:val="007B6323"/>
    <w:rsid w:val="007B654D"/>
    <w:rsid w:val="007B6725"/>
    <w:rsid w:val="007B6D0F"/>
    <w:rsid w:val="007B6E3A"/>
    <w:rsid w:val="007B6FAB"/>
    <w:rsid w:val="007B6FB2"/>
    <w:rsid w:val="007B70E6"/>
    <w:rsid w:val="007B71A9"/>
    <w:rsid w:val="007B75CE"/>
    <w:rsid w:val="007B76F6"/>
    <w:rsid w:val="007B7CBE"/>
    <w:rsid w:val="007B7CCC"/>
    <w:rsid w:val="007B7E0E"/>
    <w:rsid w:val="007C0113"/>
    <w:rsid w:val="007C03F7"/>
    <w:rsid w:val="007C0583"/>
    <w:rsid w:val="007C067F"/>
    <w:rsid w:val="007C0C6C"/>
    <w:rsid w:val="007C1960"/>
    <w:rsid w:val="007C1EEC"/>
    <w:rsid w:val="007C21F6"/>
    <w:rsid w:val="007C2655"/>
    <w:rsid w:val="007C296A"/>
    <w:rsid w:val="007C2C52"/>
    <w:rsid w:val="007C2C96"/>
    <w:rsid w:val="007C2D33"/>
    <w:rsid w:val="007C3085"/>
    <w:rsid w:val="007C37D9"/>
    <w:rsid w:val="007C46B2"/>
    <w:rsid w:val="007C4C46"/>
    <w:rsid w:val="007C52A4"/>
    <w:rsid w:val="007C5E10"/>
    <w:rsid w:val="007C5EE9"/>
    <w:rsid w:val="007C5FEF"/>
    <w:rsid w:val="007C6A5A"/>
    <w:rsid w:val="007C6A96"/>
    <w:rsid w:val="007C7036"/>
    <w:rsid w:val="007C703E"/>
    <w:rsid w:val="007C70BE"/>
    <w:rsid w:val="007C7482"/>
    <w:rsid w:val="007C7A28"/>
    <w:rsid w:val="007D07A2"/>
    <w:rsid w:val="007D0D0D"/>
    <w:rsid w:val="007D13E1"/>
    <w:rsid w:val="007D1457"/>
    <w:rsid w:val="007D16B8"/>
    <w:rsid w:val="007D1B4F"/>
    <w:rsid w:val="007D264A"/>
    <w:rsid w:val="007D2D21"/>
    <w:rsid w:val="007D45A5"/>
    <w:rsid w:val="007D48AC"/>
    <w:rsid w:val="007D4B7A"/>
    <w:rsid w:val="007D4C9C"/>
    <w:rsid w:val="007D4F53"/>
    <w:rsid w:val="007D518F"/>
    <w:rsid w:val="007D5383"/>
    <w:rsid w:val="007D53A9"/>
    <w:rsid w:val="007D5813"/>
    <w:rsid w:val="007D58E9"/>
    <w:rsid w:val="007D5A69"/>
    <w:rsid w:val="007D5A91"/>
    <w:rsid w:val="007D64E9"/>
    <w:rsid w:val="007D6E83"/>
    <w:rsid w:val="007D77F4"/>
    <w:rsid w:val="007D7931"/>
    <w:rsid w:val="007D7EB8"/>
    <w:rsid w:val="007E0634"/>
    <w:rsid w:val="007E0671"/>
    <w:rsid w:val="007E0730"/>
    <w:rsid w:val="007E0CC5"/>
    <w:rsid w:val="007E0ED5"/>
    <w:rsid w:val="007E28C5"/>
    <w:rsid w:val="007E2AB4"/>
    <w:rsid w:val="007E2F6B"/>
    <w:rsid w:val="007E3209"/>
    <w:rsid w:val="007E3792"/>
    <w:rsid w:val="007E380E"/>
    <w:rsid w:val="007E393E"/>
    <w:rsid w:val="007E44F6"/>
    <w:rsid w:val="007E4DFD"/>
    <w:rsid w:val="007E4F64"/>
    <w:rsid w:val="007E56BB"/>
    <w:rsid w:val="007E5F87"/>
    <w:rsid w:val="007E60AF"/>
    <w:rsid w:val="007E6301"/>
    <w:rsid w:val="007E63AC"/>
    <w:rsid w:val="007E699F"/>
    <w:rsid w:val="007E6CE4"/>
    <w:rsid w:val="007E7153"/>
    <w:rsid w:val="007E7591"/>
    <w:rsid w:val="007E7DE4"/>
    <w:rsid w:val="007E7FF4"/>
    <w:rsid w:val="007F0315"/>
    <w:rsid w:val="007F0822"/>
    <w:rsid w:val="007F08E7"/>
    <w:rsid w:val="007F104C"/>
    <w:rsid w:val="007F1227"/>
    <w:rsid w:val="007F153B"/>
    <w:rsid w:val="007F23CC"/>
    <w:rsid w:val="007F2A58"/>
    <w:rsid w:val="007F33BF"/>
    <w:rsid w:val="007F36F2"/>
    <w:rsid w:val="007F37E9"/>
    <w:rsid w:val="007F42BF"/>
    <w:rsid w:val="007F4694"/>
    <w:rsid w:val="007F4F56"/>
    <w:rsid w:val="007F5117"/>
    <w:rsid w:val="007F525B"/>
    <w:rsid w:val="007F56B3"/>
    <w:rsid w:val="007F5848"/>
    <w:rsid w:val="007F621D"/>
    <w:rsid w:val="007F6C27"/>
    <w:rsid w:val="007F6D31"/>
    <w:rsid w:val="007F6EDB"/>
    <w:rsid w:val="007F6F20"/>
    <w:rsid w:val="007F79F8"/>
    <w:rsid w:val="007F7C64"/>
    <w:rsid w:val="007F7E13"/>
    <w:rsid w:val="00800674"/>
    <w:rsid w:val="00800ACB"/>
    <w:rsid w:val="00800EC1"/>
    <w:rsid w:val="0080129B"/>
    <w:rsid w:val="00801327"/>
    <w:rsid w:val="00801670"/>
    <w:rsid w:val="008029DC"/>
    <w:rsid w:val="00802B73"/>
    <w:rsid w:val="00802B83"/>
    <w:rsid w:val="00803036"/>
    <w:rsid w:val="00803101"/>
    <w:rsid w:val="008036B1"/>
    <w:rsid w:val="008036E5"/>
    <w:rsid w:val="008044FD"/>
    <w:rsid w:val="008047E2"/>
    <w:rsid w:val="00804829"/>
    <w:rsid w:val="00804A30"/>
    <w:rsid w:val="00804F45"/>
    <w:rsid w:val="008064DE"/>
    <w:rsid w:val="008072FB"/>
    <w:rsid w:val="00807685"/>
    <w:rsid w:val="008076AA"/>
    <w:rsid w:val="0081006C"/>
    <w:rsid w:val="0081013A"/>
    <w:rsid w:val="0081030E"/>
    <w:rsid w:val="0081062D"/>
    <w:rsid w:val="0081077D"/>
    <w:rsid w:val="008111E6"/>
    <w:rsid w:val="00811218"/>
    <w:rsid w:val="008112F3"/>
    <w:rsid w:val="00811E7F"/>
    <w:rsid w:val="00811EC1"/>
    <w:rsid w:val="00811F29"/>
    <w:rsid w:val="00812328"/>
    <w:rsid w:val="0081280F"/>
    <w:rsid w:val="00812FE3"/>
    <w:rsid w:val="0081305D"/>
    <w:rsid w:val="00813488"/>
    <w:rsid w:val="00813707"/>
    <w:rsid w:val="008137E2"/>
    <w:rsid w:val="00813860"/>
    <w:rsid w:val="00813C77"/>
    <w:rsid w:val="0081416A"/>
    <w:rsid w:val="008146B2"/>
    <w:rsid w:val="0081473D"/>
    <w:rsid w:val="00814A0C"/>
    <w:rsid w:val="00814ABA"/>
    <w:rsid w:val="00814B8B"/>
    <w:rsid w:val="00814D8E"/>
    <w:rsid w:val="0081507F"/>
    <w:rsid w:val="00815B7E"/>
    <w:rsid w:val="008169AA"/>
    <w:rsid w:val="00817240"/>
    <w:rsid w:val="00817610"/>
    <w:rsid w:val="00817CEF"/>
    <w:rsid w:val="00817D3A"/>
    <w:rsid w:val="00817E23"/>
    <w:rsid w:val="00820106"/>
    <w:rsid w:val="008209BC"/>
    <w:rsid w:val="00821438"/>
    <w:rsid w:val="00821DB3"/>
    <w:rsid w:val="0082211D"/>
    <w:rsid w:val="00822664"/>
    <w:rsid w:val="008228B1"/>
    <w:rsid w:val="008229C0"/>
    <w:rsid w:val="00822CF1"/>
    <w:rsid w:val="008233C7"/>
    <w:rsid w:val="00823491"/>
    <w:rsid w:val="008234C1"/>
    <w:rsid w:val="008234F3"/>
    <w:rsid w:val="00823E28"/>
    <w:rsid w:val="00824324"/>
    <w:rsid w:val="0082435A"/>
    <w:rsid w:val="00824DA5"/>
    <w:rsid w:val="00825304"/>
    <w:rsid w:val="00825668"/>
    <w:rsid w:val="0082579E"/>
    <w:rsid w:val="008258EF"/>
    <w:rsid w:val="00825C2A"/>
    <w:rsid w:val="00825D2D"/>
    <w:rsid w:val="00826061"/>
    <w:rsid w:val="0082609D"/>
    <w:rsid w:val="00827105"/>
    <w:rsid w:val="008274D9"/>
    <w:rsid w:val="00827D1D"/>
    <w:rsid w:val="00830300"/>
    <w:rsid w:val="00830B4F"/>
    <w:rsid w:val="00830E27"/>
    <w:rsid w:val="00830E79"/>
    <w:rsid w:val="00830F2D"/>
    <w:rsid w:val="00830F36"/>
    <w:rsid w:val="008311C6"/>
    <w:rsid w:val="008315E5"/>
    <w:rsid w:val="008317B2"/>
    <w:rsid w:val="0083243E"/>
    <w:rsid w:val="008324B9"/>
    <w:rsid w:val="00832911"/>
    <w:rsid w:val="00832BDB"/>
    <w:rsid w:val="008332D6"/>
    <w:rsid w:val="0083378C"/>
    <w:rsid w:val="00833EDD"/>
    <w:rsid w:val="00833F2B"/>
    <w:rsid w:val="00834932"/>
    <w:rsid w:val="00834B4E"/>
    <w:rsid w:val="00834C53"/>
    <w:rsid w:val="00834EFF"/>
    <w:rsid w:val="00834FE3"/>
    <w:rsid w:val="00835F47"/>
    <w:rsid w:val="00836350"/>
    <w:rsid w:val="008363EF"/>
    <w:rsid w:val="0083706E"/>
    <w:rsid w:val="00841F17"/>
    <w:rsid w:val="00842868"/>
    <w:rsid w:val="00842B43"/>
    <w:rsid w:val="00842DE9"/>
    <w:rsid w:val="008438B6"/>
    <w:rsid w:val="00845B31"/>
    <w:rsid w:val="008460D3"/>
    <w:rsid w:val="0084633A"/>
    <w:rsid w:val="008465AD"/>
    <w:rsid w:val="00846689"/>
    <w:rsid w:val="00847263"/>
    <w:rsid w:val="00847462"/>
    <w:rsid w:val="00847780"/>
    <w:rsid w:val="00847A67"/>
    <w:rsid w:val="00847F97"/>
    <w:rsid w:val="008500EB"/>
    <w:rsid w:val="00850536"/>
    <w:rsid w:val="00850B88"/>
    <w:rsid w:val="00850E4F"/>
    <w:rsid w:val="008512E7"/>
    <w:rsid w:val="0085166F"/>
    <w:rsid w:val="008518FD"/>
    <w:rsid w:val="00851941"/>
    <w:rsid w:val="0085197F"/>
    <w:rsid w:val="008519F1"/>
    <w:rsid w:val="00851B1A"/>
    <w:rsid w:val="00851ED9"/>
    <w:rsid w:val="00851F4D"/>
    <w:rsid w:val="0085245D"/>
    <w:rsid w:val="00852C3D"/>
    <w:rsid w:val="00852F0C"/>
    <w:rsid w:val="0085350D"/>
    <w:rsid w:val="00853B64"/>
    <w:rsid w:val="008541B5"/>
    <w:rsid w:val="008542F4"/>
    <w:rsid w:val="0085436C"/>
    <w:rsid w:val="008544EC"/>
    <w:rsid w:val="008548E0"/>
    <w:rsid w:val="00854D61"/>
    <w:rsid w:val="00854F61"/>
    <w:rsid w:val="00855259"/>
    <w:rsid w:val="00855714"/>
    <w:rsid w:val="008557B8"/>
    <w:rsid w:val="00855A4B"/>
    <w:rsid w:val="00855B4C"/>
    <w:rsid w:val="00855B7E"/>
    <w:rsid w:val="008566BE"/>
    <w:rsid w:val="0085682C"/>
    <w:rsid w:val="0085697F"/>
    <w:rsid w:val="00856BD2"/>
    <w:rsid w:val="0085707F"/>
    <w:rsid w:val="0085712D"/>
    <w:rsid w:val="008571BA"/>
    <w:rsid w:val="008579F6"/>
    <w:rsid w:val="00857E07"/>
    <w:rsid w:val="00860202"/>
    <w:rsid w:val="008605B2"/>
    <w:rsid w:val="00860A7E"/>
    <w:rsid w:val="00860E73"/>
    <w:rsid w:val="00861068"/>
    <w:rsid w:val="0086121F"/>
    <w:rsid w:val="00861243"/>
    <w:rsid w:val="00861372"/>
    <w:rsid w:val="00861AA8"/>
    <w:rsid w:val="00861B7B"/>
    <w:rsid w:val="00861E71"/>
    <w:rsid w:val="00861EED"/>
    <w:rsid w:val="00862356"/>
    <w:rsid w:val="00862B54"/>
    <w:rsid w:val="00862E5B"/>
    <w:rsid w:val="00863723"/>
    <w:rsid w:val="0086389A"/>
    <w:rsid w:val="00863C17"/>
    <w:rsid w:val="00863E3F"/>
    <w:rsid w:val="00864A7E"/>
    <w:rsid w:val="008652CC"/>
    <w:rsid w:val="00865BAD"/>
    <w:rsid w:val="00865BE7"/>
    <w:rsid w:val="00865E25"/>
    <w:rsid w:val="00866943"/>
    <w:rsid w:val="00866F41"/>
    <w:rsid w:val="00867422"/>
    <w:rsid w:val="008676AA"/>
    <w:rsid w:val="00867843"/>
    <w:rsid w:val="00870383"/>
    <w:rsid w:val="00870550"/>
    <w:rsid w:val="0087097F"/>
    <w:rsid w:val="008711BB"/>
    <w:rsid w:val="00871A21"/>
    <w:rsid w:val="00871A4B"/>
    <w:rsid w:val="0087222C"/>
    <w:rsid w:val="00872C3B"/>
    <w:rsid w:val="00872C3D"/>
    <w:rsid w:val="00872FC5"/>
    <w:rsid w:val="00872FE2"/>
    <w:rsid w:val="00873CB2"/>
    <w:rsid w:val="00873D6F"/>
    <w:rsid w:val="008740E7"/>
    <w:rsid w:val="00874AD7"/>
    <w:rsid w:val="00875F11"/>
    <w:rsid w:val="00876625"/>
    <w:rsid w:val="00876978"/>
    <w:rsid w:val="00876A84"/>
    <w:rsid w:val="00876C31"/>
    <w:rsid w:val="008771EC"/>
    <w:rsid w:val="008772E8"/>
    <w:rsid w:val="0087732C"/>
    <w:rsid w:val="008774AD"/>
    <w:rsid w:val="00877619"/>
    <w:rsid w:val="008779DD"/>
    <w:rsid w:val="00877C67"/>
    <w:rsid w:val="00880026"/>
    <w:rsid w:val="00880040"/>
    <w:rsid w:val="0088056E"/>
    <w:rsid w:val="00880622"/>
    <w:rsid w:val="0088084B"/>
    <w:rsid w:val="00881089"/>
    <w:rsid w:val="0088115F"/>
    <w:rsid w:val="0088133A"/>
    <w:rsid w:val="00881354"/>
    <w:rsid w:val="00881A81"/>
    <w:rsid w:val="00881D88"/>
    <w:rsid w:val="00881DB3"/>
    <w:rsid w:val="00881F7F"/>
    <w:rsid w:val="00882366"/>
    <w:rsid w:val="008823DC"/>
    <w:rsid w:val="00883328"/>
    <w:rsid w:val="00883B7A"/>
    <w:rsid w:val="00883E11"/>
    <w:rsid w:val="00883FCA"/>
    <w:rsid w:val="00884722"/>
    <w:rsid w:val="00884D14"/>
    <w:rsid w:val="0088525B"/>
    <w:rsid w:val="008852A3"/>
    <w:rsid w:val="00885575"/>
    <w:rsid w:val="008858D4"/>
    <w:rsid w:val="0088615F"/>
    <w:rsid w:val="00886ACB"/>
    <w:rsid w:val="00886B2E"/>
    <w:rsid w:val="00887545"/>
    <w:rsid w:val="00887638"/>
    <w:rsid w:val="008878C8"/>
    <w:rsid w:val="00887BDA"/>
    <w:rsid w:val="00887D51"/>
    <w:rsid w:val="00887DD3"/>
    <w:rsid w:val="008902F1"/>
    <w:rsid w:val="0089091C"/>
    <w:rsid w:val="00890B86"/>
    <w:rsid w:val="00891275"/>
    <w:rsid w:val="008912D3"/>
    <w:rsid w:val="00891AD1"/>
    <w:rsid w:val="008920FA"/>
    <w:rsid w:val="00892744"/>
    <w:rsid w:val="0089278E"/>
    <w:rsid w:val="00893306"/>
    <w:rsid w:val="008933AE"/>
    <w:rsid w:val="00893523"/>
    <w:rsid w:val="00893730"/>
    <w:rsid w:val="00893833"/>
    <w:rsid w:val="00894425"/>
    <w:rsid w:val="00894DE9"/>
    <w:rsid w:val="00894ED8"/>
    <w:rsid w:val="00895A8E"/>
    <w:rsid w:val="00895B4E"/>
    <w:rsid w:val="00895D5C"/>
    <w:rsid w:val="0089617F"/>
    <w:rsid w:val="0089698C"/>
    <w:rsid w:val="00896F93"/>
    <w:rsid w:val="008A0133"/>
    <w:rsid w:val="008A036A"/>
    <w:rsid w:val="008A09B4"/>
    <w:rsid w:val="008A0D8F"/>
    <w:rsid w:val="008A1C51"/>
    <w:rsid w:val="008A1CB4"/>
    <w:rsid w:val="008A2005"/>
    <w:rsid w:val="008A20D4"/>
    <w:rsid w:val="008A2494"/>
    <w:rsid w:val="008A2814"/>
    <w:rsid w:val="008A3139"/>
    <w:rsid w:val="008A31C7"/>
    <w:rsid w:val="008A39DC"/>
    <w:rsid w:val="008A4341"/>
    <w:rsid w:val="008A4981"/>
    <w:rsid w:val="008A4D55"/>
    <w:rsid w:val="008A5618"/>
    <w:rsid w:val="008A59BE"/>
    <w:rsid w:val="008A5BF0"/>
    <w:rsid w:val="008A5CC9"/>
    <w:rsid w:val="008A5DE8"/>
    <w:rsid w:val="008A6012"/>
    <w:rsid w:val="008A7198"/>
    <w:rsid w:val="008A779C"/>
    <w:rsid w:val="008A7A11"/>
    <w:rsid w:val="008A7F0A"/>
    <w:rsid w:val="008B002D"/>
    <w:rsid w:val="008B052F"/>
    <w:rsid w:val="008B06F5"/>
    <w:rsid w:val="008B0B39"/>
    <w:rsid w:val="008B1A6E"/>
    <w:rsid w:val="008B1E94"/>
    <w:rsid w:val="008B22C5"/>
    <w:rsid w:val="008B22D8"/>
    <w:rsid w:val="008B3644"/>
    <w:rsid w:val="008B3E95"/>
    <w:rsid w:val="008B48BB"/>
    <w:rsid w:val="008B4E53"/>
    <w:rsid w:val="008B503D"/>
    <w:rsid w:val="008B50C6"/>
    <w:rsid w:val="008B524A"/>
    <w:rsid w:val="008B5638"/>
    <w:rsid w:val="008B60FE"/>
    <w:rsid w:val="008B6253"/>
    <w:rsid w:val="008B655B"/>
    <w:rsid w:val="008B65AC"/>
    <w:rsid w:val="008B67FA"/>
    <w:rsid w:val="008B731A"/>
    <w:rsid w:val="008B75CE"/>
    <w:rsid w:val="008B7F70"/>
    <w:rsid w:val="008C05D0"/>
    <w:rsid w:val="008C07DF"/>
    <w:rsid w:val="008C0A96"/>
    <w:rsid w:val="008C0ACB"/>
    <w:rsid w:val="008C14FD"/>
    <w:rsid w:val="008C1502"/>
    <w:rsid w:val="008C2B68"/>
    <w:rsid w:val="008C2D60"/>
    <w:rsid w:val="008C2F9F"/>
    <w:rsid w:val="008C31ED"/>
    <w:rsid w:val="008C329D"/>
    <w:rsid w:val="008C3C83"/>
    <w:rsid w:val="008C3CAE"/>
    <w:rsid w:val="008C3CE6"/>
    <w:rsid w:val="008C42F2"/>
    <w:rsid w:val="008C4375"/>
    <w:rsid w:val="008C4777"/>
    <w:rsid w:val="008C47EC"/>
    <w:rsid w:val="008C4829"/>
    <w:rsid w:val="008C4956"/>
    <w:rsid w:val="008C4C97"/>
    <w:rsid w:val="008C4D28"/>
    <w:rsid w:val="008C4E7E"/>
    <w:rsid w:val="008C4ECF"/>
    <w:rsid w:val="008C4F71"/>
    <w:rsid w:val="008C53FE"/>
    <w:rsid w:val="008C5A2A"/>
    <w:rsid w:val="008C5B32"/>
    <w:rsid w:val="008C5B49"/>
    <w:rsid w:val="008C6887"/>
    <w:rsid w:val="008C6B03"/>
    <w:rsid w:val="008C7111"/>
    <w:rsid w:val="008C73A2"/>
    <w:rsid w:val="008C7710"/>
    <w:rsid w:val="008C77CE"/>
    <w:rsid w:val="008C7EE5"/>
    <w:rsid w:val="008D029C"/>
    <w:rsid w:val="008D0621"/>
    <w:rsid w:val="008D0AE9"/>
    <w:rsid w:val="008D11F9"/>
    <w:rsid w:val="008D12C1"/>
    <w:rsid w:val="008D1523"/>
    <w:rsid w:val="008D1843"/>
    <w:rsid w:val="008D2145"/>
    <w:rsid w:val="008D2BD6"/>
    <w:rsid w:val="008D2E07"/>
    <w:rsid w:val="008D2E56"/>
    <w:rsid w:val="008D319F"/>
    <w:rsid w:val="008D3810"/>
    <w:rsid w:val="008D385E"/>
    <w:rsid w:val="008D38AB"/>
    <w:rsid w:val="008D3AB8"/>
    <w:rsid w:val="008D4084"/>
    <w:rsid w:val="008D41BE"/>
    <w:rsid w:val="008D4B24"/>
    <w:rsid w:val="008D4C70"/>
    <w:rsid w:val="008D5439"/>
    <w:rsid w:val="008D5683"/>
    <w:rsid w:val="008D5863"/>
    <w:rsid w:val="008D63BD"/>
    <w:rsid w:val="008D68D2"/>
    <w:rsid w:val="008D69C7"/>
    <w:rsid w:val="008D73A5"/>
    <w:rsid w:val="008D7C3F"/>
    <w:rsid w:val="008E0BFB"/>
    <w:rsid w:val="008E1241"/>
    <w:rsid w:val="008E13C2"/>
    <w:rsid w:val="008E1406"/>
    <w:rsid w:val="008E1892"/>
    <w:rsid w:val="008E1B79"/>
    <w:rsid w:val="008E1E19"/>
    <w:rsid w:val="008E1E3F"/>
    <w:rsid w:val="008E1ECE"/>
    <w:rsid w:val="008E2616"/>
    <w:rsid w:val="008E2641"/>
    <w:rsid w:val="008E27F3"/>
    <w:rsid w:val="008E28DC"/>
    <w:rsid w:val="008E2D2F"/>
    <w:rsid w:val="008E2E2C"/>
    <w:rsid w:val="008E2E65"/>
    <w:rsid w:val="008E3446"/>
    <w:rsid w:val="008E3592"/>
    <w:rsid w:val="008E3E52"/>
    <w:rsid w:val="008E3E90"/>
    <w:rsid w:val="008E42C0"/>
    <w:rsid w:val="008E4D83"/>
    <w:rsid w:val="008E502C"/>
    <w:rsid w:val="008E532F"/>
    <w:rsid w:val="008E5B8B"/>
    <w:rsid w:val="008E5BD9"/>
    <w:rsid w:val="008E5FAA"/>
    <w:rsid w:val="008E7784"/>
    <w:rsid w:val="008F01A4"/>
    <w:rsid w:val="008F0455"/>
    <w:rsid w:val="008F0636"/>
    <w:rsid w:val="008F1D32"/>
    <w:rsid w:val="008F1E8F"/>
    <w:rsid w:val="008F2400"/>
    <w:rsid w:val="008F2ACA"/>
    <w:rsid w:val="008F2C3C"/>
    <w:rsid w:val="008F2E64"/>
    <w:rsid w:val="008F30B6"/>
    <w:rsid w:val="008F38A5"/>
    <w:rsid w:val="008F38BF"/>
    <w:rsid w:val="008F3900"/>
    <w:rsid w:val="008F45FE"/>
    <w:rsid w:val="008F4B69"/>
    <w:rsid w:val="008F57AF"/>
    <w:rsid w:val="008F6EF9"/>
    <w:rsid w:val="008F71F4"/>
    <w:rsid w:val="008F7260"/>
    <w:rsid w:val="008F7573"/>
    <w:rsid w:val="008F7757"/>
    <w:rsid w:val="008F799A"/>
    <w:rsid w:val="008F7F6B"/>
    <w:rsid w:val="0090058D"/>
    <w:rsid w:val="00900CAA"/>
    <w:rsid w:val="00900ED5"/>
    <w:rsid w:val="0090128B"/>
    <w:rsid w:val="00901746"/>
    <w:rsid w:val="00901C6B"/>
    <w:rsid w:val="00902B8F"/>
    <w:rsid w:val="00902E3F"/>
    <w:rsid w:val="0090302A"/>
    <w:rsid w:val="0090342C"/>
    <w:rsid w:val="009046FF"/>
    <w:rsid w:val="00904CDC"/>
    <w:rsid w:val="00904CE2"/>
    <w:rsid w:val="00905157"/>
    <w:rsid w:val="00905403"/>
    <w:rsid w:val="009054FD"/>
    <w:rsid w:val="00905B3C"/>
    <w:rsid w:val="00905C33"/>
    <w:rsid w:val="00905D65"/>
    <w:rsid w:val="0090634D"/>
    <w:rsid w:val="00906371"/>
    <w:rsid w:val="0090682E"/>
    <w:rsid w:val="00910512"/>
    <w:rsid w:val="0091069F"/>
    <w:rsid w:val="009108BE"/>
    <w:rsid w:val="0091114D"/>
    <w:rsid w:val="009115CC"/>
    <w:rsid w:val="00911B73"/>
    <w:rsid w:val="009120C0"/>
    <w:rsid w:val="009134EF"/>
    <w:rsid w:val="009135CB"/>
    <w:rsid w:val="00913A4C"/>
    <w:rsid w:val="00913AF9"/>
    <w:rsid w:val="00913DF8"/>
    <w:rsid w:val="00915219"/>
    <w:rsid w:val="00915416"/>
    <w:rsid w:val="00915983"/>
    <w:rsid w:val="00916F5A"/>
    <w:rsid w:val="009171A0"/>
    <w:rsid w:val="0091758E"/>
    <w:rsid w:val="00917842"/>
    <w:rsid w:val="009178E1"/>
    <w:rsid w:val="00917C16"/>
    <w:rsid w:val="0092100F"/>
    <w:rsid w:val="0092195D"/>
    <w:rsid w:val="00921CBC"/>
    <w:rsid w:val="00921F2D"/>
    <w:rsid w:val="00921FA3"/>
    <w:rsid w:val="00922132"/>
    <w:rsid w:val="0092216D"/>
    <w:rsid w:val="0092222C"/>
    <w:rsid w:val="009226A4"/>
    <w:rsid w:val="00922A7A"/>
    <w:rsid w:val="00922EC2"/>
    <w:rsid w:val="009235CA"/>
    <w:rsid w:val="00923981"/>
    <w:rsid w:val="009239F2"/>
    <w:rsid w:val="009242C7"/>
    <w:rsid w:val="0092443D"/>
    <w:rsid w:val="0092460C"/>
    <w:rsid w:val="0092489E"/>
    <w:rsid w:val="00924E3C"/>
    <w:rsid w:val="00925088"/>
    <w:rsid w:val="009255D9"/>
    <w:rsid w:val="00925756"/>
    <w:rsid w:val="00925CD5"/>
    <w:rsid w:val="009262E1"/>
    <w:rsid w:val="0092667C"/>
    <w:rsid w:val="00926A45"/>
    <w:rsid w:val="00927109"/>
    <w:rsid w:val="00930189"/>
    <w:rsid w:val="009301CE"/>
    <w:rsid w:val="009303DC"/>
    <w:rsid w:val="0093066A"/>
    <w:rsid w:val="00930C04"/>
    <w:rsid w:val="0093102F"/>
    <w:rsid w:val="009314BA"/>
    <w:rsid w:val="00931868"/>
    <w:rsid w:val="00931FDE"/>
    <w:rsid w:val="00932D91"/>
    <w:rsid w:val="00932EC9"/>
    <w:rsid w:val="00933446"/>
    <w:rsid w:val="00933FBE"/>
    <w:rsid w:val="00934464"/>
    <w:rsid w:val="00934A66"/>
    <w:rsid w:val="00935213"/>
    <w:rsid w:val="00935A15"/>
    <w:rsid w:val="00935BC3"/>
    <w:rsid w:val="00935E78"/>
    <w:rsid w:val="009360A4"/>
    <w:rsid w:val="0093646C"/>
    <w:rsid w:val="00936853"/>
    <w:rsid w:val="00936A04"/>
    <w:rsid w:val="00940742"/>
    <w:rsid w:val="00940A6E"/>
    <w:rsid w:val="00941AD6"/>
    <w:rsid w:val="00941FCA"/>
    <w:rsid w:val="0094235A"/>
    <w:rsid w:val="009424E9"/>
    <w:rsid w:val="0094266E"/>
    <w:rsid w:val="009429E4"/>
    <w:rsid w:val="009429FD"/>
    <w:rsid w:val="00942B26"/>
    <w:rsid w:val="00942CAF"/>
    <w:rsid w:val="00942EBE"/>
    <w:rsid w:val="00943EF6"/>
    <w:rsid w:val="00943F31"/>
    <w:rsid w:val="00944B0A"/>
    <w:rsid w:val="00944F88"/>
    <w:rsid w:val="009459EF"/>
    <w:rsid w:val="009467F1"/>
    <w:rsid w:val="00946ADF"/>
    <w:rsid w:val="00946E6E"/>
    <w:rsid w:val="00947127"/>
    <w:rsid w:val="00947213"/>
    <w:rsid w:val="00947A97"/>
    <w:rsid w:val="00947E77"/>
    <w:rsid w:val="009502F2"/>
    <w:rsid w:val="0095041E"/>
    <w:rsid w:val="009505F5"/>
    <w:rsid w:val="0095089D"/>
    <w:rsid w:val="00950B4F"/>
    <w:rsid w:val="00951ECA"/>
    <w:rsid w:val="00951F22"/>
    <w:rsid w:val="00952622"/>
    <w:rsid w:val="0095299A"/>
    <w:rsid w:val="00953051"/>
    <w:rsid w:val="0095357C"/>
    <w:rsid w:val="0095365B"/>
    <w:rsid w:val="00953970"/>
    <w:rsid w:val="00953A2D"/>
    <w:rsid w:val="00953F02"/>
    <w:rsid w:val="009540D3"/>
    <w:rsid w:val="009541F7"/>
    <w:rsid w:val="009545C4"/>
    <w:rsid w:val="009549C3"/>
    <w:rsid w:val="00954AF0"/>
    <w:rsid w:val="00954AFF"/>
    <w:rsid w:val="00954B27"/>
    <w:rsid w:val="00954E64"/>
    <w:rsid w:val="00954E8F"/>
    <w:rsid w:val="0095511C"/>
    <w:rsid w:val="00955D4B"/>
    <w:rsid w:val="00956065"/>
    <w:rsid w:val="0095615B"/>
    <w:rsid w:val="00956240"/>
    <w:rsid w:val="00956744"/>
    <w:rsid w:val="00956C30"/>
    <w:rsid w:val="009574B5"/>
    <w:rsid w:val="00957CF9"/>
    <w:rsid w:val="00957F31"/>
    <w:rsid w:val="00957FEB"/>
    <w:rsid w:val="00960CF9"/>
    <w:rsid w:val="00960D96"/>
    <w:rsid w:val="00960FA9"/>
    <w:rsid w:val="009613C1"/>
    <w:rsid w:val="00961C85"/>
    <w:rsid w:val="00961E84"/>
    <w:rsid w:val="0096222E"/>
    <w:rsid w:val="00962397"/>
    <w:rsid w:val="009628D0"/>
    <w:rsid w:val="00963D2E"/>
    <w:rsid w:val="00963F56"/>
    <w:rsid w:val="009641DB"/>
    <w:rsid w:val="009649AF"/>
    <w:rsid w:val="009649CE"/>
    <w:rsid w:val="00964A97"/>
    <w:rsid w:val="00964B62"/>
    <w:rsid w:val="0096525C"/>
    <w:rsid w:val="009654C9"/>
    <w:rsid w:val="009655F3"/>
    <w:rsid w:val="00965B85"/>
    <w:rsid w:val="00965D55"/>
    <w:rsid w:val="00966ACE"/>
    <w:rsid w:val="0097116B"/>
    <w:rsid w:val="009715FA"/>
    <w:rsid w:val="0097201A"/>
    <w:rsid w:val="00973883"/>
    <w:rsid w:val="00973908"/>
    <w:rsid w:val="00973C8F"/>
    <w:rsid w:val="00973FC8"/>
    <w:rsid w:val="0097469B"/>
    <w:rsid w:val="00974AFC"/>
    <w:rsid w:val="00974BDC"/>
    <w:rsid w:val="00974D01"/>
    <w:rsid w:val="00974D8F"/>
    <w:rsid w:val="00975137"/>
    <w:rsid w:val="00975509"/>
    <w:rsid w:val="00975638"/>
    <w:rsid w:val="009759C2"/>
    <w:rsid w:val="00975D44"/>
    <w:rsid w:val="00975DC1"/>
    <w:rsid w:val="0097604B"/>
    <w:rsid w:val="0097650F"/>
    <w:rsid w:val="0097656E"/>
    <w:rsid w:val="0097750E"/>
    <w:rsid w:val="009777ED"/>
    <w:rsid w:val="009778DA"/>
    <w:rsid w:val="00977A31"/>
    <w:rsid w:val="00977AEF"/>
    <w:rsid w:val="00977CD1"/>
    <w:rsid w:val="00977EE9"/>
    <w:rsid w:val="00977F66"/>
    <w:rsid w:val="00980233"/>
    <w:rsid w:val="009808F3"/>
    <w:rsid w:val="00980C3D"/>
    <w:rsid w:val="00980E17"/>
    <w:rsid w:val="00981231"/>
    <w:rsid w:val="00981AA7"/>
    <w:rsid w:val="009838DE"/>
    <w:rsid w:val="00984990"/>
    <w:rsid w:val="00984A9D"/>
    <w:rsid w:val="00984D56"/>
    <w:rsid w:val="00984DC7"/>
    <w:rsid w:val="0098522C"/>
    <w:rsid w:val="00985423"/>
    <w:rsid w:val="0098555E"/>
    <w:rsid w:val="00985C4E"/>
    <w:rsid w:val="00985C9A"/>
    <w:rsid w:val="0098604A"/>
    <w:rsid w:val="00986503"/>
    <w:rsid w:val="00986637"/>
    <w:rsid w:val="0098671C"/>
    <w:rsid w:val="00986824"/>
    <w:rsid w:val="00986F9D"/>
    <w:rsid w:val="009874A2"/>
    <w:rsid w:val="009875FF"/>
    <w:rsid w:val="00987939"/>
    <w:rsid w:val="00990352"/>
    <w:rsid w:val="00991263"/>
    <w:rsid w:val="0099157B"/>
    <w:rsid w:val="00991D27"/>
    <w:rsid w:val="00992470"/>
    <w:rsid w:val="00992BFF"/>
    <w:rsid w:val="009931BB"/>
    <w:rsid w:val="00993277"/>
    <w:rsid w:val="0099391E"/>
    <w:rsid w:val="00993BC0"/>
    <w:rsid w:val="00994109"/>
    <w:rsid w:val="0099419E"/>
    <w:rsid w:val="009943BF"/>
    <w:rsid w:val="00994A93"/>
    <w:rsid w:val="00994D80"/>
    <w:rsid w:val="00994EBA"/>
    <w:rsid w:val="00995299"/>
    <w:rsid w:val="009955AB"/>
    <w:rsid w:val="009959B1"/>
    <w:rsid w:val="00995C93"/>
    <w:rsid w:val="0099602A"/>
    <w:rsid w:val="0099635E"/>
    <w:rsid w:val="00996425"/>
    <w:rsid w:val="00996441"/>
    <w:rsid w:val="00996B47"/>
    <w:rsid w:val="00996DC5"/>
    <w:rsid w:val="00997AA5"/>
    <w:rsid w:val="00997B09"/>
    <w:rsid w:val="009A2056"/>
    <w:rsid w:val="009A22DF"/>
    <w:rsid w:val="009A269A"/>
    <w:rsid w:val="009A3356"/>
    <w:rsid w:val="009A339F"/>
    <w:rsid w:val="009A4238"/>
    <w:rsid w:val="009A42F8"/>
    <w:rsid w:val="009A451D"/>
    <w:rsid w:val="009A4680"/>
    <w:rsid w:val="009A4D76"/>
    <w:rsid w:val="009A56D9"/>
    <w:rsid w:val="009A5B4B"/>
    <w:rsid w:val="009A5ECE"/>
    <w:rsid w:val="009A6CB2"/>
    <w:rsid w:val="009A6E90"/>
    <w:rsid w:val="009A75CE"/>
    <w:rsid w:val="009A7B3F"/>
    <w:rsid w:val="009A7D9F"/>
    <w:rsid w:val="009B0BE0"/>
    <w:rsid w:val="009B0D79"/>
    <w:rsid w:val="009B169F"/>
    <w:rsid w:val="009B1852"/>
    <w:rsid w:val="009B2265"/>
    <w:rsid w:val="009B287D"/>
    <w:rsid w:val="009B2A78"/>
    <w:rsid w:val="009B3028"/>
    <w:rsid w:val="009B302F"/>
    <w:rsid w:val="009B4017"/>
    <w:rsid w:val="009B48DC"/>
    <w:rsid w:val="009B49BD"/>
    <w:rsid w:val="009B59CE"/>
    <w:rsid w:val="009B611F"/>
    <w:rsid w:val="009B6306"/>
    <w:rsid w:val="009B6923"/>
    <w:rsid w:val="009B6B77"/>
    <w:rsid w:val="009B790D"/>
    <w:rsid w:val="009C02E2"/>
    <w:rsid w:val="009C0B20"/>
    <w:rsid w:val="009C17EF"/>
    <w:rsid w:val="009C1BE6"/>
    <w:rsid w:val="009C2747"/>
    <w:rsid w:val="009C2F55"/>
    <w:rsid w:val="009C3029"/>
    <w:rsid w:val="009C32EB"/>
    <w:rsid w:val="009C376A"/>
    <w:rsid w:val="009C4633"/>
    <w:rsid w:val="009C47E9"/>
    <w:rsid w:val="009C4969"/>
    <w:rsid w:val="009C49CE"/>
    <w:rsid w:val="009C4AE6"/>
    <w:rsid w:val="009C52C6"/>
    <w:rsid w:val="009C5691"/>
    <w:rsid w:val="009C5A0E"/>
    <w:rsid w:val="009C5D9B"/>
    <w:rsid w:val="009C608D"/>
    <w:rsid w:val="009C6670"/>
    <w:rsid w:val="009C668F"/>
    <w:rsid w:val="009C6774"/>
    <w:rsid w:val="009C6A81"/>
    <w:rsid w:val="009C6B2C"/>
    <w:rsid w:val="009C6DA4"/>
    <w:rsid w:val="009C6E6E"/>
    <w:rsid w:val="009D00B4"/>
    <w:rsid w:val="009D0E97"/>
    <w:rsid w:val="009D1764"/>
    <w:rsid w:val="009D27DE"/>
    <w:rsid w:val="009D2956"/>
    <w:rsid w:val="009D2CE8"/>
    <w:rsid w:val="009D309F"/>
    <w:rsid w:val="009D3842"/>
    <w:rsid w:val="009D3924"/>
    <w:rsid w:val="009D3939"/>
    <w:rsid w:val="009D3B79"/>
    <w:rsid w:val="009D3C57"/>
    <w:rsid w:val="009D3F73"/>
    <w:rsid w:val="009D42FA"/>
    <w:rsid w:val="009D448E"/>
    <w:rsid w:val="009D4CFC"/>
    <w:rsid w:val="009D4FA8"/>
    <w:rsid w:val="009D519D"/>
    <w:rsid w:val="009D667E"/>
    <w:rsid w:val="009D771E"/>
    <w:rsid w:val="009D77BF"/>
    <w:rsid w:val="009D797F"/>
    <w:rsid w:val="009D7E39"/>
    <w:rsid w:val="009E0370"/>
    <w:rsid w:val="009E03FA"/>
    <w:rsid w:val="009E1140"/>
    <w:rsid w:val="009E11DB"/>
    <w:rsid w:val="009E1F26"/>
    <w:rsid w:val="009E205E"/>
    <w:rsid w:val="009E250D"/>
    <w:rsid w:val="009E2734"/>
    <w:rsid w:val="009E2B6A"/>
    <w:rsid w:val="009E326A"/>
    <w:rsid w:val="009E3D4F"/>
    <w:rsid w:val="009E427F"/>
    <w:rsid w:val="009E4A4C"/>
    <w:rsid w:val="009E4B8F"/>
    <w:rsid w:val="009E53B7"/>
    <w:rsid w:val="009E5471"/>
    <w:rsid w:val="009E5D61"/>
    <w:rsid w:val="009E5EC1"/>
    <w:rsid w:val="009E6C7D"/>
    <w:rsid w:val="009E6FBB"/>
    <w:rsid w:val="009E79BC"/>
    <w:rsid w:val="009E7A21"/>
    <w:rsid w:val="009E7A95"/>
    <w:rsid w:val="009E7B40"/>
    <w:rsid w:val="009E7DDD"/>
    <w:rsid w:val="009E7FC2"/>
    <w:rsid w:val="009F0591"/>
    <w:rsid w:val="009F06F1"/>
    <w:rsid w:val="009F0BF9"/>
    <w:rsid w:val="009F1714"/>
    <w:rsid w:val="009F1AFC"/>
    <w:rsid w:val="009F1D3B"/>
    <w:rsid w:val="009F1FB7"/>
    <w:rsid w:val="009F2474"/>
    <w:rsid w:val="009F2594"/>
    <w:rsid w:val="009F2EDB"/>
    <w:rsid w:val="009F3B9A"/>
    <w:rsid w:val="009F3D4A"/>
    <w:rsid w:val="009F48C9"/>
    <w:rsid w:val="009F4B5A"/>
    <w:rsid w:val="009F5151"/>
    <w:rsid w:val="009F5CB3"/>
    <w:rsid w:val="009F5E2D"/>
    <w:rsid w:val="009F5F0D"/>
    <w:rsid w:val="009F6681"/>
    <w:rsid w:val="00A0109F"/>
    <w:rsid w:val="00A01238"/>
    <w:rsid w:val="00A017A2"/>
    <w:rsid w:val="00A01859"/>
    <w:rsid w:val="00A01B85"/>
    <w:rsid w:val="00A026A1"/>
    <w:rsid w:val="00A026AB"/>
    <w:rsid w:val="00A027E2"/>
    <w:rsid w:val="00A0281F"/>
    <w:rsid w:val="00A029D4"/>
    <w:rsid w:val="00A02AC6"/>
    <w:rsid w:val="00A02B04"/>
    <w:rsid w:val="00A030E5"/>
    <w:rsid w:val="00A035E9"/>
    <w:rsid w:val="00A03B4C"/>
    <w:rsid w:val="00A03FA5"/>
    <w:rsid w:val="00A03FFD"/>
    <w:rsid w:val="00A04211"/>
    <w:rsid w:val="00A044BE"/>
    <w:rsid w:val="00A0497C"/>
    <w:rsid w:val="00A04AAF"/>
    <w:rsid w:val="00A052E4"/>
    <w:rsid w:val="00A05355"/>
    <w:rsid w:val="00A05818"/>
    <w:rsid w:val="00A05C72"/>
    <w:rsid w:val="00A05CE5"/>
    <w:rsid w:val="00A05F0C"/>
    <w:rsid w:val="00A0602B"/>
    <w:rsid w:val="00A06296"/>
    <w:rsid w:val="00A0635B"/>
    <w:rsid w:val="00A0675C"/>
    <w:rsid w:val="00A06836"/>
    <w:rsid w:val="00A06AE6"/>
    <w:rsid w:val="00A07230"/>
    <w:rsid w:val="00A104AB"/>
    <w:rsid w:val="00A113A6"/>
    <w:rsid w:val="00A121CE"/>
    <w:rsid w:val="00A12A3A"/>
    <w:rsid w:val="00A12CD8"/>
    <w:rsid w:val="00A12D12"/>
    <w:rsid w:val="00A12EE2"/>
    <w:rsid w:val="00A13055"/>
    <w:rsid w:val="00A137FA"/>
    <w:rsid w:val="00A13A6A"/>
    <w:rsid w:val="00A13AAC"/>
    <w:rsid w:val="00A13DEB"/>
    <w:rsid w:val="00A14706"/>
    <w:rsid w:val="00A1477A"/>
    <w:rsid w:val="00A1495D"/>
    <w:rsid w:val="00A14A58"/>
    <w:rsid w:val="00A14DB5"/>
    <w:rsid w:val="00A14E22"/>
    <w:rsid w:val="00A15112"/>
    <w:rsid w:val="00A154B5"/>
    <w:rsid w:val="00A15741"/>
    <w:rsid w:val="00A15AD9"/>
    <w:rsid w:val="00A15FBD"/>
    <w:rsid w:val="00A1600C"/>
    <w:rsid w:val="00A16044"/>
    <w:rsid w:val="00A1622C"/>
    <w:rsid w:val="00A16544"/>
    <w:rsid w:val="00A166B3"/>
    <w:rsid w:val="00A1694C"/>
    <w:rsid w:val="00A17464"/>
    <w:rsid w:val="00A177A6"/>
    <w:rsid w:val="00A178B4"/>
    <w:rsid w:val="00A17E81"/>
    <w:rsid w:val="00A2050B"/>
    <w:rsid w:val="00A20DAB"/>
    <w:rsid w:val="00A213F3"/>
    <w:rsid w:val="00A21F4C"/>
    <w:rsid w:val="00A2214A"/>
    <w:rsid w:val="00A22261"/>
    <w:rsid w:val="00A2242E"/>
    <w:rsid w:val="00A22D55"/>
    <w:rsid w:val="00A23507"/>
    <w:rsid w:val="00A23674"/>
    <w:rsid w:val="00A23983"/>
    <w:rsid w:val="00A241F7"/>
    <w:rsid w:val="00A24645"/>
    <w:rsid w:val="00A24682"/>
    <w:rsid w:val="00A24AAC"/>
    <w:rsid w:val="00A25344"/>
    <w:rsid w:val="00A25E72"/>
    <w:rsid w:val="00A25EA9"/>
    <w:rsid w:val="00A25F7F"/>
    <w:rsid w:val="00A26371"/>
    <w:rsid w:val="00A264BD"/>
    <w:rsid w:val="00A265E1"/>
    <w:rsid w:val="00A266B1"/>
    <w:rsid w:val="00A269B7"/>
    <w:rsid w:val="00A27522"/>
    <w:rsid w:val="00A275AF"/>
    <w:rsid w:val="00A27C15"/>
    <w:rsid w:val="00A30229"/>
    <w:rsid w:val="00A303B3"/>
    <w:rsid w:val="00A32039"/>
    <w:rsid w:val="00A3211D"/>
    <w:rsid w:val="00A32A0B"/>
    <w:rsid w:val="00A32AF6"/>
    <w:rsid w:val="00A32C78"/>
    <w:rsid w:val="00A32F68"/>
    <w:rsid w:val="00A32FA6"/>
    <w:rsid w:val="00A33A2F"/>
    <w:rsid w:val="00A345DE"/>
    <w:rsid w:val="00A34E09"/>
    <w:rsid w:val="00A35594"/>
    <w:rsid w:val="00A3585D"/>
    <w:rsid w:val="00A35A38"/>
    <w:rsid w:val="00A36F02"/>
    <w:rsid w:val="00A37004"/>
    <w:rsid w:val="00A376DE"/>
    <w:rsid w:val="00A37984"/>
    <w:rsid w:val="00A40BB8"/>
    <w:rsid w:val="00A411F3"/>
    <w:rsid w:val="00A413A7"/>
    <w:rsid w:val="00A41572"/>
    <w:rsid w:val="00A416DC"/>
    <w:rsid w:val="00A416FA"/>
    <w:rsid w:val="00A4191F"/>
    <w:rsid w:val="00A420C9"/>
    <w:rsid w:val="00A4221D"/>
    <w:rsid w:val="00A422CC"/>
    <w:rsid w:val="00A42344"/>
    <w:rsid w:val="00A423D8"/>
    <w:rsid w:val="00A424B5"/>
    <w:rsid w:val="00A43492"/>
    <w:rsid w:val="00A437E9"/>
    <w:rsid w:val="00A43AF7"/>
    <w:rsid w:val="00A44046"/>
    <w:rsid w:val="00A442B5"/>
    <w:rsid w:val="00A4482B"/>
    <w:rsid w:val="00A44F41"/>
    <w:rsid w:val="00A452BD"/>
    <w:rsid w:val="00A45A86"/>
    <w:rsid w:val="00A46B33"/>
    <w:rsid w:val="00A46F49"/>
    <w:rsid w:val="00A473FA"/>
    <w:rsid w:val="00A4797F"/>
    <w:rsid w:val="00A50234"/>
    <w:rsid w:val="00A50412"/>
    <w:rsid w:val="00A50544"/>
    <w:rsid w:val="00A50BD2"/>
    <w:rsid w:val="00A510BD"/>
    <w:rsid w:val="00A513D8"/>
    <w:rsid w:val="00A5187D"/>
    <w:rsid w:val="00A51B29"/>
    <w:rsid w:val="00A51D98"/>
    <w:rsid w:val="00A5220F"/>
    <w:rsid w:val="00A5300E"/>
    <w:rsid w:val="00A5309B"/>
    <w:rsid w:val="00A5318A"/>
    <w:rsid w:val="00A5381D"/>
    <w:rsid w:val="00A53AB5"/>
    <w:rsid w:val="00A53ABA"/>
    <w:rsid w:val="00A53D38"/>
    <w:rsid w:val="00A53E13"/>
    <w:rsid w:val="00A53FAD"/>
    <w:rsid w:val="00A54479"/>
    <w:rsid w:val="00A544A3"/>
    <w:rsid w:val="00A54EF7"/>
    <w:rsid w:val="00A5526F"/>
    <w:rsid w:val="00A56176"/>
    <w:rsid w:val="00A56732"/>
    <w:rsid w:val="00A56E8E"/>
    <w:rsid w:val="00A57402"/>
    <w:rsid w:val="00A57506"/>
    <w:rsid w:val="00A600AB"/>
    <w:rsid w:val="00A6014F"/>
    <w:rsid w:val="00A601FB"/>
    <w:rsid w:val="00A6044E"/>
    <w:rsid w:val="00A607E3"/>
    <w:rsid w:val="00A60A15"/>
    <w:rsid w:val="00A60C67"/>
    <w:rsid w:val="00A6210B"/>
    <w:rsid w:val="00A6221A"/>
    <w:rsid w:val="00A62B6D"/>
    <w:rsid w:val="00A63357"/>
    <w:rsid w:val="00A63DE4"/>
    <w:rsid w:val="00A63E5F"/>
    <w:rsid w:val="00A63FAB"/>
    <w:rsid w:val="00A644D7"/>
    <w:rsid w:val="00A64A90"/>
    <w:rsid w:val="00A64CA1"/>
    <w:rsid w:val="00A64DD2"/>
    <w:rsid w:val="00A65060"/>
    <w:rsid w:val="00A6523B"/>
    <w:rsid w:val="00A65253"/>
    <w:rsid w:val="00A658F3"/>
    <w:rsid w:val="00A67228"/>
    <w:rsid w:val="00A67576"/>
    <w:rsid w:val="00A678E4"/>
    <w:rsid w:val="00A67DE0"/>
    <w:rsid w:val="00A701AE"/>
    <w:rsid w:val="00A703A9"/>
    <w:rsid w:val="00A706CE"/>
    <w:rsid w:val="00A707BC"/>
    <w:rsid w:val="00A714F3"/>
    <w:rsid w:val="00A721C2"/>
    <w:rsid w:val="00A72946"/>
    <w:rsid w:val="00A731D9"/>
    <w:rsid w:val="00A732EF"/>
    <w:rsid w:val="00A7369E"/>
    <w:rsid w:val="00A736B8"/>
    <w:rsid w:val="00A73873"/>
    <w:rsid w:val="00A73D6E"/>
    <w:rsid w:val="00A740F7"/>
    <w:rsid w:val="00A74624"/>
    <w:rsid w:val="00A75224"/>
    <w:rsid w:val="00A75514"/>
    <w:rsid w:val="00A7553C"/>
    <w:rsid w:val="00A75854"/>
    <w:rsid w:val="00A75F2C"/>
    <w:rsid w:val="00A76264"/>
    <w:rsid w:val="00A76833"/>
    <w:rsid w:val="00A76A95"/>
    <w:rsid w:val="00A76C5F"/>
    <w:rsid w:val="00A771D5"/>
    <w:rsid w:val="00A77517"/>
    <w:rsid w:val="00A77690"/>
    <w:rsid w:val="00A77818"/>
    <w:rsid w:val="00A77C5C"/>
    <w:rsid w:val="00A8019C"/>
    <w:rsid w:val="00A80886"/>
    <w:rsid w:val="00A81213"/>
    <w:rsid w:val="00A816D5"/>
    <w:rsid w:val="00A816E6"/>
    <w:rsid w:val="00A81E96"/>
    <w:rsid w:val="00A81FE8"/>
    <w:rsid w:val="00A827B1"/>
    <w:rsid w:val="00A830DD"/>
    <w:rsid w:val="00A830DE"/>
    <w:rsid w:val="00A832EB"/>
    <w:rsid w:val="00A833BB"/>
    <w:rsid w:val="00A8370F"/>
    <w:rsid w:val="00A8386F"/>
    <w:rsid w:val="00A838BC"/>
    <w:rsid w:val="00A842FB"/>
    <w:rsid w:val="00A8494C"/>
    <w:rsid w:val="00A84977"/>
    <w:rsid w:val="00A84A90"/>
    <w:rsid w:val="00A84D61"/>
    <w:rsid w:val="00A84DB8"/>
    <w:rsid w:val="00A856ED"/>
    <w:rsid w:val="00A85805"/>
    <w:rsid w:val="00A85AB5"/>
    <w:rsid w:val="00A85C99"/>
    <w:rsid w:val="00A85FF7"/>
    <w:rsid w:val="00A861CA"/>
    <w:rsid w:val="00A864B7"/>
    <w:rsid w:val="00A86A2E"/>
    <w:rsid w:val="00A872DD"/>
    <w:rsid w:val="00A874A2"/>
    <w:rsid w:val="00A874E6"/>
    <w:rsid w:val="00A87D58"/>
    <w:rsid w:val="00A90B54"/>
    <w:rsid w:val="00A90CA5"/>
    <w:rsid w:val="00A91AF7"/>
    <w:rsid w:val="00A91C54"/>
    <w:rsid w:val="00A921E3"/>
    <w:rsid w:val="00A92362"/>
    <w:rsid w:val="00A92D9A"/>
    <w:rsid w:val="00A92DE0"/>
    <w:rsid w:val="00A936FB"/>
    <w:rsid w:val="00A93D4D"/>
    <w:rsid w:val="00A94041"/>
    <w:rsid w:val="00A94066"/>
    <w:rsid w:val="00A944A1"/>
    <w:rsid w:val="00A94901"/>
    <w:rsid w:val="00A94DB0"/>
    <w:rsid w:val="00A95537"/>
    <w:rsid w:val="00A957F4"/>
    <w:rsid w:val="00A96377"/>
    <w:rsid w:val="00A96453"/>
    <w:rsid w:val="00A9730D"/>
    <w:rsid w:val="00A973B9"/>
    <w:rsid w:val="00A97494"/>
    <w:rsid w:val="00A97BEC"/>
    <w:rsid w:val="00AA0521"/>
    <w:rsid w:val="00AA0BA2"/>
    <w:rsid w:val="00AA1084"/>
    <w:rsid w:val="00AA1907"/>
    <w:rsid w:val="00AA1CA5"/>
    <w:rsid w:val="00AA1D16"/>
    <w:rsid w:val="00AA21B7"/>
    <w:rsid w:val="00AA242A"/>
    <w:rsid w:val="00AA2506"/>
    <w:rsid w:val="00AA3BDF"/>
    <w:rsid w:val="00AA4661"/>
    <w:rsid w:val="00AA490F"/>
    <w:rsid w:val="00AA492B"/>
    <w:rsid w:val="00AA5202"/>
    <w:rsid w:val="00AA6255"/>
    <w:rsid w:val="00AA6A14"/>
    <w:rsid w:val="00AA76C1"/>
    <w:rsid w:val="00AA7958"/>
    <w:rsid w:val="00AA7A80"/>
    <w:rsid w:val="00AB00C7"/>
    <w:rsid w:val="00AB0F93"/>
    <w:rsid w:val="00AB1475"/>
    <w:rsid w:val="00AB1838"/>
    <w:rsid w:val="00AB1D6A"/>
    <w:rsid w:val="00AB2647"/>
    <w:rsid w:val="00AB282C"/>
    <w:rsid w:val="00AB2DE2"/>
    <w:rsid w:val="00AB2DEA"/>
    <w:rsid w:val="00AB2E8E"/>
    <w:rsid w:val="00AB2ED7"/>
    <w:rsid w:val="00AB2F6B"/>
    <w:rsid w:val="00AB33A6"/>
    <w:rsid w:val="00AB34E2"/>
    <w:rsid w:val="00AB381F"/>
    <w:rsid w:val="00AB3994"/>
    <w:rsid w:val="00AB3B1D"/>
    <w:rsid w:val="00AB3B7C"/>
    <w:rsid w:val="00AB3CFE"/>
    <w:rsid w:val="00AB4410"/>
    <w:rsid w:val="00AB4BB0"/>
    <w:rsid w:val="00AB4D5D"/>
    <w:rsid w:val="00AB5421"/>
    <w:rsid w:val="00AB55F2"/>
    <w:rsid w:val="00AB5933"/>
    <w:rsid w:val="00AB6245"/>
    <w:rsid w:val="00AB63EE"/>
    <w:rsid w:val="00AB68C4"/>
    <w:rsid w:val="00AB717B"/>
    <w:rsid w:val="00AB7613"/>
    <w:rsid w:val="00AB76ED"/>
    <w:rsid w:val="00AB7899"/>
    <w:rsid w:val="00AB7956"/>
    <w:rsid w:val="00AB7C03"/>
    <w:rsid w:val="00AC0551"/>
    <w:rsid w:val="00AC06C4"/>
    <w:rsid w:val="00AC0C98"/>
    <w:rsid w:val="00AC0E9D"/>
    <w:rsid w:val="00AC2CDB"/>
    <w:rsid w:val="00AC2CEB"/>
    <w:rsid w:val="00AC3156"/>
    <w:rsid w:val="00AC34AE"/>
    <w:rsid w:val="00AC365E"/>
    <w:rsid w:val="00AC49B7"/>
    <w:rsid w:val="00AC4A9C"/>
    <w:rsid w:val="00AC4DA1"/>
    <w:rsid w:val="00AC4E5C"/>
    <w:rsid w:val="00AC5420"/>
    <w:rsid w:val="00AC5658"/>
    <w:rsid w:val="00AC58CF"/>
    <w:rsid w:val="00AC5A95"/>
    <w:rsid w:val="00AC5DED"/>
    <w:rsid w:val="00AC6785"/>
    <w:rsid w:val="00AC6B73"/>
    <w:rsid w:val="00AC6B78"/>
    <w:rsid w:val="00AD05D0"/>
    <w:rsid w:val="00AD067C"/>
    <w:rsid w:val="00AD12FA"/>
    <w:rsid w:val="00AD1397"/>
    <w:rsid w:val="00AD14EC"/>
    <w:rsid w:val="00AD19DB"/>
    <w:rsid w:val="00AD1C42"/>
    <w:rsid w:val="00AD2470"/>
    <w:rsid w:val="00AD249A"/>
    <w:rsid w:val="00AD37AA"/>
    <w:rsid w:val="00AD3815"/>
    <w:rsid w:val="00AD3C9C"/>
    <w:rsid w:val="00AD3EB6"/>
    <w:rsid w:val="00AD3EE1"/>
    <w:rsid w:val="00AD408F"/>
    <w:rsid w:val="00AD4296"/>
    <w:rsid w:val="00AD458F"/>
    <w:rsid w:val="00AD49D9"/>
    <w:rsid w:val="00AD5009"/>
    <w:rsid w:val="00AD5071"/>
    <w:rsid w:val="00AD52A2"/>
    <w:rsid w:val="00AD6806"/>
    <w:rsid w:val="00AD6E9D"/>
    <w:rsid w:val="00AD6EFA"/>
    <w:rsid w:val="00AD70CB"/>
    <w:rsid w:val="00AE040D"/>
    <w:rsid w:val="00AE06F0"/>
    <w:rsid w:val="00AE073E"/>
    <w:rsid w:val="00AE0BC7"/>
    <w:rsid w:val="00AE11AA"/>
    <w:rsid w:val="00AE1244"/>
    <w:rsid w:val="00AE16ED"/>
    <w:rsid w:val="00AE1AEB"/>
    <w:rsid w:val="00AE2134"/>
    <w:rsid w:val="00AE22FD"/>
    <w:rsid w:val="00AE2669"/>
    <w:rsid w:val="00AE297F"/>
    <w:rsid w:val="00AE2FCE"/>
    <w:rsid w:val="00AE3C67"/>
    <w:rsid w:val="00AE4335"/>
    <w:rsid w:val="00AE4341"/>
    <w:rsid w:val="00AE436D"/>
    <w:rsid w:val="00AE4681"/>
    <w:rsid w:val="00AE4789"/>
    <w:rsid w:val="00AE4900"/>
    <w:rsid w:val="00AE4F83"/>
    <w:rsid w:val="00AE5370"/>
    <w:rsid w:val="00AE5883"/>
    <w:rsid w:val="00AE593F"/>
    <w:rsid w:val="00AE5980"/>
    <w:rsid w:val="00AE5A07"/>
    <w:rsid w:val="00AE5F50"/>
    <w:rsid w:val="00AE6717"/>
    <w:rsid w:val="00AE6937"/>
    <w:rsid w:val="00AE6E4C"/>
    <w:rsid w:val="00AE6FAF"/>
    <w:rsid w:val="00AE706E"/>
    <w:rsid w:val="00AE73FA"/>
    <w:rsid w:val="00AE76D0"/>
    <w:rsid w:val="00AE76DA"/>
    <w:rsid w:val="00AE7736"/>
    <w:rsid w:val="00AF005F"/>
    <w:rsid w:val="00AF0223"/>
    <w:rsid w:val="00AF08A7"/>
    <w:rsid w:val="00AF09A8"/>
    <w:rsid w:val="00AF0A8D"/>
    <w:rsid w:val="00AF0B26"/>
    <w:rsid w:val="00AF0FF9"/>
    <w:rsid w:val="00AF1CC9"/>
    <w:rsid w:val="00AF23F5"/>
    <w:rsid w:val="00AF28D8"/>
    <w:rsid w:val="00AF2982"/>
    <w:rsid w:val="00AF29CD"/>
    <w:rsid w:val="00AF2E03"/>
    <w:rsid w:val="00AF3722"/>
    <w:rsid w:val="00AF4626"/>
    <w:rsid w:val="00AF472E"/>
    <w:rsid w:val="00AF4A15"/>
    <w:rsid w:val="00AF4E66"/>
    <w:rsid w:val="00AF4E79"/>
    <w:rsid w:val="00AF5770"/>
    <w:rsid w:val="00AF5C32"/>
    <w:rsid w:val="00AF651C"/>
    <w:rsid w:val="00AF68CB"/>
    <w:rsid w:val="00AF6AA3"/>
    <w:rsid w:val="00AF72D8"/>
    <w:rsid w:val="00AF770B"/>
    <w:rsid w:val="00B00517"/>
    <w:rsid w:val="00B0068D"/>
    <w:rsid w:val="00B00B60"/>
    <w:rsid w:val="00B00DCD"/>
    <w:rsid w:val="00B00E5D"/>
    <w:rsid w:val="00B0163B"/>
    <w:rsid w:val="00B02738"/>
    <w:rsid w:val="00B02E97"/>
    <w:rsid w:val="00B030F2"/>
    <w:rsid w:val="00B0336B"/>
    <w:rsid w:val="00B03D21"/>
    <w:rsid w:val="00B03FF3"/>
    <w:rsid w:val="00B040F6"/>
    <w:rsid w:val="00B0465C"/>
    <w:rsid w:val="00B04724"/>
    <w:rsid w:val="00B04A52"/>
    <w:rsid w:val="00B04BF2"/>
    <w:rsid w:val="00B04C9A"/>
    <w:rsid w:val="00B04DA0"/>
    <w:rsid w:val="00B04F8C"/>
    <w:rsid w:val="00B05146"/>
    <w:rsid w:val="00B05254"/>
    <w:rsid w:val="00B0531E"/>
    <w:rsid w:val="00B058A2"/>
    <w:rsid w:val="00B06303"/>
    <w:rsid w:val="00B0676F"/>
    <w:rsid w:val="00B06EC9"/>
    <w:rsid w:val="00B071CF"/>
    <w:rsid w:val="00B0791B"/>
    <w:rsid w:val="00B07CF7"/>
    <w:rsid w:val="00B07EB2"/>
    <w:rsid w:val="00B11104"/>
    <w:rsid w:val="00B11295"/>
    <w:rsid w:val="00B112FB"/>
    <w:rsid w:val="00B11C4B"/>
    <w:rsid w:val="00B1266E"/>
    <w:rsid w:val="00B131A0"/>
    <w:rsid w:val="00B137DF"/>
    <w:rsid w:val="00B145A5"/>
    <w:rsid w:val="00B14A8D"/>
    <w:rsid w:val="00B14D4D"/>
    <w:rsid w:val="00B15683"/>
    <w:rsid w:val="00B157F2"/>
    <w:rsid w:val="00B159B3"/>
    <w:rsid w:val="00B15A6E"/>
    <w:rsid w:val="00B15E21"/>
    <w:rsid w:val="00B15FD4"/>
    <w:rsid w:val="00B160A2"/>
    <w:rsid w:val="00B162FF"/>
    <w:rsid w:val="00B16319"/>
    <w:rsid w:val="00B16526"/>
    <w:rsid w:val="00B167DD"/>
    <w:rsid w:val="00B16E9A"/>
    <w:rsid w:val="00B174A6"/>
    <w:rsid w:val="00B17E12"/>
    <w:rsid w:val="00B201A7"/>
    <w:rsid w:val="00B2056C"/>
    <w:rsid w:val="00B205D8"/>
    <w:rsid w:val="00B20857"/>
    <w:rsid w:val="00B20E64"/>
    <w:rsid w:val="00B20ECE"/>
    <w:rsid w:val="00B21032"/>
    <w:rsid w:val="00B21511"/>
    <w:rsid w:val="00B21A9B"/>
    <w:rsid w:val="00B21D75"/>
    <w:rsid w:val="00B224AD"/>
    <w:rsid w:val="00B22F3D"/>
    <w:rsid w:val="00B230A8"/>
    <w:rsid w:val="00B23151"/>
    <w:rsid w:val="00B23461"/>
    <w:rsid w:val="00B237D9"/>
    <w:rsid w:val="00B23CA2"/>
    <w:rsid w:val="00B25115"/>
    <w:rsid w:val="00B25578"/>
    <w:rsid w:val="00B25946"/>
    <w:rsid w:val="00B259F1"/>
    <w:rsid w:val="00B25E8E"/>
    <w:rsid w:val="00B2648A"/>
    <w:rsid w:val="00B2657A"/>
    <w:rsid w:val="00B26E8D"/>
    <w:rsid w:val="00B27208"/>
    <w:rsid w:val="00B27387"/>
    <w:rsid w:val="00B27B56"/>
    <w:rsid w:val="00B27B5A"/>
    <w:rsid w:val="00B27C9A"/>
    <w:rsid w:val="00B27E6E"/>
    <w:rsid w:val="00B30146"/>
    <w:rsid w:val="00B3029D"/>
    <w:rsid w:val="00B302D7"/>
    <w:rsid w:val="00B30407"/>
    <w:rsid w:val="00B3045E"/>
    <w:rsid w:val="00B30812"/>
    <w:rsid w:val="00B30AFA"/>
    <w:rsid w:val="00B318C9"/>
    <w:rsid w:val="00B319F9"/>
    <w:rsid w:val="00B31EE9"/>
    <w:rsid w:val="00B326D4"/>
    <w:rsid w:val="00B32724"/>
    <w:rsid w:val="00B32926"/>
    <w:rsid w:val="00B32E7C"/>
    <w:rsid w:val="00B32FF9"/>
    <w:rsid w:val="00B333DA"/>
    <w:rsid w:val="00B341F8"/>
    <w:rsid w:val="00B348C3"/>
    <w:rsid w:val="00B34F5F"/>
    <w:rsid w:val="00B34FD1"/>
    <w:rsid w:val="00B3573A"/>
    <w:rsid w:val="00B3590D"/>
    <w:rsid w:val="00B35B49"/>
    <w:rsid w:val="00B35BCB"/>
    <w:rsid w:val="00B367E5"/>
    <w:rsid w:val="00B36943"/>
    <w:rsid w:val="00B369EA"/>
    <w:rsid w:val="00B36AE7"/>
    <w:rsid w:val="00B36EF1"/>
    <w:rsid w:val="00B37256"/>
    <w:rsid w:val="00B402A3"/>
    <w:rsid w:val="00B40399"/>
    <w:rsid w:val="00B406C0"/>
    <w:rsid w:val="00B40A94"/>
    <w:rsid w:val="00B40CE7"/>
    <w:rsid w:val="00B41129"/>
    <w:rsid w:val="00B4132E"/>
    <w:rsid w:val="00B4163F"/>
    <w:rsid w:val="00B41B91"/>
    <w:rsid w:val="00B41DEB"/>
    <w:rsid w:val="00B42740"/>
    <w:rsid w:val="00B43359"/>
    <w:rsid w:val="00B43577"/>
    <w:rsid w:val="00B43D17"/>
    <w:rsid w:val="00B4437C"/>
    <w:rsid w:val="00B443F0"/>
    <w:rsid w:val="00B4493C"/>
    <w:rsid w:val="00B44C15"/>
    <w:rsid w:val="00B46024"/>
    <w:rsid w:val="00B46F4F"/>
    <w:rsid w:val="00B46F8E"/>
    <w:rsid w:val="00B470C0"/>
    <w:rsid w:val="00B47176"/>
    <w:rsid w:val="00B4719A"/>
    <w:rsid w:val="00B50370"/>
    <w:rsid w:val="00B5048B"/>
    <w:rsid w:val="00B50E8E"/>
    <w:rsid w:val="00B51546"/>
    <w:rsid w:val="00B51BC5"/>
    <w:rsid w:val="00B52205"/>
    <w:rsid w:val="00B522DD"/>
    <w:rsid w:val="00B5297A"/>
    <w:rsid w:val="00B52BEC"/>
    <w:rsid w:val="00B52C7E"/>
    <w:rsid w:val="00B5322D"/>
    <w:rsid w:val="00B53457"/>
    <w:rsid w:val="00B53989"/>
    <w:rsid w:val="00B53D24"/>
    <w:rsid w:val="00B540F3"/>
    <w:rsid w:val="00B547A8"/>
    <w:rsid w:val="00B54CB5"/>
    <w:rsid w:val="00B54D71"/>
    <w:rsid w:val="00B55149"/>
    <w:rsid w:val="00B55326"/>
    <w:rsid w:val="00B554E0"/>
    <w:rsid w:val="00B55C17"/>
    <w:rsid w:val="00B56615"/>
    <w:rsid w:val="00B566A0"/>
    <w:rsid w:val="00B566E5"/>
    <w:rsid w:val="00B568CE"/>
    <w:rsid w:val="00B5692B"/>
    <w:rsid w:val="00B56A3C"/>
    <w:rsid w:val="00B56AB2"/>
    <w:rsid w:val="00B56B4E"/>
    <w:rsid w:val="00B56E40"/>
    <w:rsid w:val="00B56E7B"/>
    <w:rsid w:val="00B57215"/>
    <w:rsid w:val="00B574FE"/>
    <w:rsid w:val="00B57EBE"/>
    <w:rsid w:val="00B60289"/>
    <w:rsid w:val="00B60680"/>
    <w:rsid w:val="00B6089E"/>
    <w:rsid w:val="00B60B25"/>
    <w:rsid w:val="00B615CB"/>
    <w:rsid w:val="00B61A1C"/>
    <w:rsid w:val="00B61FBC"/>
    <w:rsid w:val="00B6219C"/>
    <w:rsid w:val="00B631AF"/>
    <w:rsid w:val="00B63375"/>
    <w:rsid w:val="00B638EC"/>
    <w:rsid w:val="00B64109"/>
    <w:rsid w:val="00B64886"/>
    <w:rsid w:val="00B64EAF"/>
    <w:rsid w:val="00B65389"/>
    <w:rsid w:val="00B657A7"/>
    <w:rsid w:val="00B6589D"/>
    <w:rsid w:val="00B658E7"/>
    <w:rsid w:val="00B669F8"/>
    <w:rsid w:val="00B66BD7"/>
    <w:rsid w:val="00B66DDC"/>
    <w:rsid w:val="00B67036"/>
    <w:rsid w:val="00B67A0F"/>
    <w:rsid w:val="00B67FA6"/>
    <w:rsid w:val="00B70105"/>
    <w:rsid w:val="00B701DC"/>
    <w:rsid w:val="00B703C0"/>
    <w:rsid w:val="00B7081C"/>
    <w:rsid w:val="00B712DF"/>
    <w:rsid w:val="00B7135B"/>
    <w:rsid w:val="00B715D4"/>
    <w:rsid w:val="00B71D3F"/>
    <w:rsid w:val="00B7213E"/>
    <w:rsid w:val="00B725DC"/>
    <w:rsid w:val="00B72806"/>
    <w:rsid w:val="00B732A0"/>
    <w:rsid w:val="00B732D8"/>
    <w:rsid w:val="00B73336"/>
    <w:rsid w:val="00B73576"/>
    <w:rsid w:val="00B73770"/>
    <w:rsid w:val="00B73911"/>
    <w:rsid w:val="00B739FE"/>
    <w:rsid w:val="00B73DB4"/>
    <w:rsid w:val="00B74C02"/>
    <w:rsid w:val="00B74C2F"/>
    <w:rsid w:val="00B75719"/>
    <w:rsid w:val="00B75852"/>
    <w:rsid w:val="00B75A6B"/>
    <w:rsid w:val="00B760F0"/>
    <w:rsid w:val="00B76938"/>
    <w:rsid w:val="00B772F3"/>
    <w:rsid w:val="00B80B3A"/>
    <w:rsid w:val="00B80E6B"/>
    <w:rsid w:val="00B80F42"/>
    <w:rsid w:val="00B8119D"/>
    <w:rsid w:val="00B812A4"/>
    <w:rsid w:val="00B8171D"/>
    <w:rsid w:val="00B8260D"/>
    <w:rsid w:val="00B82DC4"/>
    <w:rsid w:val="00B8425D"/>
    <w:rsid w:val="00B84898"/>
    <w:rsid w:val="00B84BE4"/>
    <w:rsid w:val="00B8569B"/>
    <w:rsid w:val="00B85C19"/>
    <w:rsid w:val="00B85CF0"/>
    <w:rsid w:val="00B86481"/>
    <w:rsid w:val="00B876A1"/>
    <w:rsid w:val="00B87792"/>
    <w:rsid w:val="00B87855"/>
    <w:rsid w:val="00B878D6"/>
    <w:rsid w:val="00B90397"/>
    <w:rsid w:val="00B90859"/>
    <w:rsid w:val="00B919AF"/>
    <w:rsid w:val="00B91A2D"/>
    <w:rsid w:val="00B91D3F"/>
    <w:rsid w:val="00B92954"/>
    <w:rsid w:val="00B92C27"/>
    <w:rsid w:val="00B92CDB"/>
    <w:rsid w:val="00B942EA"/>
    <w:rsid w:val="00B94514"/>
    <w:rsid w:val="00B94908"/>
    <w:rsid w:val="00B9514D"/>
    <w:rsid w:val="00B95A06"/>
    <w:rsid w:val="00B95E37"/>
    <w:rsid w:val="00B966C6"/>
    <w:rsid w:val="00B96A0D"/>
    <w:rsid w:val="00B974A4"/>
    <w:rsid w:val="00B97B81"/>
    <w:rsid w:val="00B97E17"/>
    <w:rsid w:val="00BA01D7"/>
    <w:rsid w:val="00BA0453"/>
    <w:rsid w:val="00BA08C4"/>
    <w:rsid w:val="00BA0F70"/>
    <w:rsid w:val="00BA1241"/>
    <w:rsid w:val="00BA1860"/>
    <w:rsid w:val="00BA1C74"/>
    <w:rsid w:val="00BA277B"/>
    <w:rsid w:val="00BA2B2B"/>
    <w:rsid w:val="00BA3BE7"/>
    <w:rsid w:val="00BA3E31"/>
    <w:rsid w:val="00BA3E5E"/>
    <w:rsid w:val="00BA4907"/>
    <w:rsid w:val="00BA51A0"/>
    <w:rsid w:val="00BA5A04"/>
    <w:rsid w:val="00BA5B69"/>
    <w:rsid w:val="00BA604E"/>
    <w:rsid w:val="00BA6AE7"/>
    <w:rsid w:val="00BA7AC6"/>
    <w:rsid w:val="00BB00B0"/>
    <w:rsid w:val="00BB02C3"/>
    <w:rsid w:val="00BB0976"/>
    <w:rsid w:val="00BB0B9C"/>
    <w:rsid w:val="00BB1148"/>
    <w:rsid w:val="00BB1193"/>
    <w:rsid w:val="00BB1299"/>
    <w:rsid w:val="00BB1461"/>
    <w:rsid w:val="00BB1822"/>
    <w:rsid w:val="00BB1F1F"/>
    <w:rsid w:val="00BB2F36"/>
    <w:rsid w:val="00BB38B7"/>
    <w:rsid w:val="00BB3CE6"/>
    <w:rsid w:val="00BB3F0C"/>
    <w:rsid w:val="00BB4371"/>
    <w:rsid w:val="00BB44B6"/>
    <w:rsid w:val="00BB5201"/>
    <w:rsid w:val="00BB55B3"/>
    <w:rsid w:val="00BB5ADE"/>
    <w:rsid w:val="00BB5DE9"/>
    <w:rsid w:val="00BB634E"/>
    <w:rsid w:val="00BB63EA"/>
    <w:rsid w:val="00BB6BA1"/>
    <w:rsid w:val="00BB6F26"/>
    <w:rsid w:val="00BB710B"/>
    <w:rsid w:val="00BB73F1"/>
    <w:rsid w:val="00BB7919"/>
    <w:rsid w:val="00BB7D05"/>
    <w:rsid w:val="00BC0D0B"/>
    <w:rsid w:val="00BC0E70"/>
    <w:rsid w:val="00BC167A"/>
    <w:rsid w:val="00BC1CAA"/>
    <w:rsid w:val="00BC1E61"/>
    <w:rsid w:val="00BC217D"/>
    <w:rsid w:val="00BC243B"/>
    <w:rsid w:val="00BC2A6D"/>
    <w:rsid w:val="00BC2FFA"/>
    <w:rsid w:val="00BC3244"/>
    <w:rsid w:val="00BC46A6"/>
    <w:rsid w:val="00BC4823"/>
    <w:rsid w:val="00BC4AB5"/>
    <w:rsid w:val="00BC4FB4"/>
    <w:rsid w:val="00BC51AB"/>
    <w:rsid w:val="00BC5715"/>
    <w:rsid w:val="00BC588F"/>
    <w:rsid w:val="00BC5E83"/>
    <w:rsid w:val="00BC5FAF"/>
    <w:rsid w:val="00BC6B77"/>
    <w:rsid w:val="00BD0146"/>
    <w:rsid w:val="00BD079E"/>
    <w:rsid w:val="00BD1111"/>
    <w:rsid w:val="00BD1512"/>
    <w:rsid w:val="00BD1664"/>
    <w:rsid w:val="00BD1D56"/>
    <w:rsid w:val="00BD2200"/>
    <w:rsid w:val="00BD2AEB"/>
    <w:rsid w:val="00BD363C"/>
    <w:rsid w:val="00BD3CB4"/>
    <w:rsid w:val="00BD4259"/>
    <w:rsid w:val="00BD42D5"/>
    <w:rsid w:val="00BD43AF"/>
    <w:rsid w:val="00BD44BF"/>
    <w:rsid w:val="00BD4566"/>
    <w:rsid w:val="00BD5376"/>
    <w:rsid w:val="00BD6019"/>
    <w:rsid w:val="00BD61A1"/>
    <w:rsid w:val="00BD64B0"/>
    <w:rsid w:val="00BD64CA"/>
    <w:rsid w:val="00BD6A2F"/>
    <w:rsid w:val="00BD6D0E"/>
    <w:rsid w:val="00BD74CE"/>
    <w:rsid w:val="00BE0E5C"/>
    <w:rsid w:val="00BE1230"/>
    <w:rsid w:val="00BE189F"/>
    <w:rsid w:val="00BE1A42"/>
    <w:rsid w:val="00BE1A73"/>
    <w:rsid w:val="00BE1E68"/>
    <w:rsid w:val="00BE2250"/>
    <w:rsid w:val="00BE2301"/>
    <w:rsid w:val="00BE2441"/>
    <w:rsid w:val="00BE2E42"/>
    <w:rsid w:val="00BE38F5"/>
    <w:rsid w:val="00BE3A3B"/>
    <w:rsid w:val="00BE3E30"/>
    <w:rsid w:val="00BE4432"/>
    <w:rsid w:val="00BE4757"/>
    <w:rsid w:val="00BE52B8"/>
    <w:rsid w:val="00BE5C4F"/>
    <w:rsid w:val="00BE5F48"/>
    <w:rsid w:val="00BE6536"/>
    <w:rsid w:val="00BE6827"/>
    <w:rsid w:val="00BE6FE1"/>
    <w:rsid w:val="00BE700B"/>
    <w:rsid w:val="00BE729A"/>
    <w:rsid w:val="00BE7541"/>
    <w:rsid w:val="00BE7EEE"/>
    <w:rsid w:val="00BE7F42"/>
    <w:rsid w:val="00BF0171"/>
    <w:rsid w:val="00BF0289"/>
    <w:rsid w:val="00BF063F"/>
    <w:rsid w:val="00BF07DF"/>
    <w:rsid w:val="00BF0BA1"/>
    <w:rsid w:val="00BF0D23"/>
    <w:rsid w:val="00BF0E1A"/>
    <w:rsid w:val="00BF1234"/>
    <w:rsid w:val="00BF14C7"/>
    <w:rsid w:val="00BF1788"/>
    <w:rsid w:val="00BF1F93"/>
    <w:rsid w:val="00BF214A"/>
    <w:rsid w:val="00BF2265"/>
    <w:rsid w:val="00BF2F67"/>
    <w:rsid w:val="00BF31B0"/>
    <w:rsid w:val="00BF36C0"/>
    <w:rsid w:val="00BF38D5"/>
    <w:rsid w:val="00BF3E51"/>
    <w:rsid w:val="00BF4139"/>
    <w:rsid w:val="00BF4417"/>
    <w:rsid w:val="00BF4AFB"/>
    <w:rsid w:val="00BF5605"/>
    <w:rsid w:val="00BF5F50"/>
    <w:rsid w:val="00BF6FC1"/>
    <w:rsid w:val="00BF7109"/>
    <w:rsid w:val="00BF7951"/>
    <w:rsid w:val="00BF79B2"/>
    <w:rsid w:val="00BF7DD8"/>
    <w:rsid w:val="00BF7FD9"/>
    <w:rsid w:val="00C00763"/>
    <w:rsid w:val="00C00C65"/>
    <w:rsid w:val="00C0120E"/>
    <w:rsid w:val="00C01256"/>
    <w:rsid w:val="00C0143F"/>
    <w:rsid w:val="00C01A7F"/>
    <w:rsid w:val="00C020BB"/>
    <w:rsid w:val="00C02130"/>
    <w:rsid w:val="00C02251"/>
    <w:rsid w:val="00C02AD0"/>
    <w:rsid w:val="00C02B47"/>
    <w:rsid w:val="00C03EC1"/>
    <w:rsid w:val="00C046B0"/>
    <w:rsid w:val="00C047F7"/>
    <w:rsid w:val="00C05032"/>
    <w:rsid w:val="00C0503C"/>
    <w:rsid w:val="00C0507E"/>
    <w:rsid w:val="00C0559A"/>
    <w:rsid w:val="00C055F1"/>
    <w:rsid w:val="00C05708"/>
    <w:rsid w:val="00C05961"/>
    <w:rsid w:val="00C06228"/>
    <w:rsid w:val="00C0628F"/>
    <w:rsid w:val="00C06496"/>
    <w:rsid w:val="00C06729"/>
    <w:rsid w:val="00C06E42"/>
    <w:rsid w:val="00C0708D"/>
    <w:rsid w:val="00C070FD"/>
    <w:rsid w:val="00C07171"/>
    <w:rsid w:val="00C07C62"/>
    <w:rsid w:val="00C10938"/>
    <w:rsid w:val="00C10AFD"/>
    <w:rsid w:val="00C10EA6"/>
    <w:rsid w:val="00C1137F"/>
    <w:rsid w:val="00C126A8"/>
    <w:rsid w:val="00C134DD"/>
    <w:rsid w:val="00C144A1"/>
    <w:rsid w:val="00C147EE"/>
    <w:rsid w:val="00C154E7"/>
    <w:rsid w:val="00C157F0"/>
    <w:rsid w:val="00C16588"/>
    <w:rsid w:val="00C169A6"/>
    <w:rsid w:val="00C20833"/>
    <w:rsid w:val="00C20A4D"/>
    <w:rsid w:val="00C20CA3"/>
    <w:rsid w:val="00C21172"/>
    <w:rsid w:val="00C211E2"/>
    <w:rsid w:val="00C21202"/>
    <w:rsid w:val="00C2152C"/>
    <w:rsid w:val="00C21618"/>
    <w:rsid w:val="00C21935"/>
    <w:rsid w:val="00C219F5"/>
    <w:rsid w:val="00C21A18"/>
    <w:rsid w:val="00C222CA"/>
    <w:rsid w:val="00C22373"/>
    <w:rsid w:val="00C22486"/>
    <w:rsid w:val="00C23334"/>
    <w:rsid w:val="00C23C5E"/>
    <w:rsid w:val="00C23DAE"/>
    <w:rsid w:val="00C2404A"/>
    <w:rsid w:val="00C24053"/>
    <w:rsid w:val="00C24AC7"/>
    <w:rsid w:val="00C24ADD"/>
    <w:rsid w:val="00C257C1"/>
    <w:rsid w:val="00C25A9B"/>
    <w:rsid w:val="00C25F65"/>
    <w:rsid w:val="00C268DD"/>
    <w:rsid w:val="00C2793E"/>
    <w:rsid w:val="00C27A8F"/>
    <w:rsid w:val="00C27D17"/>
    <w:rsid w:val="00C3003E"/>
    <w:rsid w:val="00C30094"/>
    <w:rsid w:val="00C30622"/>
    <w:rsid w:val="00C3134E"/>
    <w:rsid w:val="00C31F96"/>
    <w:rsid w:val="00C324AC"/>
    <w:rsid w:val="00C329F0"/>
    <w:rsid w:val="00C32BEB"/>
    <w:rsid w:val="00C33405"/>
    <w:rsid w:val="00C33581"/>
    <w:rsid w:val="00C33896"/>
    <w:rsid w:val="00C33CBE"/>
    <w:rsid w:val="00C345D6"/>
    <w:rsid w:val="00C34700"/>
    <w:rsid w:val="00C34B07"/>
    <w:rsid w:val="00C34B3F"/>
    <w:rsid w:val="00C34B4D"/>
    <w:rsid w:val="00C35D84"/>
    <w:rsid w:val="00C35FCA"/>
    <w:rsid w:val="00C35FEB"/>
    <w:rsid w:val="00C3710F"/>
    <w:rsid w:val="00C37139"/>
    <w:rsid w:val="00C371C3"/>
    <w:rsid w:val="00C3734C"/>
    <w:rsid w:val="00C37F83"/>
    <w:rsid w:val="00C40056"/>
    <w:rsid w:val="00C40180"/>
    <w:rsid w:val="00C40294"/>
    <w:rsid w:val="00C405D2"/>
    <w:rsid w:val="00C40EBB"/>
    <w:rsid w:val="00C40ED8"/>
    <w:rsid w:val="00C40EDD"/>
    <w:rsid w:val="00C41119"/>
    <w:rsid w:val="00C415B8"/>
    <w:rsid w:val="00C41B38"/>
    <w:rsid w:val="00C41F73"/>
    <w:rsid w:val="00C422A4"/>
    <w:rsid w:val="00C42B16"/>
    <w:rsid w:val="00C42F98"/>
    <w:rsid w:val="00C43309"/>
    <w:rsid w:val="00C4360E"/>
    <w:rsid w:val="00C43D38"/>
    <w:rsid w:val="00C446DA"/>
    <w:rsid w:val="00C4489A"/>
    <w:rsid w:val="00C44C7A"/>
    <w:rsid w:val="00C45074"/>
    <w:rsid w:val="00C45676"/>
    <w:rsid w:val="00C456D1"/>
    <w:rsid w:val="00C45D63"/>
    <w:rsid w:val="00C45DD6"/>
    <w:rsid w:val="00C45F74"/>
    <w:rsid w:val="00C46069"/>
    <w:rsid w:val="00C46508"/>
    <w:rsid w:val="00C46B09"/>
    <w:rsid w:val="00C46B1E"/>
    <w:rsid w:val="00C46BA1"/>
    <w:rsid w:val="00C47981"/>
    <w:rsid w:val="00C47AE2"/>
    <w:rsid w:val="00C47EE5"/>
    <w:rsid w:val="00C5086E"/>
    <w:rsid w:val="00C5090A"/>
    <w:rsid w:val="00C51C7C"/>
    <w:rsid w:val="00C52144"/>
    <w:rsid w:val="00C52910"/>
    <w:rsid w:val="00C52ACF"/>
    <w:rsid w:val="00C52C46"/>
    <w:rsid w:val="00C5388F"/>
    <w:rsid w:val="00C53E4F"/>
    <w:rsid w:val="00C54086"/>
    <w:rsid w:val="00C541EB"/>
    <w:rsid w:val="00C54C49"/>
    <w:rsid w:val="00C5547D"/>
    <w:rsid w:val="00C55A09"/>
    <w:rsid w:val="00C55E7A"/>
    <w:rsid w:val="00C564A9"/>
    <w:rsid w:val="00C5657D"/>
    <w:rsid w:val="00C56748"/>
    <w:rsid w:val="00C56B0D"/>
    <w:rsid w:val="00C56CFF"/>
    <w:rsid w:val="00C56DDC"/>
    <w:rsid w:val="00C56DF2"/>
    <w:rsid w:val="00C572CC"/>
    <w:rsid w:val="00C57479"/>
    <w:rsid w:val="00C57604"/>
    <w:rsid w:val="00C57C04"/>
    <w:rsid w:val="00C57F4F"/>
    <w:rsid w:val="00C61004"/>
    <w:rsid w:val="00C612BC"/>
    <w:rsid w:val="00C615A4"/>
    <w:rsid w:val="00C61B2A"/>
    <w:rsid w:val="00C62709"/>
    <w:rsid w:val="00C62C70"/>
    <w:rsid w:val="00C63738"/>
    <w:rsid w:val="00C642E5"/>
    <w:rsid w:val="00C644AD"/>
    <w:rsid w:val="00C65068"/>
    <w:rsid w:val="00C65976"/>
    <w:rsid w:val="00C65BB9"/>
    <w:rsid w:val="00C65F28"/>
    <w:rsid w:val="00C6627E"/>
    <w:rsid w:val="00C66295"/>
    <w:rsid w:val="00C66864"/>
    <w:rsid w:val="00C670B3"/>
    <w:rsid w:val="00C67B82"/>
    <w:rsid w:val="00C70801"/>
    <w:rsid w:val="00C70CA1"/>
    <w:rsid w:val="00C7144B"/>
    <w:rsid w:val="00C714B5"/>
    <w:rsid w:val="00C71B49"/>
    <w:rsid w:val="00C71E84"/>
    <w:rsid w:val="00C72270"/>
    <w:rsid w:val="00C72851"/>
    <w:rsid w:val="00C73487"/>
    <w:rsid w:val="00C73A66"/>
    <w:rsid w:val="00C741BD"/>
    <w:rsid w:val="00C746C8"/>
    <w:rsid w:val="00C75454"/>
    <w:rsid w:val="00C759B8"/>
    <w:rsid w:val="00C75A02"/>
    <w:rsid w:val="00C75C70"/>
    <w:rsid w:val="00C772C0"/>
    <w:rsid w:val="00C77323"/>
    <w:rsid w:val="00C775EA"/>
    <w:rsid w:val="00C778E9"/>
    <w:rsid w:val="00C779EC"/>
    <w:rsid w:val="00C77AB1"/>
    <w:rsid w:val="00C80201"/>
    <w:rsid w:val="00C809AB"/>
    <w:rsid w:val="00C809C6"/>
    <w:rsid w:val="00C80B8E"/>
    <w:rsid w:val="00C80ED6"/>
    <w:rsid w:val="00C81423"/>
    <w:rsid w:val="00C81C1F"/>
    <w:rsid w:val="00C81E74"/>
    <w:rsid w:val="00C8201D"/>
    <w:rsid w:val="00C82389"/>
    <w:rsid w:val="00C8244B"/>
    <w:rsid w:val="00C829EF"/>
    <w:rsid w:val="00C82ED4"/>
    <w:rsid w:val="00C83DDB"/>
    <w:rsid w:val="00C83F5E"/>
    <w:rsid w:val="00C84359"/>
    <w:rsid w:val="00C845EF"/>
    <w:rsid w:val="00C855F4"/>
    <w:rsid w:val="00C85AAE"/>
    <w:rsid w:val="00C85E7E"/>
    <w:rsid w:val="00C86274"/>
    <w:rsid w:val="00C86474"/>
    <w:rsid w:val="00C86B8A"/>
    <w:rsid w:val="00C86DBD"/>
    <w:rsid w:val="00C87059"/>
    <w:rsid w:val="00C877D5"/>
    <w:rsid w:val="00C87812"/>
    <w:rsid w:val="00C87ED3"/>
    <w:rsid w:val="00C901E8"/>
    <w:rsid w:val="00C9093E"/>
    <w:rsid w:val="00C90A0C"/>
    <w:rsid w:val="00C90FAA"/>
    <w:rsid w:val="00C91B7B"/>
    <w:rsid w:val="00C91DB1"/>
    <w:rsid w:val="00C9344B"/>
    <w:rsid w:val="00C935FE"/>
    <w:rsid w:val="00C93691"/>
    <w:rsid w:val="00C93B97"/>
    <w:rsid w:val="00C9425B"/>
    <w:rsid w:val="00C94874"/>
    <w:rsid w:val="00C94D5F"/>
    <w:rsid w:val="00C9583D"/>
    <w:rsid w:val="00C96209"/>
    <w:rsid w:val="00C96F7B"/>
    <w:rsid w:val="00C971D2"/>
    <w:rsid w:val="00C973F5"/>
    <w:rsid w:val="00CA01B0"/>
    <w:rsid w:val="00CA048F"/>
    <w:rsid w:val="00CA0775"/>
    <w:rsid w:val="00CA0D27"/>
    <w:rsid w:val="00CA11E6"/>
    <w:rsid w:val="00CA1579"/>
    <w:rsid w:val="00CA1A0C"/>
    <w:rsid w:val="00CA2014"/>
    <w:rsid w:val="00CA25E8"/>
    <w:rsid w:val="00CA261B"/>
    <w:rsid w:val="00CA33E3"/>
    <w:rsid w:val="00CA364E"/>
    <w:rsid w:val="00CA380B"/>
    <w:rsid w:val="00CA41FD"/>
    <w:rsid w:val="00CA4638"/>
    <w:rsid w:val="00CA472E"/>
    <w:rsid w:val="00CA4E22"/>
    <w:rsid w:val="00CA53D2"/>
    <w:rsid w:val="00CA5410"/>
    <w:rsid w:val="00CA5706"/>
    <w:rsid w:val="00CA5BAD"/>
    <w:rsid w:val="00CA5C02"/>
    <w:rsid w:val="00CA5DB7"/>
    <w:rsid w:val="00CA5E63"/>
    <w:rsid w:val="00CA5EBA"/>
    <w:rsid w:val="00CA6440"/>
    <w:rsid w:val="00CA6A1C"/>
    <w:rsid w:val="00CA6E86"/>
    <w:rsid w:val="00CA6F2B"/>
    <w:rsid w:val="00CA7BC7"/>
    <w:rsid w:val="00CA7C86"/>
    <w:rsid w:val="00CA7D1C"/>
    <w:rsid w:val="00CA7F72"/>
    <w:rsid w:val="00CA7FB9"/>
    <w:rsid w:val="00CB028E"/>
    <w:rsid w:val="00CB0838"/>
    <w:rsid w:val="00CB0C67"/>
    <w:rsid w:val="00CB1263"/>
    <w:rsid w:val="00CB1703"/>
    <w:rsid w:val="00CB1AE7"/>
    <w:rsid w:val="00CB224A"/>
    <w:rsid w:val="00CB28EF"/>
    <w:rsid w:val="00CB28F3"/>
    <w:rsid w:val="00CB2B0F"/>
    <w:rsid w:val="00CB2CFA"/>
    <w:rsid w:val="00CB3231"/>
    <w:rsid w:val="00CB3FE6"/>
    <w:rsid w:val="00CB4186"/>
    <w:rsid w:val="00CB49BC"/>
    <w:rsid w:val="00CB5334"/>
    <w:rsid w:val="00CB55F5"/>
    <w:rsid w:val="00CB59F3"/>
    <w:rsid w:val="00CB5F45"/>
    <w:rsid w:val="00CB5F92"/>
    <w:rsid w:val="00CB683C"/>
    <w:rsid w:val="00CB767B"/>
    <w:rsid w:val="00CB772A"/>
    <w:rsid w:val="00CB7763"/>
    <w:rsid w:val="00CC054E"/>
    <w:rsid w:val="00CC0888"/>
    <w:rsid w:val="00CC0E19"/>
    <w:rsid w:val="00CC1775"/>
    <w:rsid w:val="00CC17B2"/>
    <w:rsid w:val="00CC1B1E"/>
    <w:rsid w:val="00CC1E67"/>
    <w:rsid w:val="00CC1EF4"/>
    <w:rsid w:val="00CC1FA0"/>
    <w:rsid w:val="00CC27B3"/>
    <w:rsid w:val="00CC3060"/>
    <w:rsid w:val="00CC32E1"/>
    <w:rsid w:val="00CC446E"/>
    <w:rsid w:val="00CC463F"/>
    <w:rsid w:val="00CC4851"/>
    <w:rsid w:val="00CC4A21"/>
    <w:rsid w:val="00CC4DD0"/>
    <w:rsid w:val="00CC5B39"/>
    <w:rsid w:val="00CC5ECB"/>
    <w:rsid w:val="00CC661B"/>
    <w:rsid w:val="00CC6B2D"/>
    <w:rsid w:val="00CC6B37"/>
    <w:rsid w:val="00CC70C8"/>
    <w:rsid w:val="00CC7166"/>
    <w:rsid w:val="00CC71A3"/>
    <w:rsid w:val="00CC780B"/>
    <w:rsid w:val="00CC7E5C"/>
    <w:rsid w:val="00CD0219"/>
    <w:rsid w:val="00CD0397"/>
    <w:rsid w:val="00CD06B5"/>
    <w:rsid w:val="00CD111E"/>
    <w:rsid w:val="00CD19AD"/>
    <w:rsid w:val="00CD1A67"/>
    <w:rsid w:val="00CD1AC6"/>
    <w:rsid w:val="00CD2381"/>
    <w:rsid w:val="00CD28EF"/>
    <w:rsid w:val="00CD3640"/>
    <w:rsid w:val="00CD3B53"/>
    <w:rsid w:val="00CD4203"/>
    <w:rsid w:val="00CD48E0"/>
    <w:rsid w:val="00CD49C8"/>
    <w:rsid w:val="00CD4DBB"/>
    <w:rsid w:val="00CD59CF"/>
    <w:rsid w:val="00CD6B34"/>
    <w:rsid w:val="00CD7518"/>
    <w:rsid w:val="00CE0040"/>
    <w:rsid w:val="00CE0586"/>
    <w:rsid w:val="00CE0AB0"/>
    <w:rsid w:val="00CE12DA"/>
    <w:rsid w:val="00CE14AC"/>
    <w:rsid w:val="00CE1C7E"/>
    <w:rsid w:val="00CE26DD"/>
    <w:rsid w:val="00CE2DB3"/>
    <w:rsid w:val="00CE2FFA"/>
    <w:rsid w:val="00CE3386"/>
    <w:rsid w:val="00CE34AA"/>
    <w:rsid w:val="00CE35BD"/>
    <w:rsid w:val="00CE35F4"/>
    <w:rsid w:val="00CE3844"/>
    <w:rsid w:val="00CE3B56"/>
    <w:rsid w:val="00CE3FED"/>
    <w:rsid w:val="00CE4146"/>
    <w:rsid w:val="00CE49CE"/>
    <w:rsid w:val="00CE4B9E"/>
    <w:rsid w:val="00CE4F88"/>
    <w:rsid w:val="00CE64AD"/>
    <w:rsid w:val="00CE6E0F"/>
    <w:rsid w:val="00CE6FEC"/>
    <w:rsid w:val="00CE75D6"/>
    <w:rsid w:val="00CF009B"/>
    <w:rsid w:val="00CF04A7"/>
    <w:rsid w:val="00CF0670"/>
    <w:rsid w:val="00CF09C0"/>
    <w:rsid w:val="00CF14EE"/>
    <w:rsid w:val="00CF18A2"/>
    <w:rsid w:val="00CF1B4C"/>
    <w:rsid w:val="00CF1D90"/>
    <w:rsid w:val="00CF2A87"/>
    <w:rsid w:val="00CF2D15"/>
    <w:rsid w:val="00CF39B2"/>
    <w:rsid w:val="00CF3F21"/>
    <w:rsid w:val="00CF4347"/>
    <w:rsid w:val="00CF4633"/>
    <w:rsid w:val="00CF4CE1"/>
    <w:rsid w:val="00CF56E7"/>
    <w:rsid w:val="00CF57D6"/>
    <w:rsid w:val="00CF58F2"/>
    <w:rsid w:val="00CF5903"/>
    <w:rsid w:val="00CF59DA"/>
    <w:rsid w:val="00CF5FD9"/>
    <w:rsid w:val="00CF640E"/>
    <w:rsid w:val="00CF6739"/>
    <w:rsid w:val="00CF6886"/>
    <w:rsid w:val="00CF7B2B"/>
    <w:rsid w:val="00CF7C5C"/>
    <w:rsid w:val="00D00413"/>
    <w:rsid w:val="00D004D6"/>
    <w:rsid w:val="00D009C8"/>
    <w:rsid w:val="00D00F4D"/>
    <w:rsid w:val="00D01160"/>
    <w:rsid w:val="00D013D6"/>
    <w:rsid w:val="00D01528"/>
    <w:rsid w:val="00D0170A"/>
    <w:rsid w:val="00D0186B"/>
    <w:rsid w:val="00D01D11"/>
    <w:rsid w:val="00D02165"/>
    <w:rsid w:val="00D02CF5"/>
    <w:rsid w:val="00D033DE"/>
    <w:rsid w:val="00D03898"/>
    <w:rsid w:val="00D039F4"/>
    <w:rsid w:val="00D03DB3"/>
    <w:rsid w:val="00D03F54"/>
    <w:rsid w:val="00D042D0"/>
    <w:rsid w:val="00D0460F"/>
    <w:rsid w:val="00D04F99"/>
    <w:rsid w:val="00D05681"/>
    <w:rsid w:val="00D05782"/>
    <w:rsid w:val="00D05CAD"/>
    <w:rsid w:val="00D05E09"/>
    <w:rsid w:val="00D0609C"/>
    <w:rsid w:val="00D06E28"/>
    <w:rsid w:val="00D072A3"/>
    <w:rsid w:val="00D07435"/>
    <w:rsid w:val="00D07454"/>
    <w:rsid w:val="00D07644"/>
    <w:rsid w:val="00D078E8"/>
    <w:rsid w:val="00D07BAE"/>
    <w:rsid w:val="00D114BB"/>
    <w:rsid w:val="00D11C02"/>
    <w:rsid w:val="00D11FAD"/>
    <w:rsid w:val="00D1208F"/>
    <w:rsid w:val="00D121EA"/>
    <w:rsid w:val="00D1248B"/>
    <w:rsid w:val="00D12689"/>
    <w:rsid w:val="00D128FC"/>
    <w:rsid w:val="00D12E8D"/>
    <w:rsid w:val="00D1303F"/>
    <w:rsid w:val="00D13448"/>
    <w:rsid w:val="00D1344A"/>
    <w:rsid w:val="00D1471B"/>
    <w:rsid w:val="00D1486A"/>
    <w:rsid w:val="00D15314"/>
    <w:rsid w:val="00D158FA"/>
    <w:rsid w:val="00D15D78"/>
    <w:rsid w:val="00D16137"/>
    <w:rsid w:val="00D1678A"/>
    <w:rsid w:val="00D171E0"/>
    <w:rsid w:val="00D17C88"/>
    <w:rsid w:val="00D201DD"/>
    <w:rsid w:val="00D206E4"/>
    <w:rsid w:val="00D2083C"/>
    <w:rsid w:val="00D212B8"/>
    <w:rsid w:val="00D21598"/>
    <w:rsid w:val="00D21EBC"/>
    <w:rsid w:val="00D22531"/>
    <w:rsid w:val="00D22D70"/>
    <w:rsid w:val="00D23370"/>
    <w:rsid w:val="00D24558"/>
    <w:rsid w:val="00D24560"/>
    <w:rsid w:val="00D248C5"/>
    <w:rsid w:val="00D24BFA"/>
    <w:rsid w:val="00D24DB6"/>
    <w:rsid w:val="00D25025"/>
    <w:rsid w:val="00D253D2"/>
    <w:rsid w:val="00D25C8A"/>
    <w:rsid w:val="00D25DBE"/>
    <w:rsid w:val="00D304A7"/>
    <w:rsid w:val="00D309CF"/>
    <w:rsid w:val="00D30FD7"/>
    <w:rsid w:val="00D31081"/>
    <w:rsid w:val="00D31232"/>
    <w:rsid w:val="00D3144D"/>
    <w:rsid w:val="00D31549"/>
    <w:rsid w:val="00D3196D"/>
    <w:rsid w:val="00D31E4C"/>
    <w:rsid w:val="00D326C4"/>
    <w:rsid w:val="00D32737"/>
    <w:rsid w:val="00D32F48"/>
    <w:rsid w:val="00D33343"/>
    <w:rsid w:val="00D335B5"/>
    <w:rsid w:val="00D3373A"/>
    <w:rsid w:val="00D33D0C"/>
    <w:rsid w:val="00D34134"/>
    <w:rsid w:val="00D3435F"/>
    <w:rsid w:val="00D352E9"/>
    <w:rsid w:val="00D363EB"/>
    <w:rsid w:val="00D36639"/>
    <w:rsid w:val="00D36C44"/>
    <w:rsid w:val="00D36CB3"/>
    <w:rsid w:val="00D375FE"/>
    <w:rsid w:val="00D37643"/>
    <w:rsid w:val="00D37BE8"/>
    <w:rsid w:val="00D37D30"/>
    <w:rsid w:val="00D37F35"/>
    <w:rsid w:val="00D4091E"/>
    <w:rsid w:val="00D40A5A"/>
    <w:rsid w:val="00D418D9"/>
    <w:rsid w:val="00D41979"/>
    <w:rsid w:val="00D419BB"/>
    <w:rsid w:val="00D4223A"/>
    <w:rsid w:val="00D42E7C"/>
    <w:rsid w:val="00D435E3"/>
    <w:rsid w:val="00D436EB"/>
    <w:rsid w:val="00D439DA"/>
    <w:rsid w:val="00D43ACF"/>
    <w:rsid w:val="00D43B65"/>
    <w:rsid w:val="00D44395"/>
    <w:rsid w:val="00D44487"/>
    <w:rsid w:val="00D446FD"/>
    <w:rsid w:val="00D4488B"/>
    <w:rsid w:val="00D44D70"/>
    <w:rsid w:val="00D44E6C"/>
    <w:rsid w:val="00D44EE0"/>
    <w:rsid w:val="00D454A0"/>
    <w:rsid w:val="00D45893"/>
    <w:rsid w:val="00D45AEE"/>
    <w:rsid w:val="00D45B0F"/>
    <w:rsid w:val="00D45B60"/>
    <w:rsid w:val="00D45C71"/>
    <w:rsid w:val="00D46987"/>
    <w:rsid w:val="00D4737B"/>
    <w:rsid w:val="00D474E8"/>
    <w:rsid w:val="00D47B49"/>
    <w:rsid w:val="00D5018C"/>
    <w:rsid w:val="00D50F65"/>
    <w:rsid w:val="00D5127D"/>
    <w:rsid w:val="00D515ED"/>
    <w:rsid w:val="00D518A6"/>
    <w:rsid w:val="00D52089"/>
    <w:rsid w:val="00D5244F"/>
    <w:rsid w:val="00D52586"/>
    <w:rsid w:val="00D53139"/>
    <w:rsid w:val="00D53179"/>
    <w:rsid w:val="00D531EC"/>
    <w:rsid w:val="00D53BC0"/>
    <w:rsid w:val="00D53E62"/>
    <w:rsid w:val="00D54257"/>
    <w:rsid w:val="00D546BA"/>
    <w:rsid w:val="00D54B9F"/>
    <w:rsid w:val="00D54D32"/>
    <w:rsid w:val="00D554F6"/>
    <w:rsid w:val="00D55C2E"/>
    <w:rsid w:val="00D56A93"/>
    <w:rsid w:val="00D56B24"/>
    <w:rsid w:val="00D56BB2"/>
    <w:rsid w:val="00D56C57"/>
    <w:rsid w:val="00D5703E"/>
    <w:rsid w:val="00D57503"/>
    <w:rsid w:val="00D5753E"/>
    <w:rsid w:val="00D57B7D"/>
    <w:rsid w:val="00D57BD2"/>
    <w:rsid w:val="00D57CC7"/>
    <w:rsid w:val="00D607A1"/>
    <w:rsid w:val="00D60819"/>
    <w:rsid w:val="00D609A8"/>
    <w:rsid w:val="00D610BD"/>
    <w:rsid w:val="00D61296"/>
    <w:rsid w:val="00D61532"/>
    <w:rsid w:val="00D61986"/>
    <w:rsid w:val="00D61B6F"/>
    <w:rsid w:val="00D61E9E"/>
    <w:rsid w:val="00D61F97"/>
    <w:rsid w:val="00D624E8"/>
    <w:rsid w:val="00D62DA7"/>
    <w:rsid w:val="00D62DC9"/>
    <w:rsid w:val="00D631C1"/>
    <w:rsid w:val="00D63CE0"/>
    <w:rsid w:val="00D64E50"/>
    <w:rsid w:val="00D6507E"/>
    <w:rsid w:val="00D66346"/>
    <w:rsid w:val="00D6640B"/>
    <w:rsid w:val="00D672A0"/>
    <w:rsid w:val="00D701E7"/>
    <w:rsid w:val="00D7066F"/>
    <w:rsid w:val="00D707C0"/>
    <w:rsid w:val="00D70A2B"/>
    <w:rsid w:val="00D71724"/>
    <w:rsid w:val="00D71E9C"/>
    <w:rsid w:val="00D71EAD"/>
    <w:rsid w:val="00D72291"/>
    <w:rsid w:val="00D72D9F"/>
    <w:rsid w:val="00D736AE"/>
    <w:rsid w:val="00D73EEF"/>
    <w:rsid w:val="00D747C9"/>
    <w:rsid w:val="00D74B49"/>
    <w:rsid w:val="00D75185"/>
    <w:rsid w:val="00D756F5"/>
    <w:rsid w:val="00D757DD"/>
    <w:rsid w:val="00D75C48"/>
    <w:rsid w:val="00D76451"/>
    <w:rsid w:val="00D764D1"/>
    <w:rsid w:val="00D76DC5"/>
    <w:rsid w:val="00D76DC6"/>
    <w:rsid w:val="00D76E19"/>
    <w:rsid w:val="00D77386"/>
    <w:rsid w:val="00D77D9F"/>
    <w:rsid w:val="00D802F3"/>
    <w:rsid w:val="00D8070D"/>
    <w:rsid w:val="00D808CD"/>
    <w:rsid w:val="00D80EA0"/>
    <w:rsid w:val="00D81C9F"/>
    <w:rsid w:val="00D81ED6"/>
    <w:rsid w:val="00D822CF"/>
    <w:rsid w:val="00D827BC"/>
    <w:rsid w:val="00D82A92"/>
    <w:rsid w:val="00D82CC5"/>
    <w:rsid w:val="00D82DAB"/>
    <w:rsid w:val="00D83072"/>
    <w:rsid w:val="00D835FC"/>
    <w:rsid w:val="00D83A2B"/>
    <w:rsid w:val="00D83ACB"/>
    <w:rsid w:val="00D842BB"/>
    <w:rsid w:val="00D84525"/>
    <w:rsid w:val="00D84BA1"/>
    <w:rsid w:val="00D855E1"/>
    <w:rsid w:val="00D85712"/>
    <w:rsid w:val="00D85858"/>
    <w:rsid w:val="00D85AFD"/>
    <w:rsid w:val="00D85E99"/>
    <w:rsid w:val="00D86675"/>
    <w:rsid w:val="00D86F26"/>
    <w:rsid w:val="00D87568"/>
    <w:rsid w:val="00D876C2"/>
    <w:rsid w:val="00D8775D"/>
    <w:rsid w:val="00D8788A"/>
    <w:rsid w:val="00D900F2"/>
    <w:rsid w:val="00D902F8"/>
    <w:rsid w:val="00D90350"/>
    <w:rsid w:val="00D90409"/>
    <w:rsid w:val="00D9067B"/>
    <w:rsid w:val="00D908FD"/>
    <w:rsid w:val="00D90A0C"/>
    <w:rsid w:val="00D90B0F"/>
    <w:rsid w:val="00D90CCD"/>
    <w:rsid w:val="00D90F43"/>
    <w:rsid w:val="00D9111B"/>
    <w:rsid w:val="00D916A2"/>
    <w:rsid w:val="00D91A6C"/>
    <w:rsid w:val="00D91B52"/>
    <w:rsid w:val="00D934CA"/>
    <w:rsid w:val="00D93DED"/>
    <w:rsid w:val="00D9408F"/>
    <w:rsid w:val="00D945B4"/>
    <w:rsid w:val="00D94F11"/>
    <w:rsid w:val="00D94F91"/>
    <w:rsid w:val="00D950CE"/>
    <w:rsid w:val="00D95A75"/>
    <w:rsid w:val="00D96BFC"/>
    <w:rsid w:val="00D9764E"/>
    <w:rsid w:val="00D9769B"/>
    <w:rsid w:val="00D97870"/>
    <w:rsid w:val="00DA0FC8"/>
    <w:rsid w:val="00DA14A3"/>
    <w:rsid w:val="00DA14EB"/>
    <w:rsid w:val="00DA273A"/>
    <w:rsid w:val="00DA2835"/>
    <w:rsid w:val="00DA2AB5"/>
    <w:rsid w:val="00DA32FF"/>
    <w:rsid w:val="00DA3421"/>
    <w:rsid w:val="00DA40B0"/>
    <w:rsid w:val="00DA496D"/>
    <w:rsid w:val="00DA5146"/>
    <w:rsid w:val="00DA5455"/>
    <w:rsid w:val="00DA5AA5"/>
    <w:rsid w:val="00DA5C7D"/>
    <w:rsid w:val="00DA66AC"/>
    <w:rsid w:val="00DA6787"/>
    <w:rsid w:val="00DA7854"/>
    <w:rsid w:val="00DA7BB3"/>
    <w:rsid w:val="00DA7EBD"/>
    <w:rsid w:val="00DB008B"/>
    <w:rsid w:val="00DB00A9"/>
    <w:rsid w:val="00DB04F8"/>
    <w:rsid w:val="00DB06BC"/>
    <w:rsid w:val="00DB178A"/>
    <w:rsid w:val="00DB242A"/>
    <w:rsid w:val="00DB26AC"/>
    <w:rsid w:val="00DB40A4"/>
    <w:rsid w:val="00DB4F2B"/>
    <w:rsid w:val="00DB510E"/>
    <w:rsid w:val="00DB5617"/>
    <w:rsid w:val="00DB5B48"/>
    <w:rsid w:val="00DB61EC"/>
    <w:rsid w:val="00DB6659"/>
    <w:rsid w:val="00DB6A41"/>
    <w:rsid w:val="00DB6FCF"/>
    <w:rsid w:val="00DB6FD4"/>
    <w:rsid w:val="00DB7240"/>
    <w:rsid w:val="00DB75AB"/>
    <w:rsid w:val="00DB76F1"/>
    <w:rsid w:val="00DB7F97"/>
    <w:rsid w:val="00DC07A8"/>
    <w:rsid w:val="00DC0EC4"/>
    <w:rsid w:val="00DC0F13"/>
    <w:rsid w:val="00DC1515"/>
    <w:rsid w:val="00DC1CA9"/>
    <w:rsid w:val="00DC223D"/>
    <w:rsid w:val="00DC3BD1"/>
    <w:rsid w:val="00DC3C26"/>
    <w:rsid w:val="00DC3D50"/>
    <w:rsid w:val="00DC400F"/>
    <w:rsid w:val="00DC423E"/>
    <w:rsid w:val="00DC4A71"/>
    <w:rsid w:val="00DC508F"/>
    <w:rsid w:val="00DC53CD"/>
    <w:rsid w:val="00DC5AFA"/>
    <w:rsid w:val="00DC683A"/>
    <w:rsid w:val="00DC6C08"/>
    <w:rsid w:val="00DC6D13"/>
    <w:rsid w:val="00DC6F8F"/>
    <w:rsid w:val="00DC7109"/>
    <w:rsid w:val="00DC78C0"/>
    <w:rsid w:val="00DC7E92"/>
    <w:rsid w:val="00DD000D"/>
    <w:rsid w:val="00DD051E"/>
    <w:rsid w:val="00DD06E1"/>
    <w:rsid w:val="00DD0CB7"/>
    <w:rsid w:val="00DD0CD4"/>
    <w:rsid w:val="00DD126D"/>
    <w:rsid w:val="00DD24BA"/>
    <w:rsid w:val="00DD27E8"/>
    <w:rsid w:val="00DD332A"/>
    <w:rsid w:val="00DD3BD3"/>
    <w:rsid w:val="00DD3C3C"/>
    <w:rsid w:val="00DD42A9"/>
    <w:rsid w:val="00DD42B3"/>
    <w:rsid w:val="00DD4841"/>
    <w:rsid w:val="00DD4E51"/>
    <w:rsid w:val="00DD510E"/>
    <w:rsid w:val="00DD60DA"/>
    <w:rsid w:val="00DD6C59"/>
    <w:rsid w:val="00DD6F27"/>
    <w:rsid w:val="00DD7304"/>
    <w:rsid w:val="00DD748F"/>
    <w:rsid w:val="00DD7AC0"/>
    <w:rsid w:val="00DD7B16"/>
    <w:rsid w:val="00DE00A8"/>
    <w:rsid w:val="00DE0C2B"/>
    <w:rsid w:val="00DE195D"/>
    <w:rsid w:val="00DE1BDD"/>
    <w:rsid w:val="00DE1D6C"/>
    <w:rsid w:val="00DE1DB3"/>
    <w:rsid w:val="00DE1E65"/>
    <w:rsid w:val="00DE2060"/>
    <w:rsid w:val="00DE211D"/>
    <w:rsid w:val="00DE2446"/>
    <w:rsid w:val="00DE26FB"/>
    <w:rsid w:val="00DE27C0"/>
    <w:rsid w:val="00DE2946"/>
    <w:rsid w:val="00DE3873"/>
    <w:rsid w:val="00DE3C5A"/>
    <w:rsid w:val="00DE409D"/>
    <w:rsid w:val="00DE4655"/>
    <w:rsid w:val="00DE468A"/>
    <w:rsid w:val="00DE48E3"/>
    <w:rsid w:val="00DE4E1B"/>
    <w:rsid w:val="00DE5818"/>
    <w:rsid w:val="00DE6165"/>
    <w:rsid w:val="00DE626F"/>
    <w:rsid w:val="00DE62EA"/>
    <w:rsid w:val="00DE6DCF"/>
    <w:rsid w:val="00DE71FC"/>
    <w:rsid w:val="00DE76CF"/>
    <w:rsid w:val="00DE7CE0"/>
    <w:rsid w:val="00DE7FEE"/>
    <w:rsid w:val="00DF0C9F"/>
    <w:rsid w:val="00DF0F81"/>
    <w:rsid w:val="00DF12A9"/>
    <w:rsid w:val="00DF16DF"/>
    <w:rsid w:val="00DF1724"/>
    <w:rsid w:val="00DF1836"/>
    <w:rsid w:val="00DF2EDB"/>
    <w:rsid w:val="00DF353B"/>
    <w:rsid w:val="00DF37B7"/>
    <w:rsid w:val="00DF3A79"/>
    <w:rsid w:val="00DF3E82"/>
    <w:rsid w:val="00DF3FD0"/>
    <w:rsid w:val="00DF42D3"/>
    <w:rsid w:val="00DF46AA"/>
    <w:rsid w:val="00DF4904"/>
    <w:rsid w:val="00DF4D27"/>
    <w:rsid w:val="00DF530B"/>
    <w:rsid w:val="00DF594D"/>
    <w:rsid w:val="00DF5A2A"/>
    <w:rsid w:val="00DF5AAB"/>
    <w:rsid w:val="00DF5CC3"/>
    <w:rsid w:val="00DF650C"/>
    <w:rsid w:val="00DF676F"/>
    <w:rsid w:val="00DF6BE3"/>
    <w:rsid w:val="00DF7CF6"/>
    <w:rsid w:val="00E001E8"/>
    <w:rsid w:val="00E00543"/>
    <w:rsid w:val="00E0066C"/>
    <w:rsid w:val="00E00D0D"/>
    <w:rsid w:val="00E00F96"/>
    <w:rsid w:val="00E010D9"/>
    <w:rsid w:val="00E011C3"/>
    <w:rsid w:val="00E01318"/>
    <w:rsid w:val="00E015C6"/>
    <w:rsid w:val="00E01A71"/>
    <w:rsid w:val="00E01CD2"/>
    <w:rsid w:val="00E01F9D"/>
    <w:rsid w:val="00E022F5"/>
    <w:rsid w:val="00E02613"/>
    <w:rsid w:val="00E0337A"/>
    <w:rsid w:val="00E0379F"/>
    <w:rsid w:val="00E03844"/>
    <w:rsid w:val="00E039E8"/>
    <w:rsid w:val="00E03ACF"/>
    <w:rsid w:val="00E03E7F"/>
    <w:rsid w:val="00E040EE"/>
    <w:rsid w:val="00E0421E"/>
    <w:rsid w:val="00E04871"/>
    <w:rsid w:val="00E048E5"/>
    <w:rsid w:val="00E04D40"/>
    <w:rsid w:val="00E0529A"/>
    <w:rsid w:val="00E05B14"/>
    <w:rsid w:val="00E05C8C"/>
    <w:rsid w:val="00E05CB3"/>
    <w:rsid w:val="00E05F1E"/>
    <w:rsid w:val="00E06228"/>
    <w:rsid w:val="00E0667F"/>
    <w:rsid w:val="00E068B5"/>
    <w:rsid w:val="00E0697B"/>
    <w:rsid w:val="00E073F1"/>
    <w:rsid w:val="00E07D31"/>
    <w:rsid w:val="00E10283"/>
    <w:rsid w:val="00E10774"/>
    <w:rsid w:val="00E108BE"/>
    <w:rsid w:val="00E10BA8"/>
    <w:rsid w:val="00E10D65"/>
    <w:rsid w:val="00E10DD2"/>
    <w:rsid w:val="00E10E67"/>
    <w:rsid w:val="00E1100C"/>
    <w:rsid w:val="00E12058"/>
    <w:rsid w:val="00E1208F"/>
    <w:rsid w:val="00E12AF6"/>
    <w:rsid w:val="00E12CFD"/>
    <w:rsid w:val="00E12EDF"/>
    <w:rsid w:val="00E13660"/>
    <w:rsid w:val="00E14002"/>
    <w:rsid w:val="00E14FEF"/>
    <w:rsid w:val="00E15C2A"/>
    <w:rsid w:val="00E15DD8"/>
    <w:rsid w:val="00E1691A"/>
    <w:rsid w:val="00E177CE"/>
    <w:rsid w:val="00E1794C"/>
    <w:rsid w:val="00E201EF"/>
    <w:rsid w:val="00E202FF"/>
    <w:rsid w:val="00E208A9"/>
    <w:rsid w:val="00E2092B"/>
    <w:rsid w:val="00E20A9B"/>
    <w:rsid w:val="00E20EDF"/>
    <w:rsid w:val="00E21155"/>
    <w:rsid w:val="00E21170"/>
    <w:rsid w:val="00E2125A"/>
    <w:rsid w:val="00E213E3"/>
    <w:rsid w:val="00E2180B"/>
    <w:rsid w:val="00E21D5B"/>
    <w:rsid w:val="00E2240B"/>
    <w:rsid w:val="00E227C7"/>
    <w:rsid w:val="00E22CCA"/>
    <w:rsid w:val="00E23075"/>
    <w:rsid w:val="00E2377D"/>
    <w:rsid w:val="00E23A3C"/>
    <w:rsid w:val="00E240A4"/>
    <w:rsid w:val="00E2444F"/>
    <w:rsid w:val="00E2462A"/>
    <w:rsid w:val="00E24845"/>
    <w:rsid w:val="00E24D89"/>
    <w:rsid w:val="00E2582A"/>
    <w:rsid w:val="00E26B0D"/>
    <w:rsid w:val="00E2733A"/>
    <w:rsid w:val="00E277B7"/>
    <w:rsid w:val="00E27B5D"/>
    <w:rsid w:val="00E30281"/>
    <w:rsid w:val="00E3054D"/>
    <w:rsid w:val="00E309AA"/>
    <w:rsid w:val="00E30B35"/>
    <w:rsid w:val="00E313F5"/>
    <w:rsid w:val="00E316AA"/>
    <w:rsid w:val="00E317A4"/>
    <w:rsid w:val="00E328B7"/>
    <w:rsid w:val="00E331C9"/>
    <w:rsid w:val="00E33428"/>
    <w:rsid w:val="00E33BD8"/>
    <w:rsid w:val="00E33FA0"/>
    <w:rsid w:val="00E34203"/>
    <w:rsid w:val="00E347FD"/>
    <w:rsid w:val="00E34E14"/>
    <w:rsid w:val="00E35391"/>
    <w:rsid w:val="00E35815"/>
    <w:rsid w:val="00E3591D"/>
    <w:rsid w:val="00E35986"/>
    <w:rsid w:val="00E35B83"/>
    <w:rsid w:val="00E36CE2"/>
    <w:rsid w:val="00E37BE6"/>
    <w:rsid w:val="00E37DF4"/>
    <w:rsid w:val="00E4042D"/>
    <w:rsid w:val="00E40CAC"/>
    <w:rsid w:val="00E417B4"/>
    <w:rsid w:val="00E418E3"/>
    <w:rsid w:val="00E422DA"/>
    <w:rsid w:val="00E4232C"/>
    <w:rsid w:val="00E4279A"/>
    <w:rsid w:val="00E4307B"/>
    <w:rsid w:val="00E43751"/>
    <w:rsid w:val="00E439E9"/>
    <w:rsid w:val="00E44B58"/>
    <w:rsid w:val="00E44FCD"/>
    <w:rsid w:val="00E44FDE"/>
    <w:rsid w:val="00E4517B"/>
    <w:rsid w:val="00E45853"/>
    <w:rsid w:val="00E463A2"/>
    <w:rsid w:val="00E465EC"/>
    <w:rsid w:val="00E46835"/>
    <w:rsid w:val="00E46D8D"/>
    <w:rsid w:val="00E46EFB"/>
    <w:rsid w:val="00E4735D"/>
    <w:rsid w:val="00E502EE"/>
    <w:rsid w:val="00E5055F"/>
    <w:rsid w:val="00E50872"/>
    <w:rsid w:val="00E5099A"/>
    <w:rsid w:val="00E50A7D"/>
    <w:rsid w:val="00E51129"/>
    <w:rsid w:val="00E51958"/>
    <w:rsid w:val="00E5242A"/>
    <w:rsid w:val="00E52CA2"/>
    <w:rsid w:val="00E530B9"/>
    <w:rsid w:val="00E530E2"/>
    <w:rsid w:val="00E531DC"/>
    <w:rsid w:val="00E5363F"/>
    <w:rsid w:val="00E53E43"/>
    <w:rsid w:val="00E543BA"/>
    <w:rsid w:val="00E54D9B"/>
    <w:rsid w:val="00E55215"/>
    <w:rsid w:val="00E55411"/>
    <w:rsid w:val="00E55AD5"/>
    <w:rsid w:val="00E55DD3"/>
    <w:rsid w:val="00E56623"/>
    <w:rsid w:val="00E567F2"/>
    <w:rsid w:val="00E570AB"/>
    <w:rsid w:val="00E571A1"/>
    <w:rsid w:val="00E5748F"/>
    <w:rsid w:val="00E579E4"/>
    <w:rsid w:val="00E57D0A"/>
    <w:rsid w:val="00E60068"/>
    <w:rsid w:val="00E600EE"/>
    <w:rsid w:val="00E60C24"/>
    <w:rsid w:val="00E60C30"/>
    <w:rsid w:val="00E6169B"/>
    <w:rsid w:val="00E616BB"/>
    <w:rsid w:val="00E61FB7"/>
    <w:rsid w:val="00E62406"/>
    <w:rsid w:val="00E62A6D"/>
    <w:rsid w:val="00E63A50"/>
    <w:rsid w:val="00E643E8"/>
    <w:rsid w:val="00E64D26"/>
    <w:rsid w:val="00E64D96"/>
    <w:rsid w:val="00E653DF"/>
    <w:rsid w:val="00E654F3"/>
    <w:rsid w:val="00E6555A"/>
    <w:rsid w:val="00E659EF"/>
    <w:rsid w:val="00E66A39"/>
    <w:rsid w:val="00E66AF8"/>
    <w:rsid w:val="00E7053B"/>
    <w:rsid w:val="00E718E3"/>
    <w:rsid w:val="00E71A28"/>
    <w:rsid w:val="00E71B18"/>
    <w:rsid w:val="00E71CA7"/>
    <w:rsid w:val="00E72491"/>
    <w:rsid w:val="00E72B47"/>
    <w:rsid w:val="00E7380F"/>
    <w:rsid w:val="00E74042"/>
    <w:rsid w:val="00E746F9"/>
    <w:rsid w:val="00E7470D"/>
    <w:rsid w:val="00E74E77"/>
    <w:rsid w:val="00E75B60"/>
    <w:rsid w:val="00E75D59"/>
    <w:rsid w:val="00E76430"/>
    <w:rsid w:val="00E766AE"/>
    <w:rsid w:val="00E766B5"/>
    <w:rsid w:val="00E76936"/>
    <w:rsid w:val="00E76938"/>
    <w:rsid w:val="00E76A45"/>
    <w:rsid w:val="00E76BEF"/>
    <w:rsid w:val="00E773A8"/>
    <w:rsid w:val="00E7793A"/>
    <w:rsid w:val="00E77CE2"/>
    <w:rsid w:val="00E77EFC"/>
    <w:rsid w:val="00E807DE"/>
    <w:rsid w:val="00E80A7F"/>
    <w:rsid w:val="00E80DC8"/>
    <w:rsid w:val="00E81158"/>
    <w:rsid w:val="00E814D9"/>
    <w:rsid w:val="00E81A18"/>
    <w:rsid w:val="00E823FE"/>
    <w:rsid w:val="00E82770"/>
    <w:rsid w:val="00E82B90"/>
    <w:rsid w:val="00E82C8C"/>
    <w:rsid w:val="00E82FC4"/>
    <w:rsid w:val="00E832AC"/>
    <w:rsid w:val="00E833D4"/>
    <w:rsid w:val="00E84BEC"/>
    <w:rsid w:val="00E85615"/>
    <w:rsid w:val="00E861A6"/>
    <w:rsid w:val="00E864C1"/>
    <w:rsid w:val="00E864D0"/>
    <w:rsid w:val="00E864FF"/>
    <w:rsid w:val="00E867DE"/>
    <w:rsid w:val="00E86CBB"/>
    <w:rsid w:val="00E86DF0"/>
    <w:rsid w:val="00E87256"/>
    <w:rsid w:val="00E8791C"/>
    <w:rsid w:val="00E879B8"/>
    <w:rsid w:val="00E87BF7"/>
    <w:rsid w:val="00E87C21"/>
    <w:rsid w:val="00E87C59"/>
    <w:rsid w:val="00E87E9F"/>
    <w:rsid w:val="00E9076F"/>
    <w:rsid w:val="00E91C42"/>
    <w:rsid w:val="00E91DBC"/>
    <w:rsid w:val="00E91ED8"/>
    <w:rsid w:val="00E920DE"/>
    <w:rsid w:val="00E921A4"/>
    <w:rsid w:val="00E92950"/>
    <w:rsid w:val="00E93626"/>
    <w:rsid w:val="00E94521"/>
    <w:rsid w:val="00E94645"/>
    <w:rsid w:val="00E94BD4"/>
    <w:rsid w:val="00E94CE3"/>
    <w:rsid w:val="00E950AC"/>
    <w:rsid w:val="00E95793"/>
    <w:rsid w:val="00E95D5E"/>
    <w:rsid w:val="00E95FA4"/>
    <w:rsid w:val="00E9619A"/>
    <w:rsid w:val="00E96A86"/>
    <w:rsid w:val="00E971E1"/>
    <w:rsid w:val="00E971EA"/>
    <w:rsid w:val="00E976E3"/>
    <w:rsid w:val="00EA00D3"/>
    <w:rsid w:val="00EA02E7"/>
    <w:rsid w:val="00EA13FE"/>
    <w:rsid w:val="00EA196E"/>
    <w:rsid w:val="00EA1EFD"/>
    <w:rsid w:val="00EA2160"/>
    <w:rsid w:val="00EA284E"/>
    <w:rsid w:val="00EA2E86"/>
    <w:rsid w:val="00EA31AD"/>
    <w:rsid w:val="00EA3AB0"/>
    <w:rsid w:val="00EA3D82"/>
    <w:rsid w:val="00EA3DDA"/>
    <w:rsid w:val="00EA40DE"/>
    <w:rsid w:val="00EA4408"/>
    <w:rsid w:val="00EA4DB6"/>
    <w:rsid w:val="00EA4F4A"/>
    <w:rsid w:val="00EA515A"/>
    <w:rsid w:val="00EA5414"/>
    <w:rsid w:val="00EA5DFB"/>
    <w:rsid w:val="00EA6187"/>
    <w:rsid w:val="00EA61B3"/>
    <w:rsid w:val="00EA638C"/>
    <w:rsid w:val="00EA6596"/>
    <w:rsid w:val="00EA66BF"/>
    <w:rsid w:val="00EA6A80"/>
    <w:rsid w:val="00EA6B40"/>
    <w:rsid w:val="00EA72BC"/>
    <w:rsid w:val="00EA7848"/>
    <w:rsid w:val="00EA7B53"/>
    <w:rsid w:val="00EA7C2D"/>
    <w:rsid w:val="00EA7DC9"/>
    <w:rsid w:val="00EB02FA"/>
    <w:rsid w:val="00EB0999"/>
    <w:rsid w:val="00EB0BB2"/>
    <w:rsid w:val="00EB1626"/>
    <w:rsid w:val="00EB1BA3"/>
    <w:rsid w:val="00EB1BF6"/>
    <w:rsid w:val="00EB1D32"/>
    <w:rsid w:val="00EB2141"/>
    <w:rsid w:val="00EB2168"/>
    <w:rsid w:val="00EB2949"/>
    <w:rsid w:val="00EB2B3A"/>
    <w:rsid w:val="00EB2D98"/>
    <w:rsid w:val="00EB2F27"/>
    <w:rsid w:val="00EB31C9"/>
    <w:rsid w:val="00EB49B6"/>
    <w:rsid w:val="00EB4E6A"/>
    <w:rsid w:val="00EB4FC5"/>
    <w:rsid w:val="00EB50B3"/>
    <w:rsid w:val="00EB5273"/>
    <w:rsid w:val="00EB532D"/>
    <w:rsid w:val="00EB55F2"/>
    <w:rsid w:val="00EB56CD"/>
    <w:rsid w:val="00EB637B"/>
    <w:rsid w:val="00EB66C5"/>
    <w:rsid w:val="00EB6761"/>
    <w:rsid w:val="00EB6B40"/>
    <w:rsid w:val="00EB6E06"/>
    <w:rsid w:val="00EB77E6"/>
    <w:rsid w:val="00EC0344"/>
    <w:rsid w:val="00EC0B4C"/>
    <w:rsid w:val="00EC10B6"/>
    <w:rsid w:val="00EC1261"/>
    <w:rsid w:val="00EC1E5C"/>
    <w:rsid w:val="00EC4684"/>
    <w:rsid w:val="00EC48D7"/>
    <w:rsid w:val="00EC4D66"/>
    <w:rsid w:val="00EC4D93"/>
    <w:rsid w:val="00EC4E90"/>
    <w:rsid w:val="00EC5F4A"/>
    <w:rsid w:val="00EC66A1"/>
    <w:rsid w:val="00EC66AC"/>
    <w:rsid w:val="00EC677F"/>
    <w:rsid w:val="00EC7247"/>
    <w:rsid w:val="00EC7878"/>
    <w:rsid w:val="00EC7C06"/>
    <w:rsid w:val="00ED0958"/>
    <w:rsid w:val="00ED0B38"/>
    <w:rsid w:val="00ED0D52"/>
    <w:rsid w:val="00ED0FBA"/>
    <w:rsid w:val="00ED15C0"/>
    <w:rsid w:val="00ED1966"/>
    <w:rsid w:val="00ED1E06"/>
    <w:rsid w:val="00ED220C"/>
    <w:rsid w:val="00ED2CA0"/>
    <w:rsid w:val="00ED2DDC"/>
    <w:rsid w:val="00ED3E64"/>
    <w:rsid w:val="00ED4575"/>
    <w:rsid w:val="00ED4624"/>
    <w:rsid w:val="00ED48B3"/>
    <w:rsid w:val="00ED5069"/>
    <w:rsid w:val="00ED59C6"/>
    <w:rsid w:val="00ED5D28"/>
    <w:rsid w:val="00ED5DD1"/>
    <w:rsid w:val="00ED5FB1"/>
    <w:rsid w:val="00ED653C"/>
    <w:rsid w:val="00ED721F"/>
    <w:rsid w:val="00ED7333"/>
    <w:rsid w:val="00ED7624"/>
    <w:rsid w:val="00EE0A0F"/>
    <w:rsid w:val="00EE0EAB"/>
    <w:rsid w:val="00EE15A6"/>
    <w:rsid w:val="00EE165A"/>
    <w:rsid w:val="00EE2254"/>
    <w:rsid w:val="00EE2ED8"/>
    <w:rsid w:val="00EE3349"/>
    <w:rsid w:val="00EE34B5"/>
    <w:rsid w:val="00EE39E6"/>
    <w:rsid w:val="00EE46CA"/>
    <w:rsid w:val="00EE55EC"/>
    <w:rsid w:val="00EE5A22"/>
    <w:rsid w:val="00EE5F57"/>
    <w:rsid w:val="00EE7A8D"/>
    <w:rsid w:val="00EE7E24"/>
    <w:rsid w:val="00EF0275"/>
    <w:rsid w:val="00EF16A9"/>
    <w:rsid w:val="00EF1DA7"/>
    <w:rsid w:val="00EF1F24"/>
    <w:rsid w:val="00EF27F1"/>
    <w:rsid w:val="00EF28A9"/>
    <w:rsid w:val="00EF2FD0"/>
    <w:rsid w:val="00EF3338"/>
    <w:rsid w:val="00EF4213"/>
    <w:rsid w:val="00EF42AD"/>
    <w:rsid w:val="00EF45C5"/>
    <w:rsid w:val="00EF4A43"/>
    <w:rsid w:val="00EF596D"/>
    <w:rsid w:val="00EF7423"/>
    <w:rsid w:val="00F0023B"/>
    <w:rsid w:val="00F00683"/>
    <w:rsid w:val="00F00CAB"/>
    <w:rsid w:val="00F00D69"/>
    <w:rsid w:val="00F00EE3"/>
    <w:rsid w:val="00F01001"/>
    <w:rsid w:val="00F011BB"/>
    <w:rsid w:val="00F0142D"/>
    <w:rsid w:val="00F01B93"/>
    <w:rsid w:val="00F01BB0"/>
    <w:rsid w:val="00F01DEE"/>
    <w:rsid w:val="00F02216"/>
    <w:rsid w:val="00F02C5B"/>
    <w:rsid w:val="00F03324"/>
    <w:rsid w:val="00F0377A"/>
    <w:rsid w:val="00F0384E"/>
    <w:rsid w:val="00F0434E"/>
    <w:rsid w:val="00F04A90"/>
    <w:rsid w:val="00F04D6C"/>
    <w:rsid w:val="00F0550C"/>
    <w:rsid w:val="00F0563F"/>
    <w:rsid w:val="00F05CBC"/>
    <w:rsid w:val="00F062BF"/>
    <w:rsid w:val="00F063C9"/>
    <w:rsid w:val="00F06468"/>
    <w:rsid w:val="00F06AF4"/>
    <w:rsid w:val="00F07133"/>
    <w:rsid w:val="00F073E7"/>
    <w:rsid w:val="00F076E8"/>
    <w:rsid w:val="00F077E1"/>
    <w:rsid w:val="00F1053B"/>
    <w:rsid w:val="00F113C0"/>
    <w:rsid w:val="00F11784"/>
    <w:rsid w:val="00F117E4"/>
    <w:rsid w:val="00F11A2A"/>
    <w:rsid w:val="00F121AA"/>
    <w:rsid w:val="00F121F2"/>
    <w:rsid w:val="00F128E1"/>
    <w:rsid w:val="00F12EE5"/>
    <w:rsid w:val="00F12FFC"/>
    <w:rsid w:val="00F13102"/>
    <w:rsid w:val="00F13183"/>
    <w:rsid w:val="00F133C0"/>
    <w:rsid w:val="00F1348E"/>
    <w:rsid w:val="00F13849"/>
    <w:rsid w:val="00F139B0"/>
    <w:rsid w:val="00F14432"/>
    <w:rsid w:val="00F144CD"/>
    <w:rsid w:val="00F14ED3"/>
    <w:rsid w:val="00F159B7"/>
    <w:rsid w:val="00F15CAB"/>
    <w:rsid w:val="00F15FA8"/>
    <w:rsid w:val="00F160CE"/>
    <w:rsid w:val="00F161BA"/>
    <w:rsid w:val="00F167D6"/>
    <w:rsid w:val="00F16FEA"/>
    <w:rsid w:val="00F17274"/>
    <w:rsid w:val="00F17A55"/>
    <w:rsid w:val="00F17CC0"/>
    <w:rsid w:val="00F20844"/>
    <w:rsid w:val="00F209EA"/>
    <w:rsid w:val="00F20D27"/>
    <w:rsid w:val="00F216A4"/>
    <w:rsid w:val="00F2177B"/>
    <w:rsid w:val="00F21B7B"/>
    <w:rsid w:val="00F21CFB"/>
    <w:rsid w:val="00F2215E"/>
    <w:rsid w:val="00F222FE"/>
    <w:rsid w:val="00F22496"/>
    <w:rsid w:val="00F22727"/>
    <w:rsid w:val="00F22CF0"/>
    <w:rsid w:val="00F22D00"/>
    <w:rsid w:val="00F22D68"/>
    <w:rsid w:val="00F234D8"/>
    <w:rsid w:val="00F23B70"/>
    <w:rsid w:val="00F23DD4"/>
    <w:rsid w:val="00F24903"/>
    <w:rsid w:val="00F2547A"/>
    <w:rsid w:val="00F25BC2"/>
    <w:rsid w:val="00F260DA"/>
    <w:rsid w:val="00F26786"/>
    <w:rsid w:val="00F2694A"/>
    <w:rsid w:val="00F2709C"/>
    <w:rsid w:val="00F2728A"/>
    <w:rsid w:val="00F278A3"/>
    <w:rsid w:val="00F27A44"/>
    <w:rsid w:val="00F27BAF"/>
    <w:rsid w:val="00F27C8A"/>
    <w:rsid w:val="00F27E7C"/>
    <w:rsid w:val="00F30229"/>
    <w:rsid w:val="00F31AEF"/>
    <w:rsid w:val="00F31D9B"/>
    <w:rsid w:val="00F32044"/>
    <w:rsid w:val="00F3211B"/>
    <w:rsid w:val="00F32A4C"/>
    <w:rsid w:val="00F32DC2"/>
    <w:rsid w:val="00F3397C"/>
    <w:rsid w:val="00F33D9A"/>
    <w:rsid w:val="00F340CC"/>
    <w:rsid w:val="00F340FC"/>
    <w:rsid w:val="00F3443D"/>
    <w:rsid w:val="00F3481C"/>
    <w:rsid w:val="00F34981"/>
    <w:rsid w:val="00F34B13"/>
    <w:rsid w:val="00F34EB7"/>
    <w:rsid w:val="00F34F42"/>
    <w:rsid w:val="00F35CCE"/>
    <w:rsid w:val="00F35DCB"/>
    <w:rsid w:val="00F36019"/>
    <w:rsid w:val="00F360AE"/>
    <w:rsid w:val="00F36303"/>
    <w:rsid w:val="00F36706"/>
    <w:rsid w:val="00F36B93"/>
    <w:rsid w:val="00F36F72"/>
    <w:rsid w:val="00F37E31"/>
    <w:rsid w:val="00F403CF"/>
    <w:rsid w:val="00F407B8"/>
    <w:rsid w:val="00F40C6C"/>
    <w:rsid w:val="00F40F95"/>
    <w:rsid w:val="00F415E9"/>
    <w:rsid w:val="00F42104"/>
    <w:rsid w:val="00F42806"/>
    <w:rsid w:val="00F4287C"/>
    <w:rsid w:val="00F42DBD"/>
    <w:rsid w:val="00F43724"/>
    <w:rsid w:val="00F43961"/>
    <w:rsid w:val="00F43AF7"/>
    <w:rsid w:val="00F44049"/>
    <w:rsid w:val="00F44412"/>
    <w:rsid w:val="00F444A0"/>
    <w:rsid w:val="00F44571"/>
    <w:rsid w:val="00F44DB9"/>
    <w:rsid w:val="00F451D9"/>
    <w:rsid w:val="00F453DE"/>
    <w:rsid w:val="00F453EC"/>
    <w:rsid w:val="00F456C9"/>
    <w:rsid w:val="00F460F5"/>
    <w:rsid w:val="00F46354"/>
    <w:rsid w:val="00F46370"/>
    <w:rsid w:val="00F4644B"/>
    <w:rsid w:val="00F4668F"/>
    <w:rsid w:val="00F46A01"/>
    <w:rsid w:val="00F46D1E"/>
    <w:rsid w:val="00F474C1"/>
    <w:rsid w:val="00F4761E"/>
    <w:rsid w:val="00F47712"/>
    <w:rsid w:val="00F47B3A"/>
    <w:rsid w:val="00F50083"/>
    <w:rsid w:val="00F50508"/>
    <w:rsid w:val="00F518EF"/>
    <w:rsid w:val="00F51A60"/>
    <w:rsid w:val="00F51E1A"/>
    <w:rsid w:val="00F51FC9"/>
    <w:rsid w:val="00F5213F"/>
    <w:rsid w:val="00F5249E"/>
    <w:rsid w:val="00F534CD"/>
    <w:rsid w:val="00F5475D"/>
    <w:rsid w:val="00F54BDF"/>
    <w:rsid w:val="00F54C8B"/>
    <w:rsid w:val="00F54F61"/>
    <w:rsid w:val="00F55C67"/>
    <w:rsid w:val="00F55CF4"/>
    <w:rsid w:val="00F5601C"/>
    <w:rsid w:val="00F5656D"/>
    <w:rsid w:val="00F56886"/>
    <w:rsid w:val="00F56EA3"/>
    <w:rsid w:val="00F57276"/>
    <w:rsid w:val="00F57564"/>
    <w:rsid w:val="00F5792C"/>
    <w:rsid w:val="00F57EAB"/>
    <w:rsid w:val="00F60066"/>
    <w:rsid w:val="00F60302"/>
    <w:rsid w:val="00F60EC5"/>
    <w:rsid w:val="00F60FE0"/>
    <w:rsid w:val="00F6143D"/>
    <w:rsid w:val="00F61550"/>
    <w:rsid w:val="00F615D1"/>
    <w:rsid w:val="00F61875"/>
    <w:rsid w:val="00F61AA7"/>
    <w:rsid w:val="00F620BD"/>
    <w:rsid w:val="00F62D3E"/>
    <w:rsid w:val="00F631D3"/>
    <w:rsid w:val="00F63265"/>
    <w:rsid w:val="00F63572"/>
    <w:rsid w:val="00F637AC"/>
    <w:rsid w:val="00F63D70"/>
    <w:rsid w:val="00F64B98"/>
    <w:rsid w:val="00F64EAD"/>
    <w:rsid w:val="00F651B8"/>
    <w:rsid w:val="00F659A4"/>
    <w:rsid w:val="00F66325"/>
    <w:rsid w:val="00F665E2"/>
    <w:rsid w:val="00F66778"/>
    <w:rsid w:val="00F67054"/>
    <w:rsid w:val="00F6752B"/>
    <w:rsid w:val="00F70177"/>
    <w:rsid w:val="00F702FD"/>
    <w:rsid w:val="00F70CA9"/>
    <w:rsid w:val="00F70E19"/>
    <w:rsid w:val="00F71704"/>
    <w:rsid w:val="00F73553"/>
    <w:rsid w:val="00F73736"/>
    <w:rsid w:val="00F7419E"/>
    <w:rsid w:val="00F748C7"/>
    <w:rsid w:val="00F74B4F"/>
    <w:rsid w:val="00F74C32"/>
    <w:rsid w:val="00F7552A"/>
    <w:rsid w:val="00F75A48"/>
    <w:rsid w:val="00F75E64"/>
    <w:rsid w:val="00F75E9F"/>
    <w:rsid w:val="00F7619D"/>
    <w:rsid w:val="00F765C7"/>
    <w:rsid w:val="00F7684A"/>
    <w:rsid w:val="00F76934"/>
    <w:rsid w:val="00F76A4E"/>
    <w:rsid w:val="00F7713C"/>
    <w:rsid w:val="00F773C4"/>
    <w:rsid w:val="00F773CB"/>
    <w:rsid w:val="00F77748"/>
    <w:rsid w:val="00F77B0E"/>
    <w:rsid w:val="00F77FD8"/>
    <w:rsid w:val="00F801B0"/>
    <w:rsid w:val="00F80491"/>
    <w:rsid w:val="00F809A8"/>
    <w:rsid w:val="00F80BB2"/>
    <w:rsid w:val="00F813B1"/>
    <w:rsid w:val="00F8151A"/>
    <w:rsid w:val="00F8189E"/>
    <w:rsid w:val="00F818F7"/>
    <w:rsid w:val="00F81B0F"/>
    <w:rsid w:val="00F82DB0"/>
    <w:rsid w:val="00F84252"/>
    <w:rsid w:val="00F8476D"/>
    <w:rsid w:val="00F84B31"/>
    <w:rsid w:val="00F85207"/>
    <w:rsid w:val="00F85772"/>
    <w:rsid w:val="00F85874"/>
    <w:rsid w:val="00F85887"/>
    <w:rsid w:val="00F85C9E"/>
    <w:rsid w:val="00F86784"/>
    <w:rsid w:val="00F86AD1"/>
    <w:rsid w:val="00F87036"/>
    <w:rsid w:val="00F87657"/>
    <w:rsid w:val="00F87747"/>
    <w:rsid w:val="00F87768"/>
    <w:rsid w:val="00F87926"/>
    <w:rsid w:val="00F879EE"/>
    <w:rsid w:val="00F902AB"/>
    <w:rsid w:val="00F904FC"/>
    <w:rsid w:val="00F90BAF"/>
    <w:rsid w:val="00F90E70"/>
    <w:rsid w:val="00F9146E"/>
    <w:rsid w:val="00F922A1"/>
    <w:rsid w:val="00F92370"/>
    <w:rsid w:val="00F92722"/>
    <w:rsid w:val="00F92E02"/>
    <w:rsid w:val="00F92E97"/>
    <w:rsid w:val="00F933E3"/>
    <w:rsid w:val="00F93A99"/>
    <w:rsid w:val="00F9425D"/>
    <w:rsid w:val="00F9497A"/>
    <w:rsid w:val="00F95012"/>
    <w:rsid w:val="00F95283"/>
    <w:rsid w:val="00F953D5"/>
    <w:rsid w:val="00F95558"/>
    <w:rsid w:val="00F95BB1"/>
    <w:rsid w:val="00F961CC"/>
    <w:rsid w:val="00F96550"/>
    <w:rsid w:val="00F97741"/>
    <w:rsid w:val="00F97898"/>
    <w:rsid w:val="00FA121B"/>
    <w:rsid w:val="00FA1871"/>
    <w:rsid w:val="00FA1874"/>
    <w:rsid w:val="00FA20DD"/>
    <w:rsid w:val="00FA2EFD"/>
    <w:rsid w:val="00FA30FE"/>
    <w:rsid w:val="00FA3122"/>
    <w:rsid w:val="00FA371E"/>
    <w:rsid w:val="00FA3813"/>
    <w:rsid w:val="00FA388B"/>
    <w:rsid w:val="00FA3E1D"/>
    <w:rsid w:val="00FA43B7"/>
    <w:rsid w:val="00FA45B3"/>
    <w:rsid w:val="00FA4836"/>
    <w:rsid w:val="00FA5712"/>
    <w:rsid w:val="00FA6040"/>
    <w:rsid w:val="00FA62A8"/>
    <w:rsid w:val="00FA6679"/>
    <w:rsid w:val="00FA67C7"/>
    <w:rsid w:val="00FA6D9C"/>
    <w:rsid w:val="00FB0015"/>
    <w:rsid w:val="00FB0813"/>
    <w:rsid w:val="00FB090D"/>
    <w:rsid w:val="00FB1169"/>
    <w:rsid w:val="00FB16CF"/>
    <w:rsid w:val="00FB17BA"/>
    <w:rsid w:val="00FB180D"/>
    <w:rsid w:val="00FB2146"/>
    <w:rsid w:val="00FB25F0"/>
    <w:rsid w:val="00FB2C5B"/>
    <w:rsid w:val="00FB2C80"/>
    <w:rsid w:val="00FB3363"/>
    <w:rsid w:val="00FB364D"/>
    <w:rsid w:val="00FB3678"/>
    <w:rsid w:val="00FB3B68"/>
    <w:rsid w:val="00FB3CF1"/>
    <w:rsid w:val="00FB4699"/>
    <w:rsid w:val="00FB471C"/>
    <w:rsid w:val="00FB4E36"/>
    <w:rsid w:val="00FB4E6D"/>
    <w:rsid w:val="00FB574B"/>
    <w:rsid w:val="00FB5C04"/>
    <w:rsid w:val="00FB615C"/>
    <w:rsid w:val="00FB626F"/>
    <w:rsid w:val="00FB6340"/>
    <w:rsid w:val="00FB79A2"/>
    <w:rsid w:val="00FB7A87"/>
    <w:rsid w:val="00FB7B13"/>
    <w:rsid w:val="00FC00F8"/>
    <w:rsid w:val="00FC031D"/>
    <w:rsid w:val="00FC087A"/>
    <w:rsid w:val="00FC141A"/>
    <w:rsid w:val="00FC1430"/>
    <w:rsid w:val="00FC18B6"/>
    <w:rsid w:val="00FC1C95"/>
    <w:rsid w:val="00FC2023"/>
    <w:rsid w:val="00FC29F4"/>
    <w:rsid w:val="00FC2E11"/>
    <w:rsid w:val="00FC3824"/>
    <w:rsid w:val="00FC39CE"/>
    <w:rsid w:val="00FC3BC6"/>
    <w:rsid w:val="00FC4085"/>
    <w:rsid w:val="00FC438C"/>
    <w:rsid w:val="00FC45BE"/>
    <w:rsid w:val="00FC48A1"/>
    <w:rsid w:val="00FC4CD2"/>
    <w:rsid w:val="00FC6201"/>
    <w:rsid w:val="00FC692D"/>
    <w:rsid w:val="00FC697A"/>
    <w:rsid w:val="00FC6A74"/>
    <w:rsid w:val="00FC6D24"/>
    <w:rsid w:val="00FC738A"/>
    <w:rsid w:val="00FC774D"/>
    <w:rsid w:val="00FC7A91"/>
    <w:rsid w:val="00FD0D24"/>
    <w:rsid w:val="00FD0E1A"/>
    <w:rsid w:val="00FD0F00"/>
    <w:rsid w:val="00FD0F5C"/>
    <w:rsid w:val="00FD15E0"/>
    <w:rsid w:val="00FD1C33"/>
    <w:rsid w:val="00FD22A6"/>
    <w:rsid w:val="00FD270C"/>
    <w:rsid w:val="00FD2CCB"/>
    <w:rsid w:val="00FD2FC0"/>
    <w:rsid w:val="00FD30FB"/>
    <w:rsid w:val="00FD31CC"/>
    <w:rsid w:val="00FD374C"/>
    <w:rsid w:val="00FD42FF"/>
    <w:rsid w:val="00FD4B8D"/>
    <w:rsid w:val="00FD4EC7"/>
    <w:rsid w:val="00FD5052"/>
    <w:rsid w:val="00FD5263"/>
    <w:rsid w:val="00FD5672"/>
    <w:rsid w:val="00FD5709"/>
    <w:rsid w:val="00FD5975"/>
    <w:rsid w:val="00FD5C57"/>
    <w:rsid w:val="00FD623E"/>
    <w:rsid w:val="00FD72E4"/>
    <w:rsid w:val="00FD7773"/>
    <w:rsid w:val="00FD77EB"/>
    <w:rsid w:val="00FD7B74"/>
    <w:rsid w:val="00FD7C5A"/>
    <w:rsid w:val="00FD7F0A"/>
    <w:rsid w:val="00FE07A2"/>
    <w:rsid w:val="00FE0AD3"/>
    <w:rsid w:val="00FE0D44"/>
    <w:rsid w:val="00FE11ED"/>
    <w:rsid w:val="00FE16F6"/>
    <w:rsid w:val="00FE1C5F"/>
    <w:rsid w:val="00FE20A3"/>
    <w:rsid w:val="00FE2457"/>
    <w:rsid w:val="00FE28E4"/>
    <w:rsid w:val="00FE31C6"/>
    <w:rsid w:val="00FE32B7"/>
    <w:rsid w:val="00FE35D8"/>
    <w:rsid w:val="00FE375B"/>
    <w:rsid w:val="00FE3AEF"/>
    <w:rsid w:val="00FE3B86"/>
    <w:rsid w:val="00FE49F1"/>
    <w:rsid w:val="00FE4DE6"/>
    <w:rsid w:val="00FE534B"/>
    <w:rsid w:val="00FE59B1"/>
    <w:rsid w:val="00FE5DB4"/>
    <w:rsid w:val="00FE61CA"/>
    <w:rsid w:val="00FE63A0"/>
    <w:rsid w:val="00FE656F"/>
    <w:rsid w:val="00FE6640"/>
    <w:rsid w:val="00FE688C"/>
    <w:rsid w:val="00FE6AD6"/>
    <w:rsid w:val="00FE6F38"/>
    <w:rsid w:val="00FE7650"/>
    <w:rsid w:val="00FE7B9B"/>
    <w:rsid w:val="00FE7D7B"/>
    <w:rsid w:val="00FF09E1"/>
    <w:rsid w:val="00FF14ED"/>
    <w:rsid w:val="00FF171B"/>
    <w:rsid w:val="00FF19BD"/>
    <w:rsid w:val="00FF227E"/>
    <w:rsid w:val="00FF2507"/>
    <w:rsid w:val="00FF2701"/>
    <w:rsid w:val="00FF27C0"/>
    <w:rsid w:val="00FF3224"/>
    <w:rsid w:val="00FF3370"/>
    <w:rsid w:val="00FF3E52"/>
    <w:rsid w:val="00FF3EC0"/>
    <w:rsid w:val="00FF3F1E"/>
    <w:rsid w:val="00FF425A"/>
    <w:rsid w:val="00FF42D6"/>
    <w:rsid w:val="00FF459E"/>
    <w:rsid w:val="00FF4631"/>
    <w:rsid w:val="00FF49B8"/>
    <w:rsid w:val="00FF4F74"/>
    <w:rsid w:val="00FF5393"/>
    <w:rsid w:val="00FF578E"/>
    <w:rsid w:val="00FF59B8"/>
    <w:rsid w:val="00FF5BB3"/>
    <w:rsid w:val="00FF601B"/>
    <w:rsid w:val="00FF7023"/>
    <w:rsid w:val="00FF7C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633203"/>
  <w15:docId w15:val="{BBB82886-E2CD-4510-9260-EDB90000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sto MT" w:eastAsiaTheme="minorEastAsia" w:hAnsi="Calisto MT" w:cs="Times New Roman"/>
        <w:sz w:val="21"/>
        <w:szCs w:val="21"/>
        <w:lang w:val="en-AU" w:eastAsia="en-AU" w:bidi="ar-SA"/>
      </w:rPr>
    </w:rPrDefault>
    <w:pPrDefault>
      <w:pPr>
        <w:spacing w:before="140" w:line="280" w:lineRule="atLeast"/>
      </w:pPr>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iPriority="0"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2" w:unhideWhenUsed="1"/>
    <w:lsdException w:name="List Bullet 3" w:uiPriority="2" w:unhideWhenUsed="1"/>
    <w:lsdException w:name="List Bullet 4" w:semiHidden="1" w:unhideWhenUsed="1"/>
    <w:lsdException w:name="List Bullet 5" w:semiHidden="1" w:unhideWhenUsed="1"/>
    <w:lsdException w:name="List Number 2" w:uiPriority="0"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uiPriority="3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unhideWhenUsed="1" w:qFormat="1"/>
    <w:lsdException w:name="Subtle Reference" w:uiPriority="31" w:unhideWhenUsed="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BA277B"/>
    <w:pPr>
      <w:spacing w:before="0"/>
    </w:pPr>
  </w:style>
  <w:style w:type="paragraph" w:styleId="Heading1">
    <w:name w:val="heading 1"/>
    <w:basedOn w:val="BodyText"/>
    <w:next w:val="BodyText"/>
    <w:link w:val="Heading1Char"/>
    <w:qFormat/>
    <w:rsid w:val="00FD7C5A"/>
    <w:pPr>
      <w:keepNext/>
      <w:pageBreakBefore/>
      <w:numPr>
        <w:numId w:val="5"/>
      </w:numPr>
      <w:spacing w:before="0" w:after="1560" w:line="440" w:lineRule="atLeast"/>
      <w:outlineLvl w:val="0"/>
    </w:pPr>
    <w:rPr>
      <w:rFonts w:asciiTheme="majorHAnsi" w:hAnsiTheme="majorHAnsi"/>
      <w:i/>
      <w:kern w:val="28"/>
      <w:sz w:val="36"/>
      <w:szCs w:val="32"/>
    </w:rPr>
  </w:style>
  <w:style w:type="paragraph" w:styleId="Heading2">
    <w:name w:val="heading 2"/>
    <w:aliases w:val="h2,2,H2,p"/>
    <w:basedOn w:val="Heading1"/>
    <w:next w:val="BodyText"/>
    <w:link w:val="Heading2Char"/>
    <w:qFormat/>
    <w:rsid w:val="00814B8B"/>
    <w:pPr>
      <w:pageBreakBefore w:val="0"/>
      <w:numPr>
        <w:ilvl w:val="1"/>
      </w:numPr>
      <w:spacing w:before="560" w:after="0" w:line="340" w:lineRule="atLeast"/>
      <w:outlineLvl w:val="1"/>
    </w:pPr>
    <w:rPr>
      <w:b/>
      <w:color w:val="F61D12" w:themeColor="accent2"/>
      <w:sz w:val="30"/>
      <w:szCs w:val="26"/>
    </w:rPr>
  </w:style>
  <w:style w:type="paragraph" w:styleId="Heading3">
    <w:name w:val="heading 3"/>
    <w:basedOn w:val="Heading2"/>
    <w:next w:val="BodyText"/>
    <w:link w:val="Heading3Char"/>
    <w:qFormat/>
    <w:rsid w:val="002F2DAD"/>
    <w:pPr>
      <w:numPr>
        <w:ilvl w:val="2"/>
      </w:numPr>
      <w:spacing w:before="440" w:line="280" w:lineRule="atLeast"/>
      <w:outlineLvl w:val="2"/>
    </w:pPr>
    <w:rPr>
      <w:color w:val="auto"/>
      <w:sz w:val="25"/>
      <w:szCs w:val="22"/>
    </w:rPr>
  </w:style>
  <w:style w:type="paragraph" w:styleId="Heading4">
    <w:name w:val="heading 4"/>
    <w:basedOn w:val="Heading3"/>
    <w:next w:val="BodyText"/>
    <w:link w:val="Heading4Char"/>
    <w:qFormat/>
    <w:rsid w:val="00FC141A"/>
    <w:pPr>
      <w:numPr>
        <w:ilvl w:val="3"/>
      </w:numPr>
      <w:spacing w:before="400" w:line="260" w:lineRule="atLeast"/>
      <w:outlineLvl w:val="3"/>
    </w:pPr>
    <w:rPr>
      <w:color w:val="6F6652" w:themeColor="text2"/>
      <w:sz w:val="21"/>
    </w:rPr>
  </w:style>
  <w:style w:type="paragraph" w:styleId="Heading5">
    <w:name w:val="heading 5"/>
    <w:basedOn w:val="Heading4"/>
    <w:next w:val="BodyText"/>
    <w:link w:val="Heading5Char"/>
    <w:qFormat/>
    <w:rsid w:val="00742A5F"/>
    <w:pPr>
      <w:numPr>
        <w:ilvl w:val="4"/>
      </w:numPr>
      <w:outlineLvl w:val="4"/>
    </w:pPr>
    <w:rPr>
      <w:rFonts w:asciiTheme="minorHAnsi" w:hAnsiTheme="minorHAnsi"/>
      <w:b w:val="0"/>
    </w:rPr>
  </w:style>
  <w:style w:type="paragraph" w:styleId="Heading6">
    <w:name w:val="heading 6"/>
    <w:basedOn w:val="Heading1"/>
    <w:next w:val="BodyText"/>
    <w:link w:val="Heading6Char"/>
    <w:qFormat/>
    <w:rsid w:val="000E5731"/>
    <w:pPr>
      <w:numPr>
        <w:ilvl w:val="5"/>
      </w:numPr>
      <w:outlineLvl w:val="5"/>
    </w:pPr>
    <w:rPr>
      <w:bCs/>
    </w:rPr>
  </w:style>
  <w:style w:type="paragraph" w:styleId="Heading7">
    <w:name w:val="heading 7"/>
    <w:basedOn w:val="Heading2"/>
    <w:next w:val="BodyText"/>
    <w:link w:val="Heading7Char"/>
    <w:qFormat/>
    <w:rsid w:val="00395D18"/>
    <w:pPr>
      <w:numPr>
        <w:ilvl w:val="6"/>
      </w:numPr>
      <w:outlineLvl w:val="6"/>
    </w:pPr>
    <w:rPr>
      <w:color w:val="auto"/>
    </w:rPr>
  </w:style>
  <w:style w:type="paragraph" w:styleId="Heading8">
    <w:name w:val="heading 8"/>
    <w:basedOn w:val="Heading3"/>
    <w:next w:val="BodyText"/>
    <w:link w:val="Heading8Char"/>
    <w:qFormat/>
    <w:rsid w:val="00CE3386"/>
    <w:pPr>
      <w:numPr>
        <w:ilvl w:val="7"/>
      </w:numPr>
      <w:outlineLvl w:val="7"/>
    </w:pPr>
  </w:style>
  <w:style w:type="paragraph" w:styleId="Heading9">
    <w:name w:val="heading 9"/>
    <w:basedOn w:val="Heading4"/>
    <w:next w:val="BodyText"/>
    <w:link w:val="Heading9Char"/>
    <w:qFormat/>
    <w:rsid w:val="00F47B3A"/>
    <w:pPr>
      <w:numPr>
        <w:ilvl w:val="8"/>
      </w:numPr>
      <w:outlineLvl w:val="8"/>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s">
    <w:name w:val="ListBullets"/>
    <w:uiPriority w:val="99"/>
    <w:rsid w:val="00B974A4"/>
    <w:pPr>
      <w:numPr>
        <w:numId w:val="11"/>
      </w:numPr>
    </w:pPr>
  </w:style>
  <w:style w:type="paragraph" w:styleId="ListBullet3">
    <w:name w:val="List Bullet 3"/>
    <w:basedOn w:val="ListBullet2"/>
    <w:uiPriority w:val="2"/>
    <w:rsid w:val="00114298"/>
    <w:pPr>
      <w:numPr>
        <w:ilvl w:val="2"/>
      </w:numPr>
    </w:pPr>
  </w:style>
  <w:style w:type="paragraph" w:styleId="ListNumber">
    <w:name w:val="List Number"/>
    <w:basedOn w:val="BodyText"/>
    <w:uiPriority w:val="2"/>
    <w:qFormat/>
    <w:rsid w:val="00497862"/>
    <w:pPr>
      <w:numPr>
        <w:numId w:val="12"/>
      </w:numPr>
      <w:spacing w:before="70"/>
    </w:pPr>
  </w:style>
  <w:style w:type="paragraph" w:styleId="ListBullet">
    <w:name w:val="List Bullet"/>
    <w:aliases w:val="Char, Char"/>
    <w:basedOn w:val="BodyText"/>
    <w:link w:val="ListBulletChar"/>
    <w:uiPriority w:val="2"/>
    <w:qFormat/>
    <w:rsid w:val="00B974A4"/>
    <w:pPr>
      <w:numPr>
        <w:numId w:val="11"/>
      </w:numPr>
      <w:spacing w:before="70"/>
    </w:pPr>
  </w:style>
  <w:style w:type="paragraph" w:customStyle="1" w:styleId="Contents">
    <w:name w:val="Contents"/>
    <w:basedOn w:val="Heading1"/>
    <w:next w:val="TOC1"/>
    <w:uiPriority w:val="99"/>
    <w:rsid w:val="005C386A"/>
    <w:pPr>
      <w:pageBreakBefore w:val="0"/>
      <w:numPr>
        <w:numId w:val="0"/>
      </w:numPr>
    </w:pPr>
  </w:style>
  <w:style w:type="paragraph" w:customStyle="1" w:styleId="RecommendationNumber2">
    <w:name w:val="Recommendation Number 2"/>
    <w:basedOn w:val="RecommendationNumber"/>
    <w:uiPriority w:val="28"/>
    <w:rsid w:val="001E2A83"/>
    <w:pPr>
      <w:numPr>
        <w:ilvl w:val="1"/>
      </w:numPr>
    </w:pPr>
  </w:style>
  <w:style w:type="paragraph" w:customStyle="1" w:styleId="RecommendationHeading">
    <w:name w:val="Recommendation Heading"/>
    <w:basedOn w:val="BodyText"/>
    <w:next w:val="RecommendationNumber"/>
    <w:uiPriority w:val="28"/>
    <w:unhideWhenUsed/>
    <w:rsid w:val="00CA364E"/>
    <w:pPr>
      <w:spacing w:before="280"/>
    </w:pPr>
    <w:rPr>
      <w:rFonts w:ascii="Franklin Gothic Demi" w:hAnsi="Franklin Gothic Demi"/>
      <w:caps/>
      <w:color w:val="6F6652" w:themeColor="text2"/>
      <w:spacing w:val="10"/>
    </w:rPr>
  </w:style>
  <w:style w:type="paragraph" w:customStyle="1" w:styleId="Subtitlebox">
    <w:name w:val="Subtitle box"/>
    <w:aliases w:val="chart,table"/>
    <w:basedOn w:val="Caption"/>
    <w:uiPriority w:val="5"/>
    <w:rsid w:val="00425BAF"/>
    <w:pPr>
      <w:spacing w:before="0"/>
    </w:pPr>
    <w:rPr>
      <w:rFonts w:ascii="Franklin Gothic Book" w:hAnsi="Franklin Gothic Book"/>
      <w:sz w:val="17"/>
    </w:rPr>
  </w:style>
  <w:style w:type="paragraph" w:styleId="BodyText">
    <w:name w:val="Body Text"/>
    <w:aliases w:val="bt,Concepto,Body Text - Level 2,Body Text Char2 Char,Body Text Char Char1 Char,Body Text Char1 Char Char Char,Body Text Char Char Char Char Char,Body Text Char1 Char1 Char,Body Text Char Char Char1 Char,Body Text Char2 Char Char Char,body text"/>
    <w:basedOn w:val="Normal"/>
    <w:link w:val="BodyTextChar"/>
    <w:uiPriority w:val="2"/>
    <w:qFormat/>
    <w:rsid w:val="007438FF"/>
    <w:pPr>
      <w:spacing w:before="140"/>
    </w:pPr>
    <w:rPr>
      <w:rFonts w:asciiTheme="minorHAnsi" w:eastAsia="Times New Roman" w:hAnsiTheme="minorHAnsi"/>
    </w:rPr>
  </w:style>
  <w:style w:type="paragraph" w:styleId="ListNumber2">
    <w:name w:val="List Number 2"/>
    <w:basedOn w:val="BodyText"/>
    <w:uiPriority w:val="2"/>
    <w:rsid w:val="00497862"/>
    <w:pPr>
      <w:numPr>
        <w:ilvl w:val="1"/>
        <w:numId w:val="12"/>
      </w:numPr>
      <w:spacing w:before="40"/>
    </w:pPr>
  </w:style>
  <w:style w:type="character" w:customStyle="1" w:styleId="BodyTextChar">
    <w:name w:val="Body Text Char"/>
    <w:aliases w:val="bt Char,Concepto Char,Body Text - Level 2 Char,Body Text Char2 Char Char,Body Text Char Char1 Char Char,Body Text Char1 Char Char Char Char,Body Text Char Char Char Char Char Char,Body Text Char1 Char1 Char Char,body text Char"/>
    <w:link w:val="BodyText"/>
    <w:uiPriority w:val="2"/>
    <w:rsid w:val="007438FF"/>
    <w:rPr>
      <w:rFonts w:asciiTheme="minorHAnsi" w:eastAsia="Times New Roman" w:hAnsiTheme="minorHAnsi"/>
    </w:rPr>
  </w:style>
  <w:style w:type="paragraph" w:styleId="Caption">
    <w:name w:val="caption"/>
    <w:basedOn w:val="BodyText"/>
    <w:next w:val="Subtitlebox"/>
    <w:link w:val="CaptionChar"/>
    <w:uiPriority w:val="99"/>
    <w:unhideWhenUsed/>
    <w:qFormat/>
    <w:rsid w:val="008A036A"/>
    <w:pPr>
      <w:keepNext/>
      <w:numPr>
        <w:numId w:val="7"/>
      </w:numPr>
      <w:spacing w:before="360" w:after="80" w:line="260" w:lineRule="atLeast"/>
    </w:pPr>
    <w:rPr>
      <w:rFonts w:ascii="Franklin Gothic Demi" w:hAnsi="Franklin Gothic Demi"/>
      <w:szCs w:val="20"/>
    </w:rPr>
  </w:style>
  <w:style w:type="paragraph" w:customStyle="1" w:styleId="BoxHeading1">
    <w:name w:val="Box Heading 1"/>
    <w:basedOn w:val="Heading4"/>
    <w:next w:val="BodyText"/>
    <w:uiPriority w:val="9"/>
    <w:rsid w:val="009D667E"/>
    <w:pPr>
      <w:spacing w:before="240"/>
    </w:pPr>
    <w:rPr>
      <w:rFonts w:ascii="Franklin Gothic Demi" w:hAnsi="Franklin Gothic Demi"/>
      <w:b w:val="0"/>
      <w:i w:val="0"/>
      <w:color w:val="F61D12" w:themeColor="accent2"/>
    </w:rPr>
  </w:style>
  <w:style w:type="paragraph" w:customStyle="1" w:styleId="BoxHeading2">
    <w:name w:val="Box Heading 2"/>
    <w:basedOn w:val="BoxHeading1"/>
    <w:next w:val="BodyText"/>
    <w:uiPriority w:val="9"/>
    <w:rsid w:val="00F21CFB"/>
    <w:pPr>
      <w:spacing w:before="200"/>
    </w:pPr>
    <w:rPr>
      <w:rFonts w:ascii="Franklin Gothic Medium" w:hAnsi="Franklin Gothic Medium"/>
      <w:szCs w:val="20"/>
    </w:rPr>
  </w:style>
  <w:style w:type="paragraph" w:customStyle="1" w:styleId="ChartText">
    <w:name w:val="Chart Text"/>
    <w:basedOn w:val="TableTextEntries"/>
    <w:link w:val="ChartTextChar"/>
    <w:uiPriority w:val="23"/>
    <w:rsid w:val="00F87657"/>
    <w:pPr>
      <w:spacing w:before="0"/>
    </w:pPr>
    <w:rPr>
      <w:rFonts w:ascii="Franklin Gothic Medium" w:hAnsi="Franklin Gothic Medium"/>
    </w:rPr>
  </w:style>
  <w:style w:type="character" w:customStyle="1" w:styleId="ChartTextChar">
    <w:name w:val="Chart Text Char"/>
    <w:link w:val="ChartText"/>
    <w:uiPriority w:val="23"/>
    <w:rsid w:val="00F87657"/>
    <w:rPr>
      <w:rFonts w:ascii="Franklin Gothic Medium" w:eastAsia="Times New Roman" w:hAnsi="Franklin Gothic Medium"/>
      <w:sz w:val="16"/>
      <w:szCs w:val="18"/>
      <w:lang w:eastAsia="en-US"/>
    </w:rPr>
  </w:style>
  <w:style w:type="paragraph" w:customStyle="1" w:styleId="ChartBoldText">
    <w:name w:val="Chart Bold Text"/>
    <w:basedOn w:val="ChartText"/>
    <w:next w:val="ChartText"/>
    <w:uiPriority w:val="23"/>
    <w:rsid w:val="00DA2AB5"/>
    <w:pPr>
      <w:jc w:val="center"/>
    </w:pPr>
    <w:rPr>
      <w:rFonts w:ascii="Franklin Gothic Demi" w:hAnsi="Franklin Gothic Demi"/>
      <w:szCs w:val="17"/>
    </w:rPr>
  </w:style>
  <w:style w:type="paragraph" w:customStyle="1" w:styleId="ChartHighlight">
    <w:name w:val="Chart Highlight"/>
    <w:basedOn w:val="ChartBoldText"/>
    <w:uiPriority w:val="22"/>
    <w:rsid w:val="00DA2AB5"/>
    <w:pPr>
      <w:spacing w:line="220" w:lineRule="atLeast"/>
    </w:pPr>
    <w:rPr>
      <w:caps/>
      <w:sz w:val="20"/>
    </w:rPr>
  </w:style>
  <w:style w:type="paragraph" w:customStyle="1" w:styleId="Client">
    <w:name w:val="Client"/>
    <w:basedOn w:val="BodyText"/>
    <w:uiPriority w:val="32"/>
    <w:rsid w:val="00DA40B0"/>
    <w:pPr>
      <w:spacing w:before="0"/>
    </w:pPr>
    <w:rPr>
      <w:i/>
      <w:sz w:val="25"/>
    </w:rPr>
  </w:style>
  <w:style w:type="character" w:styleId="CommentReference">
    <w:name w:val="annotation reference"/>
    <w:basedOn w:val="BodyTextChar"/>
    <w:uiPriority w:val="49"/>
    <w:semiHidden/>
    <w:rsid w:val="000B2602"/>
    <w:rPr>
      <w:rFonts w:ascii="Franklin Gothic Demi" w:eastAsia="Times New Roman" w:hAnsi="Franklin Gothic Demi" w:cs="Times New Roman"/>
      <w:b w:val="0"/>
      <w:vanish/>
      <w:color w:val="FF00FF"/>
      <w:sz w:val="18"/>
      <w:szCs w:val="16"/>
    </w:rPr>
  </w:style>
  <w:style w:type="paragraph" w:styleId="CommentText">
    <w:name w:val="annotation text"/>
    <w:basedOn w:val="BodyText"/>
    <w:link w:val="CommentTextChar"/>
    <w:uiPriority w:val="49"/>
    <w:semiHidden/>
    <w:rsid w:val="00D83A2B"/>
    <w:pPr>
      <w:spacing w:before="80" w:line="240" w:lineRule="atLeast"/>
    </w:pPr>
    <w:rPr>
      <w:sz w:val="20"/>
      <w:szCs w:val="20"/>
    </w:rPr>
  </w:style>
  <w:style w:type="character" w:customStyle="1" w:styleId="CommentTextChar">
    <w:name w:val="Comment Text Char"/>
    <w:basedOn w:val="DefaultParagraphFont"/>
    <w:link w:val="CommentText"/>
    <w:uiPriority w:val="49"/>
    <w:semiHidden/>
    <w:rsid w:val="00D24560"/>
    <w:rPr>
      <w:rFonts w:asciiTheme="minorHAnsi" w:eastAsia="Times New Roman" w:hAnsiTheme="minorHAnsi"/>
      <w:sz w:val="20"/>
      <w:szCs w:val="20"/>
    </w:rPr>
  </w:style>
  <w:style w:type="numbering" w:customStyle="1" w:styleId="ChartListBullets">
    <w:name w:val="ChartListBullets"/>
    <w:uiPriority w:val="99"/>
    <w:rsid w:val="00CC4851"/>
    <w:pPr>
      <w:numPr>
        <w:numId w:val="3"/>
      </w:numPr>
    </w:pPr>
  </w:style>
  <w:style w:type="paragraph" w:customStyle="1" w:styleId="TableTextEntries">
    <w:name w:val="Table Text Entries"/>
    <w:basedOn w:val="BodyText"/>
    <w:uiPriority w:val="13"/>
    <w:rsid w:val="00BA1241"/>
    <w:pPr>
      <w:keepLines/>
      <w:spacing w:before="80" w:after="80" w:line="200" w:lineRule="atLeast"/>
    </w:pPr>
    <w:rPr>
      <w:rFonts w:ascii="Franklin Gothic Book" w:hAnsi="Franklin Gothic Book"/>
      <w:sz w:val="16"/>
      <w:szCs w:val="18"/>
      <w:lang w:eastAsia="en-US"/>
    </w:rPr>
  </w:style>
  <w:style w:type="paragraph" w:customStyle="1" w:styleId="Note">
    <w:name w:val="Note"/>
    <w:basedOn w:val="TableTextEntries"/>
    <w:next w:val="Source"/>
    <w:link w:val="NoteCharChar"/>
    <w:uiPriority w:val="15"/>
    <w:rsid w:val="008D63BD"/>
    <w:pPr>
      <w:spacing w:before="40" w:after="0" w:line="180" w:lineRule="atLeast"/>
    </w:pPr>
    <w:rPr>
      <w:sz w:val="14"/>
      <w:szCs w:val="16"/>
    </w:rPr>
  </w:style>
  <w:style w:type="character" w:customStyle="1" w:styleId="NoteCharChar">
    <w:name w:val="Note Char Char"/>
    <w:link w:val="Note"/>
    <w:uiPriority w:val="15"/>
    <w:rsid w:val="008D63BD"/>
    <w:rPr>
      <w:rFonts w:ascii="Franklin Gothic Medium" w:eastAsia="Times New Roman" w:hAnsi="Franklin Gothic Medium" w:cs="Times New Roman"/>
      <w:sz w:val="14"/>
      <w:szCs w:val="16"/>
      <w:lang w:eastAsia="en-US"/>
    </w:rPr>
  </w:style>
  <w:style w:type="paragraph" w:customStyle="1" w:styleId="Source">
    <w:name w:val="Source"/>
    <w:basedOn w:val="Note"/>
    <w:next w:val="BodyText"/>
    <w:uiPriority w:val="16"/>
    <w:rsid w:val="008D63BD"/>
    <w:pPr>
      <w:spacing w:after="60"/>
    </w:pPr>
  </w:style>
  <w:style w:type="paragraph" w:customStyle="1" w:styleId="Continued">
    <w:name w:val="Continued"/>
    <w:basedOn w:val="Source"/>
    <w:next w:val="BodyText"/>
    <w:link w:val="ContinuedChar"/>
    <w:uiPriority w:val="17"/>
    <w:rsid w:val="00BA1241"/>
    <w:pPr>
      <w:jc w:val="right"/>
    </w:pPr>
  </w:style>
  <w:style w:type="paragraph" w:styleId="Title">
    <w:name w:val="Title"/>
    <w:basedOn w:val="Normal"/>
    <w:next w:val="Subtitle"/>
    <w:link w:val="TitleChar"/>
    <w:uiPriority w:val="29"/>
    <w:qFormat/>
    <w:rsid w:val="0089278E"/>
    <w:pPr>
      <w:spacing w:line="500" w:lineRule="atLeast"/>
    </w:pPr>
    <w:rPr>
      <w:rFonts w:asciiTheme="majorHAnsi" w:eastAsia="Times New Roman" w:hAnsiTheme="majorHAnsi"/>
      <w:spacing w:val="-2"/>
      <w:kern w:val="28"/>
      <w:sz w:val="44"/>
      <w:szCs w:val="48"/>
    </w:rPr>
  </w:style>
  <w:style w:type="character" w:customStyle="1" w:styleId="TitleChar">
    <w:name w:val="Title Char"/>
    <w:basedOn w:val="DefaultParagraphFont"/>
    <w:link w:val="Title"/>
    <w:uiPriority w:val="29"/>
    <w:rsid w:val="001624ED"/>
    <w:rPr>
      <w:rFonts w:asciiTheme="majorHAnsi" w:eastAsia="Times New Roman" w:hAnsiTheme="majorHAnsi"/>
      <w:spacing w:val="-2"/>
      <w:kern w:val="28"/>
      <w:sz w:val="44"/>
      <w:szCs w:val="48"/>
    </w:rPr>
  </w:style>
  <w:style w:type="paragraph" w:styleId="Subtitle">
    <w:name w:val="Subtitle"/>
    <w:basedOn w:val="Title"/>
    <w:link w:val="SubtitleChar"/>
    <w:uiPriority w:val="30"/>
    <w:qFormat/>
    <w:rsid w:val="008F6EF9"/>
    <w:pPr>
      <w:spacing w:before="280" w:line="320" w:lineRule="atLeast"/>
    </w:pPr>
    <w:rPr>
      <w:sz w:val="25"/>
      <w:szCs w:val="28"/>
    </w:rPr>
  </w:style>
  <w:style w:type="character" w:customStyle="1" w:styleId="SubtitleChar">
    <w:name w:val="Subtitle Char"/>
    <w:basedOn w:val="DefaultParagraphFont"/>
    <w:link w:val="Subtitle"/>
    <w:uiPriority w:val="30"/>
    <w:rsid w:val="001624ED"/>
    <w:rPr>
      <w:rFonts w:asciiTheme="majorHAnsi" w:eastAsia="Times New Roman" w:hAnsiTheme="majorHAnsi"/>
      <w:spacing w:val="-2"/>
      <w:kern w:val="28"/>
      <w:sz w:val="25"/>
      <w:szCs w:val="28"/>
    </w:rPr>
  </w:style>
  <w:style w:type="paragraph" w:styleId="Date">
    <w:name w:val="Date"/>
    <w:basedOn w:val="Subtitle"/>
    <w:link w:val="DateChar"/>
    <w:uiPriority w:val="33"/>
    <w:rsid w:val="00DA40B0"/>
    <w:pPr>
      <w:spacing w:before="140" w:line="280" w:lineRule="atLeast"/>
    </w:pPr>
    <w:rPr>
      <w:i/>
      <w:color w:val="6F6652" w:themeColor="text2"/>
      <w:spacing w:val="0"/>
    </w:rPr>
  </w:style>
  <w:style w:type="character" w:customStyle="1" w:styleId="DateChar">
    <w:name w:val="Date Char"/>
    <w:basedOn w:val="DefaultParagraphFont"/>
    <w:link w:val="Date"/>
    <w:uiPriority w:val="33"/>
    <w:rsid w:val="001624ED"/>
    <w:rPr>
      <w:rFonts w:asciiTheme="majorHAnsi" w:eastAsia="Times New Roman" w:hAnsiTheme="majorHAnsi"/>
      <w:i/>
      <w:color w:val="6F6652" w:themeColor="text2"/>
      <w:kern w:val="28"/>
      <w:sz w:val="25"/>
      <w:szCs w:val="28"/>
    </w:rPr>
  </w:style>
  <w:style w:type="character" w:customStyle="1" w:styleId="DraftingNote">
    <w:name w:val="Drafting Note"/>
    <w:uiPriority w:val="2"/>
    <w:rsid w:val="00F31AEF"/>
    <w:rPr>
      <w:rFonts w:asciiTheme="minorHAnsi" w:hAnsiTheme="minorHAnsi"/>
      <w:b/>
      <w:color w:val="0070C0"/>
      <w:u w:val="dotted"/>
    </w:rPr>
  </w:style>
  <w:style w:type="paragraph" w:styleId="Footer">
    <w:name w:val="footer"/>
    <w:basedOn w:val="BodyText"/>
    <w:link w:val="FooterChar"/>
    <w:uiPriority w:val="99"/>
    <w:rsid w:val="00B52205"/>
    <w:pPr>
      <w:spacing w:before="0" w:line="200" w:lineRule="atLeast"/>
    </w:pPr>
    <w:rPr>
      <w:i/>
      <w:color w:val="6F6652" w:themeColor="text2"/>
      <w:sz w:val="16"/>
      <w:szCs w:val="14"/>
    </w:rPr>
  </w:style>
  <w:style w:type="character" w:customStyle="1" w:styleId="FooterChar">
    <w:name w:val="Footer Char"/>
    <w:basedOn w:val="DefaultParagraphFont"/>
    <w:link w:val="Footer"/>
    <w:uiPriority w:val="99"/>
    <w:rsid w:val="001624ED"/>
    <w:rPr>
      <w:rFonts w:asciiTheme="minorHAnsi" w:eastAsia="Times New Roman" w:hAnsiTheme="minorHAnsi"/>
      <w:i/>
      <w:color w:val="6F6652" w:themeColor="text2"/>
      <w:sz w:val="16"/>
      <w:szCs w:val="14"/>
    </w:rPr>
  </w:style>
  <w:style w:type="character" w:styleId="FootnoteReference">
    <w:name w:val="footnote reference"/>
    <w:unhideWhenUsed/>
    <w:rsid w:val="008A036A"/>
    <w:rPr>
      <w:rFonts w:ascii="Calisto MT" w:hAnsi="Calisto MT"/>
      <w:b w:val="0"/>
      <w:i w:val="0"/>
      <w:color w:val="auto"/>
      <w:w w:val="100"/>
      <w:position w:val="4"/>
      <w:sz w:val="18"/>
      <w:szCs w:val="21"/>
      <w:vertAlign w:val="baseline"/>
    </w:rPr>
  </w:style>
  <w:style w:type="paragraph" w:styleId="FootnoteText">
    <w:name w:val="footnote text"/>
    <w:basedOn w:val="BodyText"/>
    <w:link w:val="FootnoteTextChar"/>
    <w:unhideWhenUsed/>
    <w:rsid w:val="008A036A"/>
    <w:pPr>
      <w:spacing w:before="80" w:line="240" w:lineRule="atLeast"/>
      <w:ind w:left="284" w:hanging="284"/>
    </w:pPr>
    <w:rPr>
      <w:sz w:val="19"/>
      <w:szCs w:val="18"/>
    </w:rPr>
  </w:style>
  <w:style w:type="character" w:customStyle="1" w:styleId="FootnoteTextChar">
    <w:name w:val="Footnote Text Char"/>
    <w:basedOn w:val="DefaultParagraphFont"/>
    <w:link w:val="FootnoteText"/>
    <w:rsid w:val="002812E4"/>
    <w:rPr>
      <w:rFonts w:asciiTheme="minorHAnsi" w:eastAsia="Times New Roman" w:hAnsiTheme="minorHAnsi"/>
      <w:sz w:val="19"/>
      <w:szCs w:val="18"/>
    </w:rPr>
  </w:style>
  <w:style w:type="paragraph" w:styleId="Header">
    <w:name w:val="header"/>
    <w:basedOn w:val="BodyText"/>
    <w:link w:val="HeaderChar"/>
    <w:uiPriority w:val="99"/>
    <w:rsid w:val="00222BF5"/>
    <w:pPr>
      <w:pBdr>
        <w:bottom w:val="single" w:sz="4" w:space="1" w:color="F61D12" w:themeColor="accent2"/>
      </w:pBdr>
      <w:tabs>
        <w:tab w:val="left" w:pos="-567"/>
        <w:tab w:val="left" w:pos="0"/>
        <w:tab w:val="right" w:pos="7938"/>
        <w:tab w:val="right" w:pos="8505"/>
      </w:tabs>
      <w:spacing w:before="480" w:line="240" w:lineRule="atLeast"/>
      <w:ind w:left="-2268" w:right="-2268"/>
    </w:pPr>
    <w:rPr>
      <w:rFonts w:ascii="Franklin Gothic Medium" w:hAnsi="Franklin Gothic Medium"/>
      <w:sz w:val="14"/>
      <w:szCs w:val="14"/>
    </w:rPr>
  </w:style>
  <w:style w:type="character" w:customStyle="1" w:styleId="HeaderChar">
    <w:name w:val="Header Char"/>
    <w:basedOn w:val="DefaultParagraphFont"/>
    <w:link w:val="Header"/>
    <w:uiPriority w:val="99"/>
    <w:rsid w:val="001624ED"/>
    <w:rPr>
      <w:rFonts w:ascii="Franklin Gothic Medium" w:eastAsia="Times New Roman" w:hAnsi="Franklin Gothic Medium"/>
      <w:sz w:val="14"/>
      <w:szCs w:val="14"/>
    </w:rPr>
  </w:style>
  <w:style w:type="character" w:customStyle="1" w:styleId="Heading1Char">
    <w:name w:val="Heading 1 Char"/>
    <w:basedOn w:val="DefaultParagraphFont"/>
    <w:link w:val="Heading1"/>
    <w:rsid w:val="00F474C1"/>
    <w:rPr>
      <w:rFonts w:asciiTheme="majorHAnsi" w:eastAsia="Times New Roman" w:hAnsiTheme="majorHAnsi"/>
      <w:i/>
      <w:kern w:val="28"/>
      <w:sz w:val="36"/>
      <w:szCs w:val="32"/>
    </w:rPr>
  </w:style>
  <w:style w:type="character" w:customStyle="1" w:styleId="Heading2Char">
    <w:name w:val="Heading 2 Char"/>
    <w:aliases w:val="h2 Char,2 Char,H2 Char,p Char"/>
    <w:basedOn w:val="DefaultParagraphFont"/>
    <w:link w:val="Heading2"/>
    <w:rsid w:val="00814B8B"/>
    <w:rPr>
      <w:rFonts w:asciiTheme="majorHAnsi" w:eastAsia="Times New Roman" w:hAnsiTheme="majorHAnsi"/>
      <w:b/>
      <w:i/>
      <w:color w:val="F61D12" w:themeColor="accent2"/>
      <w:kern w:val="28"/>
      <w:sz w:val="30"/>
      <w:szCs w:val="26"/>
    </w:rPr>
  </w:style>
  <w:style w:type="paragraph" w:styleId="ListBullet2">
    <w:name w:val="List Bullet 2"/>
    <w:basedOn w:val="ListBullet"/>
    <w:uiPriority w:val="2"/>
    <w:rsid w:val="004C31EE"/>
    <w:pPr>
      <w:numPr>
        <w:ilvl w:val="1"/>
      </w:numPr>
      <w:spacing w:before="40"/>
      <w:ind w:left="568" w:hanging="284"/>
    </w:pPr>
  </w:style>
  <w:style w:type="character" w:customStyle="1" w:styleId="Heading3Char">
    <w:name w:val="Heading 3 Char"/>
    <w:basedOn w:val="DefaultParagraphFont"/>
    <w:link w:val="Heading3"/>
    <w:rsid w:val="002F2DAD"/>
    <w:rPr>
      <w:rFonts w:eastAsia="Times New Roman"/>
      <w:b/>
      <w:i/>
      <w:kern w:val="28"/>
      <w:sz w:val="25"/>
      <w:szCs w:val="22"/>
    </w:rPr>
  </w:style>
  <w:style w:type="character" w:customStyle="1" w:styleId="Heading4Char">
    <w:name w:val="Heading 4 Char"/>
    <w:basedOn w:val="DefaultParagraphFont"/>
    <w:link w:val="Heading4"/>
    <w:rsid w:val="00FC141A"/>
    <w:rPr>
      <w:rFonts w:eastAsia="Times New Roman"/>
      <w:b/>
      <w:i/>
      <w:color w:val="6F6652" w:themeColor="text2"/>
      <w:kern w:val="28"/>
      <w:szCs w:val="22"/>
    </w:rPr>
  </w:style>
  <w:style w:type="character" w:customStyle="1" w:styleId="Heading5Char">
    <w:name w:val="Heading 5 Char"/>
    <w:basedOn w:val="DefaultParagraphFont"/>
    <w:link w:val="Heading5"/>
    <w:rsid w:val="00742A5F"/>
    <w:rPr>
      <w:rFonts w:asciiTheme="minorHAnsi" w:eastAsia="Times New Roman" w:hAnsiTheme="minorHAnsi"/>
      <w:i/>
      <w:color w:val="6F6652" w:themeColor="text2"/>
      <w:kern w:val="28"/>
      <w:szCs w:val="22"/>
    </w:rPr>
  </w:style>
  <w:style w:type="character" w:customStyle="1" w:styleId="Heading6Char">
    <w:name w:val="Heading 6 Char"/>
    <w:basedOn w:val="DefaultParagraphFont"/>
    <w:link w:val="Heading6"/>
    <w:rsid w:val="000E5731"/>
    <w:rPr>
      <w:rFonts w:asciiTheme="majorHAnsi" w:eastAsia="Times New Roman" w:hAnsiTheme="majorHAnsi"/>
      <w:bCs/>
      <w:i/>
      <w:kern w:val="28"/>
      <w:sz w:val="36"/>
      <w:szCs w:val="32"/>
    </w:rPr>
  </w:style>
  <w:style w:type="character" w:customStyle="1" w:styleId="Heading7Char">
    <w:name w:val="Heading 7 Char"/>
    <w:basedOn w:val="DefaultParagraphFont"/>
    <w:link w:val="Heading7"/>
    <w:rsid w:val="00395D18"/>
    <w:rPr>
      <w:rFonts w:eastAsia="Times New Roman"/>
      <w:b/>
      <w:i/>
      <w:kern w:val="28"/>
      <w:sz w:val="30"/>
      <w:szCs w:val="26"/>
    </w:rPr>
  </w:style>
  <w:style w:type="character" w:customStyle="1" w:styleId="Heading8Char">
    <w:name w:val="Heading 8 Char"/>
    <w:basedOn w:val="DefaultParagraphFont"/>
    <w:link w:val="Heading8"/>
    <w:rsid w:val="00CE3386"/>
    <w:rPr>
      <w:rFonts w:eastAsia="Times New Roman"/>
      <w:b/>
      <w:i/>
      <w:kern w:val="28"/>
      <w:sz w:val="25"/>
      <w:szCs w:val="22"/>
    </w:rPr>
  </w:style>
  <w:style w:type="character" w:customStyle="1" w:styleId="Heading9Char">
    <w:name w:val="Heading 9 Char"/>
    <w:basedOn w:val="DefaultParagraphFont"/>
    <w:link w:val="Heading9"/>
    <w:rsid w:val="00F47B3A"/>
    <w:rPr>
      <w:rFonts w:eastAsia="Times New Roman"/>
      <w:b/>
      <w:i/>
      <w:kern w:val="28"/>
      <w:szCs w:val="22"/>
    </w:rPr>
  </w:style>
  <w:style w:type="character" w:styleId="Hyperlink">
    <w:name w:val="Hyperlink"/>
    <w:uiPriority w:val="99"/>
    <w:semiHidden/>
    <w:rsid w:val="00FE6AD6"/>
    <w:rPr>
      <w:b w:val="0"/>
      <w:i w:val="0"/>
      <w:color w:val="6F6652" w:themeColor="text2"/>
      <w:u w:val="none"/>
    </w:rPr>
  </w:style>
  <w:style w:type="paragraph" w:customStyle="1" w:styleId="Invisiblepara">
    <w:name w:val="Invisible para"/>
    <w:basedOn w:val="Normal"/>
    <w:uiPriority w:val="99"/>
    <w:rsid w:val="00664723"/>
    <w:pPr>
      <w:keepNext/>
      <w:spacing w:before="320" w:line="80" w:lineRule="exact"/>
    </w:pPr>
    <w:rPr>
      <w:rFonts w:eastAsia="Times New Roman"/>
      <w:szCs w:val="20"/>
    </w:rPr>
  </w:style>
  <w:style w:type="character" w:customStyle="1" w:styleId="NoteLabel">
    <w:name w:val="Note Label"/>
    <w:uiPriority w:val="15"/>
    <w:rsid w:val="008D63BD"/>
    <w:rPr>
      <w:rFonts w:ascii="Franklin Gothic Demi" w:hAnsi="Franklin Gothic Demi"/>
      <w:b w:val="0"/>
      <w:i w:val="0"/>
      <w:color w:val="9B917E" w:themeColor="accent4"/>
      <w:position w:val="4"/>
      <w:sz w:val="14"/>
      <w:szCs w:val="16"/>
    </w:rPr>
  </w:style>
  <w:style w:type="character" w:styleId="PageNumber">
    <w:name w:val="page number"/>
    <w:uiPriority w:val="99"/>
    <w:rsid w:val="00AB00C7"/>
    <w:rPr>
      <w:rFonts w:ascii="Franklin Gothic Demi" w:hAnsi="Franklin Gothic Demi"/>
      <w:b w:val="0"/>
      <w:color w:val="006B7A" w:themeColor="accent1"/>
      <w:sz w:val="20"/>
      <w:szCs w:val="20"/>
    </w:rPr>
  </w:style>
  <w:style w:type="paragraph" w:styleId="Quote">
    <w:name w:val="Quote"/>
    <w:basedOn w:val="BodyText"/>
    <w:next w:val="BodyText"/>
    <w:link w:val="QuoteChar"/>
    <w:qFormat/>
    <w:rsid w:val="00B27E6E"/>
    <w:pPr>
      <w:spacing w:before="70" w:line="260" w:lineRule="atLeast"/>
      <w:ind w:left="284"/>
    </w:pPr>
    <w:rPr>
      <w:sz w:val="19"/>
      <w:szCs w:val="20"/>
    </w:rPr>
  </w:style>
  <w:style w:type="character" w:customStyle="1" w:styleId="QuoteChar">
    <w:name w:val="Quote Char"/>
    <w:basedOn w:val="DefaultParagraphFont"/>
    <w:link w:val="Quote"/>
    <w:rsid w:val="00B27E6E"/>
    <w:rPr>
      <w:rFonts w:asciiTheme="minorHAnsi" w:eastAsia="Times New Roman" w:hAnsiTheme="minorHAnsi"/>
      <w:sz w:val="19"/>
      <w:szCs w:val="20"/>
    </w:rPr>
  </w:style>
  <w:style w:type="paragraph" w:customStyle="1" w:styleId="RecommendationNumber">
    <w:name w:val="Recommendation Number"/>
    <w:basedOn w:val="BodyText"/>
    <w:next w:val="RecommendationNumber2"/>
    <w:uiPriority w:val="28"/>
    <w:rsid w:val="002C0234"/>
    <w:pPr>
      <w:numPr>
        <w:numId w:val="10"/>
      </w:numPr>
      <w:spacing w:before="80"/>
    </w:pPr>
    <w:rPr>
      <w:rFonts w:ascii="Franklin Gothic Book" w:eastAsia="MS Mincho" w:hAnsi="Franklin Gothic Book" w:cs="MS Mincho"/>
    </w:rPr>
  </w:style>
  <w:style w:type="paragraph" w:customStyle="1" w:styleId="Reference">
    <w:name w:val="Reference"/>
    <w:basedOn w:val="BodyText"/>
    <w:uiPriority w:val="3"/>
    <w:qFormat/>
    <w:rsid w:val="00B27E6E"/>
    <w:pPr>
      <w:spacing w:before="70" w:line="260" w:lineRule="atLeast"/>
      <w:ind w:left="284" w:hanging="284"/>
    </w:pPr>
    <w:rPr>
      <w:sz w:val="19"/>
      <w:szCs w:val="20"/>
    </w:rPr>
  </w:style>
  <w:style w:type="paragraph" w:customStyle="1" w:styleId="Reporttype">
    <w:name w:val="Report type"/>
    <w:basedOn w:val="Date"/>
    <w:next w:val="Title"/>
    <w:uiPriority w:val="31"/>
    <w:rsid w:val="009A4238"/>
    <w:pPr>
      <w:spacing w:before="0" w:after="280" w:line="260" w:lineRule="atLeast"/>
    </w:pPr>
    <w:rPr>
      <w:rFonts w:ascii="Franklin Gothic Demi" w:hAnsi="Franklin Gothic Demi"/>
      <w:i w:val="0"/>
      <w:caps/>
      <w:color w:val="F61D12" w:themeColor="accent2"/>
      <w:spacing w:val="44"/>
      <w:sz w:val="22"/>
    </w:rPr>
  </w:style>
  <w:style w:type="paragraph" w:customStyle="1" w:styleId="TableDataEntries">
    <w:name w:val="Table Data Entries"/>
    <w:basedOn w:val="TableTextEntries"/>
    <w:uiPriority w:val="11"/>
    <w:rsid w:val="003C4883"/>
    <w:pPr>
      <w:spacing w:before="40" w:after="40"/>
      <w:jc w:val="right"/>
    </w:pPr>
  </w:style>
  <w:style w:type="paragraph" w:customStyle="1" w:styleId="TableDataColumnHeading">
    <w:name w:val="Table Data Column Heading"/>
    <w:basedOn w:val="TableDataEntries"/>
    <w:uiPriority w:val="11"/>
    <w:rsid w:val="00E879B8"/>
    <w:pPr>
      <w:keepNext/>
      <w:spacing w:before="80" w:after="80"/>
    </w:pPr>
    <w:rPr>
      <w:rFonts w:ascii="Franklin Gothic Demi" w:hAnsi="Franklin Gothic Demi"/>
      <w:color w:val="FFFFFF"/>
    </w:rPr>
  </w:style>
  <w:style w:type="paragraph" w:customStyle="1" w:styleId="TableHeading1">
    <w:name w:val="Table Heading 1"/>
    <w:basedOn w:val="TableTextEntries"/>
    <w:next w:val="TableTextEntries"/>
    <w:uiPriority w:val="10"/>
    <w:rsid w:val="00FC141A"/>
    <w:pPr>
      <w:spacing w:before="140"/>
    </w:pPr>
    <w:rPr>
      <w:rFonts w:ascii="Franklin Gothic Demi" w:hAnsi="Franklin Gothic Demi"/>
      <w:color w:val="6F6652" w:themeColor="text2"/>
    </w:rPr>
  </w:style>
  <w:style w:type="paragraph" w:customStyle="1" w:styleId="TableHeading2">
    <w:name w:val="Table Heading 2"/>
    <w:basedOn w:val="TableHeading1"/>
    <w:next w:val="TableTextEntries"/>
    <w:uiPriority w:val="10"/>
    <w:rsid w:val="00591C8C"/>
    <w:pPr>
      <w:spacing w:before="80"/>
    </w:pPr>
    <w:rPr>
      <w:rFonts w:ascii="Franklin Gothic Medium" w:hAnsi="Franklin Gothic Medium"/>
    </w:rPr>
  </w:style>
  <w:style w:type="paragraph" w:customStyle="1" w:styleId="TableTextColumnHeading">
    <w:name w:val="Table Text Column Heading"/>
    <w:basedOn w:val="TableDataColumnHeading"/>
    <w:uiPriority w:val="13"/>
    <w:rsid w:val="00D950CE"/>
    <w:pPr>
      <w:jc w:val="left"/>
    </w:pPr>
  </w:style>
  <w:style w:type="paragraph" w:customStyle="1" w:styleId="TableUnit">
    <w:name w:val="Table Unit"/>
    <w:basedOn w:val="TableDataColumnHeading"/>
    <w:next w:val="TableDataEntries"/>
    <w:uiPriority w:val="11"/>
    <w:rsid w:val="00AF5770"/>
    <w:rPr>
      <w:rFonts w:ascii="Franklin Gothic Book" w:hAnsi="Franklin Gothic Book"/>
      <w:color w:val="auto"/>
      <w:szCs w:val="17"/>
    </w:rPr>
  </w:style>
  <w:style w:type="paragraph" w:styleId="TOC1">
    <w:name w:val="toc 1"/>
    <w:basedOn w:val="BodyText"/>
    <w:next w:val="TOC2"/>
    <w:uiPriority w:val="39"/>
    <w:rsid w:val="006B34C3"/>
    <w:pPr>
      <w:tabs>
        <w:tab w:val="left" w:pos="340"/>
        <w:tab w:val="right" w:pos="7938"/>
      </w:tabs>
      <w:spacing w:line="260" w:lineRule="atLeast"/>
      <w:ind w:right="567"/>
    </w:pPr>
    <w:rPr>
      <w:rFonts w:ascii="Franklin Gothic Demi" w:hAnsi="Franklin Gothic Demi"/>
      <w:szCs w:val="24"/>
    </w:rPr>
  </w:style>
  <w:style w:type="paragraph" w:styleId="TOC2">
    <w:name w:val="toc 2"/>
    <w:basedOn w:val="TOC1"/>
    <w:uiPriority w:val="39"/>
    <w:rsid w:val="00D908FD"/>
    <w:pPr>
      <w:tabs>
        <w:tab w:val="clear" w:pos="340"/>
      </w:tabs>
      <w:spacing w:before="60"/>
      <w:ind w:left="340"/>
    </w:pPr>
    <w:rPr>
      <w:rFonts w:ascii="Calisto MT" w:hAnsi="Calisto MT"/>
    </w:rPr>
  </w:style>
  <w:style w:type="paragraph" w:styleId="TOC3">
    <w:name w:val="toc 3"/>
    <w:basedOn w:val="TOC2"/>
    <w:next w:val="BodyText"/>
    <w:uiPriority w:val="39"/>
    <w:semiHidden/>
    <w:rsid w:val="00D908FD"/>
    <w:pPr>
      <w:ind w:left="680"/>
    </w:pPr>
  </w:style>
  <w:style w:type="paragraph" w:styleId="TOC6">
    <w:name w:val="toc 6"/>
    <w:basedOn w:val="BodyText"/>
    <w:next w:val="BodyText"/>
    <w:uiPriority w:val="39"/>
    <w:semiHidden/>
    <w:rsid w:val="0052602A"/>
    <w:pPr>
      <w:tabs>
        <w:tab w:val="left" w:pos="284"/>
        <w:tab w:val="right" w:pos="7655"/>
      </w:tabs>
      <w:ind w:left="284" w:right="567" w:hanging="284"/>
    </w:pPr>
  </w:style>
  <w:style w:type="paragraph" w:styleId="TOC7">
    <w:name w:val="toc 7"/>
    <w:basedOn w:val="TOC6"/>
    <w:next w:val="TOC1"/>
    <w:uiPriority w:val="39"/>
    <w:semiHidden/>
    <w:rsid w:val="009C0B20"/>
    <w:pPr>
      <w:tabs>
        <w:tab w:val="left" w:pos="1418"/>
      </w:tabs>
      <w:spacing w:before="80"/>
      <w:ind w:left="709" w:hanging="425"/>
    </w:pPr>
  </w:style>
  <w:style w:type="numbering" w:customStyle="1" w:styleId="HeadingNumbers">
    <w:name w:val="HeadingNumbers"/>
    <w:uiPriority w:val="99"/>
    <w:rsid w:val="00FD7C5A"/>
    <w:pPr>
      <w:numPr>
        <w:numId w:val="5"/>
      </w:numPr>
    </w:pPr>
  </w:style>
  <w:style w:type="paragraph" w:customStyle="1" w:styleId="TableListBullet">
    <w:name w:val="Table List Bullet"/>
    <w:basedOn w:val="TableTextEntries"/>
    <w:uiPriority w:val="14"/>
    <w:rsid w:val="00E35B83"/>
    <w:pPr>
      <w:numPr>
        <w:numId w:val="9"/>
      </w:numPr>
      <w:spacing w:line="210" w:lineRule="atLeast"/>
    </w:pPr>
    <w:rPr>
      <w:szCs w:val="19"/>
    </w:rPr>
  </w:style>
  <w:style w:type="paragraph" w:customStyle="1" w:styleId="TableListBullet2">
    <w:name w:val="Table List Bullet 2"/>
    <w:basedOn w:val="TableListBullet"/>
    <w:uiPriority w:val="14"/>
    <w:rsid w:val="00B402A3"/>
    <w:pPr>
      <w:numPr>
        <w:ilvl w:val="1"/>
      </w:numPr>
    </w:pPr>
  </w:style>
  <w:style w:type="paragraph" w:customStyle="1" w:styleId="TableListNumber">
    <w:name w:val="Table List Number"/>
    <w:basedOn w:val="TableTextEntries"/>
    <w:uiPriority w:val="14"/>
    <w:rsid w:val="00497862"/>
    <w:pPr>
      <w:numPr>
        <w:numId w:val="1"/>
      </w:numPr>
      <w:spacing w:before="40" w:after="40"/>
    </w:pPr>
    <w:rPr>
      <w:szCs w:val="19"/>
    </w:rPr>
  </w:style>
  <w:style w:type="paragraph" w:customStyle="1" w:styleId="TableListNumber2">
    <w:name w:val="Table List Number 2"/>
    <w:basedOn w:val="TableListNumber"/>
    <w:uiPriority w:val="14"/>
    <w:rsid w:val="00B402A3"/>
    <w:pPr>
      <w:numPr>
        <w:ilvl w:val="1"/>
      </w:numPr>
    </w:pPr>
  </w:style>
  <w:style w:type="numbering" w:customStyle="1" w:styleId="TableListBullets">
    <w:name w:val="TableListBullets"/>
    <w:uiPriority w:val="99"/>
    <w:rsid w:val="00E35B83"/>
    <w:pPr>
      <w:numPr>
        <w:numId w:val="2"/>
      </w:numPr>
    </w:pPr>
  </w:style>
  <w:style w:type="numbering" w:customStyle="1" w:styleId="TableListNumbers">
    <w:name w:val="TableListNumbers"/>
    <w:uiPriority w:val="99"/>
    <w:rsid w:val="00497862"/>
    <w:pPr>
      <w:numPr>
        <w:numId w:val="1"/>
      </w:numPr>
    </w:pPr>
  </w:style>
  <w:style w:type="character" w:styleId="PlaceholderText">
    <w:name w:val="Placeholder Text"/>
    <w:basedOn w:val="DefaultParagraphFont"/>
    <w:uiPriority w:val="99"/>
    <w:semiHidden/>
    <w:rsid w:val="00AF4E66"/>
    <w:rPr>
      <w:color w:val="808080"/>
    </w:rPr>
  </w:style>
  <w:style w:type="paragraph" w:customStyle="1" w:styleId="ChartListBullet">
    <w:name w:val="Chart List Bullet"/>
    <w:basedOn w:val="TableListBullet"/>
    <w:uiPriority w:val="24"/>
    <w:rsid w:val="00CC4851"/>
    <w:pPr>
      <w:numPr>
        <w:numId w:val="3"/>
      </w:numPr>
      <w:spacing w:before="50" w:after="0" w:line="200" w:lineRule="atLeast"/>
    </w:pPr>
    <w:rPr>
      <w:rFonts w:ascii="Franklin Gothic Medium" w:hAnsi="Franklin Gothic Medium"/>
      <w:szCs w:val="18"/>
    </w:rPr>
  </w:style>
  <w:style w:type="paragraph" w:customStyle="1" w:styleId="ChartListBullet2">
    <w:name w:val="Chart List Bullet 2"/>
    <w:basedOn w:val="ChartText"/>
    <w:uiPriority w:val="24"/>
    <w:rsid w:val="00CC4851"/>
    <w:pPr>
      <w:numPr>
        <w:ilvl w:val="1"/>
        <w:numId w:val="3"/>
      </w:numPr>
      <w:spacing w:before="30"/>
    </w:pPr>
  </w:style>
  <w:style w:type="paragraph" w:customStyle="1" w:styleId="ChartListNumber0">
    <w:name w:val="Chart List Number"/>
    <w:basedOn w:val="ChartText"/>
    <w:uiPriority w:val="24"/>
    <w:rsid w:val="004563C5"/>
    <w:pPr>
      <w:numPr>
        <w:numId w:val="4"/>
      </w:numPr>
      <w:spacing w:before="60"/>
    </w:pPr>
  </w:style>
  <w:style w:type="numbering" w:customStyle="1" w:styleId="ChartListNumber">
    <w:name w:val="ChartListNumber"/>
    <w:uiPriority w:val="99"/>
    <w:rsid w:val="004563C5"/>
    <w:pPr>
      <w:numPr>
        <w:numId w:val="4"/>
      </w:numPr>
    </w:pPr>
  </w:style>
  <w:style w:type="numbering" w:customStyle="1" w:styleId="RecommendationNumbers">
    <w:name w:val="RecommendationNumbers"/>
    <w:uiPriority w:val="99"/>
    <w:rsid w:val="002C0234"/>
    <w:pPr>
      <w:numPr>
        <w:numId w:val="6"/>
      </w:numPr>
    </w:pPr>
  </w:style>
  <w:style w:type="paragraph" w:customStyle="1" w:styleId="Abbreviation">
    <w:name w:val="Abbreviation"/>
    <w:basedOn w:val="BodyText"/>
    <w:uiPriority w:val="3"/>
    <w:rsid w:val="002321B8"/>
    <w:pPr>
      <w:ind w:left="1134" w:hanging="1134"/>
    </w:pPr>
  </w:style>
  <w:style w:type="paragraph" w:styleId="TableofFigures">
    <w:name w:val="table of figures"/>
    <w:basedOn w:val="BodyText"/>
    <w:next w:val="BodyText"/>
    <w:uiPriority w:val="99"/>
    <w:rsid w:val="00830E27"/>
    <w:pPr>
      <w:tabs>
        <w:tab w:val="left" w:pos="510"/>
        <w:tab w:val="right" w:pos="7938"/>
      </w:tabs>
      <w:spacing w:before="60" w:line="260" w:lineRule="atLeast"/>
      <w:ind w:left="510" w:right="567" w:hanging="510"/>
    </w:pPr>
  </w:style>
  <w:style w:type="table" w:styleId="TableGrid">
    <w:name w:val="Table Grid"/>
    <w:basedOn w:val="TableNormal"/>
    <w:uiPriority w:val="59"/>
    <w:rsid w:val="00C9369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19F1"/>
    <w:rPr>
      <w:color w:val="9B917E" w:themeColor="followedHyperlink"/>
      <w:u w:val="single"/>
    </w:rPr>
  </w:style>
  <w:style w:type="paragraph" w:styleId="NoSpacing">
    <w:name w:val="No Spacing"/>
    <w:basedOn w:val="Normal"/>
    <w:uiPriority w:val="1"/>
    <w:semiHidden/>
    <w:qFormat/>
    <w:rsid w:val="00DD7B16"/>
    <w:pPr>
      <w:spacing w:line="240" w:lineRule="auto"/>
    </w:pPr>
    <w:rPr>
      <w:rFonts w:asciiTheme="minorHAnsi" w:eastAsiaTheme="minorHAnsi" w:hAnsiTheme="minorHAnsi"/>
      <w:color w:val="000000" w:themeColor="text1"/>
      <w:szCs w:val="20"/>
      <w:lang w:val="en-US" w:eastAsia="ja-JP"/>
    </w:rPr>
  </w:style>
  <w:style w:type="paragraph" w:styleId="CommentSubject">
    <w:name w:val="annotation subject"/>
    <w:basedOn w:val="CommentText"/>
    <w:next w:val="CommentText"/>
    <w:link w:val="CommentSubjectChar"/>
    <w:uiPriority w:val="99"/>
    <w:semiHidden/>
    <w:rsid w:val="00EB66C5"/>
    <w:pPr>
      <w:spacing w:before="0" w:line="240" w:lineRule="auto"/>
    </w:pPr>
    <w:rPr>
      <w:rFonts w:ascii="Calibri" w:eastAsiaTheme="minorEastAsia" w:hAnsi="Calibri" w:cstheme="minorBidi"/>
      <w:b/>
      <w:bCs/>
    </w:rPr>
  </w:style>
  <w:style w:type="character" w:customStyle="1" w:styleId="CommentSubjectChar">
    <w:name w:val="Comment Subject Char"/>
    <w:basedOn w:val="CommentTextChar"/>
    <w:link w:val="CommentSubject"/>
    <w:uiPriority w:val="99"/>
    <w:semiHidden/>
    <w:rsid w:val="002812E4"/>
    <w:rPr>
      <w:rFonts w:ascii="Calibri" w:eastAsia="Times New Roman" w:hAnsi="Calibri" w:cstheme="minorBidi"/>
      <w:b/>
      <w:bCs/>
      <w:sz w:val="20"/>
      <w:szCs w:val="20"/>
    </w:rPr>
  </w:style>
  <w:style w:type="paragraph" w:styleId="Revision">
    <w:name w:val="Revision"/>
    <w:hidden/>
    <w:uiPriority w:val="99"/>
    <w:semiHidden/>
    <w:rsid w:val="00EB66C5"/>
    <w:pPr>
      <w:spacing w:before="0" w:line="240" w:lineRule="auto"/>
    </w:pPr>
  </w:style>
  <w:style w:type="paragraph" w:styleId="BalloonText">
    <w:name w:val="Balloon Text"/>
    <w:basedOn w:val="Normal"/>
    <w:link w:val="BalloonTextChar"/>
    <w:semiHidden/>
    <w:unhideWhenUsed/>
    <w:rsid w:val="00EB66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6C5"/>
    <w:rPr>
      <w:rFonts w:ascii="Tahoma" w:hAnsi="Tahoma" w:cs="Tahoma"/>
      <w:sz w:val="16"/>
      <w:szCs w:val="16"/>
    </w:rPr>
  </w:style>
  <w:style w:type="paragraph" w:customStyle="1" w:styleId="HighlightMessage">
    <w:name w:val="Highlight Message"/>
    <w:basedOn w:val="BodyText"/>
    <w:next w:val="BodyText"/>
    <w:rsid w:val="00814B8B"/>
    <w:pPr>
      <w:keepNext/>
      <w:spacing w:before="360" w:line="260" w:lineRule="atLeast"/>
      <w:ind w:right="1701"/>
    </w:pPr>
    <w:rPr>
      <w:rFonts w:ascii="Franklin Gothic Heavy" w:hAnsi="Franklin Gothic Heavy"/>
      <w:color w:val="F61D12" w:themeColor="accent2"/>
      <w:szCs w:val="16"/>
      <w:lang w:eastAsia="en-US"/>
    </w:rPr>
  </w:style>
  <w:style w:type="paragraph" w:customStyle="1" w:styleId="Chart">
    <w:name w:val="Chart"/>
    <w:basedOn w:val="BodyText"/>
    <w:uiPriority w:val="99"/>
    <w:unhideWhenUsed/>
    <w:rsid w:val="00576C2E"/>
    <w:pPr>
      <w:spacing w:before="0" w:line="200" w:lineRule="atLeast"/>
    </w:pPr>
    <w:rPr>
      <w:lang w:eastAsia="en-US"/>
    </w:rPr>
  </w:style>
  <w:style w:type="paragraph" w:customStyle="1" w:styleId="KeyPoint">
    <w:name w:val="Key Point"/>
    <w:basedOn w:val="BodyText"/>
    <w:uiPriority w:val="1"/>
    <w:rsid w:val="00825668"/>
    <w:pPr>
      <w:numPr>
        <w:numId w:val="13"/>
      </w:numPr>
    </w:pPr>
    <w:rPr>
      <w:rFonts w:ascii="Franklin Gothic Demi" w:hAnsi="Franklin Gothic Demi"/>
      <w:color w:val="6F6652" w:themeColor="text2"/>
      <w:szCs w:val="20"/>
      <w:lang w:eastAsia="en-US"/>
    </w:rPr>
  </w:style>
  <w:style w:type="paragraph" w:customStyle="1" w:styleId="ChapterSummary">
    <w:name w:val="Chapter Summary"/>
    <w:basedOn w:val="KeyPoint"/>
    <w:uiPriority w:val="1"/>
    <w:rsid w:val="00FC141A"/>
    <w:pPr>
      <w:numPr>
        <w:numId w:val="0"/>
      </w:numPr>
    </w:pPr>
  </w:style>
  <w:style w:type="paragraph" w:customStyle="1" w:styleId="ChapterIntroduction">
    <w:name w:val="Chapter Introduction"/>
    <w:basedOn w:val="ChapterSummary"/>
    <w:next w:val="BodyText"/>
    <w:uiPriority w:val="1"/>
    <w:rsid w:val="00E6555A"/>
    <w:pPr>
      <w:pBdr>
        <w:top w:val="single" w:sz="4" w:space="4" w:color="9B917E" w:themeColor="accent4"/>
        <w:bottom w:val="single" w:sz="4" w:space="6" w:color="9B917E" w:themeColor="accent4"/>
      </w:pBdr>
      <w:spacing w:after="180"/>
    </w:pPr>
    <w:rPr>
      <w:rFonts w:asciiTheme="minorHAnsi" w:hAnsiTheme="minorHAnsi"/>
      <w:b/>
      <w:i/>
      <w:color w:val="F61D12" w:themeColor="accent2"/>
      <w:sz w:val="22"/>
    </w:rPr>
  </w:style>
  <w:style w:type="paragraph" w:customStyle="1" w:styleId="Confidential">
    <w:name w:val="Confidential"/>
    <w:basedOn w:val="Reporttype"/>
    <w:uiPriority w:val="31"/>
    <w:rsid w:val="005D3C6B"/>
    <w:pPr>
      <w:spacing w:after="0"/>
    </w:pPr>
    <w:rPr>
      <w:rFonts w:ascii="Franklin Gothic Book" w:hAnsi="Franklin Gothic Book"/>
      <w:color w:val="auto"/>
      <w:spacing w:val="10"/>
    </w:rPr>
  </w:style>
  <w:style w:type="numbering" w:customStyle="1" w:styleId="ListNumbers">
    <w:name w:val="ListNumbers"/>
    <w:next w:val="NoList"/>
    <w:uiPriority w:val="99"/>
    <w:rsid w:val="00497862"/>
    <w:pPr>
      <w:numPr>
        <w:numId w:val="12"/>
      </w:numPr>
    </w:pPr>
  </w:style>
  <w:style w:type="paragraph" w:customStyle="1" w:styleId="PartNumber">
    <w:name w:val="Part Number"/>
    <w:basedOn w:val="Reporttype"/>
    <w:uiPriority w:val="34"/>
    <w:semiHidden/>
    <w:rsid w:val="006E03FF"/>
  </w:style>
  <w:style w:type="paragraph" w:customStyle="1" w:styleId="PartTitle">
    <w:name w:val="Part Title"/>
    <w:basedOn w:val="Title"/>
    <w:link w:val="PartTitleChar"/>
    <w:uiPriority w:val="34"/>
    <w:semiHidden/>
    <w:rsid w:val="00145444"/>
    <w:pPr>
      <w:spacing w:line="440" w:lineRule="atLeast"/>
    </w:pPr>
    <w:rPr>
      <w:sz w:val="36"/>
    </w:rPr>
  </w:style>
  <w:style w:type="character" w:customStyle="1" w:styleId="PartTitleChar">
    <w:name w:val="Part Title Char"/>
    <w:basedOn w:val="TitleChar"/>
    <w:link w:val="PartTitle"/>
    <w:uiPriority w:val="34"/>
    <w:semiHidden/>
    <w:rsid w:val="007B3F04"/>
    <w:rPr>
      <w:rFonts w:asciiTheme="majorHAnsi" w:eastAsia="Times New Roman" w:hAnsiTheme="majorHAnsi"/>
      <w:spacing w:val="-2"/>
      <w:kern w:val="28"/>
      <w:sz w:val="36"/>
      <w:szCs w:val="48"/>
    </w:rPr>
  </w:style>
  <w:style w:type="character" w:customStyle="1" w:styleId="ListBulletChar">
    <w:name w:val="List Bullet Char"/>
    <w:aliases w:val="Char Char, Char Char"/>
    <w:link w:val="ListBullet"/>
    <w:uiPriority w:val="2"/>
    <w:locked/>
    <w:rsid w:val="00B974A4"/>
    <w:rPr>
      <w:rFonts w:asciiTheme="minorHAnsi" w:eastAsia="Times New Roman" w:hAnsiTheme="minorHAnsi"/>
    </w:rPr>
  </w:style>
  <w:style w:type="paragraph" w:styleId="TOC4">
    <w:name w:val="toc 4"/>
    <w:basedOn w:val="TOC1"/>
    <w:next w:val="TOC1"/>
    <w:uiPriority w:val="39"/>
    <w:semiHidden/>
    <w:rsid w:val="00D908FD"/>
    <w:pPr>
      <w:spacing w:before="360"/>
      <w:ind w:right="0"/>
    </w:pPr>
    <w:rPr>
      <w:caps/>
      <w:color w:val="9B917E" w:themeColor="accent4"/>
      <w:spacing w:val="10"/>
      <w:sz w:val="22"/>
    </w:rPr>
  </w:style>
  <w:style w:type="paragraph" w:styleId="TOCHeading">
    <w:name w:val="TOC Heading"/>
    <w:basedOn w:val="Heading4"/>
    <w:next w:val="TableofFigures"/>
    <w:uiPriority w:val="39"/>
    <w:semiHidden/>
    <w:rsid w:val="00FC141A"/>
    <w:pPr>
      <w:keepLines/>
      <w:numPr>
        <w:ilvl w:val="0"/>
        <w:numId w:val="0"/>
      </w:numPr>
      <w:outlineLvl w:val="9"/>
    </w:pPr>
    <w:rPr>
      <w:rFonts w:ascii="Franklin Gothic Demi" w:eastAsiaTheme="majorEastAsia" w:hAnsi="Franklin Gothic Demi" w:cstheme="majorBidi"/>
      <w:b w:val="0"/>
      <w:bCs/>
      <w:i w:val="0"/>
      <w:caps/>
      <w:color w:val="006B7A" w:themeColor="accent1"/>
      <w:spacing w:val="10"/>
      <w:sz w:val="22"/>
      <w:szCs w:val="28"/>
    </w:rPr>
  </w:style>
  <w:style w:type="character" w:customStyle="1" w:styleId="ContinuedChar">
    <w:name w:val="Continued Char"/>
    <w:basedOn w:val="DefaultParagraphFont"/>
    <w:link w:val="Continued"/>
    <w:uiPriority w:val="17"/>
    <w:rsid w:val="007A2A3B"/>
    <w:rPr>
      <w:rFonts w:ascii="Franklin Gothic Book" w:eastAsia="Times New Roman" w:hAnsi="Franklin Gothic Book"/>
      <w:sz w:val="14"/>
      <w:szCs w:val="16"/>
      <w:lang w:eastAsia="en-US"/>
    </w:rPr>
  </w:style>
  <w:style w:type="paragraph" w:styleId="ListParagraph">
    <w:name w:val="List Paragraph"/>
    <w:basedOn w:val="Normal"/>
    <w:uiPriority w:val="34"/>
    <w:semiHidden/>
    <w:qFormat/>
    <w:rsid w:val="005B435E"/>
    <w:pPr>
      <w:ind w:left="720"/>
      <w:contextualSpacing/>
    </w:pPr>
  </w:style>
  <w:style w:type="character" w:customStyle="1" w:styleId="CaptionChar">
    <w:name w:val="Caption Char"/>
    <w:basedOn w:val="BodyTextChar"/>
    <w:link w:val="Caption"/>
    <w:uiPriority w:val="99"/>
    <w:rsid w:val="001E3D69"/>
    <w:rPr>
      <w:rFonts w:ascii="Franklin Gothic Demi" w:eastAsia="Times New Roman" w:hAnsi="Franklin Gothic Demi"/>
      <w:szCs w:val="20"/>
    </w:rPr>
  </w:style>
  <w:style w:type="paragraph" w:customStyle="1" w:styleId="Summary2">
    <w:name w:val="Summary 2"/>
    <w:basedOn w:val="Heading2"/>
    <w:next w:val="BodyText"/>
    <w:rsid w:val="006544F3"/>
  </w:style>
  <w:style w:type="paragraph" w:customStyle="1" w:styleId="Summary3">
    <w:name w:val="Summary 3"/>
    <w:basedOn w:val="Heading3"/>
    <w:next w:val="BodyText"/>
    <w:rsid w:val="006544F3"/>
  </w:style>
  <w:style w:type="paragraph" w:customStyle="1" w:styleId="Summary4">
    <w:name w:val="Summary 4"/>
    <w:basedOn w:val="Heading4"/>
    <w:next w:val="BodyText"/>
    <w:rsid w:val="006544F3"/>
  </w:style>
  <w:style w:type="paragraph" w:customStyle="1" w:styleId="KeyPoint2">
    <w:name w:val="Key Point 2"/>
    <w:basedOn w:val="KeyPoint"/>
    <w:next w:val="BodyText"/>
    <w:uiPriority w:val="1"/>
    <w:rsid w:val="00825668"/>
    <w:pPr>
      <w:numPr>
        <w:ilvl w:val="1"/>
      </w:numPr>
      <w:spacing w:before="80"/>
    </w:pPr>
  </w:style>
  <w:style w:type="paragraph" w:customStyle="1" w:styleId="KeyPoint3">
    <w:name w:val="Key Point 3"/>
    <w:basedOn w:val="KeyPoint2"/>
    <w:next w:val="BodyText"/>
    <w:uiPriority w:val="1"/>
    <w:rsid w:val="00825668"/>
    <w:pPr>
      <w:numPr>
        <w:ilvl w:val="2"/>
      </w:numPr>
      <w:spacing w:before="60"/>
    </w:pPr>
  </w:style>
  <w:style w:type="numbering" w:customStyle="1" w:styleId="KeyPointBullets">
    <w:name w:val="KeyPointBullets"/>
    <w:basedOn w:val="ListBullets"/>
    <w:uiPriority w:val="99"/>
    <w:rsid w:val="00825668"/>
    <w:pPr>
      <w:numPr>
        <w:numId w:val="13"/>
      </w:numPr>
    </w:pPr>
  </w:style>
  <w:style w:type="numbering" w:customStyle="1" w:styleId="NoteListNumber">
    <w:name w:val="NoteListNumber"/>
    <w:uiPriority w:val="99"/>
    <w:rsid w:val="00E864C1"/>
    <w:pPr>
      <w:numPr>
        <w:numId w:val="14"/>
      </w:numPr>
    </w:pPr>
  </w:style>
  <w:style w:type="paragraph" w:styleId="NormalWeb">
    <w:name w:val="Normal (Web)"/>
    <w:basedOn w:val="Normal"/>
    <w:uiPriority w:val="99"/>
    <w:semiHidden/>
    <w:unhideWhenUsed/>
    <w:rsid w:val="0071617D"/>
    <w:pPr>
      <w:spacing w:before="100" w:beforeAutospacing="1" w:after="100" w:afterAutospacing="1" w:line="240" w:lineRule="auto"/>
    </w:pPr>
    <w:rPr>
      <w:rFonts w:ascii="Times New Roman" w:hAnsi="Times New Roman"/>
      <w:sz w:val="24"/>
      <w:szCs w:val="24"/>
    </w:rPr>
  </w:style>
  <w:style w:type="paragraph" w:customStyle="1" w:styleId="NoteNumber">
    <w:name w:val="Note Number"/>
    <w:basedOn w:val="Note"/>
    <w:uiPriority w:val="15"/>
    <w:rsid w:val="00E6555A"/>
    <w:pPr>
      <w:numPr>
        <w:ilvl w:val="1"/>
        <w:numId w:val="19"/>
      </w:numPr>
    </w:pPr>
    <w:rPr>
      <w:szCs w:val="15"/>
    </w:rPr>
  </w:style>
  <w:style w:type="character" w:customStyle="1" w:styleId="BodyTextChar1">
    <w:name w:val="Body Text Char1"/>
    <w:aliases w:val="bt Char1,Concepto Char1,Body Text - Level 2 Char1"/>
    <w:basedOn w:val="DefaultParagraphFont"/>
    <w:rsid w:val="00010AED"/>
    <w:rPr>
      <w:rFonts w:ascii="Book Antiqua" w:hAnsi="Book Antiqua"/>
      <w:sz w:val="21"/>
      <w:szCs w:val="21"/>
      <w:lang w:val="en-AU" w:eastAsia="en-US" w:bidi="ar-SA"/>
    </w:rPr>
  </w:style>
  <w:style w:type="paragraph" w:customStyle="1" w:styleId="SenderAddress">
    <w:name w:val="Sender Address"/>
    <w:basedOn w:val="BodyText"/>
    <w:rsid w:val="00E011C3"/>
    <w:pPr>
      <w:tabs>
        <w:tab w:val="left" w:pos="1134"/>
      </w:tabs>
      <w:spacing w:before="0" w:after="120" w:line="260" w:lineRule="atLeast"/>
    </w:pPr>
    <w:rPr>
      <w:sz w:val="19"/>
    </w:rPr>
  </w:style>
  <w:style w:type="paragraph" w:customStyle="1" w:styleId="DisclaimerHeading">
    <w:name w:val="Disclaimer Heading"/>
    <w:basedOn w:val="BodyText"/>
    <w:rsid w:val="00E011C3"/>
    <w:pPr>
      <w:spacing w:before="1600"/>
    </w:pPr>
    <w:rPr>
      <w:rFonts w:ascii="Franklin Gothic Demi" w:hAnsi="Franklin Gothic Demi"/>
      <w:caps/>
      <w:spacing w:val="1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7088">
      <w:bodyDiv w:val="1"/>
      <w:marLeft w:val="0"/>
      <w:marRight w:val="0"/>
      <w:marTop w:val="0"/>
      <w:marBottom w:val="0"/>
      <w:divBdr>
        <w:top w:val="none" w:sz="0" w:space="0" w:color="auto"/>
        <w:left w:val="none" w:sz="0" w:space="0" w:color="auto"/>
        <w:bottom w:val="none" w:sz="0" w:space="0" w:color="auto"/>
        <w:right w:val="none" w:sz="0" w:space="0" w:color="auto"/>
      </w:divBdr>
    </w:div>
    <w:div w:id="259143923">
      <w:bodyDiv w:val="1"/>
      <w:marLeft w:val="0"/>
      <w:marRight w:val="0"/>
      <w:marTop w:val="0"/>
      <w:marBottom w:val="0"/>
      <w:divBdr>
        <w:top w:val="none" w:sz="0" w:space="0" w:color="auto"/>
        <w:left w:val="none" w:sz="0" w:space="0" w:color="auto"/>
        <w:bottom w:val="none" w:sz="0" w:space="0" w:color="auto"/>
        <w:right w:val="none" w:sz="0" w:space="0" w:color="auto"/>
      </w:divBdr>
    </w:div>
    <w:div w:id="315961375">
      <w:bodyDiv w:val="1"/>
      <w:marLeft w:val="0"/>
      <w:marRight w:val="0"/>
      <w:marTop w:val="0"/>
      <w:marBottom w:val="0"/>
      <w:divBdr>
        <w:top w:val="none" w:sz="0" w:space="0" w:color="auto"/>
        <w:left w:val="none" w:sz="0" w:space="0" w:color="auto"/>
        <w:bottom w:val="none" w:sz="0" w:space="0" w:color="auto"/>
        <w:right w:val="none" w:sz="0" w:space="0" w:color="auto"/>
      </w:divBdr>
    </w:div>
    <w:div w:id="426343797">
      <w:bodyDiv w:val="1"/>
      <w:marLeft w:val="0"/>
      <w:marRight w:val="0"/>
      <w:marTop w:val="0"/>
      <w:marBottom w:val="0"/>
      <w:divBdr>
        <w:top w:val="none" w:sz="0" w:space="0" w:color="auto"/>
        <w:left w:val="none" w:sz="0" w:space="0" w:color="auto"/>
        <w:bottom w:val="none" w:sz="0" w:space="0" w:color="auto"/>
        <w:right w:val="none" w:sz="0" w:space="0" w:color="auto"/>
      </w:divBdr>
    </w:div>
    <w:div w:id="641347644">
      <w:bodyDiv w:val="1"/>
      <w:marLeft w:val="0"/>
      <w:marRight w:val="0"/>
      <w:marTop w:val="0"/>
      <w:marBottom w:val="0"/>
      <w:divBdr>
        <w:top w:val="none" w:sz="0" w:space="0" w:color="auto"/>
        <w:left w:val="none" w:sz="0" w:space="0" w:color="auto"/>
        <w:bottom w:val="none" w:sz="0" w:space="0" w:color="auto"/>
        <w:right w:val="none" w:sz="0" w:space="0" w:color="auto"/>
      </w:divBdr>
    </w:div>
    <w:div w:id="686180482">
      <w:bodyDiv w:val="1"/>
      <w:marLeft w:val="0"/>
      <w:marRight w:val="0"/>
      <w:marTop w:val="0"/>
      <w:marBottom w:val="0"/>
      <w:divBdr>
        <w:top w:val="none" w:sz="0" w:space="0" w:color="auto"/>
        <w:left w:val="none" w:sz="0" w:space="0" w:color="auto"/>
        <w:bottom w:val="none" w:sz="0" w:space="0" w:color="auto"/>
        <w:right w:val="none" w:sz="0" w:space="0" w:color="auto"/>
      </w:divBdr>
    </w:div>
    <w:div w:id="915242328">
      <w:bodyDiv w:val="1"/>
      <w:marLeft w:val="0"/>
      <w:marRight w:val="0"/>
      <w:marTop w:val="0"/>
      <w:marBottom w:val="0"/>
      <w:divBdr>
        <w:top w:val="none" w:sz="0" w:space="0" w:color="auto"/>
        <w:left w:val="none" w:sz="0" w:space="0" w:color="auto"/>
        <w:bottom w:val="none" w:sz="0" w:space="0" w:color="auto"/>
        <w:right w:val="none" w:sz="0" w:space="0" w:color="auto"/>
      </w:divBdr>
    </w:div>
    <w:div w:id="1119569092">
      <w:bodyDiv w:val="1"/>
      <w:marLeft w:val="0"/>
      <w:marRight w:val="0"/>
      <w:marTop w:val="0"/>
      <w:marBottom w:val="0"/>
      <w:divBdr>
        <w:top w:val="none" w:sz="0" w:space="0" w:color="auto"/>
        <w:left w:val="none" w:sz="0" w:space="0" w:color="auto"/>
        <w:bottom w:val="none" w:sz="0" w:space="0" w:color="auto"/>
        <w:right w:val="none" w:sz="0" w:space="0" w:color="auto"/>
      </w:divBdr>
    </w:div>
    <w:div w:id="1298536351">
      <w:bodyDiv w:val="1"/>
      <w:marLeft w:val="0"/>
      <w:marRight w:val="0"/>
      <w:marTop w:val="0"/>
      <w:marBottom w:val="0"/>
      <w:divBdr>
        <w:top w:val="none" w:sz="0" w:space="0" w:color="auto"/>
        <w:left w:val="none" w:sz="0" w:space="0" w:color="auto"/>
        <w:bottom w:val="none" w:sz="0" w:space="0" w:color="auto"/>
        <w:right w:val="none" w:sz="0" w:space="0" w:color="auto"/>
      </w:divBdr>
    </w:div>
    <w:div w:id="1410927715">
      <w:bodyDiv w:val="1"/>
      <w:marLeft w:val="0"/>
      <w:marRight w:val="0"/>
      <w:marTop w:val="0"/>
      <w:marBottom w:val="0"/>
      <w:divBdr>
        <w:top w:val="none" w:sz="0" w:space="0" w:color="auto"/>
        <w:left w:val="none" w:sz="0" w:space="0" w:color="auto"/>
        <w:bottom w:val="none" w:sz="0" w:space="0" w:color="auto"/>
        <w:right w:val="none" w:sz="0" w:space="0" w:color="auto"/>
      </w:divBdr>
    </w:div>
    <w:div w:id="1579093530">
      <w:bodyDiv w:val="1"/>
      <w:marLeft w:val="0"/>
      <w:marRight w:val="0"/>
      <w:marTop w:val="0"/>
      <w:marBottom w:val="0"/>
      <w:divBdr>
        <w:top w:val="none" w:sz="0" w:space="0" w:color="auto"/>
        <w:left w:val="none" w:sz="0" w:space="0" w:color="auto"/>
        <w:bottom w:val="none" w:sz="0" w:space="0" w:color="auto"/>
        <w:right w:val="none" w:sz="0" w:space="0" w:color="auto"/>
      </w:divBdr>
    </w:div>
    <w:div w:id="1901286061">
      <w:bodyDiv w:val="1"/>
      <w:marLeft w:val="0"/>
      <w:marRight w:val="0"/>
      <w:marTop w:val="0"/>
      <w:marBottom w:val="0"/>
      <w:divBdr>
        <w:top w:val="none" w:sz="0" w:space="0" w:color="auto"/>
        <w:left w:val="none" w:sz="0" w:space="0" w:color="auto"/>
        <w:bottom w:val="none" w:sz="0" w:space="0" w:color="auto"/>
        <w:right w:val="none" w:sz="0" w:space="0" w:color="auto"/>
      </w:divBdr>
    </w:div>
    <w:div w:id="194827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iesyd@TheCIE.com.au" TargetMode="External"/><Relationship Id="rId18" Type="http://schemas.openxmlformats.org/officeDocument/2006/relationships/header" Target="header5.xml"/><Relationship Id="rId26" Type="http://schemas.openxmlformats.org/officeDocument/2006/relationships/image" Target="media/image5.emf"/><Relationship Id="rId39" Type="http://schemas.openxmlformats.org/officeDocument/2006/relationships/footer" Target="footer8.xml"/><Relationship Id="rId21" Type="http://schemas.openxmlformats.org/officeDocument/2006/relationships/image" Target="media/image2.emf"/><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footer" Target="footer9.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7.emf"/><Relationship Id="rId36"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http://dfat.gov.au/trade/agreements/Pages/status-of-fta-negotiations.aspx"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heCIE.com.au" TargetMode="External"/><Relationship Id="rId22" Type="http://schemas.openxmlformats.org/officeDocument/2006/relationships/hyperlink" Target="http://www.budget.gov.au/past_budgets.htm" TargetMode="External"/><Relationship Id="rId27" Type="http://schemas.openxmlformats.org/officeDocument/2006/relationships/image" Target="media/image6.emf"/><Relationship Id="rId30" Type="http://schemas.openxmlformats.org/officeDocument/2006/relationships/hyperlink" Target="http://www.border.gov.au/Busi/cargo-support-trade-and-goods/importing-goods/tariff-classification-of-goods/current-tariff-classification/schedule-3/section-xii/chapter-64" TargetMode="External"/><Relationship Id="rId35" Type="http://schemas.openxmlformats.org/officeDocument/2006/relationships/footer" Target="footer7.xml"/><Relationship Id="rId43"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budget.gov.au/past_budgets.htm" TargetMode="External"/><Relationship Id="rId33" Type="http://schemas.openxmlformats.org/officeDocument/2006/relationships/header" Target="header7.xml"/><Relationship Id="rId38" Type="http://schemas.openxmlformats.org/officeDocument/2006/relationships/header" Target="header9.xml"/><Relationship Id="rId20" Type="http://schemas.openxmlformats.org/officeDocument/2006/relationships/footer" Target="footer5.xml"/><Relationship Id="rId4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fat.gov.au/trade/agreements/Pages/status-of-fta-negotiations.aspx" TargetMode="External"/><Relationship Id="rId3" Type="http://schemas.openxmlformats.org/officeDocument/2006/relationships/hyperlink" Target="https://www.fraserinstitute.org/studies/the-importance-of-international-trade-to-the-canadian-economy-an-overview" TargetMode="External"/><Relationship Id="rId7" Type="http://schemas.openxmlformats.org/officeDocument/2006/relationships/hyperlink" Target="https://www.wto.org/english/tratop_e/inftec_e/itaintro_e.htm" TargetMode="External"/><Relationship Id="rId2" Type="http://schemas.openxmlformats.org/officeDocument/2006/relationships/hyperlink" Target="http://dfat.gov.au/trade/agreements/anzcerta/Pages/australia-new-zealand-closer-economic-relations-trade-agreement.aspx" TargetMode="External"/><Relationship Id="rId1" Type="http://schemas.openxmlformats.org/officeDocument/2006/relationships/hyperlink" Target="http://dfat.gov.au/geo/canada/pages/canada-country-brief.aspx" TargetMode="External"/><Relationship Id="rId6" Type="http://schemas.openxmlformats.org/officeDocument/2006/relationships/hyperlink" Target="http://unctad.org/en/Docs/itcdtsbmisc56_en.pdf" TargetMode="External"/><Relationship Id="rId5" Type="http://schemas.openxmlformats.org/officeDocument/2006/relationships/hyperlink" Target="http://www.border.gov.au/Tariffclassificationofgoods/Pages/Advice-about-tariff-concession-orders.aspx" TargetMode="External"/><Relationship Id="rId4" Type="http://schemas.openxmlformats.org/officeDocument/2006/relationships/hyperlink" Target="http://dfat.gov.au/trade/topics/Documents/astp-review-discussion-pap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ee%20Brittain\AppData\Roaming\Microsoft\Templates\2016%20Templates\CIE%20report.dotm" TargetMode="External"/></Relationships>
</file>

<file path=word/theme/theme1.xml><?xml version="1.0" encoding="utf-8"?>
<a:theme xmlns:a="http://schemas.openxmlformats.org/drawingml/2006/main" name="TheCIE">
  <a:themeElements>
    <a:clrScheme name="TheCIE">
      <a:dk1>
        <a:sysClr val="windowText" lastClr="000000"/>
      </a:dk1>
      <a:lt1>
        <a:sysClr val="window" lastClr="FFFFFF"/>
      </a:lt1>
      <a:dk2>
        <a:srgbClr val="6F6652"/>
      </a:dk2>
      <a:lt2>
        <a:srgbClr val="E9E8E5"/>
      </a:lt2>
      <a:accent1>
        <a:srgbClr val="006B7A"/>
      </a:accent1>
      <a:accent2>
        <a:srgbClr val="F61D12"/>
      </a:accent2>
      <a:accent3>
        <a:srgbClr val="C6BFAB"/>
      </a:accent3>
      <a:accent4>
        <a:srgbClr val="9B917E"/>
      </a:accent4>
      <a:accent5>
        <a:srgbClr val="6F6652"/>
      </a:accent5>
      <a:accent6>
        <a:srgbClr val="9AC2C4"/>
      </a:accent6>
      <a:hlink>
        <a:srgbClr val="6F6652"/>
      </a:hlink>
      <a:folHlink>
        <a:srgbClr val="9B917E"/>
      </a:folHlink>
    </a:clrScheme>
    <a:fontScheme name="TheCIE">
      <a:majorFont>
        <a:latin typeface="Calisto MT"/>
        <a:ea typeface=""/>
        <a:cs typeface=""/>
      </a:majorFont>
      <a:minorFont>
        <a:latin typeface="Calisto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25F7F859B7363045B64E16F8960AAC76" ma:contentTypeVersion="1" ma:contentTypeDescription="Create a new document." ma:contentTypeScope="" ma:versionID="f6f4e724b76d63c3ff794ddb69859384">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6C2FEB-15B2-4177-BCF6-532865728025}"/>
</file>

<file path=customXml/itemProps2.xml><?xml version="1.0" encoding="utf-8"?>
<ds:datastoreItem xmlns:ds="http://schemas.openxmlformats.org/officeDocument/2006/customXml" ds:itemID="{F3B24A98-CF96-400B-89BA-A03999A32783}"/>
</file>

<file path=customXml/itemProps3.xml><?xml version="1.0" encoding="utf-8"?>
<ds:datastoreItem xmlns:ds="http://schemas.openxmlformats.org/officeDocument/2006/customXml" ds:itemID="{56923D38-5C52-4BDC-BEFA-FA9D99419464}"/>
</file>

<file path=customXml/itemProps4.xml><?xml version="1.0" encoding="utf-8"?>
<ds:datastoreItem xmlns:ds="http://schemas.openxmlformats.org/officeDocument/2006/customXml" ds:itemID="{2F89FBBC-F2A7-40C7-BA4F-7311DD7692D2}"/>
</file>

<file path=docProps/app.xml><?xml version="1.0" encoding="utf-8"?>
<Properties xmlns="http://schemas.openxmlformats.org/officeDocument/2006/extended-properties" xmlns:vt="http://schemas.openxmlformats.org/officeDocument/2006/docPropsVTypes">
  <Template>CIE report.dotm</Template>
  <TotalTime>1</TotalTime>
  <Pages>32</Pages>
  <Words>9868</Words>
  <Characters>56254</Characters>
  <Application>Microsoft Office Word</Application>
  <DocSecurity>4</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ldavis</dc:creator>
  <cp:lastModifiedBy>Shallcross, Tonya</cp:lastModifiedBy>
  <cp:revision>2</cp:revision>
  <cp:lastPrinted>2017-09-25T06:38:00Z</cp:lastPrinted>
  <dcterms:created xsi:type="dcterms:W3CDTF">2017-10-31T01:33:00Z</dcterms:created>
  <dcterms:modified xsi:type="dcterms:W3CDTF">2017-10-31T01:33:00Z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08247a06-a9eb-467b-b941-8670e11689b1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0x01010025F7F859B7363045B64E16F8960AAC76</vt:lpwstr>
  </property>
  <property fmtid="{D5CDD505-2E9C-101B-9397-08002B2CF9AE}" pid="6" name="Order">
    <vt:r8>22800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