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5B" w:rsidRPr="009201BE" w:rsidRDefault="00F137AB" w:rsidP="00F137AB">
      <w:pPr>
        <w:pStyle w:val="Title"/>
        <w:ind w:right="-702"/>
        <w:rPr>
          <w:color w:val="AD495D"/>
        </w:rPr>
      </w:pPr>
      <w:bookmarkStart w:id="0" w:name="_GoBack"/>
      <w:r>
        <w:rPr>
          <w:noProof/>
          <w:color w:val="AD495D"/>
          <w:lang w:val="en-US" w:eastAsia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3024505"/>
            <wp:effectExtent l="0" t="0" r="2540" b="4445"/>
            <wp:wrapNone/>
            <wp:docPr id="1198" name="Picture 1198" descr="Australian Government Logo. AusAI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 descr="AusAID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6A3F">
        <w:rPr>
          <w:color w:val="AD495D"/>
        </w:rPr>
        <w:t xml:space="preserve">China </w:t>
      </w:r>
      <w:r w:rsidR="0035177E">
        <w:rPr>
          <w:color w:val="AD495D"/>
        </w:rPr>
        <w:t>Development Cooperation Report 2010</w:t>
      </w:r>
    </w:p>
    <w:p w:rsidR="0094365B" w:rsidRPr="009201BE" w:rsidRDefault="00317421">
      <w:pPr>
        <w:pStyle w:val="Date"/>
        <w:rPr>
          <w:color w:val="AD495D"/>
        </w:rPr>
      </w:pPr>
      <w:r>
        <w:rPr>
          <w:color w:val="AD495D"/>
        </w:rPr>
        <w:t xml:space="preserve">October </w:t>
      </w:r>
      <w:r w:rsidR="0035177E">
        <w:rPr>
          <w:color w:val="AD495D"/>
        </w:rPr>
        <w:t>2011</w:t>
      </w:r>
    </w:p>
    <w:p w:rsidR="00D04DD6" w:rsidRPr="00BC36DE" w:rsidRDefault="00D04DD6" w:rsidP="00BC36DE">
      <w:pPr>
        <w:pStyle w:val="Heading2"/>
      </w:pPr>
      <w:bookmarkStart w:id="1" w:name="_Toc360972054"/>
      <w:r w:rsidRPr="00BC36DE">
        <w:t>Summary</w:t>
      </w:r>
      <w:bookmarkEnd w:id="1"/>
    </w:p>
    <w:p w:rsidR="00A11015" w:rsidRDefault="00A11015">
      <w:pPr>
        <w:pStyle w:val="TOCHeading"/>
      </w:pPr>
      <w:r>
        <w:t>Contents</w:t>
      </w:r>
    </w:p>
    <w:p w:rsidR="00A11015" w:rsidRDefault="00A11015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60972054" w:history="1">
        <w:r w:rsidRPr="00215C81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_Toc360972054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1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972055" w:history="1">
        <w:r w:rsidR="00A11015" w:rsidRPr="00215C81">
          <w:rPr>
            <w:rStyle w:val="Hyperlink"/>
            <w:noProof/>
          </w:rPr>
          <w:t>Context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_Toc360972055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1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1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972056" w:history="1">
        <w:r w:rsidR="00A11015" w:rsidRPr="00215C81">
          <w:rPr>
            <w:rStyle w:val="Hyperlink"/>
            <w:noProof/>
          </w:rPr>
          <w:t>Program objectives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_Toc360972056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2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972057" w:history="1">
        <w:r w:rsidR="00A11015" w:rsidRPr="00215C81">
          <w:rPr>
            <w:rStyle w:val="Hyperlink"/>
            <w:noProof/>
          </w:rPr>
          <w:t>Expenditure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_Toc360972057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2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1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972058" w:history="1">
        <w:r w:rsidR="00A11015" w:rsidRPr="00215C81">
          <w:rPr>
            <w:rStyle w:val="Hyperlink"/>
            <w:noProof/>
          </w:rPr>
          <w:t>Progress against objectives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_Toc360972058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3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972059" w:history="1">
        <w:r w:rsidR="00A11015" w:rsidRPr="00215C81">
          <w:rPr>
            <w:rStyle w:val="Hyperlink"/>
            <w:noProof/>
          </w:rPr>
          <w:t>Objective 1: Support China’s policy reform agenda in governance, environment and health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_Toc360972059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4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972060" w:history="1">
        <w:r w:rsidR="00A11015" w:rsidRPr="00215C81">
          <w:rPr>
            <w:rStyle w:val="Hyperlink"/>
            <w:noProof/>
          </w:rPr>
          <w:t>Key achievements for 2010-11 include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_Toc360972060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4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972061" w:history="1">
        <w:r w:rsidR="00A11015" w:rsidRPr="00215C81">
          <w:rPr>
            <w:rStyle w:val="Hyperlink"/>
            <w:noProof/>
          </w:rPr>
          <w:t>Objective 2: Build capacity in selected sectors in China, in particular governance, environment and health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_Toc360972061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5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972062" w:history="1">
        <w:r w:rsidR="00A11015" w:rsidRPr="00215C81">
          <w:rPr>
            <w:rStyle w:val="Hyperlink"/>
            <w:noProof/>
          </w:rPr>
          <w:t>Key achievements in 2010-11 include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_Toc360972062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6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972063" w:history="1">
        <w:r w:rsidR="00A11015" w:rsidRPr="00215C81">
          <w:rPr>
            <w:rStyle w:val="Hyperlink"/>
            <w:noProof/>
          </w:rPr>
          <w:t>Objective 3: Enhance the Australia – China relationship by building institutional partnerships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_Toc360972063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7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972064" w:history="1">
        <w:r w:rsidR="00A11015" w:rsidRPr="00215C81">
          <w:rPr>
            <w:rStyle w:val="Hyperlink"/>
            <w:noProof/>
          </w:rPr>
          <w:t>Key achievements in 2010-11 include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_Toc360972064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7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2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972065" w:history="1">
        <w:r w:rsidR="00A11015" w:rsidRPr="00215C81">
          <w:rPr>
            <w:rStyle w:val="Hyperlink"/>
            <w:noProof/>
          </w:rPr>
          <w:t>Objective 4: Collaborate with China to strengthen the region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_Toc360972065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8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3"/>
        <w:rPr>
          <w:rFonts w:ascii="Calibri" w:hAnsi="Calibri" w:cs="Arial"/>
          <w:noProof/>
          <w:sz w:val="22"/>
          <w:szCs w:val="22"/>
          <w:lang w:val="en-US" w:eastAsia="en-US"/>
        </w:rPr>
      </w:pPr>
      <w:hyperlink w:anchor="_Toc360972066" w:history="1">
        <w:r w:rsidR="00A11015" w:rsidRPr="00215C81">
          <w:rPr>
            <w:rStyle w:val="Hyperlink"/>
            <w:noProof/>
          </w:rPr>
          <w:t>Key achievements in 2010-11 include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_Toc360972066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8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1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972067" w:history="1">
        <w:r w:rsidR="00A11015" w:rsidRPr="00215C81">
          <w:rPr>
            <w:rStyle w:val="Hyperlink"/>
            <w:noProof/>
          </w:rPr>
          <w:t>Quality of aid activities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_Toc360972067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8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A11015" w:rsidRDefault="00F84CBB">
      <w:pPr>
        <w:pStyle w:val="TOC1"/>
        <w:rPr>
          <w:rFonts w:ascii="Calibri" w:hAnsi="Calibri" w:cs="Arial"/>
          <w:noProof/>
          <w:color w:val="auto"/>
          <w:sz w:val="22"/>
          <w:szCs w:val="22"/>
          <w:lang w:val="en-US" w:eastAsia="en-US"/>
        </w:rPr>
      </w:pPr>
      <w:hyperlink w:anchor="_Toc360972068" w:history="1">
        <w:r w:rsidR="00A11015" w:rsidRPr="00215C81">
          <w:rPr>
            <w:rStyle w:val="Hyperlink"/>
            <w:noProof/>
          </w:rPr>
          <w:t>Next steps</w:t>
        </w:r>
        <w:r w:rsidR="00A11015">
          <w:rPr>
            <w:noProof/>
            <w:webHidden/>
          </w:rPr>
          <w:tab/>
        </w:r>
        <w:r w:rsidR="00A11015">
          <w:rPr>
            <w:rStyle w:val="Hyperlink"/>
            <w:noProof/>
            <w:rtl/>
          </w:rPr>
          <w:fldChar w:fldCharType="begin"/>
        </w:r>
        <w:r w:rsidR="00A11015">
          <w:rPr>
            <w:noProof/>
            <w:webHidden/>
          </w:rPr>
          <w:instrText xml:space="preserve"> PAGEREF _Toc360972068 \h </w:instrText>
        </w:r>
        <w:r w:rsidR="00A11015">
          <w:rPr>
            <w:rStyle w:val="Hyperlink"/>
            <w:noProof/>
            <w:rtl/>
          </w:rPr>
        </w:r>
        <w:r w:rsidR="00A11015">
          <w:rPr>
            <w:rStyle w:val="Hyperlink"/>
            <w:noProof/>
            <w:rtl/>
          </w:rPr>
          <w:fldChar w:fldCharType="separate"/>
        </w:r>
        <w:r w:rsidR="00A11015">
          <w:rPr>
            <w:noProof/>
            <w:webHidden/>
          </w:rPr>
          <w:t>9</w:t>
        </w:r>
        <w:r w:rsidR="00A11015">
          <w:rPr>
            <w:rStyle w:val="Hyperlink"/>
            <w:noProof/>
            <w:rtl/>
          </w:rPr>
          <w:fldChar w:fldCharType="end"/>
        </w:r>
      </w:hyperlink>
    </w:p>
    <w:p w:rsidR="000F6A57" w:rsidRDefault="00A11015" w:rsidP="00A11015">
      <w:r>
        <w:fldChar w:fldCharType="end"/>
      </w:r>
      <w:r>
        <w:br w:type="page"/>
      </w:r>
      <w:r w:rsidR="000F6A57" w:rsidRPr="00F80A19">
        <w:lastRenderedPageBreak/>
        <w:t xml:space="preserve">This report summarises progress </w:t>
      </w:r>
      <w:r w:rsidR="00614F7F">
        <w:t>over</w:t>
      </w:r>
      <w:r w:rsidR="00851B6E">
        <w:t xml:space="preserve"> July </w:t>
      </w:r>
      <w:r w:rsidR="000F6A57" w:rsidRPr="00F80A19">
        <w:t>2010</w:t>
      </w:r>
      <w:r w:rsidR="00851B6E">
        <w:t xml:space="preserve"> </w:t>
      </w:r>
      <w:r w:rsidR="00851B6E" w:rsidRPr="00851B6E">
        <w:t>–</w:t>
      </w:r>
      <w:r w:rsidR="00851B6E">
        <w:t xml:space="preserve"> June 2011</w:t>
      </w:r>
      <w:r w:rsidR="000F6A57" w:rsidRPr="00F80A19">
        <w:t xml:space="preserve"> towards the objectives of </w:t>
      </w:r>
      <w:r w:rsidR="005B5935">
        <w:t xml:space="preserve">Australia’s </w:t>
      </w:r>
      <w:r w:rsidR="000F6A57">
        <w:t>China</w:t>
      </w:r>
      <w:r w:rsidR="000F6A57" w:rsidRPr="00F80A19">
        <w:t xml:space="preserve"> </w:t>
      </w:r>
      <w:r w:rsidR="00935B59">
        <w:t>Development Cooperation</w:t>
      </w:r>
      <w:r w:rsidR="005B5935">
        <w:t xml:space="preserve"> Program</w:t>
      </w:r>
      <w:r w:rsidR="00935B59">
        <w:t xml:space="preserve">. </w:t>
      </w:r>
      <w:r w:rsidR="00265D7C">
        <w:t>Previous years’ r</w:t>
      </w:r>
      <w:r w:rsidR="00265D7C" w:rsidRPr="00F80A19">
        <w:t xml:space="preserve">eports </w:t>
      </w:r>
      <w:r w:rsidR="000F6A57" w:rsidRPr="00F80A19">
        <w:t>are available on the Australian Agency for International Development (</w:t>
      </w:r>
      <w:proofErr w:type="spellStart"/>
      <w:r w:rsidR="000F6A57" w:rsidRPr="00F80A19">
        <w:t>AusAID</w:t>
      </w:r>
      <w:proofErr w:type="spellEnd"/>
      <w:r w:rsidR="000F6A57" w:rsidRPr="00F80A19">
        <w:t>) website</w:t>
      </w:r>
      <w:r w:rsidR="00EF7F59">
        <w:t>:</w:t>
      </w:r>
      <w:r w:rsidR="00103AA9">
        <w:t xml:space="preserve"> </w:t>
      </w:r>
      <w:hyperlink r:id="rId14" w:history="1">
        <w:r w:rsidR="00103AA9" w:rsidRPr="008130E4">
          <w:rPr>
            <w:rStyle w:val="Hyperlink"/>
            <w:sz w:val="19"/>
            <w:szCs w:val="19"/>
          </w:rPr>
          <w:t>www.ausaid.gov.au</w:t>
        </w:r>
      </w:hyperlink>
      <w:r w:rsidR="000F6A57">
        <w:t xml:space="preserve">. </w:t>
      </w:r>
    </w:p>
    <w:p w:rsidR="00102915" w:rsidRPr="00174585" w:rsidRDefault="00FB6A3F" w:rsidP="00F137AB">
      <w:pPr>
        <w:pStyle w:val="H1"/>
        <w:spacing w:before="240"/>
      </w:pPr>
      <w:bookmarkStart w:id="2" w:name="_Toc360972055"/>
      <w:r w:rsidRPr="00102915">
        <w:t>Context</w:t>
      </w:r>
      <w:bookmarkEnd w:id="2"/>
      <w:r w:rsidRPr="00102915">
        <w:t xml:space="preserve"> </w:t>
      </w:r>
    </w:p>
    <w:p w:rsidR="00FB6A3F" w:rsidRPr="000C510F" w:rsidRDefault="00C25DDD" w:rsidP="00FB6A3F">
      <w:pPr>
        <w:pStyle w:val="BodyText"/>
      </w:pPr>
      <w:r>
        <w:t>M</w:t>
      </w:r>
      <w:r w:rsidR="00FB6A3F" w:rsidRPr="008430AE">
        <w:t>ost</w:t>
      </w:r>
      <w:r w:rsidR="009D5A21" w:rsidRPr="009D5A21">
        <w:t xml:space="preserve"> </w:t>
      </w:r>
      <w:r w:rsidR="009D5A21" w:rsidRPr="0052271F">
        <w:t>Millennium Development Goals</w:t>
      </w:r>
      <w:r w:rsidR="00FB6A3F" w:rsidRPr="008430AE">
        <w:t xml:space="preserve"> targets</w:t>
      </w:r>
      <w:r w:rsidR="005B5935">
        <w:t xml:space="preserve"> have been met</w:t>
      </w:r>
      <w:r w:rsidR="00851B6E">
        <w:t xml:space="preserve"> </w:t>
      </w:r>
      <w:r w:rsidR="00851B6E" w:rsidRPr="00851B6E">
        <w:t>in the People’s Republic of China</w:t>
      </w:r>
      <w:r w:rsidR="00FB6A3F">
        <w:t>, including the target to halve the number of people living in extreme poverty by 2015</w:t>
      </w:r>
      <w:r w:rsidR="005B5935">
        <w:t>.</w:t>
      </w:r>
      <w:r w:rsidR="005B5935" w:rsidRPr="002511C1">
        <w:t xml:space="preserve"> </w:t>
      </w:r>
      <w:r w:rsidR="00935B59">
        <w:t>Nevertheless</w:t>
      </w:r>
      <w:r w:rsidR="005B5935">
        <w:t>,</w:t>
      </w:r>
      <w:r w:rsidR="005B5935" w:rsidRPr="002511C1">
        <w:t xml:space="preserve"> </w:t>
      </w:r>
      <w:r w:rsidR="005B5935">
        <w:t>China</w:t>
      </w:r>
      <w:r w:rsidR="00D421BA">
        <w:t xml:space="preserve"> </w:t>
      </w:r>
      <w:r w:rsidR="00FB6A3F" w:rsidRPr="002511C1">
        <w:t>faces ongoing challenges</w:t>
      </w:r>
      <w:r w:rsidR="00EF7F59">
        <w:t xml:space="preserve"> related</w:t>
      </w:r>
      <w:r w:rsidR="00FB6A3F" w:rsidRPr="002511C1">
        <w:t xml:space="preserve"> to </w:t>
      </w:r>
      <w:r w:rsidR="00FB6A3F" w:rsidRPr="009A3FFB">
        <w:t>unbalanced development</w:t>
      </w:r>
      <w:r w:rsidR="00FB6A3F">
        <w:t>. The World Bank estimates that 150</w:t>
      </w:r>
      <w:r w:rsidR="00FB6A3F" w:rsidRPr="009A3FFB">
        <w:t xml:space="preserve"> million</w:t>
      </w:r>
      <w:r w:rsidR="00FB6A3F" w:rsidRPr="002511C1">
        <w:t xml:space="preserve"> Chinese </w:t>
      </w:r>
      <w:r w:rsidR="00FB6A3F">
        <w:t>continue to live</w:t>
      </w:r>
      <w:r w:rsidR="00FB6A3F" w:rsidRPr="002511C1">
        <w:t xml:space="preserve"> </w:t>
      </w:r>
      <w:r w:rsidR="00FB6A3F">
        <w:t xml:space="preserve">on less than </w:t>
      </w:r>
      <w:r w:rsidR="009A61B3">
        <w:t>US$</w:t>
      </w:r>
      <w:r w:rsidR="00FB6A3F">
        <w:t>1.25 per day and income inequality is rising. More than 200</w:t>
      </w:r>
      <w:r w:rsidR="001A252C">
        <w:t> </w:t>
      </w:r>
      <w:r w:rsidR="00FB6A3F">
        <w:t xml:space="preserve">million migrant workers have </w:t>
      </w:r>
      <w:r w:rsidR="00935B59">
        <w:t>little or no</w:t>
      </w:r>
      <w:r w:rsidR="00FB6A3F">
        <w:t xml:space="preserve"> access to basic services in the urban areas </w:t>
      </w:r>
      <w:r w:rsidR="00935B59">
        <w:t xml:space="preserve">of China </w:t>
      </w:r>
      <w:r w:rsidR="00FB6A3F">
        <w:t>where they live and work</w:t>
      </w:r>
      <w:r w:rsidR="005B5935">
        <w:t>. E</w:t>
      </w:r>
      <w:r w:rsidR="00FB6A3F">
        <w:t xml:space="preserve">conomic and social development in the western provinces, including Tibet and Xinjiang, continues to lag behind the rest of the country. </w:t>
      </w:r>
      <w:r w:rsidR="001A252C">
        <w:t>Better</w:t>
      </w:r>
      <w:r w:rsidR="00FB6A3F">
        <w:t xml:space="preserve"> balanced development depend</w:t>
      </w:r>
      <w:r w:rsidR="00D421BA">
        <w:t>s</w:t>
      </w:r>
      <w:r w:rsidR="00FB6A3F">
        <w:t xml:space="preserve"> on </w:t>
      </w:r>
      <w:r w:rsidR="00FB6A3F" w:rsidRPr="000C510F">
        <w:t>comprehensive</w:t>
      </w:r>
      <w:r w:rsidR="00FB6A3F">
        <w:t xml:space="preserve"> institutional and legal reform</w:t>
      </w:r>
      <w:r w:rsidR="00FB6A3F" w:rsidRPr="000C510F">
        <w:t xml:space="preserve"> </w:t>
      </w:r>
      <w:r w:rsidR="00FB6A3F">
        <w:t>and improved</w:t>
      </w:r>
      <w:r w:rsidR="00FB6A3F" w:rsidRPr="000C510F">
        <w:t xml:space="preserve"> basic service delivery</w:t>
      </w:r>
      <w:r w:rsidR="00EF7F59">
        <w:t>.</w:t>
      </w:r>
    </w:p>
    <w:p w:rsidR="00D421BA" w:rsidRDefault="00FB6A3F" w:rsidP="00FB6A3F">
      <w:pPr>
        <w:pStyle w:val="BodyText"/>
      </w:pPr>
      <w:r w:rsidRPr="000C510F">
        <w:t xml:space="preserve">As an international power and driver of regional and global economic growth, China </w:t>
      </w:r>
      <w:r>
        <w:t>is a key catalyser of development in the Asia</w:t>
      </w:r>
      <w:r w:rsidR="00D421BA">
        <w:t>-Pacific region</w:t>
      </w:r>
      <w:r w:rsidRPr="000C510F">
        <w:t xml:space="preserve"> and </w:t>
      </w:r>
      <w:r>
        <w:t xml:space="preserve">of </w:t>
      </w:r>
      <w:r w:rsidR="00D421BA">
        <w:t xml:space="preserve">the </w:t>
      </w:r>
      <w:r w:rsidR="00935B59">
        <w:t xml:space="preserve">world’s </w:t>
      </w:r>
      <w:r w:rsidR="00D421BA">
        <w:t>ability to achieve</w:t>
      </w:r>
      <w:r>
        <w:t xml:space="preserve"> the </w:t>
      </w:r>
      <w:r w:rsidR="00442172" w:rsidRPr="0052271F">
        <w:t>Millennium Development Goals</w:t>
      </w:r>
      <w:r>
        <w:t xml:space="preserve">. </w:t>
      </w:r>
    </w:p>
    <w:p w:rsidR="00FB6A3F" w:rsidRDefault="00FB6A3F" w:rsidP="00FB6A3F">
      <w:pPr>
        <w:pStyle w:val="BodyText"/>
      </w:pPr>
      <w:r>
        <w:t xml:space="preserve">China </w:t>
      </w:r>
      <w:r w:rsidR="00EF7F59">
        <w:t>has recently overtaken</w:t>
      </w:r>
      <w:r>
        <w:t xml:space="preserve"> Japan </w:t>
      </w:r>
      <w:r w:rsidR="00500FAC">
        <w:t>as</w:t>
      </w:r>
      <w:r>
        <w:t xml:space="preserve"> the world’s second largest economy</w:t>
      </w:r>
      <w:r w:rsidR="00500FAC">
        <w:t>, and</w:t>
      </w:r>
      <w:r>
        <w:t xml:space="preserve"> is </w:t>
      </w:r>
      <w:r w:rsidR="006C16A4">
        <w:t>one of</w:t>
      </w:r>
      <w:r>
        <w:t xml:space="preserve"> the world’s largest </w:t>
      </w:r>
      <w:r w:rsidR="00500FAC" w:rsidRPr="00500FAC">
        <w:t>markets</w:t>
      </w:r>
      <w:r w:rsidR="00500FAC">
        <w:t xml:space="preserve"> for luxury goods</w:t>
      </w:r>
      <w:r>
        <w:t xml:space="preserve">. While the </w:t>
      </w:r>
      <w:r w:rsidR="0032745D">
        <w:t>g</w:t>
      </w:r>
      <w:r>
        <w:t xml:space="preserve">lobal </w:t>
      </w:r>
      <w:r w:rsidR="0032745D">
        <w:t>r</w:t>
      </w:r>
      <w:r>
        <w:t xml:space="preserve">ecession slowed China’s growth, it affected the </w:t>
      </w:r>
      <w:r w:rsidRPr="009D5A21">
        <w:t>E</w:t>
      </w:r>
      <w:r w:rsidR="009A61B3">
        <w:t xml:space="preserve">uropean </w:t>
      </w:r>
      <w:r w:rsidRPr="009D5A21">
        <w:t>U</w:t>
      </w:r>
      <w:r w:rsidR="009A61B3">
        <w:t>nion</w:t>
      </w:r>
      <w:r>
        <w:t>, U</w:t>
      </w:r>
      <w:r w:rsidR="009A61B3">
        <w:t xml:space="preserve">nited </w:t>
      </w:r>
      <w:r>
        <w:t>S</w:t>
      </w:r>
      <w:r w:rsidR="009A61B3">
        <w:t>tates</w:t>
      </w:r>
      <w:r>
        <w:t xml:space="preserve"> and Japanese economies much more significantly and</w:t>
      </w:r>
      <w:r w:rsidR="006445EA">
        <w:t>,</w:t>
      </w:r>
      <w:r>
        <w:t xml:space="preserve"> in relative terms</w:t>
      </w:r>
      <w:r w:rsidR="0032745D">
        <w:t>,</w:t>
      </w:r>
      <w:r>
        <w:t xml:space="preserve"> accelerated China’s rise. </w:t>
      </w:r>
      <w:r w:rsidRPr="000C510F">
        <w:t>China</w:t>
      </w:r>
      <w:r>
        <w:t>’</w:t>
      </w:r>
      <w:r w:rsidRPr="000C510F">
        <w:t>s influence on international development, including as a donor</w:t>
      </w:r>
      <w:r>
        <w:t xml:space="preserve"> in its own right and a significant contributor to global carbon pollution</w:t>
      </w:r>
      <w:r w:rsidRPr="000C510F">
        <w:t xml:space="preserve">, </w:t>
      </w:r>
      <w:r>
        <w:t>underscores</w:t>
      </w:r>
      <w:r w:rsidRPr="000C510F">
        <w:t xml:space="preserve"> the importance of </w:t>
      </w:r>
      <w:r>
        <w:t xml:space="preserve">continuing to engage </w:t>
      </w:r>
      <w:r w:rsidR="00500FAC">
        <w:t>China</w:t>
      </w:r>
      <w:r w:rsidR="006445EA">
        <w:t xml:space="preserve"> </w:t>
      </w:r>
      <w:r>
        <w:t>on issues of global and regional importance.</w:t>
      </w:r>
    </w:p>
    <w:p w:rsidR="006445EA" w:rsidRDefault="00FB6A3F" w:rsidP="00FB6A3F">
      <w:pPr>
        <w:pStyle w:val="BodyText"/>
      </w:pPr>
      <w:r>
        <w:t xml:space="preserve">Official development assistance </w:t>
      </w:r>
      <w:r w:rsidR="006445EA">
        <w:t>is</w:t>
      </w:r>
      <w:r w:rsidR="006445EA" w:rsidRPr="0081549C">
        <w:t xml:space="preserve"> </w:t>
      </w:r>
      <w:r w:rsidRPr="0081549C">
        <w:t xml:space="preserve">an extremely small proportion of </w:t>
      </w:r>
      <w:r w:rsidR="006445EA">
        <w:t xml:space="preserve">the </w:t>
      </w:r>
      <w:r w:rsidRPr="0081549C">
        <w:t xml:space="preserve">resources available to China. </w:t>
      </w:r>
      <w:r>
        <w:t xml:space="preserve">As a consequence, and in recognition of </w:t>
      </w:r>
      <w:r w:rsidR="006445EA">
        <w:t xml:space="preserve">the country’s </w:t>
      </w:r>
      <w:r>
        <w:t xml:space="preserve">consistent economic growth since 1995, a number of donors are redefining their aid programs to China. </w:t>
      </w:r>
    </w:p>
    <w:p w:rsidR="00905390" w:rsidRDefault="00FB6A3F" w:rsidP="00FB6A3F">
      <w:pPr>
        <w:pStyle w:val="BodyText"/>
      </w:pPr>
      <w:r>
        <w:t xml:space="preserve">Australia is one of </w:t>
      </w:r>
      <w:r w:rsidR="006445EA">
        <w:t xml:space="preserve">China’s </w:t>
      </w:r>
      <w:r>
        <w:t>largest bilateral donors, by volume of bilateral grant-based assistance.</w:t>
      </w:r>
      <w:r w:rsidR="006445EA">
        <w:t xml:space="preserve"> </w:t>
      </w:r>
      <w:r>
        <w:t>T</w:t>
      </w:r>
      <w:r w:rsidRPr="0081549C">
        <w:t xml:space="preserve">otal </w:t>
      </w:r>
      <w:r>
        <w:t xml:space="preserve">Australian </w:t>
      </w:r>
      <w:r w:rsidR="009D5A21" w:rsidRPr="0052271F">
        <w:rPr>
          <w:rFonts w:cs="Arial"/>
        </w:rPr>
        <w:t xml:space="preserve">official development </w:t>
      </w:r>
      <w:r w:rsidR="009D5A21" w:rsidRPr="009D5A21">
        <w:rPr>
          <w:rFonts w:cs="Arial"/>
        </w:rPr>
        <w:t>assistance</w:t>
      </w:r>
      <w:r w:rsidRPr="0081549C">
        <w:t xml:space="preserve"> </w:t>
      </w:r>
      <w:r>
        <w:t>to China in 2010</w:t>
      </w:r>
      <w:r w:rsidR="00D36589">
        <w:t>–</w:t>
      </w:r>
      <w:r>
        <w:t>11 was initially estimated at $36.8</w:t>
      </w:r>
      <w:r w:rsidR="0032745D">
        <w:t> </w:t>
      </w:r>
      <w:r>
        <w:t>million, with $22</w:t>
      </w:r>
      <w:r w:rsidR="0032745D">
        <w:t> </w:t>
      </w:r>
      <w:r>
        <w:t>million</w:t>
      </w:r>
      <w:r w:rsidRPr="0081549C">
        <w:t xml:space="preserve"> </w:t>
      </w:r>
      <w:r>
        <w:t xml:space="preserve">being </w:t>
      </w:r>
      <w:r w:rsidRPr="0081549C">
        <w:t xml:space="preserve">delivered </w:t>
      </w:r>
      <w:r>
        <w:t>through the bilateral program</w:t>
      </w:r>
      <w:r w:rsidR="006806A9">
        <w:t xml:space="preserve">. </w:t>
      </w:r>
      <w:r w:rsidR="006445EA">
        <w:t>Tot</w:t>
      </w:r>
      <w:r>
        <w:t xml:space="preserve">al expenditure </w:t>
      </w:r>
      <w:r w:rsidR="006445EA">
        <w:t xml:space="preserve">was </w:t>
      </w:r>
      <w:r>
        <w:t>$34.6</w:t>
      </w:r>
      <w:r w:rsidR="0032745D">
        <w:t> </w:t>
      </w:r>
      <w:r>
        <w:t>million</w:t>
      </w:r>
      <w:r w:rsidR="00EF7F59">
        <w:t xml:space="preserve">, </w:t>
      </w:r>
      <w:r w:rsidR="00500FAC">
        <w:t xml:space="preserve">as </w:t>
      </w:r>
      <w:r w:rsidR="006445EA">
        <w:t>not all funds were spent</w:t>
      </w:r>
      <w:r w:rsidR="00905390">
        <w:t>.</w:t>
      </w:r>
    </w:p>
    <w:p w:rsidR="00905390" w:rsidRPr="00102915" w:rsidRDefault="00905390" w:rsidP="00F137AB">
      <w:pPr>
        <w:pStyle w:val="H1"/>
        <w:spacing w:before="240"/>
      </w:pPr>
      <w:bookmarkStart w:id="3" w:name="_Toc360972056"/>
      <w:r w:rsidRPr="00102915">
        <w:t>Program objectives</w:t>
      </w:r>
      <w:bookmarkEnd w:id="3"/>
    </w:p>
    <w:p w:rsidR="00FB6A3F" w:rsidRPr="0081549C" w:rsidRDefault="00FB6A3F" w:rsidP="00FB6A3F">
      <w:pPr>
        <w:pStyle w:val="BodyText"/>
      </w:pPr>
      <w:r w:rsidRPr="0081549C">
        <w:t xml:space="preserve">The </w:t>
      </w:r>
      <w:r>
        <w:t xml:space="preserve">objectives of the </w:t>
      </w:r>
      <w:r w:rsidRPr="0081549C">
        <w:t>2006</w:t>
      </w:r>
      <w:r w:rsidR="00AD5773">
        <w:t>–</w:t>
      </w:r>
      <w:r w:rsidR="00EF7F59">
        <w:t>20</w:t>
      </w:r>
      <w:r w:rsidRPr="0081549C">
        <w:t>10 China Country P</w:t>
      </w:r>
      <w:r>
        <w:t xml:space="preserve">rogram Strategy, which in the absence of a new strategy for 2011 onwards </w:t>
      </w:r>
      <w:r w:rsidR="006445EA">
        <w:t>remain</w:t>
      </w:r>
      <w:r>
        <w:t xml:space="preserve"> current, are</w:t>
      </w:r>
      <w:r w:rsidR="0032745D">
        <w:t xml:space="preserve"> to</w:t>
      </w:r>
      <w:r w:rsidRPr="0081549C">
        <w:t>:</w:t>
      </w:r>
    </w:p>
    <w:p w:rsidR="00FB6A3F" w:rsidRDefault="00FB6A3F" w:rsidP="00FB6A3F">
      <w:pPr>
        <w:pStyle w:val="ListBullet"/>
      </w:pPr>
      <w:r>
        <w:t>support China’s policy reform agenda in governance, environment and health</w:t>
      </w:r>
    </w:p>
    <w:p w:rsidR="00FB6A3F" w:rsidRPr="0081549C" w:rsidRDefault="00FB6A3F" w:rsidP="00FB6A3F">
      <w:pPr>
        <w:pStyle w:val="ListBullet"/>
      </w:pPr>
      <w:r>
        <w:t>b</w:t>
      </w:r>
      <w:r w:rsidRPr="0081549C">
        <w:t>uild capacity in selected sectors</w:t>
      </w:r>
      <w:r w:rsidR="0032745D">
        <w:t xml:space="preserve"> in China</w:t>
      </w:r>
      <w:r w:rsidRPr="0081549C">
        <w:t>, in particular governance, environment and health</w:t>
      </w:r>
    </w:p>
    <w:p w:rsidR="00FB6A3F" w:rsidRPr="0081549C" w:rsidRDefault="00FB6A3F" w:rsidP="00FB6A3F">
      <w:pPr>
        <w:pStyle w:val="ListBullet"/>
      </w:pPr>
      <w:r>
        <w:t>e</w:t>
      </w:r>
      <w:r w:rsidRPr="0081549C">
        <w:t>nhance the Australia</w:t>
      </w:r>
      <w:r w:rsidR="009A61B3">
        <w:t xml:space="preserve"> </w:t>
      </w:r>
      <w:r w:rsidR="00AD5773">
        <w:t>–</w:t>
      </w:r>
      <w:r w:rsidR="009A61B3">
        <w:t xml:space="preserve"> </w:t>
      </w:r>
      <w:r w:rsidRPr="0081549C">
        <w:t xml:space="preserve">China relationship by building institutional </w:t>
      </w:r>
      <w:r w:rsidR="0032745D">
        <w:t>partnerships</w:t>
      </w:r>
    </w:p>
    <w:p w:rsidR="00FB6A3F" w:rsidRPr="0081549C" w:rsidRDefault="00854EC7" w:rsidP="00FB6A3F">
      <w:pPr>
        <w:pStyle w:val="ListBullet"/>
      </w:pPr>
      <w:proofErr w:type="gramStart"/>
      <w:r>
        <w:t>collaborate</w:t>
      </w:r>
      <w:proofErr w:type="gramEnd"/>
      <w:r w:rsidR="00FB6A3F" w:rsidRPr="0081549C">
        <w:t xml:space="preserve"> with China to strengthen the region.</w:t>
      </w:r>
    </w:p>
    <w:p w:rsidR="006445EA" w:rsidRDefault="00EF7F59" w:rsidP="00FB6A3F">
      <w:pPr>
        <w:pStyle w:val="BodyText"/>
      </w:pPr>
      <w:r>
        <w:t xml:space="preserve">In 2010-11 </w:t>
      </w:r>
      <w:r w:rsidR="00D93583">
        <w:t xml:space="preserve">Australia </w:t>
      </w:r>
      <w:r>
        <w:t>continued</w:t>
      </w:r>
      <w:r w:rsidR="006445EA">
        <w:t xml:space="preserve"> </w:t>
      </w:r>
      <w:r w:rsidR="00C87792">
        <w:t xml:space="preserve">work with China </w:t>
      </w:r>
      <w:r w:rsidR="00FB6A3F">
        <w:t xml:space="preserve">in </w:t>
      </w:r>
      <w:r w:rsidR="004D5C28">
        <w:t>the area of</w:t>
      </w:r>
      <w:r>
        <w:t xml:space="preserve"> </w:t>
      </w:r>
      <w:r w:rsidR="00FB6A3F">
        <w:t>governance, health and environment</w:t>
      </w:r>
      <w:r w:rsidR="00905390">
        <w:t xml:space="preserve"> </w:t>
      </w:r>
      <w:r w:rsidR="00905390" w:rsidRPr="00905390">
        <w:t>through three majo</w:t>
      </w:r>
      <w:r w:rsidR="00905390">
        <w:t>r funding facilities that have been ongoing for several years.</w:t>
      </w:r>
    </w:p>
    <w:p w:rsidR="006445EA" w:rsidRDefault="00FB6A3F" w:rsidP="006445EA">
      <w:pPr>
        <w:pStyle w:val="ListBullet"/>
      </w:pPr>
      <w:r w:rsidRPr="006445EA">
        <w:rPr>
          <w:b/>
        </w:rPr>
        <w:t>The China</w:t>
      </w:r>
      <w:r w:rsidR="009D5A21" w:rsidRPr="006445EA">
        <w:rPr>
          <w:b/>
        </w:rPr>
        <w:t xml:space="preserve"> </w:t>
      </w:r>
      <w:r w:rsidRPr="006445EA">
        <w:rPr>
          <w:b/>
        </w:rPr>
        <w:t>Australia Governance Program (CAGP)</w:t>
      </w:r>
      <w:r w:rsidR="006445EA">
        <w:t>,</w:t>
      </w:r>
      <w:r>
        <w:t xml:space="preserve"> completed in October 2010</w:t>
      </w:r>
      <w:r w:rsidR="006445EA">
        <w:t>,</w:t>
      </w:r>
      <w:r w:rsidRPr="0081549C">
        <w:t xml:space="preserve"> </w:t>
      </w:r>
      <w:r>
        <w:t>support</w:t>
      </w:r>
      <w:r w:rsidR="006445EA">
        <w:t>s</w:t>
      </w:r>
      <w:r>
        <w:t xml:space="preserve"> </w:t>
      </w:r>
      <w:r w:rsidRPr="0081549C">
        <w:t>China’s governance reform agenda in fiscal reform, balanced rural</w:t>
      </w:r>
      <w:r w:rsidR="001E657F">
        <w:t xml:space="preserve"> – </w:t>
      </w:r>
      <w:r w:rsidRPr="0081549C">
        <w:t>urban development and social security for migrant worke</w:t>
      </w:r>
      <w:r w:rsidR="00500FAC">
        <w:t>rs.</w:t>
      </w:r>
    </w:p>
    <w:p w:rsidR="006445EA" w:rsidRDefault="00FB6A3F" w:rsidP="006445EA">
      <w:pPr>
        <w:pStyle w:val="ListBullet"/>
      </w:pPr>
      <w:r w:rsidRPr="006445EA">
        <w:rPr>
          <w:b/>
        </w:rPr>
        <w:lastRenderedPageBreak/>
        <w:t>The China</w:t>
      </w:r>
      <w:r w:rsidR="006733CB" w:rsidRPr="006445EA">
        <w:rPr>
          <w:b/>
        </w:rPr>
        <w:t xml:space="preserve"> </w:t>
      </w:r>
      <w:r w:rsidRPr="006445EA">
        <w:rPr>
          <w:b/>
        </w:rPr>
        <w:t>Australia Health and HIV/AIDS Facility (CAHHF</w:t>
      </w:r>
      <w:r w:rsidRPr="001A252C">
        <w:rPr>
          <w:b/>
        </w:rPr>
        <w:t>)</w:t>
      </w:r>
      <w:r w:rsidRPr="0081549C">
        <w:t xml:space="preserve"> works through the Chinese Ministry of Health </w:t>
      </w:r>
      <w:r w:rsidR="006445EA">
        <w:t>on</w:t>
      </w:r>
      <w:r w:rsidRPr="0081549C">
        <w:t xml:space="preserve"> </w:t>
      </w:r>
      <w:r>
        <w:t xml:space="preserve">health system reform priorities </w:t>
      </w:r>
      <w:r w:rsidRPr="0081549C">
        <w:t>and protect</w:t>
      </w:r>
      <w:r w:rsidR="00D93583">
        <w:t>ing</w:t>
      </w:r>
      <w:r w:rsidRPr="0081549C">
        <w:t xml:space="preserve"> the population against HIV/AID</w:t>
      </w:r>
      <w:r w:rsidR="004B4704">
        <w:t>S</w:t>
      </w:r>
      <w:r w:rsidRPr="0081549C">
        <w:t xml:space="preserve"> and emerging infectious diseases</w:t>
      </w:r>
      <w:r w:rsidR="006806A9">
        <w:t xml:space="preserve">. </w:t>
      </w:r>
    </w:p>
    <w:p w:rsidR="00FB6A3F" w:rsidRDefault="00FB6A3F" w:rsidP="006445EA">
      <w:pPr>
        <w:pStyle w:val="ListBullet"/>
      </w:pPr>
      <w:r w:rsidRPr="006445EA">
        <w:rPr>
          <w:b/>
        </w:rPr>
        <w:t>The Australia</w:t>
      </w:r>
      <w:r w:rsidR="006733CB" w:rsidRPr="006445EA">
        <w:rPr>
          <w:b/>
        </w:rPr>
        <w:t xml:space="preserve"> </w:t>
      </w:r>
      <w:r w:rsidRPr="006445EA">
        <w:rPr>
          <w:b/>
        </w:rPr>
        <w:t>China Environment Development Partnership (ACEDP)</w:t>
      </w:r>
      <w:r>
        <w:t xml:space="preserve"> works with four Chinese ministries </w:t>
      </w:r>
      <w:r w:rsidRPr="0081549C">
        <w:t xml:space="preserve">to help improve </w:t>
      </w:r>
      <w:r w:rsidR="00D93583">
        <w:t>China’s</w:t>
      </w:r>
      <w:r w:rsidR="00D93583" w:rsidRPr="0081549C">
        <w:t xml:space="preserve"> </w:t>
      </w:r>
      <w:r w:rsidRPr="0081549C">
        <w:t>environmental protection and natural resources management, part</w:t>
      </w:r>
      <w:r>
        <w:t xml:space="preserve">icularly </w:t>
      </w:r>
      <w:r w:rsidR="00C276FF">
        <w:t>on</w:t>
      </w:r>
      <w:r>
        <w:t xml:space="preserve"> water and climate change</w:t>
      </w:r>
      <w:r w:rsidR="00317421">
        <w:t xml:space="preserve"> issues</w:t>
      </w:r>
      <w:r w:rsidRPr="0081549C">
        <w:t>.</w:t>
      </w:r>
    </w:p>
    <w:p w:rsidR="000F6A57" w:rsidRDefault="00C276FF" w:rsidP="000F6A57">
      <w:pPr>
        <w:pStyle w:val="BodyText"/>
      </w:pPr>
      <w:r>
        <w:t xml:space="preserve">Australia </w:t>
      </w:r>
      <w:r w:rsidR="00FB6A3F">
        <w:t>supports</w:t>
      </w:r>
      <w:r w:rsidR="001A252C">
        <w:t xml:space="preserve"> </w:t>
      </w:r>
      <w:r w:rsidR="00FB6A3F">
        <w:t>other annually-programmed activities</w:t>
      </w:r>
      <w:r>
        <w:t xml:space="preserve"> in China</w:t>
      </w:r>
      <w:r w:rsidR="00FB6A3F">
        <w:t>, including long and short</w:t>
      </w:r>
      <w:r w:rsidR="003D660F">
        <w:t>-</w:t>
      </w:r>
      <w:r w:rsidR="00FB6A3F">
        <w:t xml:space="preserve">term development scholarships, the Human Rights Technical Cooperation Program (HRTCP) and small grants activities </w:t>
      </w:r>
      <w:r w:rsidR="003D660F">
        <w:t>that</w:t>
      </w:r>
      <w:r w:rsidR="00FB6A3F">
        <w:t xml:space="preserve"> support development</w:t>
      </w:r>
      <w:r w:rsidR="00D93583">
        <w:t xml:space="preserve"> in the provinces</w:t>
      </w:r>
      <w:r w:rsidR="00FB6A3F">
        <w:t xml:space="preserve">. </w:t>
      </w:r>
      <w:proofErr w:type="spellStart"/>
      <w:r w:rsidR="00FB6A3F">
        <w:t>AusAID</w:t>
      </w:r>
      <w:proofErr w:type="spellEnd"/>
      <w:r w:rsidR="00FB6A3F">
        <w:t xml:space="preserve"> continues to manage </w:t>
      </w:r>
      <w:r w:rsidR="003D660F">
        <w:t xml:space="preserve">Australia’s </w:t>
      </w:r>
      <w:r w:rsidR="00FB6A3F">
        <w:t>financial commitments to the International Finance Corporation</w:t>
      </w:r>
      <w:r w:rsidR="00317421">
        <w:t xml:space="preserve"> (IFC) for work in China,</w:t>
      </w:r>
      <w:r w:rsidR="00FB6A3F">
        <w:t xml:space="preserve"> and the China Council for International Cooperation on Environment and Development (CCICED)</w:t>
      </w:r>
      <w:r w:rsidR="00317421">
        <w:t xml:space="preserve">, through </w:t>
      </w:r>
      <w:r w:rsidR="00FB6A3F">
        <w:t xml:space="preserve">payments made </w:t>
      </w:r>
      <w:r w:rsidR="00317421">
        <w:t xml:space="preserve">prior to </w:t>
      </w:r>
      <w:r w:rsidR="00FB6A3F">
        <w:t>2010</w:t>
      </w:r>
      <w:r w:rsidR="00265D7C">
        <w:t>-11</w:t>
      </w:r>
      <w:r w:rsidR="00FB6A3F">
        <w:t xml:space="preserve">. Australia </w:t>
      </w:r>
      <w:r w:rsidR="004D5C28">
        <w:t xml:space="preserve">also </w:t>
      </w:r>
      <w:r w:rsidR="00B409A7">
        <w:t>fund</w:t>
      </w:r>
      <w:r w:rsidR="003D660F">
        <w:t>s</w:t>
      </w:r>
      <w:r w:rsidR="00D93583">
        <w:t xml:space="preserve"> programs and activities </w:t>
      </w:r>
      <w:r w:rsidR="00B409A7">
        <w:t xml:space="preserve">in China </w:t>
      </w:r>
      <w:r w:rsidR="00D93583">
        <w:t>that address</w:t>
      </w:r>
      <w:r w:rsidR="00317421">
        <w:t xml:space="preserve"> </w:t>
      </w:r>
      <w:r w:rsidR="00FB6A3F">
        <w:t>issues of regional and global importance</w:t>
      </w:r>
      <w:r w:rsidR="00AF1D5A">
        <w:t>.</w:t>
      </w:r>
    </w:p>
    <w:p w:rsidR="00FB6A3F" w:rsidRDefault="00FB6A3F" w:rsidP="00F137AB">
      <w:pPr>
        <w:pStyle w:val="Heading2"/>
        <w:keepNext/>
        <w:keepLines/>
        <w:tabs>
          <w:tab w:val="left" w:pos="1920"/>
        </w:tabs>
        <w:spacing w:before="120" w:after="120" w:line="320" w:lineRule="atLeast"/>
        <w:ind w:left="0"/>
      </w:pPr>
      <w:bookmarkStart w:id="4" w:name="_Toc360972057"/>
      <w:r w:rsidRPr="00A6320C">
        <w:t>Expenditure</w:t>
      </w:r>
      <w:bookmarkEnd w:id="4"/>
    </w:p>
    <w:p w:rsidR="00FB6A3F" w:rsidRPr="003E4C57" w:rsidRDefault="00FB6A3F" w:rsidP="00F07EE7">
      <w:pPr>
        <w:pStyle w:val="Caption"/>
        <w:keepLines/>
        <w:spacing w:before="0" w:after="0" w:line="280" w:lineRule="exact"/>
        <w:rPr>
          <w:highlight w:val="magenta"/>
        </w:rPr>
      </w:pPr>
      <w:r w:rsidRPr="00E271CD">
        <w:t xml:space="preserve">Table </w:t>
      </w:r>
      <w:r>
        <w:t>1</w:t>
      </w:r>
      <w:r w:rsidRPr="00E271CD">
        <w:t xml:space="preserve">: </w:t>
      </w:r>
      <w:r>
        <w:t>Estimated e</w:t>
      </w:r>
      <w:r w:rsidRPr="00E271CD">
        <w:t>xpenditure</w:t>
      </w:r>
      <w:r>
        <w:t xml:space="preserve"> in 2010</w:t>
      </w:r>
      <w:r w:rsidR="00AD5773">
        <w:t>–</w:t>
      </w:r>
      <w:r>
        <w:t>11</w:t>
      </w:r>
    </w:p>
    <w:tbl>
      <w:tblPr>
        <w:tblW w:w="7295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5040"/>
        <w:gridCol w:w="1127"/>
        <w:gridCol w:w="1128"/>
      </w:tblGrid>
      <w:tr w:rsidR="00F07EE7" w:rsidRPr="003E4C57" w:rsidTr="00102915">
        <w:trPr>
          <w:cantSplit/>
          <w:tblHeader/>
        </w:trPr>
        <w:tc>
          <w:tcPr>
            <w:tcW w:w="5040" w:type="dxa"/>
            <w:tcBorders>
              <w:top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F07EE7" w:rsidRDefault="00F07EE7" w:rsidP="00F07EE7">
            <w:pPr>
              <w:pStyle w:val="TableDataColumnHeading"/>
              <w:jc w:val="left"/>
            </w:pPr>
            <w:r>
              <w:t>Objective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F07EE7" w:rsidRDefault="00F07EE7" w:rsidP="00F07EE7">
            <w:pPr>
              <w:pStyle w:val="TableDataColumnHeading"/>
            </w:pPr>
            <w:r>
              <w:t>A$ million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F07EE7" w:rsidRDefault="00F07EE7" w:rsidP="00F07EE7">
            <w:pPr>
              <w:pStyle w:val="TableDataColumnHeading"/>
            </w:pPr>
            <w:r>
              <w:t>% of bilateral program</w:t>
            </w:r>
          </w:p>
        </w:tc>
      </w:tr>
      <w:tr w:rsidR="00F07EE7" w:rsidRPr="002452D0" w:rsidTr="00F07EE7">
        <w:trPr>
          <w:cantSplit/>
        </w:trPr>
        <w:tc>
          <w:tcPr>
            <w:tcW w:w="5040" w:type="dxa"/>
            <w:tcMar>
              <w:left w:w="57" w:type="dxa"/>
              <w:right w:w="57" w:type="dxa"/>
            </w:tcMar>
          </w:tcPr>
          <w:p w:rsidR="00F07EE7" w:rsidRPr="002452D0" w:rsidRDefault="00F07EE7" w:rsidP="00F07EE7">
            <w:pPr>
              <w:pStyle w:val="TableDataEntries"/>
              <w:jc w:val="left"/>
            </w:pPr>
            <w:r>
              <w:t>1. Support China’s policy reform agenda in governance, environment and health.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</w:tcPr>
          <w:p w:rsidR="00F07EE7" w:rsidRPr="002452D0" w:rsidRDefault="00F07EE7" w:rsidP="00F07EE7">
            <w:pPr>
              <w:pStyle w:val="TableDataEntries"/>
            </w:pPr>
            <w:r>
              <w:t>13.50</w:t>
            </w:r>
          </w:p>
        </w:tc>
        <w:tc>
          <w:tcPr>
            <w:tcW w:w="1128" w:type="dxa"/>
            <w:tcMar>
              <w:left w:w="57" w:type="dxa"/>
              <w:right w:w="57" w:type="dxa"/>
            </w:tcMar>
          </w:tcPr>
          <w:p w:rsidR="00F07EE7" w:rsidRPr="002452D0" w:rsidRDefault="00F07EE7" w:rsidP="00F07EE7">
            <w:pPr>
              <w:pStyle w:val="TableDataEntries"/>
            </w:pPr>
            <w:r>
              <w:t>39.0</w:t>
            </w:r>
          </w:p>
        </w:tc>
      </w:tr>
      <w:tr w:rsidR="00F07EE7" w:rsidRPr="002452D0" w:rsidTr="00F07EE7">
        <w:trPr>
          <w:cantSplit/>
        </w:trPr>
        <w:tc>
          <w:tcPr>
            <w:tcW w:w="5040" w:type="dxa"/>
            <w:tcMar>
              <w:left w:w="57" w:type="dxa"/>
              <w:right w:w="57" w:type="dxa"/>
            </w:tcMar>
          </w:tcPr>
          <w:p w:rsidR="00F07EE7" w:rsidRDefault="00F07EE7" w:rsidP="00F07EE7">
            <w:pPr>
              <w:pStyle w:val="TableDataEntries"/>
              <w:jc w:val="left"/>
            </w:pPr>
            <w:r>
              <w:t>2. Build capacity in selected sectors in China, in particular in governance, environment and health.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</w:tcPr>
          <w:p w:rsidR="00F07EE7" w:rsidRPr="002452D0" w:rsidRDefault="00F07EE7" w:rsidP="00F07EE7">
            <w:pPr>
              <w:pStyle w:val="TableDataEntries"/>
            </w:pPr>
            <w:r>
              <w:t>12.17</w:t>
            </w:r>
          </w:p>
        </w:tc>
        <w:tc>
          <w:tcPr>
            <w:tcW w:w="1128" w:type="dxa"/>
            <w:tcMar>
              <w:left w:w="57" w:type="dxa"/>
              <w:right w:w="57" w:type="dxa"/>
            </w:tcMar>
          </w:tcPr>
          <w:p w:rsidR="00F07EE7" w:rsidRPr="002452D0" w:rsidRDefault="00F07EE7" w:rsidP="00F07EE7">
            <w:pPr>
              <w:pStyle w:val="TableDataEntries"/>
            </w:pPr>
            <w:r>
              <w:t>35.1</w:t>
            </w:r>
          </w:p>
        </w:tc>
      </w:tr>
      <w:tr w:rsidR="00F07EE7" w:rsidRPr="002452D0" w:rsidTr="00F07EE7">
        <w:trPr>
          <w:cantSplit/>
        </w:trPr>
        <w:tc>
          <w:tcPr>
            <w:tcW w:w="5040" w:type="dxa"/>
            <w:tcMar>
              <w:left w:w="57" w:type="dxa"/>
              <w:right w:w="57" w:type="dxa"/>
            </w:tcMar>
          </w:tcPr>
          <w:p w:rsidR="00F07EE7" w:rsidRDefault="00F07EE7" w:rsidP="00F07EE7">
            <w:pPr>
              <w:pStyle w:val="TableDataEntries"/>
              <w:jc w:val="left"/>
            </w:pPr>
            <w:r>
              <w:t>3. Enhance the Australia – China relationship by building institutional partnerships.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</w:tcPr>
          <w:p w:rsidR="00F07EE7" w:rsidRPr="002452D0" w:rsidRDefault="00F07EE7" w:rsidP="00F07EE7">
            <w:pPr>
              <w:pStyle w:val="TableDataEntries"/>
            </w:pPr>
            <w:r>
              <w:t>7.15</w:t>
            </w:r>
          </w:p>
        </w:tc>
        <w:tc>
          <w:tcPr>
            <w:tcW w:w="1128" w:type="dxa"/>
            <w:tcMar>
              <w:left w:w="57" w:type="dxa"/>
              <w:right w:w="57" w:type="dxa"/>
            </w:tcMar>
          </w:tcPr>
          <w:p w:rsidR="00F07EE7" w:rsidRPr="002452D0" w:rsidRDefault="00F07EE7" w:rsidP="00F07EE7">
            <w:pPr>
              <w:pStyle w:val="TableDataEntries"/>
            </w:pPr>
            <w:r>
              <w:t>20.6</w:t>
            </w:r>
          </w:p>
        </w:tc>
      </w:tr>
      <w:tr w:rsidR="00F07EE7" w:rsidRPr="002452D0" w:rsidTr="00F07EE7">
        <w:trPr>
          <w:cantSplit/>
        </w:trPr>
        <w:tc>
          <w:tcPr>
            <w:tcW w:w="5040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F07EE7" w:rsidRDefault="00F07EE7" w:rsidP="00F07EE7">
            <w:pPr>
              <w:pStyle w:val="TableDataEntries"/>
              <w:jc w:val="left"/>
            </w:pPr>
            <w:r>
              <w:t xml:space="preserve">4. </w:t>
            </w:r>
            <w:r w:rsidR="00854EC7">
              <w:t>Collaborate</w:t>
            </w:r>
            <w:r>
              <w:t xml:space="preserve"> with China to strengthen the region.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F07EE7" w:rsidRPr="002452D0" w:rsidRDefault="00F07EE7" w:rsidP="00F07EE7">
            <w:pPr>
              <w:pStyle w:val="TableDataEntries"/>
            </w:pPr>
            <w:r>
              <w:t>1.82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F07EE7" w:rsidRPr="002452D0" w:rsidRDefault="00F07EE7" w:rsidP="00F07EE7">
            <w:pPr>
              <w:pStyle w:val="TableDataEntries"/>
            </w:pPr>
            <w:r>
              <w:t>5.3</w:t>
            </w:r>
          </w:p>
        </w:tc>
      </w:tr>
    </w:tbl>
    <w:p w:rsidR="00FB6A3F" w:rsidRPr="00102915" w:rsidRDefault="00FB6A3F" w:rsidP="00F137AB">
      <w:pPr>
        <w:pStyle w:val="H1"/>
        <w:spacing w:before="240"/>
      </w:pPr>
      <w:bookmarkStart w:id="5" w:name="_Toc360972058"/>
      <w:r w:rsidRPr="00102915">
        <w:t>Progress against objectives</w:t>
      </w:r>
      <w:bookmarkEnd w:id="5"/>
    </w:p>
    <w:p w:rsidR="00FB6A3F" w:rsidRDefault="00F07EE7" w:rsidP="00FB6A3F">
      <w:pPr>
        <w:pStyle w:val="BodyText"/>
      </w:pPr>
      <w:r>
        <w:t xml:space="preserve">Australia’s </w:t>
      </w:r>
      <w:r w:rsidR="00FB6A3F">
        <w:t xml:space="preserve">aid program has </w:t>
      </w:r>
      <w:r w:rsidR="00C278CD">
        <w:t>engaged the Chinese Government to support</w:t>
      </w:r>
      <w:r w:rsidR="00785F9D">
        <w:t xml:space="preserve"> </w:t>
      </w:r>
      <w:r w:rsidR="00FB6A3F">
        <w:t xml:space="preserve">policy reform </w:t>
      </w:r>
      <w:r w:rsidR="00C278CD">
        <w:t>and</w:t>
      </w:r>
      <w:r w:rsidR="00FB6A3F">
        <w:t xml:space="preserve"> implementation and </w:t>
      </w:r>
      <w:r w:rsidR="00A64468">
        <w:t xml:space="preserve">to </w:t>
      </w:r>
      <w:r w:rsidR="00FB6A3F">
        <w:t xml:space="preserve">influence new policies </w:t>
      </w:r>
      <w:r w:rsidR="00C278CD">
        <w:t xml:space="preserve">and </w:t>
      </w:r>
      <w:r w:rsidR="00FB6A3F">
        <w:t>plans</w:t>
      </w:r>
      <w:r w:rsidR="006806A9">
        <w:t xml:space="preserve">. </w:t>
      </w:r>
      <w:r w:rsidR="00FB6A3F">
        <w:t>In 2010</w:t>
      </w:r>
      <w:r w:rsidR="00265D7C">
        <w:t>-11</w:t>
      </w:r>
      <w:r w:rsidR="00FB6A3F">
        <w:t xml:space="preserve"> </w:t>
      </w:r>
      <w:r w:rsidR="004460FC">
        <w:t>Australia assisted China to</w:t>
      </w:r>
      <w:r w:rsidR="00FB6A3F">
        <w:t>:</w:t>
      </w:r>
    </w:p>
    <w:p w:rsidR="00FB6A3F" w:rsidRDefault="003D660F" w:rsidP="00FB6A3F">
      <w:pPr>
        <w:pStyle w:val="ListBullet"/>
      </w:pPr>
      <w:r>
        <w:t xml:space="preserve">reform the </w:t>
      </w:r>
      <w:r w:rsidR="00FB6A3F">
        <w:t>social security budget and develop old age insurance policies</w:t>
      </w:r>
    </w:p>
    <w:p w:rsidR="00FB6A3F" w:rsidRDefault="00FB6A3F" w:rsidP="00FB6A3F">
      <w:pPr>
        <w:pStyle w:val="ListBullet"/>
      </w:pPr>
      <w:r>
        <w:t>prepar</w:t>
      </w:r>
      <w:r w:rsidR="004460FC">
        <w:t>e</w:t>
      </w:r>
      <w:r>
        <w:t xml:space="preserve"> medical insurance policies and health service protocols</w:t>
      </w:r>
    </w:p>
    <w:p w:rsidR="00FB6A3F" w:rsidRDefault="00FB6A3F" w:rsidP="00FB6A3F">
      <w:pPr>
        <w:pStyle w:val="ListBullet"/>
      </w:pPr>
      <w:proofErr w:type="gramStart"/>
      <w:r>
        <w:t>develop</w:t>
      </w:r>
      <w:proofErr w:type="gramEnd"/>
      <w:r>
        <w:t xml:space="preserve"> climate change policy recommendations for the </w:t>
      </w:r>
      <w:r w:rsidR="00AA6C71">
        <w:t>12</w:t>
      </w:r>
      <w:r w:rsidR="00AA6C71" w:rsidRPr="000A1723">
        <w:rPr>
          <w:vertAlign w:val="superscript"/>
        </w:rPr>
        <w:t>th</w:t>
      </w:r>
      <w:r w:rsidR="00AA6C71">
        <w:t xml:space="preserve"> </w:t>
      </w:r>
      <w:r w:rsidR="00635F43">
        <w:t xml:space="preserve">Five-Year Plan, </w:t>
      </w:r>
      <w:r w:rsidR="00635F43" w:rsidRPr="00635F43">
        <w:t>China’s economic development guidelines for 2011-2015</w:t>
      </w:r>
      <w:r>
        <w:t>.</w:t>
      </w:r>
    </w:p>
    <w:p w:rsidR="00FB6A3F" w:rsidRDefault="004460FC" w:rsidP="00FB6A3F">
      <w:pPr>
        <w:pStyle w:val="BodyText"/>
      </w:pPr>
      <w:r>
        <w:t>Australia also provided</w:t>
      </w:r>
      <w:r w:rsidR="00FB6A3F">
        <w:t xml:space="preserve"> expertise </w:t>
      </w:r>
      <w:r w:rsidR="003D660F">
        <w:t xml:space="preserve">to </w:t>
      </w:r>
      <w:r w:rsidR="00FB6A3F">
        <w:t xml:space="preserve">help </w:t>
      </w:r>
      <w:r>
        <w:t>China’s national agencies strengthen their</w:t>
      </w:r>
      <w:r w:rsidR="00785F9D">
        <w:t xml:space="preserve"> </w:t>
      </w:r>
      <w:r w:rsidR="00FB6A3F" w:rsidRPr="0099401D">
        <w:t xml:space="preserve">technical </w:t>
      </w:r>
      <w:r w:rsidR="00FB6A3F">
        <w:t>ability</w:t>
      </w:r>
      <w:r>
        <w:t xml:space="preserve"> </w:t>
      </w:r>
      <w:r w:rsidR="00FB6A3F">
        <w:t>to:</w:t>
      </w:r>
    </w:p>
    <w:p w:rsidR="00FB6A3F" w:rsidRDefault="004460FC" w:rsidP="00FB6A3F">
      <w:pPr>
        <w:pStyle w:val="ListBullet"/>
      </w:pPr>
      <w:r>
        <w:t xml:space="preserve">conduct </w:t>
      </w:r>
      <w:r w:rsidR="00FB6A3F">
        <w:t>critical research</w:t>
      </w:r>
      <w:r w:rsidR="00A64468">
        <w:t xml:space="preserve">, </w:t>
      </w:r>
      <w:r w:rsidR="00FB6A3F">
        <w:t>analysis</w:t>
      </w:r>
      <w:r w:rsidR="00A64468">
        <w:t xml:space="preserve"> and simulation studies</w:t>
      </w:r>
    </w:p>
    <w:p w:rsidR="00FB6A3F" w:rsidRDefault="00FB6A3F" w:rsidP="00FB6A3F">
      <w:pPr>
        <w:pStyle w:val="ListBullet"/>
      </w:pPr>
      <w:r>
        <w:t>control an influenza outbreak</w:t>
      </w:r>
    </w:p>
    <w:p w:rsidR="00FB6A3F" w:rsidRDefault="00FB6A3F" w:rsidP="00FB6A3F">
      <w:pPr>
        <w:pStyle w:val="ListBullet"/>
      </w:pPr>
      <w:proofErr w:type="gramStart"/>
      <w:r>
        <w:t>manage</w:t>
      </w:r>
      <w:proofErr w:type="gramEnd"/>
      <w:r>
        <w:t xml:space="preserve"> a social security fund.</w:t>
      </w:r>
      <w:r w:rsidR="005B5935">
        <w:t xml:space="preserve"> </w:t>
      </w:r>
    </w:p>
    <w:p w:rsidR="00FB6A3F" w:rsidRDefault="00FB6A3F" w:rsidP="00FB6A3F">
      <w:pPr>
        <w:pStyle w:val="BodyText"/>
      </w:pPr>
      <w:r>
        <w:t xml:space="preserve">The aid program </w:t>
      </w:r>
      <w:r w:rsidR="00C87792">
        <w:t>helped</w:t>
      </w:r>
      <w:r>
        <w:t xml:space="preserve"> establish new </w:t>
      </w:r>
      <w:r w:rsidRPr="008F20C0">
        <w:t>partnerships</w:t>
      </w:r>
      <w:r>
        <w:t xml:space="preserve"> </w:t>
      </w:r>
      <w:r w:rsidR="00635F43">
        <w:t xml:space="preserve">between the Australian and Chinese governments </w:t>
      </w:r>
      <w:r>
        <w:t>and consolidate</w:t>
      </w:r>
      <w:r w:rsidRPr="000F33B1">
        <w:t xml:space="preserve"> </w:t>
      </w:r>
      <w:r>
        <w:t>existing ones</w:t>
      </w:r>
      <w:r w:rsidR="006806A9">
        <w:t xml:space="preserve">. </w:t>
      </w:r>
      <w:r>
        <w:t>For example, CA</w:t>
      </w:r>
      <w:r w:rsidR="009D5A21">
        <w:t>H</w:t>
      </w:r>
      <w:r>
        <w:t>HF helped deliver the inaugural bilateral Health Policy Dialogue, co-chaired by</w:t>
      </w:r>
      <w:r w:rsidR="00D17593">
        <w:t xml:space="preserve"> the ministers of health from Australia and China</w:t>
      </w:r>
      <w:r>
        <w:t xml:space="preserve">, which culminated in </w:t>
      </w:r>
      <w:r w:rsidR="00D17593">
        <w:t xml:space="preserve">the </w:t>
      </w:r>
      <w:r>
        <w:t xml:space="preserve">signing </w:t>
      </w:r>
      <w:r w:rsidR="00D17593">
        <w:t xml:space="preserve">of </w:t>
      </w:r>
      <w:r>
        <w:t>a new Plan of Action</w:t>
      </w:r>
      <w:r w:rsidR="000E4F03">
        <w:t xml:space="preserve"> </w:t>
      </w:r>
      <w:r w:rsidR="00785F9D">
        <w:t xml:space="preserve">on Health Cooperation </w:t>
      </w:r>
      <w:r w:rsidR="000E4F03">
        <w:t>for 2011-1</w:t>
      </w:r>
      <w:r w:rsidR="00785F9D">
        <w:t>4</w:t>
      </w:r>
      <w:r w:rsidR="006806A9">
        <w:t xml:space="preserve">. </w:t>
      </w:r>
      <w:r>
        <w:t xml:space="preserve">The aid program also </w:t>
      </w:r>
      <w:r w:rsidR="000E4F03">
        <w:t xml:space="preserve">funded </w:t>
      </w:r>
      <w:r>
        <w:t xml:space="preserve">collaboration between the Australian National University (ANU) and the Central Party School </w:t>
      </w:r>
      <w:r w:rsidR="00F55E98">
        <w:t xml:space="preserve">(CPS) </w:t>
      </w:r>
      <w:r>
        <w:t>of the China Communist Party</w:t>
      </w:r>
      <w:r w:rsidR="00A96ECD" w:rsidRPr="00A96ECD">
        <w:t>—</w:t>
      </w:r>
      <w:r>
        <w:t>the training centre for China’s political leaders</w:t>
      </w:r>
      <w:r w:rsidR="00AD5773">
        <w:t>—</w:t>
      </w:r>
      <w:r>
        <w:t xml:space="preserve">resulting in a publication in English and Chinese </w:t>
      </w:r>
      <w:r>
        <w:lastRenderedPageBreak/>
        <w:t>on reform and governance in China</w:t>
      </w:r>
      <w:r w:rsidR="006806A9">
        <w:t xml:space="preserve">. </w:t>
      </w:r>
      <w:r w:rsidR="00C87792">
        <w:t xml:space="preserve">Another </w:t>
      </w:r>
      <w:proofErr w:type="spellStart"/>
      <w:r>
        <w:t>AusAID</w:t>
      </w:r>
      <w:proofErr w:type="spellEnd"/>
      <w:r>
        <w:t>-</w:t>
      </w:r>
      <w:r w:rsidR="00271A8A">
        <w:t xml:space="preserve">funded </w:t>
      </w:r>
      <w:r>
        <w:t>collaboration</w:t>
      </w:r>
      <w:r w:rsidR="00C87792">
        <w:t>—</w:t>
      </w:r>
      <w:r>
        <w:t>between the Australia</w:t>
      </w:r>
      <w:r w:rsidR="00D36589">
        <w:t xml:space="preserve"> </w:t>
      </w:r>
      <w:r w:rsidR="000E4F03">
        <w:t xml:space="preserve">and </w:t>
      </w:r>
      <w:r>
        <w:t xml:space="preserve">New Zealand School of Government and the </w:t>
      </w:r>
      <w:r w:rsidR="00396A10" w:rsidRPr="00396A10">
        <w:t>Organization Department of the Communist Party of China Central Committee</w:t>
      </w:r>
      <w:r w:rsidR="00C87792">
        <w:t>—</w:t>
      </w:r>
      <w:r>
        <w:t>expose</w:t>
      </w:r>
      <w:r w:rsidR="00C87792">
        <w:t>d</w:t>
      </w:r>
      <w:r>
        <w:t xml:space="preserve"> Chinese policymakers to Australian policymaking systems and processes.</w:t>
      </w:r>
    </w:p>
    <w:p w:rsidR="00FB6A3F" w:rsidRDefault="00A96ECD" w:rsidP="00FB6A3F">
      <w:pPr>
        <w:pStyle w:val="BodyText"/>
      </w:pPr>
      <w:r>
        <w:t xml:space="preserve">The </w:t>
      </w:r>
      <w:r w:rsidR="00850D4E">
        <w:t xml:space="preserve">aid </w:t>
      </w:r>
      <w:r w:rsidR="00FB6A3F">
        <w:t xml:space="preserve">program </w:t>
      </w:r>
      <w:r w:rsidR="009073BF">
        <w:t xml:space="preserve">has </w:t>
      </w:r>
      <w:r w:rsidR="00FB6A3F">
        <w:t>also support</w:t>
      </w:r>
      <w:r w:rsidR="009073BF">
        <w:t>ed</w:t>
      </w:r>
      <w:r w:rsidR="00FB6A3F">
        <w:t xml:space="preserve"> </w:t>
      </w:r>
      <w:r w:rsidR="00271A8A">
        <w:t>Australian G</w:t>
      </w:r>
      <w:r w:rsidR="00FB6A3F">
        <w:t xml:space="preserve">overnment efforts to engage China </w:t>
      </w:r>
      <w:r w:rsidR="00FB6A3F" w:rsidRPr="00457C38">
        <w:t>on</w:t>
      </w:r>
      <w:r w:rsidR="00FB6A3F">
        <w:t xml:space="preserve"> global and</w:t>
      </w:r>
      <w:r w:rsidR="00FB6A3F" w:rsidRPr="00457C38">
        <w:t xml:space="preserve"> regional development issues</w:t>
      </w:r>
      <w:r w:rsidR="00FB6A3F">
        <w:t xml:space="preserve">, including with </w:t>
      </w:r>
      <w:r w:rsidR="009073BF">
        <w:t>China</w:t>
      </w:r>
      <w:r w:rsidR="00FB6A3F">
        <w:t xml:space="preserve"> as a donor in the Pacific and on climate change</w:t>
      </w:r>
      <w:r w:rsidR="00FB6A3F" w:rsidRPr="00457C38">
        <w:t>.</w:t>
      </w:r>
    </w:p>
    <w:p w:rsidR="00FB6A3F" w:rsidRDefault="00FB6A3F" w:rsidP="00FB6A3F">
      <w:pPr>
        <w:pStyle w:val="Caption"/>
      </w:pPr>
      <w:r>
        <w:t>Table 2: Ratings of the program’s progress in 2010</w:t>
      </w:r>
      <w:r w:rsidR="00265D7C">
        <w:t>-11</w:t>
      </w:r>
      <w:r>
        <w:t xml:space="preserve"> towards the objectives of the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 xml:space="preserve"> program</w:t>
      </w:r>
    </w:p>
    <w:tbl>
      <w:tblPr>
        <w:tblW w:w="0" w:type="auto"/>
        <w:tblInd w:w="57" w:type="dxa"/>
        <w:tblLook w:val="01E0" w:firstRow="1" w:lastRow="1" w:firstColumn="1" w:lastColumn="1" w:noHBand="0" w:noVBand="0"/>
      </w:tblPr>
      <w:tblGrid>
        <w:gridCol w:w="5725"/>
        <w:gridCol w:w="896"/>
        <w:gridCol w:w="1316"/>
      </w:tblGrid>
      <w:tr w:rsidR="00FB6A3F" w:rsidRPr="00D81B5B" w:rsidTr="00102915">
        <w:trPr>
          <w:cantSplit/>
          <w:tblHeader/>
        </w:trPr>
        <w:tc>
          <w:tcPr>
            <w:tcW w:w="5725" w:type="dxa"/>
            <w:tcBorders>
              <w:top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FB6A3F" w:rsidRPr="00D81B5B" w:rsidRDefault="00FB6A3F" w:rsidP="00F81C5D">
            <w:pPr>
              <w:pStyle w:val="TableTextColumnHeading"/>
            </w:pPr>
            <w:r w:rsidRPr="00D81B5B">
              <w:t>Objective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FB6A3F" w:rsidRDefault="00FB6A3F" w:rsidP="00F81C5D">
            <w:pPr>
              <w:pStyle w:val="TableTextColumnHeading"/>
              <w:jc w:val="center"/>
            </w:pPr>
            <w:r w:rsidRPr="00D81B5B">
              <w:t>Rating</w:t>
            </w:r>
            <w:r>
              <w:t xml:space="preserve"> in</w:t>
            </w:r>
            <w:r w:rsidR="00265D7C">
              <w:br/>
            </w:r>
            <w:r>
              <w:t>2010</w:t>
            </w:r>
            <w:r w:rsidR="00265D7C">
              <w:t>-11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</w:tcPr>
          <w:p w:rsidR="00FB6A3F" w:rsidRDefault="00FB6A3F" w:rsidP="00F81C5D">
            <w:pPr>
              <w:pStyle w:val="TableTextColumnHeading"/>
              <w:jc w:val="center"/>
            </w:pPr>
            <w:r>
              <w:t>Relative to</w:t>
            </w:r>
            <w:r w:rsidRPr="00D81B5B">
              <w:t xml:space="preserve"> </w:t>
            </w:r>
            <w:r>
              <w:br/>
            </w:r>
            <w:r w:rsidRPr="00D81B5B">
              <w:t>previous rating</w:t>
            </w:r>
          </w:p>
        </w:tc>
      </w:tr>
      <w:tr w:rsidR="00FB6A3F" w:rsidRPr="00D81B5B" w:rsidTr="00F81C5D">
        <w:trPr>
          <w:cantSplit/>
        </w:trPr>
        <w:tc>
          <w:tcPr>
            <w:tcW w:w="5725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A3F" w:rsidRPr="0058729F" w:rsidRDefault="00060624" w:rsidP="00F81C5D">
            <w:pPr>
              <w:pStyle w:val="TableTextEntries"/>
            </w:pPr>
            <w:r>
              <w:t>1</w:t>
            </w:r>
            <w:r w:rsidR="006806A9">
              <w:t xml:space="preserve">. </w:t>
            </w:r>
            <w:r w:rsidR="00FB6A3F" w:rsidRPr="0081549C">
              <w:t xml:space="preserve">Support </w:t>
            </w:r>
            <w:smartTag w:uri="urn:schemas-microsoft-com:office:smarttags" w:element="country-region">
              <w:smartTag w:uri="urn:schemas-microsoft-com:office:smarttags" w:element="place">
                <w:r w:rsidR="00FB6A3F" w:rsidRPr="0081549C">
                  <w:t>China</w:t>
                </w:r>
              </w:smartTag>
            </w:smartTag>
            <w:r w:rsidR="00FB6A3F" w:rsidRPr="0081549C">
              <w:t>’s policy reform agenda</w:t>
            </w:r>
            <w:r w:rsidR="00FB6A3F">
              <w:t xml:space="preserve"> in governance, environment and </w:t>
            </w:r>
            <w:r w:rsidR="00FB6A3F" w:rsidRPr="0081549C">
              <w:t>health</w:t>
            </w:r>
            <w:r w:rsidR="00FB6A3F">
              <w:t>.</w:t>
            </w:r>
          </w:p>
        </w:tc>
        <w:tc>
          <w:tcPr>
            <w:tcW w:w="896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A3F" w:rsidRPr="0058729F" w:rsidRDefault="00F137AB" w:rsidP="00F81C5D">
            <w:pPr>
              <w:pStyle w:val="Ratingbulle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82550</wp:posOffset>
                      </wp:positionV>
                      <wp:extent cx="129540" cy="136525"/>
                      <wp:effectExtent l="12700" t="6985" r="10160" b="8890"/>
                      <wp:wrapNone/>
                      <wp:docPr id="7" name="Rectangle 1199" descr="Gree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9" o:spid="_x0000_s1026" alt="Green " style="position:absolute;margin-left:14.2pt;margin-top:6.5pt;width:10.2pt;height:1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" fillcolor="#92d050" strokecolor="#92d050"/>
                  </w:pict>
                </mc:Fallback>
              </mc:AlternateContent>
            </w:r>
          </w:p>
        </w:tc>
        <w:tc>
          <w:tcPr>
            <w:tcW w:w="1316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A3F" w:rsidRPr="0058729F" w:rsidRDefault="00FB6A3F" w:rsidP="00F81C5D">
            <w:pPr>
              <w:pStyle w:val="TableTextEntries"/>
              <w:jc w:val="center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AUTOTEXTLIST  \s "Table Text Entries"\t "Right click to choose a response" \* MERGEFORMAT </w:instrText>
            </w:r>
            <w:r>
              <w:rPr>
                <w:bCs/>
              </w:rPr>
              <w:fldChar w:fldCharType="separate"/>
            </w:r>
            <w:r w:rsidRPr="00E140AA">
              <w:rPr>
                <w:bCs/>
              </w:rPr>
              <w:t>Unchanged</w:t>
            </w:r>
            <w:r>
              <w:rPr>
                <w:bCs/>
              </w:rPr>
              <w:fldChar w:fldCharType="end"/>
            </w:r>
          </w:p>
        </w:tc>
      </w:tr>
      <w:tr w:rsidR="00FB6A3F" w:rsidRPr="00D81B5B" w:rsidTr="00F81C5D">
        <w:trPr>
          <w:cantSplit/>
        </w:trPr>
        <w:tc>
          <w:tcPr>
            <w:tcW w:w="5725" w:type="dxa"/>
            <w:tcMar>
              <w:left w:w="57" w:type="dxa"/>
              <w:right w:w="57" w:type="dxa"/>
            </w:tcMar>
            <w:vAlign w:val="center"/>
          </w:tcPr>
          <w:p w:rsidR="00FB6A3F" w:rsidRPr="0058729F" w:rsidRDefault="00060624" w:rsidP="00F81C5D">
            <w:pPr>
              <w:pStyle w:val="TableTextEntries"/>
            </w:pPr>
            <w:r>
              <w:t>2</w:t>
            </w:r>
            <w:r w:rsidR="006806A9">
              <w:t xml:space="preserve">. </w:t>
            </w:r>
            <w:r w:rsidR="00FB6A3F" w:rsidRPr="0081549C">
              <w:t xml:space="preserve">Build capacity in selected sectors in </w:t>
            </w:r>
            <w:smartTag w:uri="urn:schemas-microsoft-com:office:smarttags" w:element="country-region">
              <w:smartTag w:uri="urn:schemas-microsoft-com:office:smarttags" w:element="place">
                <w:r w:rsidR="00FB6A3F" w:rsidRPr="0081549C">
                  <w:t>China</w:t>
                </w:r>
              </w:smartTag>
            </w:smartTag>
            <w:r w:rsidR="00FB6A3F" w:rsidRPr="0081549C">
              <w:t>, in particular governance, environment and health</w:t>
            </w:r>
            <w:r w:rsidR="00FB6A3F">
              <w:t>.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:rsidR="00FB6A3F" w:rsidRPr="0058729F" w:rsidRDefault="00F137AB" w:rsidP="00F81C5D">
            <w:pPr>
              <w:pStyle w:val="Ratingbulle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69850</wp:posOffset>
                      </wp:positionV>
                      <wp:extent cx="129540" cy="136525"/>
                      <wp:effectExtent l="12700" t="13335" r="10160" b="12065"/>
                      <wp:wrapNone/>
                      <wp:docPr id="6" name="Rectangle 1200" descr="Gree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0" o:spid="_x0000_s1026" alt="Green " style="position:absolute;margin-left:14.2pt;margin-top:5.5pt;width:10.2pt;height:1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" fillcolor="#92d050" strokecolor="#92d050"/>
                  </w:pict>
                </mc:Fallback>
              </mc:AlternateContent>
            </w:r>
          </w:p>
        </w:tc>
        <w:tc>
          <w:tcPr>
            <w:tcW w:w="1316" w:type="dxa"/>
            <w:tcMar>
              <w:left w:w="57" w:type="dxa"/>
              <w:right w:w="57" w:type="dxa"/>
            </w:tcMar>
            <w:vAlign w:val="center"/>
          </w:tcPr>
          <w:p w:rsidR="00FB6A3F" w:rsidRPr="0058729F" w:rsidRDefault="00FB6A3F" w:rsidP="00F81C5D">
            <w:pPr>
              <w:pStyle w:val="TableTextEntries"/>
              <w:jc w:val="center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AUTOTEXTLIST  \s "Table Text Entries"\t "Right click to choose a response" \* MERGEFORMAT </w:instrText>
            </w:r>
            <w:r>
              <w:rPr>
                <w:bCs/>
              </w:rPr>
              <w:fldChar w:fldCharType="separate"/>
            </w:r>
            <w:r w:rsidRPr="00E140AA">
              <w:rPr>
                <w:bCs/>
              </w:rPr>
              <w:t>Unchanged</w:t>
            </w:r>
            <w:r>
              <w:rPr>
                <w:bCs/>
              </w:rPr>
              <w:fldChar w:fldCharType="end"/>
            </w:r>
          </w:p>
        </w:tc>
      </w:tr>
      <w:tr w:rsidR="00FB6A3F" w:rsidRPr="00D81B5B" w:rsidTr="00F81C5D">
        <w:trPr>
          <w:cantSplit/>
        </w:trPr>
        <w:tc>
          <w:tcPr>
            <w:tcW w:w="5725" w:type="dxa"/>
            <w:tcMar>
              <w:left w:w="57" w:type="dxa"/>
              <w:right w:w="57" w:type="dxa"/>
            </w:tcMar>
            <w:vAlign w:val="center"/>
          </w:tcPr>
          <w:p w:rsidR="00FB6A3F" w:rsidRPr="0058729F" w:rsidRDefault="00060624" w:rsidP="00D17593">
            <w:pPr>
              <w:pStyle w:val="TableTextEntries"/>
            </w:pPr>
            <w:r>
              <w:t>3</w:t>
            </w:r>
            <w:r w:rsidR="006806A9">
              <w:t xml:space="preserve">. </w:t>
            </w:r>
            <w:r w:rsidR="00FB6A3F" w:rsidRPr="0081549C">
              <w:t>Enhance Australia</w:t>
            </w:r>
            <w:r w:rsidR="00D17593">
              <w:t xml:space="preserve"> – </w:t>
            </w:r>
            <w:r w:rsidR="00FB6A3F" w:rsidRPr="0081549C">
              <w:t xml:space="preserve">China relationship </w:t>
            </w:r>
            <w:r w:rsidR="00D17593">
              <w:t>by building institutional partnerships</w:t>
            </w:r>
            <w:r w:rsidR="00FB6A3F">
              <w:t>.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:rsidR="00FB6A3F" w:rsidRPr="0058729F" w:rsidRDefault="00F137AB" w:rsidP="00F81C5D">
            <w:pPr>
              <w:pStyle w:val="Ratingbulle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46990</wp:posOffset>
                      </wp:positionV>
                      <wp:extent cx="129540" cy="136525"/>
                      <wp:effectExtent l="8890" t="9525" r="13970" b="6350"/>
                      <wp:wrapNone/>
                      <wp:docPr id="5" name="Rectangle 1201" descr="Amber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1" o:spid="_x0000_s1026" alt="Amber " style="position:absolute;margin-left:13.9pt;margin-top:3.7pt;width:10.2pt;height:1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" fillcolor="#f90" strokecolor="#f90"/>
                  </w:pict>
                </mc:Fallback>
              </mc:AlternateContent>
            </w:r>
          </w:p>
        </w:tc>
        <w:tc>
          <w:tcPr>
            <w:tcW w:w="1316" w:type="dxa"/>
            <w:tcMar>
              <w:left w:w="57" w:type="dxa"/>
              <w:right w:w="57" w:type="dxa"/>
            </w:tcMar>
            <w:vAlign w:val="center"/>
          </w:tcPr>
          <w:p w:rsidR="00FB6A3F" w:rsidRPr="0058729F" w:rsidRDefault="00FB6A3F" w:rsidP="00F81C5D">
            <w:pPr>
              <w:pStyle w:val="TableTextEntries"/>
              <w:jc w:val="center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AUTOTEXTLIST  \s "Table Text Entries"\t "Right click to choose a response" \* MERGEFORMAT </w:instrText>
            </w:r>
            <w:r>
              <w:rPr>
                <w:bCs/>
              </w:rPr>
              <w:fldChar w:fldCharType="separate"/>
            </w:r>
            <w:r w:rsidRPr="00E140AA">
              <w:rPr>
                <w:bCs/>
              </w:rPr>
              <w:t>Declined</w:t>
            </w:r>
            <w:r>
              <w:rPr>
                <w:bCs/>
              </w:rPr>
              <w:fldChar w:fldCharType="end"/>
            </w:r>
          </w:p>
        </w:tc>
      </w:tr>
      <w:tr w:rsidR="00FB6A3F" w:rsidRPr="00D81B5B" w:rsidTr="00F81C5D">
        <w:trPr>
          <w:cantSplit/>
        </w:trPr>
        <w:tc>
          <w:tcPr>
            <w:tcW w:w="572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A3F" w:rsidRPr="00D81B5B" w:rsidRDefault="00060624" w:rsidP="00F81C5D">
            <w:pPr>
              <w:pStyle w:val="TableTextEntries"/>
            </w:pPr>
            <w:r>
              <w:t>4</w:t>
            </w:r>
            <w:r w:rsidR="006806A9">
              <w:t xml:space="preserve">. </w:t>
            </w:r>
            <w:r w:rsidR="00854EC7">
              <w:t>Collaborate</w:t>
            </w:r>
            <w:r w:rsidR="00FB6A3F" w:rsidRPr="0081549C">
              <w:t xml:space="preserve"> with </w:t>
            </w:r>
            <w:smartTag w:uri="urn:schemas-microsoft-com:office:smarttags" w:element="country-region">
              <w:smartTag w:uri="urn:schemas-microsoft-com:office:smarttags" w:element="place">
                <w:r w:rsidR="00FB6A3F" w:rsidRPr="0081549C">
                  <w:t>China</w:t>
                </w:r>
              </w:smartTag>
            </w:smartTag>
            <w:r w:rsidR="00FB6A3F" w:rsidRPr="0081549C">
              <w:t xml:space="preserve"> to strengthen the region</w:t>
            </w:r>
            <w:r w:rsidR="00FB6A3F">
              <w:t>.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A3F" w:rsidRPr="0058729F" w:rsidRDefault="00F137AB" w:rsidP="00F81C5D">
            <w:pPr>
              <w:pStyle w:val="Ratingbulle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17780</wp:posOffset>
                      </wp:positionV>
                      <wp:extent cx="129540" cy="136525"/>
                      <wp:effectExtent l="5080" t="8890" r="8255" b="6985"/>
                      <wp:wrapNone/>
                      <wp:docPr id="4" name="Rectangle 1202" descr="Red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2" o:spid="_x0000_s1026" alt="Red " style="position:absolute;margin-left:13.6pt;margin-top:1.4pt;width:10.2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" fillcolor="red" strokecolor="red"/>
                  </w:pict>
                </mc:Fallback>
              </mc:AlternateConten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A3F" w:rsidRPr="0058729F" w:rsidRDefault="00FB6A3F" w:rsidP="00F81C5D">
            <w:pPr>
              <w:pStyle w:val="TableTextEntries"/>
              <w:jc w:val="center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AUTOTEXTLIST  \s "Table Text Entries"\t "Right click to choose a response" \* MERGEFORMAT </w:instrText>
            </w:r>
            <w:r>
              <w:rPr>
                <w:bCs/>
              </w:rPr>
              <w:fldChar w:fldCharType="separate"/>
            </w:r>
            <w:r w:rsidRPr="00E140AA">
              <w:rPr>
                <w:bCs/>
              </w:rPr>
              <w:t>Declined</w:t>
            </w:r>
            <w:r>
              <w:rPr>
                <w:bCs/>
              </w:rPr>
              <w:fldChar w:fldCharType="end"/>
            </w:r>
          </w:p>
        </w:tc>
      </w:tr>
    </w:tbl>
    <w:p w:rsidR="00FB6A3F" w:rsidRDefault="00F137AB" w:rsidP="00FB6A3F">
      <w:pPr>
        <w:pStyle w:val="Note"/>
        <w:keepNext/>
      </w:pPr>
      <w:r>
        <w:rPr>
          <w:noProof/>
          <w:color w:val="99CC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137795</wp:posOffset>
                </wp:positionV>
                <wp:extent cx="129540" cy="95250"/>
                <wp:effectExtent l="13335" t="13970" r="9525" b="5080"/>
                <wp:wrapNone/>
                <wp:docPr id="3" name="Rectangle 1203" descr="Gree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5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3" o:spid="_x0000_s1026" alt="Green " style="position:absolute;margin-left:-.4pt;margin-top:10.85pt;width:10.2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" fillcolor="#92d050" strokecolor="#92d050"/>
            </w:pict>
          </mc:Fallback>
        </mc:AlternateContent>
      </w:r>
      <w:r w:rsidR="00FB6A3F" w:rsidRPr="00D33DDE">
        <w:t xml:space="preserve">Note: </w:t>
      </w:r>
    </w:p>
    <w:p w:rsidR="00FB6A3F" w:rsidRPr="006D2818" w:rsidRDefault="007C56AF" w:rsidP="00FB6A3F">
      <w:pPr>
        <w:pStyle w:val="Note"/>
        <w:keepNext/>
        <w:spacing w:before="0"/>
      </w:pPr>
      <w:r>
        <w:rPr>
          <w:color w:val="99CC00"/>
          <w:sz w:val="18"/>
          <w:szCs w:val="18"/>
        </w:rPr>
        <w:t xml:space="preserve">    </w:t>
      </w:r>
      <w:r w:rsidR="00FB6A3F">
        <w:rPr>
          <w:rFonts w:ascii="Arial Unicode MS" w:eastAsia="Arial Unicode MS" w:hAnsi="Arial Unicode MS" w:cs="Arial Unicode MS" w:hint="eastAsia"/>
        </w:rPr>
        <w:t> </w:t>
      </w:r>
      <w:r w:rsidR="00FB6A3F" w:rsidRPr="006D2818">
        <w:t>The objective will be fully achieved within the timeframe of the strategy.</w:t>
      </w:r>
    </w:p>
    <w:p w:rsidR="00FB6A3F" w:rsidRPr="006D2818" w:rsidRDefault="00F137AB" w:rsidP="00FB6A3F">
      <w:pPr>
        <w:pStyle w:val="Note"/>
        <w:keepNext/>
        <w:spacing w:before="0"/>
      </w:pPr>
      <w:r>
        <w:rPr>
          <w:noProof/>
          <w:color w:val="99CC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129540" cy="95250"/>
                <wp:effectExtent l="13335" t="6350" r="9525" b="12700"/>
                <wp:wrapNone/>
                <wp:docPr id="2" name="Rectangle 1204" descr="Ambe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52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4" o:spid="_x0000_s1026" alt="Amber " style="position:absolute;margin-left:-.4pt;margin-top:0;width:10.2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" fillcolor="#f90" strokecolor="#f90"/>
            </w:pict>
          </mc:Fallback>
        </mc:AlternateContent>
      </w:r>
      <w:r w:rsidR="007C56AF">
        <w:rPr>
          <w:color w:val="FF9900"/>
          <w:sz w:val="18"/>
          <w:szCs w:val="18"/>
        </w:rPr>
        <w:t xml:space="preserve">    </w:t>
      </w:r>
      <w:r w:rsidR="00FB6A3F">
        <w:rPr>
          <w:rFonts w:ascii="Arial Unicode MS" w:eastAsia="Arial Unicode MS" w:hAnsi="Arial Unicode MS" w:cs="Arial Unicode MS" w:hint="eastAsia"/>
        </w:rPr>
        <w:t> </w:t>
      </w:r>
      <w:r w:rsidR="00FB6A3F" w:rsidRPr="006D2818">
        <w:t>The objective will be partly achieved within the timeframe of the strategy.</w:t>
      </w:r>
    </w:p>
    <w:p w:rsidR="00FB6A3F" w:rsidRPr="00BB6A35" w:rsidRDefault="00F137AB" w:rsidP="00FB6A3F">
      <w:pPr>
        <w:pStyle w:val="Note"/>
        <w:spacing w:before="0"/>
      </w:pPr>
      <w:r>
        <w:rPr>
          <w:rFonts w:ascii="Arial Unicode MS" w:eastAsia="Arial Unicode MS" w:hAnsi="Arial Unicode MS" w:cs="Arial Unicode MS"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3810</wp:posOffset>
                </wp:positionV>
                <wp:extent cx="129540" cy="95250"/>
                <wp:effectExtent l="13335" t="10160" r="9525" b="8890"/>
                <wp:wrapNone/>
                <wp:docPr id="1" name="Rectangle 1205" descr="Gree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95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5" o:spid="_x0000_s1026" alt="Green " style="position:absolute;margin-left:-.4pt;margin-top:.3pt;width:10.2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" fillcolor="red" strokecolor="red"/>
            </w:pict>
          </mc:Fallback>
        </mc:AlternateContent>
      </w:r>
      <w:r w:rsidR="00FB6A3F">
        <w:rPr>
          <w:rFonts w:ascii="Arial Unicode MS" w:eastAsia="Arial Unicode MS" w:hAnsi="Arial Unicode MS" w:cs="Arial Unicode MS" w:hint="eastAsia"/>
        </w:rPr>
        <w:t> </w:t>
      </w:r>
      <w:r w:rsidR="007C56AF">
        <w:rPr>
          <w:rFonts w:ascii="Arial Unicode MS" w:eastAsia="Arial Unicode MS" w:hAnsi="Arial Unicode MS" w:cs="Arial Unicode MS"/>
        </w:rPr>
        <w:t xml:space="preserve">    </w:t>
      </w:r>
      <w:r w:rsidR="00FB6A3F" w:rsidRPr="006D2818">
        <w:t>The objective is unlikely to be achieved within the timeframe of the strategy.</w:t>
      </w:r>
    </w:p>
    <w:p w:rsidR="00FB6A3F" w:rsidRDefault="00FB6A3F" w:rsidP="00FB6A3F">
      <w:pPr>
        <w:pStyle w:val="Heading2"/>
        <w:keepNext/>
        <w:ind w:left="0"/>
      </w:pPr>
      <w:bookmarkStart w:id="6" w:name="_Toc360972059"/>
      <w:r>
        <w:t xml:space="preserve">Objective 1: </w:t>
      </w:r>
      <w:r w:rsidRPr="00146E2D">
        <w:t xml:space="preserve">Support </w:t>
      </w:r>
      <w:smartTag w:uri="urn:schemas-microsoft-com:office:smarttags" w:element="place">
        <w:smartTag w:uri="urn:schemas-microsoft-com:office:smarttags" w:element="country-region">
          <w:r w:rsidRPr="00146E2D">
            <w:t>China</w:t>
          </w:r>
        </w:smartTag>
      </w:smartTag>
      <w:r w:rsidRPr="00146E2D">
        <w:t>’s policy reform agenda in governance, environment and health</w:t>
      </w:r>
      <w:bookmarkEnd w:id="6"/>
    </w:p>
    <w:p w:rsidR="00FB6A3F" w:rsidRDefault="00C87792" w:rsidP="00FB6A3F">
      <w:pPr>
        <w:pStyle w:val="BodyText"/>
      </w:pPr>
      <w:r>
        <w:t xml:space="preserve">Australia </w:t>
      </w:r>
      <w:r w:rsidR="0029133F">
        <w:t>worked</w:t>
      </w:r>
      <w:r>
        <w:t xml:space="preserve"> with China on </w:t>
      </w:r>
      <w:r w:rsidR="0029133F">
        <w:t>its policy reform agenda</w:t>
      </w:r>
      <w:r w:rsidR="00785F9D">
        <w:t xml:space="preserve"> </w:t>
      </w:r>
      <w:r w:rsidR="00BA16D4">
        <w:t>i</w:t>
      </w:r>
      <w:r w:rsidR="00BA16D4" w:rsidRPr="00BA16D4">
        <w:t xml:space="preserve">n 2010-10 </w:t>
      </w:r>
      <w:r w:rsidR="00FB6A3F">
        <w:t>through the three major</w:t>
      </w:r>
      <w:r w:rsidR="0029133F">
        <w:t xml:space="preserve"> funding</w:t>
      </w:r>
      <w:r w:rsidR="009073BF">
        <w:t xml:space="preserve"> facilities</w:t>
      </w:r>
      <w:r w:rsidR="0029133F">
        <w:t xml:space="preserve"> in</w:t>
      </w:r>
      <w:r w:rsidR="001A252C">
        <w:t xml:space="preserve"> </w:t>
      </w:r>
      <w:r w:rsidR="00FB6A3F">
        <w:t>governance</w:t>
      </w:r>
      <w:r w:rsidR="00BA120C">
        <w:t>,</w:t>
      </w:r>
      <w:r w:rsidR="00FB6A3F">
        <w:t xml:space="preserve"> environment</w:t>
      </w:r>
      <w:r w:rsidR="00BA120C">
        <w:t xml:space="preserve"> and health</w:t>
      </w:r>
      <w:r w:rsidR="00FB6A3F">
        <w:t>, as well as through</w:t>
      </w:r>
      <w:r w:rsidR="00BA120C">
        <w:t xml:space="preserve"> the </w:t>
      </w:r>
      <w:r w:rsidR="00BA120C" w:rsidRPr="00BA120C">
        <w:t>China-Australia Human Rights Technical Cooperation Program</w:t>
      </w:r>
      <w:r w:rsidR="00FB6A3F">
        <w:t xml:space="preserve"> </w:t>
      </w:r>
      <w:r w:rsidR="00BA120C">
        <w:t>(</w:t>
      </w:r>
      <w:r w:rsidR="00FB6A3F">
        <w:t>HRTCP</w:t>
      </w:r>
      <w:r w:rsidR="00BA120C">
        <w:t>)</w:t>
      </w:r>
      <w:r w:rsidR="00FB6A3F">
        <w:t xml:space="preserve"> and </w:t>
      </w:r>
      <w:r w:rsidR="00BA120C">
        <w:t xml:space="preserve">the </w:t>
      </w:r>
      <w:r w:rsidR="00BA120C" w:rsidRPr="00BA120C">
        <w:t xml:space="preserve">China Council for International Cooperation on Environment and Development </w:t>
      </w:r>
      <w:r w:rsidR="00BA120C">
        <w:t>(</w:t>
      </w:r>
      <w:r w:rsidR="00FB6A3F">
        <w:t>CCICED</w:t>
      </w:r>
      <w:r w:rsidR="00BA120C">
        <w:t>)</w:t>
      </w:r>
      <w:r w:rsidR="00FB6A3F">
        <w:t xml:space="preserve">. Activities </w:t>
      </w:r>
      <w:r w:rsidR="00167215">
        <w:t>concentrated</w:t>
      </w:r>
      <w:r w:rsidR="00FB6A3F">
        <w:t xml:space="preserve"> on exposing Chinese counterparts to Australian policy processes or systems, generating evidence to support policy options through research and pilots, and providing technical input to the formulation of new legislation, regulations </w:t>
      </w:r>
      <w:r w:rsidR="00BA16D4">
        <w:t>and</w:t>
      </w:r>
      <w:r w:rsidR="00FB6A3F">
        <w:t xml:space="preserve"> policies. </w:t>
      </w:r>
    </w:p>
    <w:p w:rsidR="00FB6A3F" w:rsidRDefault="000E4F03" w:rsidP="00FB6A3F">
      <w:pPr>
        <w:pStyle w:val="BodyText"/>
      </w:pPr>
      <w:r>
        <w:t xml:space="preserve">An independent </w:t>
      </w:r>
      <w:r w:rsidR="0008697B">
        <w:t xml:space="preserve">progress </w:t>
      </w:r>
      <w:r>
        <w:t>review</w:t>
      </w:r>
      <w:r w:rsidR="00FB6A3F">
        <w:t xml:space="preserve"> </w:t>
      </w:r>
      <w:r w:rsidR="009073BF">
        <w:t>of</w:t>
      </w:r>
      <w:r w:rsidR="00FB6A3F">
        <w:t xml:space="preserve"> CAGP </w:t>
      </w:r>
      <w:r>
        <w:t>concluded</w:t>
      </w:r>
      <w:r w:rsidR="00FB6A3F" w:rsidRPr="001A252C">
        <w:t xml:space="preserve"> that major policy reform activities</w:t>
      </w:r>
      <w:r w:rsidR="00271A8A">
        <w:t xml:space="preserve"> </w:t>
      </w:r>
      <w:r w:rsidR="00FB6A3F" w:rsidRPr="001A252C">
        <w:t xml:space="preserve">made a </w:t>
      </w:r>
      <w:r w:rsidR="00500FAC">
        <w:t>significant</w:t>
      </w:r>
      <w:r w:rsidR="00167215" w:rsidRPr="001A252C">
        <w:t xml:space="preserve"> </w:t>
      </w:r>
      <w:r w:rsidR="00FB6A3F" w:rsidRPr="001A252C">
        <w:t>contribution</w:t>
      </w:r>
      <w:r w:rsidR="00FB6A3F" w:rsidRPr="00F55511">
        <w:t xml:space="preserve"> to </w:t>
      </w:r>
      <w:r w:rsidR="00FB6A3F">
        <w:t xml:space="preserve">the </w:t>
      </w:r>
      <w:r w:rsidR="00FB6A3F" w:rsidRPr="00F55511">
        <w:t>develop</w:t>
      </w:r>
      <w:r w:rsidR="00FB6A3F">
        <w:t>ment of</w:t>
      </w:r>
      <w:r w:rsidR="00FB6A3F" w:rsidRPr="00F55511">
        <w:t xml:space="preserve"> policy </w:t>
      </w:r>
      <w:r w:rsidR="005821F7">
        <w:t>solutions</w:t>
      </w:r>
      <w:r w:rsidR="00FB6A3F">
        <w:t xml:space="preserve"> in China</w:t>
      </w:r>
      <w:r w:rsidR="00271A8A">
        <w:t>,</w:t>
      </w:r>
      <w:r w:rsidR="00FB6A3F">
        <w:t xml:space="preserve"> </w:t>
      </w:r>
      <w:r w:rsidR="00271A8A">
        <w:t>for example</w:t>
      </w:r>
      <w:r w:rsidR="005821F7">
        <w:t>: fiscal and economic reform;</w:t>
      </w:r>
      <w:r w:rsidR="00271A8A">
        <w:t xml:space="preserve"> balanced urban and rural development</w:t>
      </w:r>
      <w:r w:rsidR="005821F7">
        <w:t>;</w:t>
      </w:r>
      <w:r w:rsidR="00271A8A">
        <w:t xml:space="preserve"> and social security for migrant workers. </w:t>
      </w:r>
      <w:r w:rsidR="005821F7">
        <w:t>Work on f</w:t>
      </w:r>
      <w:r w:rsidR="00FB6A3F">
        <w:t>iscal r</w:t>
      </w:r>
      <w:r w:rsidR="005821F7">
        <w:t>eform</w:t>
      </w:r>
      <w:r w:rsidR="00FB6A3F" w:rsidRPr="00F55511">
        <w:t xml:space="preserve"> </w:t>
      </w:r>
      <w:r w:rsidR="003A32F3">
        <w:t>helped</w:t>
      </w:r>
      <w:r w:rsidR="00FB6A3F">
        <w:t xml:space="preserve"> Chinese agencies</w:t>
      </w:r>
      <w:r w:rsidR="00FB6A3F" w:rsidRPr="00F55511">
        <w:t xml:space="preserve"> move towards a more comprehensive budget management system and resulted in several policy directives covering debt management and bond issue</w:t>
      </w:r>
      <w:r w:rsidR="006806A9">
        <w:t xml:space="preserve">. </w:t>
      </w:r>
      <w:r w:rsidR="00FB6A3F">
        <w:t>W</w:t>
      </w:r>
      <w:r w:rsidR="00FB6A3F" w:rsidRPr="00F55511">
        <w:t xml:space="preserve">ork on social security for migrant workers </w:t>
      </w:r>
      <w:r w:rsidR="00167215">
        <w:t>included</w:t>
      </w:r>
      <w:r w:rsidR="00167215" w:rsidRPr="00F55511">
        <w:t xml:space="preserve"> </w:t>
      </w:r>
      <w:r w:rsidR="00FB6A3F" w:rsidRPr="00F55511">
        <w:t xml:space="preserve">research on </w:t>
      </w:r>
      <w:r w:rsidR="00271A8A">
        <w:t>difficult</w:t>
      </w:r>
      <w:r w:rsidR="004B4704">
        <w:t xml:space="preserve"> </w:t>
      </w:r>
      <w:r w:rsidR="00FB6A3F" w:rsidRPr="00F55511">
        <w:t>issues related to developing policy, regulations and legislation on migrants</w:t>
      </w:r>
      <w:r w:rsidR="005821F7">
        <w:t>’ old age insurance.</w:t>
      </w:r>
    </w:p>
    <w:p w:rsidR="00FB6A3F" w:rsidRDefault="004B4704" w:rsidP="00FB6A3F">
      <w:pPr>
        <w:pStyle w:val="BodyText"/>
      </w:pPr>
      <w:r>
        <w:t>An</w:t>
      </w:r>
      <w:r w:rsidR="00FB6A3F">
        <w:t xml:space="preserve"> </w:t>
      </w:r>
      <w:r w:rsidR="005821F7">
        <w:t>i</w:t>
      </w:r>
      <w:r w:rsidR="00FB6A3F">
        <w:t xml:space="preserve">ndependent </w:t>
      </w:r>
      <w:r w:rsidR="0008697B">
        <w:t xml:space="preserve">progress </w:t>
      </w:r>
      <w:r w:rsidR="005821F7">
        <w:t>r</w:t>
      </w:r>
      <w:r w:rsidR="00FB6A3F">
        <w:t>eview of HRTCP</w:t>
      </w:r>
      <w:r w:rsidR="005821F7">
        <w:t xml:space="preserve">, </w:t>
      </w:r>
      <w:r w:rsidR="009F522F">
        <w:t>in</w:t>
      </w:r>
      <w:r w:rsidR="001A252C">
        <w:t xml:space="preserve"> </w:t>
      </w:r>
      <w:r w:rsidR="00FB6A3F">
        <w:t>February 2011</w:t>
      </w:r>
      <w:r w:rsidR="005821F7">
        <w:t>,</w:t>
      </w:r>
      <w:r w:rsidR="00FB6A3F">
        <w:t xml:space="preserve"> indicated that the strongest policy reform achievements were in sectors </w:t>
      </w:r>
      <w:r w:rsidR="00167215">
        <w:t xml:space="preserve">in which </w:t>
      </w:r>
      <w:r w:rsidR="00FB6A3F">
        <w:t xml:space="preserve">the program had </w:t>
      </w:r>
      <w:r w:rsidR="00167215">
        <w:t>been working for a long time</w:t>
      </w:r>
      <w:r w:rsidR="00FB6A3F">
        <w:t xml:space="preserve"> and where cooperating agencies </w:t>
      </w:r>
      <w:r w:rsidR="00AA6C71">
        <w:t>were</w:t>
      </w:r>
      <w:r w:rsidR="00167215">
        <w:t xml:space="preserve"> </w:t>
      </w:r>
      <w:r w:rsidR="00FB6A3F">
        <w:t xml:space="preserve">clear </w:t>
      </w:r>
      <w:r w:rsidR="00AA6C71">
        <w:t>on their work</w:t>
      </w:r>
      <w:r w:rsidR="00FB6A3F">
        <w:t xml:space="preserve"> objectives.</w:t>
      </w:r>
      <w:r w:rsidR="00500FAC">
        <w:t xml:space="preserve"> </w:t>
      </w:r>
      <w:r w:rsidR="005821F7">
        <w:t>A</w:t>
      </w:r>
      <w:r w:rsidR="005821F7" w:rsidRPr="005821F7">
        <w:t>s examples</w:t>
      </w:r>
      <w:r w:rsidR="005821F7">
        <w:t>, the report cites</w:t>
      </w:r>
      <w:r w:rsidR="00500FAC">
        <w:t xml:space="preserve"> </w:t>
      </w:r>
      <w:r w:rsidR="00EC26AA">
        <w:t xml:space="preserve">cooperation </w:t>
      </w:r>
      <w:r w:rsidR="00EC26AA" w:rsidRPr="00EC26AA">
        <w:t>on domestic violence</w:t>
      </w:r>
      <w:r w:rsidR="00EC26AA">
        <w:t xml:space="preserve"> by</w:t>
      </w:r>
      <w:r w:rsidR="00500FAC">
        <w:t xml:space="preserve"> </w:t>
      </w:r>
      <w:r w:rsidR="00500FAC" w:rsidRPr="00500FAC">
        <w:t xml:space="preserve">HRTCP </w:t>
      </w:r>
      <w:r w:rsidR="00EC26AA">
        <w:t>with</w:t>
      </w:r>
      <w:r w:rsidR="00500FAC" w:rsidRPr="00500FAC">
        <w:t xml:space="preserve"> the All China Women’s Federation </w:t>
      </w:r>
      <w:r w:rsidR="005821F7">
        <w:t>over</w:t>
      </w:r>
      <w:r w:rsidR="00EC26AA">
        <w:t xml:space="preserve"> </w:t>
      </w:r>
      <w:r w:rsidR="00500FAC" w:rsidRPr="00500FAC">
        <w:t xml:space="preserve">more than 10 years, and </w:t>
      </w:r>
      <w:r w:rsidR="00EC26AA">
        <w:t xml:space="preserve">work on family planning by </w:t>
      </w:r>
      <w:r w:rsidR="00500FAC" w:rsidRPr="00500FAC">
        <w:t xml:space="preserve">HRTCP </w:t>
      </w:r>
      <w:r w:rsidR="00EC26AA">
        <w:t>with</w:t>
      </w:r>
      <w:r w:rsidR="00500FAC" w:rsidRPr="00500FAC">
        <w:t xml:space="preserve"> </w:t>
      </w:r>
      <w:r w:rsidR="00EC26AA">
        <w:t xml:space="preserve">the </w:t>
      </w:r>
      <w:r w:rsidR="00500FAC" w:rsidRPr="00500FAC">
        <w:t>National Population</w:t>
      </w:r>
      <w:r w:rsidR="00EC26AA">
        <w:t xml:space="preserve"> and Family Planning Commission</w:t>
      </w:r>
      <w:r w:rsidR="005821F7">
        <w:t>, which is</w:t>
      </w:r>
      <w:r w:rsidR="00500FAC" w:rsidRPr="00500FAC">
        <w:t xml:space="preserve"> gu</w:t>
      </w:r>
      <w:r w:rsidR="00EC26AA">
        <w:t>ided by a multi-year work plan.</w:t>
      </w:r>
    </w:p>
    <w:p w:rsidR="00FB6A3F" w:rsidRDefault="005821F7" w:rsidP="00FB6A3F">
      <w:pPr>
        <w:pStyle w:val="BodyText"/>
      </w:pPr>
      <w:r>
        <w:lastRenderedPageBreak/>
        <w:t>E</w:t>
      </w:r>
      <w:r w:rsidR="00FB6A3F" w:rsidRPr="00F55511">
        <w:t xml:space="preserve">merging evidence </w:t>
      </w:r>
      <w:r>
        <w:t xml:space="preserve">indicates </w:t>
      </w:r>
      <w:r w:rsidR="00FB6A3F" w:rsidRPr="00F55511">
        <w:t xml:space="preserve">that CAHHF activities </w:t>
      </w:r>
      <w:r>
        <w:t>are having a positive</w:t>
      </w:r>
      <w:r w:rsidR="00FB6A3F" w:rsidRPr="00F55511">
        <w:t xml:space="preserve"> impact at the policy level</w:t>
      </w:r>
      <w:r w:rsidR="006806A9">
        <w:t xml:space="preserve">. </w:t>
      </w:r>
      <w:r w:rsidR="007B0D3A">
        <w:t>P</w:t>
      </w:r>
      <w:r w:rsidR="00FB6A3F" w:rsidRPr="00F55511">
        <w:t>olicy papers on community health and medical insurance</w:t>
      </w:r>
      <w:r w:rsidR="007B0D3A">
        <w:t xml:space="preserve"> are, for example, being</w:t>
      </w:r>
      <w:r w:rsidR="00FB6A3F" w:rsidRPr="00F55511">
        <w:t xml:space="preserve"> adopted by </w:t>
      </w:r>
      <w:r w:rsidR="009D5A21">
        <w:t xml:space="preserve">the </w:t>
      </w:r>
      <w:r w:rsidR="009D5A21" w:rsidRPr="0052271F">
        <w:t xml:space="preserve">Ministry of </w:t>
      </w:r>
      <w:r w:rsidR="009D5A21" w:rsidRPr="009D5A21">
        <w:t>Health</w:t>
      </w:r>
      <w:r w:rsidR="0060790D">
        <w:t xml:space="preserve"> at a district level</w:t>
      </w:r>
      <w:r w:rsidR="006806A9">
        <w:t xml:space="preserve">. </w:t>
      </w:r>
      <w:r w:rsidR="00FB6A3F" w:rsidRPr="00F55511">
        <w:t xml:space="preserve">Other CAHHF-funded research results </w:t>
      </w:r>
      <w:r w:rsidR="00CD509D">
        <w:t>were</w:t>
      </w:r>
      <w:r w:rsidR="00FB6A3F" w:rsidRPr="00F55511">
        <w:t xml:space="preserve"> included in </w:t>
      </w:r>
      <w:r w:rsidR="0060790D">
        <w:t xml:space="preserve">China’s </w:t>
      </w:r>
      <w:r w:rsidR="00FB6A3F" w:rsidRPr="00F55511">
        <w:t>National Essential Public Health Service Guidelines.</w:t>
      </w:r>
      <w:r w:rsidR="00FB6A3F">
        <w:t xml:space="preserve"> CAHHF focus</w:t>
      </w:r>
      <w:r w:rsidR="007B0D3A">
        <w:t>es</w:t>
      </w:r>
      <w:r w:rsidR="00FB6A3F">
        <w:t xml:space="preserve"> on </w:t>
      </w:r>
      <w:r w:rsidR="00442172" w:rsidRPr="0081549C">
        <w:t>emerging infectious diseases</w:t>
      </w:r>
      <w:r w:rsidR="0008697B">
        <w:t>,</w:t>
      </w:r>
      <w:r w:rsidR="00FB6A3F">
        <w:t xml:space="preserve"> HIV/AIDS</w:t>
      </w:r>
      <w:r w:rsidR="0008697B">
        <w:t xml:space="preserve"> and strengthening health systems,</w:t>
      </w:r>
      <w:r w:rsidR="00FB6A3F">
        <w:t xml:space="preserve"> in line with the national health reform</w:t>
      </w:r>
      <w:r w:rsidR="0060790D">
        <w:t xml:space="preserve"> plan released by China in 2009. CAHHF</w:t>
      </w:r>
      <w:r w:rsidR="00FB6A3F">
        <w:t xml:space="preserve"> plac</w:t>
      </w:r>
      <w:r w:rsidR="00CD509D">
        <w:t>es the</w:t>
      </w:r>
      <w:r w:rsidR="00FB6A3F">
        <w:t xml:space="preserve"> greatest emphasis on </w:t>
      </w:r>
      <w:r w:rsidR="0008697B" w:rsidRPr="0008697B">
        <w:t>strengthening</w:t>
      </w:r>
      <w:r w:rsidR="0008697B">
        <w:t xml:space="preserve"> health systems</w:t>
      </w:r>
      <w:r w:rsidR="00FB6A3F">
        <w:t xml:space="preserve">, </w:t>
      </w:r>
      <w:r w:rsidR="0008697B">
        <w:t xml:space="preserve">an area </w:t>
      </w:r>
      <w:r w:rsidR="007B0D3A">
        <w:t xml:space="preserve">in which </w:t>
      </w:r>
      <w:r w:rsidR="00FB6A3F">
        <w:t xml:space="preserve">Australia has </w:t>
      </w:r>
      <w:r w:rsidR="0060790D">
        <w:t>particular</w:t>
      </w:r>
      <w:r w:rsidR="00FB6A3F">
        <w:t xml:space="preserve"> experience and technical expertise</w:t>
      </w:r>
      <w:r w:rsidR="0060790D">
        <w:t xml:space="preserve"> to offer</w:t>
      </w:r>
      <w:r w:rsidR="00FB6A3F">
        <w:t>.</w:t>
      </w:r>
    </w:p>
    <w:p w:rsidR="00FB6A3F" w:rsidRDefault="00FB6A3F" w:rsidP="00FB6A3F">
      <w:pPr>
        <w:pStyle w:val="BodyText"/>
      </w:pPr>
      <w:r>
        <w:t>An</w:t>
      </w:r>
      <w:r w:rsidR="00D24AF3">
        <w:t xml:space="preserve"> </w:t>
      </w:r>
      <w:r w:rsidR="0008697B">
        <w:t>i</w:t>
      </w:r>
      <w:r w:rsidR="00D24AF3">
        <w:t xml:space="preserve">ndependent </w:t>
      </w:r>
      <w:r w:rsidR="0008697B">
        <w:t>progress r</w:t>
      </w:r>
      <w:r w:rsidR="00D24AF3">
        <w:t>eview</w:t>
      </w:r>
      <w:r w:rsidR="0008697B">
        <w:t xml:space="preserve"> of ACEDP, </w:t>
      </w:r>
      <w:r>
        <w:t>in March 2010</w:t>
      </w:r>
      <w:r w:rsidR="0008697B">
        <w:t>,</w:t>
      </w:r>
      <w:r>
        <w:t xml:space="preserve"> identified early achievements in </w:t>
      </w:r>
      <w:r w:rsidR="009F522F">
        <w:t xml:space="preserve">giving </w:t>
      </w:r>
      <w:r>
        <w:t xml:space="preserve">Chinese agencies </w:t>
      </w:r>
      <w:r w:rsidR="009F522F">
        <w:t xml:space="preserve">opportunities </w:t>
      </w:r>
      <w:r>
        <w:t xml:space="preserve">to </w:t>
      </w:r>
      <w:r w:rsidR="009F522F">
        <w:t xml:space="preserve">learn about </w:t>
      </w:r>
      <w:r>
        <w:t xml:space="preserve">new concepts and ideas in water resources and environmental management. </w:t>
      </w:r>
    </w:p>
    <w:p w:rsidR="00FB6A3F" w:rsidRPr="009F522F" w:rsidRDefault="00FB6A3F" w:rsidP="00FB6A3F">
      <w:pPr>
        <w:pStyle w:val="BodyText"/>
      </w:pPr>
      <w:proofErr w:type="spellStart"/>
      <w:r w:rsidRPr="004373CA">
        <w:t>AusAID’s</w:t>
      </w:r>
      <w:proofErr w:type="spellEnd"/>
      <w:r w:rsidRPr="004373CA">
        <w:t xml:space="preserve"> core contribution to </w:t>
      </w:r>
      <w:r>
        <w:t>CCICED</w:t>
      </w:r>
      <w:r w:rsidR="00265D7C">
        <w:t xml:space="preserve"> </w:t>
      </w:r>
      <w:r w:rsidR="009F522F">
        <w:t>enable</w:t>
      </w:r>
      <w:r w:rsidR="001A252C">
        <w:t>s</w:t>
      </w:r>
      <w:r w:rsidR="009F522F" w:rsidRPr="004373CA">
        <w:t xml:space="preserve"> </w:t>
      </w:r>
      <w:r w:rsidR="00785F9D">
        <w:t>Australia to make</w:t>
      </w:r>
      <w:r w:rsidRPr="004373CA">
        <w:t xml:space="preserve"> positive inroads on environmental policy</w:t>
      </w:r>
      <w:r w:rsidR="00785F9D">
        <w:t xml:space="preserve"> in a highly influential</w:t>
      </w:r>
      <w:r w:rsidR="004B4704">
        <w:t xml:space="preserve"> forum</w:t>
      </w:r>
      <w:r w:rsidRPr="004373CA">
        <w:t xml:space="preserve">, chaired by Chinese Vice-Premier Li </w:t>
      </w:r>
      <w:proofErr w:type="spellStart"/>
      <w:r w:rsidRPr="004373CA">
        <w:t>Keqiang</w:t>
      </w:r>
      <w:proofErr w:type="spellEnd"/>
      <w:r w:rsidRPr="004373CA">
        <w:t>.</w:t>
      </w:r>
      <w:r>
        <w:t xml:space="preserve"> Australian experts </w:t>
      </w:r>
      <w:r w:rsidR="00CD509D">
        <w:t>participated</w:t>
      </w:r>
      <w:r>
        <w:t xml:space="preserve"> in two CCICED </w:t>
      </w:r>
      <w:r w:rsidR="00CD509D">
        <w:t>t</w:t>
      </w:r>
      <w:r>
        <w:t xml:space="preserve">ask </w:t>
      </w:r>
      <w:r w:rsidR="00CD509D">
        <w:t>f</w:t>
      </w:r>
      <w:r>
        <w:t xml:space="preserve">orces that made recommendations to the Chinese Government in 2010: </w:t>
      </w:r>
      <w:r w:rsidRPr="009F522F">
        <w:t>Ecosystem Services and Management Strategy in China</w:t>
      </w:r>
      <w:r w:rsidR="009F522F">
        <w:t>;</w:t>
      </w:r>
      <w:r w:rsidRPr="009F522F">
        <w:t xml:space="preserve"> and Ecosystem Issues and Policy Options Addressing Sustainable Development of China’s Ocean and Coast.</w:t>
      </w:r>
    </w:p>
    <w:p w:rsidR="00FB6A3F" w:rsidRDefault="00FB6A3F" w:rsidP="009431EC">
      <w:pPr>
        <w:pStyle w:val="Heading3"/>
        <w:keepNext/>
      </w:pPr>
      <w:bookmarkStart w:id="7" w:name="_Toc360972060"/>
      <w:r>
        <w:t>Key achievements for 2010</w:t>
      </w:r>
      <w:r w:rsidR="00265D7C">
        <w:t>-11</w:t>
      </w:r>
      <w:r>
        <w:t xml:space="preserve"> include</w:t>
      </w:r>
      <w:bookmarkEnd w:id="7"/>
    </w:p>
    <w:p w:rsidR="00FB6A3F" w:rsidRPr="00F55511" w:rsidRDefault="00FB6A3F" w:rsidP="00FB6A3F">
      <w:pPr>
        <w:pStyle w:val="ListBullet"/>
      </w:pPr>
      <w:r w:rsidRPr="00D17593">
        <w:rPr>
          <w:b/>
        </w:rPr>
        <w:t>Budget reform</w:t>
      </w:r>
      <w:r w:rsidRPr="00CD509D">
        <w:t>.</w:t>
      </w:r>
      <w:r>
        <w:rPr>
          <w:i/>
        </w:rPr>
        <w:t xml:space="preserve"> </w:t>
      </w:r>
      <w:r w:rsidRPr="00806B0B">
        <w:t>A separate Social Security Budget was compiled by the State Council and the Ministry of Finance in March 2010. This</w:t>
      </w:r>
      <w:r>
        <w:t xml:space="preserve"> was </w:t>
      </w:r>
      <w:r w:rsidRPr="00F55511">
        <w:t xml:space="preserve">as a </w:t>
      </w:r>
      <w:r>
        <w:t xml:space="preserve">direct </w:t>
      </w:r>
      <w:r w:rsidRPr="00F55511">
        <w:t xml:space="preserve">result of </w:t>
      </w:r>
      <w:r>
        <w:t>a reference report</w:t>
      </w:r>
      <w:r w:rsidR="009F522F">
        <w:t>—</w:t>
      </w:r>
      <w:r w:rsidRPr="00347D52">
        <w:rPr>
          <w:i/>
        </w:rPr>
        <w:t>Social Security Budget and Its Long Term Impacts on Fiscal Sustainability</w:t>
      </w:r>
      <w:r w:rsidR="009F522F">
        <w:t>—</w:t>
      </w:r>
      <w:r w:rsidRPr="00F55511">
        <w:t xml:space="preserve">prepared </w:t>
      </w:r>
      <w:r>
        <w:t xml:space="preserve">under the auspices of </w:t>
      </w:r>
      <w:r w:rsidRPr="00F55511">
        <w:t>CAGP for the State Council, the General Affairs Office of Central Communist Party and the National People’s Congress</w:t>
      </w:r>
      <w:r>
        <w:t>.</w:t>
      </w:r>
      <w:r w:rsidRPr="00F55511">
        <w:t xml:space="preserve"> </w:t>
      </w:r>
    </w:p>
    <w:p w:rsidR="00FB6A3F" w:rsidRDefault="00FB6A3F" w:rsidP="00FB6A3F">
      <w:pPr>
        <w:pStyle w:val="ListBullet"/>
      </w:pPr>
      <w:r w:rsidRPr="00D17593">
        <w:rPr>
          <w:b/>
        </w:rPr>
        <w:t>Old age insurance policy</w:t>
      </w:r>
      <w:r w:rsidRPr="00BA16D4">
        <w:t>.</w:t>
      </w:r>
      <w:r w:rsidR="00BA16D4" w:rsidRPr="00BA16D4">
        <w:rPr>
          <w:b/>
        </w:rPr>
        <w:t xml:space="preserve"> </w:t>
      </w:r>
      <w:r w:rsidRPr="00806B0B">
        <w:t>A study of insurance fund management</w:t>
      </w:r>
      <w:r w:rsidR="009F522F">
        <w:t>,</w:t>
      </w:r>
      <w:r w:rsidRPr="00806B0B">
        <w:t xml:space="preserve"> supported</w:t>
      </w:r>
      <w:r w:rsidRPr="00F55511">
        <w:t xml:space="preserve"> by CAGP</w:t>
      </w:r>
      <w:r w:rsidR="009F522F">
        <w:t>,</w:t>
      </w:r>
      <w:r w:rsidRPr="00F55511">
        <w:t xml:space="preserve"> informed</w:t>
      </w:r>
      <w:r w:rsidR="009F522F">
        <w:t xml:space="preserve"> the</w:t>
      </w:r>
      <w:r w:rsidRPr="00F55511">
        <w:t xml:space="preserve"> fund management arrangements in</w:t>
      </w:r>
      <w:r w:rsidR="009F522F">
        <w:t>cluded in</w:t>
      </w:r>
      <w:r w:rsidRPr="00F55511">
        <w:t xml:space="preserve"> the new draft procedure for old-age insurance</w:t>
      </w:r>
      <w:r w:rsidR="004B4704">
        <w:t>. It also</w:t>
      </w:r>
      <w:r w:rsidRPr="00F55511">
        <w:t xml:space="preserve"> confirmed the validity of some provisions in the State Council Notice on Old-Age Pension Registration Transfer of Urban Employees</w:t>
      </w:r>
      <w:r>
        <w:t>.</w:t>
      </w:r>
      <w:r w:rsidRPr="00F55511">
        <w:t xml:space="preserve"> </w:t>
      </w:r>
    </w:p>
    <w:p w:rsidR="00FB6A3F" w:rsidRPr="00F55511" w:rsidRDefault="00FB6A3F" w:rsidP="00FB6A3F">
      <w:pPr>
        <w:pStyle w:val="ListBullet"/>
      </w:pPr>
      <w:r w:rsidRPr="00D17593">
        <w:rPr>
          <w:b/>
        </w:rPr>
        <w:t>Model U</w:t>
      </w:r>
      <w:r w:rsidR="00CD509D">
        <w:rPr>
          <w:b/>
        </w:rPr>
        <w:t>nited Nations (U</w:t>
      </w:r>
      <w:r w:rsidRPr="00D17593">
        <w:rPr>
          <w:b/>
        </w:rPr>
        <w:t>N</w:t>
      </w:r>
      <w:r w:rsidR="00CD509D">
        <w:rPr>
          <w:b/>
        </w:rPr>
        <w:t>)</w:t>
      </w:r>
      <w:r w:rsidRPr="00CD509D">
        <w:t xml:space="preserve">. </w:t>
      </w:r>
      <w:r w:rsidR="00D36589">
        <w:t>More than</w:t>
      </w:r>
      <w:r w:rsidRPr="003A3893">
        <w:t xml:space="preserve"> 200 Chinese university students</w:t>
      </w:r>
      <w:r w:rsidRPr="005304D9">
        <w:t xml:space="preserve"> from 61</w:t>
      </w:r>
      <w:r w:rsidR="00CD509D">
        <w:t> </w:t>
      </w:r>
      <w:r w:rsidRPr="005304D9">
        <w:t xml:space="preserve">institutions </w:t>
      </w:r>
      <w:r w:rsidRPr="003A3893">
        <w:t>gained an understanding about international human rights, the challenges of the UN system and factors influencing political outcomes through their participation in</w:t>
      </w:r>
      <w:r>
        <w:t xml:space="preserve"> </w:t>
      </w:r>
      <w:r w:rsidR="007C0983">
        <w:t xml:space="preserve">a </w:t>
      </w:r>
      <w:r>
        <w:t>Model UN</w:t>
      </w:r>
      <w:r w:rsidR="00CD509D">
        <w:t xml:space="preserve"> </w:t>
      </w:r>
      <w:r w:rsidR="004B4704">
        <w:t>event</w:t>
      </w:r>
      <w:r>
        <w:t xml:space="preserve"> in Chongqing</w:t>
      </w:r>
      <w:r w:rsidR="007C0983">
        <w:t>, November 2010</w:t>
      </w:r>
      <w:r w:rsidR="00BA16D4">
        <w:t>.</w:t>
      </w:r>
    </w:p>
    <w:p w:rsidR="00FB6A3F" w:rsidRPr="00F55511" w:rsidRDefault="00FB6A3F" w:rsidP="00FB6A3F">
      <w:pPr>
        <w:pStyle w:val="ListBullet"/>
      </w:pPr>
      <w:r w:rsidRPr="00D17593">
        <w:rPr>
          <w:b/>
        </w:rPr>
        <w:t xml:space="preserve">Australian Health Minister’s </w:t>
      </w:r>
      <w:r w:rsidRPr="00AA6C71">
        <w:rPr>
          <w:b/>
        </w:rPr>
        <w:t>visit</w:t>
      </w:r>
      <w:r w:rsidR="006806A9">
        <w:rPr>
          <w:i/>
        </w:rPr>
        <w:t xml:space="preserve">. </w:t>
      </w:r>
      <w:r>
        <w:t xml:space="preserve">Outputs from </w:t>
      </w:r>
      <w:r w:rsidR="00CD509D">
        <w:t xml:space="preserve">the </w:t>
      </w:r>
      <w:r>
        <w:t>visit</w:t>
      </w:r>
      <w:r w:rsidR="00CD509D">
        <w:t xml:space="preserve"> </w:t>
      </w:r>
      <w:r w:rsidR="00BA16D4">
        <w:t>of</w:t>
      </w:r>
      <w:r w:rsidR="00CD509D">
        <w:t xml:space="preserve"> Australia’s Health Minister</w:t>
      </w:r>
      <w:r w:rsidR="00BA16D4">
        <w:t xml:space="preserve"> to China in April 2011</w:t>
      </w:r>
      <w:r w:rsidR="001A0CB1">
        <w:t xml:space="preserve"> </w:t>
      </w:r>
      <w:r>
        <w:t>included</w:t>
      </w:r>
      <w:r w:rsidRPr="00CF1C10">
        <w:t xml:space="preserve"> </w:t>
      </w:r>
      <w:r>
        <w:t xml:space="preserve">a </w:t>
      </w:r>
      <w:r w:rsidR="00CD509D">
        <w:t>three</w:t>
      </w:r>
      <w:r w:rsidRPr="00CF1C10">
        <w:t xml:space="preserve">-year </w:t>
      </w:r>
      <w:r w:rsidRPr="00BA16D4">
        <w:rPr>
          <w:i/>
        </w:rPr>
        <w:t xml:space="preserve">Plan of Action </w:t>
      </w:r>
      <w:r w:rsidR="00785F9D" w:rsidRPr="00BA16D4">
        <w:rPr>
          <w:i/>
        </w:rPr>
        <w:t>on Health Cooperation</w:t>
      </w:r>
      <w:r w:rsidR="00785F9D">
        <w:t xml:space="preserve"> </w:t>
      </w:r>
      <w:r w:rsidR="00B8557F">
        <w:t>(2011-1</w:t>
      </w:r>
      <w:r w:rsidR="00785F9D">
        <w:t>4</w:t>
      </w:r>
      <w:r w:rsidR="00B8557F">
        <w:t>)</w:t>
      </w:r>
      <w:r w:rsidR="00BA16D4">
        <w:t xml:space="preserve">, which </w:t>
      </w:r>
      <w:r>
        <w:t>will lead to</w:t>
      </w:r>
      <w:r w:rsidRPr="00CF1C10">
        <w:t xml:space="preserve"> new </w:t>
      </w:r>
      <w:r>
        <w:t>collaboration</w:t>
      </w:r>
      <w:r w:rsidRPr="00CF1C10">
        <w:t xml:space="preserve"> on tobacco control, </w:t>
      </w:r>
      <w:r w:rsidR="001A0CB1">
        <w:t xml:space="preserve">improved </w:t>
      </w:r>
      <w:r w:rsidRPr="00CF1C10">
        <w:t>pandemic preparedness and Australian participation in an international review of China’s health reform experien</w:t>
      </w:r>
      <w:r>
        <w:t>ce.</w:t>
      </w:r>
    </w:p>
    <w:p w:rsidR="00FB6A3F" w:rsidRPr="00F55511" w:rsidRDefault="00FB6A3F" w:rsidP="00FB6A3F">
      <w:pPr>
        <w:pStyle w:val="ListBullet"/>
      </w:pPr>
      <w:r w:rsidRPr="00D17593">
        <w:rPr>
          <w:b/>
        </w:rPr>
        <w:t>Health service protocols</w:t>
      </w:r>
      <w:r w:rsidRPr="00CD509D">
        <w:t>.</w:t>
      </w:r>
      <w:r>
        <w:t xml:space="preserve"> </w:t>
      </w:r>
      <w:r w:rsidRPr="00F55511">
        <w:t xml:space="preserve">A </w:t>
      </w:r>
      <w:r w:rsidR="007C0983">
        <w:t>c</w:t>
      </w:r>
      <w:r w:rsidRPr="00F55511">
        <w:t xml:space="preserve">ommunity </w:t>
      </w:r>
      <w:r w:rsidR="007C0983">
        <w:t>h</w:t>
      </w:r>
      <w:r w:rsidRPr="00F55511">
        <w:t xml:space="preserve">ealth </w:t>
      </w:r>
      <w:r w:rsidR="007C0983">
        <w:t>s</w:t>
      </w:r>
      <w:r w:rsidRPr="00F55511">
        <w:t xml:space="preserve">ervice </w:t>
      </w:r>
      <w:r w:rsidR="007C0983">
        <w:t>c</w:t>
      </w:r>
      <w:r w:rsidRPr="00F55511">
        <w:t xml:space="preserve">apacity </w:t>
      </w:r>
      <w:r w:rsidR="007C0983">
        <w:t>b</w:t>
      </w:r>
      <w:r w:rsidRPr="00F55511">
        <w:t xml:space="preserve">uilding activity has revised </w:t>
      </w:r>
      <w:r w:rsidR="001A0CB1">
        <w:t>or</w:t>
      </w:r>
      <w:r w:rsidR="001A0CB1" w:rsidRPr="00F55511">
        <w:t xml:space="preserve"> </w:t>
      </w:r>
      <w:r w:rsidRPr="00F55511">
        <w:t xml:space="preserve">developed 20 service management and technical protocols. Research results have been included in </w:t>
      </w:r>
      <w:r w:rsidR="001A0CB1">
        <w:t xml:space="preserve">China’s </w:t>
      </w:r>
      <w:r w:rsidRPr="00BA16D4">
        <w:rPr>
          <w:i/>
        </w:rPr>
        <w:t>National Essential Public Health Service Guidelines</w:t>
      </w:r>
      <w:r w:rsidRPr="00F55511">
        <w:t xml:space="preserve"> and the protocols </w:t>
      </w:r>
      <w:r w:rsidR="007C0983">
        <w:t>were</w:t>
      </w:r>
      <w:r w:rsidRPr="00F55511">
        <w:t xml:space="preserve"> applied </w:t>
      </w:r>
      <w:r>
        <w:t>in</w:t>
      </w:r>
      <w:r w:rsidRPr="00F55511">
        <w:t xml:space="preserve"> 15</w:t>
      </w:r>
      <w:r w:rsidR="00CD509D">
        <w:t> </w:t>
      </w:r>
      <w:r w:rsidRPr="00F55511">
        <w:t>provinces.</w:t>
      </w:r>
    </w:p>
    <w:p w:rsidR="00FB6A3F" w:rsidRPr="00F55511" w:rsidRDefault="00FB6A3F" w:rsidP="00FB6A3F">
      <w:pPr>
        <w:pStyle w:val="ListBullet"/>
      </w:pPr>
      <w:r w:rsidRPr="00D17593">
        <w:rPr>
          <w:b/>
        </w:rPr>
        <w:t>Medical insurance policies</w:t>
      </w:r>
      <w:r w:rsidRPr="00CD509D">
        <w:t>.</w:t>
      </w:r>
      <w:r>
        <w:t xml:space="preserve"> </w:t>
      </w:r>
      <w:r w:rsidRPr="00F55511">
        <w:t>Findings of CAHHF research into integrati</w:t>
      </w:r>
      <w:r w:rsidR="001A0CB1">
        <w:t>ng</w:t>
      </w:r>
      <w:r w:rsidRPr="00F55511">
        <w:t xml:space="preserve"> China’s two main rural health financing schemes were </w:t>
      </w:r>
      <w:r w:rsidR="001A0CB1">
        <w:t>included</w:t>
      </w:r>
      <w:r w:rsidRPr="00F55511">
        <w:t xml:space="preserve"> in two policy papers issued by an inter-ministerial committee tasked with developing policy for reform of China’s medical insurance </w:t>
      </w:r>
      <w:r>
        <w:t>policy</w:t>
      </w:r>
      <w:r w:rsidRPr="00F55511">
        <w:t xml:space="preserve">, a key plank of </w:t>
      </w:r>
      <w:r w:rsidR="00BA16D4">
        <w:t>China’s</w:t>
      </w:r>
      <w:r w:rsidRPr="00F55511">
        <w:t xml:space="preserve"> national health reform agenda.</w:t>
      </w:r>
    </w:p>
    <w:p w:rsidR="00FB6A3F" w:rsidRDefault="00FB6A3F" w:rsidP="00FB6A3F">
      <w:pPr>
        <w:pStyle w:val="ListBullet"/>
      </w:pPr>
      <w:r w:rsidRPr="00D17593">
        <w:rPr>
          <w:b/>
        </w:rPr>
        <w:lastRenderedPageBreak/>
        <w:t>Rural health human resources</w:t>
      </w:r>
      <w:r w:rsidRPr="00CD509D">
        <w:t>.</w:t>
      </w:r>
      <w:r>
        <w:t xml:space="preserve"> </w:t>
      </w:r>
      <w:r w:rsidRPr="00F55511">
        <w:t xml:space="preserve">Research findings on Australian rural health human resource practices have been </w:t>
      </w:r>
      <w:r w:rsidR="001A0CB1">
        <w:t>incorporated</w:t>
      </w:r>
      <w:r w:rsidR="001A0CB1" w:rsidRPr="00F55511">
        <w:t xml:space="preserve"> </w:t>
      </w:r>
      <w:r w:rsidRPr="00F55511">
        <w:t xml:space="preserve">into China’s </w:t>
      </w:r>
      <w:r w:rsidR="00BA16D4" w:rsidRPr="00BA16D4">
        <w:rPr>
          <w:i/>
        </w:rPr>
        <w:t>N</w:t>
      </w:r>
      <w:r w:rsidRPr="00BA16D4">
        <w:rPr>
          <w:i/>
        </w:rPr>
        <w:t xml:space="preserve">ational </w:t>
      </w:r>
      <w:r w:rsidR="00BA16D4" w:rsidRPr="00BA16D4">
        <w:rPr>
          <w:i/>
        </w:rPr>
        <w:t>H</w:t>
      </w:r>
      <w:r w:rsidRPr="00BA16D4">
        <w:rPr>
          <w:i/>
        </w:rPr>
        <w:t xml:space="preserve">ealth </w:t>
      </w:r>
      <w:r w:rsidR="00BA16D4" w:rsidRPr="00BA16D4">
        <w:rPr>
          <w:i/>
        </w:rPr>
        <w:t>H</w:t>
      </w:r>
      <w:r w:rsidRPr="00BA16D4">
        <w:rPr>
          <w:i/>
        </w:rPr>
        <w:t xml:space="preserve">uman </w:t>
      </w:r>
      <w:r w:rsidR="00BA16D4" w:rsidRPr="00BA16D4">
        <w:rPr>
          <w:i/>
        </w:rPr>
        <w:t>R</w:t>
      </w:r>
      <w:r w:rsidRPr="00BA16D4">
        <w:rPr>
          <w:i/>
        </w:rPr>
        <w:t xml:space="preserve">esource </w:t>
      </w:r>
      <w:r w:rsidR="00BA16D4" w:rsidRPr="00BA16D4">
        <w:rPr>
          <w:i/>
        </w:rPr>
        <w:t>D</w:t>
      </w:r>
      <w:r w:rsidRPr="00BA16D4">
        <w:rPr>
          <w:i/>
        </w:rPr>
        <w:t xml:space="preserve">evelopment </w:t>
      </w:r>
      <w:r w:rsidR="00BA16D4" w:rsidRPr="00BA16D4">
        <w:rPr>
          <w:i/>
        </w:rPr>
        <w:t>P</w:t>
      </w:r>
      <w:r w:rsidRPr="00BA16D4">
        <w:rPr>
          <w:i/>
        </w:rPr>
        <w:t>lan</w:t>
      </w:r>
      <w:r w:rsidRPr="00F55511">
        <w:t xml:space="preserve"> (2011</w:t>
      </w:r>
      <w:r w:rsidR="009A61B3">
        <w:t>–</w:t>
      </w:r>
      <w:r w:rsidR="007C0983">
        <w:t>20</w:t>
      </w:r>
      <w:r w:rsidRPr="00F55511">
        <w:t>20).</w:t>
      </w:r>
    </w:p>
    <w:p w:rsidR="00FB6A3F" w:rsidRDefault="00FB6A3F" w:rsidP="00FB6A3F">
      <w:pPr>
        <w:pStyle w:val="ListBullet"/>
      </w:pPr>
      <w:r w:rsidRPr="00D17593">
        <w:rPr>
          <w:b/>
        </w:rPr>
        <w:t>Climate change modelling</w:t>
      </w:r>
      <w:r w:rsidRPr="00CD509D">
        <w:t>.</w:t>
      </w:r>
      <w:r>
        <w:t xml:space="preserve"> Support through</w:t>
      </w:r>
      <w:r w:rsidR="007B0D3A">
        <w:t xml:space="preserve"> </w:t>
      </w:r>
      <w:r>
        <w:t xml:space="preserve">ACEDP for ANU and Monash University to work with the </w:t>
      </w:r>
      <w:r w:rsidR="007C0983">
        <w:t xml:space="preserve">State Information Centre of </w:t>
      </w:r>
      <w:r w:rsidR="001A0CB1">
        <w:t xml:space="preserve">China’s </w:t>
      </w:r>
      <w:r w:rsidRPr="00BE6B37">
        <w:t>National Development and Reform Commission</w:t>
      </w:r>
      <w:r w:rsidR="00B8557F">
        <w:t xml:space="preserve"> </w:t>
      </w:r>
      <w:r>
        <w:t xml:space="preserve">has </w:t>
      </w:r>
      <w:r w:rsidR="001A0CB1">
        <w:t>strengthened centre</w:t>
      </w:r>
      <w:r>
        <w:t xml:space="preserve"> staff </w:t>
      </w:r>
      <w:r w:rsidR="001A0CB1">
        <w:t xml:space="preserve">capacity </w:t>
      </w:r>
      <w:r>
        <w:t xml:space="preserve">in economic policy modelling techniques and </w:t>
      </w:r>
      <w:r w:rsidR="001A0CB1">
        <w:t xml:space="preserve">better </w:t>
      </w:r>
      <w:r w:rsidRPr="00BE6B37">
        <w:t xml:space="preserve">informed policy </w:t>
      </w:r>
      <w:r w:rsidR="001A0CB1">
        <w:t>discussion</w:t>
      </w:r>
      <w:r w:rsidR="001A0CB1" w:rsidRPr="00BE6B37">
        <w:t xml:space="preserve"> </w:t>
      </w:r>
      <w:r w:rsidRPr="00BE6B37">
        <w:t>on the long</w:t>
      </w:r>
      <w:r w:rsidR="001A0CB1">
        <w:t>-</w:t>
      </w:r>
      <w:r w:rsidRPr="00BE6B37">
        <w:t>term impact of climate change on the Chinese economy</w:t>
      </w:r>
      <w:r>
        <w:t xml:space="preserve">. Data compiled by </w:t>
      </w:r>
      <w:r w:rsidR="001A0CB1">
        <w:t xml:space="preserve">the centre </w:t>
      </w:r>
      <w:r>
        <w:t>supported the development of climate change recommendations for China’s 12</w:t>
      </w:r>
      <w:r w:rsidRPr="000A1723">
        <w:rPr>
          <w:vertAlign w:val="superscript"/>
        </w:rPr>
        <w:t>th</w:t>
      </w:r>
      <w:r>
        <w:t xml:space="preserve"> </w:t>
      </w:r>
      <w:r w:rsidR="007C0983">
        <w:t>Five-</w:t>
      </w:r>
      <w:r>
        <w:t>Year Plan.</w:t>
      </w:r>
    </w:p>
    <w:p w:rsidR="00FB6A3F" w:rsidRDefault="00FB6A3F" w:rsidP="00FB6A3F">
      <w:pPr>
        <w:pStyle w:val="Heading2"/>
        <w:keepNext/>
        <w:spacing w:before="240"/>
        <w:ind w:left="0"/>
      </w:pPr>
      <w:bookmarkStart w:id="8" w:name="_Toc360972061"/>
      <w:r>
        <w:t xml:space="preserve">Objective 2: </w:t>
      </w:r>
      <w:r w:rsidRPr="009663AD">
        <w:t xml:space="preserve">Build capacity in selected sectors in </w:t>
      </w:r>
      <w:smartTag w:uri="urn:schemas-microsoft-com:office:smarttags" w:element="place">
        <w:smartTag w:uri="urn:schemas-microsoft-com:office:smarttags" w:element="country-region">
          <w:r w:rsidRPr="009663AD">
            <w:t>China</w:t>
          </w:r>
        </w:smartTag>
      </w:smartTag>
      <w:r w:rsidRPr="009663AD">
        <w:t>, in particular governance, environment and health</w:t>
      </w:r>
      <w:bookmarkEnd w:id="8"/>
    </w:p>
    <w:p w:rsidR="00FB6A3F" w:rsidRDefault="00FB6A3F" w:rsidP="00FB6A3F">
      <w:pPr>
        <w:pStyle w:val="BodyText"/>
      </w:pPr>
      <w:r>
        <w:t xml:space="preserve">Capacity building is undertaken </w:t>
      </w:r>
      <w:r w:rsidR="009431EC">
        <w:t>in various ways</w:t>
      </w:r>
      <w:r>
        <w:t xml:space="preserve"> across </w:t>
      </w:r>
      <w:r w:rsidR="007C0983">
        <w:t xml:space="preserve">the </w:t>
      </w:r>
      <w:r>
        <w:t xml:space="preserve">program, including </w:t>
      </w:r>
      <w:r w:rsidR="001A0CB1">
        <w:t xml:space="preserve">through </w:t>
      </w:r>
      <w:r>
        <w:t>long</w:t>
      </w:r>
      <w:r w:rsidR="009431EC">
        <w:t>-</w:t>
      </w:r>
      <w:r>
        <w:t>term and short</w:t>
      </w:r>
      <w:r w:rsidR="009431EC">
        <w:t>-</w:t>
      </w:r>
      <w:r>
        <w:t xml:space="preserve">term training, study tours, seminars and workshops, skills transfer (especially in economic modelling) and work placements. In 2010 Australia </w:t>
      </w:r>
      <w:r w:rsidR="007C0983">
        <w:t xml:space="preserve">enabled </w:t>
      </w:r>
      <w:r>
        <w:t>24</w:t>
      </w:r>
      <w:r w:rsidR="009431EC">
        <w:t> </w:t>
      </w:r>
      <w:r>
        <w:t>Chinese Government officials to undertake long</w:t>
      </w:r>
      <w:r w:rsidR="009431EC">
        <w:t>-</w:t>
      </w:r>
      <w:r>
        <w:t>term study in Australia and continued to manage the 45</w:t>
      </w:r>
      <w:r w:rsidR="009431EC">
        <w:t> </w:t>
      </w:r>
      <w:r w:rsidR="007C0983">
        <w:t xml:space="preserve">officials </w:t>
      </w:r>
      <w:r w:rsidR="009431EC">
        <w:t>studying</w:t>
      </w:r>
      <w:r>
        <w:t xml:space="preserve"> </w:t>
      </w:r>
      <w:r w:rsidR="00785F9D">
        <w:t xml:space="preserve">at </w:t>
      </w:r>
      <w:r>
        <w:t>Australian institutions</w:t>
      </w:r>
      <w:r w:rsidR="007C0983">
        <w:t xml:space="preserve"> through development scholarships</w:t>
      </w:r>
      <w:r>
        <w:t xml:space="preserve">. </w:t>
      </w:r>
    </w:p>
    <w:p w:rsidR="00FB6A3F" w:rsidRDefault="0051249D" w:rsidP="009431EC">
      <w:pPr>
        <w:pStyle w:val="Heading3"/>
        <w:keepNext/>
      </w:pPr>
      <w:bookmarkStart w:id="9" w:name="_Toc360972062"/>
      <w:r>
        <w:t xml:space="preserve">Key </w:t>
      </w:r>
      <w:r w:rsidR="00FB6A3F">
        <w:t>achievements in 2010</w:t>
      </w:r>
      <w:r w:rsidR="00265D7C">
        <w:t>-11</w:t>
      </w:r>
      <w:r w:rsidR="00FB6A3F">
        <w:t xml:space="preserve"> include</w:t>
      </w:r>
      <w:bookmarkEnd w:id="9"/>
    </w:p>
    <w:p w:rsidR="00FB6A3F" w:rsidRPr="007A302B" w:rsidRDefault="00FB6A3F" w:rsidP="00FB6A3F">
      <w:pPr>
        <w:pStyle w:val="ListBullet"/>
      </w:pPr>
      <w:r w:rsidRPr="00D17593">
        <w:rPr>
          <w:b/>
        </w:rPr>
        <w:t>Climate change modelling</w:t>
      </w:r>
      <w:r w:rsidRPr="009431EC">
        <w:t>.</w:t>
      </w:r>
      <w:r>
        <w:t xml:space="preserve"> </w:t>
      </w:r>
      <w:r w:rsidRPr="007A302B">
        <w:t xml:space="preserve">Work under </w:t>
      </w:r>
      <w:r w:rsidRPr="00383014">
        <w:t xml:space="preserve">CAGP led to the National Development and Reform Commission and other </w:t>
      </w:r>
      <w:r w:rsidR="001A0CB1" w:rsidRPr="00383014">
        <w:t xml:space="preserve">Chinese </w:t>
      </w:r>
      <w:r w:rsidRPr="00383014">
        <w:t>age</w:t>
      </w:r>
      <w:r w:rsidRPr="007A302B">
        <w:t xml:space="preserve">ncies introducing computer modelling for a range of </w:t>
      </w:r>
      <w:r w:rsidR="00BA16D4" w:rsidRPr="00BA16D4">
        <w:t>policy areas</w:t>
      </w:r>
      <w:r w:rsidR="00BA16D4">
        <w:t xml:space="preserve"> and </w:t>
      </w:r>
      <w:r w:rsidRPr="007A302B">
        <w:t>purposes</w:t>
      </w:r>
      <w:r w:rsidR="001A0CB1" w:rsidRPr="00383014">
        <w:t>,</w:t>
      </w:r>
      <w:r w:rsidRPr="00383014">
        <w:t xml:space="preserve"> including the development of China’s economic stimulus package </w:t>
      </w:r>
      <w:r w:rsidR="00BA16D4" w:rsidRPr="00383014">
        <w:t>and climate change simulations</w:t>
      </w:r>
      <w:r w:rsidR="00BA16D4">
        <w:t>.</w:t>
      </w:r>
    </w:p>
    <w:p w:rsidR="00FB6A3F" w:rsidRPr="007A302B" w:rsidRDefault="00FB6A3F" w:rsidP="00FB6A3F">
      <w:pPr>
        <w:pStyle w:val="ListBullet"/>
      </w:pPr>
      <w:r w:rsidRPr="00D17593">
        <w:rPr>
          <w:b/>
        </w:rPr>
        <w:t>Consultative policy development</w:t>
      </w:r>
      <w:r w:rsidRPr="009431EC">
        <w:t>.</w:t>
      </w:r>
      <w:r>
        <w:t xml:space="preserve"> </w:t>
      </w:r>
      <w:r w:rsidRPr="007A302B">
        <w:t>Through CAGP, participating Chinese agencies learn</w:t>
      </w:r>
      <w:r w:rsidR="009431EC">
        <w:t>ed</w:t>
      </w:r>
      <w:r w:rsidRPr="007A302B">
        <w:t xml:space="preserve"> to work through coordinated, consultative policy development processes and to commission independent research. This was a significant change from the more internally–oriented way in which policy </w:t>
      </w:r>
      <w:r w:rsidR="009431EC">
        <w:t>was previously developed</w:t>
      </w:r>
      <w:r w:rsidRPr="007A302B">
        <w:t xml:space="preserve">. </w:t>
      </w:r>
    </w:p>
    <w:p w:rsidR="00FB6A3F" w:rsidRDefault="00FB6A3F" w:rsidP="00FB6A3F">
      <w:pPr>
        <w:pStyle w:val="ListBullet"/>
      </w:pPr>
      <w:r w:rsidRPr="00D17593">
        <w:rPr>
          <w:b/>
        </w:rPr>
        <w:t>Social security fund management</w:t>
      </w:r>
      <w:r w:rsidRPr="009431EC">
        <w:t xml:space="preserve">. </w:t>
      </w:r>
      <w:r w:rsidRPr="007A302B">
        <w:t xml:space="preserve">Social Insurance Administration officials </w:t>
      </w:r>
      <w:r w:rsidR="009431EC">
        <w:t>enhanced a</w:t>
      </w:r>
      <w:r w:rsidR="009431EC" w:rsidRPr="007A302B">
        <w:t xml:space="preserve">wareness and know-how in social security fund management </w:t>
      </w:r>
      <w:r w:rsidRPr="007A302B">
        <w:t>after being exposed to Australian approaches.</w:t>
      </w:r>
    </w:p>
    <w:p w:rsidR="00FB6A3F" w:rsidRDefault="00FB6A3F" w:rsidP="00FB6A3F">
      <w:pPr>
        <w:pStyle w:val="ListBullet"/>
      </w:pPr>
      <w:r w:rsidRPr="00D17593">
        <w:rPr>
          <w:b/>
        </w:rPr>
        <w:t>Domestic violence workshops</w:t>
      </w:r>
      <w:r w:rsidRPr="009431EC">
        <w:t xml:space="preserve">. </w:t>
      </w:r>
      <w:r>
        <w:t>Nine</w:t>
      </w:r>
      <w:r w:rsidR="00BA16D4">
        <w:t xml:space="preserve"> officials from the All China Women’s Federation </w:t>
      </w:r>
      <w:r>
        <w:t>and key government officials with responsibilities relevant to domestic violence increased awareness of domestic violence issues in a human rights-based framework through workshops and seminars.</w:t>
      </w:r>
    </w:p>
    <w:p w:rsidR="00FB6A3F" w:rsidRPr="007A302B" w:rsidRDefault="00FB6A3F" w:rsidP="00FB6A3F">
      <w:pPr>
        <w:pStyle w:val="ListBullet"/>
      </w:pPr>
      <w:r w:rsidRPr="00D17593">
        <w:rPr>
          <w:b/>
        </w:rPr>
        <w:t xml:space="preserve">New training course for senior </w:t>
      </w:r>
      <w:r w:rsidR="00AF76B8">
        <w:rPr>
          <w:b/>
        </w:rPr>
        <w:t xml:space="preserve">government </w:t>
      </w:r>
      <w:r w:rsidRPr="00D17593">
        <w:rPr>
          <w:b/>
        </w:rPr>
        <w:t>officials</w:t>
      </w:r>
      <w:r w:rsidRPr="009431EC">
        <w:t>.</w:t>
      </w:r>
      <w:r>
        <w:t xml:space="preserve"> </w:t>
      </w:r>
      <w:r w:rsidR="00834D6E">
        <w:t xml:space="preserve">Preparations were made for the </w:t>
      </w:r>
      <w:r>
        <w:t xml:space="preserve">Australia </w:t>
      </w:r>
      <w:r w:rsidR="00834D6E">
        <w:t xml:space="preserve">and </w:t>
      </w:r>
      <w:r>
        <w:t xml:space="preserve">New Zealand School of Government </w:t>
      </w:r>
      <w:r w:rsidR="00834D6E">
        <w:t xml:space="preserve">to </w:t>
      </w:r>
      <w:r>
        <w:t>conduct a three</w:t>
      </w:r>
      <w:r w:rsidR="009431EC">
        <w:t>-</w:t>
      </w:r>
      <w:r>
        <w:t xml:space="preserve">week training course in human resource management and leadership for senior Chinese officials in Australia and New Zealand in October </w:t>
      </w:r>
      <w:r w:rsidR="00AF1D5A">
        <w:t xml:space="preserve">and November </w:t>
      </w:r>
      <w:r>
        <w:t>2011.</w:t>
      </w:r>
    </w:p>
    <w:p w:rsidR="00FB6A3F" w:rsidRDefault="00FB6A3F" w:rsidP="00FB6A3F">
      <w:pPr>
        <w:pStyle w:val="ListBullet"/>
      </w:pPr>
      <w:r w:rsidRPr="00D17593">
        <w:rPr>
          <w:b/>
        </w:rPr>
        <w:t>Pandemic influenza control</w:t>
      </w:r>
      <w:r w:rsidRPr="009431EC">
        <w:t>.</w:t>
      </w:r>
      <w:r>
        <w:t xml:space="preserve"> In partnership with the </w:t>
      </w:r>
      <w:r w:rsidRPr="00AB1975">
        <w:t>Western Australia Communica</w:t>
      </w:r>
      <w:r>
        <w:t xml:space="preserve">ble Disease Control Directorate, the </w:t>
      </w:r>
      <w:r w:rsidRPr="00AB1975">
        <w:t xml:space="preserve">Zhejiang Provincial Centre for Disease Control and Prevention </w:t>
      </w:r>
      <w:r>
        <w:t>developed a</w:t>
      </w:r>
      <w:r w:rsidRPr="00AB1975">
        <w:t xml:space="preserve"> </w:t>
      </w:r>
      <w:r>
        <w:t xml:space="preserve">set of </w:t>
      </w:r>
      <w:r w:rsidR="009431EC">
        <w:t>s</w:t>
      </w:r>
      <w:r>
        <w:t xml:space="preserve">tandard </w:t>
      </w:r>
      <w:r w:rsidR="009431EC">
        <w:t>o</w:t>
      </w:r>
      <w:r>
        <w:t xml:space="preserve">perating </w:t>
      </w:r>
      <w:r w:rsidR="009431EC">
        <w:t>p</w:t>
      </w:r>
      <w:r>
        <w:t xml:space="preserve">rocedures, </w:t>
      </w:r>
      <w:r w:rsidRPr="00AB1975">
        <w:t>provid</w:t>
      </w:r>
      <w:r w:rsidR="009431EC">
        <w:t>ing</w:t>
      </w:r>
      <w:r w:rsidRPr="00AB1975">
        <w:t xml:space="preserve"> practical advice in sequencing the steps required </w:t>
      </w:r>
      <w:r w:rsidR="009431EC">
        <w:t>to</w:t>
      </w:r>
      <w:r w:rsidR="009431EC" w:rsidRPr="00AB1975">
        <w:t xml:space="preserve"> </w:t>
      </w:r>
      <w:r w:rsidRPr="00AB1975">
        <w:t>manag</w:t>
      </w:r>
      <w:r w:rsidR="009431EC">
        <w:t>e</w:t>
      </w:r>
      <w:r w:rsidRPr="00AB1975">
        <w:t xml:space="preserve"> and respond to an </w:t>
      </w:r>
      <w:r>
        <w:t>influenza pandemic</w:t>
      </w:r>
      <w:r w:rsidR="006806A9">
        <w:t xml:space="preserve">. </w:t>
      </w:r>
      <w:r w:rsidR="009431EC">
        <w:t>This</w:t>
      </w:r>
      <w:r>
        <w:t xml:space="preserve"> </w:t>
      </w:r>
      <w:r w:rsidRPr="00383014">
        <w:t xml:space="preserve">increased </w:t>
      </w:r>
      <w:r w:rsidR="009431EC" w:rsidRPr="00383014">
        <w:t xml:space="preserve">the </w:t>
      </w:r>
      <w:r w:rsidRPr="00383014">
        <w:t>confidence</w:t>
      </w:r>
      <w:r w:rsidR="009431EC" w:rsidRPr="00383014">
        <w:t xml:space="preserve"> and </w:t>
      </w:r>
      <w:r w:rsidR="00F55E98" w:rsidRPr="00383014">
        <w:t>ability</w:t>
      </w:r>
      <w:r w:rsidRPr="00383014">
        <w:t xml:space="preserve"> </w:t>
      </w:r>
      <w:r w:rsidR="009431EC" w:rsidRPr="00383014">
        <w:t xml:space="preserve">of </w:t>
      </w:r>
      <w:r w:rsidR="00D74018" w:rsidRPr="00383014">
        <w:t>the Zhejiang centre’s</w:t>
      </w:r>
      <w:r w:rsidRPr="00383014">
        <w:t xml:space="preserve"> leaders and staff. </w:t>
      </w:r>
      <w:r w:rsidR="00383014">
        <w:t>Subsequent t</w:t>
      </w:r>
      <w:r w:rsidRPr="00383014">
        <w:t xml:space="preserve">raining for </w:t>
      </w:r>
      <w:r w:rsidR="00383014">
        <w:t xml:space="preserve">other </w:t>
      </w:r>
      <w:r w:rsidRPr="00383014">
        <w:t xml:space="preserve">local health </w:t>
      </w:r>
      <w:r w:rsidR="00383014">
        <w:t>workers</w:t>
      </w:r>
      <w:r w:rsidRPr="00383014">
        <w:t xml:space="preserve"> in </w:t>
      </w:r>
      <w:r w:rsidR="009431EC" w:rsidRPr="00383014">
        <w:t>implementing</w:t>
      </w:r>
      <w:r w:rsidRPr="00383014">
        <w:t xml:space="preserve"> the procedures </w:t>
      </w:r>
      <w:r w:rsidR="009431EC" w:rsidRPr="00383014">
        <w:t>began</w:t>
      </w:r>
      <w:r w:rsidRPr="00383014">
        <w:t xml:space="preserve"> with </w:t>
      </w:r>
      <w:r w:rsidR="00383014" w:rsidRPr="00383014">
        <w:t>a month-long training course</w:t>
      </w:r>
      <w:r w:rsidR="00383014">
        <w:t xml:space="preserve"> for </w:t>
      </w:r>
      <w:r w:rsidRPr="00383014">
        <w:t xml:space="preserve">23 staff from </w:t>
      </w:r>
      <w:proofErr w:type="spellStart"/>
      <w:r w:rsidRPr="00383014">
        <w:t>Guizhou</w:t>
      </w:r>
      <w:proofErr w:type="spellEnd"/>
      <w:r w:rsidRPr="00383014">
        <w:t xml:space="preserve"> </w:t>
      </w:r>
      <w:r w:rsidR="00D74018" w:rsidRPr="00383014">
        <w:t>province</w:t>
      </w:r>
      <w:r w:rsidRPr="00383014">
        <w:t>.</w:t>
      </w:r>
    </w:p>
    <w:p w:rsidR="00FB6A3F" w:rsidRDefault="00FB6A3F" w:rsidP="00FB6A3F">
      <w:pPr>
        <w:pStyle w:val="ListBullet"/>
      </w:pPr>
      <w:r w:rsidRPr="00D17593">
        <w:rPr>
          <w:b/>
        </w:rPr>
        <w:lastRenderedPageBreak/>
        <w:t>Climate change adaptation</w:t>
      </w:r>
      <w:r w:rsidRPr="009431EC">
        <w:t>.</w:t>
      </w:r>
      <w:r w:rsidRPr="00F848C5">
        <w:t xml:space="preserve"> ACEDP supported a policy research institute under the Minister of Environmental Protection to work with </w:t>
      </w:r>
      <w:r w:rsidR="00834D6E">
        <w:t xml:space="preserve">the University of </w:t>
      </w:r>
      <w:r w:rsidRPr="00F848C5">
        <w:t>Melbourne’s Australia</w:t>
      </w:r>
      <w:r w:rsidR="00D74018">
        <w:t xml:space="preserve"> – </w:t>
      </w:r>
      <w:r w:rsidRPr="00F848C5">
        <w:t>China Centre on Water Resources Research</w:t>
      </w:r>
      <w:r w:rsidR="002B4505">
        <w:t>.</w:t>
      </w:r>
      <w:r w:rsidRPr="00F848C5">
        <w:t xml:space="preserve"> </w:t>
      </w:r>
      <w:r w:rsidR="002B4505">
        <w:t>This work</w:t>
      </w:r>
      <w:r w:rsidR="002B4505" w:rsidRPr="00F848C5">
        <w:t xml:space="preserve"> </w:t>
      </w:r>
      <w:r w:rsidR="00F55E98">
        <w:t>strengthen</w:t>
      </w:r>
      <w:r w:rsidR="002B4505">
        <w:t>ed</w:t>
      </w:r>
      <w:r w:rsidR="00F55E98" w:rsidRPr="00F848C5">
        <w:t xml:space="preserve"> </w:t>
      </w:r>
      <w:r w:rsidR="002B4505">
        <w:t>the institute’s</w:t>
      </w:r>
      <w:r w:rsidR="002B4505" w:rsidRPr="00F848C5">
        <w:t xml:space="preserve"> </w:t>
      </w:r>
      <w:r w:rsidR="00F55E98">
        <w:t>ability</w:t>
      </w:r>
      <w:r w:rsidR="00F55E98" w:rsidRPr="00F848C5">
        <w:t xml:space="preserve"> </w:t>
      </w:r>
      <w:r w:rsidR="009431EC">
        <w:t>to</w:t>
      </w:r>
      <w:r w:rsidR="009431EC" w:rsidRPr="00F848C5">
        <w:t xml:space="preserve"> </w:t>
      </w:r>
      <w:r w:rsidR="00514C9A">
        <w:t>support water management</w:t>
      </w:r>
      <w:r w:rsidRPr="00F848C5">
        <w:t xml:space="preserve"> policy </w:t>
      </w:r>
      <w:r w:rsidR="002B4505">
        <w:t>for</w:t>
      </w:r>
      <w:r w:rsidRPr="00F848C5">
        <w:t xml:space="preserve"> climate change adaptation and improve</w:t>
      </w:r>
      <w:r w:rsidR="002B4505">
        <w:t>d</w:t>
      </w:r>
      <w:r w:rsidRPr="00F848C5">
        <w:t xml:space="preserve"> the </w:t>
      </w:r>
      <w:r w:rsidR="00F55E98">
        <w:t>ability</w:t>
      </w:r>
      <w:r w:rsidR="00F55E98" w:rsidRPr="00F848C5">
        <w:t xml:space="preserve"> </w:t>
      </w:r>
      <w:r w:rsidRPr="00F848C5">
        <w:t xml:space="preserve">of a local environmental department </w:t>
      </w:r>
      <w:r w:rsidR="002B4505">
        <w:t>to develop</w:t>
      </w:r>
      <w:r w:rsidRPr="00F848C5">
        <w:t xml:space="preserve"> adaptation policies and measures in a pilot site. This led to policy recommendations </w:t>
      </w:r>
      <w:r w:rsidR="009431EC">
        <w:t>on</w:t>
      </w:r>
      <w:r w:rsidRPr="00F848C5">
        <w:t xml:space="preserve"> improving the capacity of environmental managers and policy makers</w:t>
      </w:r>
      <w:r w:rsidR="002B4505">
        <w:t xml:space="preserve"> for adaptation</w:t>
      </w:r>
      <w:r w:rsidRPr="00F848C5">
        <w:t>.</w:t>
      </w:r>
    </w:p>
    <w:p w:rsidR="00FB6A3F" w:rsidRPr="00F848C5" w:rsidRDefault="00FB6A3F" w:rsidP="00FB6A3F">
      <w:pPr>
        <w:pStyle w:val="ListBullet"/>
      </w:pPr>
      <w:r w:rsidRPr="00D17593">
        <w:rPr>
          <w:b/>
        </w:rPr>
        <w:t>Training on the UN System of Environmental Economic Accounting for Water (SEEAW)</w:t>
      </w:r>
      <w:r w:rsidRPr="009431EC">
        <w:t>.</w:t>
      </w:r>
      <w:r w:rsidRPr="00F848C5">
        <w:t xml:space="preserve"> Under ACEDP a one-off training course was held for officials involved in China’s national SEEAW project to </w:t>
      </w:r>
      <w:r w:rsidR="009431EC">
        <w:t>strengthen</w:t>
      </w:r>
      <w:r w:rsidR="009431EC" w:rsidRPr="00F848C5">
        <w:t xml:space="preserve"> </w:t>
      </w:r>
      <w:r w:rsidRPr="00F848C5">
        <w:t xml:space="preserve">skills in water accounting at national, provincial and river-basin levels, and to establish partnerships with Australian counterparts. The training drew on the experience of the Water Accounting Standards Board of Australia and </w:t>
      </w:r>
      <w:r w:rsidR="00392173">
        <w:t>Australia’s</w:t>
      </w:r>
      <w:r w:rsidR="00392173" w:rsidRPr="00F848C5">
        <w:t xml:space="preserve"> </w:t>
      </w:r>
      <w:r w:rsidRPr="00F848C5">
        <w:t>Bureau of Meteorology and enable</w:t>
      </w:r>
      <w:r w:rsidR="00785F9D">
        <w:t>d</w:t>
      </w:r>
      <w:r w:rsidRPr="00F848C5">
        <w:t xml:space="preserve"> participants to reconsider current Chinese SEEAW design and practices at pilot sites.</w:t>
      </w:r>
    </w:p>
    <w:p w:rsidR="00FB6A3F" w:rsidRPr="00AA430D" w:rsidRDefault="00FB6A3F" w:rsidP="00FB6A3F">
      <w:pPr>
        <w:pStyle w:val="ListBullet"/>
        <w:rPr>
          <w:i/>
        </w:rPr>
      </w:pPr>
      <w:r w:rsidRPr="00D17593">
        <w:rPr>
          <w:b/>
        </w:rPr>
        <w:t>Australian Development Scholarships</w:t>
      </w:r>
      <w:r w:rsidR="001A252C">
        <w:t>. These</w:t>
      </w:r>
      <w:r w:rsidRPr="00AA430D">
        <w:rPr>
          <w:i/>
        </w:rPr>
        <w:t xml:space="preserve"> </w:t>
      </w:r>
      <w:r w:rsidRPr="00AA430D">
        <w:t xml:space="preserve">were awarded for study at Australian institutions in 2011. </w:t>
      </w:r>
      <w:r w:rsidR="00392173" w:rsidRPr="00383014">
        <w:t>Sixteen</w:t>
      </w:r>
      <w:r w:rsidRPr="00AA430D">
        <w:t xml:space="preserve"> </w:t>
      </w:r>
      <w:r w:rsidR="00383014">
        <w:t xml:space="preserve">out of 24 </w:t>
      </w:r>
      <w:r w:rsidRPr="00AA430D">
        <w:t>awardees were women.</w:t>
      </w:r>
    </w:p>
    <w:p w:rsidR="00FB6A3F" w:rsidRDefault="00FB6A3F" w:rsidP="00FB6A3F">
      <w:pPr>
        <w:pStyle w:val="Heading2"/>
        <w:keepNext/>
        <w:spacing w:before="240"/>
        <w:ind w:left="0"/>
      </w:pPr>
      <w:bookmarkStart w:id="10" w:name="_Toc360972063"/>
      <w:r>
        <w:t xml:space="preserve">Objective 3: </w:t>
      </w:r>
      <w:r w:rsidRPr="009663AD">
        <w:t xml:space="preserve">Enhance </w:t>
      </w:r>
      <w:r>
        <w:t xml:space="preserve">the </w:t>
      </w:r>
      <w:r w:rsidRPr="009663AD">
        <w:t xml:space="preserve">Australia </w:t>
      </w:r>
      <w:r w:rsidR="00D17593">
        <w:t>–</w:t>
      </w:r>
      <w:r w:rsidRPr="009663AD">
        <w:t xml:space="preserve"> China relationship </w:t>
      </w:r>
      <w:r>
        <w:t xml:space="preserve">by building institutional </w:t>
      </w:r>
      <w:r w:rsidR="00D17593">
        <w:t>partnerships</w:t>
      </w:r>
      <w:bookmarkEnd w:id="10"/>
    </w:p>
    <w:p w:rsidR="00FB6A3F" w:rsidRDefault="00FB6A3F" w:rsidP="00FB6A3F">
      <w:pPr>
        <w:pStyle w:val="BodyText"/>
      </w:pPr>
      <w:r>
        <w:t xml:space="preserve">Although difficult to measure, </w:t>
      </w:r>
      <w:r w:rsidR="00392173">
        <w:t>building</w:t>
      </w:r>
      <w:r>
        <w:t xml:space="preserve"> institutional </w:t>
      </w:r>
      <w:r w:rsidR="00392173">
        <w:t xml:space="preserve">partnerships </w:t>
      </w:r>
      <w:r>
        <w:t xml:space="preserve">remains one of the most critical objectives of the China aid program. In its </w:t>
      </w:r>
      <w:r w:rsidR="00D74018">
        <w:t>simplest</w:t>
      </w:r>
      <w:r>
        <w:t xml:space="preserve"> form, </w:t>
      </w:r>
      <w:proofErr w:type="spellStart"/>
      <w:r>
        <w:t>AusAID</w:t>
      </w:r>
      <w:proofErr w:type="spellEnd"/>
      <w:r>
        <w:t xml:space="preserve"> aim</w:t>
      </w:r>
      <w:r w:rsidR="00392173">
        <w:t>s</w:t>
      </w:r>
      <w:r>
        <w:t xml:space="preserve"> to ensure that good relations exist between Australian and Chinese institutions and organisations in the</w:t>
      </w:r>
      <w:r w:rsidR="00F55E98">
        <w:t xml:space="preserve"> aid program’s</w:t>
      </w:r>
      <w:r>
        <w:t xml:space="preserve"> main sectors of focus so that when </w:t>
      </w:r>
      <w:proofErr w:type="spellStart"/>
      <w:r w:rsidR="002B4505">
        <w:t>AusAID</w:t>
      </w:r>
      <w:proofErr w:type="spellEnd"/>
      <w:r w:rsidR="002B4505">
        <w:t xml:space="preserve"> </w:t>
      </w:r>
      <w:r>
        <w:t xml:space="preserve">steps back </w:t>
      </w:r>
      <w:r w:rsidR="002B4505">
        <w:t xml:space="preserve">the relations </w:t>
      </w:r>
      <w:r>
        <w:t xml:space="preserve">can carry on. </w:t>
      </w:r>
    </w:p>
    <w:p w:rsidR="00FB6A3F" w:rsidRDefault="00F55E98" w:rsidP="00FB6A3F">
      <w:pPr>
        <w:pStyle w:val="BodyText"/>
      </w:pPr>
      <w:r>
        <w:t>T</w:t>
      </w:r>
      <w:r w:rsidR="00FB6A3F">
        <w:t xml:space="preserve">he </w:t>
      </w:r>
      <w:r>
        <w:t>ability of</w:t>
      </w:r>
      <w:r w:rsidR="00FB6A3F">
        <w:t xml:space="preserve"> </w:t>
      </w:r>
      <w:proofErr w:type="spellStart"/>
      <w:r w:rsidR="00FB6A3F">
        <w:t>AusAID</w:t>
      </w:r>
      <w:proofErr w:type="spellEnd"/>
      <w:r w:rsidR="00FB6A3F">
        <w:t xml:space="preserve"> programs to promote institutional </w:t>
      </w:r>
      <w:r>
        <w:t>partnerships is</w:t>
      </w:r>
      <w:r w:rsidR="00FB6A3F">
        <w:t xml:space="preserve"> strongest where there is clear benefit to Australia and Chin</w:t>
      </w:r>
      <w:r w:rsidR="00392173">
        <w:t>a</w:t>
      </w:r>
      <w:r w:rsidR="00FB6A3F">
        <w:t>, where Austral</w:t>
      </w:r>
      <w:r w:rsidR="00D74018">
        <w:t>ia has a comparative advantage compared to</w:t>
      </w:r>
      <w:r w:rsidR="00FB6A3F">
        <w:t xml:space="preserve"> China and </w:t>
      </w:r>
      <w:r>
        <w:t>other donors</w:t>
      </w:r>
      <w:r w:rsidR="00FB6A3F">
        <w:t>,</w:t>
      </w:r>
      <w:r w:rsidR="00785F9D">
        <w:t xml:space="preserve"> </w:t>
      </w:r>
      <w:r w:rsidR="00FB6A3F">
        <w:t xml:space="preserve">and where both sides have access to </w:t>
      </w:r>
      <w:r>
        <w:t xml:space="preserve">the </w:t>
      </w:r>
      <w:r w:rsidR="00FB6A3F">
        <w:t xml:space="preserve">dedicated resources to </w:t>
      </w:r>
      <w:r>
        <w:t xml:space="preserve">build and strengthen </w:t>
      </w:r>
      <w:r w:rsidR="00FB6A3F">
        <w:t>the partnership.</w:t>
      </w:r>
      <w:r w:rsidR="005B5935">
        <w:t xml:space="preserve"> </w:t>
      </w:r>
    </w:p>
    <w:p w:rsidR="00FB6A3F" w:rsidRDefault="00FB6A3F" w:rsidP="009431EC">
      <w:pPr>
        <w:pStyle w:val="Heading3"/>
        <w:keepNext/>
      </w:pPr>
      <w:bookmarkStart w:id="11" w:name="_Toc360972064"/>
      <w:r>
        <w:t xml:space="preserve">Key </w:t>
      </w:r>
      <w:r w:rsidR="0051249D">
        <w:t xml:space="preserve">achievements </w:t>
      </w:r>
      <w:r>
        <w:t>in 2010</w:t>
      </w:r>
      <w:r w:rsidR="00265D7C">
        <w:t>-11</w:t>
      </w:r>
      <w:r>
        <w:t xml:space="preserve"> include</w:t>
      </w:r>
      <w:bookmarkEnd w:id="11"/>
    </w:p>
    <w:p w:rsidR="00FB6A3F" w:rsidRPr="00B03671" w:rsidRDefault="00FB6A3F" w:rsidP="00FB6A3F">
      <w:pPr>
        <w:pStyle w:val="ListBullet"/>
      </w:pPr>
      <w:r w:rsidRPr="00D17593">
        <w:rPr>
          <w:b/>
        </w:rPr>
        <w:t>Prospects for long</w:t>
      </w:r>
      <w:r w:rsidR="00392173">
        <w:rPr>
          <w:b/>
        </w:rPr>
        <w:t>-</w:t>
      </w:r>
      <w:r w:rsidRPr="00D17593">
        <w:rPr>
          <w:b/>
        </w:rPr>
        <w:t>term collaboration</w:t>
      </w:r>
      <w:r w:rsidRPr="00392173">
        <w:t>.</w:t>
      </w:r>
      <w:r>
        <w:t xml:space="preserve"> </w:t>
      </w:r>
      <w:r w:rsidRPr="00E81BEB">
        <w:t xml:space="preserve">The interaction between </w:t>
      </w:r>
      <w:r w:rsidR="00392173">
        <w:t xml:space="preserve">China’s </w:t>
      </w:r>
      <w:r w:rsidRPr="00E81BEB">
        <w:t>Ministry of Human Resources and Social Security and</w:t>
      </w:r>
      <w:r w:rsidR="00392173">
        <w:t xml:space="preserve"> Australia’s</w:t>
      </w:r>
      <w:r w:rsidRPr="00E81BEB">
        <w:t xml:space="preserve"> </w:t>
      </w:r>
      <w:proofErr w:type="spellStart"/>
      <w:r w:rsidRPr="00E81BEB">
        <w:t>Centrelink</w:t>
      </w:r>
      <w:proofErr w:type="spellEnd"/>
      <w:r w:rsidRPr="00E81BEB">
        <w:t xml:space="preserve"> has created the prospect of long</w:t>
      </w:r>
      <w:r w:rsidR="00392173">
        <w:t>-</w:t>
      </w:r>
      <w:r w:rsidRPr="00E81BEB">
        <w:t>term collaboration.</w:t>
      </w:r>
      <w:r>
        <w:t xml:space="preserve"> Similarly, </w:t>
      </w:r>
      <w:r w:rsidRPr="00E81BEB">
        <w:t xml:space="preserve">relationships </w:t>
      </w:r>
      <w:r>
        <w:t xml:space="preserve">formed </w:t>
      </w:r>
      <w:r w:rsidRPr="00E81BEB">
        <w:t xml:space="preserve">between </w:t>
      </w:r>
      <w:r w:rsidR="00392173">
        <w:t>China’s</w:t>
      </w:r>
      <w:r w:rsidR="00392173" w:rsidRPr="00E81BEB">
        <w:t xml:space="preserve"> </w:t>
      </w:r>
      <w:r w:rsidR="00D74018">
        <w:t>Central Party School</w:t>
      </w:r>
      <w:r w:rsidR="00785F9D">
        <w:t xml:space="preserve"> (</w:t>
      </w:r>
      <w:r>
        <w:t>CPS</w:t>
      </w:r>
      <w:r w:rsidR="00785F9D">
        <w:t>)</w:t>
      </w:r>
      <w:r>
        <w:t xml:space="preserve"> </w:t>
      </w:r>
      <w:r w:rsidRPr="00E81BEB">
        <w:t xml:space="preserve">and </w:t>
      </w:r>
      <w:r w:rsidR="0085515C" w:rsidRPr="0085515C">
        <w:t xml:space="preserve">the Australian National University </w:t>
      </w:r>
      <w:r w:rsidR="0085515C">
        <w:t>(</w:t>
      </w:r>
      <w:r w:rsidRPr="00E81BEB">
        <w:t>ANU</w:t>
      </w:r>
      <w:r w:rsidR="0085515C">
        <w:t>)</w:t>
      </w:r>
      <w:r w:rsidR="00D74018">
        <w:t>,</w:t>
      </w:r>
      <w:r w:rsidRPr="00E81BEB">
        <w:t xml:space="preserve"> and </w:t>
      </w:r>
      <w:r w:rsidR="00D74018">
        <w:t xml:space="preserve">between </w:t>
      </w:r>
      <w:r w:rsidR="00392173">
        <w:t>China’s</w:t>
      </w:r>
      <w:r w:rsidR="00392173" w:rsidRPr="00E81BEB">
        <w:t xml:space="preserve"> </w:t>
      </w:r>
      <w:r w:rsidR="00D24AF3" w:rsidRPr="007A302B">
        <w:t>National Development and Reform Commission</w:t>
      </w:r>
      <w:r w:rsidR="00392173">
        <w:t xml:space="preserve"> and the </w:t>
      </w:r>
      <w:r w:rsidR="00392173" w:rsidRPr="00E81BEB">
        <w:t>Australian Treasury</w:t>
      </w:r>
      <w:r w:rsidR="002B4505">
        <w:t>,</w:t>
      </w:r>
      <w:r w:rsidR="00785F9D">
        <w:t xml:space="preserve"> </w:t>
      </w:r>
      <w:r w:rsidRPr="00E81BEB">
        <w:t>continu</w:t>
      </w:r>
      <w:r w:rsidR="00392173">
        <w:t>e</w:t>
      </w:r>
      <w:r w:rsidRPr="00E81BEB">
        <w:t xml:space="preserve"> beyond the life of CAGP</w:t>
      </w:r>
      <w:r>
        <w:t>.</w:t>
      </w:r>
    </w:p>
    <w:p w:rsidR="00FB6A3F" w:rsidRPr="00E81BEB" w:rsidRDefault="00FB6A3F" w:rsidP="00FB6A3F">
      <w:pPr>
        <w:pStyle w:val="ListBullet"/>
      </w:pPr>
      <w:r w:rsidRPr="00D17593">
        <w:rPr>
          <w:b/>
        </w:rPr>
        <w:t>Strategic partnerships</w:t>
      </w:r>
      <w:r w:rsidRPr="00392173">
        <w:t>.</w:t>
      </w:r>
      <w:r>
        <w:t xml:space="preserve"> Supported by CAGP,</w:t>
      </w:r>
      <w:r w:rsidRPr="00E81BEB">
        <w:t xml:space="preserve"> </w:t>
      </w:r>
      <w:r w:rsidR="00504EF4">
        <w:t xml:space="preserve">the </w:t>
      </w:r>
      <w:r>
        <w:t>CPS and ANU</w:t>
      </w:r>
      <w:r w:rsidRPr="00E81BEB">
        <w:t xml:space="preserve"> signed a</w:t>
      </w:r>
      <w:r>
        <w:t xml:space="preserve"> </w:t>
      </w:r>
      <w:r w:rsidR="009D5A21" w:rsidRPr="0052271F">
        <w:rPr>
          <w:rFonts w:cs="Arial"/>
        </w:rPr>
        <w:t xml:space="preserve">memorandum of </w:t>
      </w:r>
      <w:r w:rsidR="009D5A21" w:rsidRPr="009D5A21">
        <w:rPr>
          <w:rFonts w:cs="Arial"/>
        </w:rPr>
        <w:t>understanding</w:t>
      </w:r>
      <w:r w:rsidRPr="009D5A21">
        <w:t xml:space="preserve"> in</w:t>
      </w:r>
      <w:r w:rsidRPr="00E81BEB">
        <w:t xml:space="preserve"> June 2010. This is the first partnership arrangement </w:t>
      </w:r>
      <w:r w:rsidR="00D74018">
        <w:t xml:space="preserve">of </w:t>
      </w:r>
      <w:r w:rsidR="00392173">
        <w:t>the</w:t>
      </w:r>
      <w:r w:rsidR="00392173" w:rsidRPr="00E81BEB">
        <w:t xml:space="preserve"> </w:t>
      </w:r>
      <w:r w:rsidRPr="00E81BEB">
        <w:t xml:space="preserve">CPS </w:t>
      </w:r>
      <w:r>
        <w:t>with an Australian institution</w:t>
      </w:r>
      <w:r w:rsidRPr="00E81BEB">
        <w:t>.</w:t>
      </w:r>
      <w:r>
        <w:t xml:space="preserve"> Following </w:t>
      </w:r>
      <w:r w:rsidR="00E9239B">
        <w:t>a</w:t>
      </w:r>
      <w:r>
        <w:t xml:space="preserve"> visit by the ANU to China</w:t>
      </w:r>
      <w:r w:rsidR="00E9239B">
        <w:t xml:space="preserve"> in 2010</w:t>
      </w:r>
      <w:r>
        <w:t xml:space="preserve">, the CPS </w:t>
      </w:r>
      <w:r w:rsidR="00E9239B">
        <w:t xml:space="preserve">sent </w:t>
      </w:r>
      <w:r>
        <w:t xml:space="preserve">a delegation to Australia for </w:t>
      </w:r>
      <w:r w:rsidR="00E9239B">
        <w:t xml:space="preserve">an </w:t>
      </w:r>
      <w:r>
        <w:t>East Asia Forum</w:t>
      </w:r>
      <w:r w:rsidR="00E9239B">
        <w:t xml:space="preserve"> event</w:t>
      </w:r>
      <w:r w:rsidR="00504EF4">
        <w:t xml:space="preserve"> </w:t>
      </w:r>
      <w:r>
        <w:t>in July 2011</w:t>
      </w:r>
      <w:r w:rsidR="00504EF4">
        <w:t xml:space="preserve">. This </w:t>
      </w:r>
      <w:r w:rsidR="00D74018">
        <w:t>was</w:t>
      </w:r>
      <w:r>
        <w:t xml:space="preserve"> </w:t>
      </w:r>
      <w:r w:rsidR="00392173">
        <w:t xml:space="preserve">the first activity </w:t>
      </w:r>
      <w:r w:rsidR="00504EF4">
        <w:t xml:space="preserve">implemented </w:t>
      </w:r>
      <w:r w:rsidR="00392173">
        <w:t>under</w:t>
      </w:r>
      <w:r>
        <w:t xml:space="preserve"> </w:t>
      </w:r>
      <w:r w:rsidR="00504EF4">
        <w:t xml:space="preserve">the </w:t>
      </w:r>
      <w:r w:rsidR="00392173">
        <w:t>memorandum</w:t>
      </w:r>
      <w:r>
        <w:t>.</w:t>
      </w:r>
    </w:p>
    <w:p w:rsidR="00FB6A3F" w:rsidRDefault="00FB6A3F" w:rsidP="00FB6A3F">
      <w:pPr>
        <w:pStyle w:val="ListBullet"/>
      </w:pPr>
      <w:r w:rsidRPr="00D17593">
        <w:rPr>
          <w:b/>
        </w:rPr>
        <w:t>New partnerships</w:t>
      </w:r>
      <w:r w:rsidRPr="00392173">
        <w:t>.</w:t>
      </w:r>
      <w:r>
        <w:t xml:space="preserve"> </w:t>
      </w:r>
      <w:r w:rsidRPr="00A93297">
        <w:t xml:space="preserve">With the support of CAHHF, </w:t>
      </w:r>
      <w:r w:rsidR="00392173">
        <w:t>Australia and Chin</w:t>
      </w:r>
      <w:r w:rsidR="00E9239B">
        <w:t>a’s</w:t>
      </w:r>
      <w:r w:rsidR="00392173">
        <w:t xml:space="preserve"> </w:t>
      </w:r>
      <w:r w:rsidR="00E9239B">
        <w:t xml:space="preserve">health </w:t>
      </w:r>
      <w:r w:rsidR="00392173">
        <w:t>ministers</w:t>
      </w:r>
      <w:r>
        <w:t xml:space="preserve"> signed a new three-year bilateral </w:t>
      </w:r>
      <w:r w:rsidRPr="00D74018">
        <w:rPr>
          <w:i/>
        </w:rPr>
        <w:t xml:space="preserve">Plan of Action </w:t>
      </w:r>
      <w:r w:rsidR="00785F9D" w:rsidRPr="00D74018">
        <w:rPr>
          <w:i/>
        </w:rPr>
        <w:t>on Health Cooperation</w:t>
      </w:r>
      <w:r w:rsidR="00D74018">
        <w:t xml:space="preserve"> (2011-2014)</w:t>
      </w:r>
      <w:r w:rsidR="006806A9">
        <w:t xml:space="preserve">. </w:t>
      </w:r>
      <w:r>
        <w:t xml:space="preserve">The visit </w:t>
      </w:r>
      <w:r w:rsidR="00785F9D">
        <w:t xml:space="preserve">of Australia’s health minister to Beijing </w:t>
      </w:r>
      <w:r>
        <w:t>added significant political weight to the bilateral  relationship</w:t>
      </w:r>
      <w:r w:rsidR="00D74018">
        <w:t xml:space="preserve"> on health, and</w:t>
      </w:r>
      <w:r w:rsidR="00785F9D">
        <w:t xml:space="preserve"> </w:t>
      </w:r>
      <w:r w:rsidR="00D74018">
        <w:t>b</w:t>
      </w:r>
      <w:r>
        <w:t xml:space="preserve">oth sides identified CAHHF as </w:t>
      </w:r>
      <w:r w:rsidR="00D74018">
        <w:t>a model vehicle for cooperation</w:t>
      </w:r>
      <w:r>
        <w:t>.</w:t>
      </w:r>
    </w:p>
    <w:p w:rsidR="00FB6A3F" w:rsidRPr="00AB1975" w:rsidRDefault="00FB6A3F" w:rsidP="00FB6A3F">
      <w:pPr>
        <w:pStyle w:val="ListBullet"/>
      </w:pPr>
      <w:r w:rsidRPr="00D17593">
        <w:rPr>
          <w:b/>
        </w:rPr>
        <w:lastRenderedPageBreak/>
        <w:t>Pandemic influenza exercises</w:t>
      </w:r>
      <w:r w:rsidRPr="00392173">
        <w:t>.</w:t>
      </w:r>
      <w:r>
        <w:t xml:space="preserve"> </w:t>
      </w:r>
      <w:r w:rsidRPr="00A93297">
        <w:t xml:space="preserve">The relationship between the Zhejiang Provincial Centre for Infectious Disease Control </w:t>
      </w:r>
      <w:r w:rsidR="0064580F">
        <w:t xml:space="preserve">and </w:t>
      </w:r>
      <w:r w:rsidR="00615734">
        <w:t xml:space="preserve">Communicable Disease Control Directorate of the Western Australian Department of Health </w:t>
      </w:r>
      <w:r w:rsidR="00392173">
        <w:t>was</w:t>
      </w:r>
      <w:r w:rsidRPr="00A93297">
        <w:t xml:space="preserve"> strengthened through </w:t>
      </w:r>
      <w:r>
        <w:t>participation</w:t>
      </w:r>
      <w:r w:rsidRPr="00A93297">
        <w:t xml:space="preserve"> in a CAHHF-funded emergency exercise against pandemic influenza. These institutions have agreed to cooperat</w:t>
      </w:r>
      <w:r w:rsidR="006D427B">
        <w:t>e</w:t>
      </w:r>
      <w:r w:rsidRPr="00A93297">
        <w:t xml:space="preserve"> in other areas</w:t>
      </w:r>
      <w:r w:rsidR="006D427B">
        <w:t>,</w:t>
      </w:r>
      <w:r w:rsidRPr="00A93297">
        <w:t xml:space="preserve"> including </w:t>
      </w:r>
      <w:r w:rsidR="006D427B">
        <w:t xml:space="preserve">by </w:t>
      </w:r>
      <w:r w:rsidRPr="00A93297">
        <w:t>setting up a staff exchange program.</w:t>
      </w:r>
    </w:p>
    <w:p w:rsidR="00FB6A3F" w:rsidRDefault="00FB6A3F" w:rsidP="00FB6A3F">
      <w:pPr>
        <w:pStyle w:val="ListBullet"/>
      </w:pPr>
      <w:r w:rsidRPr="00D17593">
        <w:rPr>
          <w:b/>
        </w:rPr>
        <w:t>Environment High Level Roundtable</w:t>
      </w:r>
      <w:r w:rsidR="006806A9">
        <w:t xml:space="preserve">. </w:t>
      </w:r>
      <w:r>
        <w:t>Between 15 and 20 senior officials from five Chinese environment ministries visited Australia in December 2010.</w:t>
      </w:r>
      <w:r w:rsidR="00392173">
        <w:t xml:space="preserve"> </w:t>
      </w:r>
      <w:r>
        <w:t xml:space="preserve">With funding from ACEDP the group visited key sites in </w:t>
      </w:r>
      <w:r w:rsidR="00D74018">
        <w:t xml:space="preserve">Australia’s </w:t>
      </w:r>
      <w:r>
        <w:t xml:space="preserve">Murray Darling Basin </w:t>
      </w:r>
      <w:r w:rsidR="00D74018">
        <w:t xml:space="preserve">region </w:t>
      </w:r>
      <w:r>
        <w:t xml:space="preserve">to compare water resource management issues in Australia with those in China. </w:t>
      </w:r>
      <w:r w:rsidR="00854EC7">
        <w:t>In addition, f</w:t>
      </w:r>
      <w:r>
        <w:t>our Chinese partner ministries</w:t>
      </w:r>
      <w:r w:rsidR="00392173">
        <w:t xml:space="preserve"> gave presentations</w:t>
      </w:r>
      <w:r>
        <w:t xml:space="preserve"> on the implications of the Chinese Government's 12th Five</w:t>
      </w:r>
      <w:r w:rsidR="00854EC7">
        <w:t>-</w:t>
      </w:r>
      <w:r>
        <w:t>Year Plan for water management policy.</w:t>
      </w:r>
    </w:p>
    <w:p w:rsidR="00FB6A3F" w:rsidRPr="00F848C5" w:rsidRDefault="00FB6A3F" w:rsidP="00FB6A3F">
      <w:pPr>
        <w:pStyle w:val="ListBullet"/>
      </w:pPr>
      <w:r w:rsidRPr="00D17593">
        <w:rPr>
          <w:b/>
        </w:rPr>
        <w:t>Technical support leading to strategic partnership</w:t>
      </w:r>
      <w:r w:rsidRPr="00392173">
        <w:t>.</w:t>
      </w:r>
      <w:r w:rsidRPr="00F848C5">
        <w:t xml:space="preserve"> </w:t>
      </w:r>
      <w:r w:rsidR="0051249D">
        <w:t xml:space="preserve">Australian </w:t>
      </w:r>
      <w:r w:rsidR="00854EC7">
        <w:t>federal</w:t>
      </w:r>
      <w:r w:rsidR="0051249D" w:rsidRPr="00F848C5">
        <w:t xml:space="preserve"> </w:t>
      </w:r>
      <w:r w:rsidRPr="00F848C5">
        <w:t xml:space="preserve">and </w:t>
      </w:r>
      <w:r w:rsidR="0051249D">
        <w:t>s</w:t>
      </w:r>
      <w:r w:rsidRPr="00F848C5">
        <w:t xml:space="preserve">tate government officials participated in ACEDP project steering committees. Their technical contributions and support for training activities, especially under the </w:t>
      </w:r>
      <w:r w:rsidRPr="00392173">
        <w:t>River Health and Environmental Flows</w:t>
      </w:r>
      <w:r w:rsidRPr="00AA430D">
        <w:rPr>
          <w:i/>
        </w:rPr>
        <w:t xml:space="preserve"> </w:t>
      </w:r>
      <w:r w:rsidRPr="00F848C5">
        <w:t xml:space="preserve">project, </w:t>
      </w:r>
      <w:r w:rsidR="00B8557F">
        <w:t>are</w:t>
      </w:r>
      <w:r w:rsidR="00392173" w:rsidRPr="00F848C5">
        <w:t xml:space="preserve"> </w:t>
      </w:r>
      <w:r w:rsidR="00B8557F">
        <w:t>expected</w:t>
      </w:r>
      <w:r w:rsidR="00B8557F" w:rsidRPr="00F848C5">
        <w:t xml:space="preserve"> </w:t>
      </w:r>
      <w:r w:rsidR="00B8557F">
        <w:t xml:space="preserve">to </w:t>
      </w:r>
      <w:r w:rsidRPr="00F848C5">
        <w:t xml:space="preserve">culminate in a new </w:t>
      </w:r>
      <w:r w:rsidR="00392173">
        <w:t>memorandum of understanding</w:t>
      </w:r>
      <w:r w:rsidRPr="00F848C5">
        <w:t xml:space="preserve"> between the Queensland Department of Environment and Natural Resources and the Chinese Ministry of Water Resources.</w:t>
      </w:r>
    </w:p>
    <w:p w:rsidR="00FB6A3F" w:rsidRDefault="00FB6A3F" w:rsidP="00FB6A3F">
      <w:pPr>
        <w:pStyle w:val="Heading2"/>
        <w:keepNext/>
        <w:spacing w:before="240"/>
        <w:ind w:left="0"/>
      </w:pPr>
      <w:bookmarkStart w:id="12" w:name="_Toc360972065"/>
      <w:r>
        <w:t xml:space="preserve">Objective 4: </w:t>
      </w:r>
      <w:r w:rsidR="00854EC7">
        <w:t>Collaborate</w:t>
      </w:r>
      <w:r w:rsidRPr="009663AD">
        <w:t xml:space="preserve"> with </w:t>
      </w:r>
      <w:smartTag w:uri="urn:schemas-microsoft-com:office:smarttags" w:element="place">
        <w:smartTag w:uri="urn:schemas-microsoft-com:office:smarttags" w:element="country-region">
          <w:r w:rsidRPr="009663AD">
            <w:t>China</w:t>
          </w:r>
        </w:smartTag>
      </w:smartTag>
      <w:r w:rsidRPr="009663AD">
        <w:t xml:space="preserve"> to strengthen the region</w:t>
      </w:r>
      <w:bookmarkEnd w:id="12"/>
    </w:p>
    <w:p w:rsidR="00FB6A3F" w:rsidRDefault="008D2137" w:rsidP="00FB6A3F">
      <w:pPr>
        <w:pStyle w:val="BodyText"/>
      </w:pPr>
      <w:r>
        <w:t xml:space="preserve">Australia’s </w:t>
      </w:r>
      <w:r w:rsidR="00D74018">
        <w:t xml:space="preserve">regional </w:t>
      </w:r>
      <w:r w:rsidR="00854EC7">
        <w:t>collaboration</w:t>
      </w:r>
      <w:r w:rsidR="00FB6A3F">
        <w:t xml:space="preserve"> with China </w:t>
      </w:r>
      <w:r w:rsidR="00D74018">
        <w:t xml:space="preserve">in 2010-11 </w:t>
      </w:r>
      <w:r w:rsidR="00D74018" w:rsidRPr="00D74018">
        <w:t xml:space="preserve">was developed </w:t>
      </w:r>
      <w:r w:rsidR="00FB6A3F">
        <w:t xml:space="preserve">across three broad areas: </w:t>
      </w:r>
      <w:r w:rsidR="00FB6A3F" w:rsidRPr="005546AD">
        <w:t>building a common unde</w:t>
      </w:r>
      <w:r w:rsidR="00FB6A3F">
        <w:t xml:space="preserve">rstanding on development issues; </w:t>
      </w:r>
      <w:r w:rsidR="00FB6A3F" w:rsidRPr="005546AD">
        <w:t>strengthening China’s engagement in regional issues and initiatives</w:t>
      </w:r>
      <w:r w:rsidR="00FB6A3F">
        <w:t xml:space="preserve">; and </w:t>
      </w:r>
      <w:r w:rsidR="00FB6A3F" w:rsidRPr="005546AD">
        <w:t xml:space="preserve">exploring both countries’ interest in working jointly to support development priorities in third countries. </w:t>
      </w:r>
    </w:p>
    <w:p w:rsidR="00FB6A3F" w:rsidRDefault="00FB6A3F" w:rsidP="009431EC">
      <w:pPr>
        <w:pStyle w:val="Heading3"/>
        <w:keepNext/>
      </w:pPr>
      <w:bookmarkStart w:id="13" w:name="_Toc360972066"/>
      <w:r>
        <w:t>Key achievements in 2010</w:t>
      </w:r>
      <w:r w:rsidR="00265D7C">
        <w:t>-11</w:t>
      </w:r>
      <w:r>
        <w:t xml:space="preserve"> include</w:t>
      </w:r>
      <w:bookmarkEnd w:id="13"/>
    </w:p>
    <w:p w:rsidR="00FB6A3F" w:rsidRPr="009D5A21" w:rsidRDefault="00FB6A3F" w:rsidP="0051249D">
      <w:pPr>
        <w:pStyle w:val="ListBullet"/>
      </w:pPr>
      <w:r w:rsidRPr="00AA6C71">
        <w:rPr>
          <w:b/>
        </w:rPr>
        <w:t xml:space="preserve">Initial steps towards collaboration in the </w:t>
      </w:r>
      <w:r w:rsidRPr="0051249D">
        <w:rPr>
          <w:b/>
        </w:rPr>
        <w:t>Pacific</w:t>
      </w:r>
      <w:r w:rsidR="006806A9">
        <w:t>.</w:t>
      </w:r>
      <w:r w:rsidRPr="009D5A21">
        <w:t xml:space="preserve"> </w:t>
      </w:r>
      <w:r w:rsidR="00854EC7">
        <w:t xml:space="preserve">The </w:t>
      </w:r>
      <w:r w:rsidRPr="009D5A21">
        <w:t>Department</w:t>
      </w:r>
      <w:r>
        <w:t xml:space="preserve"> of Aid to Foreign Countries</w:t>
      </w:r>
      <w:r w:rsidR="00110DC5">
        <w:t>,</w:t>
      </w:r>
      <w:r w:rsidR="00854EC7">
        <w:t xml:space="preserve"> in China’s Ministry of Commerce, </w:t>
      </w:r>
      <w:r w:rsidR="006D427B">
        <w:t xml:space="preserve">expressed </w:t>
      </w:r>
      <w:r w:rsidR="0064580F">
        <w:t>openness to</w:t>
      </w:r>
      <w:r>
        <w:t xml:space="preserve"> practical collaboration in the Pacific.</w:t>
      </w:r>
    </w:p>
    <w:p w:rsidR="00FB6A3F" w:rsidRDefault="00FB6A3F" w:rsidP="00FB6A3F">
      <w:pPr>
        <w:pStyle w:val="ListBullet"/>
      </w:pPr>
      <w:r w:rsidRPr="00AA6C71">
        <w:rPr>
          <w:b/>
        </w:rPr>
        <w:t xml:space="preserve">Joint research on development challenges and gaps in the </w:t>
      </w:r>
      <w:r w:rsidRPr="0051249D">
        <w:rPr>
          <w:b/>
        </w:rPr>
        <w:t>Pacific</w:t>
      </w:r>
      <w:r w:rsidR="006806A9">
        <w:t xml:space="preserve">. </w:t>
      </w:r>
      <w:r w:rsidR="006D427B">
        <w:t xml:space="preserve">The </w:t>
      </w:r>
      <w:r>
        <w:t>International Poverty Reduction Centre in China</w:t>
      </w:r>
      <w:r w:rsidR="006D427B">
        <w:t>, the country’s pre-eminent international development think tank,</w:t>
      </w:r>
      <w:r>
        <w:t xml:space="preserve"> has indicated it</w:t>
      </w:r>
      <w:r w:rsidR="006D427B">
        <w:t xml:space="preserve"> wants</w:t>
      </w:r>
      <w:r>
        <w:t xml:space="preserve"> to work with Australia on </w:t>
      </w:r>
      <w:r w:rsidR="006D427B">
        <w:t>studying</w:t>
      </w:r>
      <w:r>
        <w:t xml:space="preserve"> development challenges and gaps in the Pacific. </w:t>
      </w:r>
    </w:p>
    <w:p w:rsidR="00FB6A3F" w:rsidRDefault="00FB6A3F" w:rsidP="00FB6A3F">
      <w:pPr>
        <w:pStyle w:val="ListBullet"/>
      </w:pPr>
      <w:r w:rsidRPr="00AA6C71">
        <w:rPr>
          <w:b/>
        </w:rPr>
        <w:t>HIV/AIDS regional collaboration</w:t>
      </w:r>
      <w:r w:rsidRPr="00A13027">
        <w:t>.</w:t>
      </w:r>
      <w:r>
        <w:t xml:space="preserve"> </w:t>
      </w:r>
      <w:r w:rsidRPr="00D45B38">
        <w:t xml:space="preserve">Through </w:t>
      </w:r>
      <w:r w:rsidR="00A13027">
        <w:t xml:space="preserve">the </w:t>
      </w:r>
      <w:r w:rsidR="009D5A21" w:rsidRPr="0052271F">
        <w:rPr>
          <w:rFonts w:cs="Arial"/>
        </w:rPr>
        <w:t xml:space="preserve">HIV/AIDS Asia Regional </w:t>
      </w:r>
      <w:r w:rsidR="009D5A21" w:rsidRPr="009D5A21">
        <w:rPr>
          <w:rFonts w:cs="Arial"/>
        </w:rPr>
        <w:t>Program</w:t>
      </w:r>
      <w:r w:rsidR="009D5A21" w:rsidRPr="009D5A21">
        <w:t xml:space="preserve"> </w:t>
      </w:r>
      <w:r w:rsidR="00D36589">
        <w:t>more than</w:t>
      </w:r>
      <w:r w:rsidRPr="00D45B38">
        <w:t xml:space="preserve"> 10</w:t>
      </w:r>
      <w:r w:rsidR="00110DC5">
        <w:t>,</w:t>
      </w:r>
      <w:r w:rsidRPr="00D45B38">
        <w:t>000 intravenous drug users in Yunnan and Guangxi</w:t>
      </w:r>
      <w:r w:rsidR="00A13027">
        <w:t xml:space="preserve"> provinces</w:t>
      </w:r>
      <w:r w:rsidR="006D427B">
        <w:t xml:space="preserve"> have</w:t>
      </w:r>
      <w:r w:rsidRPr="00D45B38">
        <w:t xml:space="preserve"> received comprehensive harm reduction intervention services</w:t>
      </w:r>
      <w:r w:rsidR="006D427B">
        <w:t>. As well,</w:t>
      </w:r>
      <w:r w:rsidR="00785F9D">
        <w:t xml:space="preserve"> </w:t>
      </w:r>
      <w:r w:rsidRPr="00D45B38">
        <w:t>senior police officers from more than 10 Southeast Asia</w:t>
      </w:r>
      <w:r>
        <w:t>n</w:t>
      </w:r>
      <w:r w:rsidR="00110DC5">
        <w:t xml:space="preserve"> countries, </w:t>
      </w:r>
      <w:r w:rsidRPr="00D45B38">
        <w:t>in</w:t>
      </w:r>
      <w:r>
        <w:t xml:space="preserve">cluding </w:t>
      </w:r>
      <w:r w:rsidR="00A13027">
        <w:t xml:space="preserve">Cambodia, Laos, </w:t>
      </w:r>
      <w:r>
        <w:t>Myanmar and</w:t>
      </w:r>
      <w:r w:rsidRPr="00D45B38">
        <w:t xml:space="preserve"> Vietnam</w:t>
      </w:r>
      <w:r w:rsidR="00110DC5">
        <w:t>,</w:t>
      </w:r>
      <w:r w:rsidR="006D427B">
        <w:t xml:space="preserve"> have been trained </w:t>
      </w:r>
      <w:r w:rsidR="006D427B" w:rsidRPr="00D45B38">
        <w:t xml:space="preserve">on good Chinese practice </w:t>
      </w:r>
      <w:r w:rsidR="006D427B">
        <w:t xml:space="preserve">in </w:t>
      </w:r>
      <w:r w:rsidR="006D427B" w:rsidRPr="00D45B38">
        <w:t>harm minimisation</w:t>
      </w:r>
      <w:r w:rsidR="00110DC5">
        <w:t xml:space="preserve">. </w:t>
      </w:r>
      <w:r>
        <w:t>C</w:t>
      </w:r>
      <w:r w:rsidRPr="00D45B38">
        <w:t>omprehensive harm reduction services</w:t>
      </w:r>
      <w:r>
        <w:t xml:space="preserve"> including </w:t>
      </w:r>
      <w:r w:rsidRPr="00D45B38">
        <w:t>needle</w:t>
      </w:r>
      <w:r>
        <w:t xml:space="preserve"> exchange, education</w:t>
      </w:r>
      <w:r w:rsidRPr="00D45B38">
        <w:t>, referral and support to local grassroot</w:t>
      </w:r>
      <w:r w:rsidR="008D2137">
        <w:t>s</w:t>
      </w:r>
      <w:r w:rsidRPr="00D45B38">
        <w:t xml:space="preserve"> networks</w:t>
      </w:r>
      <w:r>
        <w:t>,</w:t>
      </w:r>
      <w:r w:rsidRPr="00D45B38">
        <w:t xml:space="preserve"> are now provided for</w:t>
      </w:r>
      <w:r w:rsidR="00A13027">
        <w:t xml:space="preserve"> intravenous drug users</w:t>
      </w:r>
      <w:r w:rsidRPr="00D45B38">
        <w:t xml:space="preserve"> at </w:t>
      </w:r>
      <w:r w:rsidR="00A13027">
        <w:t>eight d</w:t>
      </w:r>
      <w:r w:rsidRPr="00D45B38">
        <w:t>ro</w:t>
      </w:r>
      <w:r>
        <w:t>p-in-</w:t>
      </w:r>
      <w:r w:rsidR="00A13027">
        <w:t>c</w:t>
      </w:r>
      <w:r>
        <w:t>entres in border areas</w:t>
      </w:r>
      <w:r w:rsidRPr="00D45B38">
        <w:t>.</w:t>
      </w:r>
    </w:p>
    <w:p w:rsidR="00FB6A3F" w:rsidRPr="00102915" w:rsidRDefault="00FB6A3F" w:rsidP="00F137AB">
      <w:pPr>
        <w:pStyle w:val="H1"/>
        <w:spacing w:before="240"/>
      </w:pPr>
      <w:bookmarkStart w:id="14" w:name="_Toc360972067"/>
      <w:r w:rsidRPr="00102915">
        <w:t>Quality of aid activities</w:t>
      </w:r>
      <w:bookmarkEnd w:id="14"/>
    </w:p>
    <w:p w:rsidR="00FB6A3F" w:rsidRDefault="00FB6A3F" w:rsidP="00FB6A3F">
      <w:pPr>
        <w:pStyle w:val="BodyText"/>
      </w:pPr>
      <w:r>
        <w:t>The quality of aid activities across</w:t>
      </w:r>
      <w:r w:rsidR="007F4F7B">
        <w:t xml:space="preserve"> the China program in 2010-11 was adequate</w:t>
      </w:r>
      <w:r w:rsidR="006806A9">
        <w:t xml:space="preserve">. </w:t>
      </w:r>
      <w:r w:rsidR="007F4F7B">
        <w:t xml:space="preserve">At </w:t>
      </w:r>
      <w:proofErr w:type="spellStart"/>
      <w:r w:rsidR="007F4F7B">
        <w:t>AusAID’s</w:t>
      </w:r>
      <w:proofErr w:type="spellEnd"/>
      <w:r w:rsidR="007F4F7B">
        <w:t xml:space="preserve"> request, i</w:t>
      </w:r>
      <w:r>
        <w:t xml:space="preserve">ndependent reviews were undertaken for CAGP, ACEDP, HRTCP and the Tibet Health Sector Support Program. </w:t>
      </w:r>
      <w:r w:rsidR="00375C41">
        <w:t>E</w:t>
      </w:r>
      <w:r>
        <w:t xml:space="preserve">fforts have been made across programs to improve </w:t>
      </w:r>
      <w:r w:rsidR="009D5A21" w:rsidRPr="0052271F">
        <w:t xml:space="preserve">monitoring and </w:t>
      </w:r>
      <w:r w:rsidR="009D5A21" w:rsidRPr="009D5A21">
        <w:t>evaluation</w:t>
      </w:r>
      <w:r w:rsidRPr="009D5A21">
        <w:t xml:space="preserve">, </w:t>
      </w:r>
      <w:r w:rsidR="00375C41">
        <w:t xml:space="preserve">which </w:t>
      </w:r>
      <w:r w:rsidR="00375C41" w:rsidRPr="00375C41">
        <w:t xml:space="preserve">remains a challenge, perhaps reflecting the quality of data </w:t>
      </w:r>
      <w:r w:rsidR="00375C41" w:rsidRPr="00375C41">
        <w:lastRenderedPageBreak/>
        <w:t>collection in China and the design of the aid delivery facility model overall</w:t>
      </w:r>
      <w:r w:rsidR="00375C41">
        <w:t>. T</w:t>
      </w:r>
      <w:r>
        <w:t>o know what success looks like in China</w:t>
      </w:r>
      <w:r w:rsidR="00375C41">
        <w:t xml:space="preserve"> also remains difficult,</w:t>
      </w:r>
      <w:r>
        <w:t xml:space="preserve"> partly because </w:t>
      </w:r>
      <w:r w:rsidR="00A13027">
        <w:t xml:space="preserve">program </w:t>
      </w:r>
      <w:r>
        <w:t>objectives are very broad.</w:t>
      </w:r>
    </w:p>
    <w:p w:rsidR="00FB6A3F" w:rsidRDefault="00FB6A3F" w:rsidP="00FB6A3F">
      <w:pPr>
        <w:pStyle w:val="BodyText"/>
      </w:pPr>
      <w:r>
        <w:t>All but one program remain</w:t>
      </w:r>
      <w:r w:rsidR="00A13027">
        <w:t>s</w:t>
      </w:r>
      <w:r>
        <w:t xml:space="preserve"> relevant to the China context. The</w:t>
      </w:r>
      <w:r w:rsidR="009D5A21">
        <w:t xml:space="preserve"> </w:t>
      </w:r>
      <w:r w:rsidR="00442172">
        <w:t>International Finance Corporation</w:t>
      </w:r>
      <w:r w:rsidR="0069155A">
        <w:t>’s</w:t>
      </w:r>
      <w:r w:rsidR="00442172">
        <w:t xml:space="preserve"> </w:t>
      </w:r>
      <w:r w:rsidRPr="009D5A21">
        <w:t>Project</w:t>
      </w:r>
      <w:r>
        <w:t xml:space="preserve"> Development Facility, with its focus on microfinance and rural banking, although of adequate quality overall, is no</w:t>
      </w:r>
      <w:r w:rsidR="00A13027">
        <w:t xml:space="preserve"> longer</w:t>
      </w:r>
      <w:r>
        <w:t xml:space="preserve"> considered to be relevan</w:t>
      </w:r>
      <w:r w:rsidR="00A13027">
        <w:t xml:space="preserve">t </w:t>
      </w:r>
      <w:r>
        <w:t xml:space="preserve">to </w:t>
      </w:r>
      <w:r w:rsidR="00A13027">
        <w:t xml:space="preserve">Australia’s </w:t>
      </w:r>
      <w:r w:rsidR="00345BD3">
        <w:t xml:space="preserve">aid </w:t>
      </w:r>
      <w:r>
        <w:t xml:space="preserve">program. </w:t>
      </w:r>
      <w:r w:rsidR="00A13027">
        <w:t>The e</w:t>
      </w:r>
      <w:r>
        <w:t>nvironment, health and governance priorities for China under the 11</w:t>
      </w:r>
      <w:r w:rsidRPr="001341BC">
        <w:rPr>
          <w:vertAlign w:val="superscript"/>
        </w:rPr>
        <w:t>th</w:t>
      </w:r>
      <w:r>
        <w:t xml:space="preserve"> Five Year Plan (2006</w:t>
      </w:r>
      <w:r w:rsidR="006806A9">
        <w:t>–</w:t>
      </w:r>
      <w:r w:rsidR="0069155A">
        <w:t>20</w:t>
      </w:r>
      <w:r>
        <w:t>10) all feature in the 12</w:t>
      </w:r>
      <w:r w:rsidRPr="001341BC">
        <w:rPr>
          <w:vertAlign w:val="superscript"/>
        </w:rPr>
        <w:t>th</w:t>
      </w:r>
      <w:r>
        <w:t xml:space="preserve"> Five</w:t>
      </w:r>
      <w:r w:rsidR="0069155A">
        <w:t>-</w:t>
      </w:r>
      <w:r>
        <w:t>Year Plan (2011</w:t>
      </w:r>
      <w:r w:rsidR="006806A9">
        <w:t>–</w:t>
      </w:r>
      <w:r w:rsidR="0069155A">
        <w:t>20</w:t>
      </w:r>
      <w:r>
        <w:t>15</w:t>
      </w:r>
      <w:r w:rsidR="0069155A">
        <w:t>)</w:t>
      </w:r>
      <w:r>
        <w:t xml:space="preserve">. </w:t>
      </w:r>
    </w:p>
    <w:p w:rsidR="00FB6A3F" w:rsidRPr="0042107B" w:rsidRDefault="007F4F7B" w:rsidP="00FB6A3F">
      <w:pPr>
        <w:pStyle w:val="BodyText"/>
      </w:pPr>
      <w:r w:rsidRPr="007F4F7B">
        <w:t xml:space="preserve">There is space to work more closely </w:t>
      </w:r>
      <w:r>
        <w:t xml:space="preserve">on </w:t>
      </w:r>
      <w:r w:rsidR="00FB6A3F">
        <w:t>gender</w:t>
      </w:r>
      <w:r>
        <w:t xml:space="preserve"> issues in China, including with</w:t>
      </w:r>
      <w:r w:rsidR="00FB6A3F">
        <w:t xml:space="preserve"> gender equity champions</w:t>
      </w:r>
      <w:r>
        <w:t xml:space="preserve"> such as </w:t>
      </w:r>
      <w:r w:rsidR="00FB6A3F">
        <w:t>the All</w:t>
      </w:r>
      <w:r w:rsidR="008D2137">
        <w:t> </w:t>
      </w:r>
      <w:r w:rsidR="00FB6A3F">
        <w:t>China Women’s Federation.</w:t>
      </w:r>
    </w:p>
    <w:p w:rsidR="00375C41" w:rsidRPr="00102915" w:rsidRDefault="00375C41" w:rsidP="00F137AB">
      <w:pPr>
        <w:pStyle w:val="H1"/>
        <w:spacing w:before="240"/>
      </w:pPr>
      <w:bookmarkStart w:id="15" w:name="_Toc360972068"/>
      <w:r w:rsidRPr="00102915">
        <w:t>Next steps</w:t>
      </w:r>
      <w:bookmarkEnd w:id="15"/>
    </w:p>
    <w:p w:rsidR="00B25E7F" w:rsidRDefault="003C64FF" w:rsidP="00E85227">
      <w:pPr>
        <w:pStyle w:val="BodyText"/>
      </w:pPr>
      <w:r w:rsidRPr="003C64FF">
        <w:t>In November 2010 the Minister for Foreign Affairs commissioned an independent review of Australia's aid effectiveness</w:t>
      </w:r>
      <w:r w:rsidR="00E85227">
        <w:t>.</w:t>
      </w:r>
      <w:r w:rsidR="00185C7A">
        <w:t xml:space="preserve"> </w:t>
      </w:r>
      <w:r>
        <w:t>T</w:t>
      </w:r>
      <w:r w:rsidR="00185C7A">
        <w:t xml:space="preserve">he </w:t>
      </w:r>
      <w:r w:rsidR="00E85227">
        <w:t xml:space="preserve">Australian </w:t>
      </w:r>
      <w:r w:rsidR="00185C7A">
        <w:t>G</w:t>
      </w:r>
      <w:r w:rsidR="00E85227">
        <w:t xml:space="preserve">overnment responded to the review </w:t>
      </w:r>
      <w:r w:rsidR="007F4F7B">
        <w:t>in J</w:t>
      </w:r>
      <w:r w:rsidR="00AF1D5A">
        <w:t>uly</w:t>
      </w:r>
      <w:r w:rsidR="007F4F7B">
        <w:t xml:space="preserve"> 2011, welcoming</w:t>
      </w:r>
      <w:r w:rsidR="002A5CBC" w:rsidRPr="002A5CBC">
        <w:t xml:space="preserve"> </w:t>
      </w:r>
      <w:r w:rsidR="00E85227">
        <w:t xml:space="preserve">its </w:t>
      </w:r>
      <w:r w:rsidR="002A5CBC">
        <w:t>recommendations</w:t>
      </w:r>
      <w:r w:rsidR="00B25E7F">
        <w:t xml:space="preserve"> </w:t>
      </w:r>
      <w:r w:rsidR="007D3D8C">
        <w:t xml:space="preserve">including </w:t>
      </w:r>
      <w:r w:rsidR="00E85227">
        <w:t xml:space="preserve">to </w:t>
      </w:r>
      <w:r w:rsidR="007F4F7B">
        <w:t xml:space="preserve">determine aid allocations to countries </w:t>
      </w:r>
      <w:r w:rsidR="002A5CBC" w:rsidRPr="002A5CBC">
        <w:t xml:space="preserve">on </w:t>
      </w:r>
      <w:r w:rsidR="00B25E7F">
        <w:t xml:space="preserve">an </w:t>
      </w:r>
      <w:r w:rsidR="002A5CBC" w:rsidRPr="002A5CBC">
        <w:t xml:space="preserve">assessment of poverty, national interest, capacity to make a difference, and </w:t>
      </w:r>
      <w:r w:rsidR="002A5CBC">
        <w:t>current scale and effectiveness.</w:t>
      </w:r>
    </w:p>
    <w:p w:rsidR="00AF1D5A" w:rsidRDefault="00B25E7F" w:rsidP="000A1139">
      <w:pPr>
        <w:pStyle w:val="BodyText"/>
      </w:pPr>
      <w:r>
        <w:t>In this context</w:t>
      </w:r>
      <w:r w:rsidR="007D3D8C">
        <w:t>, t</w:t>
      </w:r>
      <w:r w:rsidR="007D3D8C" w:rsidRPr="007D3D8C">
        <w:t xml:space="preserve">he Government </w:t>
      </w:r>
      <w:r w:rsidR="007D3D8C">
        <w:t>decided</w:t>
      </w:r>
      <w:r w:rsidR="007D3D8C" w:rsidRPr="007D3D8C">
        <w:t xml:space="preserve"> </w:t>
      </w:r>
      <w:r w:rsidR="007D3D8C">
        <w:t>that i</w:t>
      </w:r>
      <w:r w:rsidR="00E64E8B">
        <w:t>n view of China's rapidly evolving stage of development, and its large overseas aid program, Australia's bilateral assistance to China w</w:t>
      </w:r>
      <w:r w:rsidR="001A7D4C">
        <w:t>ould</w:t>
      </w:r>
      <w:r w:rsidR="00E64E8B">
        <w:t xml:space="preserve"> be phased out. </w:t>
      </w:r>
      <w:r w:rsidR="00AF1D5A">
        <w:t xml:space="preserve">Australia will continue to provide targeted assistance through multilateral organisations and regional programs where we can make a difference to poor people. </w:t>
      </w:r>
    </w:p>
    <w:p w:rsidR="00E85227" w:rsidRDefault="007F4F7B" w:rsidP="000A1139">
      <w:pPr>
        <w:pStyle w:val="BodyText"/>
      </w:pPr>
      <w:r>
        <w:t>Th</w:t>
      </w:r>
      <w:r w:rsidR="00AF1D5A">
        <w:t>e</w:t>
      </w:r>
      <w:r w:rsidR="00E85227">
        <w:t xml:space="preserve"> phase-out will occur </w:t>
      </w:r>
      <w:r w:rsidR="00503091">
        <w:t>over time</w:t>
      </w:r>
      <w:r w:rsidR="00E85227">
        <w:t xml:space="preserve"> as </w:t>
      </w:r>
      <w:r w:rsidRPr="007F4F7B">
        <w:t xml:space="preserve">bilateral </w:t>
      </w:r>
      <w:r w:rsidR="00503091">
        <w:t>components</w:t>
      </w:r>
      <w:r w:rsidR="00E85227">
        <w:t xml:space="preserve"> of </w:t>
      </w:r>
      <w:r w:rsidR="003C64FF">
        <w:t xml:space="preserve">Australia’s </w:t>
      </w:r>
      <w:r>
        <w:t>China</w:t>
      </w:r>
      <w:r w:rsidR="003C64FF">
        <w:t xml:space="preserve"> Program conclu</w:t>
      </w:r>
      <w:r w:rsidR="009C348C">
        <w:t>de</w:t>
      </w:r>
      <w:r w:rsidR="00503091">
        <w:t xml:space="preserve"> their </w:t>
      </w:r>
      <w:r w:rsidR="00862FFA">
        <w:t xml:space="preserve">currently </w:t>
      </w:r>
      <w:r w:rsidR="00503091">
        <w:t xml:space="preserve">planned </w:t>
      </w:r>
      <w:r w:rsidR="009C348C">
        <w:t>period</w:t>
      </w:r>
      <w:r w:rsidR="00EA134D">
        <w:t>s</w:t>
      </w:r>
      <w:r w:rsidR="009C348C">
        <w:t xml:space="preserve"> of activity</w:t>
      </w:r>
      <w:r w:rsidR="003C64FF">
        <w:t>.</w:t>
      </w:r>
    </w:p>
    <w:p w:rsidR="007F4F7B" w:rsidRDefault="00503091" w:rsidP="000A1139">
      <w:pPr>
        <w:pStyle w:val="ListBullet"/>
      </w:pPr>
      <w:r w:rsidRPr="00503091">
        <w:rPr>
          <w:b/>
        </w:rPr>
        <w:t>T</w:t>
      </w:r>
      <w:r w:rsidR="000A1139" w:rsidRPr="00503091">
        <w:rPr>
          <w:b/>
        </w:rPr>
        <w:t xml:space="preserve">he </w:t>
      </w:r>
      <w:r w:rsidR="000A1139" w:rsidRPr="000A1139">
        <w:rPr>
          <w:b/>
        </w:rPr>
        <w:t>China Australia Governance Program</w:t>
      </w:r>
      <w:r w:rsidR="007F4F7B">
        <w:t xml:space="preserve"> concluded in October 2010.</w:t>
      </w:r>
    </w:p>
    <w:p w:rsidR="00AF1D5A" w:rsidRDefault="007F4F7B" w:rsidP="000A1139">
      <w:pPr>
        <w:pStyle w:val="ListBullet"/>
      </w:pPr>
      <w:r>
        <w:t>T</w:t>
      </w:r>
      <w:r w:rsidR="00EF5F95">
        <w:t>he</w:t>
      </w:r>
      <w:r w:rsidR="000A1139" w:rsidRPr="000A1139">
        <w:rPr>
          <w:b/>
        </w:rPr>
        <w:t xml:space="preserve"> </w:t>
      </w:r>
      <w:r w:rsidR="002A5CBC" w:rsidRPr="000A1139">
        <w:rPr>
          <w:b/>
        </w:rPr>
        <w:t>Human Rights Technical Cooperation</w:t>
      </w:r>
      <w:r w:rsidR="002A5CBC" w:rsidRPr="002A5CBC">
        <w:t xml:space="preserve"> </w:t>
      </w:r>
      <w:r w:rsidR="000A1139" w:rsidRPr="000A1139">
        <w:rPr>
          <w:b/>
        </w:rPr>
        <w:t>Program</w:t>
      </w:r>
      <w:r w:rsidR="002A5CBC" w:rsidRPr="002A5CBC">
        <w:t xml:space="preserve"> will continue </w:t>
      </w:r>
      <w:r w:rsidR="00AF1D5A">
        <w:t>as it is part of a broader regional human rights focus, but it will be redesigned to ensure its continuing relevance and the high quality of activities.</w:t>
      </w:r>
    </w:p>
    <w:p w:rsidR="00E85227" w:rsidRDefault="005E4053" w:rsidP="00E85227">
      <w:pPr>
        <w:pStyle w:val="ListBullet"/>
      </w:pPr>
      <w:r w:rsidRPr="00503091">
        <w:rPr>
          <w:b/>
        </w:rPr>
        <w:t xml:space="preserve">The </w:t>
      </w:r>
      <w:r w:rsidRPr="000A1139">
        <w:rPr>
          <w:b/>
        </w:rPr>
        <w:t>Australia</w:t>
      </w:r>
      <w:r w:rsidR="00AF76B8">
        <w:rPr>
          <w:b/>
        </w:rPr>
        <w:t xml:space="preserve"> </w:t>
      </w:r>
      <w:r w:rsidRPr="000A1139">
        <w:rPr>
          <w:b/>
        </w:rPr>
        <w:t>China Environment Development Partnership</w:t>
      </w:r>
      <w:r>
        <w:t xml:space="preserve"> </w:t>
      </w:r>
      <w:r w:rsidR="00503091">
        <w:t>will continue to</w:t>
      </w:r>
      <w:r w:rsidR="007F4F7B">
        <w:t xml:space="preserve"> its conclusion in</w:t>
      </w:r>
      <w:r>
        <w:t xml:space="preserve"> June 2012</w:t>
      </w:r>
      <w:r w:rsidR="00AF76B8">
        <w:t>.</w:t>
      </w:r>
      <w:r w:rsidR="00503091">
        <w:t xml:space="preserve"> </w:t>
      </w:r>
      <w:r w:rsidR="00AF76B8">
        <w:t xml:space="preserve">A </w:t>
      </w:r>
      <w:r w:rsidR="00D408B5">
        <w:t xml:space="preserve">synthesis review </w:t>
      </w:r>
      <w:r w:rsidR="00503091">
        <w:t xml:space="preserve">will be </w:t>
      </w:r>
      <w:r w:rsidR="00AF76B8">
        <w:t>conducted</w:t>
      </w:r>
      <w:r w:rsidR="00DB1298">
        <w:t xml:space="preserve"> </w:t>
      </w:r>
      <w:r w:rsidR="00AF76B8">
        <w:t xml:space="preserve">to </w:t>
      </w:r>
      <w:r w:rsidR="00AF76B8" w:rsidRPr="00AF76B8">
        <w:t>promote and recommend mechanisms for dialogue between Australian and Chinese partners on both technical and policy issues</w:t>
      </w:r>
      <w:r w:rsidR="00DB1298">
        <w:t xml:space="preserve">. The synthesis review will also </w:t>
      </w:r>
      <w:r w:rsidR="00AF76B8" w:rsidRPr="00AF76B8">
        <w:t>identify areas and strategies for ongoing mutual learning and lasting partnership building</w:t>
      </w:r>
      <w:r w:rsidR="00AF76B8">
        <w:t>.</w:t>
      </w:r>
    </w:p>
    <w:p w:rsidR="00CF3EC0" w:rsidRDefault="00AD664C" w:rsidP="00E85227">
      <w:pPr>
        <w:pStyle w:val="ListBullet"/>
      </w:pPr>
      <w:r w:rsidRPr="00503091">
        <w:rPr>
          <w:b/>
        </w:rPr>
        <w:t xml:space="preserve">The </w:t>
      </w:r>
      <w:r w:rsidRPr="00EF5F95">
        <w:rPr>
          <w:b/>
        </w:rPr>
        <w:t>China Australia Health and HIV/AIDS Facility</w:t>
      </w:r>
      <w:r w:rsidRPr="00AD664C">
        <w:t xml:space="preserve"> </w:t>
      </w:r>
      <w:r w:rsidR="00185C7A">
        <w:t>will</w:t>
      </w:r>
      <w:r>
        <w:t xml:space="preserve"> continue</w:t>
      </w:r>
      <w:r w:rsidRPr="00AD664C">
        <w:t xml:space="preserve"> </w:t>
      </w:r>
      <w:r>
        <w:t xml:space="preserve">to </w:t>
      </w:r>
      <w:r w:rsidRPr="00AD664C">
        <w:t>August 2012. Following the Facility</w:t>
      </w:r>
      <w:r>
        <w:t>’s</w:t>
      </w:r>
      <w:r w:rsidRPr="00AD664C">
        <w:t xml:space="preserve"> independent review in May 2011, </w:t>
      </w:r>
      <w:r>
        <w:t>its</w:t>
      </w:r>
      <w:r w:rsidRPr="00AD664C">
        <w:t xml:space="preserve"> focus will remain </w:t>
      </w:r>
      <w:r>
        <w:t xml:space="preserve">on policy engagement for </w:t>
      </w:r>
      <w:r w:rsidRPr="00AD664C">
        <w:t xml:space="preserve">health care reform </w:t>
      </w:r>
      <w:r w:rsidR="00862FFA">
        <w:t xml:space="preserve">as well as </w:t>
      </w:r>
      <w:r w:rsidRPr="00AD664C">
        <w:t>stren</w:t>
      </w:r>
      <w:r>
        <w:t>gthening and sustaining</w:t>
      </w:r>
      <w:r w:rsidRPr="00AD664C">
        <w:t xml:space="preserve"> partnership</w:t>
      </w:r>
      <w:r>
        <w:t>s</w:t>
      </w:r>
      <w:r w:rsidRPr="00AD664C">
        <w:t xml:space="preserve"> between Australian and Chinese institutions</w:t>
      </w:r>
      <w:r>
        <w:t xml:space="preserve"> for policy research</w:t>
      </w:r>
      <w:r w:rsidRPr="00AD664C">
        <w:t xml:space="preserve">. Dissemination of experiences and </w:t>
      </w:r>
      <w:r>
        <w:t xml:space="preserve">a review of </w:t>
      </w:r>
      <w:r w:rsidRPr="00AD664C">
        <w:t>policy impact</w:t>
      </w:r>
      <w:r>
        <w:t>s</w:t>
      </w:r>
      <w:r w:rsidRPr="00AD664C">
        <w:t xml:space="preserve"> will be key management tasks in the r</w:t>
      </w:r>
      <w:r w:rsidR="00862FFA">
        <w:t>emaining period</w:t>
      </w:r>
      <w:r>
        <w:t xml:space="preserve"> of the Facility.</w:t>
      </w:r>
    </w:p>
    <w:sectPr w:rsidR="00CF3EC0" w:rsidSect="00E77D0C">
      <w:headerReference w:type="even" r:id="rId15"/>
      <w:footerReference w:type="even" r:id="rId16"/>
      <w:footerReference w:type="default" r:id="rId17"/>
      <w:footerReference w:type="first" r:id="rId18"/>
      <w:pgSz w:w="11907" w:h="16840" w:code="9"/>
      <w:pgMar w:top="2381" w:right="2155" w:bottom="851" w:left="1814" w:header="851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BB" w:rsidRDefault="00F84CBB">
      <w:r>
        <w:separator/>
      </w:r>
    </w:p>
    <w:p w:rsidR="00F84CBB" w:rsidRDefault="00F84CBB"/>
  </w:endnote>
  <w:endnote w:type="continuationSeparator" w:id="0">
    <w:p w:rsidR="00F84CBB" w:rsidRDefault="00F84CBB">
      <w:r>
        <w:continuationSeparator/>
      </w:r>
    </w:p>
    <w:p w:rsidR="00F84CBB" w:rsidRDefault="00F84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0F" w:rsidRPr="00AD612A" w:rsidRDefault="00F137AB">
    <w:pPr>
      <w:pStyle w:val="Footer"/>
    </w:pPr>
    <w:r>
      <w:rPr>
        <w:noProof/>
        <w:color w:val="54534A"/>
        <w:lang w:val="en-US" w:eastAsia="en-US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8821420</wp:posOffset>
          </wp:positionV>
          <wp:extent cx="396240" cy="1508125"/>
          <wp:effectExtent l="0" t="0" r="3810" b="0"/>
          <wp:wrapNone/>
          <wp:docPr id="256" name="Picture 256" descr="AusAID_MDG_2_factsheet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6" descr="AusAID_MDG_2_factsheet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80F" w:rsidRPr="007C1ECE">
      <w:tab/>
    </w:r>
    <w:r w:rsidR="0064580F">
      <w:tab/>
    </w:r>
    <w:r w:rsidR="0064580F">
      <w:tab/>
    </w:r>
    <w:r w:rsidR="0064580F">
      <w:rPr>
        <w:rStyle w:val="PageNumber"/>
      </w:rPr>
      <w:fldChar w:fldCharType="begin"/>
    </w:r>
    <w:r w:rsidR="0064580F">
      <w:rPr>
        <w:rStyle w:val="PageNumber"/>
      </w:rPr>
      <w:instrText xml:space="preserve"> PAGE </w:instrText>
    </w:r>
    <w:r w:rsidR="0064580F">
      <w:rPr>
        <w:rStyle w:val="PageNumber"/>
      </w:rPr>
      <w:fldChar w:fldCharType="separate"/>
    </w:r>
    <w:r w:rsidR="0064580F">
      <w:rPr>
        <w:rStyle w:val="PageNumber"/>
        <w:noProof/>
      </w:rPr>
      <w:t>2</w:t>
    </w:r>
    <w:r w:rsidR="0064580F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0F" w:rsidRPr="004A4B6B" w:rsidRDefault="00F137AB" w:rsidP="001260C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274" name="Picture 274" descr="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4" descr="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80F">
      <w:tab/>
    </w:r>
    <w:r w:rsidR="0064580F">
      <w:fldChar w:fldCharType="begin"/>
    </w:r>
    <w:r w:rsidR="0064580F">
      <w:instrText xml:space="preserve"> STYLEREF  Title </w:instrText>
    </w:r>
    <w:r w:rsidR="0064580F">
      <w:fldChar w:fldCharType="separate"/>
    </w:r>
    <w:r w:rsidR="003C3A1F">
      <w:rPr>
        <w:noProof/>
      </w:rPr>
      <w:t>China Development Cooperation Report 2010</w:t>
    </w:r>
    <w:r w:rsidR="0064580F">
      <w:fldChar w:fldCharType="end"/>
    </w:r>
    <w:r w:rsidR="0064580F">
      <w:rPr>
        <w:rStyle w:val="PageNumber"/>
      </w:rPr>
      <w:tab/>
    </w:r>
    <w:r w:rsidR="0064580F">
      <w:rPr>
        <w:rStyle w:val="PageNumber"/>
      </w:rPr>
      <w:tab/>
    </w:r>
    <w:r w:rsidR="0064580F" w:rsidRPr="004A26C9">
      <w:rPr>
        <w:rStyle w:val="PageNumber"/>
      </w:rPr>
      <w:fldChar w:fldCharType="begin"/>
    </w:r>
    <w:r w:rsidR="0064580F" w:rsidRPr="004A26C9">
      <w:rPr>
        <w:rStyle w:val="PageNumber"/>
      </w:rPr>
      <w:instrText xml:space="preserve"> PAGE </w:instrText>
    </w:r>
    <w:r w:rsidR="0064580F" w:rsidRPr="004A26C9">
      <w:rPr>
        <w:rStyle w:val="PageNumber"/>
      </w:rPr>
      <w:fldChar w:fldCharType="separate"/>
    </w:r>
    <w:r w:rsidR="003C3A1F">
      <w:rPr>
        <w:rStyle w:val="PageNumber"/>
        <w:noProof/>
      </w:rPr>
      <w:t>9</w:t>
    </w:r>
    <w:r w:rsidR="0064580F" w:rsidRPr="004A26C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0F" w:rsidRDefault="0064580F">
    <w:pPr>
      <w:pStyle w:val="Footer"/>
    </w:pP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3A1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BB" w:rsidRDefault="00F84CBB" w:rsidP="00D62AA4">
      <w:pPr>
        <w:spacing w:before="60" w:after="40" w:line="180" w:lineRule="exact"/>
      </w:pPr>
      <w:r>
        <w:continuationSeparator/>
      </w:r>
    </w:p>
  </w:footnote>
  <w:footnote w:type="continuationSeparator" w:id="0">
    <w:p w:rsidR="00F84CBB" w:rsidRDefault="00F84CBB">
      <w:r>
        <w:continuationSeparator/>
      </w:r>
    </w:p>
    <w:p w:rsidR="00F84CBB" w:rsidRDefault="00F84CBB"/>
  </w:footnote>
  <w:footnote w:type="continuationNotice" w:id="1">
    <w:p w:rsidR="00F84CBB" w:rsidRDefault="00F84CBB"/>
    <w:p w:rsidR="00F84CBB" w:rsidRDefault="00F84C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0F" w:rsidRDefault="00F137AB" w:rsidP="00B7603F">
    <w:pPr>
      <w:pStyle w:val="Header"/>
      <w:jc w:val="left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262" name="Picture 262" descr="AusAID_facsheet_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" descr="AusAID_facsheet_D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1CE7"/>
    <w:multiLevelType w:val="hybridMultilevel"/>
    <w:tmpl w:val="0D18B67E"/>
    <w:lvl w:ilvl="0" w:tplc="ACFA6F56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B7DD8"/>
    <w:multiLevelType w:val="hybridMultilevel"/>
    <w:tmpl w:val="3EA6F6DE"/>
    <w:lvl w:ilvl="0" w:tplc="515C968A">
      <w:start w:val="1"/>
      <w:numFmt w:val="lowerLetter"/>
      <w:pStyle w:val="TableListNumber2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B56203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EAD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68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A1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6B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C1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AE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26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665BC"/>
    <w:multiLevelType w:val="hybridMultilevel"/>
    <w:tmpl w:val="4DC601BA"/>
    <w:lvl w:ilvl="0" w:tplc="5D98112C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36F75"/>
    <w:multiLevelType w:val="hybridMultilevel"/>
    <w:tmpl w:val="615A33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B02A7"/>
    <w:multiLevelType w:val="singleLevel"/>
    <w:tmpl w:val="38C655C0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auto"/>
        <w:sz w:val="21"/>
        <w:szCs w:val="21"/>
      </w:rPr>
    </w:lvl>
  </w:abstractNum>
  <w:abstractNum w:abstractNumId="5">
    <w:nsid w:val="28EB6A71"/>
    <w:multiLevelType w:val="hybridMultilevel"/>
    <w:tmpl w:val="60367E8A"/>
    <w:lvl w:ilvl="0" w:tplc="638EB1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42BB2"/>
    <w:multiLevelType w:val="hybridMultilevel"/>
    <w:tmpl w:val="00DEC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D65A6"/>
    <w:multiLevelType w:val="hybridMultilevel"/>
    <w:tmpl w:val="A7446C82"/>
    <w:lvl w:ilvl="0" w:tplc="B70A9096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33F6B"/>
    <w:multiLevelType w:val="hybridMultilevel"/>
    <w:tmpl w:val="53929CB2"/>
    <w:lvl w:ilvl="0" w:tplc="F5C06354">
      <w:start w:val="1"/>
      <w:numFmt w:val="lowerLetter"/>
      <w:pStyle w:val="Box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EFF42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D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0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AC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61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B6F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81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0C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D579B"/>
    <w:multiLevelType w:val="hybridMultilevel"/>
    <w:tmpl w:val="36F2514A"/>
    <w:lvl w:ilvl="0" w:tplc="C4929536">
      <w:start w:val="1"/>
      <w:numFmt w:val="bullet"/>
      <w:pStyle w:val="Box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ECE9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342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0C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C3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DC2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EA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BAB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1918AF"/>
    <w:multiLevelType w:val="hybridMultilevel"/>
    <w:tmpl w:val="5184BB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B943C2"/>
    <w:multiLevelType w:val="hybridMultilevel"/>
    <w:tmpl w:val="5A18D8E8"/>
    <w:lvl w:ilvl="0" w:tplc="F036122A">
      <w:start w:val="1"/>
      <w:numFmt w:val="bullet"/>
      <w:pStyle w:val="Ratingamber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FF9900"/>
        <w:spacing w:val="0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92D64"/>
    <w:multiLevelType w:val="hybridMultilevel"/>
    <w:tmpl w:val="3544D402"/>
    <w:lvl w:ilvl="0" w:tplc="49BABBDA">
      <w:start w:val="1"/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8A5214"/>
    <w:multiLevelType w:val="hybridMultilevel"/>
    <w:tmpl w:val="0B5AC610"/>
    <w:lvl w:ilvl="0" w:tplc="438833A2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45F2B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24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07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B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C8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4B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64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06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71EB3"/>
    <w:multiLevelType w:val="multilevel"/>
    <w:tmpl w:val="D9FE8BD6"/>
    <w:lvl w:ilvl="0">
      <w:start w:val="1"/>
      <w:numFmt w:val="none"/>
      <w:suff w:val="nothing"/>
      <w:lvlText w:val=""/>
      <w:lvlJc w:val="left"/>
      <w:pPr>
        <w:ind w:left="-32767" w:firstLine="0"/>
      </w:pPr>
      <w:rPr>
        <w:b w:val="0"/>
        <w:i w:val="0"/>
        <w:color w:val="54534A"/>
      </w:rPr>
    </w:lvl>
    <w:lvl w:ilvl="1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  <w:b w:val="0"/>
        <w:i w:val="0"/>
        <w:color w:val="54534A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upperLetter"/>
      <w:lvlRestart w:val="0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caps/>
        <w:sz w:val="22"/>
        <w:szCs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>
    <w:nsid w:val="63EC277D"/>
    <w:multiLevelType w:val="hybridMultilevel"/>
    <w:tmpl w:val="5622DCD2"/>
    <w:lvl w:ilvl="0" w:tplc="F280E2B4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Garamond" w:hAnsi="Garamon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F264CF"/>
    <w:multiLevelType w:val="multilevel"/>
    <w:tmpl w:val="DD5A44F4"/>
    <w:lvl w:ilvl="0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  <w:b w:val="0"/>
        <w:i w:val="0"/>
        <w:color w:val="54534A"/>
      </w:rPr>
    </w:lvl>
    <w:lvl w:ilvl="1">
      <w:start w:val="1"/>
      <w:numFmt w:val="none"/>
      <w:pStyle w:val="Heading2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hint="default"/>
        <w:b w:val="0"/>
        <w:i w:val="0"/>
        <w:caps w:val="0"/>
        <w:color w:val="54534A"/>
        <w:position w:val="0"/>
        <w:sz w:val="50"/>
        <w:szCs w:val="5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hint="default"/>
        <w:caps/>
        <w:sz w:val="22"/>
        <w:szCs w:val="22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6C55035"/>
    <w:multiLevelType w:val="hybridMultilevel"/>
    <w:tmpl w:val="A0C89EE8"/>
    <w:lvl w:ilvl="0" w:tplc="D3782208">
      <w:start w:val="1"/>
      <w:numFmt w:val="bullet"/>
      <w:pStyle w:val="TableListBullet"/>
      <w:lvlText w:val="&gt;"/>
      <w:lvlJc w:val="left"/>
      <w:pPr>
        <w:tabs>
          <w:tab w:val="num" w:pos="227"/>
        </w:tabs>
        <w:ind w:left="227" w:hanging="227"/>
      </w:pPr>
      <w:rPr>
        <w:rFonts w:hint="default"/>
        <w:color w:val="auto"/>
        <w:spacing w:val="0"/>
        <w:w w:val="100"/>
        <w:position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A95AF5"/>
    <w:multiLevelType w:val="multilevel"/>
    <w:tmpl w:val="AA96A81E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4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9">
    <w:nsid w:val="6CF363E8"/>
    <w:multiLevelType w:val="hybridMultilevel"/>
    <w:tmpl w:val="663688F2"/>
    <w:lvl w:ilvl="0" w:tplc="02A4C866">
      <w:start w:val="1"/>
      <w:numFmt w:val="bullet"/>
      <w:pStyle w:val="Ratinggreen"/>
      <w:lvlText w:val="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color w:val="99CC00"/>
        <w:spacing w:val="0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1D4175"/>
    <w:multiLevelType w:val="hybridMultilevel"/>
    <w:tmpl w:val="D15C530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E1124E"/>
    <w:multiLevelType w:val="hybridMultilevel"/>
    <w:tmpl w:val="6D42E656"/>
    <w:lvl w:ilvl="0" w:tplc="1E4A4C5A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A050B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9A1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6C8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EC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42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600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0B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148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7A528B"/>
    <w:multiLevelType w:val="hybridMultilevel"/>
    <w:tmpl w:val="4ADC517C"/>
    <w:lvl w:ilvl="0" w:tplc="B9F0AE6C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position w:val="3"/>
      </w:rPr>
    </w:lvl>
    <w:lvl w:ilvl="1" w:tplc="F97E0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429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C6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80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A2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4F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E5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3C7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6"/>
  </w:num>
  <w:num w:numId="8">
    <w:abstractNumId w:val="17"/>
  </w:num>
  <w:num w:numId="9">
    <w:abstractNumId w:val="0"/>
  </w:num>
  <w:num w:numId="10">
    <w:abstractNumId w:val="11"/>
  </w:num>
  <w:num w:numId="11">
    <w:abstractNumId w:val="19"/>
  </w:num>
  <w:num w:numId="12">
    <w:abstractNumId w:val="4"/>
  </w:num>
  <w:num w:numId="13">
    <w:abstractNumId w:val="2"/>
  </w:num>
  <w:num w:numId="14">
    <w:abstractNumId w:val="21"/>
  </w:num>
  <w:num w:numId="15">
    <w:abstractNumId w:val="22"/>
  </w:num>
  <w:num w:numId="16">
    <w:abstractNumId w:val="18"/>
  </w:num>
  <w:num w:numId="17">
    <w:abstractNumId w:val="15"/>
  </w:num>
  <w:num w:numId="1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20"/>
  </w:num>
  <w:num w:numId="32">
    <w:abstractNumId w:val="3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0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16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6"/>
  </w:num>
  <w:num w:numId="53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clickAndTypeStyle w:val="BodyText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f90,#ddcf56,#ad495d,#ab9c8f,#b5d3d2,#7e6d5f,#f26631,#54534a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7E"/>
    <w:rsid w:val="00002939"/>
    <w:rsid w:val="00004368"/>
    <w:rsid w:val="00011550"/>
    <w:rsid w:val="0001170C"/>
    <w:rsid w:val="000129D7"/>
    <w:rsid w:val="0001356A"/>
    <w:rsid w:val="00014038"/>
    <w:rsid w:val="0001508D"/>
    <w:rsid w:val="00015DBC"/>
    <w:rsid w:val="00016771"/>
    <w:rsid w:val="00016CBA"/>
    <w:rsid w:val="00017D33"/>
    <w:rsid w:val="00017E33"/>
    <w:rsid w:val="000211DA"/>
    <w:rsid w:val="0002235F"/>
    <w:rsid w:val="00022D41"/>
    <w:rsid w:val="000257E7"/>
    <w:rsid w:val="00030588"/>
    <w:rsid w:val="0003385B"/>
    <w:rsid w:val="00034B41"/>
    <w:rsid w:val="00034E45"/>
    <w:rsid w:val="00035E2A"/>
    <w:rsid w:val="00037673"/>
    <w:rsid w:val="000433AB"/>
    <w:rsid w:val="00044EDD"/>
    <w:rsid w:val="000452A6"/>
    <w:rsid w:val="0004636D"/>
    <w:rsid w:val="00046974"/>
    <w:rsid w:val="000513B2"/>
    <w:rsid w:val="00053BB3"/>
    <w:rsid w:val="00053D8A"/>
    <w:rsid w:val="00054CBE"/>
    <w:rsid w:val="00060624"/>
    <w:rsid w:val="00060A32"/>
    <w:rsid w:val="00061389"/>
    <w:rsid w:val="00063C90"/>
    <w:rsid w:val="000655EB"/>
    <w:rsid w:val="00065C12"/>
    <w:rsid w:val="00067F6E"/>
    <w:rsid w:val="00070BAE"/>
    <w:rsid w:val="00070F05"/>
    <w:rsid w:val="000722A1"/>
    <w:rsid w:val="00074C9B"/>
    <w:rsid w:val="00075C1B"/>
    <w:rsid w:val="00075E37"/>
    <w:rsid w:val="00075F52"/>
    <w:rsid w:val="000765D3"/>
    <w:rsid w:val="000766F0"/>
    <w:rsid w:val="00076703"/>
    <w:rsid w:val="000805B2"/>
    <w:rsid w:val="00082E97"/>
    <w:rsid w:val="000833A0"/>
    <w:rsid w:val="00085585"/>
    <w:rsid w:val="00085E50"/>
    <w:rsid w:val="00086164"/>
    <w:rsid w:val="000863C3"/>
    <w:rsid w:val="0008697B"/>
    <w:rsid w:val="00090C8C"/>
    <w:rsid w:val="00092F37"/>
    <w:rsid w:val="00097A76"/>
    <w:rsid w:val="000A0794"/>
    <w:rsid w:val="000A1139"/>
    <w:rsid w:val="000A1A71"/>
    <w:rsid w:val="000A3437"/>
    <w:rsid w:val="000A4433"/>
    <w:rsid w:val="000A5BCC"/>
    <w:rsid w:val="000A7400"/>
    <w:rsid w:val="000A7708"/>
    <w:rsid w:val="000A7AD4"/>
    <w:rsid w:val="000B0232"/>
    <w:rsid w:val="000B108C"/>
    <w:rsid w:val="000B13AB"/>
    <w:rsid w:val="000B146D"/>
    <w:rsid w:val="000B4054"/>
    <w:rsid w:val="000B4271"/>
    <w:rsid w:val="000B56CF"/>
    <w:rsid w:val="000B5B55"/>
    <w:rsid w:val="000B6330"/>
    <w:rsid w:val="000B7FF7"/>
    <w:rsid w:val="000C0125"/>
    <w:rsid w:val="000C0807"/>
    <w:rsid w:val="000C0D83"/>
    <w:rsid w:val="000C45A2"/>
    <w:rsid w:val="000C6046"/>
    <w:rsid w:val="000D074E"/>
    <w:rsid w:val="000D32D5"/>
    <w:rsid w:val="000D444F"/>
    <w:rsid w:val="000D47A5"/>
    <w:rsid w:val="000E0333"/>
    <w:rsid w:val="000E2E8A"/>
    <w:rsid w:val="000E4F03"/>
    <w:rsid w:val="000E595E"/>
    <w:rsid w:val="000E5C21"/>
    <w:rsid w:val="000F07F6"/>
    <w:rsid w:val="000F5F51"/>
    <w:rsid w:val="000F6A57"/>
    <w:rsid w:val="000F706A"/>
    <w:rsid w:val="000F7DB9"/>
    <w:rsid w:val="000F7EBB"/>
    <w:rsid w:val="0010001A"/>
    <w:rsid w:val="001020A5"/>
    <w:rsid w:val="00102915"/>
    <w:rsid w:val="00103AA9"/>
    <w:rsid w:val="00104CCC"/>
    <w:rsid w:val="001104EF"/>
    <w:rsid w:val="00110DC5"/>
    <w:rsid w:val="00115A8C"/>
    <w:rsid w:val="00115D91"/>
    <w:rsid w:val="001204E2"/>
    <w:rsid w:val="0012250E"/>
    <w:rsid w:val="001250BF"/>
    <w:rsid w:val="001260C2"/>
    <w:rsid w:val="00127B7F"/>
    <w:rsid w:val="00130109"/>
    <w:rsid w:val="00132E41"/>
    <w:rsid w:val="00135A4C"/>
    <w:rsid w:val="001360A4"/>
    <w:rsid w:val="00136E47"/>
    <w:rsid w:val="00136FF9"/>
    <w:rsid w:val="001374E3"/>
    <w:rsid w:val="00137BA1"/>
    <w:rsid w:val="0014049B"/>
    <w:rsid w:val="00141818"/>
    <w:rsid w:val="0014252B"/>
    <w:rsid w:val="0014282B"/>
    <w:rsid w:val="00142A4D"/>
    <w:rsid w:val="00142E47"/>
    <w:rsid w:val="00143525"/>
    <w:rsid w:val="001436A7"/>
    <w:rsid w:val="00144611"/>
    <w:rsid w:val="00144B1B"/>
    <w:rsid w:val="0014787F"/>
    <w:rsid w:val="00152D98"/>
    <w:rsid w:val="00153F83"/>
    <w:rsid w:val="001564B4"/>
    <w:rsid w:val="00156521"/>
    <w:rsid w:val="00156A18"/>
    <w:rsid w:val="0016217F"/>
    <w:rsid w:val="001644AA"/>
    <w:rsid w:val="00165C4D"/>
    <w:rsid w:val="00166BE1"/>
    <w:rsid w:val="00167215"/>
    <w:rsid w:val="001702D7"/>
    <w:rsid w:val="001707ED"/>
    <w:rsid w:val="00170B04"/>
    <w:rsid w:val="00172093"/>
    <w:rsid w:val="0017313D"/>
    <w:rsid w:val="00174585"/>
    <w:rsid w:val="001756DD"/>
    <w:rsid w:val="00175CFE"/>
    <w:rsid w:val="00176846"/>
    <w:rsid w:val="001772C7"/>
    <w:rsid w:val="00177AE1"/>
    <w:rsid w:val="00180E63"/>
    <w:rsid w:val="00180EC6"/>
    <w:rsid w:val="00182E7D"/>
    <w:rsid w:val="001840DC"/>
    <w:rsid w:val="00184C6E"/>
    <w:rsid w:val="00185C7A"/>
    <w:rsid w:val="00187D56"/>
    <w:rsid w:val="00190A25"/>
    <w:rsid w:val="00193384"/>
    <w:rsid w:val="001957F2"/>
    <w:rsid w:val="0019627A"/>
    <w:rsid w:val="00197485"/>
    <w:rsid w:val="001A0653"/>
    <w:rsid w:val="001A0CB1"/>
    <w:rsid w:val="001A157D"/>
    <w:rsid w:val="001A252C"/>
    <w:rsid w:val="001A4314"/>
    <w:rsid w:val="001A4CB0"/>
    <w:rsid w:val="001A4F3D"/>
    <w:rsid w:val="001A64D6"/>
    <w:rsid w:val="001A676A"/>
    <w:rsid w:val="001A76CD"/>
    <w:rsid w:val="001A7A00"/>
    <w:rsid w:val="001A7D4C"/>
    <w:rsid w:val="001B0BC3"/>
    <w:rsid w:val="001B11EB"/>
    <w:rsid w:val="001B1559"/>
    <w:rsid w:val="001B3A25"/>
    <w:rsid w:val="001B40B6"/>
    <w:rsid w:val="001B7441"/>
    <w:rsid w:val="001B7D36"/>
    <w:rsid w:val="001C1650"/>
    <w:rsid w:val="001C18A5"/>
    <w:rsid w:val="001C27DD"/>
    <w:rsid w:val="001C326F"/>
    <w:rsid w:val="001C54D5"/>
    <w:rsid w:val="001C557B"/>
    <w:rsid w:val="001C68A6"/>
    <w:rsid w:val="001C6E03"/>
    <w:rsid w:val="001C6E25"/>
    <w:rsid w:val="001C7FAB"/>
    <w:rsid w:val="001D0D54"/>
    <w:rsid w:val="001D0D75"/>
    <w:rsid w:val="001D21D0"/>
    <w:rsid w:val="001D24B1"/>
    <w:rsid w:val="001D2D04"/>
    <w:rsid w:val="001D5233"/>
    <w:rsid w:val="001D5666"/>
    <w:rsid w:val="001D65A4"/>
    <w:rsid w:val="001D7470"/>
    <w:rsid w:val="001E521E"/>
    <w:rsid w:val="001E5458"/>
    <w:rsid w:val="001E61C0"/>
    <w:rsid w:val="001E657F"/>
    <w:rsid w:val="001E77A7"/>
    <w:rsid w:val="001E7C2A"/>
    <w:rsid w:val="001F0E53"/>
    <w:rsid w:val="001F0E62"/>
    <w:rsid w:val="001F1365"/>
    <w:rsid w:val="001F353B"/>
    <w:rsid w:val="001F39C9"/>
    <w:rsid w:val="001F4CD3"/>
    <w:rsid w:val="001F4E51"/>
    <w:rsid w:val="001F5AA9"/>
    <w:rsid w:val="0020245F"/>
    <w:rsid w:val="002028B6"/>
    <w:rsid w:val="00203160"/>
    <w:rsid w:val="0020410B"/>
    <w:rsid w:val="00205552"/>
    <w:rsid w:val="00205AA6"/>
    <w:rsid w:val="0021017E"/>
    <w:rsid w:val="00210F50"/>
    <w:rsid w:val="00212975"/>
    <w:rsid w:val="00213176"/>
    <w:rsid w:val="00214C9D"/>
    <w:rsid w:val="002178C9"/>
    <w:rsid w:val="00222F3B"/>
    <w:rsid w:val="00226029"/>
    <w:rsid w:val="00226880"/>
    <w:rsid w:val="0022688E"/>
    <w:rsid w:val="002274D0"/>
    <w:rsid w:val="00227783"/>
    <w:rsid w:val="00227D6B"/>
    <w:rsid w:val="00230BD1"/>
    <w:rsid w:val="00230F10"/>
    <w:rsid w:val="002314D2"/>
    <w:rsid w:val="00231CB6"/>
    <w:rsid w:val="00232097"/>
    <w:rsid w:val="00233570"/>
    <w:rsid w:val="00233D7A"/>
    <w:rsid w:val="00234583"/>
    <w:rsid w:val="00234D37"/>
    <w:rsid w:val="00236C53"/>
    <w:rsid w:val="00237451"/>
    <w:rsid w:val="0024071E"/>
    <w:rsid w:val="00240A07"/>
    <w:rsid w:val="00243468"/>
    <w:rsid w:val="0024348E"/>
    <w:rsid w:val="00244F96"/>
    <w:rsid w:val="002452D0"/>
    <w:rsid w:val="0024542D"/>
    <w:rsid w:val="0024630C"/>
    <w:rsid w:val="00247D70"/>
    <w:rsid w:val="00247F6A"/>
    <w:rsid w:val="002505BE"/>
    <w:rsid w:val="00250D70"/>
    <w:rsid w:val="002515F6"/>
    <w:rsid w:val="0025173D"/>
    <w:rsid w:val="00253146"/>
    <w:rsid w:val="00253B3E"/>
    <w:rsid w:val="00254E43"/>
    <w:rsid w:val="00254E51"/>
    <w:rsid w:val="00257199"/>
    <w:rsid w:val="002600C7"/>
    <w:rsid w:val="00260CE2"/>
    <w:rsid w:val="0026347A"/>
    <w:rsid w:val="00263B78"/>
    <w:rsid w:val="002645F3"/>
    <w:rsid w:val="00265D7C"/>
    <w:rsid w:val="00266A89"/>
    <w:rsid w:val="00266B56"/>
    <w:rsid w:val="00266C05"/>
    <w:rsid w:val="002702DD"/>
    <w:rsid w:val="00271A8A"/>
    <w:rsid w:val="00272699"/>
    <w:rsid w:val="0027351E"/>
    <w:rsid w:val="0027441E"/>
    <w:rsid w:val="0027483C"/>
    <w:rsid w:val="00281D52"/>
    <w:rsid w:val="002820D7"/>
    <w:rsid w:val="00286E03"/>
    <w:rsid w:val="00287F57"/>
    <w:rsid w:val="0029133F"/>
    <w:rsid w:val="00291B3A"/>
    <w:rsid w:val="00292656"/>
    <w:rsid w:val="00292C3C"/>
    <w:rsid w:val="00294248"/>
    <w:rsid w:val="00294AA6"/>
    <w:rsid w:val="00294D4C"/>
    <w:rsid w:val="00296270"/>
    <w:rsid w:val="00297DF9"/>
    <w:rsid w:val="002A1D2F"/>
    <w:rsid w:val="002A1DE3"/>
    <w:rsid w:val="002A2305"/>
    <w:rsid w:val="002A477C"/>
    <w:rsid w:val="002A4BB1"/>
    <w:rsid w:val="002A561C"/>
    <w:rsid w:val="002A5CBC"/>
    <w:rsid w:val="002A6CE4"/>
    <w:rsid w:val="002B02EA"/>
    <w:rsid w:val="002B1624"/>
    <w:rsid w:val="002B1C3F"/>
    <w:rsid w:val="002B1D0E"/>
    <w:rsid w:val="002B2514"/>
    <w:rsid w:val="002B3053"/>
    <w:rsid w:val="002B33AD"/>
    <w:rsid w:val="002B3E15"/>
    <w:rsid w:val="002B4505"/>
    <w:rsid w:val="002B4651"/>
    <w:rsid w:val="002B68CC"/>
    <w:rsid w:val="002B7D4C"/>
    <w:rsid w:val="002C018F"/>
    <w:rsid w:val="002C0F44"/>
    <w:rsid w:val="002C159E"/>
    <w:rsid w:val="002C23D1"/>
    <w:rsid w:val="002C257C"/>
    <w:rsid w:val="002C5AF0"/>
    <w:rsid w:val="002C600B"/>
    <w:rsid w:val="002C7822"/>
    <w:rsid w:val="002C79E4"/>
    <w:rsid w:val="002D0510"/>
    <w:rsid w:val="002D468F"/>
    <w:rsid w:val="002D5DED"/>
    <w:rsid w:val="002D657C"/>
    <w:rsid w:val="002D6E19"/>
    <w:rsid w:val="002D7A0A"/>
    <w:rsid w:val="002E000E"/>
    <w:rsid w:val="002E0115"/>
    <w:rsid w:val="002E1AC2"/>
    <w:rsid w:val="002E2CDD"/>
    <w:rsid w:val="002E499B"/>
    <w:rsid w:val="002E4C63"/>
    <w:rsid w:val="002E626C"/>
    <w:rsid w:val="002E7F6A"/>
    <w:rsid w:val="002F056E"/>
    <w:rsid w:val="002F1AB4"/>
    <w:rsid w:val="002F3393"/>
    <w:rsid w:val="002F36D2"/>
    <w:rsid w:val="002F3C1A"/>
    <w:rsid w:val="002F3E97"/>
    <w:rsid w:val="002F4300"/>
    <w:rsid w:val="002F489A"/>
    <w:rsid w:val="003023FD"/>
    <w:rsid w:val="00303642"/>
    <w:rsid w:val="0030414F"/>
    <w:rsid w:val="00305213"/>
    <w:rsid w:val="00305565"/>
    <w:rsid w:val="00310C02"/>
    <w:rsid w:val="0031131B"/>
    <w:rsid w:val="00312B95"/>
    <w:rsid w:val="00312E50"/>
    <w:rsid w:val="003147DD"/>
    <w:rsid w:val="00315D84"/>
    <w:rsid w:val="00316AAC"/>
    <w:rsid w:val="00317421"/>
    <w:rsid w:val="00321C81"/>
    <w:rsid w:val="00322444"/>
    <w:rsid w:val="003225AB"/>
    <w:rsid w:val="00323965"/>
    <w:rsid w:val="0032745D"/>
    <w:rsid w:val="00330A76"/>
    <w:rsid w:val="00330D74"/>
    <w:rsid w:val="00332945"/>
    <w:rsid w:val="00333127"/>
    <w:rsid w:val="003339F9"/>
    <w:rsid w:val="003341A9"/>
    <w:rsid w:val="00334B60"/>
    <w:rsid w:val="003360B5"/>
    <w:rsid w:val="003368B5"/>
    <w:rsid w:val="003369D5"/>
    <w:rsid w:val="00336FAC"/>
    <w:rsid w:val="003379F3"/>
    <w:rsid w:val="00337AAE"/>
    <w:rsid w:val="003405D1"/>
    <w:rsid w:val="00341566"/>
    <w:rsid w:val="00342A5A"/>
    <w:rsid w:val="00345BD3"/>
    <w:rsid w:val="00345C2F"/>
    <w:rsid w:val="0034794C"/>
    <w:rsid w:val="00347D10"/>
    <w:rsid w:val="00347E04"/>
    <w:rsid w:val="0035098F"/>
    <w:rsid w:val="0035177E"/>
    <w:rsid w:val="003522B0"/>
    <w:rsid w:val="00352A66"/>
    <w:rsid w:val="00353B7B"/>
    <w:rsid w:val="00354CF6"/>
    <w:rsid w:val="003557A9"/>
    <w:rsid w:val="0035655A"/>
    <w:rsid w:val="00357879"/>
    <w:rsid w:val="00360C27"/>
    <w:rsid w:val="0036152B"/>
    <w:rsid w:val="00361A07"/>
    <w:rsid w:val="00362300"/>
    <w:rsid w:val="00362945"/>
    <w:rsid w:val="003629BC"/>
    <w:rsid w:val="00363DA6"/>
    <w:rsid w:val="003643A3"/>
    <w:rsid w:val="00364555"/>
    <w:rsid w:val="0036493C"/>
    <w:rsid w:val="00365BED"/>
    <w:rsid w:val="00365ECE"/>
    <w:rsid w:val="00366135"/>
    <w:rsid w:val="00366EAE"/>
    <w:rsid w:val="0037000D"/>
    <w:rsid w:val="00372980"/>
    <w:rsid w:val="00372C90"/>
    <w:rsid w:val="00373509"/>
    <w:rsid w:val="00373545"/>
    <w:rsid w:val="00373D61"/>
    <w:rsid w:val="00375C41"/>
    <w:rsid w:val="003813B0"/>
    <w:rsid w:val="00381894"/>
    <w:rsid w:val="00382BC2"/>
    <w:rsid w:val="00383014"/>
    <w:rsid w:val="003852FD"/>
    <w:rsid w:val="003864C0"/>
    <w:rsid w:val="00386714"/>
    <w:rsid w:val="00386BBA"/>
    <w:rsid w:val="00386D59"/>
    <w:rsid w:val="003870E2"/>
    <w:rsid w:val="003908F2"/>
    <w:rsid w:val="0039171C"/>
    <w:rsid w:val="00392173"/>
    <w:rsid w:val="0039222E"/>
    <w:rsid w:val="00393C49"/>
    <w:rsid w:val="00395037"/>
    <w:rsid w:val="003950F3"/>
    <w:rsid w:val="00396A10"/>
    <w:rsid w:val="00396A1E"/>
    <w:rsid w:val="00396AAB"/>
    <w:rsid w:val="00396E51"/>
    <w:rsid w:val="00396FEE"/>
    <w:rsid w:val="00397842"/>
    <w:rsid w:val="003A12E4"/>
    <w:rsid w:val="003A1A4E"/>
    <w:rsid w:val="003A2AFB"/>
    <w:rsid w:val="003A32F3"/>
    <w:rsid w:val="003A3E3B"/>
    <w:rsid w:val="003A437D"/>
    <w:rsid w:val="003A5F6E"/>
    <w:rsid w:val="003B01D4"/>
    <w:rsid w:val="003B0602"/>
    <w:rsid w:val="003B3833"/>
    <w:rsid w:val="003B592C"/>
    <w:rsid w:val="003B5B3A"/>
    <w:rsid w:val="003B669E"/>
    <w:rsid w:val="003B6AF8"/>
    <w:rsid w:val="003C3A1F"/>
    <w:rsid w:val="003C4418"/>
    <w:rsid w:val="003C64FF"/>
    <w:rsid w:val="003C6677"/>
    <w:rsid w:val="003D277A"/>
    <w:rsid w:val="003D3401"/>
    <w:rsid w:val="003D41D9"/>
    <w:rsid w:val="003D660F"/>
    <w:rsid w:val="003D7C66"/>
    <w:rsid w:val="003E15BE"/>
    <w:rsid w:val="003E4703"/>
    <w:rsid w:val="003E4C57"/>
    <w:rsid w:val="003E4E42"/>
    <w:rsid w:val="003E6A24"/>
    <w:rsid w:val="003E74A4"/>
    <w:rsid w:val="003F0648"/>
    <w:rsid w:val="003F159A"/>
    <w:rsid w:val="003F23B0"/>
    <w:rsid w:val="003F291D"/>
    <w:rsid w:val="003F2F80"/>
    <w:rsid w:val="003F4406"/>
    <w:rsid w:val="003F4998"/>
    <w:rsid w:val="003F6535"/>
    <w:rsid w:val="003F7DFD"/>
    <w:rsid w:val="004030F5"/>
    <w:rsid w:val="00403EC1"/>
    <w:rsid w:val="00404378"/>
    <w:rsid w:val="00404981"/>
    <w:rsid w:val="00404EA8"/>
    <w:rsid w:val="004069E3"/>
    <w:rsid w:val="00407CFC"/>
    <w:rsid w:val="00410D4E"/>
    <w:rsid w:val="00411191"/>
    <w:rsid w:val="00412989"/>
    <w:rsid w:val="004131F2"/>
    <w:rsid w:val="00414418"/>
    <w:rsid w:val="004146C9"/>
    <w:rsid w:val="00416765"/>
    <w:rsid w:val="004174E5"/>
    <w:rsid w:val="00420072"/>
    <w:rsid w:val="004202ED"/>
    <w:rsid w:val="0042107B"/>
    <w:rsid w:val="0042222F"/>
    <w:rsid w:val="00422524"/>
    <w:rsid w:val="00422662"/>
    <w:rsid w:val="004226D0"/>
    <w:rsid w:val="004229B0"/>
    <w:rsid w:val="00425388"/>
    <w:rsid w:val="00427DB3"/>
    <w:rsid w:val="0043018B"/>
    <w:rsid w:val="004323E1"/>
    <w:rsid w:val="00433FEB"/>
    <w:rsid w:val="0043622D"/>
    <w:rsid w:val="00441D9B"/>
    <w:rsid w:val="00442172"/>
    <w:rsid w:val="00442BE6"/>
    <w:rsid w:val="0044452B"/>
    <w:rsid w:val="00445908"/>
    <w:rsid w:val="004460FC"/>
    <w:rsid w:val="00446BFE"/>
    <w:rsid w:val="00447F42"/>
    <w:rsid w:val="0045116A"/>
    <w:rsid w:val="00451E60"/>
    <w:rsid w:val="00452C48"/>
    <w:rsid w:val="00452E9D"/>
    <w:rsid w:val="0045304C"/>
    <w:rsid w:val="004530AC"/>
    <w:rsid w:val="00453EB3"/>
    <w:rsid w:val="00454368"/>
    <w:rsid w:val="004547C0"/>
    <w:rsid w:val="00454AE8"/>
    <w:rsid w:val="004559D3"/>
    <w:rsid w:val="004561F5"/>
    <w:rsid w:val="00456D32"/>
    <w:rsid w:val="0045720E"/>
    <w:rsid w:val="00457853"/>
    <w:rsid w:val="00457902"/>
    <w:rsid w:val="00460B25"/>
    <w:rsid w:val="00461AD2"/>
    <w:rsid w:val="00462194"/>
    <w:rsid w:val="00462797"/>
    <w:rsid w:val="00464228"/>
    <w:rsid w:val="00467537"/>
    <w:rsid w:val="0046795C"/>
    <w:rsid w:val="0047058E"/>
    <w:rsid w:val="00471026"/>
    <w:rsid w:val="004732C0"/>
    <w:rsid w:val="00473A93"/>
    <w:rsid w:val="00474394"/>
    <w:rsid w:val="004744D3"/>
    <w:rsid w:val="0047526F"/>
    <w:rsid w:val="00475EFF"/>
    <w:rsid w:val="00476144"/>
    <w:rsid w:val="0047786B"/>
    <w:rsid w:val="004822A1"/>
    <w:rsid w:val="00482EF4"/>
    <w:rsid w:val="0048343C"/>
    <w:rsid w:val="00483A17"/>
    <w:rsid w:val="00483DD5"/>
    <w:rsid w:val="004845F1"/>
    <w:rsid w:val="00484BC2"/>
    <w:rsid w:val="00486E8C"/>
    <w:rsid w:val="004872E3"/>
    <w:rsid w:val="00487630"/>
    <w:rsid w:val="004900C1"/>
    <w:rsid w:val="00490743"/>
    <w:rsid w:val="00491178"/>
    <w:rsid w:val="004914D1"/>
    <w:rsid w:val="00492FC4"/>
    <w:rsid w:val="00493037"/>
    <w:rsid w:val="00494CD3"/>
    <w:rsid w:val="00494FB3"/>
    <w:rsid w:val="004955A5"/>
    <w:rsid w:val="00495EF4"/>
    <w:rsid w:val="00496D19"/>
    <w:rsid w:val="00496DF9"/>
    <w:rsid w:val="00497240"/>
    <w:rsid w:val="004A154E"/>
    <w:rsid w:val="004A15DE"/>
    <w:rsid w:val="004A2EFC"/>
    <w:rsid w:val="004A31C3"/>
    <w:rsid w:val="004A472E"/>
    <w:rsid w:val="004A4B6B"/>
    <w:rsid w:val="004B0361"/>
    <w:rsid w:val="004B3904"/>
    <w:rsid w:val="004B42F1"/>
    <w:rsid w:val="004B4704"/>
    <w:rsid w:val="004B6157"/>
    <w:rsid w:val="004B7492"/>
    <w:rsid w:val="004B7C61"/>
    <w:rsid w:val="004C0E63"/>
    <w:rsid w:val="004C3546"/>
    <w:rsid w:val="004C3568"/>
    <w:rsid w:val="004C4638"/>
    <w:rsid w:val="004C60B8"/>
    <w:rsid w:val="004C7DD7"/>
    <w:rsid w:val="004D18D0"/>
    <w:rsid w:val="004D27D6"/>
    <w:rsid w:val="004D2F5D"/>
    <w:rsid w:val="004D5771"/>
    <w:rsid w:val="004D5C28"/>
    <w:rsid w:val="004D79AD"/>
    <w:rsid w:val="004E1C5C"/>
    <w:rsid w:val="004E493E"/>
    <w:rsid w:val="004E6274"/>
    <w:rsid w:val="004E63CC"/>
    <w:rsid w:val="004F096E"/>
    <w:rsid w:val="004F0BE2"/>
    <w:rsid w:val="004F256B"/>
    <w:rsid w:val="004F32A0"/>
    <w:rsid w:val="004F72C7"/>
    <w:rsid w:val="004F75A1"/>
    <w:rsid w:val="004F79BD"/>
    <w:rsid w:val="00500FAC"/>
    <w:rsid w:val="00502E98"/>
    <w:rsid w:val="00503091"/>
    <w:rsid w:val="005031B6"/>
    <w:rsid w:val="00504EF4"/>
    <w:rsid w:val="00506BC4"/>
    <w:rsid w:val="00507A63"/>
    <w:rsid w:val="00507D05"/>
    <w:rsid w:val="00510FCB"/>
    <w:rsid w:val="0051249D"/>
    <w:rsid w:val="00513602"/>
    <w:rsid w:val="00514C9A"/>
    <w:rsid w:val="005157A6"/>
    <w:rsid w:val="0052067C"/>
    <w:rsid w:val="00522F30"/>
    <w:rsid w:val="00531479"/>
    <w:rsid w:val="005335EE"/>
    <w:rsid w:val="005343DE"/>
    <w:rsid w:val="005348EF"/>
    <w:rsid w:val="005351E9"/>
    <w:rsid w:val="005353FE"/>
    <w:rsid w:val="005363D4"/>
    <w:rsid w:val="005374AC"/>
    <w:rsid w:val="0054106E"/>
    <w:rsid w:val="005445D6"/>
    <w:rsid w:val="00545090"/>
    <w:rsid w:val="00546C44"/>
    <w:rsid w:val="005510FE"/>
    <w:rsid w:val="00556B35"/>
    <w:rsid w:val="00561EE2"/>
    <w:rsid w:val="005631AD"/>
    <w:rsid w:val="005639EA"/>
    <w:rsid w:val="00564BCE"/>
    <w:rsid w:val="005667D5"/>
    <w:rsid w:val="005722A1"/>
    <w:rsid w:val="00572319"/>
    <w:rsid w:val="00572841"/>
    <w:rsid w:val="00573B43"/>
    <w:rsid w:val="00574314"/>
    <w:rsid w:val="00575350"/>
    <w:rsid w:val="00575D08"/>
    <w:rsid w:val="00575F52"/>
    <w:rsid w:val="00577298"/>
    <w:rsid w:val="00580DC4"/>
    <w:rsid w:val="005821F7"/>
    <w:rsid w:val="0058536F"/>
    <w:rsid w:val="00585433"/>
    <w:rsid w:val="0058729F"/>
    <w:rsid w:val="005879C7"/>
    <w:rsid w:val="0059107D"/>
    <w:rsid w:val="005910A3"/>
    <w:rsid w:val="00591DD6"/>
    <w:rsid w:val="005925E4"/>
    <w:rsid w:val="00592A83"/>
    <w:rsid w:val="00593B07"/>
    <w:rsid w:val="00593E3E"/>
    <w:rsid w:val="005942EA"/>
    <w:rsid w:val="005943A7"/>
    <w:rsid w:val="00596832"/>
    <w:rsid w:val="005A1052"/>
    <w:rsid w:val="005A341D"/>
    <w:rsid w:val="005A3AA3"/>
    <w:rsid w:val="005A3FE0"/>
    <w:rsid w:val="005B0989"/>
    <w:rsid w:val="005B2981"/>
    <w:rsid w:val="005B522F"/>
    <w:rsid w:val="005B5935"/>
    <w:rsid w:val="005B7710"/>
    <w:rsid w:val="005C10C7"/>
    <w:rsid w:val="005C206D"/>
    <w:rsid w:val="005C2C17"/>
    <w:rsid w:val="005C349D"/>
    <w:rsid w:val="005C4005"/>
    <w:rsid w:val="005C4BD3"/>
    <w:rsid w:val="005C6FD6"/>
    <w:rsid w:val="005C7A9F"/>
    <w:rsid w:val="005D0AF9"/>
    <w:rsid w:val="005D1E18"/>
    <w:rsid w:val="005D244B"/>
    <w:rsid w:val="005D2B37"/>
    <w:rsid w:val="005D4715"/>
    <w:rsid w:val="005D6F2C"/>
    <w:rsid w:val="005E0A0B"/>
    <w:rsid w:val="005E1812"/>
    <w:rsid w:val="005E1AF2"/>
    <w:rsid w:val="005E1D7A"/>
    <w:rsid w:val="005E2411"/>
    <w:rsid w:val="005E344F"/>
    <w:rsid w:val="005E3CEF"/>
    <w:rsid w:val="005E4053"/>
    <w:rsid w:val="005E51D2"/>
    <w:rsid w:val="005E6A91"/>
    <w:rsid w:val="005E725C"/>
    <w:rsid w:val="005F168A"/>
    <w:rsid w:val="005F177B"/>
    <w:rsid w:val="005F1840"/>
    <w:rsid w:val="005F218A"/>
    <w:rsid w:val="005F2846"/>
    <w:rsid w:val="005F2F06"/>
    <w:rsid w:val="005F356A"/>
    <w:rsid w:val="005F5193"/>
    <w:rsid w:val="005F5C10"/>
    <w:rsid w:val="005F5C2F"/>
    <w:rsid w:val="005F710E"/>
    <w:rsid w:val="005F7879"/>
    <w:rsid w:val="006007F6"/>
    <w:rsid w:val="00600A18"/>
    <w:rsid w:val="00600B0F"/>
    <w:rsid w:val="00601D94"/>
    <w:rsid w:val="00602D21"/>
    <w:rsid w:val="00604147"/>
    <w:rsid w:val="00605815"/>
    <w:rsid w:val="00605C82"/>
    <w:rsid w:val="0060617B"/>
    <w:rsid w:val="0060790D"/>
    <w:rsid w:val="00607978"/>
    <w:rsid w:val="00607E92"/>
    <w:rsid w:val="00614A27"/>
    <w:rsid w:val="00614F7F"/>
    <w:rsid w:val="00615247"/>
    <w:rsid w:val="006155FC"/>
    <w:rsid w:val="00615695"/>
    <w:rsid w:val="00615734"/>
    <w:rsid w:val="0061714E"/>
    <w:rsid w:val="006203BD"/>
    <w:rsid w:val="0062059B"/>
    <w:rsid w:val="006207C0"/>
    <w:rsid w:val="006247BA"/>
    <w:rsid w:val="00624C5C"/>
    <w:rsid w:val="00627E76"/>
    <w:rsid w:val="006323A6"/>
    <w:rsid w:val="00632B1F"/>
    <w:rsid w:val="00635A99"/>
    <w:rsid w:val="00635F43"/>
    <w:rsid w:val="00636A86"/>
    <w:rsid w:val="006409FF"/>
    <w:rsid w:val="006445EA"/>
    <w:rsid w:val="0064580F"/>
    <w:rsid w:val="00645987"/>
    <w:rsid w:val="0065046E"/>
    <w:rsid w:val="006504EE"/>
    <w:rsid w:val="00650B00"/>
    <w:rsid w:val="0065259E"/>
    <w:rsid w:val="0065282A"/>
    <w:rsid w:val="00652F48"/>
    <w:rsid w:val="006536A9"/>
    <w:rsid w:val="00657C61"/>
    <w:rsid w:val="00657CB6"/>
    <w:rsid w:val="00657E00"/>
    <w:rsid w:val="006613A9"/>
    <w:rsid w:val="006625B4"/>
    <w:rsid w:val="006640FE"/>
    <w:rsid w:val="006650D3"/>
    <w:rsid w:val="00671255"/>
    <w:rsid w:val="006729F5"/>
    <w:rsid w:val="00672BEE"/>
    <w:rsid w:val="006733CB"/>
    <w:rsid w:val="00674467"/>
    <w:rsid w:val="0067448D"/>
    <w:rsid w:val="006762E5"/>
    <w:rsid w:val="006764C8"/>
    <w:rsid w:val="0067772C"/>
    <w:rsid w:val="006777A0"/>
    <w:rsid w:val="006806A9"/>
    <w:rsid w:val="006813C8"/>
    <w:rsid w:val="00681A3E"/>
    <w:rsid w:val="00682A07"/>
    <w:rsid w:val="00683B97"/>
    <w:rsid w:val="00683CCF"/>
    <w:rsid w:val="00683DC7"/>
    <w:rsid w:val="00683E06"/>
    <w:rsid w:val="006846ED"/>
    <w:rsid w:val="0068568E"/>
    <w:rsid w:val="00685B51"/>
    <w:rsid w:val="00685E07"/>
    <w:rsid w:val="0069068B"/>
    <w:rsid w:val="0069155A"/>
    <w:rsid w:val="006931D5"/>
    <w:rsid w:val="00694103"/>
    <w:rsid w:val="006974FC"/>
    <w:rsid w:val="006A0482"/>
    <w:rsid w:val="006A13BF"/>
    <w:rsid w:val="006A4046"/>
    <w:rsid w:val="006A53F6"/>
    <w:rsid w:val="006A5585"/>
    <w:rsid w:val="006B432F"/>
    <w:rsid w:val="006B7C24"/>
    <w:rsid w:val="006B7CF9"/>
    <w:rsid w:val="006C0139"/>
    <w:rsid w:val="006C111C"/>
    <w:rsid w:val="006C1355"/>
    <w:rsid w:val="006C16A4"/>
    <w:rsid w:val="006C1AEE"/>
    <w:rsid w:val="006C27E2"/>
    <w:rsid w:val="006C3927"/>
    <w:rsid w:val="006C51F7"/>
    <w:rsid w:val="006C5261"/>
    <w:rsid w:val="006C6452"/>
    <w:rsid w:val="006C6761"/>
    <w:rsid w:val="006D0368"/>
    <w:rsid w:val="006D2333"/>
    <w:rsid w:val="006D2DEC"/>
    <w:rsid w:val="006D3DBE"/>
    <w:rsid w:val="006D427B"/>
    <w:rsid w:val="006D571E"/>
    <w:rsid w:val="006D6CC7"/>
    <w:rsid w:val="006D70CD"/>
    <w:rsid w:val="006D7C85"/>
    <w:rsid w:val="006E1CA2"/>
    <w:rsid w:val="006E2C81"/>
    <w:rsid w:val="006E343F"/>
    <w:rsid w:val="006E42F5"/>
    <w:rsid w:val="006E4AA9"/>
    <w:rsid w:val="006E53D1"/>
    <w:rsid w:val="006E6DB3"/>
    <w:rsid w:val="006E7CC1"/>
    <w:rsid w:val="006F0B6B"/>
    <w:rsid w:val="006F1E01"/>
    <w:rsid w:val="006F47C8"/>
    <w:rsid w:val="006F4AF5"/>
    <w:rsid w:val="006F51F9"/>
    <w:rsid w:val="006F715C"/>
    <w:rsid w:val="006F7A23"/>
    <w:rsid w:val="0070010D"/>
    <w:rsid w:val="007004DA"/>
    <w:rsid w:val="00701726"/>
    <w:rsid w:val="007031E2"/>
    <w:rsid w:val="00703586"/>
    <w:rsid w:val="00703733"/>
    <w:rsid w:val="00711543"/>
    <w:rsid w:val="00711B43"/>
    <w:rsid w:val="007122CC"/>
    <w:rsid w:val="00716799"/>
    <w:rsid w:val="0072229D"/>
    <w:rsid w:val="007321EA"/>
    <w:rsid w:val="00732AB4"/>
    <w:rsid w:val="007339FC"/>
    <w:rsid w:val="00733A81"/>
    <w:rsid w:val="0073548A"/>
    <w:rsid w:val="007375CF"/>
    <w:rsid w:val="00737F14"/>
    <w:rsid w:val="00740BD4"/>
    <w:rsid w:val="00742F5B"/>
    <w:rsid w:val="0074328B"/>
    <w:rsid w:val="007500A2"/>
    <w:rsid w:val="00751A18"/>
    <w:rsid w:val="0075426C"/>
    <w:rsid w:val="00754B6C"/>
    <w:rsid w:val="007609DE"/>
    <w:rsid w:val="00760D7B"/>
    <w:rsid w:val="00762176"/>
    <w:rsid w:val="00763F29"/>
    <w:rsid w:val="0076664B"/>
    <w:rsid w:val="00766D48"/>
    <w:rsid w:val="00773ADD"/>
    <w:rsid w:val="00774FA0"/>
    <w:rsid w:val="00777A11"/>
    <w:rsid w:val="00780026"/>
    <w:rsid w:val="0078013B"/>
    <w:rsid w:val="00780E9B"/>
    <w:rsid w:val="00784027"/>
    <w:rsid w:val="007848F3"/>
    <w:rsid w:val="00784C7B"/>
    <w:rsid w:val="007857B4"/>
    <w:rsid w:val="00785F9D"/>
    <w:rsid w:val="007864C1"/>
    <w:rsid w:val="00786718"/>
    <w:rsid w:val="00791CE4"/>
    <w:rsid w:val="00793063"/>
    <w:rsid w:val="00794312"/>
    <w:rsid w:val="0079518B"/>
    <w:rsid w:val="0079799C"/>
    <w:rsid w:val="00797D46"/>
    <w:rsid w:val="007A01CC"/>
    <w:rsid w:val="007A0524"/>
    <w:rsid w:val="007A2365"/>
    <w:rsid w:val="007A2597"/>
    <w:rsid w:val="007A25C9"/>
    <w:rsid w:val="007A2CC5"/>
    <w:rsid w:val="007A2D4A"/>
    <w:rsid w:val="007A32BB"/>
    <w:rsid w:val="007A4679"/>
    <w:rsid w:val="007A4C9D"/>
    <w:rsid w:val="007A5DFF"/>
    <w:rsid w:val="007B0D3A"/>
    <w:rsid w:val="007B149E"/>
    <w:rsid w:val="007B19B1"/>
    <w:rsid w:val="007B1D16"/>
    <w:rsid w:val="007B2DB4"/>
    <w:rsid w:val="007B3B56"/>
    <w:rsid w:val="007B403A"/>
    <w:rsid w:val="007B4213"/>
    <w:rsid w:val="007B4677"/>
    <w:rsid w:val="007B497F"/>
    <w:rsid w:val="007B4ED1"/>
    <w:rsid w:val="007B794B"/>
    <w:rsid w:val="007C0983"/>
    <w:rsid w:val="007C0DEC"/>
    <w:rsid w:val="007C1ECE"/>
    <w:rsid w:val="007C3820"/>
    <w:rsid w:val="007C4C18"/>
    <w:rsid w:val="007C56AF"/>
    <w:rsid w:val="007C574F"/>
    <w:rsid w:val="007D1A32"/>
    <w:rsid w:val="007D3D8C"/>
    <w:rsid w:val="007D3FA4"/>
    <w:rsid w:val="007D5153"/>
    <w:rsid w:val="007D620F"/>
    <w:rsid w:val="007E14BD"/>
    <w:rsid w:val="007E31EA"/>
    <w:rsid w:val="007E3B25"/>
    <w:rsid w:val="007E3B7D"/>
    <w:rsid w:val="007E5A22"/>
    <w:rsid w:val="007E75E3"/>
    <w:rsid w:val="007E7710"/>
    <w:rsid w:val="007F2008"/>
    <w:rsid w:val="007F22AC"/>
    <w:rsid w:val="007F29E1"/>
    <w:rsid w:val="007F42E3"/>
    <w:rsid w:val="007F4388"/>
    <w:rsid w:val="007F4788"/>
    <w:rsid w:val="007F4F7B"/>
    <w:rsid w:val="007F618A"/>
    <w:rsid w:val="00801104"/>
    <w:rsid w:val="00801432"/>
    <w:rsid w:val="00802290"/>
    <w:rsid w:val="00803305"/>
    <w:rsid w:val="0080375B"/>
    <w:rsid w:val="00803FCC"/>
    <w:rsid w:val="008041F5"/>
    <w:rsid w:val="00804F53"/>
    <w:rsid w:val="0081042F"/>
    <w:rsid w:val="008120AF"/>
    <w:rsid w:val="008125B6"/>
    <w:rsid w:val="00812625"/>
    <w:rsid w:val="00814DBF"/>
    <w:rsid w:val="00817759"/>
    <w:rsid w:val="00817C8F"/>
    <w:rsid w:val="00820982"/>
    <w:rsid w:val="008213C2"/>
    <w:rsid w:val="0082170D"/>
    <w:rsid w:val="0082187A"/>
    <w:rsid w:val="00822223"/>
    <w:rsid w:val="00822802"/>
    <w:rsid w:val="00825521"/>
    <w:rsid w:val="00831989"/>
    <w:rsid w:val="00831EBD"/>
    <w:rsid w:val="008325D0"/>
    <w:rsid w:val="00834D6E"/>
    <w:rsid w:val="00836BE4"/>
    <w:rsid w:val="008378B4"/>
    <w:rsid w:val="00840A1A"/>
    <w:rsid w:val="00840D02"/>
    <w:rsid w:val="00842196"/>
    <w:rsid w:val="008431E0"/>
    <w:rsid w:val="00843A16"/>
    <w:rsid w:val="00844665"/>
    <w:rsid w:val="00845E4B"/>
    <w:rsid w:val="00846735"/>
    <w:rsid w:val="00846837"/>
    <w:rsid w:val="00846E42"/>
    <w:rsid w:val="00850601"/>
    <w:rsid w:val="00850D4E"/>
    <w:rsid w:val="00851B6E"/>
    <w:rsid w:val="00852698"/>
    <w:rsid w:val="008527C1"/>
    <w:rsid w:val="00852948"/>
    <w:rsid w:val="00852EA8"/>
    <w:rsid w:val="00853065"/>
    <w:rsid w:val="00854598"/>
    <w:rsid w:val="00854EC7"/>
    <w:rsid w:val="0085515C"/>
    <w:rsid w:val="00856BDC"/>
    <w:rsid w:val="00857CBA"/>
    <w:rsid w:val="00861C4F"/>
    <w:rsid w:val="00862D0B"/>
    <w:rsid w:val="00862FFA"/>
    <w:rsid w:val="00863D30"/>
    <w:rsid w:val="008642DF"/>
    <w:rsid w:val="0086434F"/>
    <w:rsid w:val="00864FC3"/>
    <w:rsid w:val="00865AD8"/>
    <w:rsid w:val="00866CE0"/>
    <w:rsid w:val="008721CC"/>
    <w:rsid w:val="00872226"/>
    <w:rsid w:val="0087239F"/>
    <w:rsid w:val="00872695"/>
    <w:rsid w:val="00872B47"/>
    <w:rsid w:val="00873208"/>
    <w:rsid w:val="00874730"/>
    <w:rsid w:val="008751CE"/>
    <w:rsid w:val="00875F84"/>
    <w:rsid w:val="008773C3"/>
    <w:rsid w:val="00877623"/>
    <w:rsid w:val="008824EE"/>
    <w:rsid w:val="00882B7E"/>
    <w:rsid w:val="00882D96"/>
    <w:rsid w:val="00883EFA"/>
    <w:rsid w:val="00885A80"/>
    <w:rsid w:val="008867F6"/>
    <w:rsid w:val="00887818"/>
    <w:rsid w:val="00892C54"/>
    <w:rsid w:val="00893260"/>
    <w:rsid w:val="008952E6"/>
    <w:rsid w:val="0089533A"/>
    <w:rsid w:val="00896227"/>
    <w:rsid w:val="008A063A"/>
    <w:rsid w:val="008A0CAF"/>
    <w:rsid w:val="008A146D"/>
    <w:rsid w:val="008A37E3"/>
    <w:rsid w:val="008A5294"/>
    <w:rsid w:val="008A6398"/>
    <w:rsid w:val="008A73CB"/>
    <w:rsid w:val="008A79AF"/>
    <w:rsid w:val="008A7FE6"/>
    <w:rsid w:val="008B02D1"/>
    <w:rsid w:val="008B14A2"/>
    <w:rsid w:val="008B1A8D"/>
    <w:rsid w:val="008B1C28"/>
    <w:rsid w:val="008B31F8"/>
    <w:rsid w:val="008B7A52"/>
    <w:rsid w:val="008B7F12"/>
    <w:rsid w:val="008C00EC"/>
    <w:rsid w:val="008C0773"/>
    <w:rsid w:val="008C0CE5"/>
    <w:rsid w:val="008C1F78"/>
    <w:rsid w:val="008C435C"/>
    <w:rsid w:val="008C5ABC"/>
    <w:rsid w:val="008C5C88"/>
    <w:rsid w:val="008D095A"/>
    <w:rsid w:val="008D1FCD"/>
    <w:rsid w:val="008D2137"/>
    <w:rsid w:val="008D5CE0"/>
    <w:rsid w:val="008D75EB"/>
    <w:rsid w:val="008E0A3D"/>
    <w:rsid w:val="008E0A75"/>
    <w:rsid w:val="008E0EAF"/>
    <w:rsid w:val="008E1805"/>
    <w:rsid w:val="008E6453"/>
    <w:rsid w:val="008F5BCA"/>
    <w:rsid w:val="008F6A8E"/>
    <w:rsid w:val="009027ED"/>
    <w:rsid w:val="00903409"/>
    <w:rsid w:val="00903846"/>
    <w:rsid w:val="0090525F"/>
    <w:rsid w:val="00905390"/>
    <w:rsid w:val="009073BF"/>
    <w:rsid w:val="00911B9C"/>
    <w:rsid w:val="00915D0C"/>
    <w:rsid w:val="00917927"/>
    <w:rsid w:val="009201BE"/>
    <w:rsid w:val="00920B05"/>
    <w:rsid w:val="00921EEE"/>
    <w:rsid w:val="00924453"/>
    <w:rsid w:val="009254FA"/>
    <w:rsid w:val="00925BAC"/>
    <w:rsid w:val="00927A4E"/>
    <w:rsid w:val="00932EB4"/>
    <w:rsid w:val="009340B2"/>
    <w:rsid w:val="00934C7F"/>
    <w:rsid w:val="00935B59"/>
    <w:rsid w:val="009369AB"/>
    <w:rsid w:val="00936BC3"/>
    <w:rsid w:val="009374CE"/>
    <w:rsid w:val="00940371"/>
    <w:rsid w:val="00940671"/>
    <w:rsid w:val="0094076F"/>
    <w:rsid w:val="00940ECD"/>
    <w:rsid w:val="00941A6A"/>
    <w:rsid w:val="00941C25"/>
    <w:rsid w:val="00941E66"/>
    <w:rsid w:val="00942B42"/>
    <w:rsid w:val="009431EC"/>
    <w:rsid w:val="0094326B"/>
    <w:rsid w:val="0094365B"/>
    <w:rsid w:val="0094415E"/>
    <w:rsid w:val="0094416B"/>
    <w:rsid w:val="00946625"/>
    <w:rsid w:val="00951733"/>
    <w:rsid w:val="009519FC"/>
    <w:rsid w:val="00952317"/>
    <w:rsid w:val="00953A8D"/>
    <w:rsid w:val="009562FE"/>
    <w:rsid w:val="0095692A"/>
    <w:rsid w:val="00957D8E"/>
    <w:rsid w:val="0096040D"/>
    <w:rsid w:val="009606C6"/>
    <w:rsid w:val="00960AA9"/>
    <w:rsid w:val="00960D9D"/>
    <w:rsid w:val="00961811"/>
    <w:rsid w:val="009622C7"/>
    <w:rsid w:val="009663D4"/>
    <w:rsid w:val="00970F6A"/>
    <w:rsid w:val="009712C8"/>
    <w:rsid w:val="0097190C"/>
    <w:rsid w:val="009765DD"/>
    <w:rsid w:val="009775E7"/>
    <w:rsid w:val="0098097B"/>
    <w:rsid w:val="00981906"/>
    <w:rsid w:val="00982E10"/>
    <w:rsid w:val="00985129"/>
    <w:rsid w:val="00985BC6"/>
    <w:rsid w:val="00990CCF"/>
    <w:rsid w:val="0099123C"/>
    <w:rsid w:val="009918D7"/>
    <w:rsid w:val="009919C7"/>
    <w:rsid w:val="009932CC"/>
    <w:rsid w:val="0099432E"/>
    <w:rsid w:val="0099453D"/>
    <w:rsid w:val="009951C5"/>
    <w:rsid w:val="00996D23"/>
    <w:rsid w:val="00997A92"/>
    <w:rsid w:val="009A0A11"/>
    <w:rsid w:val="009A1504"/>
    <w:rsid w:val="009A1864"/>
    <w:rsid w:val="009A1C69"/>
    <w:rsid w:val="009A28D5"/>
    <w:rsid w:val="009A3393"/>
    <w:rsid w:val="009A43A3"/>
    <w:rsid w:val="009A5FEB"/>
    <w:rsid w:val="009A61B3"/>
    <w:rsid w:val="009A7A34"/>
    <w:rsid w:val="009B0288"/>
    <w:rsid w:val="009B077D"/>
    <w:rsid w:val="009B0FA0"/>
    <w:rsid w:val="009B5599"/>
    <w:rsid w:val="009B5BD8"/>
    <w:rsid w:val="009C0FD7"/>
    <w:rsid w:val="009C348C"/>
    <w:rsid w:val="009C3C8C"/>
    <w:rsid w:val="009C4B4C"/>
    <w:rsid w:val="009C4C54"/>
    <w:rsid w:val="009C4FD2"/>
    <w:rsid w:val="009C7161"/>
    <w:rsid w:val="009C76C1"/>
    <w:rsid w:val="009D05EC"/>
    <w:rsid w:val="009D11D6"/>
    <w:rsid w:val="009D3AF6"/>
    <w:rsid w:val="009D3F08"/>
    <w:rsid w:val="009D4019"/>
    <w:rsid w:val="009D5A21"/>
    <w:rsid w:val="009D628C"/>
    <w:rsid w:val="009D6D9A"/>
    <w:rsid w:val="009E11BA"/>
    <w:rsid w:val="009E141B"/>
    <w:rsid w:val="009E2D6C"/>
    <w:rsid w:val="009E660D"/>
    <w:rsid w:val="009F50D8"/>
    <w:rsid w:val="009F522F"/>
    <w:rsid w:val="009F7E80"/>
    <w:rsid w:val="00A03535"/>
    <w:rsid w:val="00A045A2"/>
    <w:rsid w:val="00A04B6D"/>
    <w:rsid w:val="00A05BB4"/>
    <w:rsid w:val="00A06DD7"/>
    <w:rsid w:val="00A11015"/>
    <w:rsid w:val="00A12BCC"/>
    <w:rsid w:val="00A13027"/>
    <w:rsid w:val="00A14318"/>
    <w:rsid w:val="00A14F4E"/>
    <w:rsid w:val="00A167FB"/>
    <w:rsid w:val="00A174F5"/>
    <w:rsid w:val="00A20E1D"/>
    <w:rsid w:val="00A241E3"/>
    <w:rsid w:val="00A3011F"/>
    <w:rsid w:val="00A32095"/>
    <w:rsid w:val="00A32C7A"/>
    <w:rsid w:val="00A32E70"/>
    <w:rsid w:val="00A33E33"/>
    <w:rsid w:val="00A34D08"/>
    <w:rsid w:val="00A43557"/>
    <w:rsid w:val="00A44D85"/>
    <w:rsid w:val="00A45025"/>
    <w:rsid w:val="00A45844"/>
    <w:rsid w:val="00A51077"/>
    <w:rsid w:val="00A51224"/>
    <w:rsid w:val="00A53A6B"/>
    <w:rsid w:val="00A5433B"/>
    <w:rsid w:val="00A54C60"/>
    <w:rsid w:val="00A54E1A"/>
    <w:rsid w:val="00A55441"/>
    <w:rsid w:val="00A56A48"/>
    <w:rsid w:val="00A56DEC"/>
    <w:rsid w:val="00A60B48"/>
    <w:rsid w:val="00A60DE4"/>
    <w:rsid w:val="00A612FF"/>
    <w:rsid w:val="00A614D0"/>
    <w:rsid w:val="00A62BFB"/>
    <w:rsid w:val="00A64468"/>
    <w:rsid w:val="00A6462A"/>
    <w:rsid w:val="00A65FDE"/>
    <w:rsid w:val="00A6602B"/>
    <w:rsid w:val="00A66E8A"/>
    <w:rsid w:val="00A71943"/>
    <w:rsid w:val="00A730EF"/>
    <w:rsid w:val="00A7361D"/>
    <w:rsid w:val="00A7456C"/>
    <w:rsid w:val="00A75588"/>
    <w:rsid w:val="00A772B5"/>
    <w:rsid w:val="00A778FF"/>
    <w:rsid w:val="00A77D5D"/>
    <w:rsid w:val="00A80635"/>
    <w:rsid w:val="00A82118"/>
    <w:rsid w:val="00A82EA9"/>
    <w:rsid w:val="00A87BD4"/>
    <w:rsid w:val="00A91E7F"/>
    <w:rsid w:val="00A95C14"/>
    <w:rsid w:val="00A95FAA"/>
    <w:rsid w:val="00A9666F"/>
    <w:rsid w:val="00A96ECD"/>
    <w:rsid w:val="00A97BA6"/>
    <w:rsid w:val="00A97C92"/>
    <w:rsid w:val="00AA0797"/>
    <w:rsid w:val="00AA2F4F"/>
    <w:rsid w:val="00AA4BFF"/>
    <w:rsid w:val="00AA6C71"/>
    <w:rsid w:val="00AB0069"/>
    <w:rsid w:val="00AB18A3"/>
    <w:rsid w:val="00AB1982"/>
    <w:rsid w:val="00AB24E1"/>
    <w:rsid w:val="00AB2AB3"/>
    <w:rsid w:val="00AB3D71"/>
    <w:rsid w:val="00AB6EAC"/>
    <w:rsid w:val="00AC07A4"/>
    <w:rsid w:val="00AC271E"/>
    <w:rsid w:val="00AC67A5"/>
    <w:rsid w:val="00AD0EF9"/>
    <w:rsid w:val="00AD1F3F"/>
    <w:rsid w:val="00AD2944"/>
    <w:rsid w:val="00AD35EF"/>
    <w:rsid w:val="00AD4A4D"/>
    <w:rsid w:val="00AD5773"/>
    <w:rsid w:val="00AD57B1"/>
    <w:rsid w:val="00AD612A"/>
    <w:rsid w:val="00AD664C"/>
    <w:rsid w:val="00AD7A2D"/>
    <w:rsid w:val="00AE2F42"/>
    <w:rsid w:val="00AE33A9"/>
    <w:rsid w:val="00AE4335"/>
    <w:rsid w:val="00AE4666"/>
    <w:rsid w:val="00AE5255"/>
    <w:rsid w:val="00AF0C56"/>
    <w:rsid w:val="00AF140A"/>
    <w:rsid w:val="00AF1D5A"/>
    <w:rsid w:val="00AF1F7E"/>
    <w:rsid w:val="00AF2CDB"/>
    <w:rsid w:val="00AF4251"/>
    <w:rsid w:val="00AF4AEB"/>
    <w:rsid w:val="00AF539D"/>
    <w:rsid w:val="00AF59B9"/>
    <w:rsid w:val="00AF5A5E"/>
    <w:rsid w:val="00AF7241"/>
    <w:rsid w:val="00AF76B8"/>
    <w:rsid w:val="00AF7DA3"/>
    <w:rsid w:val="00B001E4"/>
    <w:rsid w:val="00B0153A"/>
    <w:rsid w:val="00B0169A"/>
    <w:rsid w:val="00B0322C"/>
    <w:rsid w:val="00B03CE1"/>
    <w:rsid w:val="00B045F0"/>
    <w:rsid w:val="00B04889"/>
    <w:rsid w:val="00B04DC4"/>
    <w:rsid w:val="00B05CA8"/>
    <w:rsid w:val="00B06013"/>
    <w:rsid w:val="00B06CAC"/>
    <w:rsid w:val="00B07049"/>
    <w:rsid w:val="00B1380A"/>
    <w:rsid w:val="00B13902"/>
    <w:rsid w:val="00B13FA7"/>
    <w:rsid w:val="00B14244"/>
    <w:rsid w:val="00B1506B"/>
    <w:rsid w:val="00B238AA"/>
    <w:rsid w:val="00B24B2E"/>
    <w:rsid w:val="00B24DB2"/>
    <w:rsid w:val="00B251E2"/>
    <w:rsid w:val="00B25570"/>
    <w:rsid w:val="00B2579E"/>
    <w:rsid w:val="00B25DA5"/>
    <w:rsid w:val="00B25E7F"/>
    <w:rsid w:val="00B260DF"/>
    <w:rsid w:val="00B31660"/>
    <w:rsid w:val="00B3394C"/>
    <w:rsid w:val="00B33AC0"/>
    <w:rsid w:val="00B34081"/>
    <w:rsid w:val="00B35386"/>
    <w:rsid w:val="00B356C3"/>
    <w:rsid w:val="00B35BF4"/>
    <w:rsid w:val="00B362C6"/>
    <w:rsid w:val="00B37E3B"/>
    <w:rsid w:val="00B409A7"/>
    <w:rsid w:val="00B40BE8"/>
    <w:rsid w:val="00B41994"/>
    <w:rsid w:val="00B42655"/>
    <w:rsid w:val="00B44BDA"/>
    <w:rsid w:val="00B4503B"/>
    <w:rsid w:val="00B453F2"/>
    <w:rsid w:val="00B462E6"/>
    <w:rsid w:val="00B46EBD"/>
    <w:rsid w:val="00B51489"/>
    <w:rsid w:val="00B5163B"/>
    <w:rsid w:val="00B51651"/>
    <w:rsid w:val="00B525EE"/>
    <w:rsid w:val="00B55021"/>
    <w:rsid w:val="00B562C4"/>
    <w:rsid w:val="00B571D5"/>
    <w:rsid w:val="00B57273"/>
    <w:rsid w:val="00B6012E"/>
    <w:rsid w:val="00B6112C"/>
    <w:rsid w:val="00B61C6C"/>
    <w:rsid w:val="00B622E7"/>
    <w:rsid w:val="00B62C96"/>
    <w:rsid w:val="00B6380C"/>
    <w:rsid w:val="00B63F64"/>
    <w:rsid w:val="00B641A3"/>
    <w:rsid w:val="00B6545B"/>
    <w:rsid w:val="00B6556C"/>
    <w:rsid w:val="00B6734D"/>
    <w:rsid w:val="00B67AA9"/>
    <w:rsid w:val="00B72B76"/>
    <w:rsid w:val="00B72F4B"/>
    <w:rsid w:val="00B73DAC"/>
    <w:rsid w:val="00B744B2"/>
    <w:rsid w:val="00B7597A"/>
    <w:rsid w:val="00B75E8C"/>
    <w:rsid w:val="00B7603F"/>
    <w:rsid w:val="00B76E5E"/>
    <w:rsid w:val="00B77EF4"/>
    <w:rsid w:val="00B815E2"/>
    <w:rsid w:val="00B846D4"/>
    <w:rsid w:val="00B84A71"/>
    <w:rsid w:val="00B8544D"/>
    <w:rsid w:val="00B8557F"/>
    <w:rsid w:val="00B871A9"/>
    <w:rsid w:val="00B878CE"/>
    <w:rsid w:val="00B87B22"/>
    <w:rsid w:val="00B87F9C"/>
    <w:rsid w:val="00B906FF"/>
    <w:rsid w:val="00B9211C"/>
    <w:rsid w:val="00B92EEC"/>
    <w:rsid w:val="00B950A5"/>
    <w:rsid w:val="00B95C83"/>
    <w:rsid w:val="00B96656"/>
    <w:rsid w:val="00B97541"/>
    <w:rsid w:val="00BA120C"/>
    <w:rsid w:val="00BA16D4"/>
    <w:rsid w:val="00BA1CA0"/>
    <w:rsid w:val="00BA455A"/>
    <w:rsid w:val="00BA5528"/>
    <w:rsid w:val="00BA688E"/>
    <w:rsid w:val="00BA740A"/>
    <w:rsid w:val="00BA7B90"/>
    <w:rsid w:val="00BB0742"/>
    <w:rsid w:val="00BB1B0D"/>
    <w:rsid w:val="00BB6818"/>
    <w:rsid w:val="00BC013C"/>
    <w:rsid w:val="00BC0541"/>
    <w:rsid w:val="00BC0C96"/>
    <w:rsid w:val="00BC328D"/>
    <w:rsid w:val="00BC36DE"/>
    <w:rsid w:val="00BC395B"/>
    <w:rsid w:val="00BC3F67"/>
    <w:rsid w:val="00BC45BA"/>
    <w:rsid w:val="00BC5F4E"/>
    <w:rsid w:val="00BC5FDE"/>
    <w:rsid w:val="00BC7297"/>
    <w:rsid w:val="00BC72EA"/>
    <w:rsid w:val="00BD0240"/>
    <w:rsid w:val="00BD0822"/>
    <w:rsid w:val="00BD1E79"/>
    <w:rsid w:val="00BD2C19"/>
    <w:rsid w:val="00BD5E01"/>
    <w:rsid w:val="00BD799F"/>
    <w:rsid w:val="00BE0125"/>
    <w:rsid w:val="00BE0A98"/>
    <w:rsid w:val="00BE13D4"/>
    <w:rsid w:val="00BE1867"/>
    <w:rsid w:val="00BE5FB6"/>
    <w:rsid w:val="00BE79DB"/>
    <w:rsid w:val="00BF11D7"/>
    <w:rsid w:val="00BF467C"/>
    <w:rsid w:val="00BF59B0"/>
    <w:rsid w:val="00BF7D62"/>
    <w:rsid w:val="00C0130E"/>
    <w:rsid w:val="00C0272E"/>
    <w:rsid w:val="00C02B41"/>
    <w:rsid w:val="00C04D36"/>
    <w:rsid w:val="00C04DB4"/>
    <w:rsid w:val="00C05EB3"/>
    <w:rsid w:val="00C06FCE"/>
    <w:rsid w:val="00C07C03"/>
    <w:rsid w:val="00C10747"/>
    <w:rsid w:val="00C10EB5"/>
    <w:rsid w:val="00C12025"/>
    <w:rsid w:val="00C133C8"/>
    <w:rsid w:val="00C1447E"/>
    <w:rsid w:val="00C15F7E"/>
    <w:rsid w:val="00C21159"/>
    <w:rsid w:val="00C21650"/>
    <w:rsid w:val="00C25DDD"/>
    <w:rsid w:val="00C265C0"/>
    <w:rsid w:val="00C27482"/>
    <w:rsid w:val="00C276FF"/>
    <w:rsid w:val="00C27872"/>
    <w:rsid w:val="00C278CD"/>
    <w:rsid w:val="00C30595"/>
    <w:rsid w:val="00C30AAD"/>
    <w:rsid w:val="00C311B3"/>
    <w:rsid w:val="00C33D9D"/>
    <w:rsid w:val="00C35637"/>
    <w:rsid w:val="00C3576B"/>
    <w:rsid w:val="00C36AC4"/>
    <w:rsid w:val="00C418FA"/>
    <w:rsid w:val="00C44424"/>
    <w:rsid w:val="00C44FA7"/>
    <w:rsid w:val="00C472A4"/>
    <w:rsid w:val="00C537EB"/>
    <w:rsid w:val="00C61A21"/>
    <w:rsid w:val="00C62EDF"/>
    <w:rsid w:val="00C630B4"/>
    <w:rsid w:val="00C654F4"/>
    <w:rsid w:val="00C66654"/>
    <w:rsid w:val="00C706EC"/>
    <w:rsid w:val="00C7185F"/>
    <w:rsid w:val="00C71F95"/>
    <w:rsid w:val="00C72C64"/>
    <w:rsid w:val="00C73585"/>
    <w:rsid w:val="00C73C0D"/>
    <w:rsid w:val="00C7436B"/>
    <w:rsid w:val="00C7586A"/>
    <w:rsid w:val="00C76480"/>
    <w:rsid w:val="00C77547"/>
    <w:rsid w:val="00C778E6"/>
    <w:rsid w:val="00C81B64"/>
    <w:rsid w:val="00C81E07"/>
    <w:rsid w:val="00C8388D"/>
    <w:rsid w:val="00C839A9"/>
    <w:rsid w:val="00C83FB4"/>
    <w:rsid w:val="00C849C6"/>
    <w:rsid w:val="00C85D6A"/>
    <w:rsid w:val="00C874E9"/>
    <w:rsid w:val="00C87792"/>
    <w:rsid w:val="00C9040A"/>
    <w:rsid w:val="00C90AFC"/>
    <w:rsid w:val="00C94693"/>
    <w:rsid w:val="00C94898"/>
    <w:rsid w:val="00CA2D32"/>
    <w:rsid w:val="00CA3FE6"/>
    <w:rsid w:val="00CA6414"/>
    <w:rsid w:val="00CA70A4"/>
    <w:rsid w:val="00CA74DC"/>
    <w:rsid w:val="00CB2AB7"/>
    <w:rsid w:val="00CC0083"/>
    <w:rsid w:val="00CC27F3"/>
    <w:rsid w:val="00CC2DA1"/>
    <w:rsid w:val="00CC3194"/>
    <w:rsid w:val="00CC3562"/>
    <w:rsid w:val="00CC3EBD"/>
    <w:rsid w:val="00CC4D63"/>
    <w:rsid w:val="00CC5E5B"/>
    <w:rsid w:val="00CC61A5"/>
    <w:rsid w:val="00CC772A"/>
    <w:rsid w:val="00CC7E08"/>
    <w:rsid w:val="00CD14DB"/>
    <w:rsid w:val="00CD1D6E"/>
    <w:rsid w:val="00CD509D"/>
    <w:rsid w:val="00CD6D72"/>
    <w:rsid w:val="00CD7B93"/>
    <w:rsid w:val="00CE0348"/>
    <w:rsid w:val="00CE2E0F"/>
    <w:rsid w:val="00CE5FE4"/>
    <w:rsid w:val="00CE6283"/>
    <w:rsid w:val="00CE67AA"/>
    <w:rsid w:val="00CE6F33"/>
    <w:rsid w:val="00CE73B5"/>
    <w:rsid w:val="00CE791D"/>
    <w:rsid w:val="00CE79D7"/>
    <w:rsid w:val="00CE7CE3"/>
    <w:rsid w:val="00CF0AB8"/>
    <w:rsid w:val="00CF2071"/>
    <w:rsid w:val="00CF244E"/>
    <w:rsid w:val="00CF278D"/>
    <w:rsid w:val="00CF2FE9"/>
    <w:rsid w:val="00CF37C7"/>
    <w:rsid w:val="00CF3CF8"/>
    <w:rsid w:val="00CF3EC0"/>
    <w:rsid w:val="00CF474D"/>
    <w:rsid w:val="00CF5A64"/>
    <w:rsid w:val="00CF6622"/>
    <w:rsid w:val="00CF749A"/>
    <w:rsid w:val="00D0089A"/>
    <w:rsid w:val="00D014C7"/>
    <w:rsid w:val="00D01548"/>
    <w:rsid w:val="00D03639"/>
    <w:rsid w:val="00D04D5F"/>
    <w:rsid w:val="00D04DD6"/>
    <w:rsid w:val="00D04DFA"/>
    <w:rsid w:val="00D0597F"/>
    <w:rsid w:val="00D05F35"/>
    <w:rsid w:val="00D06393"/>
    <w:rsid w:val="00D06E5E"/>
    <w:rsid w:val="00D06F79"/>
    <w:rsid w:val="00D1051B"/>
    <w:rsid w:val="00D10597"/>
    <w:rsid w:val="00D120A3"/>
    <w:rsid w:val="00D13288"/>
    <w:rsid w:val="00D1382F"/>
    <w:rsid w:val="00D13AB7"/>
    <w:rsid w:val="00D13AF8"/>
    <w:rsid w:val="00D1584B"/>
    <w:rsid w:val="00D17593"/>
    <w:rsid w:val="00D20601"/>
    <w:rsid w:val="00D219E9"/>
    <w:rsid w:val="00D2205B"/>
    <w:rsid w:val="00D23418"/>
    <w:rsid w:val="00D23A1A"/>
    <w:rsid w:val="00D24606"/>
    <w:rsid w:val="00D24AF3"/>
    <w:rsid w:val="00D2620A"/>
    <w:rsid w:val="00D3056A"/>
    <w:rsid w:val="00D3064D"/>
    <w:rsid w:val="00D30AED"/>
    <w:rsid w:val="00D30F84"/>
    <w:rsid w:val="00D31091"/>
    <w:rsid w:val="00D33CFE"/>
    <w:rsid w:val="00D33DDE"/>
    <w:rsid w:val="00D34DA4"/>
    <w:rsid w:val="00D35C1D"/>
    <w:rsid w:val="00D36589"/>
    <w:rsid w:val="00D3752F"/>
    <w:rsid w:val="00D408B5"/>
    <w:rsid w:val="00D40DDE"/>
    <w:rsid w:val="00D421BA"/>
    <w:rsid w:val="00D42D78"/>
    <w:rsid w:val="00D43970"/>
    <w:rsid w:val="00D43CA5"/>
    <w:rsid w:val="00D44CA5"/>
    <w:rsid w:val="00D46E12"/>
    <w:rsid w:val="00D50734"/>
    <w:rsid w:val="00D507C0"/>
    <w:rsid w:val="00D513CC"/>
    <w:rsid w:val="00D5172A"/>
    <w:rsid w:val="00D56435"/>
    <w:rsid w:val="00D62755"/>
    <w:rsid w:val="00D62AA4"/>
    <w:rsid w:val="00D6318F"/>
    <w:rsid w:val="00D650BB"/>
    <w:rsid w:val="00D6540A"/>
    <w:rsid w:val="00D674AF"/>
    <w:rsid w:val="00D70107"/>
    <w:rsid w:val="00D70438"/>
    <w:rsid w:val="00D717AD"/>
    <w:rsid w:val="00D720AD"/>
    <w:rsid w:val="00D72D1D"/>
    <w:rsid w:val="00D74018"/>
    <w:rsid w:val="00D74A18"/>
    <w:rsid w:val="00D74D3E"/>
    <w:rsid w:val="00D757C6"/>
    <w:rsid w:val="00D75C41"/>
    <w:rsid w:val="00D80529"/>
    <w:rsid w:val="00D80F78"/>
    <w:rsid w:val="00D81AC3"/>
    <w:rsid w:val="00D81C59"/>
    <w:rsid w:val="00D82A5B"/>
    <w:rsid w:val="00D84637"/>
    <w:rsid w:val="00D8473B"/>
    <w:rsid w:val="00D85780"/>
    <w:rsid w:val="00D925AA"/>
    <w:rsid w:val="00D9283D"/>
    <w:rsid w:val="00D930DD"/>
    <w:rsid w:val="00D9341C"/>
    <w:rsid w:val="00D93583"/>
    <w:rsid w:val="00D94B7D"/>
    <w:rsid w:val="00DA0B1A"/>
    <w:rsid w:val="00DA1560"/>
    <w:rsid w:val="00DA3176"/>
    <w:rsid w:val="00DA4C44"/>
    <w:rsid w:val="00DA4C48"/>
    <w:rsid w:val="00DA4E21"/>
    <w:rsid w:val="00DA71EF"/>
    <w:rsid w:val="00DA7A18"/>
    <w:rsid w:val="00DB1298"/>
    <w:rsid w:val="00DB1347"/>
    <w:rsid w:val="00DB28CE"/>
    <w:rsid w:val="00DB29BC"/>
    <w:rsid w:val="00DB2A2A"/>
    <w:rsid w:val="00DB34F7"/>
    <w:rsid w:val="00DB479F"/>
    <w:rsid w:val="00DB55B6"/>
    <w:rsid w:val="00DB5EA7"/>
    <w:rsid w:val="00DB5F21"/>
    <w:rsid w:val="00DB6D7C"/>
    <w:rsid w:val="00DB7183"/>
    <w:rsid w:val="00DC090A"/>
    <w:rsid w:val="00DC0E7E"/>
    <w:rsid w:val="00DC2D72"/>
    <w:rsid w:val="00DC30EA"/>
    <w:rsid w:val="00DC4A79"/>
    <w:rsid w:val="00DC4FE9"/>
    <w:rsid w:val="00DC5918"/>
    <w:rsid w:val="00DC6C8D"/>
    <w:rsid w:val="00DC73A5"/>
    <w:rsid w:val="00DD0236"/>
    <w:rsid w:val="00DD4100"/>
    <w:rsid w:val="00DD76A4"/>
    <w:rsid w:val="00DD7C65"/>
    <w:rsid w:val="00DE03E4"/>
    <w:rsid w:val="00DE1134"/>
    <w:rsid w:val="00DE1AEB"/>
    <w:rsid w:val="00DE2247"/>
    <w:rsid w:val="00DE2A34"/>
    <w:rsid w:val="00DE37AE"/>
    <w:rsid w:val="00DE4732"/>
    <w:rsid w:val="00DE6668"/>
    <w:rsid w:val="00DE6987"/>
    <w:rsid w:val="00DE7339"/>
    <w:rsid w:val="00DF1246"/>
    <w:rsid w:val="00DF30C0"/>
    <w:rsid w:val="00E0080A"/>
    <w:rsid w:val="00E00F31"/>
    <w:rsid w:val="00E02242"/>
    <w:rsid w:val="00E02AF8"/>
    <w:rsid w:val="00E0300E"/>
    <w:rsid w:val="00E04AE0"/>
    <w:rsid w:val="00E070D0"/>
    <w:rsid w:val="00E11517"/>
    <w:rsid w:val="00E12834"/>
    <w:rsid w:val="00E13727"/>
    <w:rsid w:val="00E15630"/>
    <w:rsid w:val="00E15D89"/>
    <w:rsid w:val="00E17AB3"/>
    <w:rsid w:val="00E20254"/>
    <w:rsid w:val="00E209F0"/>
    <w:rsid w:val="00E219EB"/>
    <w:rsid w:val="00E22C13"/>
    <w:rsid w:val="00E23129"/>
    <w:rsid w:val="00E25045"/>
    <w:rsid w:val="00E2677C"/>
    <w:rsid w:val="00E26D83"/>
    <w:rsid w:val="00E271CD"/>
    <w:rsid w:val="00E27A1E"/>
    <w:rsid w:val="00E306E9"/>
    <w:rsid w:val="00E307DC"/>
    <w:rsid w:val="00E323CF"/>
    <w:rsid w:val="00E334B9"/>
    <w:rsid w:val="00E33905"/>
    <w:rsid w:val="00E342D1"/>
    <w:rsid w:val="00E34B96"/>
    <w:rsid w:val="00E35F7D"/>
    <w:rsid w:val="00E37502"/>
    <w:rsid w:val="00E40127"/>
    <w:rsid w:val="00E43074"/>
    <w:rsid w:val="00E431C8"/>
    <w:rsid w:val="00E44926"/>
    <w:rsid w:val="00E44E09"/>
    <w:rsid w:val="00E45D53"/>
    <w:rsid w:val="00E46DBD"/>
    <w:rsid w:val="00E51708"/>
    <w:rsid w:val="00E51729"/>
    <w:rsid w:val="00E51D0A"/>
    <w:rsid w:val="00E51EEC"/>
    <w:rsid w:val="00E53139"/>
    <w:rsid w:val="00E53A8F"/>
    <w:rsid w:val="00E5435E"/>
    <w:rsid w:val="00E55A81"/>
    <w:rsid w:val="00E56450"/>
    <w:rsid w:val="00E56DA8"/>
    <w:rsid w:val="00E60ACC"/>
    <w:rsid w:val="00E60C4B"/>
    <w:rsid w:val="00E60E21"/>
    <w:rsid w:val="00E64E8B"/>
    <w:rsid w:val="00E6570E"/>
    <w:rsid w:val="00E66638"/>
    <w:rsid w:val="00E6706E"/>
    <w:rsid w:val="00E7211D"/>
    <w:rsid w:val="00E754C2"/>
    <w:rsid w:val="00E757CA"/>
    <w:rsid w:val="00E75D48"/>
    <w:rsid w:val="00E76750"/>
    <w:rsid w:val="00E773CD"/>
    <w:rsid w:val="00E774C9"/>
    <w:rsid w:val="00E77D0C"/>
    <w:rsid w:val="00E80964"/>
    <w:rsid w:val="00E83D43"/>
    <w:rsid w:val="00E84159"/>
    <w:rsid w:val="00E841A6"/>
    <w:rsid w:val="00E84BCB"/>
    <w:rsid w:val="00E85227"/>
    <w:rsid w:val="00E85905"/>
    <w:rsid w:val="00E85D20"/>
    <w:rsid w:val="00E87C0D"/>
    <w:rsid w:val="00E90DC4"/>
    <w:rsid w:val="00E9163F"/>
    <w:rsid w:val="00E91CB7"/>
    <w:rsid w:val="00E9239B"/>
    <w:rsid w:val="00E955B0"/>
    <w:rsid w:val="00E956E8"/>
    <w:rsid w:val="00EA022D"/>
    <w:rsid w:val="00EA0D10"/>
    <w:rsid w:val="00EA0F2C"/>
    <w:rsid w:val="00EA134D"/>
    <w:rsid w:val="00EA19CB"/>
    <w:rsid w:val="00EA2C8F"/>
    <w:rsid w:val="00EA5045"/>
    <w:rsid w:val="00EA5D64"/>
    <w:rsid w:val="00EA613A"/>
    <w:rsid w:val="00EA6A8C"/>
    <w:rsid w:val="00EB2AD1"/>
    <w:rsid w:val="00EB2F9F"/>
    <w:rsid w:val="00EB3067"/>
    <w:rsid w:val="00EB353E"/>
    <w:rsid w:val="00EB3AA1"/>
    <w:rsid w:val="00EB56E0"/>
    <w:rsid w:val="00EB5DDF"/>
    <w:rsid w:val="00EB6E66"/>
    <w:rsid w:val="00EC0129"/>
    <w:rsid w:val="00EC0F9C"/>
    <w:rsid w:val="00EC26AA"/>
    <w:rsid w:val="00EC3CEC"/>
    <w:rsid w:val="00EC4625"/>
    <w:rsid w:val="00ED139E"/>
    <w:rsid w:val="00ED1759"/>
    <w:rsid w:val="00ED27A5"/>
    <w:rsid w:val="00ED3ECB"/>
    <w:rsid w:val="00ED445D"/>
    <w:rsid w:val="00ED461C"/>
    <w:rsid w:val="00ED5A14"/>
    <w:rsid w:val="00ED5E2B"/>
    <w:rsid w:val="00ED698D"/>
    <w:rsid w:val="00EE01C2"/>
    <w:rsid w:val="00EE2FEA"/>
    <w:rsid w:val="00EE37A2"/>
    <w:rsid w:val="00EE3B12"/>
    <w:rsid w:val="00EE5AF3"/>
    <w:rsid w:val="00EE5E91"/>
    <w:rsid w:val="00EE5F8C"/>
    <w:rsid w:val="00EE73BC"/>
    <w:rsid w:val="00EE7AC8"/>
    <w:rsid w:val="00EF00AA"/>
    <w:rsid w:val="00EF3996"/>
    <w:rsid w:val="00EF5F95"/>
    <w:rsid w:val="00EF7F59"/>
    <w:rsid w:val="00F0026A"/>
    <w:rsid w:val="00F021E7"/>
    <w:rsid w:val="00F026C1"/>
    <w:rsid w:val="00F039D1"/>
    <w:rsid w:val="00F05BEC"/>
    <w:rsid w:val="00F05D0F"/>
    <w:rsid w:val="00F05DB4"/>
    <w:rsid w:val="00F07EE7"/>
    <w:rsid w:val="00F13358"/>
    <w:rsid w:val="00F137AB"/>
    <w:rsid w:val="00F1456D"/>
    <w:rsid w:val="00F14DA0"/>
    <w:rsid w:val="00F15387"/>
    <w:rsid w:val="00F15D8B"/>
    <w:rsid w:val="00F15F46"/>
    <w:rsid w:val="00F17D58"/>
    <w:rsid w:val="00F228F5"/>
    <w:rsid w:val="00F23FD4"/>
    <w:rsid w:val="00F24143"/>
    <w:rsid w:val="00F241BE"/>
    <w:rsid w:val="00F24962"/>
    <w:rsid w:val="00F25038"/>
    <w:rsid w:val="00F263D9"/>
    <w:rsid w:val="00F2735C"/>
    <w:rsid w:val="00F3124A"/>
    <w:rsid w:val="00F31D41"/>
    <w:rsid w:val="00F34539"/>
    <w:rsid w:val="00F35005"/>
    <w:rsid w:val="00F359FB"/>
    <w:rsid w:val="00F364CB"/>
    <w:rsid w:val="00F36E13"/>
    <w:rsid w:val="00F37601"/>
    <w:rsid w:val="00F4058E"/>
    <w:rsid w:val="00F4220F"/>
    <w:rsid w:val="00F423B8"/>
    <w:rsid w:val="00F43F58"/>
    <w:rsid w:val="00F45507"/>
    <w:rsid w:val="00F46014"/>
    <w:rsid w:val="00F47670"/>
    <w:rsid w:val="00F51371"/>
    <w:rsid w:val="00F51AF6"/>
    <w:rsid w:val="00F5341B"/>
    <w:rsid w:val="00F551E9"/>
    <w:rsid w:val="00F55A95"/>
    <w:rsid w:val="00F55E98"/>
    <w:rsid w:val="00F56113"/>
    <w:rsid w:val="00F5640F"/>
    <w:rsid w:val="00F56735"/>
    <w:rsid w:val="00F56B3A"/>
    <w:rsid w:val="00F60F94"/>
    <w:rsid w:val="00F61408"/>
    <w:rsid w:val="00F615F9"/>
    <w:rsid w:val="00F62055"/>
    <w:rsid w:val="00F620BE"/>
    <w:rsid w:val="00F64DC5"/>
    <w:rsid w:val="00F73938"/>
    <w:rsid w:val="00F73E87"/>
    <w:rsid w:val="00F74224"/>
    <w:rsid w:val="00F747A9"/>
    <w:rsid w:val="00F76696"/>
    <w:rsid w:val="00F77295"/>
    <w:rsid w:val="00F77A84"/>
    <w:rsid w:val="00F80438"/>
    <w:rsid w:val="00F81C5D"/>
    <w:rsid w:val="00F84CBB"/>
    <w:rsid w:val="00F87905"/>
    <w:rsid w:val="00F91A0D"/>
    <w:rsid w:val="00F9229E"/>
    <w:rsid w:val="00F92724"/>
    <w:rsid w:val="00F92A12"/>
    <w:rsid w:val="00F942E2"/>
    <w:rsid w:val="00F9523B"/>
    <w:rsid w:val="00F9546E"/>
    <w:rsid w:val="00F9560B"/>
    <w:rsid w:val="00F95755"/>
    <w:rsid w:val="00F96E67"/>
    <w:rsid w:val="00F96E92"/>
    <w:rsid w:val="00FA0700"/>
    <w:rsid w:val="00FA13CB"/>
    <w:rsid w:val="00FA2BE9"/>
    <w:rsid w:val="00FA31AE"/>
    <w:rsid w:val="00FA4FCD"/>
    <w:rsid w:val="00FB1DA4"/>
    <w:rsid w:val="00FB2973"/>
    <w:rsid w:val="00FB42CF"/>
    <w:rsid w:val="00FB511E"/>
    <w:rsid w:val="00FB6A3F"/>
    <w:rsid w:val="00FB7B5E"/>
    <w:rsid w:val="00FC07DD"/>
    <w:rsid w:val="00FC2B86"/>
    <w:rsid w:val="00FC47D7"/>
    <w:rsid w:val="00FC48B5"/>
    <w:rsid w:val="00FC4CA2"/>
    <w:rsid w:val="00FC6FF3"/>
    <w:rsid w:val="00FC7629"/>
    <w:rsid w:val="00FC7B2A"/>
    <w:rsid w:val="00FD3D67"/>
    <w:rsid w:val="00FD4F56"/>
    <w:rsid w:val="00FD536A"/>
    <w:rsid w:val="00FD72B3"/>
    <w:rsid w:val="00FD74FF"/>
    <w:rsid w:val="00FE3CEC"/>
    <w:rsid w:val="00FE4145"/>
    <w:rsid w:val="00FE5F2D"/>
    <w:rsid w:val="00FE607C"/>
    <w:rsid w:val="00FE6A1F"/>
    <w:rsid w:val="00FE743E"/>
    <w:rsid w:val="00FF04FB"/>
    <w:rsid w:val="00FF0810"/>
    <w:rsid w:val="00FF11E6"/>
    <w:rsid w:val="00FF32F3"/>
    <w:rsid w:val="00FF55D8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f90,#ddcf56,#ad495d,#ab9c8f,#b5d3d2,#7e6d5f,#f26631,#54534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BFE"/>
    <w:rPr>
      <w:szCs w:val="24"/>
      <w:lang w:val="en-AU" w:eastAsia="en-AU"/>
    </w:rPr>
  </w:style>
  <w:style w:type="paragraph" w:styleId="Heading1">
    <w:name w:val="heading 1"/>
    <w:basedOn w:val="BodyText"/>
    <w:next w:val="BodyText"/>
    <w:link w:val="Heading1Char"/>
    <w:qFormat/>
    <w:rsid w:val="00BC36DE"/>
    <w:pPr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A66E8A"/>
    <w:pPr>
      <w:numPr>
        <w:ilvl w:val="1"/>
        <w:numId w:val="7"/>
      </w:numPr>
      <w:spacing w:before="380" w:after="0"/>
      <w:outlineLvl w:val="1"/>
    </w:pPr>
    <w:rPr>
      <w:rFonts w:ascii="Franklin Gothic Medium" w:hAnsi="Franklin Gothic Medium"/>
      <w:color w:val="5A9A98"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A66E8A"/>
    <w:pPr>
      <w:numPr>
        <w:ilvl w:val="0"/>
        <w:numId w:val="0"/>
      </w:numPr>
      <w:spacing w:before="300" w:line="260" w:lineRule="atLeast"/>
      <w:outlineLvl w:val="2"/>
    </w:pPr>
    <w:rPr>
      <w:color w:val="54534A"/>
      <w:sz w:val="22"/>
      <w:szCs w:val="22"/>
      <w:lang w:val="x-none"/>
    </w:rPr>
  </w:style>
  <w:style w:type="paragraph" w:styleId="Heading4">
    <w:name w:val="heading 4"/>
    <w:basedOn w:val="BodyText"/>
    <w:next w:val="BodyText"/>
    <w:qFormat/>
    <w:rsid w:val="00222F3B"/>
    <w:pPr>
      <w:numPr>
        <w:ilvl w:val="3"/>
        <w:numId w:val="7"/>
      </w:numPr>
      <w:spacing w:before="320" w:after="0"/>
      <w:outlineLvl w:val="3"/>
    </w:pPr>
    <w:rPr>
      <w:b/>
      <w:color w:val="54534A"/>
      <w:sz w:val="22"/>
      <w:szCs w:val="22"/>
    </w:rPr>
  </w:style>
  <w:style w:type="paragraph" w:styleId="Heading5">
    <w:name w:val="heading 5"/>
    <w:basedOn w:val="BodyText"/>
    <w:next w:val="BodyText"/>
    <w:qFormat/>
    <w:rsid w:val="00B525EE"/>
    <w:pPr>
      <w:keepNext/>
      <w:numPr>
        <w:ilvl w:val="4"/>
        <w:numId w:val="7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B525EE"/>
    <w:pPr>
      <w:numPr>
        <w:ilvl w:val="5"/>
        <w:numId w:val="7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B525EE"/>
    <w:pPr>
      <w:numPr>
        <w:ilvl w:val="6"/>
      </w:numPr>
      <w:outlineLvl w:val="6"/>
    </w:pPr>
    <w:rPr>
      <w:rFonts w:ascii="Franklin Gothic Demi" w:hAnsi="Franklin Gothic Demi"/>
      <w:sz w:val="28"/>
      <w:szCs w:val="28"/>
    </w:rPr>
  </w:style>
  <w:style w:type="paragraph" w:styleId="Heading8">
    <w:name w:val="heading 8"/>
    <w:basedOn w:val="Heading3"/>
    <w:next w:val="BodyText"/>
    <w:qFormat/>
    <w:rsid w:val="00B525EE"/>
    <w:pPr>
      <w:numPr>
        <w:ilvl w:val="7"/>
        <w:numId w:val="7"/>
      </w:numPr>
      <w:outlineLvl w:val="7"/>
    </w:pPr>
  </w:style>
  <w:style w:type="paragraph" w:styleId="Heading9">
    <w:name w:val="heading 9"/>
    <w:basedOn w:val="Heading4"/>
    <w:next w:val="BodyText"/>
    <w:qFormat/>
    <w:rsid w:val="00B525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356A"/>
    <w:pPr>
      <w:spacing w:before="80" w:after="80" w:line="280" w:lineRule="atLeast"/>
    </w:pPr>
    <w:rPr>
      <w:rFonts w:ascii="Georgia" w:hAnsi="Georgia"/>
      <w:sz w:val="19"/>
      <w:szCs w:val="19"/>
    </w:rPr>
  </w:style>
  <w:style w:type="character" w:customStyle="1" w:styleId="BodyTextChar">
    <w:name w:val="Body Text Char"/>
    <w:link w:val="BodyText"/>
    <w:rsid w:val="0001356A"/>
    <w:rPr>
      <w:rFonts w:ascii="Georgia" w:hAnsi="Georgia"/>
      <w:sz w:val="19"/>
      <w:szCs w:val="19"/>
      <w:lang w:val="en-AU" w:eastAsia="en-AU" w:bidi="ar-SA"/>
    </w:rPr>
  </w:style>
  <w:style w:type="character" w:customStyle="1" w:styleId="DraftingNote">
    <w:name w:val="Drafting Note"/>
    <w:semiHidden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QuoteBullet">
    <w:name w:val="Quote Bullet"/>
    <w:basedOn w:val="Quote"/>
    <w:rsid w:val="008B14A2"/>
    <w:pPr>
      <w:numPr>
        <w:numId w:val="17"/>
      </w:numPr>
    </w:pPr>
  </w:style>
  <w:style w:type="paragraph" w:customStyle="1" w:styleId="Abbreviation">
    <w:name w:val="Abbreviation"/>
    <w:basedOn w:val="BodyText"/>
    <w:rsid w:val="00942B42"/>
    <w:pPr>
      <w:ind w:left="1418" w:hanging="1418"/>
    </w:pPr>
  </w:style>
  <w:style w:type="paragraph" w:customStyle="1" w:styleId="Ratingamber">
    <w:name w:val="Rating amber"/>
    <w:basedOn w:val="Normal"/>
    <w:semiHidden/>
    <w:rsid w:val="001C6E03"/>
    <w:pPr>
      <w:numPr>
        <w:numId w:val="10"/>
      </w:numPr>
      <w:spacing w:before="80" w:after="80" w:line="280" w:lineRule="atLeast"/>
    </w:pPr>
    <w:rPr>
      <w:rFonts w:ascii="Georgia" w:hAnsi="Georgia"/>
      <w:sz w:val="19"/>
      <w:szCs w:val="19"/>
    </w:rPr>
  </w:style>
  <w:style w:type="paragraph" w:styleId="ListBullet">
    <w:name w:val="List Bullet"/>
    <w:basedOn w:val="BodyText"/>
    <w:rsid w:val="002C5AF0"/>
    <w:pPr>
      <w:numPr>
        <w:numId w:val="15"/>
      </w:numPr>
    </w:pPr>
  </w:style>
  <w:style w:type="paragraph" w:styleId="ListBullet2">
    <w:name w:val="List Bullet 2"/>
    <w:basedOn w:val="ListBullet"/>
    <w:rsid w:val="00D42D78"/>
    <w:pPr>
      <w:numPr>
        <w:numId w:val="12"/>
      </w:numPr>
      <w:spacing w:before="0"/>
      <w:ind w:left="568" w:hanging="284"/>
    </w:pPr>
  </w:style>
  <w:style w:type="paragraph" w:styleId="ListNumber">
    <w:name w:val="List Number"/>
    <w:basedOn w:val="ListBullet"/>
    <w:rsid w:val="00D42D78"/>
    <w:pPr>
      <w:numPr>
        <w:numId w:val="13"/>
      </w:numPr>
    </w:pPr>
  </w:style>
  <w:style w:type="paragraph" w:styleId="ListNumber2">
    <w:name w:val="List Number 2"/>
    <w:basedOn w:val="ListNumber"/>
    <w:rsid w:val="00D42D78"/>
    <w:pPr>
      <w:numPr>
        <w:numId w:val="14"/>
      </w:numPr>
      <w:spacing w:before="0"/>
      <w:ind w:left="568" w:hanging="284"/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paragraph" w:customStyle="1" w:styleId="Ratinggreen">
    <w:name w:val="Rating green"/>
    <w:basedOn w:val="Ratingamber"/>
    <w:semiHidden/>
    <w:rsid w:val="001C6E03"/>
    <w:pPr>
      <w:numPr>
        <w:numId w:val="11"/>
      </w:numPr>
    </w:pPr>
  </w:style>
  <w:style w:type="paragraph" w:customStyle="1" w:styleId="Reference">
    <w:name w:val="Reference"/>
    <w:basedOn w:val="BodyText"/>
    <w:semiHidden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E77D0C"/>
    <w:pPr>
      <w:pageBreakBefore/>
      <w:spacing w:line="540" w:lineRule="atLeast"/>
    </w:pPr>
    <w:rPr>
      <w:rFonts w:ascii="Franklin Gothic Book" w:hAnsi="Franklin Gothic Book"/>
      <w:color w:val="FFFFFF"/>
      <w:spacing w:val="-10"/>
      <w:kern w:val="28"/>
      <w:sz w:val="46"/>
      <w:szCs w:val="46"/>
    </w:rPr>
  </w:style>
  <w:style w:type="paragraph" w:styleId="Subtitle">
    <w:name w:val="Subtitle"/>
    <w:basedOn w:val="Title"/>
    <w:next w:val="Date"/>
    <w:link w:val="SubtitleChar"/>
    <w:qFormat/>
    <w:rsid w:val="005B522F"/>
    <w:pPr>
      <w:pageBreakBefore w:val="0"/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DE7339"/>
    <w:pPr>
      <w:spacing w:before="460" w:after="100" w:line="320" w:lineRule="atLeast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Date">
    <w:name w:val="Date"/>
    <w:basedOn w:val="Subtitle"/>
    <w:next w:val="Author"/>
    <w:link w:val="DateChar"/>
    <w:semiHidden/>
    <w:rsid w:val="00A53A6B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semiHidden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uiPriority w:val="39"/>
    <w:rsid w:val="00DE7339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Franklin Gothic Medium" w:hAnsi="Franklin Gothic Medium"/>
      <w:color w:val="54534A"/>
      <w:sz w:val="24"/>
      <w:szCs w:val="24"/>
    </w:rPr>
  </w:style>
  <w:style w:type="paragraph" w:styleId="TOC2">
    <w:name w:val="toc 2"/>
    <w:basedOn w:val="TOC1"/>
    <w:next w:val="TOC1"/>
    <w:uiPriority w:val="39"/>
    <w:rsid w:val="00DE7339"/>
    <w:pPr>
      <w:spacing w:before="120" w:line="200" w:lineRule="atLeast"/>
      <w:ind w:left="0" w:firstLine="0"/>
    </w:pPr>
    <w:rPr>
      <w:rFonts w:ascii="Franklin Gothic Book" w:hAnsi="Franklin Gothic Book"/>
      <w:color w:val="5A9A98"/>
      <w:sz w:val="21"/>
      <w:szCs w:val="21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227783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5"/>
      </w:numPr>
      <w:spacing w:before="0"/>
    </w:pPr>
    <w:rPr>
      <w:szCs w:val="20"/>
    </w:rPr>
  </w:style>
  <w:style w:type="character" w:customStyle="1" w:styleId="NoteLabel">
    <w:name w:val="Note Label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8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uiPriority w:val="39"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  <w:sz w:val="19"/>
      <w:szCs w:val="19"/>
    </w:rPr>
  </w:style>
  <w:style w:type="paragraph" w:customStyle="1" w:styleId="Continued">
    <w:name w:val="Continued"/>
    <w:basedOn w:val="Source"/>
    <w:next w:val="BodyText"/>
    <w:semiHidden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semiHidden/>
    <w:rsid w:val="008527C1"/>
    <w:pPr>
      <w:spacing w:line="240" w:lineRule="atLeast"/>
    </w:pPr>
    <w:rPr>
      <w:rFonts w:ascii="Calibri" w:hAnsi="Calibri"/>
      <w:sz w:val="18"/>
      <w:szCs w:val="18"/>
    </w:rPr>
  </w:style>
  <w:style w:type="character" w:styleId="FootnoteReference">
    <w:name w:val="footnote reference"/>
    <w:semiHidden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semiHidden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uiPriority w:val="99"/>
    <w:rsid w:val="00254E43"/>
    <w:rPr>
      <w:color w:val="00467F"/>
      <w:sz w:val="20"/>
      <w:szCs w:val="20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spacing w:val="-2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9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2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semiHidden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EE7AC8"/>
    <w:pPr>
      <w:numPr>
        <w:numId w:val="16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4"/>
      </w:numPr>
    </w:pPr>
    <w:rPr>
      <w:szCs w:val="18"/>
    </w:rPr>
  </w:style>
  <w:style w:type="paragraph" w:customStyle="1" w:styleId="BoxText">
    <w:name w:val="Box Text"/>
    <w:basedOn w:val="Normal"/>
    <w:link w:val="BoxTextChar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6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3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link w:val="TableListBullet2"/>
    <w:rsid w:val="00C05EB3"/>
    <w:rPr>
      <w:rFonts w:ascii="Franklin Gothic Book" w:hAnsi="Franklin Gothic Book"/>
      <w:sz w:val="17"/>
      <w:szCs w:val="17"/>
      <w:lang w:val="en-AU" w:eastAsia="en-US" w:bidi="ar-SA"/>
    </w:rPr>
  </w:style>
  <w:style w:type="character" w:customStyle="1" w:styleId="NoteCharChar">
    <w:name w:val="Note Char Char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link w:val="NoteNumber"/>
    <w:rsid w:val="00EE7AC8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TitleChar">
    <w:name w:val="Title Char"/>
    <w:link w:val="Title"/>
    <w:rsid w:val="00E77D0C"/>
    <w:rPr>
      <w:rFonts w:ascii="Franklin Gothic Book" w:hAnsi="Franklin Gothic Book"/>
      <w:color w:val="FFFFFF"/>
      <w:spacing w:val="-10"/>
      <w:kern w:val="28"/>
      <w:sz w:val="46"/>
      <w:szCs w:val="46"/>
      <w:lang w:val="en-AU" w:eastAsia="en-AU" w:bidi="ar-SA"/>
    </w:rPr>
  </w:style>
  <w:style w:type="character" w:customStyle="1" w:styleId="SubtitleChar">
    <w:name w:val="Subtitle Char"/>
    <w:link w:val="Subtitle"/>
    <w:rsid w:val="005B522F"/>
    <w:rPr>
      <w:rFonts w:ascii="Franklin Gothic Book" w:hAnsi="Franklin Gothic Book"/>
      <w:color w:val="FFFFFF"/>
      <w:spacing w:val="-10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link w:val="Date"/>
    <w:rsid w:val="00A53A6B"/>
    <w:rPr>
      <w:rFonts w:ascii="Franklin Gothic Book" w:hAnsi="Franklin Gothic Book"/>
      <w:color w:val="FFFFFF"/>
      <w:spacing w:val="-10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link w:val="Author"/>
    <w:rsid w:val="0075426C"/>
    <w:rPr>
      <w:rFonts w:ascii="Franklin Gothic Medium" w:hAnsi="Franklin Gothic Medium"/>
      <w:color w:val="FFFFFF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link w:val="Position"/>
    <w:rsid w:val="0075426C"/>
    <w:rPr>
      <w:rFonts w:ascii="Franklin Gothic Book" w:hAnsi="Franklin Gothic Book"/>
      <w:color w:val="FFFFFF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semiHidden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CharChar0">
    <w:name w:val="Char Char"/>
    <w:basedOn w:val="Normal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semiHidden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red">
    <w:name w:val="Rating red"/>
    <w:basedOn w:val="ListBullet"/>
    <w:semiHidden/>
    <w:rsid w:val="001C6E03"/>
  </w:style>
  <w:style w:type="paragraph" w:customStyle="1" w:styleId="Ratingbullet">
    <w:name w:val="Rating bullet"/>
    <w:basedOn w:val="TableTextEntries"/>
    <w:semiHidden/>
    <w:rsid w:val="001C6E03"/>
    <w:pPr>
      <w:jc w:val="center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911B9C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911B9C"/>
    <w:rPr>
      <w:rFonts w:ascii="Tahoma" w:hAnsi="Tahoma" w:cs="Tahoma"/>
      <w:sz w:val="16"/>
      <w:szCs w:val="16"/>
    </w:rPr>
  </w:style>
  <w:style w:type="paragraph" w:customStyle="1" w:styleId="Rating">
    <w:name w:val="Rating"/>
    <w:basedOn w:val="BodyText"/>
    <w:next w:val="BodyText"/>
    <w:semiHidden/>
    <w:rsid w:val="00230BD1"/>
    <w:pPr>
      <w:tabs>
        <w:tab w:val="left" w:pos="567"/>
      </w:tabs>
    </w:pPr>
  </w:style>
  <w:style w:type="paragraph" w:customStyle="1" w:styleId="GuidanceText">
    <w:name w:val="Guidance Text"/>
    <w:basedOn w:val="BodyText"/>
    <w:semiHidden/>
    <w:rsid w:val="001B11EB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character" w:customStyle="1" w:styleId="CharChar4">
    <w:name w:val="Char Char4"/>
    <w:rsid w:val="0035177E"/>
    <w:rPr>
      <w:rFonts w:ascii="Georgia" w:hAnsi="Georgia"/>
      <w:sz w:val="19"/>
      <w:szCs w:val="19"/>
      <w:lang w:val="en-AU" w:eastAsia="en-AU" w:bidi="ar-SA"/>
    </w:rPr>
  </w:style>
  <w:style w:type="character" w:customStyle="1" w:styleId="BoxTextChar">
    <w:name w:val="Box Text Char"/>
    <w:link w:val="BoxText"/>
    <w:rsid w:val="00CA6414"/>
    <w:rPr>
      <w:rFonts w:ascii="Franklin Gothic Book" w:hAnsi="Franklin Gothic Book"/>
      <w:sz w:val="18"/>
      <w:szCs w:val="18"/>
      <w:lang w:val="en-AU" w:eastAsia="en-AU" w:bidi="ar-SA"/>
    </w:rPr>
  </w:style>
  <w:style w:type="character" w:customStyle="1" w:styleId="Heading1Char">
    <w:name w:val="Heading 1 Char"/>
    <w:link w:val="Heading1"/>
    <w:rsid w:val="00BC36DE"/>
    <w:rPr>
      <w:rFonts w:ascii="Georgia" w:hAnsi="Georgia"/>
      <w:sz w:val="19"/>
      <w:szCs w:val="19"/>
      <w:lang w:val="en-AU" w:eastAsia="en-AU" w:bidi="ar-SA"/>
    </w:rPr>
  </w:style>
  <w:style w:type="character" w:customStyle="1" w:styleId="Heading2Char">
    <w:name w:val="Heading 2 Char"/>
    <w:link w:val="Heading2"/>
    <w:rsid w:val="00BC36DE"/>
    <w:rPr>
      <w:rFonts w:ascii="Franklin Gothic Medium" w:hAnsi="Franklin Gothic Medium"/>
      <w:color w:val="5A9A98"/>
      <w:sz w:val="24"/>
      <w:szCs w:val="24"/>
      <w:lang w:val="en-AU" w:eastAsia="en-AU" w:bidi="ar-SA"/>
    </w:rPr>
  </w:style>
  <w:style w:type="character" w:customStyle="1" w:styleId="CharChar1">
    <w:name w:val="Char Char1"/>
    <w:locked/>
    <w:rsid w:val="00F263D9"/>
    <w:rPr>
      <w:rFonts w:ascii="Georgia" w:hAnsi="Georgia"/>
      <w:sz w:val="19"/>
      <w:szCs w:val="19"/>
      <w:lang w:val="en-AU" w:eastAsia="en-AU" w:bidi="ar-SA"/>
    </w:rPr>
  </w:style>
  <w:style w:type="character" w:customStyle="1" w:styleId="CharChar40">
    <w:name w:val="Char Char4"/>
    <w:locked/>
    <w:rsid w:val="00F263D9"/>
    <w:rPr>
      <w:rFonts w:ascii="Georgia" w:hAnsi="Georgia"/>
      <w:sz w:val="19"/>
      <w:szCs w:val="19"/>
      <w:lang w:val="en-AU" w:eastAsia="en-AU" w:bidi="ar-SA"/>
    </w:rPr>
  </w:style>
  <w:style w:type="character" w:customStyle="1" w:styleId="st1">
    <w:name w:val="st1"/>
    <w:rsid w:val="00BA120C"/>
  </w:style>
  <w:style w:type="paragraph" w:styleId="Revision">
    <w:name w:val="Revision"/>
    <w:hidden/>
    <w:uiPriority w:val="99"/>
    <w:semiHidden/>
    <w:rsid w:val="00504EF4"/>
    <w:rPr>
      <w:szCs w:val="24"/>
      <w:lang w:val="en-AU" w:eastAsia="en-AU"/>
    </w:rPr>
  </w:style>
  <w:style w:type="character" w:customStyle="1" w:styleId="Heading3Char">
    <w:name w:val="Heading 3 Char"/>
    <w:link w:val="Heading3"/>
    <w:rsid w:val="00E85227"/>
    <w:rPr>
      <w:rFonts w:ascii="Franklin Gothic Medium" w:hAnsi="Franklin Gothic Medium"/>
      <w:color w:val="54534A"/>
      <w:sz w:val="22"/>
      <w:szCs w:val="22"/>
      <w:lang w:eastAsia="en-AU"/>
    </w:rPr>
  </w:style>
  <w:style w:type="paragraph" w:customStyle="1" w:styleId="H1">
    <w:name w:val="H1"/>
    <w:basedOn w:val="Normal"/>
    <w:qFormat/>
    <w:rsid w:val="00102915"/>
    <w:pPr>
      <w:keepNext/>
      <w:spacing w:after="100" w:line="320" w:lineRule="atLeast"/>
      <w:outlineLvl w:val="0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1015"/>
    <w:pPr>
      <w:keepNext/>
      <w:keepLines/>
      <w:spacing w:before="480" w:after="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BFE"/>
    <w:rPr>
      <w:szCs w:val="24"/>
      <w:lang w:val="en-AU" w:eastAsia="en-AU"/>
    </w:rPr>
  </w:style>
  <w:style w:type="paragraph" w:styleId="Heading1">
    <w:name w:val="heading 1"/>
    <w:basedOn w:val="BodyText"/>
    <w:next w:val="BodyText"/>
    <w:link w:val="Heading1Char"/>
    <w:qFormat/>
    <w:rsid w:val="00BC36DE"/>
    <w:pPr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A66E8A"/>
    <w:pPr>
      <w:numPr>
        <w:ilvl w:val="1"/>
        <w:numId w:val="7"/>
      </w:numPr>
      <w:spacing w:before="380" w:after="0"/>
      <w:outlineLvl w:val="1"/>
    </w:pPr>
    <w:rPr>
      <w:rFonts w:ascii="Franklin Gothic Medium" w:hAnsi="Franklin Gothic Medium"/>
      <w:color w:val="5A9A98"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A66E8A"/>
    <w:pPr>
      <w:numPr>
        <w:ilvl w:val="0"/>
        <w:numId w:val="0"/>
      </w:numPr>
      <w:spacing w:before="300" w:line="260" w:lineRule="atLeast"/>
      <w:outlineLvl w:val="2"/>
    </w:pPr>
    <w:rPr>
      <w:color w:val="54534A"/>
      <w:sz w:val="22"/>
      <w:szCs w:val="22"/>
      <w:lang w:val="x-none"/>
    </w:rPr>
  </w:style>
  <w:style w:type="paragraph" w:styleId="Heading4">
    <w:name w:val="heading 4"/>
    <w:basedOn w:val="BodyText"/>
    <w:next w:val="BodyText"/>
    <w:qFormat/>
    <w:rsid w:val="00222F3B"/>
    <w:pPr>
      <w:numPr>
        <w:ilvl w:val="3"/>
        <w:numId w:val="7"/>
      </w:numPr>
      <w:spacing w:before="320" w:after="0"/>
      <w:outlineLvl w:val="3"/>
    </w:pPr>
    <w:rPr>
      <w:b/>
      <w:color w:val="54534A"/>
      <w:sz w:val="22"/>
      <w:szCs w:val="22"/>
    </w:rPr>
  </w:style>
  <w:style w:type="paragraph" w:styleId="Heading5">
    <w:name w:val="heading 5"/>
    <w:basedOn w:val="BodyText"/>
    <w:next w:val="BodyText"/>
    <w:qFormat/>
    <w:rsid w:val="00B525EE"/>
    <w:pPr>
      <w:keepNext/>
      <w:numPr>
        <w:ilvl w:val="4"/>
        <w:numId w:val="7"/>
      </w:numPr>
      <w:spacing w:before="320" w:after="0"/>
      <w:outlineLvl w:val="4"/>
    </w:pPr>
    <w:rPr>
      <w:b/>
      <w:color w:val="54534A"/>
    </w:rPr>
  </w:style>
  <w:style w:type="paragraph" w:styleId="Heading6">
    <w:name w:val="heading 6"/>
    <w:basedOn w:val="Heading1"/>
    <w:next w:val="BodyText"/>
    <w:qFormat/>
    <w:rsid w:val="00B525EE"/>
    <w:pPr>
      <w:numPr>
        <w:ilvl w:val="5"/>
        <w:numId w:val="7"/>
      </w:numPr>
      <w:outlineLvl w:val="5"/>
    </w:pPr>
    <w:rPr>
      <w:bCs/>
    </w:rPr>
  </w:style>
  <w:style w:type="paragraph" w:styleId="Heading7">
    <w:name w:val="heading 7"/>
    <w:basedOn w:val="Heading2"/>
    <w:next w:val="BodyText"/>
    <w:qFormat/>
    <w:rsid w:val="00B525EE"/>
    <w:pPr>
      <w:numPr>
        <w:ilvl w:val="6"/>
      </w:numPr>
      <w:outlineLvl w:val="6"/>
    </w:pPr>
    <w:rPr>
      <w:rFonts w:ascii="Franklin Gothic Demi" w:hAnsi="Franklin Gothic Demi"/>
      <w:sz w:val="28"/>
      <w:szCs w:val="28"/>
    </w:rPr>
  </w:style>
  <w:style w:type="paragraph" w:styleId="Heading8">
    <w:name w:val="heading 8"/>
    <w:basedOn w:val="Heading3"/>
    <w:next w:val="BodyText"/>
    <w:qFormat/>
    <w:rsid w:val="00B525EE"/>
    <w:pPr>
      <w:numPr>
        <w:ilvl w:val="7"/>
        <w:numId w:val="7"/>
      </w:numPr>
      <w:outlineLvl w:val="7"/>
    </w:pPr>
  </w:style>
  <w:style w:type="paragraph" w:styleId="Heading9">
    <w:name w:val="heading 9"/>
    <w:basedOn w:val="Heading4"/>
    <w:next w:val="BodyText"/>
    <w:qFormat/>
    <w:rsid w:val="00B525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356A"/>
    <w:pPr>
      <w:spacing w:before="80" w:after="80" w:line="280" w:lineRule="atLeast"/>
    </w:pPr>
    <w:rPr>
      <w:rFonts w:ascii="Georgia" w:hAnsi="Georgia"/>
      <w:sz w:val="19"/>
      <w:szCs w:val="19"/>
    </w:rPr>
  </w:style>
  <w:style w:type="character" w:customStyle="1" w:styleId="BodyTextChar">
    <w:name w:val="Body Text Char"/>
    <w:link w:val="BodyText"/>
    <w:rsid w:val="0001356A"/>
    <w:rPr>
      <w:rFonts w:ascii="Georgia" w:hAnsi="Georgia"/>
      <w:sz w:val="19"/>
      <w:szCs w:val="19"/>
      <w:lang w:val="en-AU" w:eastAsia="en-AU" w:bidi="ar-SA"/>
    </w:rPr>
  </w:style>
  <w:style w:type="character" w:customStyle="1" w:styleId="DraftingNote">
    <w:name w:val="Drafting Note"/>
    <w:semiHidden/>
    <w:rsid w:val="00F0026A"/>
    <w:rPr>
      <w:rFonts w:ascii="Georgia" w:hAnsi="Georgia"/>
      <w:b/>
      <w:color w:val="FF0000"/>
      <w:sz w:val="19"/>
      <w:szCs w:val="19"/>
      <w:u w:val="dotted"/>
    </w:rPr>
  </w:style>
  <w:style w:type="paragraph" w:customStyle="1" w:styleId="QuoteBullet">
    <w:name w:val="Quote Bullet"/>
    <w:basedOn w:val="Quote"/>
    <w:rsid w:val="008B14A2"/>
    <w:pPr>
      <w:numPr>
        <w:numId w:val="17"/>
      </w:numPr>
    </w:pPr>
  </w:style>
  <w:style w:type="paragraph" w:customStyle="1" w:styleId="Abbreviation">
    <w:name w:val="Abbreviation"/>
    <w:basedOn w:val="BodyText"/>
    <w:rsid w:val="00942B42"/>
    <w:pPr>
      <w:ind w:left="1418" w:hanging="1418"/>
    </w:pPr>
  </w:style>
  <w:style w:type="paragraph" w:customStyle="1" w:styleId="Ratingamber">
    <w:name w:val="Rating amber"/>
    <w:basedOn w:val="Normal"/>
    <w:semiHidden/>
    <w:rsid w:val="001C6E03"/>
    <w:pPr>
      <w:numPr>
        <w:numId w:val="10"/>
      </w:numPr>
      <w:spacing w:before="80" w:after="80" w:line="280" w:lineRule="atLeast"/>
    </w:pPr>
    <w:rPr>
      <w:rFonts w:ascii="Georgia" w:hAnsi="Georgia"/>
      <w:sz w:val="19"/>
      <w:szCs w:val="19"/>
    </w:rPr>
  </w:style>
  <w:style w:type="paragraph" w:styleId="ListBullet">
    <w:name w:val="List Bullet"/>
    <w:basedOn w:val="BodyText"/>
    <w:rsid w:val="002C5AF0"/>
    <w:pPr>
      <w:numPr>
        <w:numId w:val="15"/>
      </w:numPr>
    </w:pPr>
  </w:style>
  <w:style w:type="paragraph" w:styleId="ListBullet2">
    <w:name w:val="List Bullet 2"/>
    <w:basedOn w:val="ListBullet"/>
    <w:rsid w:val="00D42D78"/>
    <w:pPr>
      <w:numPr>
        <w:numId w:val="12"/>
      </w:numPr>
      <w:spacing w:before="0"/>
      <w:ind w:left="568" w:hanging="284"/>
    </w:pPr>
  </w:style>
  <w:style w:type="paragraph" w:styleId="ListNumber">
    <w:name w:val="List Number"/>
    <w:basedOn w:val="ListBullet"/>
    <w:rsid w:val="00D42D78"/>
    <w:pPr>
      <w:numPr>
        <w:numId w:val="13"/>
      </w:numPr>
    </w:pPr>
  </w:style>
  <w:style w:type="paragraph" w:styleId="ListNumber2">
    <w:name w:val="List Number 2"/>
    <w:basedOn w:val="ListNumber"/>
    <w:rsid w:val="00D42D78"/>
    <w:pPr>
      <w:numPr>
        <w:numId w:val="14"/>
      </w:numPr>
      <w:spacing w:before="0"/>
      <w:ind w:left="568" w:hanging="284"/>
    </w:pPr>
  </w:style>
  <w:style w:type="paragraph" w:styleId="Quote">
    <w:name w:val="Quote"/>
    <w:basedOn w:val="BodyText"/>
    <w:next w:val="BodyText"/>
    <w:qFormat/>
    <w:rsid w:val="00B84A71"/>
    <w:pPr>
      <w:spacing w:before="0" w:line="260" w:lineRule="atLeast"/>
      <w:ind w:left="284"/>
    </w:pPr>
    <w:rPr>
      <w:sz w:val="17"/>
      <w:szCs w:val="17"/>
    </w:rPr>
  </w:style>
  <w:style w:type="paragraph" w:customStyle="1" w:styleId="Ratinggreen">
    <w:name w:val="Rating green"/>
    <w:basedOn w:val="Ratingamber"/>
    <w:semiHidden/>
    <w:rsid w:val="001C6E03"/>
    <w:pPr>
      <w:numPr>
        <w:numId w:val="11"/>
      </w:numPr>
    </w:pPr>
  </w:style>
  <w:style w:type="paragraph" w:customStyle="1" w:styleId="Reference">
    <w:name w:val="Reference"/>
    <w:basedOn w:val="BodyText"/>
    <w:semiHidden/>
    <w:rsid w:val="00F0026A"/>
    <w:pPr>
      <w:keepLines/>
      <w:spacing w:before="60" w:after="60" w:line="260" w:lineRule="atLeast"/>
      <w:ind w:left="284" w:hanging="284"/>
    </w:pPr>
    <w:rPr>
      <w:sz w:val="17"/>
      <w:szCs w:val="17"/>
    </w:rPr>
  </w:style>
  <w:style w:type="paragraph" w:styleId="Title">
    <w:name w:val="Title"/>
    <w:basedOn w:val="Normal"/>
    <w:next w:val="Subtitle"/>
    <w:link w:val="TitleChar"/>
    <w:qFormat/>
    <w:rsid w:val="00E77D0C"/>
    <w:pPr>
      <w:pageBreakBefore/>
      <w:spacing w:line="540" w:lineRule="atLeast"/>
    </w:pPr>
    <w:rPr>
      <w:rFonts w:ascii="Franklin Gothic Book" w:hAnsi="Franklin Gothic Book"/>
      <w:color w:val="FFFFFF"/>
      <w:spacing w:val="-10"/>
      <w:kern w:val="28"/>
      <w:sz w:val="46"/>
      <w:szCs w:val="46"/>
    </w:rPr>
  </w:style>
  <w:style w:type="paragraph" w:styleId="Subtitle">
    <w:name w:val="Subtitle"/>
    <w:basedOn w:val="Title"/>
    <w:next w:val="Date"/>
    <w:link w:val="SubtitleChar"/>
    <w:qFormat/>
    <w:rsid w:val="005B522F"/>
    <w:pPr>
      <w:pageBreakBefore w:val="0"/>
      <w:spacing w:before="120" w:line="380" w:lineRule="atLeast"/>
    </w:pPr>
    <w:rPr>
      <w:sz w:val="32"/>
      <w:szCs w:val="32"/>
    </w:rPr>
  </w:style>
  <w:style w:type="paragraph" w:customStyle="1" w:styleId="Contents">
    <w:name w:val="Contents"/>
    <w:basedOn w:val="Normal"/>
    <w:next w:val="BodyText"/>
    <w:semiHidden/>
    <w:rsid w:val="00DE7339"/>
    <w:pPr>
      <w:spacing w:before="460" w:after="100" w:line="320" w:lineRule="atLeast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Date">
    <w:name w:val="Date"/>
    <w:basedOn w:val="Subtitle"/>
    <w:next w:val="Author"/>
    <w:link w:val="DateChar"/>
    <w:semiHidden/>
    <w:rsid w:val="00A53A6B"/>
    <w:pPr>
      <w:spacing w:after="1000"/>
    </w:pPr>
    <w:rPr>
      <w:sz w:val="24"/>
      <w:szCs w:val="24"/>
    </w:rPr>
  </w:style>
  <w:style w:type="paragraph" w:styleId="Footer">
    <w:name w:val="footer"/>
    <w:basedOn w:val="Normal"/>
    <w:semiHidden/>
    <w:rsid w:val="00F23FD4"/>
    <w:pPr>
      <w:tabs>
        <w:tab w:val="left" w:pos="0"/>
        <w:tab w:val="right" w:pos="7938"/>
        <w:tab w:val="right" w:pos="8505"/>
      </w:tabs>
      <w:spacing w:line="180" w:lineRule="exact"/>
      <w:ind w:left="-567" w:right="-567"/>
    </w:pPr>
    <w:rPr>
      <w:rFonts w:ascii="Franklin Gothic Medium" w:hAnsi="Franklin Gothic Medium"/>
      <w:color w:val="5A9A98"/>
      <w:sz w:val="14"/>
      <w:szCs w:val="14"/>
    </w:rPr>
  </w:style>
  <w:style w:type="paragraph" w:styleId="Header">
    <w:name w:val="header"/>
    <w:basedOn w:val="Normal"/>
    <w:semiHidden/>
    <w:rsid w:val="0073548A"/>
    <w:pPr>
      <w:spacing w:line="180" w:lineRule="exact"/>
      <w:jc w:val="right"/>
    </w:pPr>
    <w:rPr>
      <w:rFonts w:ascii="Franklin Gothic Medium" w:hAnsi="Franklin Gothic Medium"/>
      <w:sz w:val="14"/>
      <w:szCs w:val="14"/>
    </w:rPr>
  </w:style>
  <w:style w:type="character" w:styleId="PageNumber">
    <w:name w:val="page number"/>
    <w:semiHidden/>
    <w:rsid w:val="007A2D4A"/>
    <w:rPr>
      <w:rFonts w:ascii="Franklin Gothic Medium" w:hAnsi="Franklin Gothic Medium"/>
      <w:color w:val="54534A"/>
      <w:sz w:val="14"/>
      <w:szCs w:val="14"/>
    </w:rPr>
  </w:style>
  <w:style w:type="paragraph" w:styleId="TOC1">
    <w:name w:val="toc 1"/>
    <w:basedOn w:val="BodyText"/>
    <w:next w:val="BodyText"/>
    <w:uiPriority w:val="39"/>
    <w:rsid w:val="00DE7339"/>
    <w:pPr>
      <w:tabs>
        <w:tab w:val="left" w:pos="397"/>
        <w:tab w:val="right" w:pos="7938"/>
      </w:tabs>
      <w:spacing w:before="180" w:after="0"/>
      <w:ind w:left="397" w:right="567" w:hanging="397"/>
    </w:pPr>
    <w:rPr>
      <w:rFonts w:ascii="Franklin Gothic Medium" w:hAnsi="Franklin Gothic Medium"/>
      <w:color w:val="54534A"/>
      <w:sz w:val="24"/>
      <w:szCs w:val="24"/>
    </w:rPr>
  </w:style>
  <w:style w:type="paragraph" w:styleId="TOC2">
    <w:name w:val="toc 2"/>
    <w:basedOn w:val="TOC1"/>
    <w:next w:val="TOC1"/>
    <w:uiPriority w:val="39"/>
    <w:rsid w:val="00DE7339"/>
    <w:pPr>
      <w:spacing w:before="120" w:line="200" w:lineRule="atLeast"/>
      <w:ind w:left="0" w:firstLine="0"/>
    </w:pPr>
    <w:rPr>
      <w:rFonts w:ascii="Franklin Gothic Book" w:hAnsi="Franklin Gothic Book"/>
      <w:color w:val="5A9A98"/>
      <w:sz w:val="21"/>
      <w:szCs w:val="21"/>
    </w:rPr>
  </w:style>
  <w:style w:type="paragraph" w:customStyle="1" w:styleId="Reporttype">
    <w:name w:val="Report type"/>
    <w:basedOn w:val="BodyText"/>
    <w:semiHidden/>
    <w:rsid w:val="00F15D8B"/>
    <w:pPr>
      <w:spacing w:before="0" w:line="400" w:lineRule="atLeast"/>
    </w:pPr>
    <w:rPr>
      <w:rFonts w:ascii="Arial" w:hAnsi="Arial"/>
      <w:color w:val="00467F"/>
      <w:spacing w:val="-2"/>
      <w:sz w:val="36"/>
      <w:szCs w:val="36"/>
    </w:rPr>
  </w:style>
  <w:style w:type="character" w:customStyle="1" w:styleId="Subtitlebox">
    <w:name w:val="Subtitle box"/>
    <w:aliases w:val="figure &amp; table,chart &amp; table"/>
    <w:semiHidden/>
    <w:rsid w:val="008E6453"/>
    <w:rPr>
      <w:rFonts w:ascii="Franklin Gothic Book" w:hAnsi="Franklin Gothic Book"/>
      <w:color w:val="auto"/>
      <w:sz w:val="17"/>
      <w:szCs w:val="17"/>
    </w:rPr>
  </w:style>
  <w:style w:type="paragraph" w:customStyle="1" w:styleId="Invisiblepara">
    <w:name w:val="Invisible para"/>
    <w:basedOn w:val="Normal"/>
    <w:semiHidden/>
    <w:rsid w:val="00F747A9"/>
    <w:pPr>
      <w:keepNext/>
      <w:spacing w:before="320" w:line="80" w:lineRule="exact"/>
    </w:pPr>
    <w:rPr>
      <w:sz w:val="21"/>
      <w:szCs w:val="20"/>
    </w:rPr>
  </w:style>
  <w:style w:type="paragraph" w:styleId="Caption">
    <w:name w:val="caption"/>
    <w:basedOn w:val="Normal"/>
    <w:next w:val="BodyText"/>
    <w:qFormat/>
    <w:rsid w:val="00227783"/>
    <w:pPr>
      <w:keepNext/>
      <w:spacing w:before="320" w:after="80" w:line="230" w:lineRule="exact"/>
    </w:pPr>
    <w:rPr>
      <w:rFonts w:ascii="Franklin Gothic Demi" w:hAnsi="Franklin Gothic Demi"/>
      <w:color w:val="7E6D5F"/>
      <w:sz w:val="19"/>
      <w:szCs w:val="19"/>
    </w:rPr>
  </w:style>
  <w:style w:type="paragraph" w:customStyle="1" w:styleId="BoxListBullet">
    <w:name w:val="Box List Bullet"/>
    <w:basedOn w:val="BoxText"/>
    <w:rsid w:val="006C6761"/>
    <w:pPr>
      <w:keepLines/>
      <w:numPr>
        <w:numId w:val="5"/>
      </w:numPr>
      <w:spacing w:before="0"/>
    </w:pPr>
    <w:rPr>
      <w:szCs w:val="20"/>
    </w:rPr>
  </w:style>
  <w:style w:type="character" w:customStyle="1" w:styleId="NoteLabel">
    <w:name w:val="Note Label"/>
    <w:rsid w:val="0073548A"/>
    <w:rPr>
      <w:rFonts w:ascii="Franklin Gothic Medium" w:hAnsi="Franklin Gothic Medium"/>
      <w:color w:val="auto"/>
      <w:position w:val="4"/>
      <w:sz w:val="14"/>
      <w:szCs w:val="14"/>
    </w:rPr>
  </w:style>
  <w:style w:type="paragraph" w:customStyle="1" w:styleId="Note">
    <w:name w:val="Note"/>
    <w:basedOn w:val="TableTextEntries"/>
    <w:next w:val="Source"/>
    <w:link w:val="NoteCharChar"/>
    <w:rsid w:val="008D75EB"/>
    <w:pPr>
      <w:spacing w:after="0" w:line="180" w:lineRule="atLeast"/>
    </w:pPr>
    <w:rPr>
      <w:sz w:val="14"/>
      <w:szCs w:val="14"/>
    </w:rPr>
  </w:style>
  <w:style w:type="paragraph" w:customStyle="1" w:styleId="TableTextEntries">
    <w:name w:val="Table Text Entries"/>
    <w:basedOn w:val="Normal"/>
    <w:rsid w:val="00F021E7"/>
    <w:pPr>
      <w:keepLines/>
      <w:spacing w:before="40" w:after="40" w:line="200" w:lineRule="atLeast"/>
    </w:pPr>
    <w:rPr>
      <w:rFonts w:ascii="Franklin Gothic Book" w:hAnsi="Franklin Gothic Book"/>
      <w:sz w:val="17"/>
      <w:szCs w:val="17"/>
      <w:lang w:eastAsia="en-US"/>
    </w:rPr>
  </w:style>
  <w:style w:type="paragraph" w:customStyle="1" w:styleId="Source">
    <w:name w:val="Source"/>
    <w:basedOn w:val="Note"/>
    <w:next w:val="BodyText"/>
    <w:rsid w:val="00ED5E2B"/>
    <w:pPr>
      <w:spacing w:after="240"/>
    </w:pPr>
  </w:style>
  <w:style w:type="paragraph" w:customStyle="1" w:styleId="BoxHeading1">
    <w:name w:val="Box Heading 1"/>
    <w:basedOn w:val="BoxText"/>
    <w:next w:val="BoxText"/>
    <w:rsid w:val="00FC7629"/>
    <w:pPr>
      <w:spacing w:before="180" w:after="0" w:line="220" w:lineRule="atLeast"/>
    </w:pPr>
    <w:rPr>
      <w:rFonts w:ascii="Franklin Gothic Demi" w:hAnsi="Franklin Gothic Demi"/>
      <w:color w:val="000000"/>
    </w:rPr>
  </w:style>
  <w:style w:type="paragraph" w:customStyle="1" w:styleId="BoxHeading2">
    <w:name w:val="Box Heading 2"/>
    <w:basedOn w:val="BoxHeading1"/>
    <w:next w:val="BoxText"/>
    <w:rsid w:val="002C23D1"/>
    <w:pPr>
      <w:spacing w:before="140"/>
    </w:pPr>
    <w:rPr>
      <w:rFonts w:ascii="Franklin Gothic Book" w:hAnsi="Franklin Gothic Book"/>
      <w:i/>
      <w:color w:val="auto"/>
    </w:rPr>
  </w:style>
  <w:style w:type="paragraph" w:customStyle="1" w:styleId="TableListBullet">
    <w:name w:val="Table List Bullet"/>
    <w:basedOn w:val="TableTextEntries"/>
    <w:rsid w:val="00FA0700"/>
    <w:pPr>
      <w:numPr>
        <w:numId w:val="8"/>
      </w:numPr>
    </w:pPr>
  </w:style>
  <w:style w:type="paragraph" w:styleId="TableofFigures">
    <w:name w:val="table of figures"/>
    <w:basedOn w:val="BodyText"/>
    <w:next w:val="BodyText"/>
    <w:semiHidden/>
    <w:rsid w:val="00751A18"/>
    <w:pPr>
      <w:tabs>
        <w:tab w:val="left" w:pos="1077"/>
        <w:tab w:val="right" w:pos="8505"/>
      </w:tabs>
      <w:spacing w:before="60" w:line="260" w:lineRule="atLeast"/>
      <w:ind w:left="1077" w:right="567" w:hanging="1077"/>
    </w:pPr>
  </w:style>
  <w:style w:type="paragraph" w:styleId="TOC3">
    <w:name w:val="toc 3"/>
    <w:basedOn w:val="TOC2"/>
    <w:next w:val="BodyText"/>
    <w:uiPriority w:val="39"/>
    <w:rsid w:val="00F9523B"/>
    <w:pPr>
      <w:tabs>
        <w:tab w:val="clear" w:pos="397"/>
      </w:tabs>
      <w:spacing w:before="40" w:line="230" w:lineRule="atLeast"/>
      <w:ind w:left="567" w:hanging="567"/>
    </w:pPr>
    <w:rPr>
      <w:rFonts w:ascii="Georgia" w:hAnsi="Georgia"/>
      <w:color w:val="auto"/>
      <w:sz w:val="19"/>
      <w:szCs w:val="19"/>
    </w:rPr>
  </w:style>
  <w:style w:type="paragraph" w:customStyle="1" w:styleId="Continued">
    <w:name w:val="Continued"/>
    <w:basedOn w:val="Source"/>
    <w:next w:val="BodyText"/>
    <w:semiHidden/>
    <w:rsid w:val="00B622E7"/>
    <w:pPr>
      <w:jc w:val="right"/>
    </w:pPr>
  </w:style>
  <w:style w:type="paragraph" w:customStyle="1" w:styleId="Recommendation">
    <w:name w:val="Recommendation"/>
    <w:basedOn w:val="BodyText"/>
    <w:next w:val="BodyText"/>
    <w:semiHidden/>
    <w:rsid w:val="00671255"/>
    <w:pPr>
      <w:tabs>
        <w:tab w:val="left" w:pos="284"/>
      </w:tabs>
      <w:ind w:left="284" w:hanging="284"/>
    </w:pPr>
    <w:rPr>
      <w:rFonts w:eastAsia="MS Mincho" w:cs="MS Mincho"/>
      <w:b/>
    </w:rPr>
  </w:style>
  <w:style w:type="paragraph" w:styleId="TOC6">
    <w:name w:val="toc 6"/>
    <w:basedOn w:val="BodyText"/>
    <w:next w:val="BodyText"/>
    <w:semiHidden/>
    <w:rsid w:val="00671255"/>
    <w:pPr>
      <w:tabs>
        <w:tab w:val="left" w:pos="284"/>
        <w:tab w:val="right" w:pos="8222"/>
      </w:tabs>
      <w:ind w:left="284" w:right="567" w:hanging="284"/>
    </w:pPr>
  </w:style>
  <w:style w:type="character" w:styleId="CommentReference">
    <w:name w:val="annotation reference"/>
    <w:semiHidden/>
    <w:rsid w:val="007A2D4A"/>
    <w:rPr>
      <w:rFonts w:ascii="Franklin Gothic Medium" w:hAnsi="Franklin Gothic Medium"/>
      <w:vanish/>
      <w:color w:val="FF00FF"/>
      <w:sz w:val="16"/>
      <w:szCs w:val="16"/>
    </w:rPr>
  </w:style>
  <w:style w:type="paragraph" w:styleId="CommentText">
    <w:name w:val="annotation text"/>
    <w:basedOn w:val="BodyText"/>
    <w:semiHidden/>
    <w:rsid w:val="008527C1"/>
    <w:pPr>
      <w:spacing w:line="240" w:lineRule="atLeast"/>
    </w:pPr>
    <w:rPr>
      <w:rFonts w:ascii="Calibri" w:hAnsi="Calibri"/>
      <w:sz w:val="18"/>
      <w:szCs w:val="18"/>
    </w:rPr>
  </w:style>
  <w:style w:type="character" w:styleId="FootnoteReference">
    <w:name w:val="footnote reference"/>
    <w:semiHidden/>
    <w:rsid w:val="00FB1DA4"/>
    <w:rPr>
      <w:rFonts w:ascii="Franklin Gothic Book" w:hAnsi="Franklin Gothic Book"/>
      <w:w w:val="100"/>
      <w:position w:val="6"/>
      <w:sz w:val="12"/>
      <w:szCs w:val="12"/>
      <w:vertAlign w:val="baseline"/>
    </w:rPr>
  </w:style>
  <w:style w:type="paragraph" w:styleId="FootnoteText">
    <w:name w:val="footnote text"/>
    <w:basedOn w:val="BodyText"/>
    <w:semiHidden/>
    <w:rsid w:val="00281D52"/>
    <w:pPr>
      <w:spacing w:before="0" w:after="0" w:line="180" w:lineRule="atLeast"/>
      <w:ind w:left="284" w:hanging="284"/>
    </w:pPr>
    <w:rPr>
      <w:rFonts w:ascii="Franklin Gothic Book" w:hAnsi="Franklin Gothic Book"/>
      <w:sz w:val="14"/>
      <w:szCs w:val="14"/>
    </w:rPr>
  </w:style>
  <w:style w:type="character" w:styleId="Hyperlink">
    <w:name w:val="Hyperlink"/>
    <w:uiPriority w:val="99"/>
    <w:rsid w:val="00254E43"/>
    <w:rPr>
      <w:color w:val="00467F"/>
      <w:sz w:val="20"/>
      <w:szCs w:val="20"/>
      <w:u w:val="none"/>
    </w:rPr>
  </w:style>
  <w:style w:type="paragraph" w:customStyle="1" w:styleId="ChartText">
    <w:name w:val="Chart Text"/>
    <w:basedOn w:val="BodyText"/>
    <w:semiHidden/>
    <w:rsid w:val="00CF2071"/>
    <w:pPr>
      <w:spacing w:before="100" w:line="190" w:lineRule="exact"/>
    </w:pPr>
    <w:rPr>
      <w:rFonts w:ascii="Arial" w:hAnsi="Arial"/>
      <w:sz w:val="17"/>
    </w:rPr>
  </w:style>
  <w:style w:type="paragraph" w:customStyle="1" w:styleId="ChartBoldText">
    <w:name w:val="Chart Bold Text"/>
    <w:basedOn w:val="ChartText"/>
    <w:next w:val="ChartText"/>
    <w:semiHidden/>
    <w:rsid w:val="00997A92"/>
    <w:pPr>
      <w:spacing w:before="0"/>
      <w:jc w:val="center"/>
    </w:pPr>
    <w:rPr>
      <w:rFonts w:ascii="Arial Bold" w:hAnsi="Arial Bold"/>
      <w:b/>
      <w:color w:val="073771"/>
      <w:szCs w:val="17"/>
    </w:rPr>
  </w:style>
  <w:style w:type="paragraph" w:customStyle="1" w:styleId="ChartHighlight">
    <w:name w:val="Chart Highlight"/>
    <w:basedOn w:val="ChartBoldText"/>
    <w:semiHidden/>
    <w:rsid w:val="00CF2071"/>
    <w:pPr>
      <w:spacing w:line="210" w:lineRule="exact"/>
    </w:pPr>
    <w:rPr>
      <w:caps/>
      <w:sz w:val="19"/>
    </w:rPr>
  </w:style>
  <w:style w:type="paragraph" w:customStyle="1" w:styleId="ChartListBullet">
    <w:name w:val="Chart List Bullet"/>
    <w:basedOn w:val="TableListBullet"/>
    <w:semiHidden/>
    <w:rsid w:val="00321C81"/>
    <w:pPr>
      <w:numPr>
        <w:numId w:val="0"/>
      </w:numPr>
      <w:tabs>
        <w:tab w:val="num" w:pos="227"/>
      </w:tabs>
      <w:spacing w:before="50" w:after="0" w:line="190" w:lineRule="exact"/>
      <w:ind w:left="227" w:hanging="227"/>
    </w:pPr>
  </w:style>
  <w:style w:type="paragraph" w:customStyle="1" w:styleId="ChartListBullet2">
    <w:name w:val="Chart List Bullet 2"/>
    <w:basedOn w:val="ListBullet2"/>
    <w:semiHidden/>
    <w:rsid w:val="00321C81"/>
    <w:pPr>
      <w:numPr>
        <w:numId w:val="0"/>
      </w:numPr>
      <w:tabs>
        <w:tab w:val="num" w:pos="454"/>
      </w:tabs>
      <w:spacing w:before="30" w:line="190" w:lineRule="exact"/>
      <w:ind w:left="454" w:hanging="227"/>
    </w:pPr>
    <w:rPr>
      <w:rFonts w:ascii="Arial" w:hAnsi="Arial"/>
      <w:sz w:val="17"/>
    </w:rPr>
  </w:style>
  <w:style w:type="paragraph" w:customStyle="1" w:styleId="ChartListNumber">
    <w:name w:val="Chart List Number"/>
    <w:basedOn w:val="ChartText"/>
    <w:semiHidden/>
    <w:rsid w:val="00321C81"/>
    <w:pPr>
      <w:tabs>
        <w:tab w:val="num" w:pos="227"/>
      </w:tabs>
      <w:spacing w:before="60"/>
      <w:ind w:left="227" w:hanging="227"/>
    </w:pPr>
  </w:style>
  <w:style w:type="paragraph" w:styleId="TOC7">
    <w:name w:val="toc 7"/>
    <w:basedOn w:val="TOC1"/>
    <w:next w:val="TOC1"/>
    <w:semiHidden/>
    <w:rsid w:val="0097190C"/>
    <w:pPr>
      <w:tabs>
        <w:tab w:val="left" w:pos="1418"/>
      </w:tabs>
      <w:ind w:left="1418" w:hanging="1418"/>
    </w:pPr>
  </w:style>
  <w:style w:type="paragraph" w:customStyle="1" w:styleId="Author">
    <w:name w:val="Author"/>
    <w:basedOn w:val="Date"/>
    <w:next w:val="Position"/>
    <w:link w:val="AuthorCharChar"/>
    <w:semiHidden/>
    <w:rsid w:val="0075426C"/>
    <w:pPr>
      <w:spacing w:before="180" w:after="0" w:line="260" w:lineRule="atLeast"/>
    </w:pPr>
    <w:rPr>
      <w:rFonts w:ascii="Franklin Gothic Medium" w:hAnsi="Franklin Gothic Medium"/>
      <w:spacing w:val="-2"/>
    </w:rPr>
  </w:style>
  <w:style w:type="paragraph" w:customStyle="1" w:styleId="Position">
    <w:name w:val="Position"/>
    <w:basedOn w:val="Author"/>
    <w:next w:val="Author"/>
    <w:link w:val="PositionCharChar"/>
    <w:semiHidden/>
    <w:rsid w:val="0075426C"/>
    <w:pPr>
      <w:spacing w:before="0"/>
    </w:pPr>
    <w:rPr>
      <w:rFonts w:ascii="Franklin Gothic Book" w:hAnsi="Franklin Gothic Book"/>
    </w:rPr>
  </w:style>
  <w:style w:type="paragraph" w:customStyle="1" w:styleId="CharChar">
    <w:name w:val="Char Char"/>
    <w:basedOn w:val="BoxText"/>
    <w:semiHidden/>
    <w:rsid w:val="001E5458"/>
  </w:style>
  <w:style w:type="paragraph" w:customStyle="1" w:styleId="Client">
    <w:name w:val="Client"/>
    <w:basedOn w:val="Author"/>
    <w:semiHidden/>
    <w:rsid w:val="00AD1F3F"/>
  </w:style>
  <w:style w:type="paragraph" w:customStyle="1" w:styleId="TableDataEntries">
    <w:name w:val="Table Data Entries"/>
    <w:basedOn w:val="TableTextEntries"/>
    <w:rsid w:val="009B0288"/>
    <w:pPr>
      <w:jc w:val="right"/>
    </w:pPr>
  </w:style>
  <w:style w:type="paragraph" w:customStyle="1" w:styleId="TableDataColumnHeading">
    <w:name w:val="Table Data Column Heading"/>
    <w:basedOn w:val="TableData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1">
    <w:name w:val="Table Heading 1"/>
    <w:basedOn w:val="TableTextEntries"/>
    <w:next w:val="TableTextEntries"/>
    <w:rsid w:val="008E6453"/>
    <w:pPr>
      <w:spacing w:before="80" w:after="80"/>
    </w:pPr>
    <w:rPr>
      <w:rFonts w:ascii="Franklin Gothic Medium" w:hAnsi="Franklin Gothic Medium"/>
    </w:rPr>
  </w:style>
  <w:style w:type="paragraph" w:customStyle="1" w:styleId="TableHeading2">
    <w:name w:val="Table Heading 2"/>
    <w:basedOn w:val="TableHeading1"/>
    <w:next w:val="TableTextEntries"/>
    <w:rsid w:val="008E6453"/>
    <w:pPr>
      <w:spacing w:before="40" w:after="40"/>
    </w:pPr>
    <w:rPr>
      <w:rFonts w:ascii="Franklin Gothic Book" w:hAnsi="Franklin Gothic Book"/>
      <w:i/>
    </w:rPr>
  </w:style>
  <w:style w:type="paragraph" w:customStyle="1" w:styleId="TableListBullet2">
    <w:name w:val="Table List Bullet 2"/>
    <w:basedOn w:val="TableListBullet"/>
    <w:link w:val="TableListBullet2CharChar"/>
    <w:rsid w:val="00FA0700"/>
    <w:pPr>
      <w:numPr>
        <w:numId w:val="9"/>
      </w:numPr>
    </w:pPr>
  </w:style>
  <w:style w:type="paragraph" w:customStyle="1" w:styleId="TableListNumber">
    <w:name w:val="Table List Number"/>
    <w:basedOn w:val="TableTextEntries"/>
    <w:rsid w:val="008C0773"/>
    <w:pPr>
      <w:numPr>
        <w:numId w:val="1"/>
      </w:numPr>
    </w:pPr>
  </w:style>
  <w:style w:type="paragraph" w:customStyle="1" w:styleId="TableListNumber2">
    <w:name w:val="Table List Number 2"/>
    <w:basedOn w:val="TableListNumber"/>
    <w:rsid w:val="00396E51"/>
    <w:pPr>
      <w:numPr>
        <w:numId w:val="2"/>
      </w:numPr>
    </w:pPr>
  </w:style>
  <w:style w:type="paragraph" w:customStyle="1" w:styleId="TableTextColumnHeading">
    <w:name w:val="Table Text Column Heading"/>
    <w:basedOn w:val="TableDataColumnHeading"/>
    <w:rsid w:val="008E6453"/>
    <w:pPr>
      <w:jc w:val="left"/>
    </w:pPr>
  </w:style>
  <w:style w:type="paragraph" w:customStyle="1" w:styleId="TableUnit">
    <w:name w:val="Table Unit"/>
    <w:basedOn w:val="TableDataColumnHeading"/>
    <w:next w:val="TableDataEntries"/>
    <w:semiHidden/>
    <w:rsid w:val="008E6453"/>
    <w:pPr>
      <w:keepNext/>
    </w:pPr>
    <w:rPr>
      <w:rFonts w:ascii="Franklin Gothic Book" w:hAnsi="Franklin Gothic Book"/>
    </w:rPr>
  </w:style>
  <w:style w:type="paragraph" w:customStyle="1" w:styleId="NoteNumber">
    <w:name w:val="Note Number"/>
    <w:basedOn w:val="TableTextEntries"/>
    <w:link w:val="NoteNumberCharChar"/>
    <w:rsid w:val="00EE7AC8"/>
    <w:pPr>
      <w:numPr>
        <w:numId w:val="16"/>
      </w:numPr>
      <w:spacing w:after="0" w:line="180" w:lineRule="atLeast"/>
    </w:pPr>
    <w:rPr>
      <w:sz w:val="14"/>
      <w:szCs w:val="14"/>
    </w:rPr>
  </w:style>
  <w:style w:type="character" w:styleId="FollowedHyperlink">
    <w:name w:val="FollowedHyperlink"/>
    <w:semiHidden/>
    <w:rsid w:val="00085585"/>
    <w:rPr>
      <w:color w:val="333399"/>
      <w:u w:val="none"/>
    </w:rPr>
  </w:style>
  <w:style w:type="paragraph" w:customStyle="1" w:styleId="Blurb">
    <w:name w:val="Blurb"/>
    <w:basedOn w:val="Caption"/>
    <w:semiHidden/>
    <w:rsid w:val="0075426C"/>
    <w:pPr>
      <w:spacing w:before="180" w:after="0" w:line="280" w:lineRule="atLeast"/>
    </w:pPr>
    <w:rPr>
      <w:color w:val="FFFFFF"/>
    </w:rPr>
  </w:style>
  <w:style w:type="paragraph" w:customStyle="1" w:styleId="Figure">
    <w:name w:val="Figure"/>
    <w:basedOn w:val="BodyText"/>
    <w:next w:val="BodyText"/>
    <w:semiHidden/>
    <w:rsid w:val="00EA0F2C"/>
    <w:pPr>
      <w:spacing w:before="0" w:line="200" w:lineRule="atLeast"/>
    </w:pPr>
    <w:rPr>
      <w:sz w:val="18"/>
      <w:szCs w:val="18"/>
    </w:rPr>
  </w:style>
  <w:style w:type="paragraph" w:customStyle="1" w:styleId="BoxListBullet2">
    <w:name w:val="Box List Bullet 2"/>
    <w:basedOn w:val="BoxListBullet"/>
    <w:rsid w:val="006C6761"/>
    <w:pPr>
      <w:numPr>
        <w:numId w:val="4"/>
      </w:numPr>
    </w:pPr>
    <w:rPr>
      <w:szCs w:val="18"/>
    </w:rPr>
  </w:style>
  <w:style w:type="paragraph" w:customStyle="1" w:styleId="BoxText">
    <w:name w:val="Box Text"/>
    <w:basedOn w:val="Normal"/>
    <w:link w:val="BoxTextChar"/>
    <w:rsid w:val="009A28D5"/>
    <w:pPr>
      <w:spacing w:before="60" w:after="60" w:line="260" w:lineRule="atLeast"/>
    </w:pPr>
    <w:rPr>
      <w:rFonts w:ascii="Franklin Gothic Book" w:hAnsi="Franklin Gothic Book"/>
      <w:sz w:val="18"/>
      <w:szCs w:val="18"/>
    </w:rPr>
  </w:style>
  <w:style w:type="paragraph" w:customStyle="1" w:styleId="BoxListNumber">
    <w:name w:val="Box List Number"/>
    <w:basedOn w:val="BoxText"/>
    <w:rsid w:val="00165C4D"/>
    <w:pPr>
      <w:numPr>
        <w:numId w:val="6"/>
      </w:numPr>
      <w:spacing w:before="0"/>
    </w:pPr>
  </w:style>
  <w:style w:type="paragraph" w:customStyle="1" w:styleId="BoxListNumber2">
    <w:name w:val="Box List Number 2"/>
    <w:basedOn w:val="BoxListNumber"/>
    <w:rsid w:val="006C6761"/>
    <w:pPr>
      <w:numPr>
        <w:numId w:val="3"/>
      </w:numPr>
    </w:pPr>
  </w:style>
  <w:style w:type="paragraph" w:customStyle="1" w:styleId="BoxNoteSource">
    <w:name w:val="Box Note/Source"/>
    <w:basedOn w:val="BoxText"/>
    <w:rsid w:val="006C6761"/>
    <w:pPr>
      <w:spacing w:before="100" w:after="100" w:line="180" w:lineRule="atLeast"/>
    </w:pPr>
    <w:rPr>
      <w:sz w:val="14"/>
      <w:szCs w:val="14"/>
    </w:rPr>
  </w:style>
  <w:style w:type="paragraph" w:customStyle="1" w:styleId="BoxQuote">
    <w:name w:val="Box Quote"/>
    <w:basedOn w:val="BoxText"/>
    <w:next w:val="BoxText"/>
    <w:rsid w:val="00A60B48"/>
    <w:pPr>
      <w:spacing w:before="0" w:line="240" w:lineRule="atLeast"/>
      <w:ind w:left="284"/>
    </w:pPr>
    <w:rPr>
      <w:sz w:val="16"/>
      <w:szCs w:val="16"/>
    </w:rPr>
  </w:style>
  <w:style w:type="character" w:customStyle="1" w:styleId="TableListBullet2CharChar">
    <w:name w:val="Table List Bullet 2 Char Char"/>
    <w:link w:val="TableListBullet2"/>
    <w:rsid w:val="00C05EB3"/>
    <w:rPr>
      <w:rFonts w:ascii="Franklin Gothic Book" w:hAnsi="Franklin Gothic Book"/>
      <w:sz w:val="17"/>
      <w:szCs w:val="17"/>
      <w:lang w:val="en-AU" w:eastAsia="en-US" w:bidi="ar-SA"/>
    </w:rPr>
  </w:style>
  <w:style w:type="character" w:customStyle="1" w:styleId="NoteCharChar">
    <w:name w:val="Note Char Char"/>
    <w:link w:val="Note"/>
    <w:rsid w:val="008D75EB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NoteNumberCharChar">
    <w:name w:val="Note Number Char Char"/>
    <w:link w:val="NoteNumber"/>
    <w:rsid w:val="00EE7AC8"/>
    <w:rPr>
      <w:rFonts w:ascii="Franklin Gothic Book" w:hAnsi="Franklin Gothic Book"/>
      <w:sz w:val="14"/>
      <w:szCs w:val="14"/>
      <w:lang w:val="en-AU" w:eastAsia="en-US" w:bidi="ar-SA"/>
    </w:rPr>
  </w:style>
  <w:style w:type="character" w:customStyle="1" w:styleId="TitleChar">
    <w:name w:val="Title Char"/>
    <w:link w:val="Title"/>
    <w:rsid w:val="00E77D0C"/>
    <w:rPr>
      <w:rFonts w:ascii="Franklin Gothic Book" w:hAnsi="Franklin Gothic Book"/>
      <w:color w:val="FFFFFF"/>
      <w:spacing w:val="-10"/>
      <w:kern w:val="28"/>
      <w:sz w:val="46"/>
      <w:szCs w:val="46"/>
      <w:lang w:val="en-AU" w:eastAsia="en-AU" w:bidi="ar-SA"/>
    </w:rPr>
  </w:style>
  <w:style w:type="character" w:customStyle="1" w:styleId="SubtitleChar">
    <w:name w:val="Subtitle Char"/>
    <w:link w:val="Subtitle"/>
    <w:rsid w:val="005B522F"/>
    <w:rPr>
      <w:rFonts w:ascii="Franklin Gothic Book" w:hAnsi="Franklin Gothic Book"/>
      <w:color w:val="FFFFFF"/>
      <w:spacing w:val="-10"/>
      <w:kern w:val="28"/>
      <w:sz w:val="32"/>
      <w:szCs w:val="32"/>
      <w:lang w:val="en-AU" w:eastAsia="en-AU" w:bidi="ar-SA"/>
    </w:rPr>
  </w:style>
  <w:style w:type="character" w:customStyle="1" w:styleId="DateChar">
    <w:name w:val="Date Char"/>
    <w:link w:val="Date"/>
    <w:rsid w:val="00A53A6B"/>
    <w:rPr>
      <w:rFonts w:ascii="Franklin Gothic Book" w:hAnsi="Franklin Gothic Book"/>
      <w:color w:val="FFFFFF"/>
      <w:spacing w:val="-10"/>
      <w:kern w:val="28"/>
      <w:sz w:val="24"/>
      <w:szCs w:val="24"/>
      <w:lang w:val="en-AU" w:eastAsia="en-AU" w:bidi="ar-SA"/>
    </w:rPr>
  </w:style>
  <w:style w:type="character" w:customStyle="1" w:styleId="AuthorCharChar">
    <w:name w:val="Author Char Char"/>
    <w:link w:val="Author"/>
    <w:rsid w:val="0075426C"/>
    <w:rPr>
      <w:rFonts w:ascii="Franklin Gothic Medium" w:hAnsi="Franklin Gothic Medium"/>
      <w:color w:val="FFFFFF"/>
      <w:spacing w:val="-2"/>
      <w:kern w:val="28"/>
      <w:sz w:val="24"/>
      <w:szCs w:val="24"/>
      <w:lang w:val="en-AU" w:eastAsia="en-AU" w:bidi="ar-SA"/>
    </w:rPr>
  </w:style>
  <w:style w:type="character" w:customStyle="1" w:styleId="PositionCharChar">
    <w:name w:val="Position Char Char"/>
    <w:link w:val="Position"/>
    <w:rsid w:val="0075426C"/>
    <w:rPr>
      <w:rFonts w:ascii="Franklin Gothic Book" w:hAnsi="Franklin Gothic Book"/>
      <w:color w:val="FFFFFF"/>
      <w:spacing w:val="-2"/>
      <w:kern w:val="28"/>
      <w:sz w:val="24"/>
      <w:szCs w:val="24"/>
      <w:lang w:val="en-AU" w:eastAsia="en-AU" w:bidi="ar-SA"/>
    </w:rPr>
  </w:style>
  <w:style w:type="paragraph" w:customStyle="1" w:styleId="Appendix">
    <w:name w:val="Appendix"/>
    <w:basedOn w:val="Normal"/>
    <w:semiHidden/>
    <w:rsid w:val="00205AA6"/>
    <w:pPr>
      <w:framePr w:wrap="around" w:vAnchor="text" w:hAnchor="text" w:y="1"/>
    </w:pPr>
    <w:rPr>
      <w:rFonts w:ascii="Franklin Gothic Medium" w:hAnsi="Franklin Gothic Medium"/>
      <w:color w:val="7E6D5F"/>
      <w:sz w:val="32"/>
      <w:szCs w:val="32"/>
    </w:rPr>
  </w:style>
  <w:style w:type="paragraph" w:customStyle="1" w:styleId="Photocaption">
    <w:name w:val="Photo caption"/>
    <w:basedOn w:val="Normal"/>
    <w:next w:val="BodyText"/>
    <w:semiHidden/>
    <w:rsid w:val="00187D56"/>
    <w:pPr>
      <w:spacing w:before="140" w:after="240" w:line="180" w:lineRule="exact"/>
    </w:pPr>
    <w:rPr>
      <w:rFonts w:ascii="Franklin Gothic Medium" w:hAnsi="Franklin Gothic Medium"/>
      <w:color w:val="54534A"/>
      <w:sz w:val="14"/>
      <w:szCs w:val="14"/>
    </w:rPr>
  </w:style>
  <w:style w:type="paragraph" w:customStyle="1" w:styleId="CharChar0">
    <w:name w:val="Char Char"/>
    <w:basedOn w:val="Normal"/>
    <w:semiHidden/>
    <w:rsid w:val="00953A8D"/>
    <w:pPr>
      <w:spacing w:before="180" w:line="280" w:lineRule="atLeast"/>
    </w:pPr>
    <w:rPr>
      <w:rFonts w:ascii="Arial" w:hAnsi="Arial"/>
      <w:sz w:val="22"/>
      <w:szCs w:val="20"/>
      <w:lang w:eastAsia="en-US"/>
    </w:rPr>
  </w:style>
  <w:style w:type="table" w:styleId="TableGrid">
    <w:name w:val="Table Grid"/>
    <w:basedOn w:val="TableNormal"/>
    <w:semiHidden/>
    <w:rsid w:val="005C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tingred">
    <w:name w:val="Rating red"/>
    <w:basedOn w:val="ListBullet"/>
    <w:semiHidden/>
    <w:rsid w:val="001C6E03"/>
  </w:style>
  <w:style w:type="paragraph" w:customStyle="1" w:styleId="Ratingbullet">
    <w:name w:val="Rating bullet"/>
    <w:basedOn w:val="TableTextEntries"/>
    <w:semiHidden/>
    <w:rsid w:val="001C6E03"/>
    <w:pPr>
      <w:jc w:val="center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911B9C"/>
    <w:pPr>
      <w:spacing w:before="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911B9C"/>
    <w:rPr>
      <w:rFonts w:ascii="Tahoma" w:hAnsi="Tahoma" w:cs="Tahoma"/>
      <w:sz w:val="16"/>
      <w:szCs w:val="16"/>
    </w:rPr>
  </w:style>
  <w:style w:type="paragraph" w:customStyle="1" w:styleId="Rating">
    <w:name w:val="Rating"/>
    <w:basedOn w:val="BodyText"/>
    <w:next w:val="BodyText"/>
    <w:semiHidden/>
    <w:rsid w:val="00230BD1"/>
    <w:pPr>
      <w:tabs>
        <w:tab w:val="left" w:pos="567"/>
      </w:tabs>
    </w:pPr>
  </w:style>
  <w:style w:type="paragraph" w:customStyle="1" w:styleId="GuidanceText">
    <w:name w:val="Guidance Text"/>
    <w:basedOn w:val="BodyText"/>
    <w:semiHidden/>
    <w:rsid w:val="001B11EB"/>
    <w:pPr>
      <w:spacing w:before="60" w:after="60" w:line="240" w:lineRule="atLeast"/>
    </w:pPr>
    <w:rPr>
      <w:rFonts w:ascii="Calibri" w:hAnsi="Calibri"/>
      <w:color w:val="0000FF"/>
      <w:sz w:val="20"/>
      <w:szCs w:val="20"/>
    </w:rPr>
  </w:style>
  <w:style w:type="character" w:customStyle="1" w:styleId="CharChar4">
    <w:name w:val="Char Char4"/>
    <w:rsid w:val="0035177E"/>
    <w:rPr>
      <w:rFonts w:ascii="Georgia" w:hAnsi="Georgia"/>
      <w:sz w:val="19"/>
      <w:szCs w:val="19"/>
      <w:lang w:val="en-AU" w:eastAsia="en-AU" w:bidi="ar-SA"/>
    </w:rPr>
  </w:style>
  <w:style w:type="character" w:customStyle="1" w:styleId="BoxTextChar">
    <w:name w:val="Box Text Char"/>
    <w:link w:val="BoxText"/>
    <w:rsid w:val="00CA6414"/>
    <w:rPr>
      <w:rFonts w:ascii="Franklin Gothic Book" w:hAnsi="Franklin Gothic Book"/>
      <w:sz w:val="18"/>
      <w:szCs w:val="18"/>
      <w:lang w:val="en-AU" w:eastAsia="en-AU" w:bidi="ar-SA"/>
    </w:rPr>
  </w:style>
  <w:style w:type="character" w:customStyle="1" w:styleId="Heading1Char">
    <w:name w:val="Heading 1 Char"/>
    <w:link w:val="Heading1"/>
    <w:rsid w:val="00BC36DE"/>
    <w:rPr>
      <w:rFonts w:ascii="Georgia" w:hAnsi="Georgia"/>
      <w:sz w:val="19"/>
      <w:szCs w:val="19"/>
      <w:lang w:val="en-AU" w:eastAsia="en-AU" w:bidi="ar-SA"/>
    </w:rPr>
  </w:style>
  <w:style w:type="character" w:customStyle="1" w:styleId="Heading2Char">
    <w:name w:val="Heading 2 Char"/>
    <w:link w:val="Heading2"/>
    <w:rsid w:val="00BC36DE"/>
    <w:rPr>
      <w:rFonts w:ascii="Franklin Gothic Medium" w:hAnsi="Franklin Gothic Medium"/>
      <w:color w:val="5A9A98"/>
      <w:sz w:val="24"/>
      <w:szCs w:val="24"/>
      <w:lang w:val="en-AU" w:eastAsia="en-AU" w:bidi="ar-SA"/>
    </w:rPr>
  </w:style>
  <w:style w:type="character" w:customStyle="1" w:styleId="CharChar1">
    <w:name w:val="Char Char1"/>
    <w:locked/>
    <w:rsid w:val="00F263D9"/>
    <w:rPr>
      <w:rFonts w:ascii="Georgia" w:hAnsi="Georgia"/>
      <w:sz w:val="19"/>
      <w:szCs w:val="19"/>
      <w:lang w:val="en-AU" w:eastAsia="en-AU" w:bidi="ar-SA"/>
    </w:rPr>
  </w:style>
  <w:style w:type="character" w:customStyle="1" w:styleId="CharChar40">
    <w:name w:val="Char Char4"/>
    <w:locked/>
    <w:rsid w:val="00F263D9"/>
    <w:rPr>
      <w:rFonts w:ascii="Georgia" w:hAnsi="Georgia"/>
      <w:sz w:val="19"/>
      <w:szCs w:val="19"/>
      <w:lang w:val="en-AU" w:eastAsia="en-AU" w:bidi="ar-SA"/>
    </w:rPr>
  </w:style>
  <w:style w:type="character" w:customStyle="1" w:styleId="st1">
    <w:name w:val="st1"/>
    <w:rsid w:val="00BA120C"/>
  </w:style>
  <w:style w:type="paragraph" w:styleId="Revision">
    <w:name w:val="Revision"/>
    <w:hidden/>
    <w:uiPriority w:val="99"/>
    <w:semiHidden/>
    <w:rsid w:val="00504EF4"/>
    <w:rPr>
      <w:szCs w:val="24"/>
      <w:lang w:val="en-AU" w:eastAsia="en-AU"/>
    </w:rPr>
  </w:style>
  <w:style w:type="character" w:customStyle="1" w:styleId="Heading3Char">
    <w:name w:val="Heading 3 Char"/>
    <w:link w:val="Heading3"/>
    <w:rsid w:val="00E85227"/>
    <w:rPr>
      <w:rFonts w:ascii="Franklin Gothic Medium" w:hAnsi="Franklin Gothic Medium"/>
      <w:color w:val="54534A"/>
      <w:sz w:val="22"/>
      <w:szCs w:val="22"/>
      <w:lang w:eastAsia="en-AU"/>
    </w:rPr>
  </w:style>
  <w:style w:type="paragraph" w:customStyle="1" w:styleId="H1">
    <w:name w:val="H1"/>
    <w:basedOn w:val="Normal"/>
    <w:qFormat/>
    <w:rsid w:val="00102915"/>
    <w:pPr>
      <w:keepNext/>
      <w:spacing w:after="100" w:line="320" w:lineRule="atLeast"/>
      <w:outlineLvl w:val="0"/>
    </w:pPr>
    <w:rPr>
      <w:rFonts w:ascii="Franklin Gothic Demi" w:hAnsi="Franklin Gothic Demi"/>
      <w:color w:val="AD495D"/>
      <w:kern w:val="28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1015"/>
    <w:pPr>
      <w:keepNext/>
      <w:keepLines/>
      <w:spacing w:before="480" w:after="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usaid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roc\Local%20Settings\Temporary%20Internet%20Files\OLK5\APPR%20Public%20Report%20Template-1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AEE932-71EB-4A20-BDC3-59FCE9BE8F14}"/>
</file>

<file path=customXml/itemProps2.xml><?xml version="1.0" encoding="utf-8"?>
<ds:datastoreItem xmlns:ds="http://schemas.openxmlformats.org/officeDocument/2006/customXml" ds:itemID="{5789C4DD-9718-4A55-B423-A880AB36AC86}"/>
</file>

<file path=customXml/itemProps3.xml><?xml version="1.0" encoding="utf-8"?>
<ds:datastoreItem xmlns:ds="http://schemas.openxmlformats.org/officeDocument/2006/customXml" ds:itemID="{033CFE62-5AB3-4BAC-BB0B-8043FB8B0D26}"/>
</file>

<file path=customXml/itemProps4.xml><?xml version="1.0" encoding="utf-8"?>
<ds:datastoreItem xmlns:ds="http://schemas.openxmlformats.org/officeDocument/2006/customXml" ds:itemID="{2E700408-9EFA-4D70-96D7-1500A89BE20F}"/>
</file>

<file path=customXml/itemProps5.xml><?xml version="1.0" encoding="utf-8"?>
<ds:datastoreItem xmlns:ds="http://schemas.openxmlformats.org/officeDocument/2006/customXml" ds:itemID="{5300DD86-8C51-4884-8E04-3496CC59825B}"/>
</file>

<file path=docProps/app.xml><?xml version="1.0" encoding="utf-8"?>
<Properties xmlns="http://schemas.openxmlformats.org/officeDocument/2006/extended-properties" xmlns:vt="http://schemas.openxmlformats.org/officeDocument/2006/docPropsVTypes">
  <Template>APPR Public Report Template-123</Template>
  <TotalTime>0</TotalTime>
  <Pages>9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 20010</vt:lpstr>
    </vt:vector>
  </TitlesOfParts>
  <Manager>AusAID ADG OPS</Manager>
  <Company>AusAID</Company>
  <LinksUpToDate>false</LinksUpToDate>
  <CharactersWithSpaces>27267</CharactersWithSpaces>
  <SharedDoc>false</SharedDoc>
  <HLinks>
    <vt:vector size="96" baseType="variant">
      <vt:variant>
        <vt:i4>4849744</vt:i4>
      </vt:variant>
      <vt:variant>
        <vt:i4>93</vt:i4>
      </vt:variant>
      <vt:variant>
        <vt:i4>0</vt:i4>
      </vt:variant>
      <vt:variant>
        <vt:i4>5</vt:i4>
      </vt:variant>
      <vt:variant>
        <vt:lpwstr>http://www.ausaid.gov.au/</vt:lpwstr>
      </vt:variant>
      <vt:variant>
        <vt:lpwstr/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_Toc360972068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_Toc360972067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_Toc360972066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_Toc360972065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_Toc360972064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_Toc360972063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_Toc360972062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_Toc360972061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_Toc360972060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_Toc360972059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_Toc360972058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_Toc360972057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_Toc360972056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_Toc360972055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_Toc360972054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 20010</dc:title>
  <dc:creator>Catherine Herron</dc:creator>
  <cp:keywords>APPR</cp:keywords>
  <dc:description>Current to August 2011</dc:description>
  <cp:lastModifiedBy>MKhattab</cp:lastModifiedBy>
  <cp:revision>3</cp:revision>
  <cp:lastPrinted>2011-10-28T14:11:00Z</cp:lastPrinted>
  <dcterms:created xsi:type="dcterms:W3CDTF">2013-07-09T13:20:00Z</dcterms:created>
  <dcterms:modified xsi:type="dcterms:W3CDTF">2013-07-09T13:23:00Z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r8>125300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0x01010050F19AC2165D2E47A5E6B7F563E4CF00</vt:lpwstr>
  </property>
  <property fmtid="{D5CDD505-2E9C-101B-9397-08002B2CF9AE}" pid="11" name="PublishingContact">
    <vt:lpwstr/>
  </property>
  <property fmtid="{D5CDD505-2E9C-101B-9397-08002B2CF9AE}" pid="12" name="WCMSPublicationSubCategory">
    <vt:lpwstr/>
  </property>
  <property fmtid="{D5CDD505-2E9C-101B-9397-08002B2CF9AE}" pid="13" name="WCMSIPSSubCategory">
    <vt:lpwstr/>
  </property>
  <property fmtid="{D5CDD505-2E9C-101B-9397-08002B2CF9AE}" pid="14" name="PublishingRollupImage">
    <vt:lpwstr/>
  </property>
  <property fmtid="{D5CDD505-2E9C-101B-9397-08002B2CF9AE}" pid="15" name="AusAIDAggregationLevel">
    <vt:lpwstr/>
  </property>
  <property fmtid="{D5CDD505-2E9C-101B-9397-08002B2CF9AE}" pid="16" name="WCMSStatus">
    <vt:lpwstr/>
  </property>
  <property fmtid="{D5CDD505-2E9C-101B-9397-08002B2CF9AE}" pid="17" name="PublishingContactEmail">
    <vt:lpwstr/>
  </property>
  <property fmtid="{D5CDD505-2E9C-101B-9397-08002B2CF9AE}" pid="18" name="WCMSPrintedMedia">
    <vt:bool>false</vt:bool>
  </property>
  <property fmtid="{D5CDD505-2E9C-101B-9397-08002B2CF9AE}" pid="19" name="WCMSIPSCategory">
    <vt:lpwstr/>
  </property>
  <property fmtid="{D5CDD505-2E9C-101B-9397-08002B2CF9AE}" pid="20" name="RSS Feed Link">
    <vt:lpwstr/>
  </property>
  <property fmtid="{D5CDD505-2E9C-101B-9397-08002B2CF9AE}" pid="21" name="WCMSDocumentLink">
    <vt:lpwstr/>
  </property>
  <property fmtid="{D5CDD505-2E9C-101B-9397-08002B2CF9AE}" pid="22" name="WCMSReportDisclaimer">
    <vt:bool>false</vt:bool>
  </property>
  <property fmtid="{D5CDD505-2E9C-101B-9397-08002B2CF9AE}" pid="23" name="PublishingVariationRelationshipLinkFieldID">
    <vt:lpwstr/>
  </property>
  <property fmtid="{D5CDD505-2E9C-101B-9397-08002B2CF9AE}" pid="24" name="WCMSPublicationCategory">
    <vt:lpwstr/>
  </property>
  <property fmtid="{D5CDD505-2E9C-101B-9397-08002B2CF9AE}" pid="25" name="WCMSElectronicMedia">
    <vt:bool>false</vt:bool>
  </property>
  <property fmtid="{D5CDD505-2E9C-101B-9397-08002B2CF9AE}" pid="26" name="Comments">
    <vt:lpwstr/>
  </property>
  <property fmtid="{D5CDD505-2E9C-101B-9397-08002B2CF9AE}" pid="27" name="PublishingPageLayout">
    <vt:lpwstr/>
  </property>
  <property fmtid="{D5CDD505-2E9C-101B-9397-08002B2CF9AE}" pid="28" name="WCMSCountry">
    <vt:lpwstr/>
  </property>
  <property fmtid="{D5CDD505-2E9C-101B-9397-08002B2CF9AE}" pid="29" name="WCMSSourceId">
    <vt:lpwstr/>
  </property>
  <property fmtid="{D5CDD505-2E9C-101B-9397-08002B2CF9AE}" pid="30" name="WCMSLatest">
    <vt:bool>false</vt:bool>
  </property>
  <property fmtid="{D5CDD505-2E9C-101B-9397-08002B2CF9AE}" pid="31" name="WCMSPublicationFormat">
    <vt:lpwstr/>
  </property>
  <property fmtid="{D5CDD505-2E9C-101B-9397-08002B2CF9AE}" pid="32" name="AusAIDPageSubjectMetadata">
    <vt:lpwstr/>
  </property>
  <property fmtid="{D5CDD505-2E9C-101B-9397-08002B2CF9AE}" pid="33" name="AusAIDCategoryMetadata">
    <vt:lpwstr/>
  </property>
  <property fmtid="{D5CDD505-2E9C-101B-9397-08002B2CF9AE}" pid="34" name="AusAIDDocumentTypeMetaData">
    <vt:lpwstr/>
  </property>
  <property fmtid="{D5CDD505-2E9C-101B-9397-08002B2CF9AE}" pid="35" name="WCMSLanguage">
    <vt:lpwstr/>
  </property>
  <property fmtid="{D5CDD505-2E9C-101B-9397-08002B2CF9AE}" pid="36" name="Audience">
    <vt:lpwstr/>
  </property>
  <property fmtid="{D5CDD505-2E9C-101B-9397-08002B2CF9AE}" pid="37" name="WCMSDescription">
    <vt:lpwstr/>
  </property>
  <property fmtid="{D5CDD505-2E9C-101B-9397-08002B2CF9AE}" pid="39" name="WCMSOtherCategory">
    <vt:lpwstr/>
  </property>
  <property fmtid="{D5CDD505-2E9C-101B-9397-08002B2CF9AE}" pid="40" name="AusAIDPageDescriptionMetadata">
    <vt:lpwstr/>
  </property>
  <property fmtid="{D5CDD505-2E9C-101B-9397-08002B2CF9AE}" pid="41" name="WCMSTheme">
    <vt:lpwstr/>
  </property>
  <property fmtid="{D5CDD505-2E9C-101B-9397-08002B2CF9AE}" pid="42" name="WCMSISBNISSN">
    <vt:lpwstr/>
  </property>
  <property fmtid="{D5CDD505-2E9C-101B-9397-08002B2CF9AE}" pid="43" name="PublishingContactPicture">
    <vt:lpwstr/>
  </property>
  <property fmtid="{D5CDD505-2E9C-101B-9397-08002B2CF9AE}" pid="44" name="PublishingVariationGroupID">
    <vt:lpwstr/>
  </property>
  <property fmtid="{D5CDD505-2E9C-101B-9397-08002B2CF9AE}" pid="45" name="AusAIDIdentifierMetadata">
    <vt:lpwstr/>
  </property>
  <property fmtid="{D5CDD505-2E9C-101B-9397-08002B2CF9AE}" pid="46" name="PublishingContactName">
    <vt:lpwstr/>
  </property>
  <property fmtid="{D5CDD505-2E9C-101B-9397-08002B2CF9AE}" pid="47" name="WCMSRegion">
    <vt:lpwstr/>
  </property>
  <property fmtid="{D5CDD505-2E9C-101B-9397-08002B2CF9AE}" pid="48" name="WCMSPublicationAuthor">
    <vt:lpwstr/>
  </property>
  <property fmtid="{D5CDD505-2E9C-101B-9397-08002B2CF9AE}" pid="49" name="display_urn">
    <vt:lpwstr>System Account</vt:lpwstr>
  </property>
</Properties>
</file>