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BD" w:rsidRPr="001B4780" w:rsidRDefault="00937EBD" w:rsidP="00937EBD">
      <w:pPr>
        <w:widowControl/>
        <w:spacing w:after="0" w:line="240" w:lineRule="auto"/>
        <w:rPr>
          <w:rFonts w:ascii="Arial" w:eastAsia="Times New Roman" w:hAnsi="Arial" w:cs="Arial"/>
          <w:sz w:val="24"/>
          <w:szCs w:val="24"/>
          <w:lang w:val="en-AU"/>
        </w:rPr>
      </w:pPr>
      <w:bookmarkStart w:id="0" w:name="_GoBack"/>
      <w:bookmarkEnd w:id="0"/>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A462CC" w:rsidRPr="001B4780" w:rsidRDefault="00DD5EEC" w:rsidP="00A462CC">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t>17 June</w:t>
      </w:r>
      <w:r w:rsidR="00A462CC" w:rsidRPr="001B4780">
        <w:rPr>
          <w:rFonts w:ascii="Times New Roman" w:hAnsi="Times New Roman" w:cs="Times New Roman"/>
          <w:sz w:val="24"/>
          <w:szCs w:val="24"/>
          <w:lang w:val="en-AU"/>
        </w:rPr>
        <w:t xml:space="preserve"> 2015</w:t>
      </w:r>
    </w:p>
    <w:p w:rsidR="009128DF" w:rsidRPr="001B4780" w:rsidRDefault="009128DF" w:rsidP="009128DF">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Pr>
          <w:rFonts w:ascii="Times New Roman" w:hAnsi="Times New Roman" w:cs="Times New Roman"/>
          <w:sz w:val="24"/>
          <w:szCs w:val="24"/>
          <w:lang w:val="en-AU"/>
        </w:rPr>
        <w:t>Gao</w:t>
      </w:r>
      <w:proofErr w:type="gram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Hucheng</w:t>
      </w:r>
      <w:proofErr w:type="spellEnd"/>
    </w:p>
    <w:p w:rsidR="009128DF" w:rsidRPr="001B4780" w:rsidRDefault="009128DF" w:rsidP="009128DF">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Minister</w:t>
      </w:r>
      <w:r>
        <w:rPr>
          <w:rFonts w:ascii="Times New Roman" w:eastAsiaTheme="minorEastAsia" w:hAnsi="Times New Roman" w:cs="Times New Roman" w:hint="eastAsia"/>
          <w:sz w:val="24"/>
          <w:szCs w:val="24"/>
          <w:lang w:val="en-AU" w:eastAsia="zh-CN"/>
        </w:rPr>
        <w:t xml:space="preserve"> </w:t>
      </w:r>
      <w:r>
        <w:rPr>
          <w:rFonts w:ascii="Times New Roman" w:hAnsi="Times New Roman" w:cs="Times New Roman"/>
          <w:sz w:val="24"/>
          <w:szCs w:val="24"/>
          <w:lang w:val="en-AU"/>
        </w:rPr>
        <w:t>of Commerce</w:t>
      </w:r>
    </w:p>
    <w:p w:rsidR="009128DF" w:rsidRPr="00C61729" w:rsidRDefault="009128DF" w:rsidP="009128DF">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Dear </w:t>
      </w:r>
      <w:r w:rsidR="00757FBD">
        <w:rPr>
          <w:rFonts w:ascii="Times New Roman" w:hAnsi="Times New Roman" w:cs="Times New Roman"/>
          <w:sz w:val="24"/>
          <w:szCs w:val="24"/>
          <w:lang w:val="en-AU"/>
        </w:rPr>
        <w:t>M</w:t>
      </w:r>
      <w:r w:rsidR="00DD5EEC">
        <w:rPr>
          <w:rFonts w:ascii="Times New Roman" w:hAnsi="Times New Roman" w:cs="Times New Roman"/>
          <w:sz w:val="24"/>
          <w:szCs w:val="24"/>
          <w:lang w:val="en-AU"/>
        </w:rPr>
        <w:t>iniste</w:t>
      </w:r>
      <w:r w:rsidR="00757FBD">
        <w:rPr>
          <w:rFonts w:ascii="Times New Roman" w:hAnsi="Times New Roman" w:cs="Times New Roman"/>
          <w:sz w:val="24"/>
          <w:szCs w:val="24"/>
          <w:lang w:val="en-AU"/>
        </w:rPr>
        <w:t>r</w:t>
      </w:r>
      <w:r>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Gao</w:t>
      </w:r>
      <w:proofErr w:type="gramEnd"/>
      <w:r w:rsidRPr="001B4780">
        <w:rPr>
          <w:rFonts w:ascii="Times New Roman" w:hAnsi="Times New Roman" w:cs="Times New Roman"/>
          <w:sz w:val="24"/>
          <w:szCs w:val="24"/>
          <w:lang w:val="en-AU"/>
        </w:rPr>
        <w:t>,</w:t>
      </w: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757FBD"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757FBD">
        <w:rPr>
          <w:rFonts w:ascii="Times New Roman" w:eastAsia="Times New Roman" w:hAnsi="Times New Roman" w:cs="Times New Roman"/>
          <w:sz w:val="24"/>
          <w:szCs w:val="24"/>
          <w:lang w:val="en-AU" w:eastAsia="en-AU"/>
        </w:rPr>
        <w:t>I have the honour to acknowledge receipt of your letter of this date, which reads as follows:</w:t>
      </w:r>
    </w:p>
    <w:p w:rsidR="00937EBD" w:rsidRPr="00757FBD"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757FBD"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r w:rsidRPr="00757FBD">
        <w:rPr>
          <w:rFonts w:ascii="Times New Roman" w:eastAsia="Times New Roman" w:hAnsi="Times New Roman" w:cs="Times New Roman"/>
          <w:sz w:val="24"/>
          <w:szCs w:val="24"/>
          <w:lang w:val="en-AU" w:eastAsia="en-AU"/>
        </w:rPr>
        <w:t xml:space="preserve">“In connection with the signing on this date of the China-Australia Free Trade Agreement (the “Agreement”), I have the honour to confirm the following understandings reached between the delegations of </w:t>
      </w:r>
      <w:r w:rsidR="00220F0F" w:rsidRPr="00757FBD">
        <w:rPr>
          <w:rFonts w:ascii="Times New Roman" w:eastAsia="Times New Roman" w:hAnsi="Times New Roman" w:cs="Times New Roman"/>
          <w:sz w:val="24"/>
          <w:szCs w:val="24"/>
          <w:lang w:val="en-AU" w:eastAsia="en-AU"/>
        </w:rPr>
        <w:t>Australia and China</w:t>
      </w:r>
      <w:r w:rsidRPr="00757FBD">
        <w:rPr>
          <w:rFonts w:ascii="Times New Roman" w:eastAsia="Times New Roman" w:hAnsi="Times New Roman" w:cs="Times New Roman"/>
          <w:sz w:val="24"/>
          <w:szCs w:val="24"/>
          <w:lang w:val="en-AU" w:eastAsia="en-AU"/>
        </w:rPr>
        <w:t xml:space="preserve"> during the course of negotiations regarding Chapter 9 (Investment) of the Agreement:</w:t>
      </w:r>
    </w:p>
    <w:p w:rsidR="00937EBD" w:rsidRPr="00757FBD"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ind w:left="1440"/>
        <w:jc w:val="both"/>
        <w:rPr>
          <w:rFonts w:ascii="Times New Roman" w:eastAsia="Times New Roman" w:hAnsi="Times New Roman" w:cs="Times New Roman"/>
          <w:sz w:val="24"/>
          <w:szCs w:val="24"/>
          <w:lang w:val="en-AU" w:eastAsia="en-AU"/>
        </w:rPr>
      </w:pPr>
      <w:r w:rsidRPr="00757FBD">
        <w:rPr>
          <w:rFonts w:ascii="Times New Roman" w:eastAsia="Times New Roman" w:hAnsi="Times New Roman" w:cs="Times New Roman"/>
          <w:sz w:val="24"/>
          <w:szCs w:val="24"/>
          <w:lang w:val="en-AU" w:eastAsia="en-AU"/>
        </w:rPr>
        <w:t>The Parties shall enter into consultations within 12 months of the date of entry into force of the Agreement on the future application of the United Nations Commission on International Trade Law (UNCITRAL) Rules on Transparency in Treaty-based Investor-State Arbitration (UN Doc A/CN.9/783) (the “UNCITRAL Transparency Rules”) to arbitrations initiated pursuant to Section B of</w:t>
      </w:r>
      <w:r w:rsidRPr="001B4780">
        <w:rPr>
          <w:rFonts w:ascii="Times New Roman" w:eastAsia="Times New Roman" w:hAnsi="Times New Roman" w:cs="Times New Roman"/>
          <w:sz w:val="24"/>
          <w:szCs w:val="24"/>
          <w:lang w:val="en-AU" w:eastAsia="en-AU"/>
        </w:rPr>
        <w:t xml:space="preserve"> Chapter 9 (Investment).</w:t>
      </w:r>
    </w:p>
    <w:p w:rsidR="00937EBD" w:rsidRPr="001B4780" w:rsidRDefault="00937EBD" w:rsidP="00937EBD">
      <w:pPr>
        <w:widowControl/>
        <w:shd w:val="clear" w:color="auto" w:fill="FFFFFF"/>
        <w:spacing w:after="0" w:line="240" w:lineRule="auto"/>
        <w:ind w:left="144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ind w:left="1440"/>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Unless the Parties otherwise agree, the UNCITRAL Transparency Rules shall not apply to arbitrations initiated pursuant to Section B of Chapter 9 (Investment).</w:t>
      </w:r>
    </w:p>
    <w:p w:rsidR="00937EBD" w:rsidRPr="001B4780" w:rsidRDefault="00937EBD" w:rsidP="00937EBD">
      <w:pPr>
        <w:widowControl/>
        <w:shd w:val="clear" w:color="auto" w:fill="FFFFFF"/>
        <w:spacing w:after="0" w:line="240" w:lineRule="auto"/>
        <w:ind w:left="144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rPr>
      </w:pPr>
      <w:r w:rsidRPr="001B4780">
        <w:rPr>
          <w:rFonts w:ascii="Times New Roman" w:eastAsia="Times New Roman" w:hAnsi="Times New Roman" w:cs="Times New Roman"/>
          <w:sz w:val="24"/>
          <w:szCs w:val="24"/>
          <w:lang w:val="en-AU"/>
        </w:rPr>
        <w:t>I have the honour to propose that this letter and your letter in reply confirming that your Government shares these understandings shall constitute an integral part of the Agreement.”</w:t>
      </w: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I have the further honour to confirm that my Government shares these understandings and that your letter and this letter in reply shall constitute an integral part of the Agreement.</w:t>
      </w: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lastRenderedPageBreak/>
        <w:t>Yours sincerely</w:t>
      </w: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2B7DF7" w:rsidP="00937EBD">
      <w:pPr>
        <w:keepNext/>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Andrew Robb</w:t>
      </w:r>
    </w:p>
    <w:p w:rsidR="00937EBD" w:rsidRPr="001B4780" w:rsidRDefault="00937EBD" w:rsidP="00937EBD">
      <w:pPr>
        <w:keepNext/>
        <w:widowControl/>
        <w:spacing w:after="0" w:line="240" w:lineRule="auto"/>
        <w:jc w:val="both"/>
        <w:rPr>
          <w:rFonts w:ascii="Times New Roman" w:hAnsi="Times New Roman" w:cs="Times New Roman"/>
          <w:sz w:val="24"/>
          <w:szCs w:val="24"/>
          <w:lang w:val="en-AU"/>
        </w:rPr>
        <w:sectPr w:rsidR="00937EBD" w:rsidRPr="001B4780" w:rsidSect="004749EF">
          <w:headerReference w:type="first" r:id="rId9"/>
          <w:footerReference w:type="first" r:id="rId10"/>
          <w:footnotePr>
            <w:numRestart w:val="eachSect"/>
          </w:footnotePr>
          <w:pgSz w:w="11906" w:h="16838" w:code="9"/>
          <w:pgMar w:top="1021" w:right="1134" w:bottom="1418" w:left="1304" w:header="1021" w:footer="737" w:gutter="0"/>
          <w:cols w:space="708"/>
          <w:titlePg/>
          <w:docGrid w:linePitch="360"/>
        </w:sectPr>
      </w:pPr>
    </w:p>
    <w:p w:rsidR="002B7DF7" w:rsidRPr="001B4780" w:rsidRDefault="00DD5EEC" w:rsidP="002B7DF7">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lastRenderedPageBreak/>
        <w:t>17 June</w:t>
      </w:r>
      <w:r w:rsidR="002B7DF7" w:rsidRPr="001B4780">
        <w:rPr>
          <w:rFonts w:ascii="Times New Roman" w:hAnsi="Times New Roman" w:cs="Times New Roman"/>
          <w:sz w:val="24"/>
          <w:szCs w:val="24"/>
          <w:lang w:val="en-AU"/>
        </w:rPr>
        <w:t xml:space="preserve"> 2015</w:t>
      </w:r>
    </w:p>
    <w:p w:rsidR="00937EBD" w:rsidRPr="001B4780" w:rsidRDefault="00937EBD" w:rsidP="00937EBD">
      <w:pPr>
        <w:widowControl/>
        <w:shd w:val="clear" w:color="auto" w:fill="FFFFFF"/>
        <w:spacing w:after="0" w:line="240" w:lineRule="auto"/>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 xml:space="preserve">The Hon Andrew Robb AO, MP </w:t>
      </w:r>
      <w:r w:rsidRPr="001B4780">
        <w:rPr>
          <w:rFonts w:ascii="Times New Roman" w:eastAsia="Times New Roman" w:hAnsi="Times New Roman" w:cs="Times New Roman"/>
          <w:sz w:val="24"/>
          <w:szCs w:val="24"/>
          <w:lang w:val="en-AU" w:eastAsia="en-AU"/>
        </w:rPr>
        <w:br/>
        <w:t xml:space="preserve">Minister for Trade and Investment </w:t>
      </w:r>
      <w:r w:rsidRPr="001B4780">
        <w:rPr>
          <w:rFonts w:ascii="Times New Roman" w:eastAsia="Times New Roman" w:hAnsi="Times New Roman" w:cs="Times New Roman"/>
          <w:sz w:val="24"/>
          <w:szCs w:val="24"/>
          <w:lang w:val="en-AU" w:eastAsia="en-AU"/>
        </w:rPr>
        <w:br/>
        <w:t xml:space="preserve">Parliament House </w:t>
      </w:r>
      <w:r w:rsidRPr="001B4780">
        <w:rPr>
          <w:rFonts w:ascii="Times New Roman" w:eastAsia="Times New Roman" w:hAnsi="Times New Roman" w:cs="Times New Roman"/>
          <w:sz w:val="24"/>
          <w:szCs w:val="24"/>
          <w:lang w:val="en-AU" w:eastAsia="en-AU"/>
        </w:rPr>
        <w:br/>
        <w:t>CANBERRA ACT 2600</w:t>
      </w:r>
    </w:p>
    <w:p w:rsidR="00937EBD" w:rsidRPr="001B4780" w:rsidRDefault="00937EBD" w:rsidP="00937EBD">
      <w:pPr>
        <w:widowControl/>
        <w:shd w:val="clear" w:color="auto" w:fill="FFFFFF"/>
        <w:spacing w:after="0" w:line="240" w:lineRule="auto"/>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Dear Minister Robb</w:t>
      </w:r>
      <w:r w:rsidR="00DD5EEC">
        <w:rPr>
          <w:rFonts w:ascii="Times New Roman" w:eastAsia="Times New Roman" w:hAnsi="Times New Roman" w:cs="Times New Roman"/>
          <w:sz w:val="24"/>
          <w:szCs w:val="24"/>
          <w:lang w:val="en-AU" w:eastAsia="en-AU"/>
        </w:rPr>
        <w:t>,</w:t>
      </w: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757FBD"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 xml:space="preserve">In connection with the signing on this date of the China-Australia Free Trade Agreement (the “Agreement”), I </w:t>
      </w:r>
      <w:r w:rsidRPr="00757FBD">
        <w:rPr>
          <w:rFonts w:ascii="Times New Roman" w:eastAsia="Times New Roman" w:hAnsi="Times New Roman" w:cs="Times New Roman"/>
          <w:sz w:val="24"/>
          <w:szCs w:val="24"/>
          <w:lang w:val="en-AU" w:eastAsia="en-AU"/>
        </w:rPr>
        <w:t xml:space="preserve">have the honour to confirm the following understandings reached between the delegations of </w:t>
      </w:r>
      <w:r w:rsidR="00220F0F" w:rsidRPr="00757FBD">
        <w:rPr>
          <w:rFonts w:ascii="Times New Roman" w:eastAsia="Times New Roman" w:hAnsi="Times New Roman" w:cs="Times New Roman"/>
          <w:sz w:val="24"/>
          <w:szCs w:val="24"/>
          <w:lang w:val="en-AU" w:eastAsia="en-AU"/>
        </w:rPr>
        <w:t>Australia and China</w:t>
      </w:r>
      <w:r w:rsidRPr="00757FBD">
        <w:rPr>
          <w:rFonts w:ascii="Times New Roman" w:eastAsia="Times New Roman" w:hAnsi="Times New Roman" w:cs="Times New Roman"/>
          <w:sz w:val="24"/>
          <w:szCs w:val="24"/>
          <w:lang w:val="en-AU" w:eastAsia="en-AU"/>
        </w:rPr>
        <w:t xml:space="preserve"> during the course of negotiations regarding Chapter 9 (Investment) of the Agreement:</w:t>
      </w:r>
    </w:p>
    <w:p w:rsidR="00937EBD" w:rsidRPr="00757FBD"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r w:rsidRPr="00757FBD">
        <w:rPr>
          <w:rFonts w:ascii="Times New Roman" w:eastAsia="Times New Roman" w:hAnsi="Times New Roman" w:cs="Times New Roman"/>
          <w:sz w:val="24"/>
          <w:szCs w:val="24"/>
          <w:lang w:val="en-AU" w:eastAsia="en-AU"/>
        </w:rPr>
        <w:t>The Parties shall enter into consultations within 12 months of the date of entry into force of the Agreement on the future application of the United Nations Commission on International Trade Law (UNCITRAL) Rules on Transparency</w:t>
      </w:r>
      <w:r w:rsidRPr="001B4780">
        <w:rPr>
          <w:rFonts w:ascii="Times New Roman" w:eastAsia="Times New Roman" w:hAnsi="Times New Roman" w:cs="Times New Roman"/>
          <w:sz w:val="24"/>
          <w:szCs w:val="24"/>
          <w:lang w:val="en-AU" w:eastAsia="en-AU"/>
        </w:rPr>
        <w:t xml:space="preserve"> in Treaty-based Investor-State Arbitration (UN Doc A/CN.9/783) (the “UNCITRAL Transparency Rules”) to arbitrations initiated pursuant to Section B of Chapter 9 (Investment).</w:t>
      </w: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Unless the Parties otherwise agree, the UNCITRAL Transparency Rules shall not apply to arbitrations initiated pursuant to Section B of Chapter 9 (Investment).</w:t>
      </w: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I have the honour to propose that this letter and your letter in reply confirming that your Government shares these understandings shall constitute an integral part of the Agreement.</w:t>
      </w: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Yours sincerely</w:t>
      </w: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2B7DF7" w:rsidRPr="001B4780" w:rsidRDefault="00757FBD" w:rsidP="002B7DF7">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Mr</w:t>
      </w:r>
      <w:r w:rsidR="002B7DF7">
        <w:rPr>
          <w:rFonts w:ascii="Times New Roman" w:hAnsi="Times New Roman" w:cs="Times New Roman"/>
          <w:sz w:val="24"/>
          <w:szCs w:val="24"/>
          <w:lang w:val="en-AU"/>
        </w:rPr>
        <w:t xml:space="preserve"> </w:t>
      </w:r>
      <w:proofErr w:type="gramStart"/>
      <w:r w:rsidR="002B7DF7">
        <w:rPr>
          <w:rFonts w:ascii="Times New Roman" w:hAnsi="Times New Roman" w:cs="Times New Roman"/>
          <w:sz w:val="24"/>
          <w:szCs w:val="24"/>
          <w:lang w:val="en-AU"/>
        </w:rPr>
        <w:t>Gao</w:t>
      </w:r>
      <w:proofErr w:type="gramEnd"/>
      <w:r w:rsidR="002B7DF7">
        <w:rPr>
          <w:rFonts w:ascii="Times New Roman" w:hAnsi="Times New Roman" w:cs="Times New Roman"/>
          <w:sz w:val="24"/>
          <w:szCs w:val="24"/>
          <w:lang w:val="en-AU"/>
        </w:rPr>
        <w:t xml:space="preserve"> </w:t>
      </w:r>
      <w:proofErr w:type="spellStart"/>
      <w:r w:rsidR="002B7DF7">
        <w:rPr>
          <w:rFonts w:ascii="Times New Roman" w:hAnsi="Times New Roman" w:cs="Times New Roman"/>
          <w:sz w:val="24"/>
          <w:szCs w:val="24"/>
          <w:lang w:val="en-AU"/>
        </w:rPr>
        <w:t>Hucheng</w:t>
      </w:r>
      <w:proofErr w:type="spellEnd"/>
    </w:p>
    <w:p w:rsidR="002B7DF7" w:rsidRDefault="002B7DF7" w:rsidP="002B7DF7">
      <w:pPr>
        <w:widowControl/>
        <w:spacing w:after="0" w:line="240" w:lineRule="auto"/>
        <w:jc w:val="both"/>
        <w:rPr>
          <w:rFonts w:ascii="Times New Roman" w:eastAsiaTheme="minorEastAsia" w:hAnsi="Times New Roman" w:cs="Times New Roman"/>
          <w:sz w:val="24"/>
          <w:szCs w:val="24"/>
          <w:lang w:val="en-AU" w:eastAsia="zh-CN"/>
        </w:rPr>
      </w:pPr>
      <w:r>
        <w:rPr>
          <w:rFonts w:ascii="Times New Roman" w:hAnsi="Times New Roman" w:cs="Times New Roman"/>
          <w:sz w:val="24"/>
          <w:szCs w:val="24"/>
          <w:lang w:val="en-AU"/>
        </w:rPr>
        <w:t>Minister of Commerce</w:t>
      </w:r>
    </w:p>
    <w:p w:rsidR="00BD1DA4" w:rsidRPr="00BD1DA4" w:rsidRDefault="00BD1DA4" w:rsidP="002B7DF7">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337CB9" w:rsidRPr="001B4780" w:rsidRDefault="00337CB9" w:rsidP="00EC4888">
      <w:pPr>
        <w:widowControl/>
        <w:spacing w:after="0" w:line="240" w:lineRule="auto"/>
        <w:jc w:val="both"/>
        <w:rPr>
          <w:rFonts w:ascii="Times New Roman" w:hAnsi="Times New Roman" w:cs="Times New Roman"/>
          <w:sz w:val="24"/>
          <w:szCs w:val="24"/>
          <w:lang w:val="en-AU"/>
        </w:rPr>
      </w:pPr>
    </w:p>
    <w:sectPr w:rsidR="00337CB9" w:rsidRPr="001B4780" w:rsidSect="004749EF">
      <w:headerReference w:type="first" r:id="rId11"/>
      <w:footerReference w:type="first" r:id="rId12"/>
      <w:footnotePr>
        <w:numRestart w:val="eachSect"/>
      </w:footnotePr>
      <w:pgSz w:w="11906" w:h="16838"/>
      <w:pgMar w:top="1021" w:right="1134" w:bottom="1418"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80" w:rsidRDefault="001B4780" w:rsidP="008972C8">
      <w:pPr>
        <w:spacing w:after="0" w:line="240" w:lineRule="auto"/>
      </w:pPr>
      <w:r>
        <w:separator/>
      </w:r>
    </w:p>
  </w:endnote>
  <w:endnote w:type="continuationSeparator" w:id="0">
    <w:p w:rsidR="001B4780" w:rsidRDefault="001B4780" w:rsidP="0089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C708D9" w:rsidRDefault="001B4780" w:rsidP="000D27C4">
    <w:pPr>
      <w:pStyle w:val="Footer"/>
      <w:pBdr>
        <w:top w:val="single" w:sz="4" w:space="3" w:color="auto"/>
        <w:bottom w:val="single" w:sz="4" w:space="3" w:color="auto"/>
      </w:pBdr>
      <w:tabs>
        <w:tab w:val="clear" w:pos="4513"/>
        <w:tab w:val="clear" w:pos="9026"/>
        <w:tab w:val="center" w:pos="4678"/>
        <w:tab w:val="right" w:pos="9498"/>
      </w:tabs>
      <w:ind w:right="-85"/>
      <w:rPr>
        <w:rFonts w:ascii="Arial" w:hAnsi="Arial" w:cs="Arial"/>
        <w:sz w:val="18"/>
        <w:szCs w:val="18"/>
      </w:rPr>
    </w:pPr>
    <w:r w:rsidRPr="00C708D9">
      <w:rPr>
        <w:rFonts w:ascii="Arial" w:hAnsi="Arial" w:cs="Arial"/>
        <w:sz w:val="18"/>
        <w:szCs w:val="18"/>
      </w:rPr>
      <w:t>Telephone (02) 6277 7420</w:t>
    </w:r>
    <w:r w:rsidRPr="00C708D9">
      <w:rPr>
        <w:rFonts w:ascii="Arial" w:hAnsi="Arial" w:cs="Arial"/>
        <w:sz w:val="18"/>
        <w:szCs w:val="18"/>
      </w:rPr>
      <w:tab/>
      <w:t>Parliament House, Canberra ACT 2600</w:t>
    </w:r>
    <w:r w:rsidRPr="00C708D9">
      <w:rPr>
        <w:rFonts w:ascii="Arial" w:hAnsi="Arial" w:cs="Arial"/>
        <w:sz w:val="18"/>
        <w:szCs w:val="18"/>
      </w:rPr>
      <w:tab/>
      <w:t>Facsimile (02) 6273 4128</w:t>
    </w:r>
  </w:p>
  <w:p w:rsidR="001B4780" w:rsidRPr="00A15515" w:rsidRDefault="001B4780" w:rsidP="00A15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937EBD" w:rsidRDefault="001B4780" w:rsidP="00A15515">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80" w:rsidRDefault="001B4780" w:rsidP="008972C8">
      <w:pPr>
        <w:spacing w:after="0" w:line="240" w:lineRule="auto"/>
      </w:pPr>
      <w:r>
        <w:separator/>
      </w:r>
    </w:p>
  </w:footnote>
  <w:footnote w:type="continuationSeparator" w:id="0">
    <w:p w:rsidR="001B4780" w:rsidRDefault="001B4780" w:rsidP="00897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1B4780">
    <w:pPr>
      <w:tabs>
        <w:tab w:val="center" w:pos="6588"/>
      </w:tabs>
      <w:spacing w:before="91"/>
      <w:ind w:left="3686" w:right="-23"/>
      <w:rPr>
        <w:sz w:val="20"/>
        <w:szCs w:val="20"/>
      </w:rPr>
    </w:pPr>
    <w:r>
      <w:rPr>
        <w:b/>
        <w:noProof/>
        <w:sz w:val="28"/>
        <w:szCs w:val="28"/>
        <w:lang w:val="en-AU" w:eastAsia="en-AU"/>
      </w:rPr>
      <w:drawing>
        <wp:inline distT="0" distB="0" distL="0" distR="0" wp14:anchorId="14E463F3" wp14:editId="18DB2B9C">
          <wp:extent cx="1158766" cy="850789"/>
          <wp:effectExtent l="0" t="0" r="0" b="0"/>
          <wp:docPr id="4" name="Picture 4" descr="cr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mf"/>
                  <pic:cNvPicPr/>
                </pic:nvPicPr>
                <pic:blipFill>
                  <a:blip r:embed="rId1"/>
                  <a:stretch>
                    <a:fillRect/>
                  </a:stretch>
                </pic:blipFill>
                <pic:spPr>
                  <a:xfrm>
                    <a:off x="0" y="0"/>
                    <a:ext cx="1162012" cy="853172"/>
                  </a:xfrm>
                  <a:prstGeom prst="rect">
                    <a:avLst/>
                  </a:prstGeom>
                </pic:spPr>
              </pic:pic>
            </a:graphicData>
          </a:graphic>
        </wp:inline>
      </w:drawing>
    </w:r>
    <w:r>
      <w:rPr>
        <w:sz w:val="20"/>
        <w:szCs w:val="20"/>
      </w:rPr>
      <w:tab/>
    </w:r>
  </w:p>
  <w:p w:rsidR="001B4780" w:rsidRPr="00354ADF" w:rsidRDefault="001B4780" w:rsidP="000D1B92">
    <w:pPr>
      <w:tabs>
        <w:tab w:val="left" w:pos="6096"/>
      </w:tabs>
      <w:spacing w:before="3"/>
      <w:ind w:right="-301"/>
      <w:rPr>
        <w:rFonts w:ascii="Arial Bold" w:eastAsia="Arial" w:hAnsi="Arial Bold" w:cs="Arial"/>
        <w:b/>
        <w:kern w:val="14"/>
        <w:sz w:val="18"/>
        <w:szCs w:val="18"/>
      </w:rPr>
    </w:pPr>
    <w:r w:rsidRPr="00C708D9">
      <w:rPr>
        <w:rFonts w:ascii="Arial Bold" w:eastAsia="Arial" w:hAnsi="Arial Bold" w:cs="Arial"/>
        <w:b/>
        <w:kern w:val="14"/>
        <w:sz w:val="18"/>
        <w:szCs w:val="18"/>
      </w:rPr>
      <w:t xml:space="preserve">THE HON </w:t>
    </w:r>
    <w:r>
      <w:rPr>
        <w:rFonts w:ascii="Arial Bold" w:eastAsia="Arial" w:hAnsi="Arial Bold" w:cs="Arial"/>
        <w:b/>
        <w:kern w:val="14"/>
        <w:sz w:val="18"/>
        <w:szCs w:val="18"/>
      </w:rPr>
      <w:t>ANDREW ROBB AO</w:t>
    </w:r>
    <w:r w:rsidRPr="00C708D9">
      <w:rPr>
        <w:rFonts w:ascii="Arial Bold" w:eastAsia="Arial" w:hAnsi="Arial Bold" w:cs="Arial"/>
        <w:b/>
        <w:kern w:val="14"/>
        <w:sz w:val="18"/>
        <w:szCs w:val="18"/>
      </w:rPr>
      <w:t xml:space="preserve"> MP</w:t>
    </w:r>
    <w:r w:rsidRPr="00C708D9">
      <w:rPr>
        <w:rFonts w:ascii="Arial Bold" w:eastAsia="Arial" w:hAnsi="Arial Bold" w:cs="Arial"/>
        <w:kern w:val="14"/>
        <w:position w:val="-1"/>
        <w:sz w:val="18"/>
        <w:szCs w:val="18"/>
      </w:rPr>
      <w:tab/>
    </w:r>
    <w:r w:rsidRPr="00C708D9">
      <w:rPr>
        <w:rFonts w:ascii="Arial Bold" w:eastAsia="Arial" w:hAnsi="Arial Bold" w:cs="Arial"/>
        <w:b/>
        <w:kern w:val="14"/>
        <w:sz w:val="18"/>
        <w:szCs w:val="18"/>
      </w:rPr>
      <w:t>MINISTER FOR TRADE</w:t>
    </w:r>
    <w:r>
      <w:rPr>
        <w:rFonts w:ascii="Arial Bold" w:eastAsia="Arial" w:hAnsi="Arial Bold" w:cs="Arial"/>
        <w:b/>
        <w:kern w:val="14"/>
        <w:sz w:val="18"/>
        <w:szCs w:val="18"/>
      </w:rPr>
      <w:t xml:space="preserve"> AND INVESTMENT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ind w:right="-301"/>
      <w:rPr>
        <w:rFonts w:ascii="Arial Bold" w:eastAsia="Arial" w:hAnsi="Arial Bold" w:cs="Arial"/>
        <w:b/>
        <w:kern w:val="14"/>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F06"/>
    <w:multiLevelType w:val="hybridMultilevel"/>
    <w:tmpl w:val="D1A41F4A"/>
    <w:lvl w:ilvl="0" w:tplc="07D6DCE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6A2E3A0C"/>
    <w:multiLevelType w:val="hybridMultilevel"/>
    <w:tmpl w:val="34027BA8"/>
    <w:lvl w:ilvl="0" w:tplc="B994EA4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7C1338AE"/>
    <w:multiLevelType w:val="hybridMultilevel"/>
    <w:tmpl w:val="DFC8BE9C"/>
    <w:lvl w:ilvl="0" w:tplc="773A5532">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9"/>
    <w:rsid w:val="0000256D"/>
    <w:rsid w:val="00030795"/>
    <w:rsid w:val="00054443"/>
    <w:rsid w:val="0006767D"/>
    <w:rsid w:val="000C4C76"/>
    <w:rsid w:val="000D1B92"/>
    <w:rsid w:val="000D27C4"/>
    <w:rsid w:val="000E677E"/>
    <w:rsid w:val="000E7AD0"/>
    <w:rsid w:val="00143A3D"/>
    <w:rsid w:val="001849C6"/>
    <w:rsid w:val="001B4780"/>
    <w:rsid w:val="001F325B"/>
    <w:rsid w:val="00220F0F"/>
    <w:rsid w:val="002504E0"/>
    <w:rsid w:val="002B7DF7"/>
    <w:rsid w:val="002F4612"/>
    <w:rsid w:val="003028D2"/>
    <w:rsid w:val="00337CB9"/>
    <w:rsid w:val="00344A74"/>
    <w:rsid w:val="00354ADF"/>
    <w:rsid w:val="00383CE3"/>
    <w:rsid w:val="00414F66"/>
    <w:rsid w:val="004213DA"/>
    <w:rsid w:val="004749EF"/>
    <w:rsid w:val="00476CD0"/>
    <w:rsid w:val="004A44BC"/>
    <w:rsid w:val="004A44CB"/>
    <w:rsid w:val="004F121D"/>
    <w:rsid w:val="00511B42"/>
    <w:rsid w:val="00536998"/>
    <w:rsid w:val="00566844"/>
    <w:rsid w:val="00575BE0"/>
    <w:rsid w:val="005C3D38"/>
    <w:rsid w:val="005C41A4"/>
    <w:rsid w:val="005D1E12"/>
    <w:rsid w:val="00614E2E"/>
    <w:rsid w:val="0067056D"/>
    <w:rsid w:val="00683461"/>
    <w:rsid w:val="00691409"/>
    <w:rsid w:val="0069611C"/>
    <w:rsid w:val="00697D07"/>
    <w:rsid w:val="00702730"/>
    <w:rsid w:val="00727072"/>
    <w:rsid w:val="0075501F"/>
    <w:rsid w:val="007550CC"/>
    <w:rsid w:val="00757FBD"/>
    <w:rsid w:val="00761EFD"/>
    <w:rsid w:val="00781A60"/>
    <w:rsid w:val="007E0FAD"/>
    <w:rsid w:val="007F0770"/>
    <w:rsid w:val="007F5ADA"/>
    <w:rsid w:val="008171D5"/>
    <w:rsid w:val="00824BFB"/>
    <w:rsid w:val="00846D5E"/>
    <w:rsid w:val="0086190B"/>
    <w:rsid w:val="008629EF"/>
    <w:rsid w:val="00867168"/>
    <w:rsid w:val="008972C8"/>
    <w:rsid w:val="008C28CD"/>
    <w:rsid w:val="00911D03"/>
    <w:rsid w:val="009128DF"/>
    <w:rsid w:val="00913F38"/>
    <w:rsid w:val="00933E82"/>
    <w:rsid w:val="00937EBD"/>
    <w:rsid w:val="00952ED4"/>
    <w:rsid w:val="00983E53"/>
    <w:rsid w:val="00A14383"/>
    <w:rsid w:val="00A15515"/>
    <w:rsid w:val="00A327F0"/>
    <w:rsid w:val="00A462CC"/>
    <w:rsid w:val="00A63BFB"/>
    <w:rsid w:val="00A71272"/>
    <w:rsid w:val="00A97EE1"/>
    <w:rsid w:val="00AB0243"/>
    <w:rsid w:val="00AC082E"/>
    <w:rsid w:val="00AE4195"/>
    <w:rsid w:val="00B12BF8"/>
    <w:rsid w:val="00B62778"/>
    <w:rsid w:val="00B82FEB"/>
    <w:rsid w:val="00B92D9C"/>
    <w:rsid w:val="00BC6CAF"/>
    <w:rsid w:val="00BD1DA4"/>
    <w:rsid w:val="00BE77E3"/>
    <w:rsid w:val="00C102B0"/>
    <w:rsid w:val="00C137F6"/>
    <w:rsid w:val="00C15558"/>
    <w:rsid w:val="00C17DEB"/>
    <w:rsid w:val="00C275AB"/>
    <w:rsid w:val="00C5592D"/>
    <w:rsid w:val="00C61729"/>
    <w:rsid w:val="00C63A5F"/>
    <w:rsid w:val="00C708D9"/>
    <w:rsid w:val="00C7530F"/>
    <w:rsid w:val="00CA4B9B"/>
    <w:rsid w:val="00CC21D6"/>
    <w:rsid w:val="00CF2BC5"/>
    <w:rsid w:val="00D03DA8"/>
    <w:rsid w:val="00D64185"/>
    <w:rsid w:val="00D67B67"/>
    <w:rsid w:val="00DD40B7"/>
    <w:rsid w:val="00DD5EEC"/>
    <w:rsid w:val="00DE7298"/>
    <w:rsid w:val="00EC4888"/>
    <w:rsid w:val="00EC7B79"/>
    <w:rsid w:val="00F30869"/>
    <w:rsid w:val="00F423E4"/>
    <w:rsid w:val="00F839ED"/>
    <w:rsid w:val="00FA1039"/>
    <w:rsid w:val="00FD0B90"/>
    <w:rsid w:val="00FF56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055">
      <w:bodyDiv w:val="1"/>
      <w:marLeft w:val="0"/>
      <w:marRight w:val="0"/>
      <w:marTop w:val="0"/>
      <w:marBottom w:val="0"/>
      <w:divBdr>
        <w:top w:val="none" w:sz="0" w:space="0" w:color="auto"/>
        <w:left w:val="none" w:sz="0" w:space="0" w:color="auto"/>
        <w:bottom w:val="none" w:sz="0" w:space="0" w:color="auto"/>
        <w:right w:val="none" w:sz="0" w:space="0" w:color="auto"/>
      </w:divBdr>
    </w:div>
    <w:div w:id="88817612">
      <w:bodyDiv w:val="1"/>
      <w:marLeft w:val="0"/>
      <w:marRight w:val="0"/>
      <w:marTop w:val="0"/>
      <w:marBottom w:val="0"/>
      <w:divBdr>
        <w:top w:val="none" w:sz="0" w:space="0" w:color="auto"/>
        <w:left w:val="none" w:sz="0" w:space="0" w:color="auto"/>
        <w:bottom w:val="none" w:sz="0" w:space="0" w:color="auto"/>
        <w:right w:val="none" w:sz="0" w:space="0" w:color="auto"/>
      </w:divBdr>
    </w:div>
    <w:div w:id="429282024">
      <w:bodyDiv w:val="1"/>
      <w:marLeft w:val="0"/>
      <w:marRight w:val="0"/>
      <w:marTop w:val="0"/>
      <w:marBottom w:val="0"/>
      <w:divBdr>
        <w:top w:val="none" w:sz="0" w:space="0" w:color="auto"/>
        <w:left w:val="none" w:sz="0" w:space="0" w:color="auto"/>
        <w:bottom w:val="none" w:sz="0" w:space="0" w:color="auto"/>
        <w:right w:val="none" w:sz="0" w:space="0" w:color="auto"/>
      </w:divBdr>
    </w:div>
    <w:div w:id="761488211">
      <w:bodyDiv w:val="1"/>
      <w:marLeft w:val="0"/>
      <w:marRight w:val="0"/>
      <w:marTop w:val="0"/>
      <w:marBottom w:val="0"/>
      <w:divBdr>
        <w:top w:val="none" w:sz="0" w:space="0" w:color="auto"/>
        <w:left w:val="none" w:sz="0" w:space="0" w:color="auto"/>
        <w:bottom w:val="none" w:sz="0" w:space="0" w:color="auto"/>
        <w:right w:val="none" w:sz="0" w:space="0" w:color="auto"/>
      </w:divBdr>
    </w:div>
    <w:div w:id="960771308">
      <w:bodyDiv w:val="1"/>
      <w:marLeft w:val="0"/>
      <w:marRight w:val="0"/>
      <w:marTop w:val="0"/>
      <w:marBottom w:val="0"/>
      <w:divBdr>
        <w:top w:val="none" w:sz="0" w:space="0" w:color="auto"/>
        <w:left w:val="none" w:sz="0" w:space="0" w:color="auto"/>
        <w:bottom w:val="none" w:sz="0" w:space="0" w:color="auto"/>
        <w:right w:val="none" w:sz="0" w:space="0" w:color="auto"/>
      </w:divBdr>
    </w:div>
    <w:div w:id="999039026">
      <w:bodyDiv w:val="1"/>
      <w:marLeft w:val="0"/>
      <w:marRight w:val="0"/>
      <w:marTop w:val="0"/>
      <w:marBottom w:val="0"/>
      <w:divBdr>
        <w:top w:val="none" w:sz="0" w:space="0" w:color="auto"/>
        <w:left w:val="none" w:sz="0" w:space="0" w:color="auto"/>
        <w:bottom w:val="none" w:sz="0" w:space="0" w:color="auto"/>
        <w:right w:val="none" w:sz="0" w:space="0" w:color="auto"/>
      </w:divBdr>
    </w:div>
    <w:div w:id="1042365541">
      <w:bodyDiv w:val="1"/>
      <w:marLeft w:val="0"/>
      <w:marRight w:val="0"/>
      <w:marTop w:val="0"/>
      <w:marBottom w:val="0"/>
      <w:divBdr>
        <w:top w:val="none" w:sz="0" w:space="0" w:color="auto"/>
        <w:left w:val="none" w:sz="0" w:space="0" w:color="auto"/>
        <w:bottom w:val="none" w:sz="0" w:space="0" w:color="auto"/>
        <w:right w:val="none" w:sz="0" w:space="0" w:color="auto"/>
      </w:divBdr>
    </w:div>
    <w:div w:id="1610309221">
      <w:bodyDiv w:val="1"/>
      <w:marLeft w:val="0"/>
      <w:marRight w:val="0"/>
      <w:marTop w:val="0"/>
      <w:marBottom w:val="0"/>
      <w:divBdr>
        <w:top w:val="none" w:sz="0" w:space="0" w:color="auto"/>
        <w:left w:val="none" w:sz="0" w:space="0" w:color="auto"/>
        <w:bottom w:val="none" w:sz="0" w:space="0" w:color="auto"/>
        <w:right w:val="none" w:sz="0" w:space="0" w:color="auto"/>
      </w:divBdr>
    </w:div>
    <w:div w:id="1854299502">
      <w:bodyDiv w:val="1"/>
      <w:marLeft w:val="0"/>
      <w:marRight w:val="0"/>
      <w:marTop w:val="0"/>
      <w:marBottom w:val="0"/>
      <w:divBdr>
        <w:top w:val="none" w:sz="0" w:space="0" w:color="auto"/>
        <w:left w:val="none" w:sz="0" w:space="0" w:color="auto"/>
        <w:bottom w:val="none" w:sz="0" w:space="0" w:color="auto"/>
        <w:right w:val="none" w:sz="0" w:space="0" w:color="auto"/>
      </w:divBdr>
    </w:div>
    <w:div w:id="2026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notes\Ministers'%20Letters\Minister%20for%20Trade%20and%20Invest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0D998E-B32B-4C3C-94F7-42901A417A00}"/>
</file>

<file path=customXml/itemProps2.xml><?xml version="1.0" encoding="utf-8"?>
<ds:datastoreItem xmlns:ds="http://schemas.openxmlformats.org/officeDocument/2006/customXml" ds:itemID="{44DF7976-72F3-4DB3-A4CA-7FC2F9C0DA04}"/>
</file>

<file path=customXml/itemProps3.xml><?xml version="1.0" encoding="utf-8"?>
<ds:datastoreItem xmlns:ds="http://schemas.openxmlformats.org/officeDocument/2006/customXml" ds:itemID="{F5448833-C71C-485C-A43C-5C45C59E7AE4}"/>
</file>

<file path=customXml/itemProps4.xml><?xml version="1.0" encoding="utf-8"?>
<ds:datastoreItem xmlns:ds="http://schemas.openxmlformats.org/officeDocument/2006/customXml" ds:itemID="{7D29AEFB-1C30-438A-A6D1-2BE9006763E9}"/>
</file>

<file path=docProps/app.xml><?xml version="1.0" encoding="utf-8"?>
<Properties xmlns="http://schemas.openxmlformats.org/officeDocument/2006/extended-properties" xmlns:vt="http://schemas.openxmlformats.org/officeDocument/2006/docPropsVTypes">
  <Template>Minister for Trade and Investment</Template>
  <TotalTime>0</TotalTime>
  <Pages>3</Pages>
  <Words>413</Words>
  <Characters>2302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Wills, Alexander</dc:creator>
  <cp:lastModifiedBy>Wills, Alexander</cp:lastModifiedBy>
  <cp:revision>2</cp:revision>
  <cp:lastPrinted>2015-04-29T02:41:00Z</cp:lastPrinted>
  <dcterms:created xsi:type="dcterms:W3CDTF">2015-06-15T02:56:00Z</dcterms:created>
  <dcterms:modified xsi:type="dcterms:W3CDTF">2015-06-15T02:56:00Z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6700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