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FAC" w:rsidRPr="00CA4995" w:rsidRDefault="00104FAC" w:rsidP="00A76C6B">
      <w:pPr>
        <w:spacing w:after="0"/>
        <w:jc w:val="center"/>
        <w:rPr>
          <w:b/>
          <w:smallCaps/>
          <w:lang w:eastAsia="zh-CN"/>
        </w:rPr>
      </w:pPr>
      <w:r w:rsidRPr="00CA4995">
        <w:rPr>
          <w:b/>
          <w:smallCaps/>
          <w:lang w:eastAsia="zh-CN"/>
        </w:rPr>
        <w:t>Chapter 2</w:t>
      </w:r>
    </w:p>
    <w:p w:rsidR="00104FAC" w:rsidRPr="00CA4995" w:rsidRDefault="00104FAC" w:rsidP="00A76C6B">
      <w:pPr>
        <w:spacing w:after="0"/>
        <w:jc w:val="center"/>
        <w:rPr>
          <w:b/>
          <w:caps/>
          <w:lang w:eastAsia="zh-CN"/>
        </w:rPr>
      </w:pPr>
      <w:r w:rsidRPr="00CA4995">
        <w:rPr>
          <w:b/>
          <w:caps/>
          <w:lang w:eastAsia="zh-CN"/>
        </w:rPr>
        <w:t>TRADE IN GOODS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2.1: Scope</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ab/>
        <w:t>This Chapter applies to trade in goods of a Party.</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r w:rsidRPr="00CA4995">
        <w:rPr>
          <w:smallCaps/>
          <w:lang w:eastAsia="zh-CN"/>
        </w:rPr>
        <w:t>Article 2.2: Definitions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ab/>
        <w:t>For the purposes of this Chapter:</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r>
      <w:r w:rsidRPr="00CA4995">
        <w:rPr>
          <w:b/>
          <w:lang w:eastAsia="zh-CN"/>
        </w:rPr>
        <w:t>Agreement on Import Licensing Procedures</w:t>
      </w:r>
      <w:r w:rsidRPr="00CA4995">
        <w:rPr>
          <w:lang w:eastAsia="zh-CN"/>
        </w:rPr>
        <w:t xml:space="preserve"> means the </w:t>
      </w:r>
      <w:r w:rsidRPr="00CA4995">
        <w:rPr>
          <w:i/>
          <w:lang w:eastAsia="zh-CN"/>
        </w:rPr>
        <w:t>Agreement on Import Licensing Procedures</w:t>
      </w:r>
      <w:r w:rsidRPr="00CA4995">
        <w:rPr>
          <w:lang w:eastAsia="zh-CN"/>
        </w:rPr>
        <w:t xml:space="preserve"> contained in Annex 1A to the WTO Agreement;</w:t>
      </w:r>
    </w:p>
    <w:p w:rsidR="00104FAC" w:rsidRPr="00CA4995" w:rsidRDefault="00104FAC" w:rsidP="00A76C6B">
      <w:pPr>
        <w:tabs>
          <w:tab w:val="left" w:pos="709"/>
        </w:tabs>
        <w:spacing w:after="0"/>
        <w:ind w:left="1418" w:hanging="709"/>
        <w:jc w:val="both"/>
        <w:rPr>
          <w:lang w:eastAsia="zh-CN"/>
        </w:rPr>
      </w:pPr>
      <w:r w:rsidRPr="00CA4995">
        <w:rPr>
          <w:lang w:eastAsia="zh-CN"/>
        </w:rPr>
        <w:t xml:space="preserve"> </w:t>
      </w:r>
    </w:p>
    <w:p w:rsidR="00104FAC" w:rsidRPr="00CA4995" w:rsidRDefault="00104FAC" w:rsidP="00A76C6B">
      <w:pPr>
        <w:tabs>
          <w:tab w:val="left" w:pos="709"/>
        </w:tabs>
        <w:spacing w:after="0"/>
        <w:ind w:left="1418" w:hanging="709"/>
        <w:jc w:val="both"/>
        <w:rPr>
          <w:lang w:eastAsia="zh-CN"/>
        </w:rPr>
      </w:pPr>
      <w:r w:rsidRPr="00CA4995">
        <w:rPr>
          <w:lang w:eastAsia="zh-CN"/>
        </w:rPr>
        <w:t>(b)</w:t>
      </w:r>
      <w:r w:rsidRPr="00CA4995">
        <w:rPr>
          <w:lang w:eastAsia="zh-CN"/>
        </w:rPr>
        <w:tab/>
      </w:r>
      <w:proofErr w:type="gramStart"/>
      <w:r w:rsidRPr="00CA4995">
        <w:rPr>
          <w:b/>
          <w:lang w:eastAsia="zh-CN"/>
        </w:rPr>
        <w:t>consular</w:t>
      </w:r>
      <w:proofErr w:type="gramEnd"/>
      <w:r w:rsidRPr="00CA4995">
        <w:rPr>
          <w:b/>
          <w:lang w:eastAsia="zh-CN"/>
        </w:rPr>
        <w:t xml:space="preserve"> transactions</w:t>
      </w:r>
      <w:r w:rsidRPr="00CA4995">
        <w:rPr>
          <w:lang w:eastAsia="zh-CN"/>
        </w:rPr>
        <w:t xml:space="preserve"> means requirements that documents related to goods of a Party intended for export to the territory of the other Party must first be submitted to the consul of the importing Party in the territory of the exporting Party for the purpose of obtaining consular invoices or consular visas. Such documents may include commercial invoices, certificates of origin, manifests, shippers’ export declarations, or any other customs documentation required on or in connection with importation;</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(c)</w:t>
      </w:r>
      <w:r w:rsidRPr="00CA4995">
        <w:rPr>
          <w:lang w:eastAsia="zh-CN"/>
        </w:rPr>
        <w:tab/>
      </w:r>
      <w:proofErr w:type="gramStart"/>
      <w:r w:rsidRPr="00CA4995">
        <w:rPr>
          <w:b/>
          <w:lang w:eastAsia="zh-CN"/>
        </w:rPr>
        <w:t>existing</w:t>
      </w:r>
      <w:proofErr w:type="gramEnd"/>
      <w:r w:rsidRPr="00CA4995">
        <w:rPr>
          <w:lang w:eastAsia="zh-CN"/>
        </w:rPr>
        <w:t xml:space="preserve"> means in effect on the date of entry into force of this Agreement;</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(d)</w:t>
      </w:r>
      <w:r w:rsidRPr="00CA4995">
        <w:rPr>
          <w:lang w:eastAsia="zh-CN"/>
        </w:rPr>
        <w:tab/>
      </w:r>
      <w:r w:rsidRPr="00CA4995">
        <w:rPr>
          <w:b/>
          <w:lang w:eastAsia="zh-CN"/>
        </w:rPr>
        <w:t>export subsidy</w:t>
      </w:r>
      <w:r w:rsidRPr="00CA4995">
        <w:rPr>
          <w:lang w:eastAsia="zh-CN"/>
        </w:rPr>
        <w:t xml:space="preserve"> means a subsidy as defined by Article 3 of the Agreement on Subsidies and Countervailing Measures and includes export subsidies listed in Article 9 of the </w:t>
      </w:r>
      <w:r w:rsidRPr="00CA4995">
        <w:rPr>
          <w:i/>
          <w:lang w:eastAsia="zh-CN"/>
        </w:rPr>
        <w:t>Agreement on Agriculture</w:t>
      </w:r>
      <w:r w:rsidRPr="00CA4995">
        <w:rPr>
          <w:lang w:eastAsia="zh-CN"/>
        </w:rPr>
        <w:t>, contained in Annex 1A to the WTO Agreement;</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(e)</w:t>
      </w:r>
      <w:r w:rsidRPr="00CA4995">
        <w:rPr>
          <w:lang w:eastAsia="zh-CN"/>
        </w:rPr>
        <w:tab/>
      </w:r>
      <w:r w:rsidRPr="00CA4995">
        <w:rPr>
          <w:b/>
          <w:lang w:eastAsia="zh-CN"/>
        </w:rPr>
        <w:t>Harmonized System</w:t>
      </w:r>
      <w:r w:rsidRPr="00CA4995">
        <w:rPr>
          <w:lang w:eastAsia="zh-CN"/>
        </w:rPr>
        <w:t xml:space="preserve"> (HS) means the Harmonized Commodity Description and Coding System, including its General Rules of Interpretation, Section Notes and Chapter Notes, as adopted and administered by the World Customs Organization; and</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1418"/>
        </w:tabs>
        <w:spacing w:after="0"/>
        <w:ind w:left="1418" w:hanging="709"/>
        <w:jc w:val="both"/>
        <w:rPr>
          <w:lang w:eastAsia="zh-CN"/>
        </w:rPr>
      </w:pPr>
      <w:r w:rsidRPr="00CA4995">
        <w:rPr>
          <w:lang w:eastAsia="zh-CN"/>
        </w:rPr>
        <w:t>(f)</w:t>
      </w:r>
      <w:r w:rsidRPr="00CA4995">
        <w:rPr>
          <w:lang w:eastAsia="zh-CN"/>
        </w:rPr>
        <w:tab/>
      </w:r>
      <w:proofErr w:type="gramStart"/>
      <w:r w:rsidRPr="00CA4995">
        <w:rPr>
          <w:b/>
          <w:lang w:eastAsia="zh-CN"/>
        </w:rPr>
        <w:t>measure</w:t>
      </w:r>
      <w:proofErr w:type="gramEnd"/>
      <w:r w:rsidRPr="00CA4995">
        <w:rPr>
          <w:lang w:eastAsia="zh-CN"/>
        </w:rPr>
        <w:t xml:space="preserve"> includes any law, regulation, procedure, requirement or practice.</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2.3: National Treatment on Internal Taxation and Regulation</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ab/>
        <w:t xml:space="preserve">Each Party shall accord national treatment to the goods of the other Party in accordance with Article III of GATT 1994. To this end, Article III of GATT 1994 is incorporated into and made part of this Agreement, </w:t>
      </w:r>
      <w:r w:rsidRPr="00CA4995">
        <w:rPr>
          <w:i/>
          <w:lang w:eastAsia="zh-CN"/>
        </w:rPr>
        <w:t>mutatis mutandis</w:t>
      </w:r>
      <w:r w:rsidRPr="00CA4995">
        <w:rPr>
          <w:lang w:eastAsia="zh-CN"/>
        </w:rPr>
        <w:t>.</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2.4: Elimination of Customs Duties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 xml:space="preserve">Each Party shall eliminate its customs duties on originating goods of the other Party in accordance with its Schedule to Annex </w:t>
      </w:r>
      <w:proofErr w:type="gramStart"/>
      <w:r w:rsidRPr="00CA4995">
        <w:rPr>
          <w:lang w:eastAsia="zh-CN"/>
        </w:rPr>
        <w:t>I</w:t>
      </w:r>
      <w:proofErr w:type="gramEnd"/>
      <w:r w:rsidR="0056621A" w:rsidRPr="00CA4995">
        <w:rPr>
          <w:lang w:eastAsia="zh-CN"/>
        </w:rPr>
        <w:t xml:space="preserve"> (Schedules in Relation to Article 2.4 (Elimination of Customs Duties))</w:t>
      </w:r>
      <w:r w:rsidRPr="00CA4995">
        <w:rPr>
          <w:lang w:eastAsia="zh-CN"/>
        </w:rPr>
        <w:t>.</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Neither Party shall increase any existing customs duty or introduce a new customs duty on imports of an originating good of the other Party other than in accordance with this Agreement.</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2.5: Classification of Goods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ab/>
        <w:t>The classification of goods traded between the Parties shall be in conformity with the Harmonized System, as adopted and implemented by the Parties in their respective tariff laws.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2.6: Customs Valuation</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ab/>
        <w:t>Each Party shall determine the customs value of goods traded between the Parties in accordance with Article VII of the GATT 1994 and the Customs Valuation Agreement.</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2.7: Non-Tariff Measures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 xml:space="preserve">Unless otherwise provided in this Agreement, neither Party shall adopt or maintain any prohibition or restriction or measure having equivalent effect, including quantitative restrictions, on the importation of a good originating in the territory of the other Party, or on the exportation or sale for export of a good destined for the territory of the other Party, except in accordance with Article XI of GATT 1994. To this end, Article XI of GATT 1994 is incorporated into and made part of this Agreement, </w:t>
      </w:r>
      <w:r w:rsidRPr="00CA4995">
        <w:rPr>
          <w:i/>
          <w:lang w:eastAsia="zh-CN"/>
        </w:rPr>
        <w:t>mutatis mutandis</w:t>
      </w:r>
      <w:r w:rsidRPr="00CA4995">
        <w:rPr>
          <w:lang w:eastAsia="zh-CN"/>
        </w:rPr>
        <w:t>.</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A Party shall not adopt or maintain any non-tariff measures on the importation of any good of the other Party or on the exportation of any good destined for the territory of the other Party, except in accordance with its rights and obligations under the WTO Agreement or this Agreement.</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Each Party shall ensure the transparency of its non-tariff measures permitted in paragraph 2 and shall ensure that any such measures are not prepared, adopted or applied with a view to, or with the effect of, creating unnecessary obstacles to trade between the Parties.</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4.</w:t>
      </w:r>
      <w:r w:rsidRPr="00CA4995">
        <w:rPr>
          <w:lang w:eastAsia="zh-CN"/>
        </w:rPr>
        <w:tab/>
        <w:t xml:space="preserve">The Committee on Trade in Goods, established in accordance with Article 2.15, shall review non-tariff measures within the scope of this Chapter with a view to ensuring that they do not constitute unnecessary obstacles to trade between the Parties. Either Party may nominate measures for consideration by the Committee </w:t>
      </w:r>
      <w:r w:rsidR="0056621A" w:rsidRPr="00CA4995">
        <w:rPr>
          <w:lang w:eastAsia="zh-CN"/>
        </w:rPr>
        <w:t>on</w:t>
      </w:r>
      <w:r w:rsidRPr="00CA4995">
        <w:rPr>
          <w:lang w:eastAsia="zh-CN"/>
        </w:rPr>
        <w:t xml:space="preserve"> Trade in Goods.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2.8: Import Licensing</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Each Party shall ensure that import licensing regimes applied to goods originating in the other Party are applied in accordance with the WTO Agreement, and in particular, with the provisions of the Agreement on Import Licensing Procedures.</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Neither Party shall apply import licensing to goods traded between the Parties unless such licensing is: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r>
      <w:proofErr w:type="gramStart"/>
      <w:r w:rsidRPr="00CA4995">
        <w:rPr>
          <w:lang w:eastAsia="zh-CN"/>
        </w:rPr>
        <w:t>used</w:t>
      </w:r>
      <w:proofErr w:type="gramEnd"/>
      <w:r w:rsidRPr="00CA4995">
        <w:rPr>
          <w:lang w:eastAsia="zh-CN"/>
        </w:rPr>
        <w:t xml:space="preserve"> to administer a quantitative restriction on imports in conformity with this Agreement or with the WTO Agreement;</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(b)</w:t>
      </w:r>
      <w:r w:rsidRPr="00CA4995">
        <w:rPr>
          <w:lang w:eastAsia="zh-CN"/>
        </w:rPr>
        <w:tab/>
        <w:t>used for purposes other than the implementation of quantitative restrictions in conformity with this Agreement, the WTO Agreement or other international obligations; or</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(c)</w:t>
      </w:r>
      <w:r w:rsidRPr="00CA4995">
        <w:rPr>
          <w:lang w:eastAsia="zh-CN"/>
        </w:rPr>
        <w:tab/>
      </w:r>
      <w:proofErr w:type="gramStart"/>
      <w:r w:rsidRPr="00CA4995">
        <w:rPr>
          <w:lang w:eastAsia="zh-CN"/>
        </w:rPr>
        <w:t>automatic</w:t>
      </w:r>
      <w:proofErr w:type="gramEnd"/>
      <w:r w:rsidRPr="00CA4995">
        <w:rPr>
          <w:lang w:eastAsia="zh-CN"/>
        </w:rPr>
        <w:t xml:space="preserve"> within the meaning of Article 2.1 of the Agreement on Import Licensing Procedures.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Promptly after the date of entry into force of this Agreement, each Party shall notify the other Party of its existing import licensing regimes and related licensing procedures. Thereafter each Party shall notify the other Party of any new import licensing procedure and any modification to its existing import licensing procedures, to the extent possible 60 days before it takes effect but in any case no later than the effective date of the licensing procedure. A notification provided in accordance with this Article shall include the information specified in paragraphs 2 through 4 of Article 5 of the Agreement on Import Licensing Procedures.</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4.</w:t>
      </w:r>
      <w:r w:rsidRPr="00CA4995">
        <w:rPr>
          <w:lang w:eastAsia="zh-CN"/>
        </w:rPr>
        <w:tab/>
        <w:t>Each Party shall answer within 30 days all reasonable enquiries from the other Party with regard to criteria employed by its respective licensing authorities in granting or denying import licences.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2.9: Administrative Fees and Formalities</w:t>
      </w:r>
    </w:p>
    <w:p w:rsidR="00104FAC" w:rsidRPr="00CA4995" w:rsidRDefault="00104FAC" w:rsidP="00A76C6B">
      <w:pPr>
        <w:spacing w:after="0"/>
        <w:jc w:val="both"/>
        <w:rPr>
          <w:smallCaps/>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 xml:space="preserve">Each Party shall ensure, in accordance with Article VIII:1 of GATT 1994, that all fees and charges of whatever character (other than customs duties, charges equivalent to an internal tax or other internal charges applied consistently with Article </w:t>
      </w:r>
      <w:r w:rsidRPr="00CA4995">
        <w:rPr>
          <w:lang w:eastAsia="zh-CN"/>
        </w:rPr>
        <w:lastRenderedPageBreak/>
        <w:t>III:2 of GATT 1994, and antidumping and countervailing duties applied in accordance with Article VI and XVI of the GATT 1994, the Agreement on the Implementation of Article VI of the GATT 1994 and the Agreement on Subsidies and Countervailing Measures), imposed on or in connection with importation or exportation, are limited in amount to the approximate cost of services rendered and do not represent indirect protection of domestic products or a taxation of imports or exports for fiscal purposes.</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Neither Party shall require consular transactions, including related fees and charges, in connection with the importation of any good of the other Party.</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Each Party shall make available on the internet details of fees and charges it imposes in connection with importation and exportation.</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2.10: Administration of Trade Regulations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In accordance with Article X of GATT 1994, each Party shall administer in a uniform, impartial and reasonable manner all its laws, regulations, judicial decisions and administrative rulings pertaining to the classification or the valuation of products for customs purposes, or to rates of duty, taxes or other charges, or to requirements, restrictions or prohibitions on imports or exports or on the transfer of payments therefor, or affecting their sale, distribution, transportation, insurance, warehousing, inspection, exhibition, processing, mixing or other use.</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In accordance with Article VIII of GATT 1994, neither Party shall impose substantial penalties for minor breaches of customs regulations or procedural requirements. In particular, no penalty in respect of any omission or mistake in customs documentation, which is easily rectified and obviously made without fraudulent intent or gross negligence, shall be greater than necessary to serve merely as a warning.</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2.11: Export Subsidies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r w:rsidRPr="00CA4995">
        <w:rPr>
          <w:lang w:eastAsia="zh-CN"/>
        </w:rPr>
        <w:tab/>
        <w:t>Neither Party shall introduce or maintain any export subsidy on any good destined for the territory of the other Party.</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2.12: Transparency and Review of Non-Tariff Measures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ab/>
        <w:t>The Committee on Trade in Goods may refer for consideration measures falling within the scope of Chapter 5 (Sanitary and Phytosanitary Measures) or Chapter 6 (Technical Barriers to Trade) to the Committee on Sanitary and Phytosanitary Measures or the Committee on Technical Barriers to Trade as appropriate. The Committee on Sanitary and Phytosanitary Measures or the Committee on Technical Barriers to Trade, as appropriate, shall report the results of such consideration to the Committee on Trade in Goods.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2.13: Country Specific Tariff Quota</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For products in respect of which China establishes a Country Specific Tariff Quota (“CSTQ”) in its Schedule to Annex I</w:t>
      </w:r>
      <w:r w:rsidR="0056621A" w:rsidRPr="00CA4995">
        <w:rPr>
          <w:lang w:eastAsia="zh-CN"/>
        </w:rPr>
        <w:t xml:space="preserve"> (Schedules in Relation to Article 2.4 (Elimination of Customs Duties))</w:t>
      </w:r>
      <w:r w:rsidRPr="00CA4995">
        <w:rPr>
          <w:lang w:eastAsia="zh-CN"/>
        </w:rPr>
        <w:t>, China shall grant duty-free treatment to imports of such products of Australian origin up to the quantity for each year as specified in Annex 2-A after entry into force of this Agreement.</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Imports of such products of Australian origin in excess of the specified quantity in Annex 2-A in any given calendar year shall be subject to the most-favoured-nation (“MFN”) applied rate.</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The quantities of the CSTQ beyond the last stage specified in Annex 2-A shall remain at the same level as the last stage.</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2.14: Special Agricultural Safeguard Measures</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China may apply a special agricultural safeguard measure to agricultural products specified in Annex 2-B in accordance with this Article.</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If, during any given calendar year, the volume of imports by China from Australia of the originating products listed in Annex 2-B exceeds the trigger level for</w:t>
      </w:r>
      <w:r w:rsidR="00220041" w:rsidRPr="00CA4995">
        <w:rPr>
          <w:lang w:eastAsia="zh-CN"/>
        </w:rPr>
        <w:t xml:space="preserve"> </w:t>
      </w:r>
      <w:r w:rsidRPr="00CA4995">
        <w:rPr>
          <w:lang w:eastAsia="zh-CN"/>
        </w:rPr>
        <w:t>the products in that calendar year as set out in Annex 2-B, China may apply a special agricultural safeguard measure to the products in the form of an additional customs duty.</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The sum of the additional customs duty applied under paragraph 2 and any other customs duties applied to the products in question shall not exceed the lesser of the MFN applied rate of customs duty in effect on the date on which the special agricultural safeguard measure is applied, or the base rate.</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4.</w:t>
      </w:r>
      <w:r w:rsidRPr="00CA4995">
        <w:rPr>
          <w:lang w:eastAsia="zh-CN"/>
        </w:rPr>
        <w:tab/>
        <w:t>China may maintain a special agricultural safeguard measure applied under paragraph 2 only until the end of the calendar year in which China applies the measure.</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5.</w:t>
      </w:r>
      <w:r w:rsidRPr="00CA4995">
        <w:rPr>
          <w:lang w:eastAsia="zh-CN"/>
        </w:rPr>
        <w:tab/>
        <w:t>Supplies of the products in question which were en route to China on the basis of a contract settled before the special agricultural safeguard measure is applied under paragraph 2 shall be exempted from such additional customs duty, provided that they shall be counted in the volume of imports of the products in question during the following calendar year for the purposes of a determination under paragraph 2 in that calendar year.</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6.</w:t>
      </w:r>
      <w:r w:rsidRPr="00CA4995">
        <w:rPr>
          <w:lang w:eastAsia="zh-CN"/>
        </w:rPr>
        <w:tab/>
        <w:t xml:space="preserve">Any special agricultural safeguard measure shall be applied in a transparent manner. China shall ensure that the volume of imports is published regularly in a manner which is readily accessible to Australia, and shall give notice in writing, </w:t>
      </w:r>
      <w:r w:rsidRPr="00CA4995">
        <w:rPr>
          <w:lang w:eastAsia="zh-CN"/>
        </w:rPr>
        <w:lastRenderedPageBreak/>
        <w:t>including relevant data, to Australia as far in advance as may be practicable, and in any event within 10 days of the implementation of such measure.</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7.</w:t>
      </w:r>
      <w:r w:rsidRPr="00CA4995">
        <w:rPr>
          <w:lang w:eastAsia="zh-CN"/>
        </w:rPr>
        <w:tab/>
        <w:t xml:space="preserve">China may not apply or maintain, with respect to the same products, a special agricultural safeguard measure and, at the same time, apply or maintain a measure under Article XIX of GATT 1994, the Agreement on Safeguards or Chapter </w:t>
      </w:r>
      <w:r w:rsidR="006A3042" w:rsidRPr="00CA4995">
        <w:rPr>
          <w:lang w:eastAsia="zh-CN"/>
        </w:rPr>
        <w:t>7</w:t>
      </w:r>
      <w:r w:rsidRPr="00CA4995">
        <w:rPr>
          <w:lang w:eastAsia="zh-CN"/>
        </w:rPr>
        <w:t xml:space="preserve"> (Trade Remedies) of this Agreement.</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8.</w:t>
      </w:r>
      <w:r w:rsidRPr="00CA4995">
        <w:rPr>
          <w:lang w:eastAsia="zh-CN"/>
        </w:rPr>
        <w:tab/>
        <w:t xml:space="preserve">In the last stage of the application of a trigger level for the respective products as set out in Annex </w:t>
      </w:r>
      <w:r w:rsidR="00AD03E9" w:rsidRPr="00CA4995">
        <w:rPr>
          <w:lang w:eastAsia="zh-CN"/>
        </w:rPr>
        <w:t>2-B</w:t>
      </w:r>
      <w:r w:rsidRPr="00CA4995">
        <w:rPr>
          <w:lang w:eastAsia="zh-CN"/>
        </w:rPr>
        <w:t xml:space="preserve">, the Committee on Trade in Goods will conduct a review of the special agricultural safeguard measure. If the review concludes that imports from Australia of the products covered by the special agricultural safeguard measure have not caused serious injury to the corresponding Chinese domestic industry, then the special agricultural safeguard measure for the products will no longer apply. If the Committee determines that serious injury has occurred, then a further review, as specified above, will take place six years later, and </w:t>
      </w:r>
      <w:r w:rsidR="00EB7CFB" w:rsidRPr="00CA4995">
        <w:rPr>
          <w:lang w:eastAsia="zh-CN"/>
        </w:rPr>
        <w:t xml:space="preserve">every </w:t>
      </w:r>
      <w:r w:rsidRPr="00CA4995">
        <w:rPr>
          <w:lang w:eastAsia="zh-CN"/>
        </w:rPr>
        <w:t>six years thereafter as required.</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041D24">
      <w:pPr>
        <w:keepNext/>
        <w:spacing w:after="0"/>
        <w:jc w:val="both"/>
        <w:rPr>
          <w:smallCaps/>
          <w:lang w:eastAsia="zh-CN"/>
        </w:rPr>
      </w:pPr>
      <w:r w:rsidRPr="00CA4995">
        <w:rPr>
          <w:smallCaps/>
          <w:lang w:eastAsia="zh-CN"/>
        </w:rPr>
        <w:t>Article 2.15: Committee on Trade in Goods</w:t>
      </w:r>
    </w:p>
    <w:p w:rsidR="00104FAC" w:rsidRPr="00CA4995" w:rsidRDefault="00104FAC" w:rsidP="00041D24">
      <w:pPr>
        <w:keepNext/>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The Parties hereby establish a Committee on Trade in Goods (hereinafter referred to in this Article as the “Committee”) comprising representatives of each Party.</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The Committee shall meet on request of a Party or the FTA Joint Commission to consider the operation and implementation of this Chapter, Chapter 7 (Trade Remedies), Chapter 3 (Rules of Origin and Implementation Procedures) or Chapter 4 (Customs Procedures and Trade Facilitation).</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The Committee’s functions shall include:</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(a)</w:t>
      </w:r>
      <w:r w:rsidRPr="00CA4995">
        <w:rPr>
          <w:lang w:eastAsia="zh-CN"/>
        </w:rPr>
        <w:tab/>
        <w:t>promoting trade in goods between the Parties, including through consultations on accelerating tariff elimination under this Agreement and other issues as appropriate; and</w:t>
      </w:r>
    </w:p>
    <w:p w:rsidR="00104FAC" w:rsidRPr="00CA4995" w:rsidRDefault="00104FAC" w:rsidP="00A76C6B">
      <w:pPr>
        <w:tabs>
          <w:tab w:val="left" w:pos="709"/>
        </w:tabs>
        <w:spacing w:after="0"/>
        <w:ind w:left="1418" w:hanging="709"/>
        <w:jc w:val="both"/>
        <w:rPr>
          <w:lang w:eastAsia="zh-CN"/>
        </w:rPr>
      </w:pPr>
    </w:p>
    <w:p w:rsidR="00104FAC" w:rsidRPr="00CA4995" w:rsidRDefault="00104FAC" w:rsidP="00A76C6B">
      <w:pPr>
        <w:tabs>
          <w:tab w:val="left" w:pos="709"/>
        </w:tabs>
        <w:spacing w:after="0"/>
        <w:ind w:left="1418" w:hanging="709"/>
        <w:jc w:val="both"/>
        <w:rPr>
          <w:lang w:eastAsia="zh-CN"/>
        </w:rPr>
      </w:pPr>
      <w:r w:rsidRPr="00CA4995">
        <w:rPr>
          <w:lang w:eastAsia="zh-CN"/>
        </w:rPr>
        <w:t>(b)</w:t>
      </w:r>
      <w:r w:rsidRPr="00CA4995">
        <w:rPr>
          <w:lang w:eastAsia="zh-CN"/>
        </w:rPr>
        <w:tab/>
      </w:r>
      <w:proofErr w:type="gramStart"/>
      <w:r w:rsidRPr="00CA4995">
        <w:rPr>
          <w:lang w:eastAsia="zh-CN"/>
        </w:rPr>
        <w:t>addressing</w:t>
      </w:r>
      <w:proofErr w:type="gramEnd"/>
      <w:r w:rsidRPr="00CA4995">
        <w:rPr>
          <w:lang w:eastAsia="zh-CN"/>
        </w:rPr>
        <w:t xml:space="preserve"> tariff and non-tariff barriers to trade in goods between the Parties and, if appropriate, referring such matters to the FTA Joint Commission for its consideration.</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4.</w:t>
      </w:r>
      <w:r w:rsidRPr="00CA4995">
        <w:rPr>
          <w:lang w:eastAsia="zh-CN"/>
        </w:rPr>
        <w:tab/>
        <w:t xml:space="preserve">The Committee shall submit to the FTA Joint Commission an initial progress report on its work relating to non-tariff measures under Article 2.7, including any recommendations, within one year of the date of entry into force of this Agreement. </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5.</w:t>
      </w:r>
      <w:r w:rsidRPr="00CA4995">
        <w:rPr>
          <w:lang w:eastAsia="zh-CN"/>
        </w:rPr>
        <w:tab/>
        <w:t>The Committee shall review the implications of each periodic Harmonized System amendment and promptly recommend to the FTA Joint Commission any necessary amendments to Annex I</w:t>
      </w:r>
      <w:r w:rsidR="00261C76" w:rsidRPr="00CA4995">
        <w:rPr>
          <w:lang w:eastAsia="zh-CN"/>
        </w:rPr>
        <w:t xml:space="preserve"> (Schedules in relation to Article 2.4 (Elimination of </w:t>
      </w:r>
      <w:r w:rsidR="00261C76" w:rsidRPr="00CA4995">
        <w:rPr>
          <w:lang w:eastAsia="zh-CN"/>
        </w:rPr>
        <w:lastRenderedPageBreak/>
        <w:t>Customs Duties))</w:t>
      </w:r>
      <w:r w:rsidRPr="00CA4995">
        <w:rPr>
          <w:lang w:eastAsia="zh-CN"/>
        </w:rPr>
        <w:t xml:space="preserve"> and Annex II (Product Specific Rules of Origin) to reflect the Harmonized System amendment.</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smallCaps/>
          <w:lang w:eastAsia="zh-CN"/>
        </w:rPr>
      </w:pPr>
      <w:r w:rsidRPr="00CA4995">
        <w:rPr>
          <w:smallCaps/>
          <w:lang w:eastAsia="zh-CN"/>
        </w:rPr>
        <w:t>Article 2.16: Dispute Settlement</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ab/>
        <w:t>The dispute settlement provisions in Chapter 15 (Dispute Settlement) shall apply to any matter arising under this Chapter.</w:t>
      </w:r>
    </w:p>
    <w:p w:rsidR="00A5267B" w:rsidRPr="00CA4995" w:rsidRDefault="00A5267B" w:rsidP="00A76C6B">
      <w:pPr>
        <w:spacing w:after="0"/>
        <w:jc w:val="both"/>
        <w:rPr>
          <w:lang w:eastAsia="zh-CN"/>
        </w:rPr>
        <w:sectPr w:rsidR="00A5267B" w:rsidRPr="00CA4995" w:rsidSect="006379F9">
          <w:footerReference w:type="default" r:id="rId9"/>
          <w:pgSz w:w="11906" w:h="16838"/>
          <w:pgMar w:top="2268" w:right="1701" w:bottom="1701" w:left="1701" w:header="709" w:footer="709" w:gutter="0"/>
          <w:pgNumType w:start="4"/>
          <w:cols w:space="708"/>
          <w:docGrid w:linePitch="360"/>
        </w:sectPr>
      </w:pPr>
    </w:p>
    <w:p w:rsidR="00104FAC" w:rsidRPr="00CA4995" w:rsidRDefault="00104FAC" w:rsidP="00A76C6B">
      <w:pPr>
        <w:spacing w:after="0"/>
        <w:jc w:val="center"/>
        <w:rPr>
          <w:b/>
          <w:smallCaps/>
          <w:lang w:eastAsia="zh-CN"/>
        </w:rPr>
      </w:pPr>
      <w:r w:rsidRPr="00CA4995">
        <w:rPr>
          <w:b/>
          <w:smallCaps/>
          <w:lang w:eastAsia="zh-CN"/>
        </w:rPr>
        <w:lastRenderedPageBreak/>
        <w:t xml:space="preserve">Annex </w:t>
      </w:r>
      <w:r w:rsidR="006A3042" w:rsidRPr="00CA4995">
        <w:rPr>
          <w:b/>
          <w:smallCaps/>
          <w:lang w:eastAsia="zh-CN"/>
        </w:rPr>
        <w:t>2</w:t>
      </w:r>
      <w:r w:rsidRPr="00CA4995">
        <w:rPr>
          <w:b/>
          <w:smallCaps/>
          <w:lang w:eastAsia="zh-CN"/>
        </w:rPr>
        <w:t>-A</w:t>
      </w:r>
    </w:p>
    <w:p w:rsidR="00104FAC" w:rsidRPr="00CA4995" w:rsidRDefault="00104FAC" w:rsidP="00A76C6B">
      <w:pPr>
        <w:spacing w:after="0"/>
        <w:jc w:val="center"/>
        <w:rPr>
          <w:b/>
          <w:caps/>
          <w:lang w:eastAsia="zh-CN"/>
        </w:rPr>
      </w:pPr>
      <w:r w:rsidRPr="00CA4995">
        <w:rPr>
          <w:b/>
          <w:caps/>
          <w:lang w:eastAsia="zh-CN"/>
        </w:rPr>
        <w:t>Country Specific Tariff Quota</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 xml:space="preserve">Table 1 specifies the products in respect of which China establishes a Country Specific Tariff Quota (CSTQ) in its Schedule to Annex </w:t>
      </w:r>
      <w:proofErr w:type="gramStart"/>
      <w:r w:rsidRPr="00CA4995">
        <w:rPr>
          <w:lang w:eastAsia="zh-CN"/>
        </w:rPr>
        <w:t>I</w:t>
      </w:r>
      <w:proofErr w:type="gramEnd"/>
      <w:r w:rsidR="0056621A" w:rsidRPr="00CA4995">
        <w:rPr>
          <w:lang w:eastAsia="zh-CN"/>
        </w:rPr>
        <w:t xml:space="preserve"> (Schedules in Relation to Article 2.4 (Elimination of Customs Duties))</w:t>
      </w:r>
      <w:r w:rsidRPr="00CA4995">
        <w:rPr>
          <w:lang w:eastAsia="zh-CN"/>
        </w:rPr>
        <w:t xml:space="preserve">. </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w:t>
      </w:r>
      <w:r w:rsidRPr="00CA4995">
        <w:rPr>
          <w:lang w:eastAsia="zh-CN"/>
        </w:rPr>
        <w:tab/>
      </w:r>
      <w:proofErr w:type="gramStart"/>
      <w:r w:rsidRPr="00CA4995">
        <w:rPr>
          <w:lang w:eastAsia="zh-CN"/>
        </w:rPr>
        <w:t>For</w:t>
      </w:r>
      <w:proofErr w:type="gramEnd"/>
      <w:r w:rsidRPr="00CA4995">
        <w:rPr>
          <w:lang w:eastAsia="zh-CN"/>
        </w:rPr>
        <w:t xml:space="preserve"> the products specified in Table 1, the quantity of the CSTQ to which China shall grant duty-free treatment for each complete calendar year is specified in Table 2. In the year of entry into force of this Agreement, where there will remain more than nine calendar months, the Stage 1 quantity shall </w:t>
      </w:r>
      <w:proofErr w:type="gramStart"/>
      <w:r w:rsidRPr="00CA4995">
        <w:rPr>
          <w:lang w:eastAsia="zh-CN"/>
        </w:rPr>
        <w:t>apply,</w:t>
      </w:r>
      <w:proofErr w:type="gramEnd"/>
      <w:r w:rsidRPr="00CA4995">
        <w:rPr>
          <w:lang w:eastAsia="zh-CN"/>
        </w:rPr>
        <w:t xml:space="preserve"> prorated for the percentage of the year remaining from the date of entry into force. In that case China shall have three full calendar months from the date of entry into force to prepare for opening the quantity for application. In the year of entry into force of this Agreement, where there will remain less than nine calendar months, the Stage 1 quantity shall not apply until the start of the first complete calendar year after entry into force of this Agreement, and the quantities in subsequent years shall be the full quantities for subsequent stages specified in Table 2.</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 xml:space="preserve">China shall operate the CSTQ in a transparent manner and, on request of Australia, provide information on the quantity of the CSTQ issued. Unless otherwise agreed, the rules applying to the administration of the CSTQ for the products of Australian origin will be consistent with the </w:t>
      </w:r>
      <w:r w:rsidRPr="00CA4995">
        <w:rPr>
          <w:i/>
          <w:lang w:eastAsia="zh-CN"/>
        </w:rPr>
        <w:t>Detailed Rules for Implementation of Administration on Import Tariff Quotas of Wool and Wool Tops in 2015</w:t>
      </w:r>
      <w:r w:rsidRPr="00CA4995">
        <w:rPr>
          <w:lang w:eastAsia="zh-CN"/>
        </w:rPr>
        <w:t xml:space="preserve"> (Ministry of Commerce Announcement No. 65 of 2014) or any successor rules in force in any given calendar year.</w:t>
      </w:r>
    </w:p>
    <w:p w:rsidR="00104FAC" w:rsidRPr="00CA4995" w:rsidRDefault="00104FAC" w:rsidP="00A76C6B">
      <w:pPr>
        <w:spacing w:after="0"/>
        <w:jc w:val="both"/>
        <w:rPr>
          <w:lang w:eastAsia="zh-CN"/>
        </w:rPr>
      </w:pPr>
    </w:p>
    <w:p w:rsidR="00104FAC" w:rsidRPr="00CA4995" w:rsidRDefault="00104FAC" w:rsidP="00A76C6B">
      <w:pPr>
        <w:spacing w:after="0"/>
        <w:jc w:val="both"/>
        <w:rPr>
          <w:b/>
          <w:lang w:eastAsia="zh-CN"/>
        </w:rPr>
      </w:pPr>
      <w:r w:rsidRPr="00CA4995">
        <w:rPr>
          <w:b/>
          <w:lang w:eastAsia="zh-CN"/>
        </w:rPr>
        <w:t>Table 1: Products</w:t>
      </w:r>
    </w:p>
    <w:p w:rsidR="00104FAC" w:rsidRPr="00CA4995" w:rsidRDefault="00104FAC" w:rsidP="00104FAC">
      <w:pPr>
        <w:spacing w:after="0"/>
        <w:jc w:val="both"/>
        <w:rPr>
          <w:lang w:eastAsia="zh-CN"/>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276"/>
        <w:gridCol w:w="6804"/>
      </w:tblGrid>
      <w:tr w:rsidR="00104FAC" w:rsidRPr="00CA4995" w:rsidTr="00E624B7">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b/>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b/>
                <w:lang w:eastAsia="zh-CN"/>
              </w:rPr>
            </w:pPr>
            <w:r w:rsidRPr="00CA4995">
              <w:rPr>
                <w:b/>
                <w:lang w:eastAsia="zh-CN"/>
              </w:rPr>
              <w:t>HS Code</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b/>
                <w:lang w:eastAsia="zh-CN"/>
              </w:rPr>
            </w:pPr>
            <w:r w:rsidRPr="00CA4995">
              <w:rPr>
                <w:b/>
                <w:lang w:eastAsia="zh-CN"/>
              </w:rPr>
              <w:t>Description of Product</w:t>
            </w:r>
          </w:p>
        </w:tc>
      </w:tr>
      <w:tr w:rsidR="00104FAC" w:rsidRPr="00CA4995" w:rsidTr="00E624B7">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lang w:eastAsia="zh-CN"/>
              </w:rPr>
            </w:pPr>
            <w:r w:rsidRPr="00CA4995">
              <w:rPr>
                <w:lang w:eastAsia="zh-CN"/>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51011100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Greasy shorn wool, not carded or combed</w:t>
            </w:r>
          </w:p>
        </w:tc>
      </w:tr>
      <w:tr w:rsidR="00104FAC" w:rsidRPr="00CA4995" w:rsidTr="00E624B7">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lang w:eastAsia="zh-CN"/>
              </w:rPr>
            </w:pPr>
            <w:r w:rsidRPr="00CA4995">
              <w:rPr>
                <w:lang w:eastAsia="zh-C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51011900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Greasy wool (excl. shorn), not carded or combed</w:t>
            </w:r>
          </w:p>
        </w:tc>
      </w:tr>
      <w:tr w:rsidR="00104FAC" w:rsidRPr="00CA4995" w:rsidTr="00E624B7">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lang w:eastAsia="zh-CN"/>
              </w:rPr>
            </w:pPr>
            <w:r w:rsidRPr="00CA4995">
              <w:rPr>
                <w:lang w:eastAsia="zh-CN"/>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51012100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Degreased shorn wool, not carbonised, not carded or combed</w:t>
            </w:r>
          </w:p>
        </w:tc>
      </w:tr>
      <w:tr w:rsidR="00104FAC" w:rsidRPr="00CA4995" w:rsidTr="00E624B7">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lang w:eastAsia="zh-CN"/>
              </w:rPr>
            </w:pPr>
            <w:r w:rsidRPr="00CA4995">
              <w:rPr>
                <w:lang w:eastAsia="zh-CN"/>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51012900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Degreased wool (excl. shorn), not carbonised, not carded or combed</w:t>
            </w:r>
          </w:p>
        </w:tc>
      </w:tr>
      <w:tr w:rsidR="00104FAC" w:rsidRPr="00CA4995" w:rsidTr="00E624B7">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lang w:eastAsia="zh-CN"/>
              </w:rPr>
            </w:pPr>
            <w:r w:rsidRPr="00CA4995">
              <w:rPr>
                <w:lang w:eastAsia="zh-CN"/>
              </w:rPr>
              <w:t>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51013000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Carbonised wool, not carded or combed</w:t>
            </w:r>
          </w:p>
        </w:tc>
      </w:tr>
      <w:tr w:rsidR="00104FAC" w:rsidRPr="00CA4995" w:rsidTr="00E624B7">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lang w:eastAsia="zh-CN"/>
              </w:rPr>
            </w:pPr>
            <w:r w:rsidRPr="00CA4995">
              <w:rPr>
                <w:lang w:eastAsia="zh-CN"/>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51031010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proofErr w:type="spellStart"/>
            <w:r w:rsidRPr="00CA4995">
              <w:rPr>
                <w:lang w:eastAsia="zh-CN"/>
              </w:rPr>
              <w:t>Noils</w:t>
            </w:r>
            <w:proofErr w:type="spellEnd"/>
            <w:r w:rsidRPr="00CA4995">
              <w:rPr>
                <w:lang w:eastAsia="zh-CN"/>
              </w:rPr>
              <w:t xml:space="preserve"> of wool, not </w:t>
            </w:r>
            <w:proofErr w:type="spellStart"/>
            <w:r w:rsidRPr="00CA4995">
              <w:rPr>
                <w:lang w:eastAsia="zh-CN"/>
              </w:rPr>
              <w:t>garnetted</w:t>
            </w:r>
            <w:proofErr w:type="spellEnd"/>
            <w:r w:rsidRPr="00CA4995">
              <w:rPr>
                <w:lang w:eastAsia="zh-CN"/>
              </w:rPr>
              <w:t xml:space="preserve"> stock</w:t>
            </w:r>
          </w:p>
        </w:tc>
      </w:tr>
    </w:tbl>
    <w:p w:rsidR="00104FAC" w:rsidRPr="00CA4995" w:rsidRDefault="00104FAC" w:rsidP="00104FAC">
      <w:pPr>
        <w:spacing w:after="0"/>
        <w:jc w:val="both"/>
        <w:rPr>
          <w:lang w:eastAsia="zh-CN"/>
        </w:rPr>
      </w:pPr>
    </w:p>
    <w:p w:rsidR="00104FAC" w:rsidRPr="00CA4995" w:rsidRDefault="00104FAC" w:rsidP="00104FAC">
      <w:pPr>
        <w:spacing w:after="0"/>
        <w:jc w:val="both"/>
        <w:rPr>
          <w:b/>
          <w:lang w:eastAsia="zh-CN"/>
        </w:rPr>
      </w:pPr>
      <w:r w:rsidRPr="00CA4995">
        <w:rPr>
          <w:b/>
          <w:lang w:eastAsia="zh-CN"/>
        </w:rPr>
        <w:t>Table 2: Quantity of the Country Specific Tariff Quota</w:t>
      </w:r>
    </w:p>
    <w:p w:rsidR="00104FAC" w:rsidRPr="00CA4995" w:rsidRDefault="00104FAC" w:rsidP="00104FAC">
      <w:pPr>
        <w:spacing w:after="0"/>
        <w:jc w:val="both"/>
        <w:rPr>
          <w:lang w:eastAsia="zh-CN"/>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804"/>
      </w:tblGrid>
      <w:tr w:rsidR="00104FAC" w:rsidRPr="00CA4995" w:rsidTr="00FE6091">
        <w:trPr>
          <w:tblHeader/>
        </w:trPr>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b/>
                <w:lang w:eastAsia="zh-CN"/>
              </w:rPr>
            </w:pPr>
            <w:bookmarkStart w:id="0" w:name="_Hlk404676127" w:colFirst="1" w:colLast="2"/>
            <w:r w:rsidRPr="00CA4995">
              <w:rPr>
                <w:b/>
                <w:lang w:eastAsia="zh-CN"/>
              </w:rPr>
              <w:t>Stage</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b/>
                <w:lang w:eastAsia="zh-CN"/>
              </w:rPr>
            </w:pPr>
            <w:r w:rsidRPr="00CA4995">
              <w:rPr>
                <w:b/>
                <w:lang w:eastAsia="zh-CN"/>
              </w:rPr>
              <w:t>Quantity of the Country Specific Tariff Quota (tonnes)</w:t>
            </w:r>
          </w:p>
        </w:tc>
      </w:tr>
      <w:tr w:rsidR="00104FAC" w:rsidRPr="00CA4995" w:rsidTr="00E624B7">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lang w:eastAsia="zh-CN"/>
              </w:rPr>
            </w:pPr>
            <w:r w:rsidRPr="00CA4995">
              <w:rPr>
                <w:lang w:eastAsia="zh-CN"/>
              </w:rPr>
              <w:t>1</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30,000</w:t>
            </w:r>
          </w:p>
        </w:tc>
      </w:tr>
      <w:tr w:rsidR="00104FAC" w:rsidRPr="00CA4995" w:rsidTr="00E624B7">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lang w:eastAsia="zh-CN"/>
              </w:rPr>
            </w:pPr>
            <w:r w:rsidRPr="00CA4995">
              <w:rPr>
                <w:lang w:eastAsia="zh-CN"/>
              </w:rPr>
              <w:t>2</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31,500</w:t>
            </w:r>
          </w:p>
        </w:tc>
      </w:tr>
      <w:tr w:rsidR="00104FAC" w:rsidRPr="00CA4995" w:rsidTr="00E624B7">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lang w:eastAsia="zh-CN"/>
              </w:rPr>
            </w:pPr>
            <w:r w:rsidRPr="00CA4995">
              <w:rPr>
                <w:lang w:eastAsia="zh-CN"/>
              </w:rPr>
              <w:t>3</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33,075</w:t>
            </w:r>
          </w:p>
        </w:tc>
      </w:tr>
      <w:tr w:rsidR="00104FAC" w:rsidRPr="00CA4995" w:rsidTr="00E624B7">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lang w:eastAsia="zh-CN"/>
              </w:rPr>
            </w:pPr>
            <w:r w:rsidRPr="00CA4995">
              <w:rPr>
                <w:lang w:eastAsia="zh-CN"/>
              </w:rPr>
              <w:t>4</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34,729</w:t>
            </w:r>
          </w:p>
        </w:tc>
      </w:tr>
      <w:tr w:rsidR="00104FAC" w:rsidRPr="00CA4995" w:rsidTr="00E624B7">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lang w:eastAsia="zh-CN"/>
              </w:rPr>
            </w:pPr>
            <w:r w:rsidRPr="00CA4995">
              <w:rPr>
                <w:lang w:eastAsia="zh-CN"/>
              </w:rPr>
              <w:lastRenderedPageBreak/>
              <w:t>5</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36,465</w:t>
            </w:r>
          </w:p>
        </w:tc>
      </w:tr>
      <w:tr w:rsidR="00104FAC" w:rsidRPr="00CA4995" w:rsidTr="00E624B7">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lang w:eastAsia="zh-CN"/>
              </w:rPr>
            </w:pPr>
            <w:r w:rsidRPr="00CA4995">
              <w:rPr>
                <w:lang w:eastAsia="zh-CN"/>
              </w:rPr>
              <w:t>6</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38,288</w:t>
            </w:r>
          </w:p>
        </w:tc>
      </w:tr>
      <w:tr w:rsidR="00104FAC" w:rsidRPr="00CA4995" w:rsidTr="00E624B7">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lang w:eastAsia="zh-CN"/>
              </w:rPr>
            </w:pPr>
            <w:r w:rsidRPr="00CA4995">
              <w:rPr>
                <w:lang w:eastAsia="zh-CN"/>
              </w:rPr>
              <w:t>7</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40,203</w:t>
            </w:r>
          </w:p>
        </w:tc>
      </w:tr>
      <w:tr w:rsidR="00104FAC" w:rsidRPr="00CA4995" w:rsidTr="00E624B7">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lang w:eastAsia="zh-CN"/>
              </w:rPr>
            </w:pPr>
            <w:r w:rsidRPr="00CA4995">
              <w:rPr>
                <w:lang w:eastAsia="zh-CN"/>
              </w:rPr>
              <w:t>8</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42,213</w:t>
            </w:r>
          </w:p>
        </w:tc>
      </w:tr>
      <w:tr w:rsidR="00104FAC" w:rsidRPr="00CA4995" w:rsidTr="00E624B7">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104FAC" w:rsidRPr="00CA4995" w:rsidRDefault="00104FAC" w:rsidP="00E624B7">
            <w:pPr>
              <w:spacing w:after="0"/>
              <w:jc w:val="both"/>
              <w:rPr>
                <w:lang w:eastAsia="zh-CN"/>
              </w:rPr>
            </w:pPr>
            <w:r w:rsidRPr="00CA4995">
              <w:rPr>
                <w:lang w:eastAsia="zh-CN"/>
              </w:rPr>
              <w:t>9</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FAC" w:rsidRPr="00CA4995" w:rsidRDefault="00104FAC" w:rsidP="00E624B7">
            <w:pPr>
              <w:spacing w:after="0"/>
              <w:jc w:val="both"/>
              <w:rPr>
                <w:lang w:eastAsia="zh-CN"/>
              </w:rPr>
            </w:pPr>
            <w:r w:rsidRPr="00CA4995">
              <w:rPr>
                <w:lang w:eastAsia="zh-CN"/>
              </w:rPr>
              <w:t>44,324</w:t>
            </w:r>
          </w:p>
        </w:tc>
      </w:tr>
      <w:bookmarkEnd w:id="0"/>
    </w:tbl>
    <w:p w:rsidR="00104FAC" w:rsidRPr="00CA4995" w:rsidRDefault="00104FAC" w:rsidP="00104FAC">
      <w:pPr>
        <w:spacing w:after="0"/>
        <w:jc w:val="both"/>
        <w:rPr>
          <w:lang w:eastAsia="zh-CN"/>
        </w:rPr>
      </w:pPr>
    </w:p>
    <w:p w:rsidR="00104FAC" w:rsidRPr="00CA4995" w:rsidRDefault="00104FAC" w:rsidP="00104FAC">
      <w:pPr>
        <w:spacing w:after="0"/>
        <w:jc w:val="both"/>
        <w:rPr>
          <w:lang w:eastAsia="zh-CN"/>
        </w:rPr>
      </w:pPr>
      <w:r w:rsidRPr="00CA4995">
        <w:rPr>
          <w:lang w:eastAsia="zh-CN"/>
        </w:rPr>
        <w:t>Note: The specified quantities are expressed in terms of clean equivalent weight.</w:t>
      </w:r>
    </w:p>
    <w:p w:rsidR="00A5267B" w:rsidRPr="00CA4995" w:rsidRDefault="00A5267B" w:rsidP="00A76C6B">
      <w:pPr>
        <w:spacing w:after="0"/>
        <w:jc w:val="center"/>
        <w:rPr>
          <w:rFonts w:ascii="Times New Roman Bold" w:hAnsi="Times New Roman Bold"/>
          <w:b/>
          <w:smallCaps/>
          <w:lang w:eastAsia="zh-CN"/>
        </w:rPr>
        <w:sectPr w:rsidR="00A5267B" w:rsidRPr="00CA4995" w:rsidSect="007B4F57">
          <w:pgSz w:w="11906" w:h="16838"/>
          <w:pgMar w:top="2268" w:right="1701" w:bottom="1701" w:left="1701" w:header="709" w:footer="709" w:gutter="0"/>
          <w:cols w:space="708"/>
          <w:docGrid w:linePitch="360"/>
        </w:sectPr>
      </w:pPr>
    </w:p>
    <w:p w:rsidR="00104FAC" w:rsidRPr="00CA4995" w:rsidRDefault="006A3042" w:rsidP="00A76C6B">
      <w:pPr>
        <w:spacing w:after="0"/>
        <w:jc w:val="center"/>
        <w:rPr>
          <w:b/>
          <w:smallCaps/>
          <w:lang w:eastAsia="zh-CN"/>
        </w:rPr>
      </w:pPr>
      <w:r w:rsidRPr="00CA4995">
        <w:rPr>
          <w:b/>
          <w:smallCaps/>
          <w:lang w:eastAsia="zh-CN"/>
        </w:rPr>
        <w:lastRenderedPageBreak/>
        <w:t>Annex 2</w:t>
      </w:r>
      <w:r w:rsidR="00104FAC" w:rsidRPr="00CA4995">
        <w:rPr>
          <w:b/>
          <w:smallCaps/>
          <w:lang w:eastAsia="zh-CN"/>
        </w:rPr>
        <w:t>-B</w:t>
      </w:r>
    </w:p>
    <w:p w:rsidR="00104FAC" w:rsidRPr="00CA4995" w:rsidRDefault="00104FAC" w:rsidP="00A76C6B">
      <w:pPr>
        <w:spacing w:after="0"/>
        <w:jc w:val="center"/>
        <w:rPr>
          <w:b/>
          <w:caps/>
          <w:lang w:eastAsia="zh-CN"/>
        </w:rPr>
      </w:pPr>
      <w:r w:rsidRPr="00CA4995">
        <w:rPr>
          <w:b/>
          <w:caps/>
          <w:lang w:eastAsia="zh-CN"/>
        </w:rPr>
        <w:t>Special Agricultural Safeguard Measures</w:t>
      </w:r>
    </w:p>
    <w:p w:rsidR="00104FAC" w:rsidRPr="00CA4995" w:rsidRDefault="00104FAC" w:rsidP="00A76C6B">
      <w:pPr>
        <w:spacing w:after="0"/>
        <w:jc w:val="both"/>
        <w:rPr>
          <w:lang w:eastAsia="zh-CN"/>
        </w:rPr>
      </w:pPr>
    </w:p>
    <w:p w:rsidR="00104FAC" w:rsidRPr="00CA4995" w:rsidRDefault="00104FAC" w:rsidP="00A76C6B">
      <w:pPr>
        <w:spacing w:after="0"/>
        <w:jc w:val="both"/>
        <w:rPr>
          <w:lang w:eastAsia="zh-CN"/>
        </w:rPr>
      </w:pPr>
    </w:p>
    <w:p w:rsidR="00104FAC" w:rsidRPr="00CA4995" w:rsidRDefault="00104FAC" w:rsidP="00A76C6B">
      <w:pPr>
        <w:spacing w:after="0"/>
        <w:jc w:val="both"/>
        <w:rPr>
          <w:b/>
          <w:lang w:eastAsia="zh-CN"/>
        </w:rPr>
      </w:pPr>
      <w:r w:rsidRPr="00CA4995">
        <w:rPr>
          <w:b/>
          <w:lang w:eastAsia="zh-CN"/>
        </w:rPr>
        <w:t>Part I Beef</w:t>
      </w:r>
    </w:p>
    <w:p w:rsidR="00104FAC" w:rsidRPr="00CA4995" w:rsidRDefault="00104FAC" w:rsidP="00A76C6B">
      <w:pPr>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1.</w:t>
      </w:r>
      <w:r w:rsidRPr="00CA4995">
        <w:rPr>
          <w:lang w:eastAsia="zh-CN"/>
        </w:rPr>
        <w:tab/>
        <w:t>Table 1 specifies the products that may be subject to a special agricultural safeguard measure under Article 2.14.</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2.</w:t>
      </w:r>
      <w:r w:rsidRPr="00CA4995">
        <w:rPr>
          <w:lang w:eastAsia="zh-CN"/>
        </w:rPr>
        <w:tab/>
        <w:t>The trigger level in the calendar year in which this Agreement enters into force shall be the Stage 1 level specified in Table 2, prorated for the percentage of that year for which this Agreement is in force.</w:t>
      </w:r>
    </w:p>
    <w:p w:rsidR="00104FAC" w:rsidRPr="00CA4995" w:rsidRDefault="00104FAC" w:rsidP="00A76C6B">
      <w:pPr>
        <w:tabs>
          <w:tab w:val="left" w:pos="709"/>
        </w:tabs>
        <w:spacing w:after="0"/>
        <w:jc w:val="both"/>
        <w:rPr>
          <w:lang w:eastAsia="zh-CN"/>
        </w:rPr>
      </w:pPr>
    </w:p>
    <w:p w:rsidR="00104FAC" w:rsidRPr="00CA4995" w:rsidRDefault="00104FAC" w:rsidP="00A76C6B">
      <w:pPr>
        <w:tabs>
          <w:tab w:val="left" w:pos="709"/>
        </w:tabs>
        <w:spacing w:after="0"/>
        <w:jc w:val="both"/>
        <w:rPr>
          <w:lang w:eastAsia="zh-CN"/>
        </w:rPr>
      </w:pPr>
      <w:r w:rsidRPr="00CA4995">
        <w:rPr>
          <w:lang w:eastAsia="zh-CN"/>
        </w:rPr>
        <w:t>3.</w:t>
      </w:r>
      <w:r w:rsidRPr="00CA4995">
        <w:rPr>
          <w:lang w:eastAsia="zh-CN"/>
        </w:rPr>
        <w:tab/>
        <w:t>The trigger level in subsequent years shall be the full trigger level specified in Table 2, with the continuation of the final trigger level subject to paragraph 8 of Article 2.14.</w:t>
      </w:r>
    </w:p>
    <w:p w:rsidR="00104FAC" w:rsidRPr="00CA4995" w:rsidRDefault="00104FAC" w:rsidP="00A76C6B">
      <w:pPr>
        <w:spacing w:after="0"/>
        <w:jc w:val="both"/>
        <w:rPr>
          <w:lang w:eastAsia="zh-CN"/>
        </w:rPr>
      </w:pPr>
    </w:p>
    <w:p w:rsidR="00104FAC" w:rsidRPr="00CA4995" w:rsidRDefault="00104FAC" w:rsidP="00A76C6B">
      <w:pPr>
        <w:spacing w:after="0"/>
        <w:jc w:val="both"/>
        <w:rPr>
          <w:b/>
          <w:lang w:eastAsia="zh-CN"/>
        </w:rPr>
      </w:pPr>
      <w:r w:rsidRPr="00CA4995">
        <w:rPr>
          <w:b/>
          <w:lang w:eastAsia="zh-CN"/>
        </w:rPr>
        <w:t>Table 1: Products</w:t>
      </w:r>
    </w:p>
    <w:p w:rsidR="00104FAC" w:rsidRPr="00CA4995" w:rsidRDefault="00104FAC" w:rsidP="00104FAC">
      <w:pPr>
        <w:spacing w:after="0"/>
        <w:jc w:val="both"/>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1843"/>
        <w:gridCol w:w="5153"/>
      </w:tblGrid>
      <w:tr w:rsidR="00104FAC" w:rsidRPr="00CA4995" w:rsidTr="00E624B7">
        <w:tc>
          <w:tcPr>
            <w:tcW w:w="1106" w:type="dxa"/>
            <w:shd w:val="clear" w:color="auto" w:fill="auto"/>
            <w:vAlign w:val="center"/>
          </w:tcPr>
          <w:p w:rsidR="00104FAC" w:rsidRPr="00CA4995" w:rsidRDefault="00104FAC" w:rsidP="00E624B7">
            <w:pPr>
              <w:spacing w:after="0"/>
              <w:jc w:val="center"/>
              <w:rPr>
                <w:b/>
                <w:lang w:eastAsia="zh-CN"/>
              </w:rPr>
            </w:pPr>
          </w:p>
        </w:tc>
        <w:tc>
          <w:tcPr>
            <w:tcW w:w="1843" w:type="dxa"/>
            <w:shd w:val="clear" w:color="auto" w:fill="auto"/>
            <w:vAlign w:val="center"/>
          </w:tcPr>
          <w:p w:rsidR="00104FAC" w:rsidRPr="00CA4995" w:rsidRDefault="00104FAC" w:rsidP="00E624B7">
            <w:pPr>
              <w:spacing w:after="0"/>
              <w:jc w:val="center"/>
              <w:rPr>
                <w:b/>
                <w:lang w:eastAsia="zh-CN"/>
              </w:rPr>
            </w:pPr>
            <w:r w:rsidRPr="00CA4995">
              <w:rPr>
                <w:b/>
                <w:lang w:eastAsia="zh-CN"/>
              </w:rPr>
              <w:t>HS code</w:t>
            </w:r>
          </w:p>
        </w:tc>
        <w:tc>
          <w:tcPr>
            <w:tcW w:w="5153" w:type="dxa"/>
            <w:shd w:val="clear" w:color="auto" w:fill="auto"/>
            <w:vAlign w:val="center"/>
          </w:tcPr>
          <w:p w:rsidR="00104FAC" w:rsidRPr="00CA4995" w:rsidRDefault="00104FAC" w:rsidP="00E624B7">
            <w:pPr>
              <w:spacing w:after="0"/>
              <w:rPr>
                <w:b/>
                <w:lang w:eastAsia="zh-CN"/>
              </w:rPr>
            </w:pPr>
            <w:r w:rsidRPr="00CA4995">
              <w:rPr>
                <w:b/>
                <w:lang w:eastAsia="zh-CN"/>
              </w:rPr>
              <w:t>Description of Product</w:t>
            </w:r>
          </w:p>
        </w:tc>
      </w:tr>
      <w:tr w:rsidR="00104FAC" w:rsidRPr="00CA4995" w:rsidTr="00E624B7">
        <w:tc>
          <w:tcPr>
            <w:tcW w:w="1106" w:type="dxa"/>
            <w:shd w:val="clear" w:color="auto" w:fill="auto"/>
            <w:vAlign w:val="center"/>
          </w:tcPr>
          <w:p w:rsidR="00104FAC" w:rsidRPr="00CA4995" w:rsidRDefault="00104FAC" w:rsidP="00E624B7">
            <w:pPr>
              <w:spacing w:after="0"/>
              <w:jc w:val="center"/>
              <w:rPr>
                <w:lang w:eastAsia="zh-CN"/>
              </w:rPr>
            </w:pPr>
            <w:r w:rsidRPr="00CA4995">
              <w:rPr>
                <w:lang w:eastAsia="zh-CN"/>
              </w:rPr>
              <w:t>1</w:t>
            </w:r>
          </w:p>
        </w:tc>
        <w:tc>
          <w:tcPr>
            <w:tcW w:w="1843" w:type="dxa"/>
            <w:shd w:val="clear" w:color="auto" w:fill="auto"/>
            <w:vAlign w:val="center"/>
          </w:tcPr>
          <w:p w:rsidR="00104FAC" w:rsidRPr="00CA4995" w:rsidRDefault="00104FAC" w:rsidP="00E624B7">
            <w:pPr>
              <w:spacing w:after="0"/>
              <w:jc w:val="center"/>
              <w:rPr>
                <w:lang w:eastAsia="zh-CN"/>
              </w:rPr>
            </w:pPr>
            <w:r w:rsidRPr="00CA4995">
              <w:rPr>
                <w:lang w:eastAsia="zh-CN"/>
              </w:rPr>
              <w:t>02011000</w:t>
            </w:r>
          </w:p>
        </w:tc>
        <w:tc>
          <w:tcPr>
            <w:tcW w:w="5153" w:type="dxa"/>
            <w:shd w:val="clear" w:color="auto" w:fill="auto"/>
            <w:vAlign w:val="center"/>
          </w:tcPr>
          <w:p w:rsidR="00104FAC" w:rsidRPr="00CA4995" w:rsidRDefault="00104FAC" w:rsidP="00E624B7">
            <w:pPr>
              <w:spacing w:after="0"/>
              <w:rPr>
                <w:lang w:eastAsia="zh-CN"/>
              </w:rPr>
            </w:pPr>
            <w:r w:rsidRPr="00CA4995">
              <w:rPr>
                <w:lang w:eastAsia="zh-CN"/>
              </w:rPr>
              <w:t>Fresh or chilled bovine carcasses &amp; half carcasses</w:t>
            </w:r>
          </w:p>
        </w:tc>
      </w:tr>
      <w:tr w:rsidR="00104FAC" w:rsidRPr="00CA4995" w:rsidTr="00E624B7">
        <w:tc>
          <w:tcPr>
            <w:tcW w:w="1106" w:type="dxa"/>
            <w:shd w:val="clear" w:color="auto" w:fill="auto"/>
            <w:vAlign w:val="center"/>
          </w:tcPr>
          <w:p w:rsidR="00104FAC" w:rsidRPr="00CA4995" w:rsidRDefault="00104FAC" w:rsidP="00E624B7">
            <w:pPr>
              <w:spacing w:after="0"/>
              <w:jc w:val="center"/>
              <w:rPr>
                <w:lang w:eastAsia="zh-CN"/>
              </w:rPr>
            </w:pPr>
            <w:r w:rsidRPr="00CA4995">
              <w:rPr>
                <w:lang w:eastAsia="zh-CN"/>
              </w:rPr>
              <w:t>2</w:t>
            </w:r>
          </w:p>
        </w:tc>
        <w:tc>
          <w:tcPr>
            <w:tcW w:w="1843" w:type="dxa"/>
            <w:shd w:val="clear" w:color="auto" w:fill="auto"/>
            <w:vAlign w:val="center"/>
          </w:tcPr>
          <w:p w:rsidR="00104FAC" w:rsidRPr="00CA4995" w:rsidRDefault="00104FAC" w:rsidP="00E624B7">
            <w:pPr>
              <w:spacing w:after="0"/>
              <w:jc w:val="center"/>
              <w:rPr>
                <w:lang w:eastAsia="zh-CN"/>
              </w:rPr>
            </w:pPr>
            <w:r w:rsidRPr="00CA4995">
              <w:rPr>
                <w:lang w:eastAsia="zh-CN"/>
              </w:rPr>
              <w:t>02012000</w:t>
            </w:r>
          </w:p>
        </w:tc>
        <w:tc>
          <w:tcPr>
            <w:tcW w:w="5153" w:type="dxa"/>
            <w:shd w:val="clear" w:color="auto" w:fill="auto"/>
            <w:vAlign w:val="center"/>
          </w:tcPr>
          <w:p w:rsidR="00104FAC" w:rsidRPr="00CA4995" w:rsidRDefault="00104FAC" w:rsidP="00E624B7">
            <w:pPr>
              <w:spacing w:after="0"/>
              <w:rPr>
                <w:lang w:eastAsia="zh-CN"/>
              </w:rPr>
            </w:pPr>
            <w:r w:rsidRPr="00CA4995">
              <w:rPr>
                <w:lang w:eastAsia="zh-CN"/>
              </w:rPr>
              <w:t>Fresh or chilled bovine meat (excl. carcasses) with bone in</w:t>
            </w:r>
          </w:p>
        </w:tc>
      </w:tr>
      <w:tr w:rsidR="00104FAC" w:rsidRPr="00CA4995" w:rsidTr="00E624B7">
        <w:tc>
          <w:tcPr>
            <w:tcW w:w="1106" w:type="dxa"/>
            <w:shd w:val="clear" w:color="auto" w:fill="auto"/>
            <w:vAlign w:val="center"/>
          </w:tcPr>
          <w:p w:rsidR="00104FAC" w:rsidRPr="00CA4995" w:rsidRDefault="00104FAC" w:rsidP="00E624B7">
            <w:pPr>
              <w:spacing w:after="0"/>
              <w:jc w:val="center"/>
              <w:rPr>
                <w:lang w:eastAsia="zh-CN"/>
              </w:rPr>
            </w:pPr>
            <w:r w:rsidRPr="00CA4995">
              <w:rPr>
                <w:lang w:eastAsia="zh-CN"/>
              </w:rPr>
              <w:t>3</w:t>
            </w:r>
          </w:p>
        </w:tc>
        <w:tc>
          <w:tcPr>
            <w:tcW w:w="1843" w:type="dxa"/>
            <w:shd w:val="clear" w:color="auto" w:fill="auto"/>
            <w:vAlign w:val="center"/>
          </w:tcPr>
          <w:p w:rsidR="00104FAC" w:rsidRPr="00CA4995" w:rsidRDefault="00104FAC" w:rsidP="00E624B7">
            <w:pPr>
              <w:spacing w:after="0"/>
              <w:jc w:val="center"/>
              <w:rPr>
                <w:lang w:eastAsia="zh-CN"/>
              </w:rPr>
            </w:pPr>
            <w:r w:rsidRPr="00CA4995">
              <w:rPr>
                <w:lang w:eastAsia="zh-CN"/>
              </w:rPr>
              <w:t>02013000</w:t>
            </w:r>
          </w:p>
        </w:tc>
        <w:tc>
          <w:tcPr>
            <w:tcW w:w="5153" w:type="dxa"/>
            <w:shd w:val="clear" w:color="auto" w:fill="auto"/>
            <w:vAlign w:val="center"/>
          </w:tcPr>
          <w:p w:rsidR="00104FAC" w:rsidRPr="00CA4995" w:rsidRDefault="00104FAC" w:rsidP="00E624B7">
            <w:pPr>
              <w:spacing w:after="0"/>
              <w:rPr>
                <w:lang w:eastAsia="zh-CN"/>
              </w:rPr>
            </w:pPr>
            <w:r w:rsidRPr="00CA4995">
              <w:rPr>
                <w:lang w:eastAsia="zh-CN"/>
              </w:rPr>
              <w:t>Fresh or chilled boneless bovine meat</w:t>
            </w:r>
          </w:p>
        </w:tc>
      </w:tr>
      <w:tr w:rsidR="00104FAC" w:rsidRPr="00CA4995" w:rsidTr="00E624B7">
        <w:tc>
          <w:tcPr>
            <w:tcW w:w="1106" w:type="dxa"/>
            <w:shd w:val="clear" w:color="auto" w:fill="auto"/>
            <w:vAlign w:val="center"/>
          </w:tcPr>
          <w:p w:rsidR="00104FAC" w:rsidRPr="00CA4995" w:rsidRDefault="00104FAC" w:rsidP="00E624B7">
            <w:pPr>
              <w:spacing w:after="0"/>
              <w:jc w:val="center"/>
              <w:rPr>
                <w:lang w:eastAsia="zh-CN"/>
              </w:rPr>
            </w:pPr>
            <w:r w:rsidRPr="00CA4995">
              <w:rPr>
                <w:lang w:eastAsia="zh-CN"/>
              </w:rPr>
              <w:t>4</w:t>
            </w:r>
          </w:p>
        </w:tc>
        <w:tc>
          <w:tcPr>
            <w:tcW w:w="1843" w:type="dxa"/>
            <w:shd w:val="clear" w:color="auto" w:fill="auto"/>
            <w:vAlign w:val="center"/>
          </w:tcPr>
          <w:p w:rsidR="00104FAC" w:rsidRPr="00CA4995" w:rsidRDefault="00104FAC" w:rsidP="00E624B7">
            <w:pPr>
              <w:spacing w:after="0"/>
              <w:jc w:val="center"/>
              <w:rPr>
                <w:lang w:eastAsia="zh-CN"/>
              </w:rPr>
            </w:pPr>
            <w:r w:rsidRPr="00CA4995">
              <w:rPr>
                <w:lang w:eastAsia="zh-CN"/>
              </w:rPr>
              <w:t>02021000</w:t>
            </w:r>
          </w:p>
        </w:tc>
        <w:tc>
          <w:tcPr>
            <w:tcW w:w="5153" w:type="dxa"/>
            <w:shd w:val="clear" w:color="auto" w:fill="auto"/>
            <w:vAlign w:val="center"/>
          </w:tcPr>
          <w:p w:rsidR="00104FAC" w:rsidRPr="00CA4995" w:rsidRDefault="00104FAC" w:rsidP="00E624B7">
            <w:pPr>
              <w:spacing w:after="0"/>
              <w:rPr>
                <w:lang w:eastAsia="zh-CN"/>
              </w:rPr>
            </w:pPr>
            <w:r w:rsidRPr="00CA4995">
              <w:rPr>
                <w:lang w:eastAsia="zh-CN"/>
              </w:rPr>
              <w:t>Frozen bovine carcasses &amp; half carcasses</w:t>
            </w:r>
          </w:p>
        </w:tc>
      </w:tr>
      <w:tr w:rsidR="00104FAC" w:rsidRPr="00CA4995" w:rsidTr="00E624B7">
        <w:tc>
          <w:tcPr>
            <w:tcW w:w="1106" w:type="dxa"/>
            <w:shd w:val="clear" w:color="auto" w:fill="auto"/>
            <w:vAlign w:val="center"/>
          </w:tcPr>
          <w:p w:rsidR="00104FAC" w:rsidRPr="00CA4995" w:rsidRDefault="00104FAC" w:rsidP="00E624B7">
            <w:pPr>
              <w:spacing w:after="0"/>
              <w:jc w:val="center"/>
              <w:rPr>
                <w:lang w:eastAsia="zh-CN"/>
              </w:rPr>
            </w:pPr>
            <w:r w:rsidRPr="00CA4995">
              <w:rPr>
                <w:lang w:eastAsia="zh-CN"/>
              </w:rPr>
              <w:t>5</w:t>
            </w:r>
          </w:p>
        </w:tc>
        <w:tc>
          <w:tcPr>
            <w:tcW w:w="1843" w:type="dxa"/>
            <w:shd w:val="clear" w:color="auto" w:fill="auto"/>
            <w:vAlign w:val="center"/>
          </w:tcPr>
          <w:p w:rsidR="00104FAC" w:rsidRPr="00CA4995" w:rsidRDefault="00104FAC" w:rsidP="00E624B7">
            <w:pPr>
              <w:spacing w:after="0"/>
              <w:jc w:val="center"/>
              <w:rPr>
                <w:lang w:eastAsia="zh-CN"/>
              </w:rPr>
            </w:pPr>
            <w:r w:rsidRPr="00CA4995">
              <w:rPr>
                <w:lang w:eastAsia="zh-CN"/>
              </w:rPr>
              <w:t>02022000</w:t>
            </w:r>
          </w:p>
        </w:tc>
        <w:tc>
          <w:tcPr>
            <w:tcW w:w="5153" w:type="dxa"/>
            <w:shd w:val="clear" w:color="auto" w:fill="auto"/>
            <w:vAlign w:val="center"/>
          </w:tcPr>
          <w:p w:rsidR="00104FAC" w:rsidRPr="00CA4995" w:rsidRDefault="00104FAC" w:rsidP="00E624B7">
            <w:pPr>
              <w:spacing w:after="0"/>
              <w:rPr>
                <w:lang w:eastAsia="zh-CN"/>
              </w:rPr>
            </w:pPr>
            <w:r w:rsidRPr="00CA4995">
              <w:rPr>
                <w:lang w:eastAsia="zh-CN"/>
              </w:rPr>
              <w:t>Frozen bovine meat (excl. carcasses) with bone in</w:t>
            </w:r>
          </w:p>
        </w:tc>
      </w:tr>
      <w:tr w:rsidR="00104FAC" w:rsidRPr="00CA4995" w:rsidTr="00E624B7">
        <w:tc>
          <w:tcPr>
            <w:tcW w:w="1106" w:type="dxa"/>
            <w:shd w:val="clear" w:color="auto" w:fill="auto"/>
            <w:vAlign w:val="center"/>
          </w:tcPr>
          <w:p w:rsidR="00104FAC" w:rsidRPr="00CA4995" w:rsidRDefault="00104FAC" w:rsidP="00E624B7">
            <w:pPr>
              <w:spacing w:after="0"/>
              <w:jc w:val="center"/>
              <w:rPr>
                <w:lang w:eastAsia="zh-CN"/>
              </w:rPr>
            </w:pPr>
            <w:r w:rsidRPr="00CA4995">
              <w:rPr>
                <w:lang w:eastAsia="zh-CN"/>
              </w:rPr>
              <w:t>6</w:t>
            </w:r>
          </w:p>
        </w:tc>
        <w:tc>
          <w:tcPr>
            <w:tcW w:w="1843" w:type="dxa"/>
            <w:shd w:val="clear" w:color="auto" w:fill="auto"/>
            <w:vAlign w:val="center"/>
          </w:tcPr>
          <w:p w:rsidR="00104FAC" w:rsidRPr="00CA4995" w:rsidRDefault="00104FAC" w:rsidP="00E624B7">
            <w:pPr>
              <w:spacing w:after="0"/>
              <w:jc w:val="center"/>
              <w:rPr>
                <w:lang w:eastAsia="zh-CN"/>
              </w:rPr>
            </w:pPr>
            <w:r w:rsidRPr="00CA4995">
              <w:rPr>
                <w:lang w:eastAsia="zh-CN"/>
              </w:rPr>
              <w:t>02023000</w:t>
            </w:r>
          </w:p>
        </w:tc>
        <w:tc>
          <w:tcPr>
            <w:tcW w:w="5153" w:type="dxa"/>
            <w:shd w:val="clear" w:color="auto" w:fill="auto"/>
            <w:vAlign w:val="center"/>
          </w:tcPr>
          <w:p w:rsidR="00104FAC" w:rsidRPr="00CA4995" w:rsidRDefault="00104FAC" w:rsidP="00E624B7">
            <w:pPr>
              <w:spacing w:after="0"/>
              <w:rPr>
                <w:lang w:eastAsia="zh-CN"/>
              </w:rPr>
            </w:pPr>
            <w:r w:rsidRPr="00CA4995">
              <w:rPr>
                <w:lang w:eastAsia="zh-CN"/>
              </w:rPr>
              <w:t>Frozen boneless bovine meat</w:t>
            </w:r>
          </w:p>
        </w:tc>
      </w:tr>
    </w:tbl>
    <w:p w:rsidR="00104FAC" w:rsidRPr="00CA4995" w:rsidRDefault="00104FAC" w:rsidP="00104FAC">
      <w:pPr>
        <w:spacing w:after="0"/>
        <w:jc w:val="both"/>
        <w:rPr>
          <w:lang w:eastAsia="zh-CN"/>
        </w:rPr>
      </w:pPr>
    </w:p>
    <w:p w:rsidR="00104FAC" w:rsidRPr="00CA4995" w:rsidRDefault="00104FAC" w:rsidP="00104FAC">
      <w:pPr>
        <w:spacing w:after="0"/>
        <w:jc w:val="both"/>
        <w:rPr>
          <w:b/>
          <w:lang w:eastAsia="zh-CN"/>
        </w:rPr>
      </w:pPr>
      <w:r w:rsidRPr="00CA4995">
        <w:rPr>
          <w:b/>
          <w:lang w:eastAsia="zh-CN"/>
        </w:rPr>
        <w:t>Table 2: Quantity Trigger Level</w:t>
      </w:r>
    </w:p>
    <w:p w:rsidR="00104FAC" w:rsidRPr="00CA4995" w:rsidRDefault="00104FAC" w:rsidP="00104FAC">
      <w:pPr>
        <w:spacing w:after="0"/>
        <w:jc w:val="both"/>
        <w:rPr>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953"/>
      </w:tblGrid>
      <w:tr w:rsidR="00104FAC" w:rsidRPr="00CA4995" w:rsidTr="00FE6091">
        <w:trPr>
          <w:tblHeader/>
        </w:trPr>
        <w:tc>
          <w:tcPr>
            <w:tcW w:w="2127" w:type="dxa"/>
            <w:shd w:val="clear" w:color="auto" w:fill="auto"/>
          </w:tcPr>
          <w:p w:rsidR="00104FAC" w:rsidRPr="00CA4995" w:rsidRDefault="00104FAC" w:rsidP="00E624B7">
            <w:pPr>
              <w:spacing w:after="0"/>
              <w:jc w:val="center"/>
              <w:rPr>
                <w:b/>
                <w:lang w:eastAsia="zh-CN"/>
              </w:rPr>
            </w:pPr>
            <w:r w:rsidRPr="00CA4995">
              <w:rPr>
                <w:b/>
                <w:lang w:eastAsia="zh-CN"/>
              </w:rPr>
              <w:t>Stage</w:t>
            </w:r>
          </w:p>
        </w:tc>
        <w:tc>
          <w:tcPr>
            <w:tcW w:w="5953" w:type="dxa"/>
            <w:shd w:val="clear" w:color="auto" w:fill="auto"/>
          </w:tcPr>
          <w:p w:rsidR="00104FAC" w:rsidRPr="00CA4995" w:rsidRDefault="00104FAC" w:rsidP="00E624B7">
            <w:pPr>
              <w:spacing w:after="0"/>
              <w:jc w:val="center"/>
              <w:rPr>
                <w:b/>
                <w:lang w:eastAsia="zh-CN"/>
              </w:rPr>
            </w:pPr>
            <w:r w:rsidRPr="00CA4995">
              <w:rPr>
                <w:b/>
                <w:lang w:eastAsia="zh-CN"/>
              </w:rPr>
              <w:t>Trigger Level (tonnes)</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1</w:t>
            </w:r>
          </w:p>
        </w:tc>
        <w:tc>
          <w:tcPr>
            <w:tcW w:w="5953" w:type="dxa"/>
            <w:shd w:val="clear" w:color="auto" w:fill="auto"/>
          </w:tcPr>
          <w:p w:rsidR="00104FAC" w:rsidRPr="00CA4995" w:rsidRDefault="00104FAC" w:rsidP="00E624B7">
            <w:pPr>
              <w:spacing w:after="0"/>
              <w:jc w:val="center"/>
              <w:rPr>
                <w:lang w:eastAsia="zh-CN"/>
              </w:rPr>
            </w:pPr>
            <w:r w:rsidRPr="00CA4995">
              <w:rPr>
                <w:lang w:eastAsia="zh-CN"/>
              </w:rPr>
              <w:t>170,000</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2</w:t>
            </w:r>
          </w:p>
        </w:tc>
        <w:tc>
          <w:tcPr>
            <w:tcW w:w="5953" w:type="dxa"/>
            <w:shd w:val="clear" w:color="auto" w:fill="auto"/>
          </w:tcPr>
          <w:p w:rsidR="00104FAC" w:rsidRPr="00CA4995" w:rsidRDefault="00104FAC" w:rsidP="00E624B7">
            <w:pPr>
              <w:spacing w:after="0"/>
              <w:jc w:val="center"/>
              <w:rPr>
                <w:lang w:eastAsia="zh-CN"/>
              </w:rPr>
            </w:pPr>
            <w:r w:rsidRPr="00CA4995">
              <w:rPr>
                <w:lang w:eastAsia="zh-CN"/>
              </w:rPr>
              <w:t>170,000</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3</w:t>
            </w:r>
          </w:p>
        </w:tc>
        <w:tc>
          <w:tcPr>
            <w:tcW w:w="5953" w:type="dxa"/>
            <w:shd w:val="clear" w:color="auto" w:fill="auto"/>
          </w:tcPr>
          <w:p w:rsidR="00104FAC" w:rsidRPr="00CA4995" w:rsidRDefault="00104FAC" w:rsidP="00E624B7">
            <w:pPr>
              <w:spacing w:after="0"/>
              <w:jc w:val="center"/>
              <w:rPr>
                <w:lang w:eastAsia="zh-CN"/>
              </w:rPr>
            </w:pPr>
            <w:r w:rsidRPr="00CA4995">
              <w:rPr>
                <w:lang w:eastAsia="zh-CN"/>
              </w:rPr>
              <w:t>170,000</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4</w:t>
            </w:r>
          </w:p>
        </w:tc>
        <w:tc>
          <w:tcPr>
            <w:tcW w:w="5953" w:type="dxa"/>
            <w:shd w:val="clear" w:color="auto" w:fill="auto"/>
          </w:tcPr>
          <w:p w:rsidR="00104FAC" w:rsidRPr="00CA4995" w:rsidRDefault="00104FAC" w:rsidP="00E624B7">
            <w:pPr>
              <w:spacing w:after="0"/>
              <w:jc w:val="center"/>
              <w:rPr>
                <w:lang w:eastAsia="zh-CN"/>
              </w:rPr>
            </w:pPr>
            <w:r w:rsidRPr="00CA4995">
              <w:rPr>
                <w:lang w:eastAsia="zh-CN"/>
              </w:rPr>
              <w:t>170,000</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5</w:t>
            </w:r>
          </w:p>
        </w:tc>
        <w:tc>
          <w:tcPr>
            <w:tcW w:w="5953" w:type="dxa"/>
            <w:shd w:val="clear" w:color="auto" w:fill="auto"/>
          </w:tcPr>
          <w:p w:rsidR="00104FAC" w:rsidRPr="00CA4995" w:rsidRDefault="00104FAC" w:rsidP="00E624B7">
            <w:pPr>
              <w:spacing w:after="0"/>
              <w:jc w:val="center"/>
              <w:rPr>
                <w:lang w:eastAsia="zh-CN"/>
              </w:rPr>
            </w:pPr>
            <w:r w:rsidRPr="00CA4995">
              <w:rPr>
                <w:lang w:eastAsia="zh-CN"/>
              </w:rPr>
              <w:t>174,454</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6</w:t>
            </w:r>
          </w:p>
        </w:tc>
        <w:tc>
          <w:tcPr>
            <w:tcW w:w="5953" w:type="dxa"/>
            <w:shd w:val="clear" w:color="auto" w:fill="auto"/>
          </w:tcPr>
          <w:p w:rsidR="00104FAC" w:rsidRPr="00CA4995" w:rsidRDefault="00104FAC" w:rsidP="00E624B7">
            <w:pPr>
              <w:spacing w:after="0"/>
              <w:jc w:val="center"/>
              <w:rPr>
                <w:lang w:eastAsia="zh-CN"/>
              </w:rPr>
            </w:pPr>
            <w:r w:rsidRPr="00CA4995">
              <w:rPr>
                <w:lang w:eastAsia="zh-CN"/>
              </w:rPr>
              <w:t>179,687</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7</w:t>
            </w:r>
          </w:p>
        </w:tc>
        <w:tc>
          <w:tcPr>
            <w:tcW w:w="5953" w:type="dxa"/>
            <w:shd w:val="clear" w:color="auto" w:fill="auto"/>
          </w:tcPr>
          <w:p w:rsidR="00104FAC" w:rsidRPr="00CA4995" w:rsidRDefault="00104FAC" w:rsidP="00E624B7">
            <w:pPr>
              <w:spacing w:after="0"/>
              <w:jc w:val="center"/>
              <w:rPr>
                <w:lang w:eastAsia="zh-CN"/>
              </w:rPr>
            </w:pPr>
            <w:r w:rsidRPr="00CA4995">
              <w:rPr>
                <w:lang w:eastAsia="zh-CN"/>
              </w:rPr>
              <w:t>185,078</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8</w:t>
            </w:r>
          </w:p>
        </w:tc>
        <w:tc>
          <w:tcPr>
            <w:tcW w:w="5953" w:type="dxa"/>
            <w:shd w:val="clear" w:color="auto" w:fill="auto"/>
          </w:tcPr>
          <w:p w:rsidR="00104FAC" w:rsidRPr="00CA4995" w:rsidRDefault="00104FAC" w:rsidP="00E624B7">
            <w:pPr>
              <w:spacing w:after="0"/>
              <w:jc w:val="center"/>
              <w:rPr>
                <w:lang w:eastAsia="zh-CN"/>
              </w:rPr>
            </w:pPr>
            <w:r w:rsidRPr="00CA4995">
              <w:rPr>
                <w:lang w:eastAsia="zh-CN"/>
              </w:rPr>
              <w:t>190,630</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9</w:t>
            </w:r>
          </w:p>
        </w:tc>
        <w:tc>
          <w:tcPr>
            <w:tcW w:w="5953" w:type="dxa"/>
            <w:shd w:val="clear" w:color="auto" w:fill="auto"/>
          </w:tcPr>
          <w:p w:rsidR="00104FAC" w:rsidRPr="00CA4995" w:rsidRDefault="00104FAC" w:rsidP="00E624B7">
            <w:pPr>
              <w:spacing w:after="0"/>
              <w:jc w:val="center"/>
              <w:rPr>
                <w:lang w:eastAsia="zh-CN"/>
              </w:rPr>
            </w:pPr>
            <w:r w:rsidRPr="00CA4995">
              <w:rPr>
                <w:lang w:eastAsia="zh-CN"/>
              </w:rPr>
              <w:t>196,349</w:t>
            </w:r>
          </w:p>
        </w:tc>
      </w:tr>
      <w:tr w:rsidR="00104FAC" w:rsidRPr="00CA4995" w:rsidTr="00E624B7">
        <w:tc>
          <w:tcPr>
            <w:tcW w:w="2127" w:type="dxa"/>
            <w:tcBorders>
              <w:bottom w:val="single" w:sz="4" w:space="0" w:color="auto"/>
            </w:tcBorders>
            <w:shd w:val="clear" w:color="auto" w:fill="auto"/>
          </w:tcPr>
          <w:p w:rsidR="00104FAC" w:rsidRPr="00CA4995" w:rsidRDefault="00104FAC" w:rsidP="00E624B7">
            <w:pPr>
              <w:spacing w:after="0"/>
              <w:jc w:val="center"/>
              <w:rPr>
                <w:lang w:eastAsia="zh-CN"/>
              </w:rPr>
            </w:pPr>
            <w:r w:rsidRPr="00CA4995">
              <w:rPr>
                <w:lang w:eastAsia="zh-CN"/>
              </w:rPr>
              <w:t>10</w:t>
            </w:r>
          </w:p>
        </w:tc>
        <w:tc>
          <w:tcPr>
            <w:tcW w:w="5953" w:type="dxa"/>
            <w:tcBorders>
              <w:bottom w:val="single" w:sz="4" w:space="0" w:color="auto"/>
            </w:tcBorders>
            <w:shd w:val="clear" w:color="auto" w:fill="auto"/>
          </w:tcPr>
          <w:p w:rsidR="00104FAC" w:rsidRPr="00CA4995" w:rsidRDefault="00104FAC" w:rsidP="00E624B7">
            <w:pPr>
              <w:spacing w:after="0"/>
              <w:jc w:val="center"/>
              <w:rPr>
                <w:lang w:eastAsia="zh-CN"/>
              </w:rPr>
            </w:pPr>
            <w:r w:rsidRPr="00CA4995">
              <w:rPr>
                <w:lang w:eastAsia="zh-CN"/>
              </w:rPr>
              <w:t>202,240</w:t>
            </w:r>
          </w:p>
        </w:tc>
      </w:tr>
      <w:tr w:rsidR="00104FAC" w:rsidRPr="00CA4995" w:rsidTr="00E624B7">
        <w:tc>
          <w:tcPr>
            <w:tcW w:w="2127" w:type="dxa"/>
            <w:shd w:val="pct20" w:color="auto" w:fill="auto"/>
          </w:tcPr>
          <w:p w:rsidR="00104FAC" w:rsidRPr="00CA4995" w:rsidRDefault="00104FAC" w:rsidP="00E624B7">
            <w:pPr>
              <w:spacing w:after="0"/>
              <w:jc w:val="center"/>
              <w:rPr>
                <w:lang w:eastAsia="zh-CN"/>
              </w:rPr>
            </w:pPr>
            <w:r w:rsidRPr="00CA4995">
              <w:rPr>
                <w:lang w:eastAsia="zh-CN"/>
              </w:rPr>
              <w:t>11</w:t>
            </w:r>
          </w:p>
        </w:tc>
        <w:tc>
          <w:tcPr>
            <w:tcW w:w="5953" w:type="dxa"/>
            <w:shd w:val="pct20" w:color="auto" w:fill="auto"/>
          </w:tcPr>
          <w:p w:rsidR="00104FAC" w:rsidRPr="00CA4995" w:rsidRDefault="00104FAC" w:rsidP="00E624B7">
            <w:pPr>
              <w:spacing w:after="0"/>
              <w:jc w:val="center"/>
              <w:rPr>
                <w:lang w:eastAsia="zh-CN"/>
              </w:rPr>
            </w:pPr>
            <w:r w:rsidRPr="00CA4995">
              <w:rPr>
                <w:lang w:eastAsia="zh-CN"/>
              </w:rPr>
              <w:t>208,307</w:t>
            </w:r>
          </w:p>
        </w:tc>
      </w:tr>
      <w:tr w:rsidR="00104FAC" w:rsidRPr="00CA4995" w:rsidTr="00E624B7">
        <w:tc>
          <w:tcPr>
            <w:tcW w:w="2127" w:type="dxa"/>
            <w:shd w:val="pct20" w:color="auto" w:fill="auto"/>
          </w:tcPr>
          <w:p w:rsidR="00104FAC" w:rsidRPr="00CA4995" w:rsidRDefault="00104FAC" w:rsidP="00E624B7">
            <w:pPr>
              <w:spacing w:after="0"/>
              <w:jc w:val="center"/>
              <w:rPr>
                <w:lang w:eastAsia="zh-CN"/>
              </w:rPr>
            </w:pPr>
            <w:r w:rsidRPr="00CA4995">
              <w:rPr>
                <w:lang w:eastAsia="zh-CN"/>
              </w:rPr>
              <w:t>12</w:t>
            </w:r>
          </w:p>
        </w:tc>
        <w:tc>
          <w:tcPr>
            <w:tcW w:w="5953" w:type="dxa"/>
            <w:shd w:val="pct20" w:color="auto" w:fill="auto"/>
          </w:tcPr>
          <w:p w:rsidR="00104FAC" w:rsidRPr="00CA4995" w:rsidRDefault="00104FAC" w:rsidP="00E624B7">
            <w:pPr>
              <w:spacing w:after="0"/>
              <w:jc w:val="center"/>
              <w:rPr>
                <w:lang w:eastAsia="zh-CN"/>
              </w:rPr>
            </w:pPr>
            <w:r w:rsidRPr="00CA4995">
              <w:rPr>
                <w:lang w:eastAsia="zh-CN"/>
              </w:rPr>
              <w:t>214,556</w:t>
            </w:r>
          </w:p>
        </w:tc>
      </w:tr>
      <w:tr w:rsidR="00104FAC" w:rsidRPr="00CA4995" w:rsidTr="00E624B7">
        <w:tc>
          <w:tcPr>
            <w:tcW w:w="2127" w:type="dxa"/>
            <w:shd w:val="pct20" w:color="auto" w:fill="auto"/>
          </w:tcPr>
          <w:p w:rsidR="00104FAC" w:rsidRPr="00CA4995" w:rsidRDefault="00104FAC" w:rsidP="00E624B7">
            <w:pPr>
              <w:spacing w:after="0"/>
              <w:jc w:val="center"/>
              <w:rPr>
                <w:lang w:eastAsia="zh-CN"/>
              </w:rPr>
            </w:pPr>
            <w:r w:rsidRPr="00CA4995">
              <w:rPr>
                <w:lang w:eastAsia="zh-CN"/>
              </w:rPr>
              <w:t>13</w:t>
            </w:r>
          </w:p>
        </w:tc>
        <w:tc>
          <w:tcPr>
            <w:tcW w:w="5953" w:type="dxa"/>
            <w:shd w:val="pct20" w:color="auto" w:fill="auto"/>
          </w:tcPr>
          <w:p w:rsidR="00104FAC" w:rsidRPr="00CA4995" w:rsidRDefault="00104FAC" w:rsidP="00E624B7">
            <w:pPr>
              <w:spacing w:after="0"/>
              <w:jc w:val="center"/>
              <w:rPr>
                <w:lang w:eastAsia="zh-CN"/>
              </w:rPr>
            </w:pPr>
            <w:r w:rsidRPr="00CA4995">
              <w:rPr>
                <w:lang w:eastAsia="zh-CN"/>
              </w:rPr>
              <w:t>220,993</w:t>
            </w:r>
          </w:p>
        </w:tc>
      </w:tr>
      <w:tr w:rsidR="00104FAC" w:rsidRPr="00CA4995" w:rsidTr="00E624B7">
        <w:tc>
          <w:tcPr>
            <w:tcW w:w="2127" w:type="dxa"/>
            <w:shd w:val="pct20" w:color="auto" w:fill="auto"/>
          </w:tcPr>
          <w:p w:rsidR="00104FAC" w:rsidRPr="00CA4995" w:rsidRDefault="00104FAC" w:rsidP="00E624B7">
            <w:pPr>
              <w:spacing w:after="0"/>
              <w:jc w:val="center"/>
              <w:rPr>
                <w:lang w:eastAsia="zh-CN"/>
              </w:rPr>
            </w:pPr>
            <w:r w:rsidRPr="00CA4995">
              <w:rPr>
                <w:lang w:eastAsia="zh-CN"/>
              </w:rPr>
              <w:t>14</w:t>
            </w:r>
          </w:p>
        </w:tc>
        <w:tc>
          <w:tcPr>
            <w:tcW w:w="5953" w:type="dxa"/>
            <w:shd w:val="pct20" w:color="auto" w:fill="auto"/>
          </w:tcPr>
          <w:p w:rsidR="00104FAC" w:rsidRPr="00CA4995" w:rsidRDefault="00104FAC" w:rsidP="00E624B7">
            <w:pPr>
              <w:spacing w:after="0"/>
              <w:jc w:val="center"/>
              <w:rPr>
                <w:lang w:eastAsia="zh-CN"/>
              </w:rPr>
            </w:pPr>
            <w:r w:rsidRPr="00CA4995">
              <w:rPr>
                <w:lang w:eastAsia="zh-CN"/>
              </w:rPr>
              <w:t>227,623</w:t>
            </w:r>
          </w:p>
        </w:tc>
      </w:tr>
      <w:tr w:rsidR="00104FAC" w:rsidRPr="00CA4995" w:rsidTr="00E624B7">
        <w:tc>
          <w:tcPr>
            <w:tcW w:w="2127" w:type="dxa"/>
            <w:shd w:val="pct20" w:color="auto" w:fill="auto"/>
          </w:tcPr>
          <w:p w:rsidR="00104FAC" w:rsidRPr="00CA4995" w:rsidRDefault="00104FAC" w:rsidP="00E624B7">
            <w:pPr>
              <w:spacing w:after="0"/>
              <w:jc w:val="center"/>
              <w:rPr>
                <w:lang w:eastAsia="zh-CN"/>
              </w:rPr>
            </w:pPr>
            <w:r w:rsidRPr="00CA4995">
              <w:rPr>
                <w:lang w:eastAsia="zh-CN"/>
              </w:rPr>
              <w:lastRenderedPageBreak/>
              <w:t>15</w:t>
            </w:r>
          </w:p>
        </w:tc>
        <w:tc>
          <w:tcPr>
            <w:tcW w:w="5953" w:type="dxa"/>
            <w:shd w:val="pct20" w:color="auto" w:fill="auto"/>
          </w:tcPr>
          <w:p w:rsidR="00104FAC" w:rsidRPr="00CA4995" w:rsidRDefault="00104FAC" w:rsidP="00E624B7">
            <w:pPr>
              <w:spacing w:after="0"/>
              <w:jc w:val="center"/>
              <w:rPr>
                <w:lang w:eastAsia="zh-CN"/>
              </w:rPr>
            </w:pPr>
            <w:r w:rsidRPr="00CA4995">
              <w:rPr>
                <w:lang w:eastAsia="zh-CN"/>
              </w:rPr>
              <w:t>234,451</w:t>
            </w:r>
          </w:p>
        </w:tc>
      </w:tr>
      <w:tr w:rsidR="00104FAC" w:rsidRPr="00CA4995" w:rsidTr="00E624B7">
        <w:tc>
          <w:tcPr>
            <w:tcW w:w="2127" w:type="dxa"/>
            <w:shd w:val="pct20" w:color="auto" w:fill="auto"/>
          </w:tcPr>
          <w:p w:rsidR="00104FAC" w:rsidRPr="00CA4995" w:rsidRDefault="00104FAC" w:rsidP="00E624B7">
            <w:pPr>
              <w:spacing w:after="0"/>
              <w:jc w:val="center"/>
              <w:rPr>
                <w:lang w:eastAsia="zh-CN"/>
              </w:rPr>
            </w:pPr>
            <w:r w:rsidRPr="00CA4995">
              <w:rPr>
                <w:lang w:eastAsia="zh-CN"/>
              </w:rPr>
              <w:t>16</w:t>
            </w:r>
          </w:p>
        </w:tc>
        <w:tc>
          <w:tcPr>
            <w:tcW w:w="5953" w:type="dxa"/>
            <w:shd w:val="pct20" w:color="auto" w:fill="auto"/>
          </w:tcPr>
          <w:p w:rsidR="00104FAC" w:rsidRPr="00CA4995" w:rsidRDefault="00104FAC" w:rsidP="00E624B7">
            <w:pPr>
              <w:spacing w:after="0"/>
              <w:jc w:val="center"/>
              <w:rPr>
                <w:lang w:eastAsia="zh-CN"/>
              </w:rPr>
            </w:pPr>
            <w:r w:rsidRPr="00CA4995">
              <w:rPr>
                <w:lang w:eastAsia="zh-CN"/>
              </w:rPr>
              <w:t>241,485</w:t>
            </w:r>
          </w:p>
        </w:tc>
      </w:tr>
      <w:tr w:rsidR="00104FAC" w:rsidRPr="00CA4995" w:rsidTr="00E624B7">
        <w:tc>
          <w:tcPr>
            <w:tcW w:w="2127" w:type="dxa"/>
            <w:shd w:val="pct20" w:color="auto" w:fill="auto"/>
          </w:tcPr>
          <w:p w:rsidR="00104FAC" w:rsidRPr="00CA4995" w:rsidRDefault="00104FAC" w:rsidP="00E624B7">
            <w:pPr>
              <w:spacing w:after="0"/>
              <w:jc w:val="center"/>
              <w:rPr>
                <w:lang w:eastAsia="zh-CN"/>
              </w:rPr>
            </w:pPr>
            <w:r w:rsidRPr="00CA4995">
              <w:rPr>
                <w:lang w:eastAsia="zh-CN"/>
              </w:rPr>
              <w:t>17</w:t>
            </w:r>
          </w:p>
        </w:tc>
        <w:tc>
          <w:tcPr>
            <w:tcW w:w="5953" w:type="dxa"/>
            <w:shd w:val="pct20" w:color="auto" w:fill="auto"/>
          </w:tcPr>
          <w:p w:rsidR="00104FAC" w:rsidRPr="00CA4995" w:rsidRDefault="00104FAC" w:rsidP="00E624B7">
            <w:pPr>
              <w:spacing w:after="0"/>
              <w:jc w:val="center"/>
              <w:rPr>
                <w:lang w:eastAsia="zh-CN"/>
              </w:rPr>
            </w:pPr>
            <w:r w:rsidRPr="00CA4995">
              <w:rPr>
                <w:lang w:eastAsia="zh-CN"/>
              </w:rPr>
              <w:t>248,729</w:t>
            </w:r>
          </w:p>
        </w:tc>
      </w:tr>
    </w:tbl>
    <w:p w:rsidR="00104FAC" w:rsidRPr="00CA4995" w:rsidRDefault="00104FAC" w:rsidP="00104FAC">
      <w:pPr>
        <w:spacing w:after="0"/>
        <w:jc w:val="both"/>
        <w:rPr>
          <w:lang w:eastAsia="zh-CN"/>
        </w:rPr>
      </w:pPr>
    </w:p>
    <w:p w:rsidR="00104FAC" w:rsidRPr="00CA4995" w:rsidRDefault="00104FAC" w:rsidP="00104FAC">
      <w:pPr>
        <w:spacing w:after="0"/>
        <w:jc w:val="both"/>
        <w:rPr>
          <w:b/>
          <w:lang w:eastAsia="zh-CN"/>
        </w:rPr>
      </w:pPr>
      <w:r w:rsidRPr="00CA4995">
        <w:rPr>
          <w:b/>
          <w:lang w:eastAsia="zh-CN"/>
        </w:rPr>
        <w:t xml:space="preserve">Part II Milk Powder </w:t>
      </w:r>
    </w:p>
    <w:p w:rsidR="00104FAC" w:rsidRPr="00CA4995" w:rsidRDefault="00104FAC" w:rsidP="00104FAC">
      <w:pPr>
        <w:spacing w:after="0"/>
        <w:jc w:val="both"/>
        <w:rPr>
          <w:lang w:eastAsia="zh-CN"/>
        </w:rPr>
      </w:pPr>
    </w:p>
    <w:p w:rsidR="00104FAC" w:rsidRPr="00CA4995" w:rsidRDefault="00104FAC" w:rsidP="00104FAC">
      <w:pPr>
        <w:tabs>
          <w:tab w:val="left" w:pos="709"/>
        </w:tabs>
        <w:spacing w:after="0"/>
        <w:jc w:val="both"/>
        <w:rPr>
          <w:lang w:eastAsia="zh-CN"/>
        </w:rPr>
      </w:pPr>
      <w:r w:rsidRPr="00CA4995">
        <w:rPr>
          <w:lang w:eastAsia="zh-CN"/>
        </w:rPr>
        <w:t>1.</w:t>
      </w:r>
      <w:r w:rsidRPr="00CA4995">
        <w:rPr>
          <w:lang w:eastAsia="zh-CN"/>
        </w:rPr>
        <w:tab/>
        <w:t>Table 3 specifies the products that may be subject to a special agricultural safeguard measure under Article 2.14.</w:t>
      </w:r>
    </w:p>
    <w:p w:rsidR="00104FAC" w:rsidRPr="00CA4995" w:rsidRDefault="00104FAC" w:rsidP="00104FAC">
      <w:pPr>
        <w:tabs>
          <w:tab w:val="left" w:pos="709"/>
        </w:tabs>
        <w:spacing w:after="0"/>
        <w:jc w:val="both"/>
        <w:rPr>
          <w:lang w:eastAsia="zh-CN"/>
        </w:rPr>
      </w:pPr>
    </w:p>
    <w:p w:rsidR="00104FAC" w:rsidRPr="00CA4995" w:rsidRDefault="00104FAC" w:rsidP="00104FAC">
      <w:pPr>
        <w:tabs>
          <w:tab w:val="left" w:pos="709"/>
        </w:tabs>
        <w:spacing w:after="0"/>
        <w:jc w:val="both"/>
        <w:rPr>
          <w:lang w:eastAsia="zh-CN"/>
        </w:rPr>
      </w:pPr>
      <w:r w:rsidRPr="00CA4995">
        <w:rPr>
          <w:lang w:eastAsia="zh-CN"/>
        </w:rPr>
        <w:t>2.</w:t>
      </w:r>
      <w:r w:rsidRPr="00CA4995">
        <w:rPr>
          <w:lang w:eastAsia="zh-CN"/>
        </w:rPr>
        <w:tab/>
        <w:t>The trigger level in the calendar year in which this Agreement enters into force shall be the Stage 1 level specified in Table 4, prorated for the percentage of that year for which this Agreement is in force.</w:t>
      </w:r>
    </w:p>
    <w:p w:rsidR="00104FAC" w:rsidRPr="00CA4995" w:rsidRDefault="00104FAC" w:rsidP="00104FAC">
      <w:pPr>
        <w:tabs>
          <w:tab w:val="left" w:pos="709"/>
        </w:tabs>
        <w:spacing w:after="0"/>
        <w:jc w:val="both"/>
        <w:rPr>
          <w:lang w:eastAsia="zh-CN"/>
        </w:rPr>
      </w:pPr>
    </w:p>
    <w:p w:rsidR="00104FAC" w:rsidRPr="00CA4995" w:rsidRDefault="00104FAC" w:rsidP="00104FAC">
      <w:pPr>
        <w:tabs>
          <w:tab w:val="left" w:pos="709"/>
        </w:tabs>
        <w:spacing w:after="0"/>
        <w:jc w:val="both"/>
        <w:rPr>
          <w:lang w:eastAsia="zh-CN"/>
        </w:rPr>
      </w:pPr>
      <w:r w:rsidRPr="00CA4995">
        <w:rPr>
          <w:lang w:eastAsia="zh-CN"/>
        </w:rPr>
        <w:t>3.</w:t>
      </w:r>
      <w:r w:rsidRPr="00CA4995">
        <w:rPr>
          <w:lang w:eastAsia="zh-CN"/>
        </w:rPr>
        <w:tab/>
        <w:t>The trigger level in subsequent years shall be the full trigger level specified in Table 4, with the continuation of the final trigger level subject to paragraph 8 of Article 2.14.</w:t>
      </w:r>
    </w:p>
    <w:p w:rsidR="00104FAC" w:rsidRPr="00CA4995" w:rsidRDefault="00104FAC" w:rsidP="00104FAC">
      <w:pPr>
        <w:spacing w:after="0"/>
        <w:jc w:val="both"/>
        <w:rPr>
          <w:lang w:eastAsia="zh-CN"/>
        </w:rPr>
      </w:pPr>
    </w:p>
    <w:p w:rsidR="00104FAC" w:rsidRPr="00CA4995" w:rsidRDefault="00104FAC" w:rsidP="00104FAC">
      <w:pPr>
        <w:spacing w:after="0"/>
        <w:jc w:val="both"/>
        <w:rPr>
          <w:b/>
          <w:lang w:eastAsia="zh-CN"/>
        </w:rPr>
      </w:pPr>
      <w:r w:rsidRPr="00CA4995">
        <w:rPr>
          <w:b/>
          <w:lang w:eastAsia="zh-CN"/>
        </w:rPr>
        <w:t>Table 3: Products</w:t>
      </w:r>
    </w:p>
    <w:p w:rsidR="00104FAC" w:rsidRPr="00CA4995" w:rsidRDefault="00104FAC" w:rsidP="00104FAC">
      <w:pPr>
        <w:spacing w:after="0"/>
        <w:jc w:val="both"/>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gridCol w:w="5103"/>
      </w:tblGrid>
      <w:tr w:rsidR="00104FAC" w:rsidRPr="00CA4995" w:rsidTr="00E624B7">
        <w:tc>
          <w:tcPr>
            <w:tcW w:w="1134" w:type="dxa"/>
            <w:shd w:val="clear" w:color="auto" w:fill="auto"/>
          </w:tcPr>
          <w:p w:rsidR="00104FAC" w:rsidRPr="00CA4995" w:rsidRDefault="00104FAC" w:rsidP="00E624B7">
            <w:pPr>
              <w:spacing w:after="0"/>
              <w:jc w:val="center"/>
              <w:rPr>
                <w:b/>
                <w:lang w:eastAsia="zh-CN"/>
              </w:rPr>
            </w:pPr>
          </w:p>
        </w:tc>
        <w:tc>
          <w:tcPr>
            <w:tcW w:w="1843" w:type="dxa"/>
            <w:shd w:val="clear" w:color="auto" w:fill="auto"/>
          </w:tcPr>
          <w:p w:rsidR="00104FAC" w:rsidRPr="00CA4995" w:rsidRDefault="00104FAC" w:rsidP="00E624B7">
            <w:pPr>
              <w:spacing w:after="0"/>
              <w:jc w:val="center"/>
              <w:rPr>
                <w:b/>
                <w:lang w:eastAsia="zh-CN"/>
              </w:rPr>
            </w:pPr>
            <w:r w:rsidRPr="00CA4995">
              <w:rPr>
                <w:b/>
                <w:lang w:eastAsia="zh-CN"/>
              </w:rPr>
              <w:t>HS code</w:t>
            </w:r>
          </w:p>
        </w:tc>
        <w:tc>
          <w:tcPr>
            <w:tcW w:w="5103" w:type="dxa"/>
            <w:shd w:val="clear" w:color="auto" w:fill="auto"/>
          </w:tcPr>
          <w:p w:rsidR="00104FAC" w:rsidRPr="00CA4995" w:rsidRDefault="00104FAC" w:rsidP="00E624B7">
            <w:pPr>
              <w:spacing w:after="0"/>
              <w:jc w:val="both"/>
              <w:rPr>
                <w:b/>
                <w:lang w:eastAsia="zh-CN"/>
              </w:rPr>
            </w:pPr>
            <w:r w:rsidRPr="00CA4995">
              <w:rPr>
                <w:b/>
                <w:lang w:eastAsia="zh-CN"/>
              </w:rPr>
              <w:t>Description of Product</w:t>
            </w:r>
          </w:p>
        </w:tc>
      </w:tr>
      <w:tr w:rsidR="00104FAC" w:rsidRPr="00CA4995" w:rsidTr="00E624B7">
        <w:tc>
          <w:tcPr>
            <w:tcW w:w="1134" w:type="dxa"/>
            <w:shd w:val="clear" w:color="auto" w:fill="auto"/>
          </w:tcPr>
          <w:p w:rsidR="00104FAC" w:rsidRPr="00CA4995" w:rsidRDefault="00104FAC" w:rsidP="00E624B7">
            <w:pPr>
              <w:spacing w:after="0"/>
              <w:jc w:val="center"/>
              <w:rPr>
                <w:lang w:eastAsia="zh-CN"/>
              </w:rPr>
            </w:pPr>
            <w:r w:rsidRPr="00CA4995">
              <w:rPr>
                <w:lang w:eastAsia="zh-CN"/>
              </w:rPr>
              <w:t>1</w:t>
            </w:r>
          </w:p>
        </w:tc>
        <w:tc>
          <w:tcPr>
            <w:tcW w:w="1843" w:type="dxa"/>
            <w:shd w:val="clear" w:color="auto" w:fill="auto"/>
          </w:tcPr>
          <w:p w:rsidR="00104FAC" w:rsidRPr="00CA4995" w:rsidRDefault="00104FAC" w:rsidP="00E624B7">
            <w:pPr>
              <w:spacing w:after="0"/>
              <w:jc w:val="center"/>
              <w:rPr>
                <w:lang w:eastAsia="zh-CN"/>
              </w:rPr>
            </w:pPr>
            <w:r w:rsidRPr="00CA4995">
              <w:rPr>
                <w:lang w:eastAsia="zh-CN"/>
              </w:rPr>
              <w:t>04022100</w:t>
            </w:r>
          </w:p>
        </w:tc>
        <w:tc>
          <w:tcPr>
            <w:tcW w:w="5103" w:type="dxa"/>
            <w:shd w:val="clear" w:color="auto" w:fill="auto"/>
          </w:tcPr>
          <w:p w:rsidR="00104FAC" w:rsidRPr="00CA4995" w:rsidRDefault="00104FAC" w:rsidP="00E624B7">
            <w:pPr>
              <w:spacing w:after="0"/>
              <w:jc w:val="both"/>
              <w:rPr>
                <w:lang w:eastAsia="zh-CN"/>
              </w:rPr>
            </w:pPr>
            <w:r w:rsidRPr="00CA4995">
              <w:rPr>
                <w:lang w:eastAsia="zh-CN"/>
              </w:rPr>
              <w:t>Milk &amp; cream in solid forms of &gt;1.5% fat, unsweetened</w:t>
            </w:r>
          </w:p>
        </w:tc>
      </w:tr>
      <w:tr w:rsidR="00104FAC" w:rsidRPr="00CA4995" w:rsidTr="00E624B7">
        <w:tc>
          <w:tcPr>
            <w:tcW w:w="1134" w:type="dxa"/>
            <w:shd w:val="clear" w:color="auto" w:fill="auto"/>
          </w:tcPr>
          <w:p w:rsidR="00104FAC" w:rsidRPr="00CA4995" w:rsidRDefault="00104FAC" w:rsidP="00E624B7">
            <w:pPr>
              <w:spacing w:after="0"/>
              <w:jc w:val="center"/>
              <w:rPr>
                <w:lang w:eastAsia="zh-CN"/>
              </w:rPr>
            </w:pPr>
            <w:r w:rsidRPr="00CA4995">
              <w:rPr>
                <w:lang w:eastAsia="zh-CN"/>
              </w:rPr>
              <w:t>2</w:t>
            </w:r>
          </w:p>
        </w:tc>
        <w:tc>
          <w:tcPr>
            <w:tcW w:w="1843" w:type="dxa"/>
            <w:shd w:val="clear" w:color="auto" w:fill="auto"/>
          </w:tcPr>
          <w:p w:rsidR="00104FAC" w:rsidRPr="00CA4995" w:rsidRDefault="00104FAC" w:rsidP="00E624B7">
            <w:pPr>
              <w:spacing w:after="0"/>
              <w:jc w:val="center"/>
              <w:rPr>
                <w:lang w:eastAsia="zh-CN"/>
              </w:rPr>
            </w:pPr>
            <w:r w:rsidRPr="00CA4995">
              <w:rPr>
                <w:lang w:eastAsia="zh-CN"/>
              </w:rPr>
              <w:t>04022900</w:t>
            </w:r>
          </w:p>
        </w:tc>
        <w:tc>
          <w:tcPr>
            <w:tcW w:w="5103" w:type="dxa"/>
            <w:shd w:val="clear" w:color="auto" w:fill="auto"/>
          </w:tcPr>
          <w:p w:rsidR="00104FAC" w:rsidRPr="00CA4995" w:rsidRDefault="00104FAC" w:rsidP="00E624B7">
            <w:pPr>
              <w:spacing w:after="0"/>
              <w:jc w:val="both"/>
              <w:rPr>
                <w:lang w:eastAsia="zh-CN"/>
              </w:rPr>
            </w:pPr>
            <w:r w:rsidRPr="00CA4995">
              <w:rPr>
                <w:lang w:eastAsia="zh-CN"/>
              </w:rPr>
              <w:t>Milk &amp; cream in solid forms of &gt;1.5% fat, sweetened</w:t>
            </w:r>
          </w:p>
        </w:tc>
      </w:tr>
    </w:tbl>
    <w:p w:rsidR="00104FAC" w:rsidRPr="00CA4995" w:rsidRDefault="00104FAC" w:rsidP="00104FAC">
      <w:pPr>
        <w:spacing w:after="0"/>
        <w:jc w:val="both"/>
        <w:rPr>
          <w:lang w:eastAsia="zh-CN"/>
        </w:rPr>
      </w:pPr>
    </w:p>
    <w:p w:rsidR="00104FAC" w:rsidRPr="00CA4995" w:rsidRDefault="00104FAC" w:rsidP="00104FAC">
      <w:pPr>
        <w:spacing w:after="0"/>
        <w:jc w:val="both"/>
        <w:rPr>
          <w:b/>
          <w:lang w:eastAsia="zh-CN"/>
        </w:rPr>
      </w:pPr>
      <w:r w:rsidRPr="00CA4995">
        <w:rPr>
          <w:b/>
          <w:lang w:eastAsia="zh-CN"/>
        </w:rPr>
        <w:t>Table 4: Quantity Trigger Level</w:t>
      </w:r>
    </w:p>
    <w:p w:rsidR="00104FAC" w:rsidRPr="00CA4995" w:rsidRDefault="00104FAC" w:rsidP="00104FAC">
      <w:pPr>
        <w:spacing w:after="0"/>
        <w:jc w:val="both"/>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953"/>
      </w:tblGrid>
      <w:tr w:rsidR="00104FAC" w:rsidRPr="00CA4995" w:rsidTr="00E624B7">
        <w:tc>
          <w:tcPr>
            <w:tcW w:w="2127" w:type="dxa"/>
            <w:shd w:val="clear" w:color="auto" w:fill="auto"/>
          </w:tcPr>
          <w:p w:rsidR="00104FAC" w:rsidRPr="00CA4995" w:rsidRDefault="00104FAC" w:rsidP="00E624B7">
            <w:pPr>
              <w:spacing w:after="0"/>
              <w:jc w:val="center"/>
              <w:rPr>
                <w:b/>
                <w:lang w:eastAsia="zh-CN"/>
              </w:rPr>
            </w:pPr>
            <w:r w:rsidRPr="00CA4995">
              <w:rPr>
                <w:b/>
                <w:lang w:eastAsia="zh-CN"/>
              </w:rPr>
              <w:t>Stage</w:t>
            </w:r>
          </w:p>
        </w:tc>
        <w:tc>
          <w:tcPr>
            <w:tcW w:w="5953" w:type="dxa"/>
            <w:shd w:val="clear" w:color="auto" w:fill="auto"/>
            <w:vAlign w:val="center"/>
          </w:tcPr>
          <w:p w:rsidR="00104FAC" w:rsidRPr="00CA4995" w:rsidRDefault="00104FAC" w:rsidP="00E624B7">
            <w:pPr>
              <w:spacing w:after="0"/>
              <w:jc w:val="center"/>
              <w:rPr>
                <w:b/>
                <w:lang w:eastAsia="zh-CN"/>
              </w:rPr>
            </w:pPr>
            <w:r w:rsidRPr="00CA4995">
              <w:rPr>
                <w:b/>
                <w:lang w:eastAsia="zh-CN"/>
              </w:rPr>
              <w:t>Trigger Level (tonnes)</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1</w:t>
            </w:r>
          </w:p>
        </w:tc>
        <w:tc>
          <w:tcPr>
            <w:tcW w:w="5953" w:type="dxa"/>
            <w:shd w:val="clear" w:color="auto" w:fill="auto"/>
            <w:vAlign w:val="center"/>
          </w:tcPr>
          <w:p w:rsidR="00104FAC" w:rsidRPr="00CA4995" w:rsidRDefault="00104FAC" w:rsidP="00E624B7">
            <w:pPr>
              <w:spacing w:after="0"/>
              <w:jc w:val="center"/>
              <w:rPr>
                <w:lang w:eastAsia="zh-CN"/>
              </w:rPr>
            </w:pPr>
            <w:r w:rsidRPr="00CA4995">
              <w:rPr>
                <w:lang w:eastAsia="zh-CN"/>
              </w:rPr>
              <w:t>17,500</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2</w:t>
            </w:r>
          </w:p>
        </w:tc>
        <w:tc>
          <w:tcPr>
            <w:tcW w:w="5953" w:type="dxa"/>
            <w:shd w:val="clear" w:color="auto" w:fill="auto"/>
            <w:vAlign w:val="center"/>
          </w:tcPr>
          <w:p w:rsidR="00104FAC" w:rsidRPr="00CA4995" w:rsidRDefault="00104FAC" w:rsidP="00E624B7">
            <w:pPr>
              <w:spacing w:after="0"/>
              <w:jc w:val="center"/>
              <w:rPr>
                <w:lang w:eastAsia="zh-CN"/>
              </w:rPr>
            </w:pPr>
            <w:r w:rsidRPr="00CA4995">
              <w:rPr>
                <w:lang w:eastAsia="zh-CN"/>
              </w:rPr>
              <w:t>18,375</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3</w:t>
            </w:r>
          </w:p>
        </w:tc>
        <w:tc>
          <w:tcPr>
            <w:tcW w:w="5953" w:type="dxa"/>
            <w:shd w:val="clear" w:color="auto" w:fill="auto"/>
            <w:vAlign w:val="center"/>
          </w:tcPr>
          <w:p w:rsidR="00104FAC" w:rsidRPr="00CA4995" w:rsidRDefault="00104FAC" w:rsidP="00E624B7">
            <w:pPr>
              <w:spacing w:after="0"/>
              <w:jc w:val="center"/>
              <w:rPr>
                <w:lang w:eastAsia="zh-CN"/>
              </w:rPr>
            </w:pPr>
            <w:r w:rsidRPr="00CA4995">
              <w:rPr>
                <w:lang w:eastAsia="zh-CN"/>
              </w:rPr>
              <w:t>19,294</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4</w:t>
            </w:r>
          </w:p>
        </w:tc>
        <w:tc>
          <w:tcPr>
            <w:tcW w:w="5953" w:type="dxa"/>
            <w:shd w:val="clear" w:color="auto" w:fill="auto"/>
            <w:vAlign w:val="center"/>
          </w:tcPr>
          <w:p w:rsidR="00104FAC" w:rsidRPr="00CA4995" w:rsidRDefault="00104FAC" w:rsidP="00E624B7">
            <w:pPr>
              <w:spacing w:after="0"/>
              <w:jc w:val="center"/>
              <w:rPr>
                <w:lang w:eastAsia="zh-CN"/>
              </w:rPr>
            </w:pPr>
            <w:r w:rsidRPr="00CA4995">
              <w:rPr>
                <w:lang w:eastAsia="zh-CN"/>
              </w:rPr>
              <w:t>20,258</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5</w:t>
            </w:r>
          </w:p>
        </w:tc>
        <w:tc>
          <w:tcPr>
            <w:tcW w:w="5953" w:type="dxa"/>
            <w:shd w:val="clear" w:color="auto" w:fill="auto"/>
            <w:vAlign w:val="center"/>
          </w:tcPr>
          <w:p w:rsidR="00104FAC" w:rsidRPr="00CA4995" w:rsidRDefault="00104FAC" w:rsidP="00E624B7">
            <w:pPr>
              <w:spacing w:after="0"/>
              <w:jc w:val="center"/>
              <w:rPr>
                <w:lang w:eastAsia="zh-CN"/>
              </w:rPr>
            </w:pPr>
            <w:r w:rsidRPr="00CA4995">
              <w:rPr>
                <w:lang w:eastAsia="zh-CN"/>
              </w:rPr>
              <w:t>21,271</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6</w:t>
            </w:r>
          </w:p>
        </w:tc>
        <w:tc>
          <w:tcPr>
            <w:tcW w:w="5953" w:type="dxa"/>
            <w:shd w:val="clear" w:color="auto" w:fill="auto"/>
            <w:vAlign w:val="center"/>
          </w:tcPr>
          <w:p w:rsidR="00104FAC" w:rsidRPr="00CA4995" w:rsidRDefault="00104FAC" w:rsidP="00E624B7">
            <w:pPr>
              <w:spacing w:after="0"/>
              <w:jc w:val="center"/>
              <w:rPr>
                <w:lang w:eastAsia="zh-CN"/>
              </w:rPr>
            </w:pPr>
            <w:r w:rsidRPr="00CA4995">
              <w:rPr>
                <w:lang w:eastAsia="zh-CN"/>
              </w:rPr>
              <w:t>22,335</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7</w:t>
            </w:r>
          </w:p>
        </w:tc>
        <w:tc>
          <w:tcPr>
            <w:tcW w:w="5953" w:type="dxa"/>
            <w:shd w:val="clear" w:color="auto" w:fill="auto"/>
            <w:vAlign w:val="center"/>
          </w:tcPr>
          <w:p w:rsidR="00104FAC" w:rsidRPr="00CA4995" w:rsidRDefault="00104FAC" w:rsidP="00E624B7">
            <w:pPr>
              <w:spacing w:after="0"/>
              <w:jc w:val="center"/>
              <w:rPr>
                <w:lang w:eastAsia="zh-CN"/>
              </w:rPr>
            </w:pPr>
            <w:r w:rsidRPr="00CA4995">
              <w:rPr>
                <w:lang w:eastAsia="zh-CN"/>
              </w:rPr>
              <w:t>23,452</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8</w:t>
            </w:r>
          </w:p>
        </w:tc>
        <w:tc>
          <w:tcPr>
            <w:tcW w:w="5953" w:type="dxa"/>
            <w:shd w:val="clear" w:color="auto" w:fill="auto"/>
            <w:vAlign w:val="center"/>
          </w:tcPr>
          <w:p w:rsidR="00104FAC" w:rsidRPr="00CA4995" w:rsidRDefault="00104FAC" w:rsidP="00E624B7">
            <w:pPr>
              <w:spacing w:after="0"/>
              <w:jc w:val="center"/>
              <w:rPr>
                <w:lang w:eastAsia="zh-CN"/>
              </w:rPr>
            </w:pPr>
            <w:r w:rsidRPr="00CA4995">
              <w:rPr>
                <w:lang w:eastAsia="zh-CN"/>
              </w:rPr>
              <w:t>24,624</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9</w:t>
            </w:r>
          </w:p>
        </w:tc>
        <w:tc>
          <w:tcPr>
            <w:tcW w:w="5953" w:type="dxa"/>
            <w:shd w:val="clear" w:color="auto" w:fill="auto"/>
            <w:vAlign w:val="center"/>
          </w:tcPr>
          <w:p w:rsidR="00104FAC" w:rsidRPr="00CA4995" w:rsidRDefault="00104FAC" w:rsidP="00E624B7">
            <w:pPr>
              <w:spacing w:after="0"/>
              <w:jc w:val="center"/>
              <w:rPr>
                <w:lang w:eastAsia="zh-CN"/>
              </w:rPr>
            </w:pPr>
            <w:r w:rsidRPr="00CA4995">
              <w:rPr>
                <w:lang w:eastAsia="zh-CN"/>
              </w:rPr>
              <w:t>25,855</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10</w:t>
            </w:r>
          </w:p>
        </w:tc>
        <w:tc>
          <w:tcPr>
            <w:tcW w:w="5953" w:type="dxa"/>
            <w:shd w:val="clear" w:color="auto" w:fill="auto"/>
            <w:vAlign w:val="center"/>
          </w:tcPr>
          <w:p w:rsidR="00104FAC" w:rsidRPr="00CA4995" w:rsidRDefault="00104FAC" w:rsidP="00E624B7">
            <w:pPr>
              <w:spacing w:after="0"/>
              <w:jc w:val="center"/>
              <w:rPr>
                <w:lang w:eastAsia="zh-CN"/>
              </w:rPr>
            </w:pPr>
            <w:r w:rsidRPr="00CA4995">
              <w:rPr>
                <w:lang w:eastAsia="zh-CN"/>
              </w:rPr>
              <w:t>27,148</w:t>
            </w:r>
          </w:p>
        </w:tc>
      </w:tr>
      <w:tr w:rsidR="00104FAC" w:rsidRPr="00CA4995" w:rsidTr="00E624B7">
        <w:tc>
          <w:tcPr>
            <w:tcW w:w="2127" w:type="dxa"/>
            <w:shd w:val="clear" w:color="auto" w:fill="auto"/>
          </w:tcPr>
          <w:p w:rsidR="00104FAC" w:rsidRPr="00CA4995" w:rsidRDefault="00104FAC" w:rsidP="00E624B7">
            <w:pPr>
              <w:spacing w:after="0"/>
              <w:jc w:val="center"/>
              <w:rPr>
                <w:lang w:eastAsia="zh-CN"/>
              </w:rPr>
            </w:pPr>
            <w:r w:rsidRPr="00CA4995">
              <w:rPr>
                <w:lang w:eastAsia="zh-CN"/>
              </w:rPr>
              <w:t>11</w:t>
            </w:r>
          </w:p>
        </w:tc>
        <w:tc>
          <w:tcPr>
            <w:tcW w:w="5953" w:type="dxa"/>
            <w:shd w:val="clear" w:color="auto" w:fill="auto"/>
            <w:vAlign w:val="center"/>
          </w:tcPr>
          <w:p w:rsidR="00104FAC" w:rsidRPr="00CA4995" w:rsidRDefault="00104FAC" w:rsidP="00E624B7">
            <w:pPr>
              <w:spacing w:after="0"/>
              <w:jc w:val="center"/>
              <w:rPr>
                <w:lang w:eastAsia="zh-CN"/>
              </w:rPr>
            </w:pPr>
            <w:r w:rsidRPr="00CA4995">
              <w:rPr>
                <w:lang w:eastAsia="zh-CN"/>
              </w:rPr>
              <w:t>28,506</w:t>
            </w:r>
          </w:p>
        </w:tc>
      </w:tr>
      <w:tr w:rsidR="00104FAC" w:rsidRPr="00CA4995" w:rsidTr="00E624B7">
        <w:tc>
          <w:tcPr>
            <w:tcW w:w="2127" w:type="dxa"/>
            <w:tcBorders>
              <w:bottom w:val="single" w:sz="4" w:space="0" w:color="auto"/>
            </w:tcBorders>
            <w:shd w:val="clear" w:color="auto" w:fill="auto"/>
          </w:tcPr>
          <w:p w:rsidR="00104FAC" w:rsidRPr="00CA4995" w:rsidRDefault="00104FAC" w:rsidP="00E624B7">
            <w:pPr>
              <w:spacing w:after="0"/>
              <w:jc w:val="center"/>
              <w:rPr>
                <w:lang w:eastAsia="zh-CN"/>
              </w:rPr>
            </w:pPr>
            <w:r w:rsidRPr="00CA4995">
              <w:rPr>
                <w:lang w:eastAsia="zh-CN"/>
              </w:rPr>
              <w:t>12</w:t>
            </w:r>
          </w:p>
        </w:tc>
        <w:tc>
          <w:tcPr>
            <w:tcW w:w="5953" w:type="dxa"/>
            <w:tcBorders>
              <w:bottom w:val="single" w:sz="4" w:space="0" w:color="auto"/>
            </w:tcBorders>
            <w:shd w:val="clear" w:color="auto" w:fill="auto"/>
            <w:vAlign w:val="center"/>
          </w:tcPr>
          <w:p w:rsidR="00104FAC" w:rsidRPr="00CA4995" w:rsidRDefault="00104FAC" w:rsidP="00E624B7">
            <w:pPr>
              <w:spacing w:after="0"/>
              <w:jc w:val="center"/>
              <w:rPr>
                <w:lang w:eastAsia="zh-CN"/>
              </w:rPr>
            </w:pPr>
            <w:r w:rsidRPr="00CA4995">
              <w:rPr>
                <w:lang w:eastAsia="zh-CN"/>
              </w:rPr>
              <w:t>29,931</w:t>
            </w:r>
          </w:p>
        </w:tc>
      </w:tr>
      <w:tr w:rsidR="00104FAC" w:rsidRPr="00CA4995" w:rsidTr="00E624B7">
        <w:tc>
          <w:tcPr>
            <w:tcW w:w="2127" w:type="dxa"/>
            <w:shd w:val="pct20" w:color="auto" w:fill="auto"/>
          </w:tcPr>
          <w:p w:rsidR="00104FAC" w:rsidRPr="00CA4995" w:rsidRDefault="00104FAC" w:rsidP="00E624B7">
            <w:pPr>
              <w:spacing w:after="0"/>
              <w:jc w:val="center"/>
              <w:rPr>
                <w:lang w:eastAsia="zh-CN"/>
              </w:rPr>
            </w:pPr>
            <w:r w:rsidRPr="00CA4995">
              <w:rPr>
                <w:lang w:eastAsia="zh-CN"/>
              </w:rPr>
              <w:t>13</w:t>
            </w:r>
          </w:p>
        </w:tc>
        <w:tc>
          <w:tcPr>
            <w:tcW w:w="5953" w:type="dxa"/>
            <w:shd w:val="pct20" w:color="auto" w:fill="auto"/>
            <w:vAlign w:val="center"/>
          </w:tcPr>
          <w:p w:rsidR="00104FAC" w:rsidRPr="00CA4995" w:rsidRDefault="00104FAC" w:rsidP="00E624B7">
            <w:pPr>
              <w:spacing w:after="0"/>
              <w:jc w:val="center"/>
              <w:rPr>
                <w:lang w:eastAsia="zh-CN"/>
              </w:rPr>
            </w:pPr>
            <w:r w:rsidRPr="00CA4995">
              <w:rPr>
                <w:lang w:eastAsia="zh-CN"/>
              </w:rPr>
              <w:t>31,427</w:t>
            </w:r>
          </w:p>
        </w:tc>
      </w:tr>
      <w:tr w:rsidR="00104FAC" w:rsidRPr="00CA4995" w:rsidTr="00E624B7">
        <w:tc>
          <w:tcPr>
            <w:tcW w:w="2127" w:type="dxa"/>
            <w:shd w:val="pct20" w:color="auto" w:fill="auto"/>
          </w:tcPr>
          <w:p w:rsidR="00104FAC" w:rsidRPr="00CA4995" w:rsidRDefault="00104FAC" w:rsidP="00E624B7">
            <w:pPr>
              <w:spacing w:after="0"/>
              <w:jc w:val="center"/>
              <w:rPr>
                <w:lang w:eastAsia="zh-CN"/>
              </w:rPr>
            </w:pPr>
            <w:r w:rsidRPr="00CA4995">
              <w:rPr>
                <w:lang w:eastAsia="zh-CN"/>
              </w:rPr>
              <w:t>14</w:t>
            </w:r>
          </w:p>
        </w:tc>
        <w:tc>
          <w:tcPr>
            <w:tcW w:w="5953" w:type="dxa"/>
            <w:shd w:val="pct20" w:color="auto" w:fill="auto"/>
            <w:vAlign w:val="center"/>
          </w:tcPr>
          <w:p w:rsidR="00104FAC" w:rsidRPr="00CA4995" w:rsidRDefault="00104FAC" w:rsidP="00E624B7">
            <w:pPr>
              <w:spacing w:after="0"/>
              <w:jc w:val="center"/>
              <w:rPr>
                <w:lang w:eastAsia="zh-CN"/>
              </w:rPr>
            </w:pPr>
            <w:r w:rsidRPr="00CA4995">
              <w:rPr>
                <w:lang w:eastAsia="zh-CN"/>
              </w:rPr>
              <w:t>32,999</w:t>
            </w:r>
          </w:p>
        </w:tc>
      </w:tr>
      <w:tr w:rsidR="00104FAC" w:rsidRPr="00CA4995" w:rsidTr="00E624B7">
        <w:tc>
          <w:tcPr>
            <w:tcW w:w="2127" w:type="dxa"/>
            <w:shd w:val="pct20" w:color="auto" w:fill="auto"/>
          </w:tcPr>
          <w:p w:rsidR="00104FAC" w:rsidRPr="00CA4995" w:rsidRDefault="00104FAC" w:rsidP="00E624B7">
            <w:pPr>
              <w:spacing w:after="0"/>
              <w:jc w:val="center"/>
              <w:rPr>
                <w:lang w:eastAsia="zh-CN"/>
              </w:rPr>
            </w:pPr>
            <w:r w:rsidRPr="00CA4995">
              <w:rPr>
                <w:lang w:eastAsia="zh-CN"/>
              </w:rPr>
              <w:t>15</w:t>
            </w:r>
          </w:p>
        </w:tc>
        <w:tc>
          <w:tcPr>
            <w:tcW w:w="5953" w:type="dxa"/>
            <w:shd w:val="pct20" w:color="auto" w:fill="auto"/>
            <w:vAlign w:val="center"/>
          </w:tcPr>
          <w:p w:rsidR="00104FAC" w:rsidRPr="00CA4995" w:rsidRDefault="00104FAC" w:rsidP="00E624B7">
            <w:pPr>
              <w:spacing w:after="0"/>
              <w:jc w:val="center"/>
              <w:rPr>
                <w:lang w:eastAsia="zh-CN"/>
              </w:rPr>
            </w:pPr>
            <w:r w:rsidRPr="00CA4995">
              <w:rPr>
                <w:lang w:eastAsia="zh-CN"/>
              </w:rPr>
              <w:t>34,649</w:t>
            </w:r>
          </w:p>
        </w:tc>
      </w:tr>
    </w:tbl>
    <w:p w:rsidR="00104FAC" w:rsidRPr="00CA4995" w:rsidRDefault="00104FAC" w:rsidP="006379F9">
      <w:pPr>
        <w:pStyle w:val="FTAArticleHeading"/>
        <w:spacing w:before="0" w:after="0"/>
        <w:jc w:val="left"/>
      </w:pPr>
      <w:bookmarkStart w:id="1" w:name="_GoBack"/>
      <w:bookmarkEnd w:id="1"/>
    </w:p>
    <w:sectPr w:rsidR="00104FAC" w:rsidRPr="00CA4995" w:rsidSect="007B4F57">
      <w:headerReference w:type="default" r:id="rId10"/>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9C2" w:rsidRDefault="00EA29C2" w:rsidP="00D50F45">
      <w:pPr>
        <w:spacing w:after="0"/>
      </w:pPr>
      <w:r>
        <w:separator/>
      </w:r>
    </w:p>
  </w:endnote>
  <w:endnote w:type="continuationSeparator" w:id="0">
    <w:p w:rsidR="00EA29C2" w:rsidRDefault="00EA29C2" w:rsidP="00D50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aiTi_GB2312">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9C2" w:rsidRDefault="00EA29C2" w:rsidP="007B4F57">
    <w:pPr>
      <w:pStyle w:val="Footer"/>
      <w:jc w:val="center"/>
    </w:pPr>
    <w:r>
      <w:t xml:space="preserve">- </w:t>
    </w:r>
    <w:r>
      <w:fldChar w:fldCharType="begin"/>
    </w:r>
    <w:r>
      <w:instrText xml:space="preserve"> PAGE   \* MERGEFORMAT </w:instrText>
    </w:r>
    <w:r>
      <w:fldChar w:fldCharType="separate"/>
    </w:r>
    <w:r w:rsidR="006379F9">
      <w:rPr>
        <w:noProof/>
      </w:rPr>
      <w:t>14</w:t>
    </w:r>
    <w:r>
      <w:rPr>
        <w:noProof/>
      </w:rPr>
      <w:fldChar w:fldCharType="end"/>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9C2" w:rsidRDefault="00EA29C2" w:rsidP="00D50F45">
      <w:pPr>
        <w:spacing w:after="0"/>
      </w:pPr>
      <w:r>
        <w:separator/>
      </w:r>
    </w:p>
  </w:footnote>
  <w:footnote w:type="continuationSeparator" w:id="0">
    <w:p w:rsidR="00EA29C2" w:rsidRDefault="00EA29C2" w:rsidP="00D50F4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9C2" w:rsidRPr="00F10ADF" w:rsidRDefault="00EA29C2" w:rsidP="000A11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2C1A5E"/>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F26CA75C"/>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6FBACBCC"/>
    <w:lvl w:ilvl="0">
      <w:start w:val="1"/>
      <w:numFmt w:val="decimal"/>
      <w:pStyle w:val="ListNumber3"/>
      <w:lvlText w:val="%1."/>
      <w:lvlJc w:val="left"/>
      <w:pPr>
        <w:tabs>
          <w:tab w:val="num" w:pos="926"/>
        </w:tabs>
        <w:ind w:left="926" w:hanging="360"/>
      </w:pPr>
      <w:rPr>
        <w:rFonts w:cs="Times New Roman"/>
      </w:rPr>
    </w:lvl>
  </w:abstractNum>
  <w:abstractNum w:abstractNumId="3">
    <w:nsid w:val="FFFFFF80"/>
    <w:multiLevelType w:val="singleLevel"/>
    <w:tmpl w:val="E370D036"/>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A394DB6A"/>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67C8C9BC"/>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0D82B5E0"/>
    <w:lvl w:ilvl="0">
      <w:start w:val="1"/>
      <w:numFmt w:val="bullet"/>
      <w:pStyle w:val="ListBullet2"/>
      <w:lvlText w:val=""/>
      <w:lvlJc w:val="left"/>
      <w:pPr>
        <w:tabs>
          <w:tab w:val="num" w:pos="567"/>
        </w:tabs>
        <w:ind w:left="851" w:hanging="284"/>
      </w:pPr>
      <w:rPr>
        <w:rFonts w:ascii="Symbol" w:hAnsi="Symbol" w:hint="default"/>
      </w:rPr>
    </w:lvl>
  </w:abstractNum>
  <w:abstractNum w:abstractNumId="7">
    <w:nsid w:val="08E2797C"/>
    <w:multiLevelType w:val="multilevel"/>
    <w:tmpl w:val="886AE2A4"/>
    <w:lvl w:ilvl="0">
      <w:start w:val="1"/>
      <w:numFmt w:val="decimal"/>
      <w:pStyle w:val="KWListNumber"/>
      <w:lvlText w:val="%1"/>
      <w:lvlJc w:val="left"/>
      <w:pPr>
        <w:tabs>
          <w:tab w:val="num" w:pos="1134"/>
        </w:tabs>
        <w:ind w:left="1134" w:hanging="567"/>
      </w:pPr>
      <w:rPr>
        <w:rFonts w:ascii="Arial" w:eastAsia="KaiTi_GB2312" w:hAnsi="Arial" w:cs="Times New Roman" w:hint="default"/>
        <w:sz w:val="20"/>
      </w:rPr>
    </w:lvl>
    <w:lvl w:ilvl="1">
      <w:start w:val="1"/>
      <w:numFmt w:val="lowerLetter"/>
      <w:lvlText w:val="%2)"/>
      <w:lvlJc w:val="left"/>
      <w:pPr>
        <w:tabs>
          <w:tab w:val="num" w:pos="1701"/>
        </w:tabs>
        <w:ind w:left="1701" w:hanging="567"/>
      </w:pPr>
      <w:rPr>
        <w:rFonts w:ascii="Arial" w:hAnsi="Arial" w:cs="Times New Roman" w:hint="default"/>
        <w:sz w:val="16"/>
      </w:rPr>
    </w:lvl>
    <w:lvl w:ilvl="2">
      <w:start w:val="1"/>
      <w:numFmt w:val="lowerRoman"/>
      <w:lvlText w:val="%3."/>
      <w:lvlJc w:val="left"/>
      <w:pPr>
        <w:tabs>
          <w:tab w:val="num" w:pos="2268"/>
        </w:tabs>
        <w:ind w:left="2268" w:hanging="567"/>
      </w:pPr>
      <w:rPr>
        <w:rFonts w:ascii="Arial" w:hAnsi="Arial" w:cs="Times New Roman" w:hint="default"/>
        <w:sz w:val="16"/>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8">
    <w:nsid w:val="0B3E73A3"/>
    <w:multiLevelType w:val="multilevel"/>
    <w:tmpl w:val="274250F2"/>
    <w:lvl w:ilvl="0">
      <w:start w:val="1"/>
      <w:numFmt w:val="decimal"/>
      <w:pStyle w:val="KWheading1"/>
      <w:lvlText w:val="%1"/>
      <w:lvlJc w:val="left"/>
      <w:pPr>
        <w:tabs>
          <w:tab w:val="num" w:pos="567"/>
        </w:tabs>
        <w:ind w:left="567" w:hanging="567"/>
      </w:pPr>
      <w:rPr>
        <w:rFonts w:cs="Times New Roman" w:hint="eastAsia"/>
      </w:rPr>
    </w:lvl>
    <w:lvl w:ilvl="1">
      <w:start w:val="1"/>
      <w:numFmt w:val="decimal"/>
      <w:pStyle w:val="KWheading2"/>
      <w:lvlText w:val="%1.%2"/>
      <w:lvlJc w:val="left"/>
      <w:pPr>
        <w:tabs>
          <w:tab w:val="num" w:pos="567"/>
        </w:tabs>
        <w:ind w:left="567" w:hanging="567"/>
      </w:pPr>
      <w:rPr>
        <w:rFonts w:ascii="Arial" w:hAnsi="Arial" w:cs="Times New Roman" w:hint="default"/>
        <w:sz w:val="20"/>
      </w:rPr>
    </w:lvl>
    <w:lvl w:ilvl="2">
      <w:start w:val="1"/>
      <w:numFmt w:val="lowerLetter"/>
      <w:pStyle w:val="KWheading3"/>
      <w:lvlText w:val="(%3)"/>
      <w:lvlJc w:val="left"/>
      <w:pPr>
        <w:tabs>
          <w:tab w:val="num" w:pos="567"/>
        </w:tabs>
        <w:ind w:left="567" w:hanging="567"/>
      </w:pPr>
      <w:rPr>
        <w:rFonts w:ascii="Arial" w:hAnsi="Arial" w:cs="Times New Roman" w:hint="default"/>
        <w:sz w:val="16"/>
      </w:rPr>
    </w:lvl>
    <w:lvl w:ilvl="3">
      <w:start w:val="1"/>
      <w:numFmt w:val="lowerRoman"/>
      <w:pStyle w:val="KWheading4"/>
      <w:lvlText w:val="(%4)"/>
      <w:lvlJc w:val="left"/>
      <w:pPr>
        <w:tabs>
          <w:tab w:val="num" w:pos="1134"/>
        </w:tabs>
        <w:ind w:left="1134" w:hanging="567"/>
      </w:pPr>
      <w:rPr>
        <w:rFonts w:ascii="Arial" w:hAnsi="Arial" w:cs="Times New Roman" w:hint="default"/>
        <w:b w:val="0"/>
        <w:i w:val="0"/>
        <w:sz w:val="16"/>
      </w:rPr>
    </w:lvl>
    <w:lvl w:ilvl="4">
      <w:start w:val="1"/>
      <w:numFmt w:val="upperLetter"/>
      <w:pStyle w:val="KWheading5"/>
      <w:lvlText w:val="(%5)"/>
      <w:lvlJc w:val="left"/>
      <w:pPr>
        <w:tabs>
          <w:tab w:val="num" w:pos="1701"/>
        </w:tabs>
        <w:ind w:left="1701" w:hanging="567"/>
      </w:pPr>
      <w:rPr>
        <w:rFonts w:ascii="Arial" w:hAnsi="Arial" w:cs="Times New Roman" w:hint="default"/>
        <w:sz w:val="16"/>
      </w:rPr>
    </w:lvl>
    <w:lvl w:ilvl="5">
      <w:start w:val="1"/>
      <w:numFmt w:val="none"/>
      <w:lvlText w:val=""/>
      <w:lvlJc w:val="left"/>
      <w:pPr>
        <w:tabs>
          <w:tab w:val="num" w:pos="2268"/>
        </w:tabs>
        <w:ind w:left="2268" w:hanging="2268"/>
      </w:pPr>
      <w:rPr>
        <w:rFonts w:cs="Times New Roman" w:hint="eastAsia"/>
      </w:rPr>
    </w:lvl>
    <w:lvl w:ilvl="6">
      <w:start w:val="1"/>
      <w:numFmt w:val="none"/>
      <w:lvlText w:val=""/>
      <w:lvlJc w:val="left"/>
      <w:pPr>
        <w:tabs>
          <w:tab w:val="num" w:pos="2268"/>
        </w:tabs>
        <w:ind w:left="2268" w:hanging="2268"/>
      </w:pPr>
      <w:rPr>
        <w:rFonts w:cs="Times New Roman" w:hint="eastAsia"/>
      </w:rPr>
    </w:lvl>
    <w:lvl w:ilvl="7">
      <w:start w:val="1"/>
      <w:numFmt w:val="none"/>
      <w:lvlText w:val=""/>
      <w:lvlJc w:val="left"/>
      <w:pPr>
        <w:tabs>
          <w:tab w:val="num" w:pos="2268"/>
        </w:tabs>
        <w:ind w:left="2268" w:hanging="2268"/>
      </w:pPr>
      <w:rPr>
        <w:rFonts w:cs="Times New Roman" w:hint="eastAsia"/>
      </w:rPr>
    </w:lvl>
    <w:lvl w:ilvl="8">
      <w:start w:val="1"/>
      <w:numFmt w:val="none"/>
      <w:lvlText w:val=""/>
      <w:lvlJc w:val="left"/>
      <w:pPr>
        <w:tabs>
          <w:tab w:val="num" w:pos="2268"/>
        </w:tabs>
        <w:ind w:left="2268" w:hanging="2268"/>
      </w:pPr>
      <w:rPr>
        <w:rFonts w:cs="Times New Roman" w:hint="eastAsia"/>
      </w:rPr>
    </w:lvl>
  </w:abstractNum>
  <w:abstractNum w:abstractNumId="9">
    <w:nsid w:val="1690509C"/>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nsid w:val="1F7C1F0D"/>
    <w:multiLevelType w:val="hybridMultilevel"/>
    <w:tmpl w:val="6510B5B4"/>
    <w:lvl w:ilvl="0" w:tplc="F3E428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24840B28"/>
    <w:multiLevelType w:val="multilevel"/>
    <w:tmpl w:val="55925CE2"/>
    <w:lvl w:ilvl="0">
      <w:start w:val="1"/>
      <w:numFmt w:val="bullet"/>
      <w:pStyle w:val="ListBullet"/>
      <w:lvlText w:val=""/>
      <w:lvlJc w:val="left"/>
      <w:pPr>
        <w:tabs>
          <w:tab w:val="num" w:pos="567"/>
        </w:tabs>
        <w:ind w:left="567" w:hanging="567"/>
      </w:pPr>
      <w:rPr>
        <w:rFonts w:ascii="Wingdings 2" w:hAnsi="Wingdings 2" w:hint="default"/>
      </w:rPr>
    </w:lvl>
    <w:lvl w:ilvl="1">
      <w:start w:val="1"/>
      <w:numFmt w:val="bullet"/>
      <w:lvlText w:val=""/>
      <w:lvlJc w:val="left"/>
      <w:pPr>
        <w:tabs>
          <w:tab w:val="num" w:pos="1134"/>
        </w:tabs>
        <w:ind w:left="1134" w:hanging="567"/>
      </w:pPr>
      <w:rPr>
        <w:rFonts w:ascii="Symbol" w:hAnsi="Symbol" w:hint="default"/>
      </w:rPr>
    </w:lvl>
    <w:lvl w:ilvl="2">
      <w:start w:val="1"/>
      <w:numFmt w:val="none"/>
      <w:lvlText w:val=""/>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402"/>
        </w:tabs>
        <w:ind w:left="3402" w:hanging="567"/>
      </w:pPr>
      <w:rPr>
        <w:rFonts w:cs="Times New Roman" w:hint="default"/>
      </w:rPr>
    </w:lvl>
    <w:lvl w:ilvl="7">
      <w:start w:val="1"/>
      <w:numFmt w:val="none"/>
      <w:lvlText w:val=""/>
      <w:lvlJc w:val="left"/>
      <w:pPr>
        <w:tabs>
          <w:tab w:val="num" w:pos="3969"/>
        </w:tabs>
        <w:ind w:left="3969" w:hanging="567"/>
      </w:pPr>
      <w:rPr>
        <w:rFonts w:cs="Times New Roman" w:hint="default"/>
      </w:rPr>
    </w:lvl>
    <w:lvl w:ilvl="8">
      <w:start w:val="1"/>
      <w:numFmt w:val="none"/>
      <w:lvlText w:val=""/>
      <w:lvlJc w:val="left"/>
      <w:pPr>
        <w:tabs>
          <w:tab w:val="num" w:pos="5103"/>
        </w:tabs>
        <w:ind w:left="5103" w:hanging="567"/>
      </w:pPr>
      <w:rPr>
        <w:rFonts w:cs="Times New Roman" w:hint="default"/>
      </w:rPr>
    </w:lvl>
  </w:abstractNum>
  <w:abstractNum w:abstractNumId="12">
    <w:nsid w:val="2F9A7347"/>
    <w:multiLevelType w:val="multilevel"/>
    <w:tmpl w:val="3DA08F00"/>
    <w:lvl w:ilvl="0">
      <w:start w:val="1"/>
      <w:numFmt w:val="decimal"/>
      <w:pStyle w:val="ListNumber"/>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none"/>
      <w:lvlText w:val="%3"/>
      <w:lvlJc w:val="left"/>
      <w:pPr>
        <w:tabs>
          <w:tab w:val="num" w:pos="1701"/>
        </w:tabs>
        <w:ind w:left="1701" w:hanging="567"/>
      </w:pPr>
      <w:rPr>
        <w:rFonts w:cs="Times New Roman" w:hint="default"/>
      </w:rPr>
    </w:lvl>
    <w:lvl w:ilvl="3">
      <w:start w:val="1"/>
      <w:numFmt w:val="none"/>
      <w:lvlText w:val=""/>
      <w:lvlJc w:val="left"/>
      <w:pPr>
        <w:tabs>
          <w:tab w:val="num" w:pos="2268"/>
        </w:tabs>
        <w:ind w:left="2268" w:hanging="567"/>
      </w:pPr>
      <w:rPr>
        <w:rFonts w:cs="Times New Roman" w:hint="default"/>
      </w:rPr>
    </w:lvl>
    <w:lvl w:ilvl="4">
      <w:start w:val="1"/>
      <w:numFmt w:val="none"/>
      <w:lvlText w:val=""/>
      <w:lvlJc w:val="left"/>
      <w:pPr>
        <w:tabs>
          <w:tab w:val="num" w:pos="2835"/>
        </w:tabs>
        <w:ind w:left="2835" w:hanging="567"/>
      </w:pPr>
      <w:rPr>
        <w:rFonts w:cs="Times New Roman" w:hint="default"/>
      </w:rPr>
    </w:lvl>
    <w:lvl w:ilvl="5">
      <w:start w:val="1"/>
      <w:numFmt w:val="none"/>
      <w:lvlText w:val=""/>
      <w:lvlJc w:val="left"/>
      <w:pPr>
        <w:tabs>
          <w:tab w:val="num" w:pos="3402"/>
        </w:tabs>
        <w:ind w:left="3402" w:hanging="567"/>
      </w:pPr>
      <w:rPr>
        <w:rFonts w:cs="Times New Roman" w:hint="default"/>
      </w:rPr>
    </w:lvl>
    <w:lvl w:ilvl="6">
      <w:start w:val="1"/>
      <w:numFmt w:val="none"/>
      <w:lvlText w:val="%7"/>
      <w:lvlJc w:val="left"/>
      <w:pPr>
        <w:tabs>
          <w:tab w:val="num" w:pos="3969"/>
        </w:tabs>
        <w:ind w:left="3969" w:hanging="567"/>
      </w:pPr>
      <w:rPr>
        <w:rFonts w:cs="Times New Roman" w:hint="default"/>
      </w:rPr>
    </w:lvl>
    <w:lvl w:ilvl="7">
      <w:start w:val="1"/>
      <w:numFmt w:val="none"/>
      <w:lvlText w:val="%8"/>
      <w:lvlJc w:val="left"/>
      <w:pPr>
        <w:tabs>
          <w:tab w:val="num" w:pos="4896"/>
        </w:tabs>
        <w:ind w:left="4896" w:hanging="567"/>
      </w:pPr>
      <w:rPr>
        <w:rFonts w:cs="Times New Roman" w:hint="default"/>
      </w:rPr>
    </w:lvl>
    <w:lvl w:ilvl="8">
      <w:start w:val="1"/>
      <w:numFmt w:val="none"/>
      <w:lvlText w:val="%9"/>
      <w:lvlJc w:val="left"/>
      <w:pPr>
        <w:tabs>
          <w:tab w:val="num" w:pos="4536"/>
        </w:tabs>
        <w:ind w:left="4536" w:hanging="567"/>
      </w:pPr>
      <w:rPr>
        <w:rFonts w:cs="Times New Roman" w:hint="default"/>
      </w:rPr>
    </w:lvl>
  </w:abstractNum>
  <w:abstractNum w:abstractNumId="13">
    <w:nsid w:val="482E533D"/>
    <w:multiLevelType w:val="multilevel"/>
    <w:tmpl w:val="3216BEF8"/>
    <w:lvl w:ilvl="0">
      <w:start w:val="1"/>
      <w:numFmt w:val="bullet"/>
      <w:pStyle w:val="KWListBullet"/>
      <w:lvlText w:val=""/>
      <w:lvlJc w:val="left"/>
      <w:pPr>
        <w:tabs>
          <w:tab w:val="num" w:pos="1134"/>
        </w:tabs>
        <w:ind w:left="1134" w:hanging="567"/>
      </w:pPr>
      <w:rPr>
        <w:rFonts w:ascii="Wingdings 2" w:hAnsi="Wingdings 2" w:hint="default"/>
      </w:rPr>
    </w:lvl>
    <w:lvl w:ilvl="1">
      <w:start w:val="1"/>
      <w:numFmt w:val="bullet"/>
      <w:lvlText w:val=""/>
      <w:lvlJc w:val="left"/>
      <w:pPr>
        <w:tabs>
          <w:tab w:val="num" w:pos="1701"/>
        </w:tabs>
        <w:ind w:left="1701" w:hanging="567"/>
      </w:pPr>
      <w:rPr>
        <w:rFonts w:ascii="Symbol" w:hAnsi="Symbol" w:hint="default"/>
      </w:rPr>
    </w:lvl>
    <w:lvl w:ilvl="2">
      <w:start w:val="1"/>
      <w:numFmt w:val="none"/>
      <w:lvlText w:val=""/>
      <w:lvlJc w:val="left"/>
      <w:pPr>
        <w:tabs>
          <w:tab w:val="num" w:pos="2268"/>
        </w:tabs>
        <w:ind w:left="2268" w:hanging="567"/>
      </w:pPr>
      <w:rPr>
        <w:rFonts w:cs="Times New Roman" w:hint="eastAsia"/>
      </w:rPr>
    </w:lvl>
    <w:lvl w:ilvl="3">
      <w:start w:val="1"/>
      <w:numFmt w:val="none"/>
      <w:lvlText w:val=""/>
      <w:lvlJc w:val="left"/>
      <w:pPr>
        <w:tabs>
          <w:tab w:val="num" w:pos="2268"/>
        </w:tabs>
        <w:ind w:left="2268" w:hanging="567"/>
      </w:pPr>
      <w:rPr>
        <w:rFonts w:cs="Times New Roman" w:hint="eastAsia"/>
      </w:rPr>
    </w:lvl>
    <w:lvl w:ilvl="4">
      <w:start w:val="1"/>
      <w:numFmt w:val="none"/>
      <w:lvlText w:val=""/>
      <w:lvlJc w:val="left"/>
      <w:pPr>
        <w:tabs>
          <w:tab w:val="num" w:pos="2268"/>
        </w:tabs>
        <w:ind w:left="2268" w:hanging="567"/>
      </w:pPr>
      <w:rPr>
        <w:rFonts w:cs="Times New Roman" w:hint="eastAsia"/>
      </w:rPr>
    </w:lvl>
    <w:lvl w:ilvl="5">
      <w:start w:val="1"/>
      <w:numFmt w:val="none"/>
      <w:lvlText w:val=""/>
      <w:lvlJc w:val="left"/>
      <w:pPr>
        <w:tabs>
          <w:tab w:val="num" w:pos="2268"/>
        </w:tabs>
        <w:ind w:left="2268" w:hanging="567"/>
      </w:pPr>
      <w:rPr>
        <w:rFonts w:cs="Times New Roman" w:hint="eastAsia"/>
      </w:rPr>
    </w:lvl>
    <w:lvl w:ilvl="6">
      <w:start w:val="1"/>
      <w:numFmt w:val="none"/>
      <w:lvlText w:val=""/>
      <w:lvlJc w:val="left"/>
      <w:pPr>
        <w:tabs>
          <w:tab w:val="num" w:pos="2268"/>
        </w:tabs>
        <w:ind w:left="2268" w:hanging="567"/>
      </w:pPr>
      <w:rPr>
        <w:rFonts w:cs="Times New Roman" w:hint="eastAsia"/>
      </w:rPr>
    </w:lvl>
    <w:lvl w:ilvl="7">
      <w:start w:val="1"/>
      <w:numFmt w:val="none"/>
      <w:lvlText w:val=""/>
      <w:lvlJc w:val="left"/>
      <w:pPr>
        <w:tabs>
          <w:tab w:val="num" w:pos="2268"/>
        </w:tabs>
        <w:ind w:left="2268" w:hanging="567"/>
      </w:pPr>
      <w:rPr>
        <w:rFonts w:cs="Times New Roman" w:hint="eastAsia"/>
      </w:rPr>
    </w:lvl>
    <w:lvl w:ilvl="8">
      <w:start w:val="1"/>
      <w:numFmt w:val="none"/>
      <w:lvlText w:val=""/>
      <w:lvlJc w:val="left"/>
      <w:pPr>
        <w:tabs>
          <w:tab w:val="num" w:pos="2268"/>
        </w:tabs>
        <w:ind w:left="2268" w:hanging="567"/>
      </w:pPr>
      <w:rPr>
        <w:rFonts w:cs="Times New Roman" w:hint="eastAsia"/>
      </w:rPr>
    </w:lvl>
  </w:abstractNum>
  <w:abstractNum w:abstractNumId="14">
    <w:nsid w:val="65664F54"/>
    <w:multiLevelType w:val="multilevel"/>
    <w:tmpl w:val="0C09001D"/>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74703B31"/>
    <w:multiLevelType w:val="singleLevel"/>
    <w:tmpl w:val="3DA0A58A"/>
    <w:name w:val="StandardNumberedParagraphList"/>
    <w:lvl w:ilvl="0">
      <w:start w:val="1"/>
      <w:numFmt w:val="upperLetter"/>
      <w:pStyle w:val="NumberedParagraph"/>
      <w:lvlText w:val="%1."/>
      <w:lvlJc w:val="left"/>
      <w:pPr>
        <w:tabs>
          <w:tab w:val="num" w:pos="567"/>
        </w:tabs>
      </w:pPr>
      <w:rPr>
        <w:rFonts w:cs="Times New Roman" w:hint="default"/>
      </w:rPr>
    </w:lvl>
  </w:abstractNum>
  <w:abstractNum w:abstractNumId="16">
    <w:nsid w:val="75BE5142"/>
    <w:multiLevelType w:val="multilevel"/>
    <w:tmpl w:val="0C090023"/>
    <w:styleLink w:val="ArticleSection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15"/>
  </w:num>
  <w:num w:numId="2">
    <w:abstractNumId w:val="16"/>
  </w:num>
  <w:num w:numId="3">
    <w:abstractNumId w:val="5"/>
  </w:num>
  <w:num w:numId="4">
    <w:abstractNumId w:val="4"/>
  </w:num>
  <w:num w:numId="5">
    <w:abstractNumId w:val="3"/>
  </w:num>
  <w:num w:numId="6">
    <w:abstractNumId w:val="2"/>
  </w:num>
  <w:num w:numId="7">
    <w:abstractNumId w:val="1"/>
  </w:num>
  <w:num w:numId="8">
    <w:abstractNumId w:val="0"/>
  </w:num>
  <w:num w:numId="9">
    <w:abstractNumId w:val="6"/>
  </w:num>
  <w:num w:numId="10">
    <w:abstractNumId w:val="14"/>
  </w:num>
  <w:num w:numId="11">
    <w:abstractNumId w:val="11"/>
  </w:num>
  <w:num w:numId="12">
    <w:abstractNumId w:val="12"/>
  </w:num>
  <w:num w:numId="13">
    <w:abstractNumId w:val="9"/>
  </w:num>
  <w:num w:numId="14">
    <w:abstractNumId w:val="8"/>
  </w:num>
  <w:num w:numId="15">
    <w:abstractNumId w:val="13"/>
  </w:num>
  <w:num w:numId="16">
    <w:abstractNumId w:val="7"/>
  </w:num>
  <w:num w:numId="1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doNotTrackMoves/>
  <w:defaultTabStop w:val="720"/>
  <w:doNotHyphenateCaps/>
  <w:characterSpacingControl w:val="doNotCompress"/>
  <w:noLineBreaksAfter w:lang="zh-CN" w:val="$([{£¥·‘“〈《「『【〔〖〝﹙﹛﹝＄（．［｛￡￥"/>
  <w:noLineBreaksBefore w:lang="zh-CN" w:val="!%),.:;&gt;?]}¢¨°·ˇˉ―‖’”…‰′″›℃∶、。〃〉》」』】〕〗〞︶︺︾﹀﹄﹚﹜﹞！＂％＇），．：；？］｀｜｝～￠"/>
  <w:doNotValidateAgainstSchema/>
  <w:doNotDemarcateInvalidXml/>
  <w:hdrShapeDefaults>
    <o:shapedefaults v:ext="edit" spidmax="7372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CBF"/>
    <w:rsid w:val="00041D24"/>
    <w:rsid w:val="000745EB"/>
    <w:rsid w:val="000760B1"/>
    <w:rsid w:val="0009351A"/>
    <w:rsid w:val="00093AE0"/>
    <w:rsid w:val="00097CB8"/>
    <w:rsid w:val="000A112D"/>
    <w:rsid w:val="000B16DD"/>
    <w:rsid w:val="000D7260"/>
    <w:rsid w:val="000E71A1"/>
    <w:rsid w:val="00104FAC"/>
    <w:rsid w:val="00123E52"/>
    <w:rsid w:val="0013358F"/>
    <w:rsid w:val="00136890"/>
    <w:rsid w:val="00150F62"/>
    <w:rsid w:val="00157699"/>
    <w:rsid w:val="0018444C"/>
    <w:rsid w:val="00186B78"/>
    <w:rsid w:val="001B2155"/>
    <w:rsid w:val="001B63A4"/>
    <w:rsid w:val="001B6711"/>
    <w:rsid w:val="001D03F0"/>
    <w:rsid w:val="00205498"/>
    <w:rsid w:val="00210205"/>
    <w:rsid w:val="00217A45"/>
    <w:rsid w:val="00220041"/>
    <w:rsid w:val="00233370"/>
    <w:rsid w:val="00234E1A"/>
    <w:rsid w:val="00237560"/>
    <w:rsid w:val="00240A40"/>
    <w:rsid w:val="00261C76"/>
    <w:rsid w:val="00264DF4"/>
    <w:rsid w:val="00273559"/>
    <w:rsid w:val="00296BA0"/>
    <w:rsid w:val="002B241C"/>
    <w:rsid w:val="002C0A6D"/>
    <w:rsid w:val="002C24AD"/>
    <w:rsid w:val="002E0691"/>
    <w:rsid w:val="0030346D"/>
    <w:rsid w:val="00311780"/>
    <w:rsid w:val="0032390C"/>
    <w:rsid w:val="00324C97"/>
    <w:rsid w:val="00332FBE"/>
    <w:rsid w:val="00341156"/>
    <w:rsid w:val="0035544C"/>
    <w:rsid w:val="003735AD"/>
    <w:rsid w:val="00374570"/>
    <w:rsid w:val="00377016"/>
    <w:rsid w:val="00395768"/>
    <w:rsid w:val="003A07FE"/>
    <w:rsid w:val="003D15D0"/>
    <w:rsid w:val="003F2F33"/>
    <w:rsid w:val="00411678"/>
    <w:rsid w:val="004337C5"/>
    <w:rsid w:val="00436DB5"/>
    <w:rsid w:val="00457408"/>
    <w:rsid w:val="00461A6B"/>
    <w:rsid w:val="00487933"/>
    <w:rsid w:val="004B62BB"/>
    <w:rsid w:val="004D1E6C"/>
    <w:rsid w:val="004D5D00"/>
    <w:rsid w:val="004E03D8"/>
    <w:rsid w:val="0052769E"/>
    <w:rsid w:val="0056621A"/>
    <w:rsid w:val="00577473"/>
    <w:rsid w:val="00582B2E"/>
    <w:rsid w:val="005A654E"/>
    <w:rsid w:val="005B35C4"/>
    <w:rsid w:val="005C7CBF"/>
    <w:rsid w:val="005E3B15"/>
    <w:rsid w:val="005F0F5B"/>
    <w:rsid w:val="006379F9"/>
    <w:rsid w:val="006547D2"/>
    <w:rsid w:val="006927F5"/>
    <w:rsid w:val="00696A0D"/>
    <w:rsid w:val="006A3042"/>
    <w:rsid w:val="006A31A8"/>
    <w:rsid w:val="006A57FF"/>
    <w:rsid w:val="006C5BFB"/>
    <w:rsid w:val="00700DF1"/>
    <w:rsid w:val="00714353"/>
    <w:rsid w:val="007412FD"/>
    <w:rsid w:val="007425BD"/>
    <w:rsid w:val="00751AB2"/>
    <w:rsid w:val="00764DE1"/>
    <w:rsid w:val="00785343"/>
    <w:rsid w:val="007B4F57"/>
    <w:rsid w:val="007C0FDA"/>
    <w:rsid w:val="007E51B2"/>
    <w:rsid w:val="007E66D0"/>
    <w:rsid w:val="00831BAB"/>
    <w:rsid w:val="00835A3E"/>
    <w:rsid w:val="00835C62"/>
    <w:rsid w:val="008602F0"/>
    <w:rsid w:val="00885BEC"/>
    <w:rsid w:val="008A68AF"/>
    <w:rsid w:val="008B71D4"/>
    <w:rsid w:val="008D4FA0"/>
    <w:rsid w:val="008D61CE"/>
    <w:rsid w:val="008F39DC"/>
    <w:rsid w:val="009075A6"/>
    <w:rsid w:val="00912AE2"/>
    <w:rsid w:val="009155E3"/>
    <w:rsid w:val="0093382E"/>
    <w:rsid w:val="009430BF"/>
    <w:rsid w:val="0097044C"/>
    <w:rsid w:val="00972E7E"/>
    <w:rsid w:val="00976570"/>
    <w:rsid w:val="00985A3B"/>
    <w:rsid w:val="009E6A21"/>
    <w:rsid w:val="009F2A16"/>
    <w:rsid w:val="00A04B70"/>
    <w:rsid w:val="00A04BDC"/>
    <w:rsid w:val="00A05AD4"/>
    <w:rsid w:val="00A14A74"/>
    <w:rsid w:val="00A309E0"/>
    <w:rsid w:val="00A35455"/>
    <w:rsid w:val="00A5267B"/>
    <w:rsid w:val="00A627F1"/>
    <w:rsid w:val="00A76C6B"/>
    <w:rsid w:val="00A87891"/>
    <w:rsid w:val="00AD03E9"/>
    <w:rsid w:val="00AE274C"/>
    <w:rsid w:val="00AE2778"/>
    <w:rsid w:val="00AE330E"/>
    <w:rsid w:val="00AF0075"/>
    <w:rsid w:val="00AF1EE1"/>
    <w:rsid w:val="00B05F6E"/>
    <w:rsid w:val="00B20CEE"/>
    <w:rsid w:val="00B337FC"/>
    <w:rsid w:val="00B40CC6"/>
    <w:rsid w:val="00B41D50"/>
    <w:rsid w:val="00B6224A"/>
    <w:rsid w:val="00B71613"/>
    <w:rsid w:val="00B96739"/>
    <w:rsid w:val="00BA37D0"/>
    <w:rsid w:val="00BA7560"/>
    <w:rsid w:val="00BC03A2"/>
    <w:rsid w:val="00BE6904"/>
    <w:rsid w:val="00BF31FA"/>
    <w:rsid w:val="00BF3272"/>
    <w:rsid w:val="00C31024"/>
    <w:rsid w:val="00C4456F"/>
    <w:rsid w:val="00C44C33"/>
    <w:rsid w:val="00C75CBC"/>
    <w:rsid w:val="00C800EA"/>
    <w:rsid w:val="00C913AE"/>
    <w:rsid w:val="00CA4995"/>
    <w:rsid w:val="00CA6F79"/>
    <w:rsid w:val="00CE2B3F"/>
    <w:rsid w:val="00D1099D"/>
    <w:rsid w:val="00D11B8D"/>
    <w:rsid w:val="00D21B8D"/>
    <w:rsid w:val="00D25C4B"/>
    <w:rsid w:val="00D26504"/>
    <w:rsid w:val="00D3674D"/>
    <w:rsid w:val="00D37A8B"/>
    <w:rsid w:val="00D37C64"/>
    <w:rsid w:val="00D4533A"/>
    <w:rsid w:val="00D50F45"/>
    <w:rsid w:val="00D52DBE"/>
    <w:rsid w:val="00D56081"/>
    <w:rsid w:val="00D643CA"/>
    <w:rsid w:val="00D86E63"/>
    <w:rsid w:val="00D904B9"/>
    <w:rsid w:val="00DC393B"/>
    <w:rsid w:val="00DD070A"/>
    <w:rsid w:val="00DD2646"/>
    <w:rsid w:val="00E12C09"/>
    <w:rsid w:val="00E1379E"/>
    <w:rsid w:val="00E172F0"/>
    <w:rsid w:val="00E30453"/>
    <w:rsid w:val="00E60E16"/>
    <w:rsid w:val="00E624B7"/>
    <w:rsid w:val="00E97A21"/>
    <w:rsid w:val="00EA29C2"/>
    <w:rsid w:val="00EB7CFB"/>
    <w:rsid w:val="00EC744A"/>
    <w:rsid w:val="00ED2447"/>
    <w:rsid w:val="00ED536A"/>
    <w:rsid w:val="00EE2A55"/>
    <w:rsid w:val="00EF4A22"/>
    <w:rsid w:val="00F32F96"/>
    <w:rsid w:val="00F33A93"/>
    <w:rsid w:val="00F4015A"/>
    <w:rsid w:val="00F50F65"/>
    <w:rsid w:val="00F543AF"/>
    <w:rsid w:val="00F56F3C"/>
    <w:rsid w:val="00F60AF2"/>
    <w:rsid w:val="00F629B1"/>
    <w:rsid w:val="00F9393B"/>
    <w:rsid w:val="00F95A96"/>
    <w:rsid w:val="00FA29A6"/>
    <w:rsid w:val="00FA520A"/>
    <w:rsid w:val="00FB163E"/>
    <w:rsid w:val="00FD5C52"/>
    <w:rsid w:val="00FE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lsdException w:name="footer" w:uiPriority="99"/>
    <w:lsdException w:name="caption" w:locked="1" w:qFormat="1"/>
    <w:lsdException w:name="footnote reference" w:uiPriority="99"/>
    <w:lsdException w:name="Title" w:locked="1" w:semiHidden="0" w:unhideWhenUsed="0" w:qFormat="1"/>
    <w:lsdException w:name="Default Paragraph Font" w:locked="1" w:semiHidden="0" w:unhideWhenUsed="0"/>
    <w:lsdException w:name="Subtitle" w:locked="1" w:semiHidden="0" w:unhideWhenUsed="0" w:qFormat="1"/>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3"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BF"/>
    <w:pPr>
      <w:spacing w:after="240"/>
    </w:pPr>
    <w:rPr>
      <w:rFonts w:ascii="Times New Roman" w:hAnsi="Times New Roman"/>
      <w:sz w:val="24"/>
      <w:szCs w:val="24"/>
    </w:rPr>
  </w:style>
  <w:style w:type="paragraph" w:styleId="Heading1">
    <w:name w:val="heading 1"/>
    <w:basedOn w:val="Normal"/>
    <w:next w:val="Normal"/>
    <w:link w:val="Heading1Char"/>
    <w:qFormat/>
    <w:locked/>
    <w:rsid w:val="00104FAC"/>
    <w:pPr>
      <w:keepNext/>
      <w:keepLines/>
      <w:spacing w:before="480" w:after="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qFormat/>
    <w:locked/>
    <w:rsid w:val="00104FAC"/>
    <w:pPr>
      <w:keepNext/>
      <w:keepLines/>
      <w:spacing w:before="200" w:after="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locked/>
    <w:rsid w:val="00104FAC"/>
    <w:pPr>
      <w:keepNext/>
      <w:keepLines/>
      <w:spacing w:before="200" w:after="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qFormat/>
    <w:locked/>
    <w:rsid w:val="00104FAC"/>
    <w:pPr>
      <w:keepNext/>
      <w:keepLines/>
      <w:spacing w:before="200" w:after="0" w:line="276" w:lineRule="auto"/>
      <w:outlineLvl w:val="3"/>
    </w:pPr>
    <w:rPr>
      <w:rFonts w:ascii="Cambria" w:hAnsi="Cambria"/>
      <w:b/>
      <w:bCs/>
      <w:i/>
      <w:iCs/>
      <w:color w:val="4F81BD"/>
      <w:sz w:val="22"/>
      <w:szCs w:val="22"/>
      <w:lang w:eastAsia="en-US"/>
    </w:rPr>
  </w:style>
  <w:style w:type="paragraph" w:styleId="Heading5">
    <w:name w:val="heading 5"/>
    <w:basedOn w:val="BodyText"/>
    <w:link w:val="Heading5Char"/>
    <w:qFormat/>
    <w:locked/>
    <w:rsid w:val="00104FAC"/>
    <w:pPr>
      <w:ind w:left="1701" w:hanging="567"/>
      <w:outlineLvl w:val="4"/>
    </w:pPr>
  </w:style>
  <w:style w:type="paragraph" w:styleId="Heading6">
    <w:name w:val="heading 6"/>
    <w:basedOn w:val="BodyText"/>
    <w:next w:val="BodyText"/>
    <w:link w:val="Heading6Char"/>
    <w:qFormat/>
    <w:locked/>
    <w:rsid w:val="00104FAC"/>
    <w:pPr>
      <w:outlineLvl w:val="5"/>
    </w:pPr>
  </w:style>
  <w:style w:type="paragraph" w:styleId="Heading7">
    <w:name w:val="heading 7"/>
    <w:basedOn w:val="BodyText"/>
    <w:next w:val="BodyText"/>
    <w:link w:val="Heading7Char"/>
    <w:qFormat/>
    <w:locked/>
    <w:rsid w:val="00104FAC"/>
    <w:pPr>
      <w:outlineLvl w:val="6"/>
    </w:pPr>
  </w:style>
  <w:style w:type="paragraph" w:styleId="Heading8">
    <w:name w:val="heading 8"/>
    <w:basedOn w:val="BodyText"/>
    <w:next w:val="BodyText"/>
    <w:link w:val="Heading8Char"/>
    <w:qFormat/>
    <w:locked/>
    <w:rsid w:val="00104FAC"/>
    <w:pPr>
      <w:spacing w:line="240" w:lineRule="atLeast"/>
      <w:outlineLvl w:val="7"/>
    </w:pPr>
  </w:style>
  <w:style w:type="paragraph" w:styleId="Heading9">
    <w:name w:val="heading 9"/>
    <w:basedOn w:val="BodyText"/>
    <w:next w:val="BodyText"/>
    <w:link w:val="Heading9Char"/>
    <w:qFormat/>
    <w:locked/>
    <w:rsid w:val="00104FAC"/>
    <w:pPr>
      <w:spacing w:line="240" w:lineRule="atLeas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5C7CBF"/>
    <w:rPr>
      <w:sz w:val="16"/>
      <w:szCs w:val="16"/>
    </w:rPr>
  </w:style>
  <w:style w:type="paragraph" w:styleId="CommentText">
    <w:name w:val="annotation text"/>
    <w:basedOn w:val="Normal"/>
    <w:link w:val="CommentTextChar"/>
    <w:uiPriority w:val="99"/>
    <w:rsid w:val="005C7CBF"/>
    <w:rPr>
      <w:sz w:val="20"/>
      <w:szCs w:val="20"/>
    </w:rPr>
  </w:style>
  <w:style w:type="character" w:customStyle="1" w:styleId="CommentTextChar">
    <w:name w:val="Comment Text Char"/>
    <w:link w:val="CommentText"/>
    <w:uiPriority w:val="99"/>
    <w:locked/>
    <w:rsid w:val="005C7CBF"/>
    <w:rPr>
      <w:rFonts w:ascii="Times New Roman" w:hAnsi="Times New Roman" w:cs="Times New Roman"/>
      <w:sz w:val="20"/>
      <w:szCs w:val="20"/>
      <w:lang w:eastAsia="en-AU"/>
    </w:rPr>
  </w:style>
  <w:style w:type="paragraph" w:customStyle="1" w:styleId="chapterheading">
    <w:name w:val="chapter heading"/>
    <w:basedOn w:val="Normal"/>
    <w:link w:val="chapterheadingChar"/>
    <w:uiPriority w:val="99"/>
    <w:rsid w:val="005C7CBF"/>
    <w:pPr>
      <w:keepNext/>
      <w:keepLines/>
      <w:spacing w:after="0"/>
      <w:jc w:val="center"/>
    </w:pPr>
    <w:rPr>
      <w:b/>
      <w:bCs/>
      <w:sz w:val="32"/>
      <w:szCs w:val="32"/>
      <w:lang w:eastAsia="zh-CN"/>
    </w:rPr>
  </w:style>
  <w:style w:type="character" w:customStyle="1" w:styleId="chapterheadingChar">
    <w:name w:val="chapter heading Char"/>
    <w:link w:val="chapterheading"/>
    <w:uiPriority w:val="99"/>
    <w:locked/>
    <w:rsid w:val="005C7CBF"/>
    <w:rPr>
      <w:rFonts w:ascii="Times New Roman" w:hAnsi="Times New Roman" w:cs="Times New Roman"/>
      <w:b/>
      <w:bCs/>
      <w:sz w:val="20"/>
      <w:szCs w:val="20"/>
      <w:lang w:eastAsia="zh-CN"/>
    </w:rPr>
  </w:style>
  <w:style w:type="paragraph" w:styleId="BalloonText">
    <w:name w:val="Balloon Text"/>
    <w:basedOn w:val="Normal"/>
    <w:link w:val="BalloonTextChar"/>
    <w:rsid w:val="005C7CBF"/>
    <w:pPr>
      <w:spacing w:after="0"/>
    </w:pPr>
    <w:rPr>
      <w:rFonts w:ascii="Tahoma" w:hAnsi="Tahoma" w:cs="Tahoma"/>
      <w:sz w:val="16"/>
      <w:szCs w:val="16"/>
    </w:rPr>
  </w:style>
  <w:style w:type="character" w:customStyle="1" w:styleId="BalloonTextChar">
    <w:name w:val="Balloon Text Char"/>
    <w:link w:val="BalloonText"/>
    <w:locked/>
    <w:rsid w:val="005C7CBF"/>
    <w:rPr>
      <w:rFonts w:ascii="Tahoma" w:hAnsi="Tahoma" w:cs="Tahoma"/>
      <w:sz w:val="16"/>
      <w:szCs w:val="16"/>
      <w:lang w:eastAsia="en-AU"/>
    </w:rPr>
  </w:style>
  <w:style w:type="paragraph" w:styleId="CommentSubject">
    <w:name w:val="annotation subject"/>
    <w:basedOn w:val="CommentText"/>
    <w:next w:val="CommentText"/>
    <w:link w:val="CommentSubjectChar"/>
    <w:semiHidden/>
    <w:rsid w:val="00B20CEE"/>
    <w:rPr>
      <w:b/>
      <w:bCs/>
    </w:rPr>
  </w:style>
  <w:style w:type="character" w:customStyle="1" w:styleId="CommentSubjectChar">
    <w:name w:val="Comment Subject Char"/>
    <w:link w:val="CommentSubject"/>
    <w:semiHidden/>
    <w:locked/>
    <w:rsid w:val="00B20CEE"/>
    <w:rPr>
      <w:rFonts w:ascii="Times New Roman" w:hAnsi="Times New Roman" w:cs="Times New Roman"/>
      <w:b/>
      <w:bCs/>
      <w:sz w:val="20"/>
      <w:szCs w:val="20"/>
      <w:lang w:eastAsia="en-AU"/>
    </w:rPr>
  </w:style>
  <w:style w:type="paragraph" w:styleId="Header">
    <w:name w:val="header"/>
    <w:basedOn w:val="Normal"/>
    <w:link w:val="HeaderChar"/>
    <w:rsid w:val="00D50F45"/>
    <w:pPr>
      <w:tabs>
        <w:tab w:val="center" w:pos="4513"/>
        <w:tab w:val="right" w:pos="9026"/>
      </w:tabs>
      <w:spacing w:after="0"/>
    </w:pPr>
  </w:style>
  <w:style w:type="character" w:customStyle="1" w:styleId="HeaderChar">
    <w:name w:val="Header Char"/>
    <w:link w:val="Header"/>
    <w:locked/>
    <w:rsid w:val="00D50F45"/>
    <w:rPr>
      <w:rFonts w:ascii="Times New Roman" w:hAnsi="Times New Roman" w:cs="Times New Roman"/>
      <w:sz w:val="20"/>
      <w:szCs w:val="20"/>
      <w:lang w:eastAsia="en-AU"/>
    </w:rPr>
  </w:style>
  <w:style w:type="paragraph" w:styleId="Footer">
    <w:name w:val="footer"/>
    <w:basedOn w:val="Normal"/>
    <w:link w:val="FooterChar"/>
    <w:uiPriority w:val="99"/>
    <w:rsid w:val="00D50F45"/>
    <w:pPr>
      <w:tabs>
        <w:tab w:val="center" w:pos="4513"/>
        <w:tab w:val="right" w:pos="9026"/>
      </w:tabs>
      <w:spacing w:after="0"/>
    </w:pPr>
  </w:style>
  <w:style w:type="character" w:customStyle="1" w:styleId="FooterChar">
    <w:name w:val="Footer Char"/>
    <w:link w:val="Footer"/>
    <w:uiPriority w:val="99"/>
    <w:locked/>
    <w:rsid w:val="00D50F45"/>
    <w:rPr>
      <w:rFonts w:ascii="Times New Roman" w:hAnsi="Times New Roman" w:cs="Times New Roman"/>
      <w:sz w:val="20"/>
      <w:szCs w:val="20"/>
      <w:lang w:eastAsia="en-AU"/>
    </w:rPr>
  </w:style>
  <w:style w:type="table" w:styleId="TableGrid">
    <w:name w:val="Table Grid"/>
    <w:basedOn w:val="TableNormal"/>
    <w:locked/>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04FAC"/>
    <w:rPr>
      <w:sz w:val="20"/>
      <w:szCs w:val="20"/>
    </w:rPr>
  </w:style>
  <w:style w:type="character" w:customStyle="1" w:styleId="FootnoteTextChar">
    <w:name w:val="Footnote Text Char"/>
    <w:link w:val="FootnoteText"/>
    <w:semiHidden/>
    <w:rsid w:val="00104FAC"/>
    <w:rPr>
      <w:rFonts w:ascii="Times New Roman" w:hAnsi="Times New Roman"/>
      <w:lang w:val="en-AU" w:eastAsia="en-AU"/>
    </w:rPr>
  </w:style>
  <w:style w:type="character" w:styleId="FootnoteReference">
    <w:name w:val="footnote reference"/>
    <w:uiPriority w:val="99"/>
    <w:rsid w:val="00104FAC"/>
    <w:rPr>
      <w:vertAlign w:val="superscript"/>
    </w:rPr>
  </w:style>
  <w:style w:type="paragraph" w:customStyle="1" w:styleId="FTAArticleHeading">
    <w:name w:val="FTA Article Heading"/>
    <w:basedOn w:val="Normal"/>
    <w:rsid w:val="00104FAC"/>
    <w:pPr>
      <w:keepNext/>
      <w:keepLines/>
      <w:spacing w:before="120" w:after="120"/>
      <w:jc w:val="center"/>
    </w:pPr>
    <w:rPr>
      <w:sz w:val="20"/>
      <w:szCs w:val="20"/>
      <w:lang w:eastAsia="zh-CN"/>
    </w:rPr>
  </w:style>
  <w:style w:type="numbering" w:customStyle="1" w:styleId="NoList1">
    <w:name w:val="No List1"/>
    <w:next w:val="NoList"/>
    <w:uiPriority w:val="99"/>
    <w:semiHidden/>
    <w:unhideWhenUsed/>
    <w:rsid w:val="00104FAC"/>
  </w:style>
  <w:style w:type="paragraph" w:customStyle="1" w:styleId="FTAChapterHeading">
    <w:name w:val="FTA Chapter Heading"/>
    <w:basedOn w:val="Normal"/>
    <w:link w:val="FTAChapterHeadingChar"/>
    <w:rsid w:val="00104FAC"/>
    <w:pPr>
      <w:keepNext/>
      <w:keepLines/>
      <w:spacing w:after="0"/>
      <w:jc w:val="center"/>
    </w:pPr>
    <w:rPr>
      <w:rFonts w:eastAsia="Times New Roman"/>
      <w:b/>
      <w:bCs/>
      <w:sz w:val="32"/>
      <w:szCs w:val="20"/>
      <w:lang w:eastAsia="zh-CN"/>
    </w:rPr>
  </w:style>
  <w:style w:type="paragraph" w:styleId="ListParagraph">
    <w:name w:val="List Paragraph"/>
    <w:basedOn w:val="Normal"/>
    <w:uiPriority w:val="34"/>
    <w:qFormat/>
    <w:rsid w:val="00104FAC"/>
    <w:pPr>
      <w:widowControl w:val="0"/>
      <w:spacing w:after="0"/>
      <w:ind w:firstLineChars="200" w:firstLine="420"/>
      <w:jc w:val="both"/>
    </w:pPr>
    <w:rPr>
      <w:rFonts w:ascii="Calibri" w:eastAsia="Times New Roman" w:hAnsi="Calibri"/>
      <w:kern w:val="2"/>
      <w:sz w:val="21"/>
      <w:szCs w:val="22"/>
      <w:lang w:val="en-US" w:eastAsia="zh-CN"/>
    </w:rPr>
  </w:style>
  <w:style w:type="paragraph" w:customStyle="1" w:styleId="Articleheading">
    <w:name w:val="Article heading"/>
    <w:basedOn w:val="Normal"/>
    <w:link w:val="ArticleheadingChar"/>
    <w:qFormat/>
    <w:rsid w:val="00104FAC"/>
    <w:pPr>
      <w:keepNext/>
      <w:keepLines/>
      <w:spacing w:before="120" w:after="120"/>
      <w:jc w:val="center"/>
    </w:pPr>
    <w:rPr>
      <w:rFonts w:eastAsia="Times New Roman"/>
      <w:sz w:val="28"/>
      <w:szCs w:val="28"/>
      <w:lang w:eastAsia="zh-CN"/>
    </w:rPr>
  </w:style>
  <w:style w:type="character" w:customStyle="1" w:styleId="FTAChapterHeadingChar">
    <w:name w:val="FTA Chapter Heading Char"/>
    <w:link w:val="FTAChapterHeading"/>
    <w:rsid w:val="00104FAC"/>
    <w:rPr>
      <w:rFonts w:ascii="Times New Roman" w:eastAsia="Times New Roman" w:hAnsi="Times New Roman"/>
      <w:b/>
      <w:bCs/>
      <w:sz w:val="32"/>
      <w:lang w:val="en-AU"/>
    </w:rPr>
  </w:style>
  <w:style w:type="paragraph" w:customStyle="1" w:styleId="articletext">
    <w:name w:val="article text"/>
    <w:basedOn w:val="Normal"/>
    <w:link w:val="articletextChar"/>
    <w:qFormat/>
    <w:rsid w:val="00104FAC"/>
    <w:pPr>
      <w:spacing w:before="240" w:after="120"/>
    </w:pPr>
    <w:rPr>
      <w:lang w:eastAsia="zh-CN"/>
    </w:rPr>
  </w:style>
  <w:style w:type="character" w:customStyle="1" w:styleId="ArticleheadingChar">
    <w:name w:val="Article heading Char"/>
    <w:link w:val="Articleheading"/>
    <w:rsid w:val="00104FAC"/>
    <w:rPr>
      <w:rFonts w:ascii="Times New Roman" w:eastAsia="Times New Roman" w:hAnsi="Times New Roman"/>
      <w:sz w:val="28"/>
      <w:szCs w:val="28"/>
      <w:lang w:val="en-AU"/>
    </w:rPr>
  </w:style>
  <w:style w:type="character" w:customStyle="1" w:styleId="articletextChar">
    <w:name w:val="article text Char"/>
    <w:link w:val="articletext"/>
    <w:rsid w:val="00104FAC"/>
    <w:rPr>
      <w:rFonts w:ascii="Times New Roman" w:hAnsi="Times New Roman"/>
      <w:sz w:val="24"/>
      <w:szCs w:val="24"/>
      <w:lang w:val="en-AU"/>
    </w:rPr>
  </w:style>
  <w:style w:type="paragraph" w:styleId="NoSpacing">
    <w:name w:val="No Spacing"/>
    <w:uiPriority w:val="1"/>
    <w:qFormat/>
    <w:rsid w:val="00104FAC"/>
    <w:rPr>
      <w:sz w:val="22"/>
      <w:szCs w:val="22"/>
      <w:lang w:eastAsia="zh-CN"/>
    </w:rPr>
  </w:style>
  <w:style w:type="paragraph" w:customStyle="1" w:styleId="1SubPara">
    <w:name w:val="1 Sub Para"/>
    <w:basedOn w:val="Normal"/>
    <w:uiPriority w:val="99"/>
    <w:rsid w:val="00104FAC"/>
    <w:pPr>
      <w:keepNext/>
      <w:spacing w:after="0"/>
      <w:ind w:left="1260" w:hanging="540"/>
      <w:jc w:val="both"/>
    </w:pPr>
    <w:rPr>
      <w:rFonts w:ascii="Arial" w:hAnsi="Arial" w:cs="Arial"/>
      <w:lang w:val="en-NZ" w:eastAsia="en-US"/>
    </w:rPr>
  </w:style>
  <w:style w:type="paragraph" w:styleId="Revision">
    <w:name w:val="Revision"/>
    <w:hidden/>
    <w:uiPriority w:val="99"/>
    <w:semiHidden/>
    <w:rsid w:val="00104FAC"/>
    <w:rPr>
      <w:rFonts w:ascii="Times New Roman" w:eastAsia="Times New Roman" w:hAnsi="Times New Roman"/>
      <w:sz w:val="24"/>
    </w:rPr>
  </w:style>
  <w:style w:type="table" w:customStyle="1" w:styleId="TableGrid1">
    <w:name w:val="Table Grid1"/>
    <w:basedOn w:val="TableNormal"/>
    <w:next w:val="TableGrid"/>
    <w:uiPriority w:val="59"/>
    <w:rsid w:val="00104FA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04FAC"/>
    <w:rPr>
      <w:rFonts w:ascii="Cambria" w:hAnsi="Cambria"/>
      <w:b/>
      <w:bCs/>
      <w:color w:val="365F91"/>
      <w:sz w:val="28"/>
      <w:szCs w:val="28"/>
      <w:lang w:val="en-AU" w:eastAsia="en-US"/>
    </w:rPr>
  </w:style>
  <w:style w:type="character" w:customStyle="1" w:styleId="Heading2Char">
    <w:name w:val="Heading 2 Char"/>
    <w:link w:val="Heading2"/>
    <w:rsid w:val="00104FAC"/>
    <w:rPr>
      <w:rFonts w:ascii="Cambria" w:hAnsi="Cambria"/>
      <w:b/>
      <w:bCs/>
      <w:color w:val="4F81BD"/>
      <w:sz w:val="26"/>
      <w:szCs w:val="26"/>
      <w:lang w:val="en-AU" w:eastAsia="en-US"/>
    </w:rPr>
  </w:style>
  <w:style w:type="character" w:customStyle="1" w:styleId="Heading3Char">
    <w:name w:val="Heading 3 Char"/>
    <w:link w:val="Heading3"/>
    <w:rsid w:val="00104FAC"/>
    <w:rPr>
      <w:rFonts w:ascii="Cambria" w:hAnsi="Cambria"/>
      <w:b/>
      <w:bCs/>
      <w:color w:val="4F81BD"/>
      <w:sz w:val="22"/>
      <w:szCs w:val="22"/>
      <w:lang w:val="en-AU" w:eastAsia="en-US"/>
    </w:rPr>
  </w:style>
  <w:style w:type="character" w:customStyle="1" w:styleId="Heading4Char">
    <w:name w:val="Heading 4 Char"/>
    <w:link w:val="Heading4"/>
    <w:rsid w:val="00104FAC"/>
    <w:rPr>
      <w:rFonts w:ascii="Cambria" w:hAnsi="Cambria"/>
      <w:b/>
      <w:bCs/>
      <w:i/>
      <w:iCs/>
      <w:color w:val="4F81BD"/>
      <w:sz w:val="22"/>
      <w:szCs w:val="22"/>
      <w:lang w:val="en-AU" w:eastAsia="en-US"/>
    </w:rPr>
  </w:style>
  <w:style w:type="character" w:customStyle="1" w:styleId="Heading5Char">
    <w:name w:val="Heading 5 Char"/>
    <w:link w:val="Heading5"/>
    <w:rsid w:val="00104FAC"/>
    <w:rPr>
      <w:rFonts w:ascii="Times New Roman" w:hAnsi="Times New Roman"/>
      <w:kern w:val="2"/>
      <w:sz w:val="21"/>
      <w:szCs w:val="24"/>
    </w:rPr>
  </w:style>
  <w:style w:type="character" w:customStyle="1" w:styleId="Heading6Char">
    <w:name w:val="Heading 6 Char"/>
    <w:link w:val="Heading6"/>
    <w:rsid w:val="00104FAC"/>
    <w:rPr>
      <w:rFonts w:ascii="Times New Roman" w:hAnsi="Times New Roman"/>
      <w:kern w:val="2"/>
      <w:sz w:val="21"/>
      <w:szCs w:val="24"/>
    </w:rPr>
  </w:style>
  <w:style w:type="character" w:customStyle="1" w:styleId="Heading7Char">
    <w:name w:val="Heading 7 Char"/>
    <w:link w:val="Heading7"/>
    <w:rsid w:val="00104FAC"/>
    <w:rPr>
      <w:rFonts w:ascii="Times New Roman" w:hAnsi="Times New Roman"/>
      <w:kern w:val="2"/>
      <w:sz w:val="21"/>
      <w:szCs w:val="24"/>
    </w:rPr>
  </w:style>
  <w:style w:type="character" w:customStyle="1" w:styleId="Heading8Char">
    <w:name w:val="Heading 8 Char"/>
    <w:link w:val="Heading8"/>
    <w:rsid w:val="00104FAC"/>
    <w:rPr>
      <w:rFonts w:ascii="Times New Roman" w:hAnsi="Times New Roman"/>
      <w:kern w:val="2"/>
      <w:sz w:val="21"/>
      <w:szCs w:val="24"/>
    </w:rPr>
  </w:style>
  <w:style w:type="character" w:customStyle="1" w:styleId="Heading9Char">
    <w:name w:val="Heading 9 Char"/>
    <w:link w:val="Heading9"/>
    <w:rsid w:val="00104FAC"/>
    <w:rPr>
      <w:rFonts w:ascii="Times New Roman" w:hAnsi="Times New Roman"/>
      <w:kern w:val="2"/>
      <w:sz w:val="21"/>
      <w:szCs w:val="24"/>
    </w:rPr>
  </w:style>
  <w:style w:type="paragraph" w:customStyle="1" w:styleId="ListParagraph1">
    <w:name w:val="List Paragraph1"/>
    <w:basedOn w:val="Normal"/>
    <w:rsid w:val="00104FAC"/>
    <w:pPr>
      <w:spacing w:after="200" w:line="276" w:lineRule="auto"/>
      <w:ind w:left="720"/>
    </w:pPr>
    <w:rPr>
      <w:rFonts w:ascii="Calibri" w:hAnsi="Calibri"/>
      <w:sz w:val="22"/>
      <w:szCs w:val="22"/>
      <w:lang w:eastAsia="en-US"/>
    </w:rPr>
  </w:style>
  <w:style w:type="character" w:customStyle="1" w:styleId="FootnoteTextChar1">
    <w:name w:val="Footnote Text Char1"/>
    <w:locked/>
    <w:rsid w:val="00104FAC"/>
    <w:rPr>
      <w:rFonts w:ascii="Times New Roman" w:eastAsia="Times New Roman" w:hAnsi="Times New Roman"/>
      <w:lang w:val="en-AU"/>
    </w:rPr>
  </w:style>
  <w:style w:type="paragraph" w:customStyle="1" w:styleId="NumberedParagraph">
    <w:name w:val="Numbered Paragraph"/>
    <w:basedOn w:val="Normal"/>
    <w:rsid w:val="00104FAC"/>
    <w:pPr>
      <w:numPr>
        <w:numId w:val="1"/>
      </w:numPr>
      <w:spacing w:after="120"/>
    </w:pPr>
    <w:rPr>
      <w:rFonts w:eastAsia="Times New Roman"/>
      <w:lang w:eastAsia="zh-CN"/>
    </w:rPr>
  </w:style>
  <w:style w:type="paragraph" w:customStyle="1" w:styleId="Default">
    <w:name w:val="Default"/>
    <w:rsid w:val="00104FAC"/>
    <w:pPr>
      <w:autoSpaceDE w:val="0"/>
      <w:autoSpaceDN w:val="0"/>
      <w:adjustRightInd w:val="0"/>
    </w:pPr>
    <w:rPr>
      <w:rFonts w:ascii="Times New Roman" w:hAnsi="Times New Roman"/>
      <w:color w:val="000000"/>
      <w:sz w:val="24"/>
      <w:szCs w:val="24"/>
    </w:rPr>
  </w:style>
  <w:style w:type="paragraph" w:customStyle="1" w:styleId="Revision1">
    <w:name w:val="Revision1"/>
    <w:hidden/>
    <w:semiHidden/>
    <w:rsid w:val="00104FAC"/>
    <w:rPr>
      <w:sz w:val="22"/>
      <w:szCs w:val="22"/>
      <w:lang w:eastAsia="en-US"/>
    </w:rPr>
  </w:style>
  <w:style w:type="paragraph" w:styleId="Subtitle">
    <w:name w:val="Subtitle"/>
    <w:basedOn w:val="Normal"/>
    <w:next w:val="Normal"/>
    <w:link w:val="SubtitleChar"/>
    <w:qFormat/>
    <w:locked/>
    <w:rsid w:val="00104FAC"/>
    <w:pPr>
      <w:spacing w:before="240" w:after="60" w:line="312" w:lineRule="auto"/>
      <w:jc w:val="center"/>
      <w:outlineLvl w:val="1"/>
    </w:pPr>
    <w:rPr>
      <w:rFonts w:ascii="Cambria" w:hAnsi="Cambria"/>
      <w:b/>
      <w:bCs/>
      <w:kern w:val="28"/>
      <w:sz w:val="32"/>
      <w:szCs w:val="32"/>
      <w:lang w:eastAsia="en-US"/>
    </w:rPr>
  </w:style>
  <w:style w:type="character" w:customStyle="1" w:styleId="SubtitleChar">
    <w:name w:val="Subtitle Char"/>
    <w:link w:val="Subtitle"/>
    <w:rsid w:val="00104FAC"/>
    <w:rPr>
      <w:rFonts w:ascii="Cambria" w:hAnsi="Cambria"/>
      <w:b/>
      <w:bCs/>
      <w:kern w:val="28"/>
      <w:sz w:val="32"/>
      <w:szCs w:val="32"/>
      <w:lang w:val="en-AU" w:eastAsia="en-US"/>
    </w:rPr>
  </w:style>
  <w:style w:type="numbering" w:customStyle="1" w:styleId="1">
    <w:name w:val="无列表1"/>
    <w:next w:val="NoList"/>
    <w:uiPriority w:val="99"/>
    <w:semiHidden/>
    <w:unhideWhenUsed/>
    <w:rsid w:val="00104FAC"/>
  </w:style>
  <w:style w:type="paragraph" w:customStyle="1" w:styleId="Body">
    <w:name w:val="Body"/>
    <w:basedOn w:val="Normal"/>
    <w:semiHidden/>
    <w:rsid w:val="00104FAC"/>
    <w:pPr>
      <w:widowControl w:val="0"/>
      <w:jc w:val="both"/>
    </w:pPr>
    <w:rPr>
      <w:kern w:val="2"/>
      <w:sz w:val="21"/>
      <w:lang w:val="en-US" w:eastAsia="zh-CN"/>
    </w:rPr>
  </w:style>
  <w:style w:type="paragraph" w:customStyle="1" w:styleId="BodyTextNoIndent">
    <w:name w:val="Body Text No Indent"/>
    <w:basedOn w:val="BodyText"/>
    <w:rsid w:val="00104FAC"/>
  </w:style>
  <w:style w:type="paragraph" w:customStyle="1" w:styleId="KWBodytext">
    <w:name w:val="K&amp;W Body text"/>
    <w:basedOn w:val="KWNormal"/>
    <w:rsid w:val="00104FAC"/>
    <w:rPr>
      <w:color w:val="auto"/>
    </w:rPr>
  </w:style>
  <w:style w:type="character" w:styleId="Hyperlink">
    <w:name w:val="Hyperlink"/>
    <w:rsid w:val="00104FAC"/>
    <w:rPr>
      <w:color w:val="0000FF"/>
      <w:u w:val="single"/>
    </w:rPr>
  </w:style>
  <w:style w:type="table" w:customStyle="1" w:styleId="10">
    <w:name w:val="网格型1"/>
    <w:basedOn w:val="TableNormal"/>
    <w:next w:val="TableGrid"/>
    <w:rsid w:val="00104FAC"/>
    <w:pPr>
      <w:spacing w:before="120" w:after="120" w:line="240" w:lineRule="atLeast"/>
    </w:pPr>
    <w:rPr>
      <w:rFonts w:ascii="Arial" w:hAnsi="Arial"/>
    </w:rPr>
    <w:tblPr/>
  </w:style>
  <w:style w:type="paragraph" w:customStyle="1" w:styleId="KWHeading">
    <w:name w:val="K&amp;W Heading"/>
    <w:basedOn w:val="KWheading1"/>
    <w:next w:val="KWBodytext"/>
    <w:rsid w:val="00104FAC"/>
    <w:pPr>
      <w:numPr>
        <w:numId w:val="0"/>
      </w:numPr>
    </w:pPr>
  </w:style>
  <w:style w:type="paragraph" w:styleId="BlockText">
    <w:name w:val="Block Text"/>
    <w:basedOn w:val="Normal"/>
    <w:next w:val="BodyText"/>
    <w:rsid w:val="00104FAC"/>
    <w:pPr>
      <w:widowControl w:val="0"/>
      <w:spacing w:after="120" w:line="240" w:lineRule="atLeast"/>
      <w:ind w:left="1134"/>
      <w:jc w:val="both"/>
    </w:pPr>
    <w:rPr>
      <w:kern w:val="2"/>
      <w:sz w:val="21"/>
      <w:lang w:val="en-US" w:eastAsia="zh-CN"/>
    </w:rPr>
  </w:style>
  <w:style w:type="paragraph" w:styleId="BodyText">
    <w:name w:val="Body Text"/>
    <w:basedOn w:val="Normal"/>
    <w:link w:val="BodyTextChar"/>
    <w:rsid w:val="00104FAC"/>
    <w:pPr>
      <w:widowControl w:val="0"/>
      <w:jc w:val="both"/>
    </w:pPr>
    <w:rPr>
      <w:kern w:val="2"/>
      <w:sz w:val="21"/>
      <w:lang w:val="en-US" w:eastAsia="zh-CN"/>
    </w:rPr>
  </w:style>
  <w:style w:type="character" w:customStyle="1" w:styleId="BodyTextChar">
    <w:name w:val="Body Text Char"/>
    <w:link w:val="BodyText"/>
    <w:rsid w:val="00104FAC"/>
    <w:rPr>
      <w:rFonts w:ascii="Times New Roman" w:hAnsi="Times New Roman"/>
      <w:kern w:val="2"/>
      <w:sz w:val="21"/>
      <w:szCs w:val="24"/>
    </w:rPr>
  </w:style>
  <w:style w:type="paragraph" w:customStyle="1" w:styleId="KWSubheading">
    <w:name w:val="K&amp;W Subheading"/>
    <w:basedOn w:val="KWheading2"/>
    <w:next w:val="KWBodytext"/>
    <w:rsid w:val="00104FAC"/>
    <w:pPr>
      <w:numPr>
        <w:ilvl w:val="0"/>
        <w:numId w:val="0"/>
      </w:numPr>
    </w:pPr>
    <w:rPr>
      <w:kern w:val="28"/>
    </w:rPr>
  </w:style>
  <w:style w:type="paragraph" w:styleId="Caption">
    <w:name w:val="caption"/>
    <w:basedOn w:val="Normal"/>
    <w:next w:val="Normal"/>
    <w:qFormat/>
    <w:locked/>
    <w:rsid w:val="00104FAC"/>
    <w:pPr>
      <w:widowControl w:val="0"/>
      <w:spacing w:before="120" w:after="120"/>
      <w:jc w:val="both"/>
    </w:pPr>
    <w:rPr>
      <w:b/>
      <w:bCs/>
      <w:kern w:val="2"/>
      <w:sz w:val="21"/>
      <w:lang w:val="en-US" w:eastAsia="zh-CN"/>
    </w:rPr>
  </w:style>
  <w:style w:type="paragraph" w:styleId="Closing">
    <w:name w:val="Closing"/>
    <w:basedOn w:val="Normal"/>
    <w:link w:val="ClosingChar"/>
    <w:rsid w:val="00104FAC"/>
    <w:pPr>
      <w:widowControl w:val="0"/>
      <w:spacing w:after="0"/>
      <w:ind w:left="4252"/>
      <w:jc w:val="both"/>
    </w:pPr>
    <w:rPr>
      <w:kern w:val="2"/>
      <w:sz w:val="21"/>
      <w:lang w:val="en-US" w:eastAsia="zh-CN"/>
    </w:rPr>
  </w:style>
  <w:style w:type="character" w:customStyle="1" w:styleId="ClosingChar">
    <w:name w:val="Closing Char"/>
    <w:link w:val="Closing"/>
    <w:rsid w:val="00104FAC"/>
    <w:rPr>
      <w:rFonts w:ascii="Times New Roman" w:hAnsi="Times New Roman"/>
      <w:kern w:val="2"/>
      <w:sz w:val="21"/>
      <w:szCs w:val="24"/>
    </w:rPr>
  </w:style>
  <w:style w:type="paragraph" w:styleId="Date">
    <w:name w:val="Date"/>
    <w:basedOn w:val="Normal"/>
    <w:next w:val="Normal"/>
    <w:link w:val="DateChar"/>
    <w:rsid w:val="00104FAC"/>
    <w:pPr>
      <w:widowControl w:val="0"/>
      <w:spacing w:after="0"/>
      <w:jc w:val="both"/>
    </w:pPr>
    <w:rPr>
      <w:kern w:val="2"/>
      <w:sz w:val="21"/>
      <w:lang w:val="en-US" w:eastAsia="zh-CN"/>
    </w:rPr>
  </w:style>
  <w:style w:type="character" w:customStyle="1" w:styleId="DateChar">
    <w:name w:val="Date Char"/>
    <w:link w:val="Date"/>
    <w:rsid w:val="00104FAC"/>
    <w:rPr>
      <w:rFonts w:ascii="Times New Roman" w:hAnsi="Times New Roman"/>
      <w:kern w:val="2"/>
      <w:sz w:val="21"/>
      <w:szCs w:val="24"/>
    </w:rPr>
  </w:style>
  <w:style w:type="paragraph" w:styleId="BodyText2">
    <w:name w:val="Body Text 2"/>
    <w:basedOn w:val="Normal"/>
    <w:link w:val="BodyText2Char"/>
    <w:rsid w:val="00104FAC"/>
    <w:pPr>
      <w:widowControl w:val="0"/>
      <w:spacing w:after="120" w:line="480" w:lineRule="auto"/>
      <w:jc w:val="both"/>
    </w:pPr>
    <w:rPr>
      <w:kern w:val="2"/>
      <w:sz w:val="21"/>
      <w:lang w:val="en-US" w:eastAsia="zh-CN"/>
    </w:rPr>
  </w:style>
  <w:style w:type="character" w:customStyle="1" w:styleId="BodyText2Char">
    <w:name w:val="Body Text 2 Char"/>
    <w:link w:val="BodyText2"/>
    <w:rsid w:val="00104FAC"/>
    <w:rPr>
      <w:rFonts w:ascii="Times New Roman" w:hAnsi="Times New Roman"/>
      <w:kern w:val="2"/>
      <w:sz w:val="21"/>
      <w:szCs w:val="24"/>
    </w:rPr>
  </w:style>
  <w:style w:type="paragraph" w:styleId="BodyText3">
    <w:name w:val="Body Text 3"/>
    <w:basedOn w:val="Normal"/>
    <w:link w:val="BodyText3Char"/>
    <w:rsid w:val="00104FAC"/>
    <w:pPr>
      <w:widowControl w:val="0"/>
      <w:spacing w:after="120"/>
      <w:jc w:val="both"/>
    </w:pPr>
    <w:rPr>
      <w:kern w:val="2"/>
      <w:sz w:val="16"/>
      <w:szCs w:val="16"/>
      <w:lang w:val="en-US" w:eastAsia="zh-CN"/>
    </w:rPr>
  </w:style>
  <w:style w:type="character" w:customStyle="1" w:styleId="BodyText3Char">
    <w:name w:val="Body Text 3 Char"/>
    <w:link w:val="BodyText3"/>
    <w:rsid w:val="00104FAC"/>
    <w:rPr>
      <w:rFonts w:ascii="Times New Roman" w:hAnsi="Times New Roman"/>
      <w:kern w:val="2"/>
      <w:sz w:val="16"/>
      <w:szCs w:val="16"/>
    </w:rPr>
  </w:style>
  <w:style w:type="paragraph" w:styleId="BodyTextFirstIndent">
    <w:name w:val="Body Text First Indent"/>
    <w:basedOn w:val="BodyText"/>
    <w:link w:val="BodyTextFirstIndentChar"/>
    <w:rsid w:val="00104FAC"/>
    <w:pPr>
      <w:spacing w:after="120"/>
      <w:ind w:firstLine="210"/>
    </w:pPr>
  </w:style>
  <w:style w:type="character" w:customStyle="1" w:styleId="BodyTextFirstIndentChar">
    <w:name w:val="Body Text First Indent Char"/>
    <w:link w:val="BodyTextFirstIndent"/>
    <w:rsid w:val="00104FAC"/>
    <w:rPr>
      <w:rFonts w:ascii="Times New Roman" w:hAnsi="Times New Roman"/>
      <w:kern w:val="2"/>
      <w:sz w:val="21"/>
      <w:szCs w:val="24"/>
    </w:rPr>
  </w:style>
  <w:style w:type="paragraph" w:styleId="BodyTextIndent">
    <w:name w:val="Body Text Indent"/>
    <w:basedOn w:val="Normal"/>
    <w:link w:val="BodyTextIndentChar"/>
    <w:rsid w:val="00104FAC"/>
    <w:pPr>
      <w:widowControl w:val="0"/>
      <w:spacing w:after="120"/>
      <w:ind w:left="283"/>
      <w:jc w:val="both"/>
    </w:pPr>
    <w:rPr>
      <w:kern w:val="2"/>
      <w:sz w:val="21"/>
      <w:lang w:val="en-US" w:eastAsia="zh-CN"/>
    </w:rPr>
  </w:style>
  <w:style w:type="character" w:customStyle="1" w:styleId="BodyTextIndentChar">
    <w:name w:val="Body Text Indent Char"/>
    <w:link w:val="BodyTextIndent"/>
    <w:rsid w:val="00104FAC"/>
    <w:rPr>
      <w:rFonts w:ascii="Times New Roman" w:hAnsi="Times New Roman"/>
      <w:kern w:val="2"/>
      <w:sz w:val="21"/>
      <w:szCs w:val="24"/>
    </w:rPr>
  </w:style>
  <w:style w:type="paragraph" w:styleId="DocumentMap">
    <w:name w:val="Document Map"/>
    <w:basedOn w:val="Normal"/>
    <w:link w:val="DocumentMapChar"/>
    <w:rsid w:val="00104FAC"/>
    <w:pPr>
      <w:widowControl w:val="0"/>
      <w:shd w:val="clear" w:color="auto" w:fill="000080"/>
      <w:spacing w:after="0"/>
      <w:jc w:val="both"/>
    </w:pPr>
    <w:rPr>
      <w:rFonts w:ascii="Tahoma" w:hAnsi="Tahoma" w:cs="Tahoma"/>
      <w:kern w:val="2"/>
      <w:sz w:val="21"/>
      <w:lang w:val="en-US" w:eastAsia="zh-CN"/>
    </w:rPr>
  </w:style>
  <w:style w:type="character" w:customStyle="1" w:styleId="DocumentMapChar">
    <w:name w:val="Document Map Char"/>
    <w:link w:val="DocumentMap"/>
    <w:rsid w:val="00104FAC"/>
    <w:rPr>
      <w:rFonts w:ascii="Tahoma" w:hAnsi="Tahoma" w:cs="Tahoma"/>
      <w:kern w:val="2"/>
      <w:sz w:val="21"/>
      <w:szCs w:val="24"/>
      <w:shd w:val="clear" w:color="auto" w:fill="000080"/>
    </w:rPr>
  </w:style>
  <w:style w:type="paragraph" w:styleId="E-mailSignature">
    <w:name w:val="E-mail Signature"/>
    <w:basedOn w:val="Normal"/>
    <w:link w:val="E-mailSignatureChar"/>
    <w:rsid w:val="00104FAC"/>
    <w:pPr>
      <w:widowControl w:val="0"/>
      <w:spacing w:after="0"/>
      <w:jc w:val="both"/>
    </w:pPr>
    <w:rPr>
      <w:kern w:val="2"/>
      <w:sz w:val="21"/>
      <w:lang w:val="en-US" w:eastAsia="zh-CN"/>
    </w:rPr>
  </w:style>
  <w:style w:type="character" w:customStyle="1" w:styleId="E-mailSignatureChar">
    <w:name w:val="E-mail Signature Char"/>
    <w:link w:val="E-mailSignature"/>
    <w:rsid w:val="00104FAC"/>
    <w:rPr>
      <w:rFonts w:ascii="Times New Roman" w:hAnsi="Times New Roman"/>
      <w:kern w:val="2"/>
      <w:sz w:val="21"/>
      <w:szCs w:val="24"/>
    </w:rPr>
  </w:style>
  <w:style w:type="character" w:styleId="Emphasis">
    <w:name w:val="Emphasis"/>
    <w:qFormat/>
    <w:locked/>
    <w:rsid w:val="00104FAC"/>
    <w:rPr>
      <w:i/>
    </w:rPr>
  </w:style>
  <w:style w:type="character" w:styleId="EndnoteReference">
    <w:name w:val="endnote reference"/>
    <w:rsid w:val="00104FAC"/>
    <w:rPr>
      <w:vertAlign w:val="superscript"/>
    </w:rPr>
  </w:style>
  <w:style w:type="paragraph" w:styleId="EndnoteText">
    <w:name w:val="endnote text"/>
    <w:basedOn w:val="KWNormal"/>
    <w:link w:val="EndnoteTextChar"/>
    <w:rsid w:val="00104FAC"/>
    <w:pPr>
      <w:spacing w:afterLines="50" w:line="240" w:lineRule="auto"/>
      <w:ind w:left="85" w:hanging="85"/>
      <w:jc w:val="left"/>
    </w:pPr>
    <w:rPr>
      <w:color w:val="auto"/>
      <w:sz w:val="18"/>
    </w:rPr>
  </w:style>
  <w:style w:type="character" w:customStyle="1" w:styleId="EndnoteTextChar">
    <w:name w:val="Endnote Text Char"/>
    <w:link w:val="EndnoteText"/>
    <w:rsid w:val="00104FAC"/>
    <w:rPr>
      <w:rFonts w:ascii="Arial" w:eastAsia="KaiTi_GB2312" w:hAnsi="Arial"/>
      <w:sz w:val="18"/>
      <w:lang w:eastAsia="en-US"/>
    </w:rPr>
  </w:style>
  <w:style w:type="paragraph" w:styleId="EnvelopeAddress">
    <w:name w:val="envelope address"/>
    <w:basedOn w:val="Normal"/>
    <w:rsid w:val="00104FAC"/>
    <w:pPr>
      <w:framePr w:w="7920" w:h="1980" w:hRule="exact" w:hSpace="180" w:wrap="auto" w:hAnchor="page" w:xAlign="center" w:yAlign="bottom"/>
      <w:widowControl w:val="0"/>
      <w:spacing w:after="0"/>
      <w:ind w:left="2880"/>
      <w:jc w:val="both"/>
    </w:pPr>
    <w:rPr>
      <w:rFonts w:cs="Arial"/>
      <w:kern w:val="2"/>
      <w:lang w:val="en-US" w:eastAsia="zh-CN"/>
    </w:rPr>
  </w:style>
  <w:style w:type="paragraph" w:styleId="EnvelopeReturn">
    <w:name w:val="envelope return"/>
    <w:basedOn w:val="Normal"/>
    <w:rsid w:val="00104FAC"/>
    <w:pPr>
      <w:widowControl w:val="0"/>
      <w:spacing w:after="0"/>
      <w:jc w:val="both"/>
    </w:pPr>
    <w:rPr>
      <w:rFonts w:cs="Arial"/>
      <w:kern w:val="2"/>
      <w:sz w:val="21"/>
      <w:lang w:val="en-US" w:eastAsia="zh-CN"/>
    </w:rPr>
  </w:style>
  <w:style w:type="character" w:styleId="FollowedHyperlink">
    <w:name w:val="FollowedHyperlink"/>
    <w:rsid w:val="00104FAC"/>
    <w:rPr>
      <w:color w:val="800080"/>
      <w:u w:val="single"/>
    </w:rPr>
  </w:style>
  <w:style w:type="character" w:customStyle="1" w:styleId="KW">
    <w:name w:val="K&amp;W"/>
    <w:semiHidden/>
    <w:rsid w:val="00104FAC"/>
    <w:rPr>
      <w:rFonts w:ascii="Arial" w:hAnsi="Arial"/>
      <w:color w:val="004473"/>
      <w:sz w:val="18"/>
    </w:rPr>
  </w:style>
  <w:style w:type="paragraph" w:styleId="BodyTextFirstIndent2">
    <w:name w:val="Body Text First Indent 2"/>
    <w:basedOn w:val="BodyTextIndent"/>
    <w:link w:val="BodyTextFirstIndent2Char"/>
    <w:rsid w:val="00104FAC"/>
    <w:pPr>
      <w:ind w:firstLine="210"/>
    </w:pPr>
  </w:style>
  <w:style w:type="character" w:customStyle="1" w:styleId="BodyTextFirstIndent2Char">
    <w:name w:val="Body Text First Indent 2 Char"/>
    <w:link w:val="BodyTextFirstIndent2"/>
    <w:rsid w:val="00104FAC"/>
    <w:rPr>
      <w:rFonts w:ascii="Times New Roman" w:hAnsi="Times New Roman"/>
      <w:kern w:val="2"/>
      <w:sz w:val="21"/>
      <w:szCs w:val="24"/>
    </w:rPr>
  </w:style>
  <w:style w:type="paragraph" w:styleId="BodyTextIndent2">
    <w:name w:val="Body Text Indent 2"/>
    <w:basedOn w:val="Normal"/>
    <w:link w:val="BodyTextIndent2Char"/>
    <w:rsid w:val="00104FAC"/>
    <w:pPr>
      <w:widowControl w:val="0"/>
      <w:spacing w:after="120" w:line="480" w:lineRule="auto"/>
      <w:ind w:left="283"/>
      <w:jc w:val="both"/>
    </w:pPr>
    <w:rPr>
      <w:kern w:val="2"/>
      <w:sz w:val="21"/>
      <w:lang w:val="en-US" w:eastAsia="zh-CN"/>
    </w:rPr>
  </w:style>
  <w:style w:type="character" w:customStyle="1" w:styleId="BodyTextIndent2Char">
    <w:name w:val="Body Text Indent 2 Char"/>
    <w:link w:val="BodyTextIndent2"/>
    <w:rsid w:val="00104FAC"/>
    <w:rPr>
      <w:rFonts w:ascii="Times New Roman" w:hAnsi="Times New Roman"/>
      <w:kern w:val="2"/>
      <w:sz w:val="21"/>
      <w:szCs w:val="24"/>
    </w:rPr>
  </w:style>
  <w:style w:type="table" w:customStyle="1" w:styleId="KWTable">
    <w:name w:val="K&amp;W Table"/>
    <w:basedOn w:val="TableGrid"/>
    <w:rsid w:val="00104FAC"/>
    <w:pPr>
      <w:spacing w:before="60" w:after="60"/>
      <w:contextualSpacing/>
    </w:pPr>
    <w:rPr>
      <w:rFonts w:ascii="Arial" w:eastAsia="KaiTi_GB2312" w:hAnsi="Arial"/>
      <w:lang w:val="en-US" w:eastAsia="zh-CN"/>
    </w:rPr>
    <w:tblPr>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Arial" w:hAnsi="Arial" w:cs="Times New Roman"/>
        <w:b/>
        <w:sz w:val="20"/>
      </w:rPr>
      <w:tblPr/>
      <w:tcPr>
        <w:shd w:val="clear" w:color="auto" w:fill="E0E0E0"/>
      </w:tcPr>
    </w:tblStylePr>
  </w:style>
  <w:style w:type="paragraph" w:styleId="BodyTextIndent3">
    <w:name w:val="Body Text Indent 3"/>
    <w:basedOn w:val="Normal"/>
    <w:link w:val="BodyTextIndent3Char1"/>
    <w:rsid w:val="00104FAC"/>
    <w:pPr>
      <w:widowControl w:val="0"/>
      <w:spacing w:after="120"/>
      <w:ind w:left="283"/>
      <w:jc w:val="both"/>
    </w:pPr>
    <w:rPr>
      <w:kern w:val="2"/>
      <w:sz w:val="16"/>
      <w:szCs w:val="16"/>
      <w:lang w:val="en-US" w:eastAsia="zh-CN"/>
    </w:rPr>
  </w:style>
  <w:style w:type="character" w:customStyle="1" w:styleId="BodyTextIndent3Char">
    <w:name w:val="Body Text Indent 3 Char"/>
    <w:semiHidden/>
    <w:rsid w:val="00104FAC"/>
    <w:rPr>
      <w:rFonts w:ascii="Times New Roman" w:hAnsi="Times New Roman"/>
      <w:sz w:val="16"/>
      <w:szCs w:val="16"/>
      <w:lang w:val="en-AU" w:eastAsia="en-AU"/>
    </w:rPr>
  </w:style>
  <w:style w:type="character" w:customStyle="1" w:styleId="BodyTextIndent3Char1">
    <w:name w:val="Body Text Indent 3 Char1"/>
    <w:link w:val="BodyTextIndent3"/>
    <w:rsid w:val="00104FAC"/>
    <w:rPr>
      <w:rFonts w:ascii="Times New Roman" w:hAnsi="Times New Roman"/>
      <w:kern w:val="2"/>
      <w:sz w:val="16"/>
      <w:szCs w:val="16"/>
    </w:rPr>
  </w:style>
  <w:style w:type="paragraph" w:customStyle="1" w:styleId="KWheading1">
    <w:name w:val="K&amp;W heading 1"/>
    <w:basedOn w:val="KWNormal"/>
    <w:next w:val="KWBodytext"/>
    <w:rsid w:val="00104FAC"/>
    <w:pPr>
      <w:widowControl w:val="0"/>
      <w:numPr>
        <w:numId w:val="14"/>
      </w:numPr>
      <w:spacing w:line="280" w:lineRule="exact"/>
      <w:outlineLvl w:val="0"/>
    </w:pPr>
    <w:rPr>
      <w:b/>
      <w:color w:val="auto"/>
      <w:sz w:val="24"/>
    </w:rPr>
  </w:style>
  <w:style w:type="paragraph" w:customStyle="1" w:styleId="KWheading2">
    <w:name w:val="K&amp;W heading 2"/>
    <w:basedOn w:val="KWNormal"/>
    <w:next w:val="KWBodytext"/>
    <w:rsid w:val="00104FAC"/>
    <w:pPr>
      <w:widowControl w:val="0"/>
      <w:numPr>
        <w:ilvl w:val="1"/>
        <w:numId w:val="14"/>
      </w:numPr>
      <w:spacing w:line="280" w:lineRule="exact"/>
      <w:outlineLvl w:val="1"/>
    </w:pPr>
    <w:rPr>
      <w:color w:val="auto"/>
    </w:rPr>
  </w:style>
  <w:style w:type="character" w:styleId="HTMLAcronym">
    <w:name w:val="HTML Acronym"/>
    <w:rsid w:val="00104FAC"/>
    <w:rPr>
      <w:rFonts w:cs="Times New Roman"/>
    </w:rPr>
  </w:style>
  <w:style w:type="paragraph" w:styleId="HTMLAddress">
    <w:name w:val="HTML Address"/>
    <w:basedOn w:val="Normal"/>
    <w:link w:val="HTMLAddressChar"/>
    <w:rsid w:val="00104FAC"/>
    <w:pPr>
      <w:widowControl w:val="0"/>
      <w:spacing w:after="0"/>
      <w:jc w:val="both"/>
    </w:pPr>
    <w:rPr>
      <w:i/>
      <w:iCs/>
      <w:kern w:val="2"/>
      <w:sz w:val="21"/>
      <w:lang w:val="en-US" w:eastAsia="zh-CN"/>
    </w:rPr>
  </w:style>
  <w:style w:type="character" w:customStyle="1" w:styleId="HTMLAddressChar">
    <w:name w:val="HTML Address Char"/>
    <w:link w:val="HTMLAddress"/>
    <w:rsid w:val="00104FAC"/>
    <w:rPr>
      <w:rFonts w:ascii="Times New Roman" w:hAnsi="Times New Roman"/>
      <w:i/>
      <w:iCs/>
      <w:kern w:val="2"/>
      <w:sz w:val="21"/>
      <w:szCs w:val="24"/>
    </w:rPr>
  </w:style>
  <w:style w:type="character" w:styleId="HTMLCite">
    <w:name w:val="HTML Cite"/>
    <w:rsid w:val="00104FAC"/>
    <w:rPr>
      <w:i/>
    </w:rPr>
  </w:style>
  <w:style w:type="character" w:styleId="HTMLCode">
    <w:name w:val="HTML Code"/>
    <w:rsid w:val="00104FAC"/>
    <w:rPr>
      <w:rFonts w:ascii="Courier New" w:hAnsi="Courier New"/>
      <w:sz w:val="20"/>
    </w:rPr>
  </w:style>
  <w:style w:type="character" w:styleId="HTMLDefinition">
    <w:name w:val="HTML Definition"/>
    <w:rsid w:val="00104FAC"/>
    <w:rPr>
      <w:i/>
    </w:rPr>
  </w:style>
  <w:style w:type="character" w:styleId="HTMLKeyboard">
    <w:name w:val="HTML Keyboard"/>
    <w:rsid w:val="00104FAC"/>
    <w:rPr>
      <w:rFonts w:ascii="Courier New" w:hAnsi="Courier New"/>
      <w:sz w:val="20"/>
    </w:rPr>
  </w:style>
  <w:style w:type="paragraph" w:styleId="HTMLPreformatted">
    <w:name w:val="HTML Preformatted"/>
    <w:basedOn w:val="Normal"/>
    <w:link w:val="HTMLPreformattedChar"/>
    <w:rsid w:val="00104FAC"/>
    <w:pPr>
      <w:widowControl w:val="0"/>
      <w:spacing w:after="0"/>
      <w:jc w:val="both"/>
    </w:pPr>
    <w:rPr>
      <w:rFonts w:ascii="Courier New" w:hAnsi="Courier New" w:cs="Courier New"/>
      <w:kern w:val="2"/>
      <w:sz w:val="21"/>
      <w:lang w:val="en-US" w:eastAsia="zh-CN"/>
    </w:rPr>
  </w:style>
  <w:style w:type="character" w:customStyle="1" w:styleId="HTMLPreformattedChar">
    <w:name w:val="HTML Preformatted Char"/>
    <w:link w:val="HTMLPreformatted"/>
    <w:rsid w:val="00104FAC"/>
    <w:rPr>
      <w:rFonts w:ascii="Courier New" w:hAnsi="Courier New" w:cs="Courier New"/>
      <w:kern w:val="2"/>
      <w:sz w:val="21"/>
      <w:szCs w:val="24"/>
    </w:rPr>
  </w:style>
  <w:style w:type="character" w:styleId="HTMLSample">
    <w:name w:val="HTML Sample"/>
    <w:rsid w:val="00104FAC"/>
    <w:rPr>
      <w:rFonts w:ascii="Courier New" w:hAnsi="Courier New"/>
    </w:rPr>
  </w:style>
  <w:style w:type="character" w:styleId="HTMLTypewriter">
    <w:name w:val="HTML Typewriter"/>
    <w:rsid w:val="00104FAC"/>
    <w:rPr>
      <w:rFonts w:ascii="Courier New" w:hAnsi="Courier New"/>
      <w:sz w:val="20"/>
    </w:rPr>
  </w:style>
  <w:style w:type="character" w:styleId="HTMLVariable">
    <w:name w:val="HTML Variable"/>
    <w:rsid w:val="00104FAC"/>
    <w:rPr>
      <w:i/>
    </w:rPr>
  </w:style>
  <w:style w:type="paragraph" w:styleId="Index1">
    <w:name w:val="index 1"/>
    <w:basedOn w:val="Normal"/>
    <w:next w:val="Normal"/>
    <w:autoRedefine/>
    <w:rsid w:val="00104FAC"/>
    <w:pPr>
      <w:widowControl w:val="0"/>
      <w:spacing w:after="0"/>
      <w:ind w:left="200" w:hanging="200"/>
      <w:jc w:val="both"/>
    </w:pPr>
    <w:rPr>
      <w:kern w:val="2"/>
      <w:sz w:val="21"/>
      <w:lang w:val="en-US" w:eastAsia="zh-CN"/>
    </w:rPr>
  </w:style>
  <w:style w:type="paragraph" w:styleId="Index2">
    <w:name w:val="index 2"/>
    <w:basedOn w:val="Normal"/>
    <w:next w:val="Normal"/>
    <w:autoRedefine/>
    <w:rsid w:val="00104FAC"/>
    <w:pPr>
      <w:widowControl w:val="0"/>
      <w:spacing w:after="0"/>
      <w:ind w:left="400" w:hanging="200"/>
      <w:jc w:val="both"/>
    </w:pPr>
    <w:rPr>
      <w:kern w:val="2"/>
      <w:sz w:val="21"/>
      <w:lang w:val="en-US" w:eastAsia="zh-CN"/>
    </w:rPr>
  </w:style>
  <w:style w:type="paragraph" w:styleId="Index3">
    <w:name w:val="index 3"/>
    <w:basedOn w:val="Normal"/>
    <w:next w:val="Normal"/>
    <w:autoRedefine/>
    <w:rsid w:val="00104FAC"/>
    <w:pPr>
      <w:widowControl w:val="0"/>
      <w:spacing w:after="0"/>
      <w:ind w:left="600" w:hanging="200"/>
      <w:jc w:val="both"/>
    </w:pPr>
    <w:rPr>
      <w:kern w:val="2"/>
      <w:sz w:val="21"/>
      <w:lang w:val="en-US" w:eastAsia="zh-CN"/>
    </w:rPr>
  </w:style>
  <w:style w:type="paragraph" w:styleId="Index4">
    <w:name w:val="index 4"/>
    <w:basedOn w:val="Normal"/>
    <w:next w:val="Normal"/>
    <w:autoRedefine/>
    <w:rsid w:val="00104FAC"/>
    <w:pPr>
      <w:widowControl w:val="0"/>
      <w:spacing w:after="0"/>
      <w:ind w:left="800" w:hanging="200"/>
      <w:jc w:val="both"/>
    </w:pPr>
    <w:rPr>
      <w:kern w:val="2"/>
      <w:sz w:val="21"/>
      <w:lang w:val="en-US" w:eastAsia="zh-CN"/>
    </w:rPr>
  </w:style>
  <w:style w:type="paragraph" w:styleId="Index5">
    <w:name w:val="index 5"/>
    <w:basedOn w:val="Normal"/>
    <w:next w:val="Normal"/>
    <w:autoRedefine/>
    <w:rsid w:val="00104FAC"/>
    <w:pPr>
      <w:widowControl w:val="0"/>
      <w:spacing w:after="0"/>
      <w:ind w:left="1000" w:hanging="200"/>
      <w:jc w:val="both"/>
    </w:pPr>
    <w:rPr>
      <w:kern w:val="2"/>
      <w:sz w:val="21"/>
      <w:lang w:val="en-US" w:eastAsia="zh-CN"/>
    </w:rPr>
  </w:style>
  <w:style w:type="paragraph" w:styleId="Index6">
    <w:name w:val="index 6"/>
    <w:basedOn w:val="Normal"/>
    <w:next w:val="Normal"/>
    <w:autoRedefine/>
    <w:rsid w:val="00104FAC"/>
    <w:pPr>
      <w:widowControl w:val="0"/>
      <w:spacing w:after="0"/>
      <w:ind w:left="1200" w:hanging="200"/>
      <w:jc w:val="both"/>
    </w:pPr>
    <w:rPr>
      <w:kern w:val="2"/>
      <w:sz w:val="21"/>
      <w:lang w:val="en-US" w:eastAsia="zh-CN"/>
    </w:rPr>
  </w:style>
  <w:style w:type="paragraph" w:styleId="Index7">
    <w:name w:val="index 7"/>
    <w:basedOn w:val="Normal"/>
    <w:next w:val="Normal"/>
    <w:autoRedefine/>
    <w:rsid w:val="00104FAC"/>
    <w:pPr>
      <w:widowControl w:val="0"/>
      <w:spacing w:after="0"/>
      <w:ind w:left="1400" w:hanging="200"/>
      <w:jc w:val="both"/>
    </w:pPr>
    <w:rPr>
      <w:kern w:val="2"/>
      <w:sz w:val="21"/>
      <w:lang w:val="en-US" w:eastAsia="zh-CN"/>
    </w:rPr>
  </w:style>
  <w:style w:type="paragraph" w:styleId="Index8">
    <w:name w:val="index 8"/>
    <w:basedOn w:val="Normal"/>
    <w:next w:val="Normal"/>
    <w:autoRedefine/>
    <w:rsid w:val="00104FAC"/>
    <w:pPr>
      <w:widowControl w:val="0"/>
      <w:spacing w:after="0"/>
      <w:ind w:left="1600" w:hanging="200"/>
      <w:jc w:val="both"/>
    </w:pPr>
    <w:rPr>
      <w:kern w:val="2"/>
      <w:sz w:val="21"/>
      <w:lang w:val="en-US" w:eastAsia="zh-CN"/>
    </w:rPr>
  </w:style>
  <w:style w:type="paragraph" w:styleId="Index9">
    <w:name w:val="index 9"/>
    <w:basedOn w:val="Normal"/>
    <w:next w:val="Normal"/>
    <w:autoRedefine/>
    <w:rsid w:val="00104FAC"/>
    <w:pPr>
      <w:widowControl w:val="0"/>
      <w:spacing w:after="0"/>
      <w:ind w:left="1800" w:hanging="200"/>
      <w:jc w:val="both"/>
    </w:pPr>
    <w:rPr>
      <w:kern w:val="2"/>
      <w:sz w:val="21"/>
      <w:lang w:val="en-US" w:eastAsia="zh-CN"/>
    </w:rPr>
  </w:style>
  <w:style w:type="paragraph" w:styleId="IndexHeading">
    <w:name w:val="index heading"/>
    <w:basedOn w:val="Normal"/>
    <w:next w:val="Index1"/>
    <w:rsid w:val="00104FAC"/>
    <w:pPr>
      <w:widowControl w:val="0"/>
      <w:spacing w:after="0"/>
      <w:jc w:val="both"/>
    </w:pPr>
    <w:rPr>
      <w:rFonts w:cs="Arial"/>
      <w:b/>
      <w:bCs/>
      <w:kern w:val="2"/>
      <w:sz w:val="21"/>
      <w:lang w:val="en-US" w:eastAsia="zh-CN"/>
    </w:rPr>
  </w:style>
  <w:style w:type="paragraph" w:customStyle="1" w:styleId="KWheading3">
    <w:name w:val="K&amp;W heading 3"/>
    <w:basedOn w:val="KWNormal"/>
    <w:rsid w:val="00104FAC"/>
    <w:pPr>
      <w:numPr>
        <w:ilvl w:val="2"/>
        <w:numId w:val="14"/>
      </w:numPr>
      <w:spacing w:line="280" w:lineRule="exact"/>
      <w:outlineLvl w:val="2"/>
    </w:pPr>
    <w:rPr>
      <w:color w:val="auto"/>
    </w:rPr>
  </w:style>
  <w:style w:type="paragraph" w:customStyle="1" w:styleId="KWheading4">
    <w:name w:val="K&amp;W heading 4"/>
    <w:basedOn w:val="KWNormal"/>
    <w:rsid w:val="00104FAC"/>
    <w:pPr>
      <w:numPr>
        <w:ilvl w:val="3"/>
        <w:numId w:val="14"/>
      </w:numPr>
      <w:spacing w:line="280" w:lineRule="exact"/>
      <w:outlineLvl w:val="3"/>
    </w:pPr>
    <w:rPr>
      <w:color w:val="auto"/>
    </w:rPr>
  </w:style>
  <w:style w:type="paragraph" w:customStyle="1" w:styleId="KWheading5">
    <w:name w:val="K&amp;W heading 5"/>
    <w:basedOn w:val="KWNormal"/>
    <w:rsid w:val="00104FAC"/>
    <w:pPr>
      <w:numPr>
        <w:ilvl w:val="4"/>
        <w:numId w:val="14"/>
      </w:numPr>
      <w:spacing w:line="280" w:lineRule="exact"/>
      <w:outlineLvl w:val="4"/>
    </w:pPr>
    <w:rPr>
      <w:color w:val="auto"/>
    </w:rPr>
  </w:style>
  <w:style w:type="paragraph" w:customStyle="1" w:styleId="KWListBullet">
    <w:name w:val="K&amp;W List Bullet"/>
    <w:basedOn w:val="KWNormal"/>
    <w:rsid w:val="00104FAC"/>
    <w:pPr>
      <w:numPr>
        <w:numId w:val="15"/>
      </w:numPr>
      <w:spacing w:after="240"/>
    </w:pPr>
  </w:style>
  <w:style w:type="paragraph" w:customStyle="1" w:styleId="KWListNumber">
    <w:name w:val="K&amp;W List Number"/>
    <w:basedOn w:val="KWNormal"/>
    <w:rsid w:val="00104FAC"/>
    <w:pPr>
      <w:numPr>
        <w:numId w:val="16"/>
      </w:numPr>
      <w:spacing w:after="240"/>
    </w:pPr>
  </w:style>
  <w:style w:type="paragraph" w:customStyle="1" w:styleId="KWNormal">
    <w:name w:val="K&amp;W Normal"/>
    <w:rsid w:val="00104FAC"/>
    <w:pPr>
      <w:spacing w:after="280" w:line="240" w:lineRule="atLeast"/>
      <w:jc w:val="both"/>
    </w:pPr>
    <w:rPr>
      <w:rFonts w:ascii="Arial" w:eastAsia="KaiTi_GB2312" w:hAnsi="Arial"/>
      <w:color w:val="000000"/>
      <w:lang w:val="en-US" w:eastAsia="en-US"/>
    </w:rPr>
  </w:style>
  <w:style w:type="paragraph" w:customStyle="1" w:styleId="TOC1">
    <w:name w:val="TOC 标题1"/>
    <w:basedOn w:val="Heading1"/>
    <w:next w:val="Normal"/>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customStyle="1" w:styleId="11">
    <w:name w:val="列出段落1"/>
    <w:basedOn w:val="Normal"/>
    <w:rsid w:val="00104FAC"/>
    <w:pPr>
      <w:widowControl w:val="0"/>
      <w:spacing w:after="0"/>
      <w:ind w:firstLineChars="200" w:firstLine="420"/>
      <w:jc w:val="both"/>
    </w:pPr>
    <w:rPr>
      <w:kern w:val="2"/>
      <w:sz w:val="21"/>
      <w:lang w:val="en-US" w:eastAsia="zh-CN"/>
    </w:rPr>
  </w:style>
  <w:style w:type="character" w:styleId="LineNumber">
    <w:name w:val="line number"/>
    <w:rsid w:val="00104FAC"/>
    <w:rPr>
      <w:rFonts w:cs="Times New Roman"/>
    </w:rPr>
  </w:style>
  <w:style w:type="paragraph" w:styleId="List">
    <w:name w:val="List"/>
    <w:basedOn w:val="Normal"/>
    <w:rsid w:val="00104FAC"/>
    <w:pPr>
      <w:widowControl w:val="0"/>
      <w:spacing w:after="0"/>
      <w:ind w:left="283" w:hanging="283"/>
      <w:jc w:val="both"/>
    </w:pPr>
    <w:rPr>
      <w:kern w:val="2"/>
      <w:sz w:val="21"/>
      <w:lang w:val="en-US" w:eastAsia="zh-CN"/>
    </w:rPr>
  </w:style>
  <w:style w:type="paragraph" w:styleId="List2">
    <w:name w:val="List 2"/>
    <w:basedOn w:val="Normal"/>
    <w:rsid w:val="00104FAC"/>
    <w:pPr>
      <w:widowControl w:val="0"/>
      <w:spacing w:after="0"/>
      <w:ind w:left="566" w:hanging="283"/>
      <w:jc w:val="both"/>
    </w:pPr>
    <w:rPr>
      <w:kern w:val="2"/>
      <w:sz w:val="21"/>
      <w:lang w:val="en-US" w:eastAsia="zh-CN"/>
    </w:rPr>
  </w:style>
  <w:style w:type="paragraph" w:styleId="List3">
    <w:name w:val="List 3"/>
    <w:basedOn w:val="Normal"/>
    <w:rsid w:val="00104FAC"/>
    <w:pPr>
      <w:widowControl w:val="0"/>
      <w:spacing w:after="0"/>
      <w:ind w:left="849" w:hanging="283"/>
      <w:jc w:val="both"/>
    </w:pPr>
    <w:rPr>
      <w:kern w:val="2"/>
      <w:sz w:val="21"/>
      <w:lang w:val="en-US" w:eastAsia="zh-CN"/>
    </w:rPr>
  </w:style>
  <w:style w:type="paragraph" w:styleId="List4">
    <w:name w:val="List 4"/>
    <w:basedOn w:val="Normal"/>
    <w:rsid w:val="00104FAC"/>
    <w:pPr>
      <w:widowControl w:val="0"/>
      <w:spacing w:after="0"/>
      <w:ind w:left="1132" w:hanging="283"/>
      <w:jc w:val="both"/>
    </w:pPr>
    <w:rPr>
      <w:kern w:val="2"/>
      <w:sz w:val="21"/>
      <w:lang w:val="en-US" w:eastAsia="zh-CN"/>
    </w:rPr>
  </w:style>
  <w:style w:type="paragraph" w:styleId="List5">
    <w:name w:val="List 5"/>
    <w:basedOn w:val="Normal"/>
    <w:rsid w:val="00104FAC"/>
    <w:pPr>
      <w:widowControl w:val="0"/>
      <w:spacing w:after="0"/>
      <w:ind w:left="1415" w:hanging="283"/>
      <w:jc w:val="both"/>
    </w:pPr>
    <w:rPr>
      <w:kern w:val="2"/>
      <w:sz w:val="21"/>
      <w:lang w:val="en-US" w:eastAsia="zh-CN"/>
    </w:rPr>
  </w:style>
  <w:style w:type="paragraph" w:styleId="ListBullet">
    <w:name w:val="List Bullet"/>
    <w:basedOn w:val="BodyText"/>
    <w:rsid w:val="00104FAC"/>
    <w:pPr>
      <w:numPr>
        <w:numId w:val="11"/>
      </w:numPr>
    </w:pPr>
  </w:style>
  <w:style w:type="paragraph" w:styleId="ListBullet2">
    <w:name w:val="List Bullet 2"/>
    <w:basedOn w:val="BodyText"/>
    <w:rsid w:val="00104FAC"/>
    <w:pPr>
      <w:numPr>
        <w:numId w:val="9"/>
      </w:numPr>
      <w:tabs>
        <w:tab w:val="clear" w:pos="567"/>
        <w:tab w:val="num" w:pos="1134"/>
      </w:tabs>
      <w:ind w:left="1134" w:hanging="567"/>
    </w:pPr>
  </w:style>
  <w:style w:type="paragraph" w:styleId="ListBullet3">
    <w:name w:val="List Bullet 3"/>
    <w:basedOn w:val="Normal"/>
    <w:rsid w:val="00104FAC"/>
    <w:pPr>
      <w:widowControl w:val="0"/>
      <w:numPr>
        <w:numId w:val="3"/>
      </w:numPr>
      <w:tabs>
        <w:tab w:val="clear" w:pos="926"/>
        <w:tab w:val="num" w:pos="1134"/>
      </w:tabs>
      <w:spacing w:after="0"/>
      <w:ind w:left="1134" w:hanging="567"/>
      <w:jc w:val="both"/>
    </w:pPr>
    <w:rPr>
      <w:kern w:val="2"/>
      <w:sz w:val="21"/>
      <w:lang w:val="en-US" w:eastAsia="zh-CN"/>
    </w:rPr>
  </w:style>
  <w:style w:type="paragraph" w:styleId="ListBullet4">
    <w:name w:val="List Bullet 4"/>
    <w:basedOn w:val="Normal"/>
    <w:rsid w:val="00104FAC"/>
    <w:pPr>
      <w:widowControl w:val="0"/>
      <w:numPr>
        <w:numId w:val="4"/>
      </w:numPr>
      <w:tabs>
        <w:tab w:val="clear" w:pos="1209"/>
        <w:tab w:val="num" w:pos="1287"/>
      </w:tabs>
      <w:spacing w:after="0"/>
      <w:ind w:left="1287" w:hanging="567"/>
      <w:jc w:val="both"/>
    </w:pPr>
    <w:rPr>
      <w:kern w:val="2"/>
      <w:sz w:val="21"/>
      <w:lang w:val="en-US" w:eastAsia="zh-CN"/>
    </w:rPr>
  </w:style>
  <w:style w:type="paragraph" w:styleId="ListBullet5">
    <w:name w:val="List Bullet 5"/>
    <w:basedOn w:val="Normal"/>
    <w:rsid w:val="00104FAC"/>
    <w:pPr>
      <w:widowControl w:val="0"/>
      <w:numPr>
        <w:numId w:val="5"/>
      </w:numPr>
      <w:tabs>
        <w:tab w:val="clear" w:pos="1492"/>
        <w:tab w:val="num" w:pos="1701"/>
      </w:tabs>
      <w:spacing w:after="0"/>
      <w:ind w:left="1701" w:hanging="567"/>
      <w:jc w:val="both"/>
    </w:pPr>
    <w:rPr>
      <w:kern w:val="2"/>
      <w:sz w:val="21"/>
      <w:lang w:val="en-US" w:eastAsia="zh-CN"/>
    </w:rPr>
  </w:style>
  <w:style w:type="paragraph" w:styleId="ListContinue">
    <w:name w:val="List Continue"/>
    <w:basedOn w:val="Normal"/>
    <w:rsid w:val="00104FAC"/>
    <w:pPr>
      <w:widowControl w:val="0"/>
      <w:spacing w:after="120"/>
      <w:ind w:left="283"/>
      <w:jc w:val="both"/>
    </w:pPr>
    <w:rPr>
      <w:kern w:val="2"/>
      <w:sz w:val="21"/>
      <w:lang w:val="en-US" w:eastAsia="zh-CN"/>
    </w:rPr>
  </w:style>
  <w:style w:type="paragraph" w:styleId="ListContinue2">
    <w:name w:val="List Continue 2"/>
    <w:basedOn w:val="Normal"/>
    <w:rsid w:val="00104FAC"/>
    <w:pPr>
      <w:widowControl w:val="0"/>
      <w:spacing w:after="120"/>
      <w:ind w:left="566"/>
      <w:jc w:val="both"/>
    </w:pPr>
    <w:rPr>
      <w:kern w:val="2"/>
      <w:sz w:val="21"/>
      <w:lang w:val="en-US" w:eastAsia="zh-CN"/>
    </w:rPr>
  </w:style>
  <w:style w:type="paragraph" w:styleId="ListContinue3">
    <w:name w:val="List Continue 3"/>
    <w:basedOn w:val="Normal"/>
    <w:rsid w:val="00104FAC"/>
    <w:pPr>
      <w:widowControl w:val="0"/>
      <w:spacing w:after="120"/>
      <w:ind w:left="849"/>
      <w:jc w:val="both"/>
    </w:pPr>
    <w:rPr>
      <w:kern w:val="2"/>
      <w:sz w:val="21"/>
      <w:lang w:val="en-US" w:eastAsia="zh-CN"/>
    </w:rPr>
  </w:style>
  <w:style w:type="paragraph" w:styleId="ListContinue4">
    <w:name w:val="List Continue 4"/>
    <w:basedOn w:val="Normal"/>
    <w:rsid w:val="00104FAC"/>
    <w:pPr>
      <w:widowControl w:val="0"/>
      <w:spacing w:after="120"/>
      <w:ind w:left="1132"/>
      <w:jc w:val="both"/>
    </w:pPr>
    <w:rPr>
      <w:kern w:val="2"/>
      <w:sz w:val="21"/>
      <w:lang w:val="en-US" w:eastAsia="zh-CN"/>
    </w:rPr>
  </w:style>
  <w:style w:type="paragraph" w:styleId="ListContinue5">
    <w:name w:val="List Continue 5"/>
    <w:basedOn w:val="Normal"/>
    <w:rsid w:val="00104FAC"/>
    <w:pPr>
      <w:widowControl w:val="0"/>
      <w:spacing w:after="120"/>
      <w:ind w:left="1415"/>
      <w:jc w:val="both"/>
    </w:pPr>
    <w:rPr>
      <w:kern w:val="2"/>
      <w:sz w:val="21"/>
      <w:lang w:val="en-US" w:eastAsia="zh-CN"/>
    </w:rPr>
  </w:style>
  <w:style w:type="paragraph" w:styleId="ListNumber">
    <w:name w:val="List Number"/>
    <w:basedOn w:val="BodyText"/>
    <w:rsid w:val="00104FAC"/>
    <w:pPr>
      <w:numPr>
        <w:numId w:val="12"/>
      </w:numPr>
    </w:pPr>
  </w:style>
  <w:style w:type="paragraph" w:styleId="ListNumber2">
    <w:name w:val="List Number 2"/>
    <w:basedOn w:val="Normal"/>
    <w:rsid w:val="00104FAC"/>
    <w:pPr>
      <w:widowControl w:val="0"/>
      <w:jc w:val="both"/>
    </w:pPr>
    <w:rPr>
      <w:kern w:val="2"/>
      <w:sz w:val="21"/>
      <w:lang w:val="en-US" w:eastAsia="zh-CN"/>
    </w:rPr>
  </w:style>
  <w:style w:type="paragraph" w:styleId="ListNumber3">
    <w:name w:val="List Number 3"/>
    <w:basedOn w:val="Normal"/>
    <w:rsid w:val="00104FAC"/>
    <w:pPr>
      <w:widowControl w:val="0"/>
      <w:numPr>
        <w:numId w:val="6"/>
      </w:numPr>
      <w:tabs>
        <w:tab w:val="clear" w:pos="926"/>
        <w:tab w:val="num" w:pos="1701"/>
      </w:tabs>
      <w:spacing w:after="0"/>
      <w:ind w:left="1701" w:hanging="567"/>
      <w:jc w:val="both"/>
    </w:pPr>
    <w:rPr>
      <w:kern w:val="2"/>
      <w:sz w:val="21"/>
      <w:lang w:val="en-US" w:eastAsia="zh-CN"/>
    </w:rPr>
  </w:style>
  <w:style w:type="paragraph" w:styleId="ListNumber4">
    <w:name w:val="List Number 4"/>
    <w:basedOn w:val="Normal"/>
    <w:rsid w:val="00104FAC"/>
    <w:pPr>
      <w:widowControl w:val="0"/>
      <w:numPr>
        <w:numId w:val="7"/>
      </w:numPr>
      <w:tabs>
        <w:tab w:val="clear" w:pos="1209"/>
        <w:tab w:val="num" w:pos="1701"/>
      </w:tabs>
      <w:spacing w:after="0"/>
      <w:ind w:left="1701" w:hanging="567"/>
      <w:jc w:val="both"/>
    </w:pPr>
    <w:rPr>
      <w:kern w:val="2"/>
      <w:sz w:val="21"/>
      <w:lang w:val="en-US" w:eastAsia="zh-CN"/>
    </w:rPr>
  </w:style>
  <w:style w:type="paragraph" w:styleId="ListNumber5">
    <w:name w:val="List Number 5"/>
    <w:basedOn w:val="Normal"/>
    <w:rsid w:val="00104FAC"/>
    <w:pPr>
      <w:widowControl w:val="0"/>
      <w:numPr>
        <w:numId w:val="8"/>
      </w:numPr>
      <w:tabs>
        <w:tab w:val="clear" w:pos="1492"/>
        <w:tab w:val="num" w:pos="1701"/>
      </w:tabs>
      <w:spacing w:after="0"/>
      <w:ind w:left="1701" w:hanging="567"/>
      <w:jc w:val="both"/>
    </w:pPr>
    <w:rPr>
      <w:kern w:val="2"/>
      <w:sz w:val="21"/>
      <w:lang w:val="en-US" w:eastAsia="zh-CN"/>
    </w:rPr>
  </w:style>
  <w:style w:type="paragraph" w:styleId="MacroText">
    <w:name w:val="macro"/>
    <w:link w:val="MacroTextChar"/>
    <w:rsid w:val="00104F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333333"/>
      <w:lang w:val="en-US" w:eastAsia="en-US"/>
    </w:rPr>
  </w:style>
  <w:style w:type="character" w:customStyle="1" w:styleId="MacroTextChar">
    <w:name w:val="Macro Text Char"/>
    <w:link w:val="MacroText"/>
    <w:rsid w:val="00104FAC"/>
    <w:rPr>
      <w:rFonts w:ascii="Courier New" w:hAnsi="Courier New" w:cs="Courier New"/>
      <w:color w:val="333333"/>
      <w:lang w:eastAsia="en-US"/>
    </w:rPr>
  </w:style>
  <w:style w:type="paragraph" w:styleId="MessageHeader">
    <w:name w:val="Message Header"/>
    <w:basedOn w:val="Normal"/>
    <w:link w:val="MessageHeaderChar"/>
    <w:rsid w:val="00104FAC"/>
    <w:pPr>
      <w:widowControl w:val="0"/>
      <w:pBdr>
        <w:top w:val="single" w:sz="6" w:space="1" w:color="auto"/>
        <w:left w:val="single" w:sz="6" w:space="1" w:color="auto"/>
        <w:bottom w:val="single" w:sz="6" w:space="1" w:color="auto"/>
        <w:right w:val="single" w:sz="6" w:space="1" w:color="auto"/>
      </w:pBdr>
      <w:shd w:val="pct20" w:color="auto" w:fill="auto"/>
      <w:spacing w:after="0"/>
      <w:ind w:left="1134" w:hanging="1134"/>
      <w:jc w:val="both"/>
    </w:pPr>
    <w:rPr>
      <w:rFonts w:cs="Arial"/>
      <w:kern w:val="2"/>
      <w:lang w:val="en-US" w:eastAsia="zh-CN"/>
    </w:rPr>
  </w:style>
  <w:style w:type="character" w:customStyle="1" w:styleId="MessageHeaderChar">
    <w:name w:val="Message Header Char"/>
    <w:link w:val="MessageHeader"/>
    <w:rsid w:val="00104FAC"/>
    <w:rPr>
      <w:rFonts w:ascii="Times New Roman" w:hAnsi="Times New Roman" w:cs="Arial"/>
      <w:kern w:val="2"/>
      <w:sz w:val="24"/>
      <w:szCs w:val="24"/>
      <w:shd w:val="pct20" w:color="auto" w:fill="auto"/>
    </w:rPr>
  </w:style>
  <w:style w:type="paragraph" w:styleId="NormalWeb">
    <w:name w:val="Normal (Web)"/>
    <w:basedOn w:val="Normal"/>
    <w:uiPriority w:val="99"/>
    <w:rsid w:val="00104FAC"/>
    <w:pPr>
      <w:widowControl w:val="0"/>
      <w:spacing w:after="0"/>
      <w:jc w:val="both"/>
    </w:pPr>
    <w:rPr>
      <w:kern w:val="2"/>
      <w:sz w:val="21"/>
      <w:lang w:val="en-US" w:eastAsia="zh-CN"/>
    </w:rPr>
  </w:style>
  <w:style w:type="paragraph" w:styleId="NormalIndent">
    <w:name w:val="Normal Indent"/>
    <w:basedOn w:val="Normal"/>
    <w:rsid w:val="00104FAC"/>
    <w:pPr>
      <w:widowControl w:val="0"/>
      <w:spacing w:after="0"/>
      <w:ind w:left="720"/>
      <w:jc w:val="both"/>
    </w:pPr>
    <w:rPr>
      <w:kern w:val="2"/>
      <w:sz w:val="21"/>
      <w:lang w:val="en-US" w:eastAsia="zh-CN"/>
    </w:rPr>
  </w:style>
  <w:style w:type="paragraph" w:styleId="NoteHeading">
    <w:name w:val="Note Heading"/>
    <w:basedOn w:val="Normal"/>
    <w:next w:val="Normal"/>
    <w:link w:val="NoteHeadingChar"/>
    <w:rsid w:val="00104FAC"/>
    <w:pPr>
      <w:widowControl w:val="0"/>
      <w:spacing w:after="0"/>
      <w:jc w:val="both"/>
    </w:pPr>
    <w:rPr>
      <w:kern w:val="2"/>
      <w:sz w:val="21"/>
      <w:lang w:val="en-US" w:eastAsia="zh-CN"/>
    </w:rPr>
  </w:style>
  <w:style w:type="character" w:customStyle="1" w:styleId="NoteHeadingChar">
    <w:name w:val="Note Heading Char"/>
    <w:link w:val="NoteHeading"/>
    <w:rsid w:val="00104FAC"/>
    <w:rPr>
      <w:rFonts w:ascii="Times New Roman" w:hAnsi="Times New Roman"/>
      <w:kern w:val="2"/>
      <w:sz w:val="21"/>
      <w:szCs w:val="24"/>
    </w:rPr>
  </w:style>
  <w:style w:type="character" w:styleId="PageNumber">
    <w:name w:val="page number"/>
    <w:rsid w:val="00104FAC"/>
    <w:rPr>
      <w:rFonts w:ascii="Arial" w:hAnsi="Arial"/>
      <w:color w:val="333333"/>
      <w:sz w:val="18"/>
    </w:rPr>
  </w:style>
  <w:style w:type="paragraph" w:styleId="PlainText">
    <w:name w:val="Plain Text"/>
    <w:basedOn w:val="Normal"/>
    <w:link w:val="PlainTextChar"/>
    <w:rsid w:val="00104FAC"/>
    <w:pPr>
      <w:widowControl w:val="0"/>
      <w:spacing w:after="0"/>
      <w:jc w:val="both"/>
    </w:pPr>
    <w:rPr>
      <w:rFonts w:ascii="Courier New" w:hAnsi="Courier New" w:cs="Courier New"/>
      <w:kern w:val="2"/>
      <w:sz w:val="21"/>
      <w:lang w:val="en-US" w:eastAsia="zh-CN"/>
    </w:rPr>
  </w:style>
  <w:style w:type="character" w:customStyle="1" w:styleId="PlainTextChar">
    <w:name w:val="Plain Text Char"/>
    <w:link w:val="PlainText"/>
    <w:rsid w:val="00104FAC"/>
    <w:rPr>
      <w:rFonts w:ascii="Courier New" w:hAnsi="Courier New" w:cs="Courier New"/>
      <w:kern w:val="2"/>
      <w:sz w:val="21"/>
      <w:szCs w:val="24"/>
    </w:rPr>
  </w:style>
  <w:style w:type="paragraph" w:styleId="Salutation">
    <w:name w:val="Salutation"/>
    <w:basedOn w:val="Normal"/>
    <w:next w:val="Normal"/>
    <w:link w:val="SalutationChar"/>
    <w:rsid w:val="00104FAC"/>
    <w:pPr>
      <w:widowControl w:val="0"/>
      <w:spacing w:after="0"/>
      <w:jc w:val="both"/>
    </w:pPr>
    <w:rPr>
      <w:kern w:val="2"/>
      <w:sz w:val="21"/>
      <w:lang w:val="en-US" w:eastAsia="zh-CN"/>
    </w:rPr>
  </w:style>
  <w:style w:type="character" w:customStyle="1" w:styleId="SalutationChar">
    <w:name w:val="Salutation Char"/>
    <w:link w:val="Salutation"/>
    <w:rsid w:val="00104FAC"/>
    <w:rPr>
      <w:rFonts w:ascii="Times New Roman" w:hAnsi="Times New Roman"/>
      <w:kern w:val="2"/>
      <w:sz w:val="21"/>
      <w:szCs w:val="24"/>
    </w:rPr>
  </w:style>
  <w:style w:type="paragraph" w:styleId="Signature">
    <w:name w:val="Signature"/>
    <w:basedOn w:val="Normal"/>
    <w:link w:val="SignatureChar"/>
    <w:rsid w:val="00104FAC"/>
    <w:pPr>
      <w:widowControl w:val="0"/>
      <w:spacing w:after="0"/>
      <w:ind w:left="4252"/>
      <w:jc w:val="both"/>
    </w:pPr>
    <w:rPr>
      <w:kern w:val="2"/>
      <w:sz w:val="21"/>
      <w:lang w:val="en-US" w:eastAsia="zh-CN"/>
    </w:rPr>
  </w:style>
  <w:style w:type="character" w:customStyle="1" w:styleId="SignatureChar">
    <w:name w:val="Signature Char"/>
    <w:link w:val="Signature"/>
    <w:rsid w:val="00104FAC"/>
    <w:rPr>
      <w:rFonts w:ascii="Times New Roman" w:hAnsi="Times New Roman"/>
      <w:kern w:val="2"/>
      <w:sz w:val="21"/>
      <w:szCs w:val="24"/>
    </w:rPr>
  </w:style>
  <w:style w:type="character" w:styleId="Strong">
    <w:name w:val="Strong"/>
    <w:qFormat/>
    <w:locked/>
    <w:rsid w:val="00104FAC"/>
    <w:rPr>
      <w:rFonts w:ascii="Arial" w:hAnsi="Arial"/>
      <w:b/>
      <w:sz w:val="20"/>
    </w:rPr>
  </w:style>
  <w:style w:type="paragraph" w:customStyle="1" w:styleId="12">
    <w:name w:val="明显引用1"/>
    <w:basedOn w:val="Normal"/>
    <w:next w:val="Normal"/>
    <w:link w:val="IntenseQuoteChar"/>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
    <w:name w:val="Intense Quote Char"/>
    <w:link w:val="12"/>
    <w:locked/>
    <w:rsid w:val="00104FAC"/>
    <w:rPr>
      <w:rFonts w:ascii="Times New Roman" w:hAnsi="Times New Roman"/>
      <w:b/>
      <w:bCs/>
      <w:i/>
      <w:iCs/>
      <w:color w:val="4F81BD"/>
      <w:kern w:val="2"/>
      <w:sz w:val="21"/>
      <w:szCs w:val="24"/>
    </w:rPr>
  </w:style>
  <w:style w:type="paragraph" w:customStyle="1" w:styleId="Table">
    <w:name w:val="Table"/>
    <w:basedOn w:val="Normal"/>
    <w:rsid w:val="00104FAC"/>
    <w:pPr>
      <w:widowControl w:val="0"/>
      <w:spacing w:before="120" w:after="120" w:line="240" w:lineRule="atLeast"/>
      <w:jc w:val="both"/>
    </w:pPr>
    <w:rPr>
      <w:kern w:val="2"/>
      <w:sz w:val="21"/>
      <w:lang w:val="en-US" w:eastAsia="zh-CN"/>
    </w:rPr>
  </w:style>
  <w:style w:type="table" w:styleId="Table3Deffects1">
    <w:name w:val="Table 3D effects 1"/>
    <w:basedOn w:val="TableNormal"/>
    <w:rsid w:val="00104FAC"/>
    <w:rPr>
      <w:rFonts w:ascii="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04FAC"/>
    <w:rPr>
      <w:rFonts w:ascii="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104FAC"/>
    <w:rPr>
      <w:rFonts w:ascii="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104FAC"/>
    <w:rPr>
      <w:rFonts w:ascii="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104FAC"/>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104FAC"/>
    <w:rPr>
      <w:rFonts w:ascii="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104FAC"/>
    <w:rPr>
      <w:rFonts w:ascii="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04FAC"/>
    <w:rPr>
      <w:rFonts w:ascii="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04FAC"/>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04FAC"/>
    <w:rPr>
      <w:rFonts w:ascii="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104FAC"/>
    <w:rPr>
      <w:rFonts w:ascii="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104FAC"/>
    <w:rPr>
      <w:rFonts w:ascii="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104FAC"/>
    <w:rPr>
      <w:rFonts w:ascii="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104FAC"/>
    <w:rPr>
      <w:rFonts w:ascii="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104FAC"/>
    <w:rPr>
      <w:rFonts w:ascii="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04FAC"/>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104FAC"/>
    <w:rPr>
      <w:rFonts w:ascii="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104FAC"/>
    <w:rPr>
      <w:rFonts w:ascii="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104FAC"/>
    <w:rPr>
      <w:rFonts w:ascii="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104FAC"/>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104FAC"/>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104FAC"/>
    <w:rPr>
      <w:rFonts w:ascii="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104FAC"/>
    <w:rPr>
      <w:rFonts w:ascii="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104FAC"/>
    <w:rPr>
      <w:rFonts w:ascii="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104FAC"/>
    <w:rPr>
      <w:rFonts w:ascii="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104FAC"/>
    <w:rPr>
      <w:rFonts w:ascii="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104FAC"/>
    <w:pPr>
      <w:widowControl w:val="0"/>
      <w:spacing w:after="0"/>
      <w:ind w:left="200" w:hanging="200"/>
      <w:jc w:val="both"/>
    </w:pPr>
    <w:rPr>
      <w:kern w:val="2"/>
      <w:sz w:val="21"/>
      <w:lang w:val="en-US" w:eastAsia="zh-CN"/>
    </w:rPr>
  </w:style>
  <w:style w:type="paragraph" w:styleId="TableofFigures">
    <w:name w:val="table of figures"/>
    <w:basedOn w:val="Normal"/>
    <w:next w:val="Normal"/>
    <w:rsid w:val="00104FAC"/>
    <w:pPr>
      <w:widowControl w:val="0"/>
      <w:spacing w:after="0"/>
      <w:ind w:left="400" w:hanging="400"/>
      <w:jc w:val="both"/>
    </w:pPr>
    <w:rPr>
      <w:kern w:val="2"/>
      <w:sz w:val="21"/>
      <w:lang w:val="en-US" w:eastAsia="zh-CN"/>
    </w:rPr>
  </w:style>
  <w:style w:type="table" w:styleId="TableProfessional">
    <w:name w:val="Table Professional"/>
    <w:basedOn w:val="TableNormal"/>
    <w:rsid w:val="00104FA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04FAC"/>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04FAC"/>
    <w:rPr>
      <w:rFonts w:ascii="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04FAC"/>
    <w:rPr>
      <w:rFonts w:ascii="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04FAC"/>
    <w:rPr>
      <w:rFonts w:ascii="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104FAC"/>
    <w:rPr>
      <w:rFonts w:ascii="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104FA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04FAC"/>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104FAC"/>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104FAC"/>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104FAC"/>
    <w:pPr>
      <w:widowControl w:val="0"/>
      <w:spacing w:before="240" w:after="60"/>
      <w:jc w:val="center"/>
      <w:outlineLvl w:val="0"/>
    </w:pPr>
    <w:rPr>
      <w:rFonts w:cs="Arial"/>
      <w:b/>
      <w:bCs/>
      <w:kern w:val="28"/>
      <w:sz w:val="32"/>
      <w:szCs w:val="32"/>
      <w:lang w:val="en-US" w:eastAsia="zh-CN"/>
    </w:rPr>
  </w:style>
  <w:style w:type="character" w:customStyle="1" w:styleId="TitleChar">
    <w:name w:val="Title Char"/>
    <w:link w:val="Title"/>
    <w:rsid w:val="00104FAC"/>
    <w:rPr>
      <w:rFonts w:ascii="Times New Roman" w:hAnsi="Times New Roman" w:cs="Arial"/>
      <w:b/>
      <w:bCs/>
      <w:kern w:val="28"/>
      <w:sz w:val="32"/>
      <w:szCs w:val="32"/>
    </w:rPr>
  </w:style>
  <w:style w:type="paragraph" w:styleId="TOAHeading">
    <w:name w:val="toa heading"/>
    <w:basedOn w:val="Normal"/>
    <w:next w:val="Normal"/>
    <w:rsid w:val="00104FAC"/>
    <w:pPr>
      <w:widowControl w:val="0"/>
      <w:spacing w:before="120" w:after="0"/>
      <w:jc w:val="both"/>
    </w:pPr>
    <w:rPr>
      <w:rFonts w:cs="Arial"/>
      <w:b/>
      <w:bCs/>
      <w:kern w:val="2"/>
      <w:lang w:val="en-US" w:eastAsia="zh-CN"/>
    </w:rPr>
  </w:style>
  <w:style w:type="paragraph" w:styleId="TOC10">
    <w:name w:val="toc 1"/>
    <w:basedOn w:val="KWNormal"/>
    <w:next w:val="KWNormal"/>
    <w:locked/>
    <w:rsid w:val="00104FAC"/>
    <w:pPr>
      <w:tabs>
        <w:tab w:val="left" w:pos="1701"/>
        <w:tab w:val="right" w:pos="7655"/>
      </w:tabs>
      <w:spacing w:after="240"/>
      <w:ind w:left="1701" w:right="1985" w:hanging="567"/>
      <w:jc w:val="left"/>
    </w:pPr>
  </w:style>
  <w:style w:type="paragraph" w:styleId="TOC2">
    <w:name w:val="toc 2"/>
    <w:basedOn w:val="TOC10"/>
    <w:locked/>
    <w:rsid w:val="00104FAC"/>
    <w:pPr>
      <w:ind w:left="2268"/>
    </w:pPr>
    <w:rPr>
      <w:noProof/>
    </w:rPr>
  </w:style>
  <w:style w:type="paragraph" w:styleId="TOC3">
    <w:name w:val="toc 3"/>
    <w:basedOn w:val="TOC2"/>
    <w:locked/>
    <w:rsid w:val="00104FAC"/>
    <w:pPr>
      <w:ind w:left="2835"/>
    </w:pPr>
  </w:style>
  <w:style w:type="paragraph" w:styleId="TOC4">
    <w:name w:val="toc 4"/>
    <w:basedOn w:val="TOC3"/>
    <w:locked/>
    <w:rsid w:val="00104FAC"/>
    <w:pPr>
      <w:ind w:left="3402"/>
    </w:pPr>
  </w:style>
  <w:style w:type="paragraph" w:styleId="TOC5">
    <w:name w:val="toc 5"/>
    <w:basedOn w:val="TOC4"/>
    <w:locked/>
    <w:rsid w:val="00104FAC"/>
    <w:pPr>
      <w:ind w:left="3969"/>
    </w:pPr>
  </w:style>
  <w:style w:type="paragraph" w:styleId="TOC6">
    <w:name w:val="toc 6"/>
    <w:basedOn w:val="Normal"/>
    <w:locked/>
    <w:rsid w:val="00104FAC"/>
    <w:pPr>
      <w:widowControl w:val="0"/>
      <w:spacing w:after="0"/>
      <w:jc w:val="both"/>
    </w:pPr>
    <w:rPr>
      <w:kern w:val="2"/>
      <w:sz w:val="21"/>
      <w:lang w:val="en-US" w:eastAsia="zh-CN"/>
    </w:rPr>
  </w:style>
  <w:style w:type="paragraph" w:styleId="TOC7">
    <w:name w:val="toc 7"/>
    <w:basedOn w:val="Normal"/>
    <w:locked/>
    <w:rsid w:val="00104FAC"/>
    <w:pPr>
      <w:widowControl w:val="0"/>
      <w:spacing w:after="0"/>
      <w:jc w:val="both"/>
    </w:pPr>
    <w:rPr>
      <w:kern w:val="2"/>
      <w:sz w:val="21"/>
      <w:lang w:val="en-US" w:eastAsia="zh-CN"/>
    </w:rPr>
  </w:style>
  <w:style w:type="paragraph" w:styleId="TOC8">
    <w:name w:val="toc 8"/>
    <w:basedOn w:val="Normal"/>
    <w:locked/>
    <w:rsid w:val="00104FAC"/>
    <w:pPr>
      <w:widowControl w:val="0"/>
      <w:spacing w:after="0"/>
      <w:jc w:val="both"/>
    </w:pPr>
    <w:rPr>
      <w:kern w:val="2"/>
      <w:sz w:val="21"/>
      <w:lang w:val="en-US" w:eastAsia="zh-CN"/>
    </w:rPr>
  </w:style>
  <w:style w:type="paragraph" w:styleId="TOC9">
    <w:name w:val="toc 9"/>
    <w:basedOn w:val="Normal"/>
    <w:locked/>
    <w:rsid w:val="00104FAC"/>
    <w:pPr>
      <w:widowControl w:val="0"/>
      <w:spacing w:after="0"/>
      <w:jc w:val="both"/>
    </w:pPr>
    <w:rPr>
      <w:kern w:val="2"/>
      <w:sz w:val="21"/>
      <w:lang w:val="en-US" w:eastAsia="zh-CN"/>
    </w:rPr>
  </w:style>
  <w:style w:type="paragraph" w:customStyle="1" w:styleId="13">
    <w:name w:val="书目1"/>
    <w:basedOn w:val="Normal"/>
    <w:next w:val="Normal"/>
    <w:semiHidden/>
    <w:rsid w:val="00104FAC"/>
    <w:pPr>
      <w:widowControl w:val="0"/>
      <w:spacing w:after="0"/>
      <w:jc w:val="both"/>
    </w:pPr>
    <w:rPr>
      <w:kern w:val="2"/>
      <w:sz w:val="21"/>
      <w:lang w:val="en-US" w:eastAsia="zh-CN"/>
    </w:rPr>
  </w:style>
  <w:style w:type="paragraph" w:customStyle="1" w:styleId="14">
    <w:name w:val="无间隔1"/>
    <w:rsid w:val="00104FAC"/>
    <w:pPr>
      <w:widowControl w:val="0"/>
      <w:jc w:val="both"/>
    </w:pPr>
    <w:rPr>
      <w:rFonts w:ascii="Times New Roman" w:hAnsi="Times New Roman"/>
      <w:kern w:val="2"/>
      <w:sz w:val="21"/>
      <w:szCs w:val="24"/>
      <w:lang w:val="en-US" w:eastAsia="zh-CN"/>
    </w:rPr>
  </w:style>
  <w:style w:type="paragraph" w:customStyle="1" w:styleId="15">
    <w:name w:val="引用1"/>
    <w:basedOn w:val="Normal"/>
    <w:next w:val="Normal"/>
    <w:link w:val="QuoteChar"/>
    <w:rsid w:val="00104FAC"/>
    <w:pPr>
      <w:widowControl w:val="0"/>
      <w:spacing w:after="0"/>
      <w:jc w:val="both"/>
    </w:pPr>
    <w:rPr>
      <w:i/>
      <w:iCs/>
      <w:color w:val="000000"/>
      <w:kern w:val="2"/>
      <w:sz w:val="21"/>
      <w:lang w:val="en-US" w:eastAsia="zh-CN"/>
    </w:rPr>
  </w:style>
  <w:style w:type="character" w:customStyle="1" w:styleId="QuoteChar">
    <w:name w:val="Quote Char"/>
    <w:link w:val="15"/>
    <w:locked/>
    <w:rsid w:val="00104FAC"/>
    <w:rPr>
      <w:rFonts w:ascii="Times New Roman" w:hAnsi="Times New Roman"/>
      <w:i/>
      <w:iCs/>
      <w:color w:val="000000"/>
      <w:kern w:val="2"/>
      <w:sz w:val="21"/>
      <w:szCs w:val="24"/>
    </w:rPr>
  </w:style>
  <w:style w:type="paragraph" w:customStyle="1" w:styleId="a">
    <w:name w:val="ÕýÎÄ"/>
    <w:rsid w:val="00104FAC"/>
    <w:pPr>
      <w:widowControl w:val="0"/>
      <w:autoSpaceDE w:val="0"/>
      <w:autoSpaceDN w:val="0"/>
      <w:adjustRightInd w:val="0"/>
    </w:pPr>
    <w:rPr>
      <w:rFonts w:ascii="CG Times" w:hAnsi="CG Times"/>
      <w:sz w:val="18"/>
      <w:szCs w:val="18"/>
      <w:lang w:val="en-US" w:eastAsia="zh-CN"/>
    </w:rPr>
  </w:style>
  <w:style w:type="numbering" w:styleId="111111">
    <w:name w:val="Outline List 2"/>
    <w:basedOn w:val="NoList"/>
    <w:rsid w:val="00104FAC"/>
    <w:pPr>
      <w:numPr>
        <w:numId w:val="13"/>
      </w:numPr>
    </w:pPr>
  </w:style>
  <w:style w:type="numbering" w:customStyle="1" w:styleId="1ai1">
    <w:name w:val="1 / a / i1"/>
    <w:rsid w:val="00104FAC"/>
    <w:pPr>
      <w:numPr>
        <w:numId w:val="10"/>
      </w:numPr>
    </w:pPr>
  </w:style>
  <w:style w:type="numbering" w:customStyle="1" w:styleId="ArticleSection1">
    <w:name w:val="Article / Section1"/>
    <w:rsid w:val="00104FAC"/>
    <w:pPr>
      <w:numPr>
        <w:numId w:val="2"/>
      </w:numPr>
    </w:pPr>
  </w:style>
  <w:style w:type="paragraph" w:styleId="TOCHeading">
    <w:name w:val="TOC Heading"/>
    <w:basedOn w:val="Heading1"/>
    <w:next w:val="Normal"/>
    <w:uiPriority w:val="39"/>
    <w:qFormat/>
    <w:rsid w:val="00104FAC"/>
    <w:pPr>
      <w:keepNext w:val="0"/>
      <w:widowControl w:val="0"/>
      <w:spacing w:before="340" w:after="330" w:line="578" w:lineRule="auto"/>
      <w:jc w:val="both"/>
      <w:outlineLvl w:val="9"/>
    </w:pPr>
    <w:rPr>
      <w:rFonts w:ascii="Times New Roman" w:hAnsi="Times New Roman"/>
      <w:color w:val="auto"/>
      <w:kern w:val="44"/>
      <w:sz w:val="44"/>
      <w:szCs w:val="44"/>
      <w:lang w:val="en-US" w:eastAsia="zh-CN"/>
    </w:rPr>
  </w:style>
  <w:style w:type="paragraph" w:styleId="IntenseQuote">
    <w:name w:val="Intense Quote"/>
    <w:basedOn w:val="Normal"/>
    <w:next w:val="Normal"/>
    <w:link w:val="IntenseQuoteChar1"/>
    <w:uiPriority w:val="30"/>
    <w:qFormat/>
    <w:rsid w:val="00104FAC"/>
    <w:pPr>
      <w:widowControl w:val="0"/>
      <w:pBdr>
        <w:bottom w:val="single" w:sz="4" w:space="4" w:color="4F81BD"/>
      </w:pBdr>
      <w:spacing w:before="200" w:after="280"/>
      <w:ind w:left="936" w:right="936"/>
      <w:jc w:val="both"/>
    </w:pPr>
    <w:rPr>
      <w:b/>
      <w:bCs/>
      <w:i/>
      <w:iCs/>
      <w:color w:val="4F81BD"/>
      <w:kern w:val="2"/>
      <w:sz w:val="21"/>
      <w:lang w:val="en-US" w:eastAsia="zh-CN"/>
    </w:rPr>
  </w:style>
  <w:style w:type="character" w:customStyle="1" w:styleId="IntenseQuoteChar1">
    <w:name w:val="Intense Quote Char1"/>
    <w:link w:val="IntenseQuote"/>
    <w:uiPriority w:val="30"/>
    <w:rsid w:val="00104FAC"/>
    <w:rPr>
      <w:rFonts w:ascii="Times New Roman" w:hAnsi="Times New Roman"/>
      <w:b/>
      <w:bCs/>
      <w:i/>
      <w:iCs/>
      <w:color w:val="4F81BD"/>
      <w:kern w:val="2"/>
      <w:sz w:val="21"/>
      <w:szCs w:val="24"/>
    </w:rPr>
  </w:style>
  <w:style w:type="paragraph" w:styleId="Bibliography">
    <w:name w:val="Bibliography"/>
    <w:basedOn w:val="Normal"/>
    <w:next w:val="Normal"/>
    <w:uiPriority w:val="37"/>
    <w:semiHidden/>
    <w:unhideWhenUsed/>
    <w:rsid w:val="00104FAC"/>
    <w:pPr>
      <w:widowControl w:val="0"/>
      <w:spacing w:after="0"/>
      <w:jc w:val="both"/>
    </w:pPr>
    <w:rPr>
      <w:kern w:val="2"/>
      <w:sz w:val="21"/>
      <w:lang w:val="en-US" w:eastAsia="zh-CN"/>
    </w:rPr>
  </w:style>
  <w:style w:type="paragraph" w:styleId="Quote">
    <w:name w:val="Quote"/>
    <w:basedOn w:val="Normal"/>
    <w:next w:val="Normal"/>
    <w:link w:val="QuoteChar1"/>
    <w:uiPriority w:val="29"/>
    <w:qFormat/>
    <w:rsid w:val="00104FAC"/>
    <w:pPr>
      <w:widowControl w:val="0"/>
      <w:spacing w:after="0"/>
      <w:jc w:val="both"/>
    </w:pPr>
    <w:rPr>
      <w:i/>
      <w:iCs/>
      <w:color w:val="000000"/>
      <w:kern w:val="2"/>
      <w:sz w:val="21"/>
      <w:lang w:val="en-US" w:eastAsia="zh-CN"/>
    </w:rPr>
  </w:style>
  <w:style w:type="character" w:customStyle="1" w:styleId="QuoteChar1">
    <w:name w:val="Quote Char1"/>
    <w:link w:val="Quote"/>
    <w:uiPriority w:val="29"/>
    <w:rsid w:val="00104FAC"/>
    <w:rPr>
      <w:rFonts w:ascii="Times New Roman" w:hAnsi="Times New Roman"/>
      <w:i/>
      <w:iCs/>
      <w:color w:val="000000"/>
      <w:kern w:val="2"/>
      <w:sz w:val="21"/>
      <w:szCs w:val="24"/>
    </w:rPr>
  </w:style>
  <w:style w:type="paragraph" w:customStyle="1" w:styleId="FootnoteTex">
    <w:name w:val="Footnote Tex"/>
    <w:uiPriority w:val="99"/>
    <w:rsid w:val="00104FAC"/>
    <w:pPr>
      <w:widowControl w:val="0"/>
      <w:autoSpaceDE w:val="0"/>
      <w:autoSpaceDN w:val="0"/>
      <w:adjustRightInd w:val="0"/>
    </w:pPr>
    <w:rPr>
      <w:rFonts w:ascii="Times New Roman" w:eastAsia="Batang"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mmentReference">
    <w:name w:val="111111"/>
    <w:pPr>
      <w:numPr>
        <w:numId w:val="13"/>
      </w:numPr>
    </w:pPr>
  </w:style>
  <w:style w:type="numbering" w:customStyle="1" w:styleId="CommentText">
    <w:name w:val="1ai1"/>
    <w:pPr>
      <w:numPr>
        <w:numId w:val="10"/>
      </w:numPr>
    </w:pPr>
  </w:style>
  <w:style w:type="numbering" w:customStyle="1" w:styleId="CommentTextChar">
    <w:name w:val="ArticleSection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2BC10648B5964789CACC1FECFA3B90" ma:contentTypeVersion="1" ma:contentTypeDescription="Create a new document." ma:contentTypeScope="" ma:versionID="560f32ffd17b97d5068826f6d7afc3d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FEBB23-67F8-47C0-A023-4F43EA7BABA5}"/>
</file>

<file path=customXml/itemProps2.xml><?xml version="1.0" encoding="utf-8"?>
<ds:datastoreItem xmlns:ds="http://schemas.openxmlformats.org/officeDocument/2006/customXml" ds:itemID="{EB686942-0FB0-4508-857D-38BDE3696731}"/>
</file>

<file path=customXml/itemProps3.xml><?xml version="1.0" encoding="utf-8"?>
<ds:datastoreItem xmlns:ds="http://schemas.openxmlformats.org/officeDocument/2006/customXml" ds:itemID="{6BC6F268-9C52-477A-9FB4-3E32C4AE1FC0}"/>
</file>

<file path=customXml/itemProps4.xml><?xml version="1.0" encoding="utf-8"?>
<ds:datastoreItem xmlns:ds="http://schemas.openxmlformats.org/officeDocument/2006/customXml" ds:itemID="{2DC617DB-737C-4334-9AC8-A18D8D6B0456}"/>
</file>

<file path=docProps/app.xml><?xml version="1.0" encoding="utf-8"?>
<Properties xmlns="http://schemas.openxmlformats.org/officeDocument/2006/extended-properties" xmlns:vt="http://schemas.openxmlformats.org/officeDocument/2006/docPropsVTypes">
  <Template>CE83196D</Template>
  <TotalTime>0</TotalTime>
  <Pages>11</Pages>
  <Words>2921</Words>
  <Characters>15207</Characters>
  <Application>Microsoft Office Word</Application>
  <DocSecurity>0</DocSecurity>
  <Lines>503</Lines>
  <Paragraphs>226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2015-06-11T06:51:00Z</dcterms:created>
  <dcterms:modified xsi:type="dcterms:W3CDTF">2015-06-11T06:51:00Z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0x010100FB2BC10648B5964789CACC1FECFA3B90</vt:lpwstr>
  </property>
  <property fmtid="{D5CDD505-2E9C-101B-9397-08002B2CF9AE}" pid="3" name="Order">
    <vt:r8>3500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