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76827" w14:textId="77777777" w:rsidR="00AD6C85" w:rsidRPr="00CE52D0" w:rsidRDefault="0038596B" w:rsidP="00CE52D0">
      <w:pPr>
        <w:jc w:val="center"/>
        <w:rPr>
          <w:b/>
          <w:bCs/>
          <w:sz w:val="26"/>
          <w:szCs w:val="26"/>
          <w:lang w:val="en-AU"/>
        </w:rPr>
      </w:pPr>
      <w:r w:rsidRPr="00CE52D0">
        <w:rPr>
          <w:b/>
          <w:bCs/>
          <w:sz w:val="26"/>
          <w:szCs w:val="26"/>
          <w:lang w:val="en-AU"/>
        </w:rPr>
        <w:t>Mid-</w:t>
      </w:r>
      <w:r w:rsidR="00CE52D0" w:rsidRPr="00CE52D0">
        <w:rPr>
          <w:b/>
          <w:bCs/>
          <w:sz w:val="26"/>
          <w:szCs w:val="26"/>
          <w:lang w:val="en-AU"/>
        </w:rPr>
        <w:t>Term Review of the Cambodia Australia Agricultural Value Chain Program, Phase II</w:t>
      </w:r>
    </w:p>
    <w:p w14:paraId="60B37B21" w14:textId="77777777" w:rsidR="00CE52D0" w:rsidRPr="00CE52D0" w:rsidRDefault="00CE52D0" w:rsidP="00CE52D0">
      <w:pPr>
        <w:jc w:val="center"/>
        <w:rPr>
          <w:b/>
          <w:bCs/>
          <w:sz w:val="26"/>
          <w:szCs w:val="26"/>
          <w:lang w:val="en-AU"/>
        </w:rPr>
      </w:pPr>
      <w:r w:rsidRPr="00CE52D0">
        <w:rPr>
          <w:b/>
          <w:bCs/>
          <w:sz w:val="26"/>
          <w:szCs w:val="26"/>
          <w:lang w:val="en-AU"/>
        </w:rPr>
        <w:t>Management response, December 2020</w:t>
      </w:r>
    </w:p>
    <w:p w14:paraId="60878E75" w14:textId="77777777" w:rsidR="0038596B" w:rsidRDefault="0038596B" w:rsidP="00957A75">
      <w:pPr>
        <w:rPr>
          <w:lang w:val="en-AU"/>
        </w:rPr>
      </w:pPr>
      <w:r>
        <w:rPr>
          <w:lang w:val="en-AU"/>
        </w:rPr>
        <w:t xml:space="preserve">Australia’s Cambodia-Australia Agricultural Value Chain Program, Phase II (CAVAC II) </w:t>
      </w:r>
      <w:r w:rsidR="00117425">
        <w:rPr>
          <w:lang w:val="en-AU"/>
        </w:rPr>
        <w:t>is bolstering</w:t>
      </w:r>
      <w:r>
        <w:rPr>
          <w:lang w:val="en-AU"/>
        </w:rPr>
        <w:t xml:space="preserve"> Cambodia’s agriculture sector to support inclusive growth and poverty reduction in Cambodia. With a focus on improving the quality of irrigation infrastructure, it is </w:t>
      </w:r>
      <w:r w:rsidR="00CE52D0">
        <w:rPr>
          <w:lang w:val="en-AU"/>
        </w:rPr>
        <w:t>contributing to increased resilience in Cambodia.</w:t>
      </w:r>
      <w:r w:rsidR="00E95C6B">
        <w:rPr>
          <w:lang w:val="en-AU"/>
        </w:rPr>
        <w:t xml:space="preserve"> The program commenced in 2016 and is due for completion at the end of 2021. </w:t>
      </w:r>
    </w:p>
    <w:p w14:paraId="4B7106CE" w14:textId="77777777" w:rsidR="00CE52D0" w:rsidRDefault="00E95C6B" w:rsidP="00957A75">
      <w:pPr>
        <w:rPr>
          <w:lang w:val="en-AU"/>
        </w:rPr>
      </w:pPr>
      <w:r>
        <w:rPr>
          <w:lang w:val="en-AU"/>
        </w:rPr>
        <w:t>The Department of Foreign Affairs and Trade (DFAT)</w:t>
      </w:r>
      <w:r w:rsidR="0097692C">
        <w:rPr>
          <w:lang w:val="en-AU"/>
        </w:rPr>
        <w:t xml:space="preserve"> welcomes the findings and recommendations</w:t>
      </w:r>
      <w:r w:rsidR="0038596B">
        <w:rPr>
          <w:lang w:val="en-AU"/>
        </w:rPr>
        <w:t xml:space="preserve"> o</w:t>
      </w:r>
      <w:r w:rsidR="00CE52D0">
        <w:rPr>
          <w:lang w:val="en-AU"/>
        </w:rPr>
        <w:t xml:space="preserve">f the CAVAC II Mid-Term Review and </w:t>
      </w:r>
      <w:r w:rsidR="0038596B">
        <w:rPr>
          <w:lang w:val="en-AU"/>
        </w:rPr>
        <w:t xml:space="preserve">notes the </w:t>
      </w:r>
      <w:r w:rsidR="007676C3">
        <w:rPr>
          <w:lang w:val="en-AU"/>
        </w:rPr>
        <w:t>review’s findings that the program remains highly relevant to the Cambodian Government’s development agenda, as well as the Australian Government’s objectives in Australian and the Indo-Pacific region more broadly.</w:t>
      </w:r>
      <w:r w:rsidR="00CE52D0">
        <w:rPr>
          <w:lang w:val="en-AU"/>
        </w:rPr>
        <w:t xml:space="preserve"> The Review also noted that CAVAC II has been widely acknowledged as making a “critically important contribution to shifting perspectives… regarding the role to be played by the agricultural private sector in growing the rural economy”, and that t</w:t>
      </w:r>
      <w:r w:rsidR="00CA5F47">
        <w:rPr>
          <w:lang w:val="en-AU"/>
        </w:rPr>
        <w:t>he innovative work in the irrigation sector</w:t>
      </w:r>
      <w:r w:rsidR="00117425">
        <w:rPr>
          <w:lang w:val="en-AU"/>
        </w:rPr>
        <w:t xml:space="preserve"> - </w:t>
      </w:r>
      <w:r w:rsidR="00CA5F47">
        <w:rPr>
          <w:lang w:val="en-AU"/>
        </w:rPr>
        <w:t>develop</w:t>
      </w:r>
      <w:r w:rsidR="00117425">
        <w:rPr>
          <w:lang w:val="en-AU"/>
        </w:rPr>
        <w:t>ing</w:t>
      </w:r>
      <w:r w:rsidR="00CA5F47">
        <w:rPr>
          <w:lang w:val="en-AU"/>
        </w:rPr>
        <w:t xml:space="preserve"> a “proof of concept” for effective and sustainable irrigation </w:t>
      </w:r>
      <w:r w:rsidR="00117425">
        <w:rPr>
          <w:lang w:val="en-AU"/>
        </w:rPr>
        <w:t xml:space="preserve">- </w:t>
      </w:r>
      <w:r w:rsidR="00CA5F47">
        <w:rPr>
          <w:lang w:val="en-AU"/>
        </w:rPr>
        <w:t>has</w:t>
      </w:r>
      <w:r w:rsidR="00CE52D0">
        <w:rPr>
          <w:lang w:val="en-AU"/>
        </w:rPr>
        <w:t xml:space="preserve"> the “potential to be a long term legacy with influence and impact within and beyond Cambodia”. </w:t>
      </w:r>
    </w:p>
    <w:p w14:paraId="4A1EE0AE" w14:textId="34F25F4D" w:rsidR="00CE52D0" w:rsidRDefault="00CE52D0" w:rsidP="00957A75">
      <w:pPr>
        <w:rPr>
          <w:lang w:val="en-AU"/>
        </w:rPr>
      </w:pPr>
      <w:r>
        <w:rPr>
          <w:lang w:val="en-AU"/>
        </w:rPr>
        <w:t>The Review provides useful rec</w:t>
      </w:r>
      <w:r w:rsidR="00CA5F47">
        <w:rPr>
          <w:lang w:val="en-AU"/>
        </w:rPr>
        <w:t xml:space="preserve">ommendations about how CAVAC II can continue its transition from a program primarily focused on delivering </w:t>
      </w:r>
      <w:r w:rsidR="0029109C">
        <w:rPr>
          <w:lang w:val="en-AU"/>
        </w:rPr>
        <w:t xml:space="preserve">discrete support </w:t>
      </w:r>
      <w:r w:rsidR="00CA5F47">
        <w:rPr>
          <w:lang w:val="en-AU"/>
        </w:rPr>
        <w:t>direct</w:t>
      </w:r>
      <w:r w:rsidR="0029109C">
        <w:rPr>
          <w:lang w:val="en-AU"/>
        </w:rPr>
        <w:t>ly</w:t>
      </w:r>
      <w:r w:rsidR="00CA5F47">
        <w:rPr>
          <w:lang w:val="en-AU"/>
        </w:rPr>
        <w:t xml:space="preserve">, to one that is more concerned with </w:t>
      </w:r>
      <w:r w:rsidR="0029109C">
        <w:rPr>
          <w:lang w:val="en-AU"/>
        </w:rPr>
        <w:t xml:space="preserve">large-scale impact and </w:t>
      </w:r>
      <w:r w:rsidR="00CA5F47">
        <w:rPr>
          <w:lang w:val="en-AU"/>
        </w:rPr>
        <w:t xml:space="preserve">influencing the transformation of the agricultural sector broadly. </w:t>
      </w:r>
    </w:p>
    <w:p w14:paraId="1D9E56DE" w14:textId="77777777" w:rsidR="00E95C6B" w:rsidRDefault="00CA5F47" w:rsidP="00957A75">
      <w:pPr>
        <w:rPr>
          <w:lang w:val="en-AU"/>
        </w:rPr>
      </w:pPr>
      <w:r>
        <w:rPr>
          <w:lang w:val="en-AU"/>
        </w:rPr>
        <w:t>DFAT also agrees with the review</w:t>
      </w:r>
      <w:r w:rsidR="0029109C">
        <w:rPr>
          <w:lang w:val="en-AU"/>
        </w:rPr>
        <w:t>’</w:t>
      </w:r>
      <w:r>
        <w:rPr>
          <w:lang w:val="en-AU"/>
        </w:rPr>
        <w:t xml:space="preserve">s findings that CAVAC II needs to take a more proactive approach </w:t>
      </w:r>
      <w:r w:rsidR="00E95C6B">
        <w:rPr>
          <w:lang w:val="en-AU"/>
        </w:rPr>
        <w:t>to tackling gender inequality and promoting women’s econom</w:t>
      </w:r>
      <w:r w:rsidR="00117425">
        <w:rPr>
          <w:lang w:val="en-AU"/>
        </w:rPr>
        <w:t xml:space="preserve">ic </w:t>
      </w:r>
      <w:proofErr w:type="gramStart"/>
      <w:r w:rsidR="00117425">
        <w:rPr>
          <w:lang w:val="en-AU"/>
        </w:rPr>
        <w:t>empowerment, and</w:t>
      </w:r>
      <w:proofErr w:type="gramEnd"/>
      <w:r w:rsidR="00117425">
        <w:rPr>
          <w:lang w:val="en-AU"/>
        </w:rPr>
        <w:t xml:space="preserve"> is carefully monitoring implementation of the relevant recommendation. </w:t>
      </w:r>
      <w:r w:rsidR="00E95C6B">
        <w:rPr>
          <w:lang w:val="en-AU"/>
        </w:rPr>
        <w:t xml:space="preserve"> </w:t>
      </w:r>
    </w:p>
    <w:p w14:paraId="5E774C74" w14:textId="77777777" w:rsidR="00E95C6B" w:rsidRDefault="00E95C6B" w:rsidP="00957A75">
      <w:pPr>
        <w:rPr>
          <w:lang w:val="en-AU"/>
        </w:rPr>
      </w:pPr>
      <w:r>
        <w:rPr>
          <w:lang w:val="en-AU"/>
        </w:rPr>
        <w:t xml:space="preserve">Of the six recommendations, DFAT fully agrees with five of the recommendations, and </w:t>
      </w:r>
      <w:r w:rsidR="00A41BA2">
        <w:rPr>
          <w:lang w:val="en-AU"/>
        </w:rPr>
        <w:t>partially</w:t>
      </w:r>
      <w:r>
        <w:rPr>
          <w:lang w:val="en-AU"/>
        </w:rPr>
        <w:t xml:space="preserve"> agrees with the remaining recommendation. DFAT and CAVAC have already made considerable progress in implementing the recommendations, </w:t>
      </w:r>
      <w:r w:rsidR="009656F2">
        <w:rPr>
          <w:lang w:val="en-AU"/>
        </w:rPr>
        <w:t xml:space="preserve">including during the COVID-19 pandemic, </w:t>
      </w:r>
      <w:r>
        <w:rPr>
          <w:lang w:val="en-AU"/>
        </w:rPr>
        <w:t xml:space="preserve">and these efforts will continue. The details of the individual recommendations and DFAT’s responses are set out below. </w:t>
      </w:r>
    </w:p>
    <w:p w14:paraId="21BCD4C3" w14:textId="77777777" w:rsidR="00E95C6B" w:rsidRDefault="00E95C6B" w:rsidP="00957A75">
      <w:pPr>
        <w:rPr>
          <w:lang w:val="en-AU"/>
        </w:rPr>
      </w:pPr>
    </w:p>
    <w:p w14:paraId="643AEF6A" w14:textId="77777777" w:rsidR="0097692C" w:rsidRDefault="0097692C" w:rsidP="00957A75">
      <w:pPr>
        <w:rPr>
          <w:lang w:val="en-AU"/>
        </w:rPr>
      </w:pPr>
    </w:p>
    <w:p w14:paraId="43FFA6A6" w14:textId="77777777" w:rsidR="00E95C6B" w:rsidRDefault="00E95C6B" w:rsidP="00957A75">
      <w:pPr>
        <w:rPr>
          <w:lang w:val="en-AU"/>
        </w:rPr>
      </w:pPr>
    </w:p>
    <w:p w14:paraId="41A912C9" w14:textId="77777777" w:rsidR="00E95C6B" w:rsidRDefault="00E95C6B" w:rsidP="00957A75">
      <w:pPr>
        <w:rPr>
          <w:lang w:val="en-AU"/>
        </w:rPr>
      </w:pPr>
    </w:p>
    <w:p w14:paraId="0E4272C1" w14:textId="77777777" w:rsidR="00E95C6B" w:rsidRPr="000B2E3F" w:rsidRDefault="00E95C6B" w:rsidP="00957A75">
      <w:pPr>
        <w:rPr>
          <w:b/>
          <w:bCs/>
          <w:lang w:val="en-AU"/>
        </w:rPr>
      </w:pPr>
    </w:p>
    <w:p w14:paraId="2638FF67" w14:textId="77777777" w:rsidR="004622C6" w:rsidRPr="00195F63" w:rsidRDefault="004622C6" w:rsidP="004622C6">
      <w:pPr>
        <w:rPr>
          <w:lang w:val="en-AU"/>
        </w:rPr>
      </w:pPr>
    </w:p>
    <w:tbl>
      <w:tblPr>
        <w:tblStyle w:val="DFATTable1"/>
        <w:tblW w:w="14601" w:type="dxa"/>
        <w:tblLook w:val="04A0" w:firstRow="1" w:lastRow="0" w:firstColumn="1" w:lastColumn="0" w:noHBand="0" w:noVBand="1"/>
        <w:tblCaption w:val="Individual management response to the recommendations."/>
        <w:tblDescription w:val="Recommendation: Recommendation 1 [repeat evaluation recommendation in full. 'Landscape' orientation could be used for this table.]&#10;Response: [Note: select one option from the column below, delete others]: To insert: Agree/ Agree in part/ Disagree.&#10;Explanation: To insert. [If Agreeing in part: clearly specifiy which aspect of the recommendation you partly agree with].&#10;Action plan: to insert.&#10;Timeframe: If practical, please specify timeframe here."/>
      </w:tblPr>
      <w:tblGrid>
        <w:gridCol w:w="4499"/>
        <w:gridCol w:w="1171"/>
        <w:gridCol w:w="8931"/>
      </w:tblGrid>
      <w:tr w:rsidR="0096052B" w:rsidRPr="00C56BE2" w14:paraId="76CC7848" w14:textId="77777777" w:rsidTr="00960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AAC91D" w14:textId="77777777" w:rsidR="0096052B" w:rsidRPr="0096052B" w:rsidRDefault="0096052B" w:rsidP="00260D9C">
            <w:pPr>
              <w:pStyle w:val="TableHeaderRow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AU"/>
              </w:rPr>
            </w:pPr>
            <w:r w:rsidRPr="0096052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AU"/>
              </w:rPr>
              <w:lastRenderedPageBreak/>
              <w:t>Recommendation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24E4D" w14:textId="77777777" w:rsidR="0096052B" w:rsidRPr="0096052B" w:rsidRDefault="0096052B" w:rsidP="00260D9C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AU"/>
              </w:rPr>
            </w:pPr>
            <w:r w:rsidRPr="0096052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AU"/>
              </w:rPr>
              <w:t xml:space="preserve">Response </w:t>
            </w:r>
            <w:r w:rsidRPr="0096052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AU"/>
              </w:rPr>
              <w:br/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B159BC" w14:textId="51F3D5E6" w:rsidR="0096052B" w:rsidRPr="0096052B" w:rsidRDefault="0096052B" w:rsidP="001C2205">
            <w:pPr>
              <w:pStyle w:val="TableHeaderRow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AU"/>
              </w:rPr>
            </w:pPr>
            <w:r w:rsidRPr="0096052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AU"/>
              </w:rPr>
              <w:t>Comments</w:t>
            </w:r>
          </w:p>
        </w:tc>
      </w:tr>
      <w:tr w:rsidR="00190783" w:rsidRPr="00C56BE2" w14:paraId="146377B4" w14:textId="77777777" w:rsidTr="00960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9" w:type="dxa"/>
            <w:tcBorders>
              <w:top w:val="nil"/>
            </w:tcBorders>
          </w:tcPr>
          <w:p w14:paraId="1D2F4D15" w14:textId="77777777" w:rsidR="00190783" w:rsidRPr="00C56BE2" w:rsidRDefault="00190783" w:rsidP="003E73CB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3E73C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Revise CAVAC’s program logic to better reflect the Program Narrative and its enhanced focus on supporting policy reform.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92D050"/>
          </w:tcPr>
          <w:p w14:paraId="3AACD9E6" w14:textId="77777777" w:rsidR="00190783" w:rsidRPr="0096052B" w:rsidRDefault="00190783" w:rsidP="00EC480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en-AU"/>
              </w:rPr>
            </w:pPr>
            <w:r w:rsidRPr="0096052B">
              <w:rPr>
                <w:rFonts w:asciiTheme="minorHAnsi" w:hAnsiTheme="minorHAnsi" w:cstheme="minorHAnsi"/>
                <w:color w:val="auto"/>
                <w:sz w:val="24"/>
                <w:szCs w:val="24"/>
                <w:lang w:val="en-AU"/>
              </w:rPr>
              <w:t xml:space="preserve">Agreed </w:t>
            </w:r>
          </w:p>
        </w:tc>
        <w:tc>
          <w:tcPr>
            <w:tcW w:w="8931" w:type="dxa"/>
            <w:tcBorders>
              <w:top w:val="nil"/>
            </w:tcBorders>
          </w:tcPr>
          <w:p w14:paraId="14301A09" w14:textId="77777777" w:rsidR="00190783" w:rsidRPr="00F46D88" w:rsidRDefault="00190783" w:rsidP="003C789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DFAT supports this recommendation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 w:rsidR="00445F1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which has now been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implemented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CAVAC’s </w:t>
            </w:r>
            <w:r w:rsidR="00C2245E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new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Strategic Framework (approved in February 2020) </w:t>
            </w:r>
            <w:r w:rsidR="00445F1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includes a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revised program logic </w:t>
            </w:r>
            <w:r w:rsidR="00445F1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which reflects the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directions and principles</w:t>
            </w:r>
            <w:r w:rsidR="003C789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outlined </w:t>
            </w:r>
            <w:r w:rsidR="00445F1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in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the Program Narrative. This Strategic Framework </w:t>
            </w:r>
            <w:r w:rsidR="00445F1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is</w:t>
            </w:r>
            <w:r w:rsidR="003C789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guid</w:t>
            </w:r>
            <w:r w:rsidR="00445F1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ing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 w:rsidR="00C2245E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the program’s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implementation in its final two years and </w:t>
            </w:r>
            <w:r w:rsidR="00C2245E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establishes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redefined </w:t>
            </w:r>
            <w:r w:rsidR="005A12E3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objectives </w:t>
            </w:r>
            <w:r w:rsidR="00C2245E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to leverage existing capabilities and relationships </w:t>
            </w:r>
            <w:r w:rsidR="00396A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with the Cambodian Government, development partners and private sector </w:t>
            </w:r>
            <w:r w:rsidR="00C2245E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as entry points to support </w:t>
            </w:r>
            <w:r w:rsidR="00396A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policy reform. </w:t>
            </w:r>
          </w:p>
        </w:tc>
      </w:tr>
      <w:tr w:rsidR="00396A9A" w:rsidRPr="00C56BE2" w14:paraId="7DDE8CF1" w14:textId="77777777" w:rsidTr="00960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9" w:type="dxa"/>
            <w:shd w:val="clear" w:color="auto" w:fill="BDD6EE" w:themeFill="accent1" w:themeFillTint="66"/>
          </w:tcPr>
          <w:p w14:paraId="46F40337" w14:textId="77777777" w:rsidR="00396A9A" w:rsidRPr="00C56BE2" w:rsidRDefault="00396A9A" w:rsidP="003E73CB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3E73C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Review the documents which make up the </w:t>
            </w:r>
            <w:r w:rsidR="0097692C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Monitoring and Evaluation (M&amp;E)</w:t>
            </w:r>
            <w:r w:rsidRPr="003E73C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Framework to ensure they align with and will collect the data required to report on progress towards the revised end-of-program outcomes.</w:t>
            </w:r>
          </w:p>
        </w:tc>
        <w:tc>
          <w:tcPr>
            <w:tcW w:w="1171" w:type="dxa"/>
            <w:shd w:val="clear" w:color="auto" w:fill="92D050"/>
          </w:tcPr>
          <w:p w14:paraId="1A2C321E" w14:textId="77777777" w:rsidR="00396A9A" w:rsidRPr="0096052B" w:rsidRDefault="00396A9A" w:rsidP="00627A5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en-AU"/>
              </w:rPr>
            </w:pPr>
            <w:r w:rsidRPr="0096052B">
              <w:rPr>
                <w:rFonts w:asciiTheme="minorHAnsi" w:hAnsiTheme="minorHAnsi" w:cstheme="minorHAnsi"/>
                <w:color w:val="auto"/>
                <w:sz w:val="24"/>
                <w:szCs w:val="24"/>
                <w:lang w:val="en-AU"/>
              </w:rPr>
              <w:t>Agreed</w:t>
            </w:r>
          </w:p>
        </w:tc>
        <w:tc>
          <w:tcPr>
            <w:tcW w:w="8931" w:type="dxa"/>
          </w:tcPr>
          <w:p w14:paraId="2C8B7A46" w14:textId="77777777" w:rsidR="00396A9A" w:rsidRPr="00C56BE2" w:rsidRDefault="005B605C" w:rsidP="00030B0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DFAT supports this recommendation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</w:t>
            </w:r>
            <w:r w:rsidR="003C789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its 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implementation is underway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CAVAC </w:t>
            </w:r>
            <w:r w:rsidR="0081498D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is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updating its M&amp;E framework to </w:t>
            </w:r>
            <w:r w:rsidR="00F8391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be consistent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with the revised objectives</w:t>
            </w:r>
            <w:r w:rsidR="00EA2E14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. Following the placement of an M&amp;E Adviser and M&amp;E Manager within the program,</w:t>
            </w:r>
            <w:r w:rsidR="00A6760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 w:rsidR="00EA2E14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impact measurement </w:t>
            </w:r>
            <w:r w:rsidR="003F032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methodologies have been st</w:t>
            </w:r>
            <w:r w:rsidR="00EA2E14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rengthen</w:t>
            </w:r>
            <w:r w:rsidR="003F032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ed</w:t>
            </w:r>
            <w:r w:rsidR="003A7B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expanded</w:t>
            </w:r>
            <w:r w:rsidR="00EA2E14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to better </w:t>
            </w:r>
            <w:r w:rsidR="003F032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capture and </w:t>
            </w:r>
            <w:r w:rsidR="003C789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disseminate</w:t>
            </w:r>
            <w:r w:rsidR="003F032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the revised end-of-program outcomes</w:t>
            </w:r>
            <w:r w:rsidR="003A7B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, </w:t>
            </w:r>
            <w:r w:rsidR="00E72C5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such as</w:t>
            </w:r>
            <w:r w:rsidR="00530AD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 w:rsidR="00030B0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targets to reflect</w:t>
            </w:r>
            <w:r w:rsidR="00A85E35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the </w:t>
            </w:r>
            <w:r w:rsidR="00030B0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support for</w:t>
            </w:r>
            <w:r w:rsidR="00710208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improving women’s</w:t>
            </w:r>
            <w:r w:rsidR="00030B0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access to finance</w:t>
            </w:r>
            <w:r w:rsidR="003F032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The revised M&amp;E framewo</w:t>
            </w:r>
            <w:r w:rsidR="008B59B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rk is </w:t>
            </w:r>
            <w:r w:rsidR="003C789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expected</w:t>
            </w:r>
            <w:r w:rsidR="008B59B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to be finalised </w:t>
            </w:r>
            <w:r w:rsidR="0097692C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by the end of 2020</w:t>
            </w:r>
            <w:r w:rsidR="008B59B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</w:t>
            </w:r>
            <w:r w:rsidR="00F8391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F83912" w:rsidRPr="00C56BE2" w14:paraId="72D9418C" w14:textId="77777777" w:rsidTr="0046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9" w:type="dxa"/>
          </w:tcPr>
          <w:p w14:paraId="5DD1FE9F" w14:textId="77777777" w:rsidR="00F83912" w:rsidRPr="003E73CB" w:rsidRDefault="00F83912" w:rsidP="0081498D">
            <w:pPr>
              <w:pStyle w:val="ListParagraph"/>
              <w:numPr>
                <w:ilvl w:val="0"/>
                <w:numId w:val="23"/>
              </w:numPr>
              <w:tabs>
                <w:tab w:val="left" w:pos="2410"/>
              </w:tabs>
              <w:spacing w:line="259" w:lineRule="auto"/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</w:pPr>
            <w:r w:rsidRPr="003E73CB"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  <w:t xml:space="preserve">Refresh CAVAC’s </w:t>
            </w:r>
            <w:r w:rsidR="0081498D" w:rsidRPr="0081498D"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  <w:t xml:space="preserve">Women’s Economic Empowerment (WEE) </w:t>
            </w:r>
            <w:r w:rsidRPr="003E73CB"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  <w:t>Strategy to better align with DFAT’s expectations in relation to gender equity and women’s empowerment.</w:t>
            </w:r>
          </w:p>
        </w:tc>
        <w:tc>
          <w:tcPr>
            <w:tcW w:w="1171" w:type="dxa"/>
            <w:shd w:val="clear" w:color="auto" w:fill="92D050"/>
          </w:tcPr>
          <w:p w14:paraId="5C220A61" w14:textId="77777777" w:rsidR="00F83912" w:rsidRPr="0096052B" w:rsidRDefault="00F83912" w:rsidP="00627A5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en-AU"/>
              </w:rPr>
            </w:pPr>
            <w:r w:rsidRPr="0096052B">
              <w:rPr>
                <w:rFonts w:asciiTheme="minorHAnsi" w:hAnsiTheme="minorHAnsi" w:cstheme="minorHAnsi"/>
                <w:color w:val="auto"/>
                <w:sz w:val="24"/>
                <w:szCs w:val="24"/>
                <w:lang w:val="en-AU"/>
              </w:rPr>
              <w:t>Agreed</w:t>
            </w:r>
          </w:p>
        </w:tc>
        <w:tc>
          <w:tcPr>
            <w:tcW w:w="8931" w:type="dxa"/>
          </w:tcPr>
          <w:p w14:paraId="20F5054E" w14:textId="761B005E" w:rsidR="00F83912" w:rsidRPr="00C56BE2" w:rsidRDefault="00A67606" w:rsidP="00B73F9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DFAT supports this recommendation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</w:t>
            </w:r>
            <w:r w:rsidR="0097692C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implementation is underway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</w:t>
            </w:r>
            <w:r w:rsidRPr="00A6760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CAVAC </w:t>
            </w:r>
            <w:r w:rsidR="00B73F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has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refreshed its conceptual framework</w:t>
            </w:r>
            <w:r w:rsidR="00F95ED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for addressing gender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</w:t>
            </w:r>
            <w:r w:rsidRPr="00A6760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appointed an international gender specialist to work with the national 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WEE specialist</w:t>
            </w:r>
            <w:r w:rsidRPr="00A6760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to 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better align </w:t>
            </w:r>
            <w:r w:rsidRPr="00A6760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the program’s gender performance </w:t>
            </w:r>
            <w:r w:rsidR="0000739F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with DFAT’s expectations </w:t>
            </w:r>
            <w:r w:rsidRPr="00A6760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and expand its focus from women’s economic empowerment to gender equality</w:t>
            </w:r>
            <w:r w:rsidR="009656F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more broadly</w:t>
            </w:r>
            <w:r w:rsidRPr="00A6760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CAVAC</w:t>
            </w:r>
            <w:r w:rsidR="00B73F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has </w:t>
            </w:r>
            <w:r w:rsidR="008568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worked over the last 12 months to assess evidence on the differential impacts of its program, reaching robust findings about the specific and extensive benefits for women as a result of CAVAC interventions. </w:t>
            </w:r>
            <w:r w:rsidR="009656F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CAVAC and other stakeholders are drawing on t</w:t>
            </w:r>
            <w:r w:rsidR="008568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hese studies </w:t>
            </w:r>
            <w:r w:rsidR="002A479E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to inform </w:t>
            </w:r>
            <w:r w:rsidR="000907A3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approaches to gender mainstreaming</w:t>
            </w:r>
            <w:r w:rsidR="008568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, including </w:t>
            </w:r>
            <w:r w:rsidR="00A10CA3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training activities with selected FWUCs to improve women’s representation and participation in leadership roles. </w:t>
            </w:r>
          </w:p>
        </w:tc>
      </w:tr>
      <w:tr w:rsidR="00B12975" w:rsidRPr="00C56BE2" w14:paraId="30B7213E" w14:textId="77777777" w:rsidTr="00960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9" w:type="dxa"/>
            <w:shd w:val="clear" w:color="auto" w:fill="BDD6EE" w:themeFill="accent1" w:themeFillTint="66"/>
          </w:tcPr>
          <w:p w14:paraId="13B48B41" w14:textId="77777777" w:rsidR="00B12975" w:rsidRPr="00C56BE2" w:rsidRDefault="00B12975" w:rsidP="003E73CB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bookmarkStart w:id="0" w:name="_Hlk40188935"/>
            <w:r w:rsidRPr="003E73C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lastRenderedPageBreak/>
              <w:t>A series of comprehensive influencing strategies should be developed which clearly articulate key reform areas of interest to CAVAC, stakeholders needing to be targeted for change to be actualised, the manner/medium through which CAVAC expects to influence them, and expected outcomes.</w:t>
            </w:r>
          </w:p>
        </w:tc>
        <w:tc>
          <w:tcPr>
            <w:tcW w:w="1171" w:type="dxa"/>
            <w:shd w:val="clear" w:color="auto" w:fill="92D050"/>
          </w:tcPr>
          <w:p w14:paraId="104EE59A" w14:textId="77777777" w:rsidR="00B12975" w:rsidRPr="0096052B" w:rsidRDefault="00B12975" w:rsidP="00260D9C">
            <w:pPr>
              <w:pStyle w:val="Heading3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052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Agreed</w:t>
            </w:r>
          </w:p>
        </w:tc>
        <w:tc>
          <w:tcPr>
            <w:tcW w:w="8931" w:type="dxa"/>
          </w:tcPr>
          <w:p w14:paraId="3DCB0622" w14:textId="274CC19A" w:rsidR="00434002" w:rsidRPr="00C56BE2" w:rsidRDefault="00434002" w:rsidP="00C6185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43400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DFAT supports this recommendation and 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it </w:t>
            </w:r>
            <w:r w:rsidRPr="0043400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has been implemented.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CAVAC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 w:rsidR="008B59B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adopted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</w:t>
            </w:r>
            <w:r w:rsidR="00967F1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comprehensive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policy engagement strategy 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(approved in September 2019) that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leverages its knowledge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capabilities to </w:t>
            </w:r>
            <w:r w:rsidR="00967F1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address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 w:rsidR="00C6185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priority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policy issues and broaden stakeholder engagement. This involves </w:t>
            </w:r>
            <w:r w:rsidR="00967F1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providing</w:t>
            </w:r>
            <w:r w:rsidR="000564C7" w:rsidRP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technical and advisory services to the Cambodia Gover</w:t>
            </w:r>
            <w:r w:rsidR="008B59BB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nment and development partners 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to raise</w:t>
            </w:r>
            <w:r w:rsidR="000564C7" w:rsidRP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the standard of irrigation infrastructure</w:t>
            </w:r>
            <w:r w:rsid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ensure </w:t>
            </w:r>
            <w:r w:rsidR="000564C7" w:rsidRP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stronger returns on investment</w:t>
            </w:r>
            <w:r w:rsidR="008568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to the sector as a whole</w:t>
            </w:r>
            <w:r w:rsidR="000564C7" w:rsidRPr="000564C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.</w:t>
            </w:r>
            <w:r w:rsidR="00B73F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To </w:t>
            </w:r>
            <w:r w:rsidR="00001AC5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build awareness of the importance and availability of </w:t>
            </w:r>
            <w:r w:rsidR="00365264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these services</w:t>
            </w:r>
            <w:r w:rsidR="00B73F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, CAVAC is </w:t>
            </w:r>
            <w:r w:rsidR="00365264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taking a leading role in</w:t>
            </w:r>
            <w:r w:rsidR="00B73F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existing </w:t>
            </w:r>
            <w:r w:rsidR="00365264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dialogue </w:t>
            </w:r>
            <w:r w:rsidR="00B73F9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channels and seeking new cooperation opportunities</w:t>
            </w:r>
            <w:r w:rsidR="008568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, working closely with DFAT</w:t>
            </w:r>
            <w:r w:rsidR="00967F10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</w:t>
            </w:r>
          </w:p>
        </w:tc>
      </w:tr>
      <w:tr w:rsidR="00B73F9A" w:rsidRPr="00C56BE2" w14:paraId="2737F4BD" w14:textId="77777777" w:rsidTr="0008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9" w:type="dxa"/>
          </w:tcPr>
          <w:p w14:paraId="7C8307A9" w14:textId="77777777" w:rsidR="00B73F9A" w:rsidRPr="003E73CB" w:rsidRDefault="00B73F9A" w:rsidP="003E73CB">
            <w:pPr>
              <w:pStyle w:val="ListParagraph"/>
              <w:numPr>
                <w:ilvl w:val="0"/>
                <w:numId w:val="23"/>
              </w:numPr>
              <w:tabs>
                <w:tab w:val="left" w:pos="2410"/>
              </w:tabs>
              <w:spacing w:after="160"/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</w:pPr>
            <w:r w:rsidRPr="003E73CB"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  <w:t>Progress already achieved in relation to strengthened private-public sector cooperation should be consolidated and further promoted through targeted, high quality data gathering and dissemination that demonstrates a causal pathway between quality of extension services, increased market share and improved outcomes for agricultural value chain participants.</w:t>
            </w:r>
          </w:p>
        </w:tc>
        <w:tc>
          <w:tcPr>
            <w:tcW w:w="1171" w:type="dxa"/>
            <w:shd w:val="clear" w:color="auto" w:fill="92D050"/>
          </w:tcPr>
          <w:p w14:paraId="49C9CAD1" w14:textId="77777777" w:rsidR="00B73F9A" w:rsidRPr="0096052B" w:rsidRDefault="00A41BA2" w:rsidP="00260D9C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052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Partially agreed</w:t>
            </w:r>
          </w:p>
        </w:tc>
        <w:tc>
          <w:tcPr>
            <w:tcW w:w="8931" w:type="dxa"/>
          </w:tcPr>
          <w:p w14:paraId="5D768778" w14:textId="2C04C80F" w:rsidR="00B73F9A" w:rsidRPr="00C56BE2" w:rsidRDefault="00633DDC" w:rsidP="0011742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DFAT </w:t>
            </w:r>
            <w:r w:rsidR="00A41BA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part</w:t>
            </w:r>
            <w:r w:rsidR="00C6185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ial</w:t>
            </w:r>
            <w:r w:rsidR="00A41BA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ly </w:t>
            </w:r>
            <w:r w:rsidR="00117425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supports this recommendation and implementation of relevant aspects are underway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</w:t>
            </w:r>
            <w:r w:rsidR="00117425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Pursuant to</w:t>
            </w:r>
            <w:r w:rsidR="00A41BA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CAVAC’s revised Strategic Framework, strengthened private-public sector cooperation continues to be a priority. However, the emphasis has shifted away from a focus on extension services to</w:t>
            </w:r>
            <w:r w:rsidR="00C6185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public-private cooperation in other aspects of agricultural development. </w:t>
            </w:r>
            <w:r w:rsidR="00117425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</w:t>
            </w:r>
            <w:r w:rsidR="00C6185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his includes public-private engagement to encourage greater private investment in crop diversification,</w:t>
            </w:r>
            <w:r w:rsidR="00546051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long-term sustainability in the management of irrigation systems</w:t>
            </w:r>
            <w:r w:rsidR="00C61852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to promote mechanisation and contract farming approaches.  </w:t>
            </w:r>
          </w:p>
        </w:tc>
      </w:tr>
      <w:tr w:rsidR="00114BD2" w:rsidRPr="00C56BE2" w14:paraId="139B1391" w14:textId="77777777" w:rsidTr="00960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9" w:type="dxa"/>
            <w:shd w:val="clear" w:color="auto" w:fill="BDD6EE" w:themeFill="accent1" w:themeFillTint="66"/>
          </w:tcPr>
          <w:p w14:paraId="28B4D0F3" w14:textId="77777777" w:rsidR="00114BD2" w:rsidRPr="003E73CB" w:rsidRDefault="00114BD2" w:rsidP="003E73CB">
            <w:pPr>
              <w:pStyle w:val="ListParagraph"/>
              <w:numPr>
                <w:ilvl w:val="0"/>
                <w:numId w:val="23"/>
              </w:numPr>
              <w:tabs>
                <w:tab w:val="left" w:pos="2410"/>
              </w:tabs>
              <w:spacing w:after="160"/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</w:pPr>
            <w:r w:rsidRPr="003E73CB"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eastAsia="en-US" w:bidi="ar-SA"/>
              </w:rPr>
              <w:t>DFAT and CAVAC should work collaboratively to develop an approach for ensuring and building on the legacy of irrigation schemes during the final post-CAVAC II.</w:t>
            </w:r>
          </w:p>
        </w:tc>
        <w:tc>
          <w:tcPr>
            <w:tcW w:w="1171" w:type="dxa"/>
            <w:shd w:val="clear" w:color="auto" w:fill="92D050"/>
          </w:tcPr>
          <w:p w14:paraId="3BC0CF65" w14:textId="77777777" w:rsidR="00114BD2" w:rsidRPr="0096052B" w:rsidRDefault="00114BD2" w:rsidP="00260D9C">
            <w:pPr>
              <w:pStyle w:val="Heading3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052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Agreed</w:t>
            </w:r>
          </w:p>
        </w:tc>
        <w:tc>
          <w:tcPr>
            <w:tcW w:w="8931" w:type="dxa"/>
          </w:tcPr>
          <w:p w14:paraId="6EE13CB7" w14:textId="77777777" w:rsidR="007918FD" w:rsidRDefault="00103025" w:rsidP="004837F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DFAT supports this recommendation and its implementation </w:t>
            </w:r>
            <w:r w:rsidR="00216A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is underway.</w:t>
            </w:r>
            <w:r w:rsidR="007918FD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CAVAC is engaging in a number of initiatives to ensure the legacy of the approach embedded in CAVAC irrigation schemes. This includes awareness raising activities such as the Cambodian Prime Minister visiting a CAVAC scheme with the Australian Ambassador and endorsing its approach. CAVAC has also been working with a range of development partners such as the ADB and RGC to embed key scheme elements in non-CAVAC </w:t>
            </w:r>
            <w:r w:rsidR="007918FD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lastRenderedPageBreak/>
              <w:t>schemes</w:t>
            </w:r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. And CAVAC is embedding its accumulated expertise into scheme development and management manuals as a resource for the Cambodia Government and other partners. </w:t>
            </w:r>
            <w:r w:rsidR="007918FD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CAVAC is also piloting public private partnership models through a collaboration with the ADB and RGC to develop new sustainable operating models. </w:t>
            </w:r>
          </w:p>
          <w:p w14:paraId="51E32F51" w14:textId="77777777" w:rsidR="00114BD2" w:rsidRPr="00CE0A0F" w:rsidRDefault="00216AD6" w:rsidP="004837F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CAVAC</w:t>
            </w:r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has also developed a partnership with </w:t>
            </w:r>
            <w:proofErr w:type="spellStart"/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eWater</w:t>
            </w:r>
            <w:proofErr w:type="spellEnd"/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(an Australian Statutory Corporation</w:t>
            </w:r>
            <w:r w:rsidR="006D6389" w:rsidRPr="00216AD6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)</w:t>
            </w:r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to integrate broader water resource management into its engagement in Cambodia. Long-term,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DFAT</w:t>
            </w:r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and CAVAC are</w:t>
            </w:r>
            <w:r w:rsidR="007918FD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also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exploring the option of integrating CAVAC’s water capabilities with </w:t>
            </w:r>
            <w:proofErr w:type="spellStart"/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eWater</w:t>
            </w:r>
            <w:proofErr w:type="spellEnd"/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to establish a Centre of Excellence on Water and Agriculture in Cambodia. This would provide a vehicle for the continued </w:t>
            </w:r>
            <w:r w:rsidR="00CB44E8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practical </w:t>
            </w:r>
            <w:r w:rsidR="006D6389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dissemination of knowledge on</w:t>
            </w:r>
            <w:r w:rsidR="00CB44E8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effective irrigation and integr</w:t>
            </w:r>
            <w:r w:rsidR="00117425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ated water resource management, including to address issues of water insecurity. </w:t>
            </w:r>
          </w:p>
        </w:tc>
      </w:tr>
      <w:bookmarkEnd w:id="0"/>
    </w:tbl>
    <w:p w14:paraId="3F4A4CAF" w14:textId="77777777" w:rsidR="00AD6C85" w:rsidRPr="002D2C72" w:rsidRDefault="00AD6C85" w:rsidP="00AD6C85">
      <w:pPr>
        <w:pStyle w:val="BodyText"/>
        <w:rPr>
          <w:rFonts w:ascii="Franklin Gothic Book" w:hAnsi="Franklin Gothic Book"/>
          <w:color w:val="000000" w:themeColor="text1"/>
          <w:sz w:val="21"/>
          <w:lang w:val="en-AU"/>
        </w:rPr>
      </w:pPr>
    </w:p>
    <w:p w14:paraId="206CB975" w14:textId="77777777" w:rsidR="00EF4AA1" w:rsidRPr="002D2C72" w:rsidRDefault="00EF4AA1" w:rsidP="00AB4708">
      <w:pPr>
        <w:rPr>
          <w:lang w:val="en-AU"/>
        </w:rPr>
      </w:pPr>
    </w:p>
    <w:sectPr w:rsidR="00EF4AA1" w:rsidRPr="002D2C72" w:rsidSect="00BB36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D881" w14:textId="77777777" w:rsidR="005F00F8" w:rsidRDefault="005F00F8" w:rsidP="005F00F8">
      <w:pPr>
        <w:spacing w:before="0" w:after="0" w:line="240" w:lineRule="auto"/>
      </w:pPr>
      <w:r>
        <w:separator/>
      </w:r>
    </w:p>
  </w:endnote>
  <w:endnote w:type="continuationSeparator" w:id="0">
    <w:p w14:paraId="055A8E85" w14:textId="77777777" w:rsidR="005F00F8" w:rsidRDefault="005F00F8" w:rsidP="005F00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A0EC0" w14:textId="77777777" w:rsidR="005F00F8" w:rsidRDefault="005F00F8" w:rsidP="005F00F8">
      <w:pPr>
        <w:spacing w:before="0" w:after="0" w:line="240" w:lineRule="auto"/>
      </w:pPr>
      <w:r>
        <w:separator/>
      </w:r>
    </w:p>
  </w:footnote>
  <w:footnote w:type="continuationSeparator" w:id="0">
    <w:p w14:paraId="273D8927" w14:textId="77777777" w:rsidR="005F00F8" w:rsidRDefault="005F00F8" w:rsidP="005F00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ADF"/>
    <w:multiLevelType w:val="hybridMultilevel"/>
    <w:tmpl w:val="6BECC5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6011"/>
    <w:multiLevelType w:val="hybridMultilevel"/>
    <w:tmpl w:val="5EA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DAE"/>
    <w:multiLevelType w:val="hybridMultilevel"/>
    <w:tmpl w:val="A086E0DC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10E"/>
    <w:multiLevelType w:val="hybridMultilevel"/>
    <w:tmpl w:val="DD8E50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D28"/>
    <w:multiLevelType w:val="hybridMultilevel"/>
    <w:tmpl w:val="66CC2AC8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38C5"/>
    <w:multiLevelType w:val="hybridMultilevel"/>
    <w:tmpl w:val="5B8EB28E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2313"/>
    <w:multiLevelType w:val="hybridMultilevel"/>
    <w:tmpl w:val="5CF45E5C"/>
    <w:lvl w:ilvl="0" w:tplc="D826C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C6533"/>
    <w:multiLevelType w:val="hybridMultilevel"/>
    <w:tmpl w:val="9F9CCDEE"/>
    <w:lvl w:ilvl="0" w:tplc="0A2C939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F4F2DDE"/>
    <w:multiLevelType w:val="hybridMultilevel"/>
    <w:tmpl w:val="E318BF30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66BF6"/>
    <w:multiLevelType w:val="hybridMultilevel"/>
    <w:tmpl w:val="390844C4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7E37"/>
    <w:multiLevelType w:val="hybridMultilevel"/>
    <w:tmpl w:val="BD90BBF8"/>
    <w:lvl w:ilvl="0" w:tplc="7B12BFD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71B"/>
    <w:multiLevelType w:val="hybridMultilevel"/>
    <w:tmpl w:val="2DE2BB84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FC3"/>
    <w:multiLevelType w:val="hybridMultilevel"/>
    <w:tmpl w:val="8B129A3A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05CA6"/>
    <w:multiLevelType w:val="hybridMultilevel"/>
    <w:tmpl w:val="37B2357C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45C0"/>
    <w:multiLevelType w:val="hybridMultilevel"/>
    <w:tmpl w:val="9042D0EC"/>
    <w:lvl w:ilvl="0" w:tplc="2512AE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5B74EB"/>
    <w:multiLevelType w:val="hybridMultilevel"/>
    <w:tmpl w:val="54D4B74C"/>
    <w:lvl w:ilvl="0" w:tplc="AAFE4C9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025DE"/>
    <w:multiLevelType w:val="hybridMultilevel"/>
    <w:tmpl w:val="F4D41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77457"/>
    <w:multiLevelType w:val="hybridMultilevel"/>
    <w:tmpl w:val="6AACDB86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38A6"/>
    <w:multiLevelType w:val="hybridMultilevel"/>
    <w:tmpl w:val="F18E74C6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7A2F"/>
    <w:multiLevelType w:val="hybridMultilevel"/>
    <w:tmpl w:val="9CD894F8"/>
    <w:lvl w:ilvl="0" w:tplc="96A233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B781B"/>
    <w:multiLevelType w:val="hybridMultilevel"/>
    <w:tmpl w:val="0240CD5E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77C29"/>
    <w:multiLevelType w:val="hybridMultilevel"/>
    <w:tmpl w:val="D944A90C"/>
    <w:lvl w:ilvl="0" w:tplc="25766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06CAA"/>
    <w:multiLevelType w:val="hybridMultilevel"/>
    <w:tmpl w:val="4354792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12"/>
  </w:num>
  <w:num w:numId="9">
    <w:abstractNumId w:val="18"/>
  </w:num>
  <w:num w:numId="10">
    <w:abstractNumId w:val="20"/>
  </w:num>
  <w:num w:numId="11">
    <w:abstractNumId w:val="21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5"/>
  </w:num>
  <w:num w:numId="17">
    <w:abstractNumId w:val="13"/>
  </w:num>
  <w:num w:numId="18">
    <w:abstractNumId w:val="4"/>
  </w:num>
  <w:num w:numId="19">
    <w:abstractNumId w:val="7"/>
  </w:num>
  <w:num w:numId="20">
    <w:abstractNumId w:val="3"/>
  </w:num>
  <w:num w:numId="21">
    <w:abstractNumId w:val="15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85"/>
    <w:rsid w:val="00001AC5"/>
    <w:rsid w:val="00006282"/>
    <w:rsid w:val="0000739F"/>
    <w:rsid w:val="00017AD6"/>
    <w:rsid w:val="00030B00"/>
    <w:rsid w:val="00043E1A"/>
    <w:rsid w:val="000564C7"/>
    <w:rsid w:val="00057A30"/>
    <w:rsid w:val="00062386"/>
    <w:rsid w:val="00076C7C"/>
    <w:rsid w:val="00084B7D"/>
    <w:rsid w:val="000907A3"/>
    <w:rsid w:val="00090B62"/>
    <w:rsid w:val="000A23B9"/>
    <w:rsid w:val="000B1388"/>
    <w:rsid w:val="000B2E3F"/>
    <w:rsid w:val="000B6955"/>
    <w:rsid w:val="000C2EB2"/>
    <w:rsid w:val="000E2F90"/>
    <w:rsid w:val="000E40E3"/>
    <w:rsid w:val="000F39E3"/>
    <w:rsid w:val="00103025"/>
    <w:rsid w:val="00105DE6"/>
    <w:rsid w:val="001120F4"/>
    <w:rsid w:val="00114BD2"/>
    <w:rsid w:val="00117425"/>
    <w:rsid w:val="00124934"/>
    <w:rsid w:val="001402A5"/>
    <w:rsid w:val="00146860"/>
    <w:rsid w:val="00150F52"/>
    <w:rsid w:val="0017531E"/>
    <w:rsid w:val="001779B9"/>
    <w:rsid w:val="00190783"/>
    <w:rsid w:val="00195F63"/>
    <w:rsid w:val="001A5F25"/>
    <w:rsid w:val="001C2205"/>
    <w:rsid w:val="001D5F9F"/>
    <w:rsid w:val="001F1E2B"/>
    <w:rsid w:val="001F2612"/>
    <w:rsid w:val="00216AD6"/>
    <w:rsid w:val="0023514E"/>
    <w:rsid w:val="00237D42"/>
    <w:rsid w:val="00262BA2"/>
    <w:rsid w:val="00273171"/>
    <w:rsid w:val="00273719"/>
    <w:rsid w:val="0028617E"/>
    <w:rsid w:val="0029109C"/>
    <w:rsid w:val="00293C4D"/>
    <w:rsid w:val="002952FF"/>
    <w:rsid w:val="002A2AE0"/>
    <w:rsid w:val="002A479E"/>
    <w:rsid w:val="002C00F7"/>
    <w:rsid w:val="002D2C72"/>
    <w:rsid w:val="002E46EF"/>
    <w:rsid w:val="002E4936"/>
    <w:rsid w:val="00322146"/>
    <w:rsid w:val="00337599"/>
    <w:rsid w:val="00337CD6"/>
    <w:rsid w:val="00365264"/>
    <w:rsid w:val="003840A3"/>
    <w:rsid w:val="0038596B"/>
    <w:rsid w:val="003877E3"/>
    <w:rsid w:val="00390772"/>
    <w:rsid w:val="00396A9A"/>
    <w:rsid w:val="003A7BD6"/>
    <w:rsid w:val="003C3E81"/>
    <w:rsid w:val="003C456A"/>
    <w:rsid w:val="003C7886"/>
    <w:rsid w:val="003C7892"/>
    <w:rsid w:val="003D01BC"/>
    <w:rsid w:val="003D7CC4"/>
    <w:rsid w:val="003E73CB"/>
    <w:rsid w:val="003E7562"/>
    <w:rsid w:val="003F032B"/>
    <w:rsid w:val="004113E2"/>
    <w:rsid w:val="0041225F"/>
    <w:rsid w:val="004214BD"/>
    <w:rsid w:val="00434002"/>
    <w:rsid w:val="00437447"/>
    <w:rsid w:val="00443BE5"/>
    <w:rsid w:val="00445F1A"/>
    <w:rsid w:val="004523AD"/>
    <w:rsid w:val="004540F7"/>
    <w:rsid w:val="004622C6"/>
    <w:rsid w:val="00473778"/>
    <w:rsid w:val="004775C3"/>
    <w:rsid w:val="00482666"/>
    <w:rsid w:val="004837FB"/>
    <w:rsid w:val="004A1F31"/>
    <w:rsid w:val="004A6349"/>
    <w:rsid w:val="004C0079"/>
    <w:rsid w:val="004C323B"/>
    <w:rsid w:val="004E688E"/>
    <w:rsid w:val="004E7350"/>
    <w:rsid w:val="00520CEF"/>
    <w:rsid w:val="005223A0"/>
    <w:rsid w:val="00530AD0"/>
    <w:rsid w:val="00531D29"/>
    <w:rsid w:val="00532567"/>
    <w:rsid w:val="005360F8"/>
    <w:rsid w:val="00546051"/>
    <w:rsid w:val="0054667C"/>
    <w:rsid w:val="00561901"/>
    <w:rsid w:val="00570410"/>
    <w:rsid w:val="005704A8"/>
    <w:rsid w:val="00575745"/>
    <w:rsid w:val="0058687B"/>
    <w:rsid w:val="00592252"/>
    <w:rsid w:val="005A12E3"/>
    <w:rsid w:val="005A2BB3"/>
    <w:rsid w:val="005B605C"/>
    <w:rsid w:val="005C78C3"/>
    <w:rsid w:val="005E4AB1"/>
    <w:rsid w:val="005E76A1"/>
    <w:rsid w:val="005F00F8"/>
    <w:rsid w:val="005F2781"/>
    <w:rsid w:val="005F6879"/>
    <w:rsid w:val="005F69BE"/>
    <w:rsid w:val="00600D6F"/>
    <w:rsid w:val="00627A52"/>
    <w:rsid w:val="00633DDC"/>
    <w:rsid w:val="00635823"/>
    <w:rsid w:val="006543AF"/>
    <w:rsid w:val="006668F9"/>
    <w:rsid w:val="006860C6"/>
    <w:rsid w:val="00693915"/>
    <w:rsid w:val="006A0146"/>
    <w:rsid w:val="006A3000"/>
    <w:rsid w:val="006A36E4"/>
    <w:rsid w:val="006D6389"/>
    <w:rsid w:val="00706BEE"/>
    <w:rsid w:val="00710208"/>
    <w:rsid w:val="00717489"/>
    <w:rsid w:val="00721724"/>
    <w:rsid w:val="00731BB3"/>
    <w:rsid w:val="00740031"/>
    <w:rsid w:val="00742F67"/>
    <w:rsid w:val="007604E8"/>
    <w:rsid w:val="00765F3F"/>
    <w:rsid w:val="007676C3"/>
    <w:rsid w:val="007918FD"/>
    <w:rsid w:val="00793597"/>
    <w:rsid w:val="007A05D8"/>
    <w:rsid w:val="007A2581"/>
    <w:rsid w:val="007A4579"/>
    <w:rsid w:val="007D5947"/>
    <w:rsid w:val="007E68EA"/>
    <w:rsid w:val="00804EC9"/>
    <w:rsid w:val="0081498D"/>
    <w:rsid w:val="00817A75"/>
    <w:rsid w:val="008240FE"/>
    <w:rsid w:val="008309EB"/>
    <w:rsid w:val="0083463E"/>
    <w:rsid w:val="00843467"/>
    <w:rsid w:val="008568D6"/>
    <w:rsid w:val="0087080A"/>
    <w:rsid w:val="00872F21"/>
    <w:rsid w:val="00883F16"/>
    <w:rsid w:val="008842F0"/>
    <w:rsid w:val="008B0F2B"/>
    <w:rsid w:val="008B1CDF"/>
    <w:rsid w:val="008B2D6D"/>
    <w:rsid w:val="008B59BB"/>
    <w:rsid w:val="008B5DBC"/>
    <w:rsid w:val="008C0AA7"/>
    <w:rsid w:val="008D2941"/>
    <w:rsid w:val="008D4C48"/>
    <w:rsid w:val="008E1E98"/>
    <w:rsid w:val="008F3B00"/>
    <w:rsid w:val="009074DD"/>
    <w:rsid w:val="00922099"/>
    <w:rsid w:val="00931069"/>
    <w:rsid w:val="00957A75"/>
    <w:rsid w:val="0096052B"/>
    <w:rsid w:val="009656F2"/>
    <w:rsid w:val="00967F10"/>
    <w:rsid w:val="0097692C"/>
    <w:rsid w:val="00992EFB"/>
    <w:rsid w:val="00995346"/>
    <w:rsid w:val="009A6543"/>
    <w:rsid w:val="009C3DC0"/>
    <w:rsid w:val="009C3FDF"/>
    <w:rsid w:val="009E53DA"/>
    <w:rsid w:val="00A00878"/>
    <w:rsid w:val="00A10CA3"/>
    <w:rsid w:val="00A3276F"/>
    <w:rsid w:val="00A346FB"/>
    <w:rsid w:val="00A3588B"/>
    <w:rsid w:val="00A36A28"/>
    <w:rsid w:val="00A41BA2"/>
    <w:rsid w:val="00A606AC"/>
    <w:rsid w:val="00A67606"/>
    <w:rsid w:val="00A71387"/>
    <w:rsid w:val="00A77F6A"/>
    <w:rsid w:val="00A83ECD"/>
    <w:rsid w:val="00A85E35"/>
    <w:rsid w:val="00AA50F0"/>
    <w:rsid w:val="00AB4708"/>
    <w:rsid w:val="00AB67EB"/>
    <w:rsid w:val="00AD0714"/>
    <w:rsid w:val="00AD513F"/>
    <w:rsid w:val="00AD59C5"/>
    <w:rsid w:val="00AD6C85"/>
    <w:rsid w:val="00AE1269"/>
    <w:rsid w:val="00AE7F3E"/>
    <w:rsid w:val="00B012BF"/>
    <w:rsid w:val="00B05C05"/>
    <w:rsid w:val="00B0758B"/>
    <w:rsid w:val="00B12975"/>
    <w:rsid w:val="00B1460C"/>
    <w:rsid w:val="00B17794"/>
    <w:rsid w:val="00B31EB3"/>
    <w:rsid w:val="00B337B9"/>
    <w:rsid w:val="00B41EC7"/>
    <w:rsid w:val="00B54013"/>
    <w:rsid w:val="00B73F9A"/>
    <w:rsid w:val="00B81290"/>
    <w:rsid w:val="00BB2FB5"/>
    <w:rsid w:val="00BB36F8"/>
    <w:rsid w:val="00BC747A"/>
    <w:rsid w:val="00BD2DCD"/>
    <w:rsid w:val="00BD5894"/>
    <w:rsid w:val="00BD64C8"/>
    <w:rsid w:val="00C15E05"/>
    <w:rsid w:val="00C2245E"/>
    <w:rsid w:val="00C30B45"/>
    <w:rsid w:val="00C3466E"/>
    <w:rsid w:val="00C35BC8"/>
    <w:rsid w:val="00C42393"/>
    <w:rsid w:val="00C45ACA"/>
    <w:rsid w:val="00C46CE9"/>
    <w:rsid w:val="00C54C88"/>
    <w:rsid w:val="00C5582D"/>
    <w:rsid w:val="00C56BE2"/>
    <w:rsid w:val="00C61852"/>
    <w:rsid w:val="00C66A34"/>
    <w:rsid w:val="00CA5F47"/>
    <w:rsid w:val="00CB44E8"/>
    <w:rsid w:val="00CD3AC1"/>
    <w:rsid w:val="00CD4C2B"/>
    <w:rsid w:val="00CE0A0F"/>
    <w:rsid w:val="00CE406C"/>
    <w:rsid w:val="00CE52D0"/>
    <w:rsid w:val="00CF135C"/>
    <w:rsid w:val="00CF61BC"/>
    <w:rsid w:val="00D32982"/>
    <w:rsid w:val="00D37BB8"/>
    <w:rsid w:val="00D67A83"/>
    <w:rsid w:val="00D74C9C"/>
    <w:rsid w:val="00D82BC8"/>
    <w:rsid w:val="00D920FC"/>
    <w:rsid w:val="00DA1983"/>
    <w:rsid w:val="00DB00DD"/>
    <w:rsid w:val="00DB071B"/>
    <w:rsid w:val="00DB68BE"/>
    <w:rsid w:val="00DC09BE"/>
    <w:rsid w:val="00DD70F6"/>
    <w:rsid w:val="00DF0AD1"/>
    <w:rsid w:val="00DF57CA"/>
    <w:rsid w:val="00E30A4F"/>
    <w:rsid w:val="00E4033B"/>
    <w:rsid w:val="00E6516F"/>
    <w:rsid w:val="00E72C52"/>
    <w:rsid w:val="00E73C22"/>
    <w:rsid w:val="00E937C9"/>
    <w:rsid w:val="00E93FE9"/>
    <w:rsid w:val="00E95C6B"/>
    <w:rsid w:val="00E96194"/>
    <w:rsid w:val="00EA2E14"/>
    <w:rsid w:val="00EA3A39"/>
    <w:rsid w:val="00EB250E"/>
    <w:rsid w:val="00EB57F8"/>
    <w:rsid w:val="00EB7051"/>
    <w:rsid w:val="00EC0C1C"/>
    <w:rsid w:val="00EC4804"/>
    <w:rsid w:val="00EF09C0"/>
    <w:rsid w:val="00EF4AA1"/>
    <w:rsid w:val="00F10EE9"/>
    <w:rsid w:val="00F15D90"/>
    <w:rsid w:val="00F21589"/>
    <w:rsid w:val="00F3706C"/>
    <w:rsid w:val="00F4309A"/>
    <w:rsid w:val="00F46D88"/>
    <w:rsid w:val="00F536CD"/>
    <w:rsid w:val="00F6485A"/>
    <w:rsid w:val="00F67664"/>
    <w:rsid w:val="00F73051"/>
    <w:rsid w:val="00F83912"/>
    <w:rsid w:val="00F95ED7"/>
    <w:rsid w:val="00FC06E9"/>
    <w:rsid w:val="00FC4BBB"/>
    <w:rsid w:val="00FD1012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97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F8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AD6C85"/>
    <w:pPr>
      <w:spacing w:before="480" w:after="120" w:line="360" w:lineRule="atLeast"/>
      <w:contextualSpacing/>
      <w:outlineLvl w:val="2"/>
    </w:pPr>
    <w:rPr>
      <w:bCs/>
      <w:color w:val="44546A" w:themeColor="text2"/>
      <w:sz w:val="3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D6C85"/>
    <w:rPr>
      <w:rFonts w:asciiTheme="majorHAnsi" w:eastAsiaTheme="majorEastAsia" w:hAnsiTheme="majorHAnsi" w:cstheme="majorBidi"/>
      <w:bCs/>
      <w:color w:val="44546A" w:themeColor="text2"/>
      <w:sz w:val="30"/>
      <w:szCs w:val="26"/>
    </w:rPr>
  </w:style>
  <w:style w:type="paragraph" w:customStyle="1" w:styleId="TableHeaderRow">
    <w:name w:val="Table Header Row"/>
    <w:basedOn w:val="Normal"/>
    <w:qFormat/>
    <w:rsid w:val="00AD6C85"/>
    <w:pPr>
      <w:spacing w:before="60"/>
    </w:pPr>
    <w:rPr>
      <w:rFonts w:ascii="Calibri" w:hAnsi="Calibri"/>
      <w:b/>
      <w:color w:val="FFFFFF" w:themeColor="background1"/>
      <w:szCs w:val="21"/>
    </w:rPr>
  </w:style>
  <w:style w:type="table" w:customStyle="1" w:styleId="DFATTable1">
    <w:name w:val="DFAT Table 1"/>
    <w:basedOn w:val="TableNormal"/>
    <w:uiPriority w:val="99"/>
    <w:rsid w:val="00AD6C85"/>
    <w:pPr>
      <w:spacing w:before="60" w:after="60" w:line="260" w:lineRule="atLeast"/>
    </w:pPr>
    <w:rPr>
      <w:rFonts w:ascii="Calibri" w:hAnsi="Calibri"/>
      <w:color w:val="44546A" w:themeColor="text2"/>
    </w:rPr>
    <w:tblPr>
      <w:tblStyleRowBandSize w:val="1"/>
      <w:tblStyleColBandSize w:val="1"/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rPr>
        <w:tblHeader/>
      </w:trPr>
      <w:tcPr>
        <w:tcBorders>
          <w:top w:val="single" w:sz="4" w:space="0" w:color="5B9BD5" w:themeColor="accent1"/>
          <w:bottom w:val="single" w:sz="4" w:space="0" w:color="5B9BD5" w:themeColor="accent1"/>
          <w:insideH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firstCol">
      <w:tblPr/>
      <w:tcPr>
        <w:shd w:val="clear" w:color="auto" w:fill="E7E6E6" w:themeFill="background2"/>
      </w:tcPr>
    </w:tblStylePr>
    <w:tblStylePr w:type="lastCol">
      <w:tblPr/>
      <w:tcPr>
        <w:shd w:val="clear" w:color="auto" w:fill="E7E6E6" w:themeFill="background2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2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BDD6EE" w:themeFill="accent1" w:themeFillTint="66"/>
      </w:tcPr>
    </w:tblStylePr>
  </w:style>
  <w:style w:type="paragraph" w:styleId="BodyText">
    <w:name w:val="Body Text"/>
    <w:basedOn w:val="Normal"/>
    <w:link w:val="BodyTextChar"/>
    <w:uiPriority w:val="99"/>
    <w:unhideWhenUsed/>
    <w:qFormat/>
    <w:rsid w:val="00AD6C85"/>
  </w:style>
  <w:style w:type="character" w:customStyle="1" w:styleId="BodyTextChar">
    <w:name w:val="Body Text Char"/>
    <w:basedOn w:val="DefaultParagraphFont"/>
    <w:link w:val="BodyText"/>
    <w:uiPriority w:val="99"/>
    <w:rsid w:val="00AD6C85"/>
    <w:rPr>
      <w:color w:val="44546A" w:themeColor="text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C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7B"/>
    <w:rPr>
      <w:rFonts w:ascii="Segoe UI" w:hAnsi="Segoe UI" w:cs="Segoe UI"/>
      <w:color w:val="44546A" w:themeColor="text2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877E3"/>
    <w:pPr>
      <w:suppressAutoHyphens w:val="0"/>
      <w:spacing w:before="0" w:after="0" w:line="240" w:lineRule="auto"/>
      <w:ind w:left="720"/>
    </w:pPr>
    <w:rPr>
      <w:rFonts w:ascii="Calibri" w:hAnsi="Calibri" w:cs="Calibri"/>
      <w:color w:val="auto"/>
      <w:lang w:val="en-AU" w:eastAsia="en-AU" w:bidi="km-KH"/>
    </w:rPr>
  </w:style>
  <w:style w:type="character" w:styleId="CommentReference">
    <w:name w:val="annotation reference"/>
    <w:basedOn w:val="DefaultParagraphFont"/>
    <w:uiPriority w:val="99"/>
    <w:semiHidden/>
    <w:unhideWhenUsed/>
    <w:rsid w:val="00D6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A83"/>
    <w:rPr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A83"/>
    <w:rPr>
      <w:b/>
      <w:bCs/>
      <w:color w:val="44546A" w:themeColor="text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A34"/>
    <w:pPr>
      <w:suppressAutoHyphens w:val="0"/>
      <w:spacing w:before="0" w:after="0" w:line="240" w:lineRule="auto"/>
    </w:pPr>
    <w:rPr>
      <w:color w:val="auto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A34"/>
    <w:rPr>
      <w:sz w:val="20"/>
      <w:szCs w:val="20"/>
    </w:rPr>
  </w:style>
  <w:style w:type="table" w:styleId="TableGrid">
    <w:name w:val="Table Grid"/>
    <w:basedOn w:val="TableNormal"/>
    <w:uiPriority w:val="39"/>
    <w:rsid w:val="00EC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688E"/>
    <w:pPr>
      <w:spacing w:after="0" w:line="240" w:lineRule="auto"/>
    </w:pPr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00F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F8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00F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F8"/>
    <w:rPr>
      <w:color w:val="44546A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D729-ECDA-4CE9-B38C-935E39F8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CAVAC II Mid Term Review</dc:title>
  <dc:subject/>
  <dc:creator/>
  <cp:keywords/>
  <dc:description/>
  <cp:lastModifiedBy/>
  <cp:revision>1</cp:revision>
  <dcterms:created xsi:type="dcterms:W3CDTF">2021-02-18T00:59:00Z</dcterms:created>
  <dcterms:modified xsi:type="dcterms:W3CDTF">2021-02-18T03:54:00Z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e8e877f2-434e-40b8-bf58-d26950511761</vt:lpwstr>
  </property>
  <property fmtid="{D5CDD505-2E9C-101B-9397-08002B2CF9AE}" pid="3" name="SEC">
    <vt:lpwstr>OFFICIAL</vt:lpwstr>
  </property>
</Properties>
</file>