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12DB4" w14:textId="77777777" w:rsidR="0094365B" w:rsidRPr="009201BE" w:rsidRDefault="00BA223F">
      <w:pPr>
        <w:pStyle w:val="Title"/>
        <w:ind w:right="-702"/>
        <w:rPr>
          <w:color w:val="AD495D"/>
        </w:rPr>
      </w:pPr>
      <w:bookmarkStart w:id="0" w:name="_GoBack"/>
      <w:r>
        <w:rPr>
          <w:color w:val="AD495D"/>
        </w:rPr>
        <w:pict w14:anchorId="10912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246" type="#_x0000_t75" style="position:absolute;margin-left:0;margin-top:0;width:595.3pt;height:238.15pt;z-index:-251659264;mso-position-horizontal-relative:page;mso-position-vertical-relative:page">
            <v:imagedata r:id="rId13" o:title="AusAID_facsheet_A1"/>
            <w10:wrap anchorx="page" anchory="page"/>
          </v:shape>
        </w:pict>
      </w:r>
      <w:bookmarkEnd w:id="0"/>
      <w:r w:rsidR="00A9677D" w:rsidRPr="00C8754A">
        <w:rPr>
          <w:color w:val="AD495D"/>
        </w:rPr>
        <w:t>Caribbean</w:t>
      </w:r>
      <w:r w:rsidR="0035177E">
        <w:rPr>
          <w:color w:val="AD495D"/>
        </w:rPr>
        <w:t xml:space="preserve"> </w:t>
      </w:r>
      <w:r w:rsidR="00DC09CC">
        <w:rPr>
          <w:color w:val="AD495D"/>
        </w:rPr>
        <w:t>Annual Program Performance Report</w:t>
      </w:r>
      <w:r w:rsidR="0035177E">
        <w:rPr>
          <w:color w:val="AD495D"/>
        </w:rPr>
        <w:t xml:space="preserve"> </w:t>
      </w:r>
      <w:r w:rsidR="00574E74">
        <w:rPr>
          <w:color w:val="AD495D"/>
        </w:rPr>
        <w:t>2011</w:t>
      </w:r>
    </w:p>
    <w:p w14:paraId="10912DB5" w14:textId="77777777" w:rsidR="0094365B" w:rsidRPr="009201BE" w:rsidRDefault="00F03685">
      <w:pPr>
        <w:pStyle w:val="Date"/>
        <w:rPr>
          <w:color w:val="AD495D"/>
        </w:rPr>
      </w:pPr>
      <w:r>
        <w:t>October</w:t>
      </w:r>
      <w:r w:rsidR="00C8754A">
        <w:t xml:space="preserve"> 2012</w:t>
      </w:r>
    </w:p>
    <w:p w14:paraId="10912DB6" w14:textId="77777777" w:rsidR="00D04DD6" w:rsidRPr="00BC36DE" w:rsidRDefault="00D04DD6" w:rsidP="00BA223F">
      <w:pPr>
        <w:pStyle w:val="Heading2"/>
      </w:pPr>
      <w:r w:rsidRPr="00BC36DE">
        <w:t>Summary</w:t>
      </w:r>
    </w:p>
    <w:p w14:paraId="10912DB7" w14:textId="77777777" w:rsidR="0035177E" w:rsidRDefault="0035177E" w:rsidP="00FA3AFE">
      <w:pPr>
        <w:spacing w:before="80" w:after="80" w:line="280" w:lineRule="atLeast"/>
        <w:jc w:val="both"/>
        <w:rPr>
          <w:sz w:val="24"/>
        </w:rPr>
      </w:pPr>
      <w:r w:rsidRPr="00E625EB">
        <w:rPr>
          <w:sz w:val="24"/>
        </w:rPr>
        <w:t>This report summarises t</w:t>
      </w:r>
      <w:r w:rsidR="00DC09CC" w:rsidRPr="00E625EB">
        <w:rPr>
          <w:sz w:val="24"/>
        </w:rPr>
        <w:t xml:space="preserve">he aid program’s progress in </w:t>
      </w:r>
      <w:r w:rsidR="009F1508" w:rsidRPr="00E625EB">
        <w:rPr>
          <w:sz w:val="24"/>
        </w:rPr>
        <w:t>2011</w:t>
      </w:r>
      <w:r w:rsidRPr="00E625EB">
        <w:rPr>
          <w:sz w:val="24"/>
        </w:rPr>
        <w:t xml:space="preserve"> in the </w:t>
      </w:r>
      <w:r w:rsidR="009F1508" w:rsidRPr="00E625EB">
        <w:rPr>
          <w:sz w:val="24"/>
        </w:rPr>
        <w:t xml:space="preserve">Caribbean.  It is the second </w:t>
      </w:r>
      <w:r w:rsidR="00B402D8">
        <w:rPr>
          <w:sz w:val="24"/>
        </w:rPr>
        <w:t>development cooperation report for the program</w:t>
      </w:r>
      <w:r w:rsidR="009F1508" w:rsidRPr="00E625EB">
        <w:rPr>
          <w:sz w:val="24"/>
        </w:rPr>
        <w:t>.</w:t>
      </w:r>
    </w:p>
    <w:p w14:paraId="10912DB8" w14:textId="77777777" w:rsidR="008868CD" w:rsidRPr="008868CD" w:rsidRDefault="008868CD" w:rsidP="00FA3AFE">
      <w:pPr>
        <w:pStyle w:val="GuidanceText"/>
        <w:jc w:val="both"/>
      </w:pPr>
    </w:p>
    <w:p w14:paraId="10912DB9" w14:textId="77777777" w:rsidR="00E02AF8" w:rsidRDefault="004F32A0" w:rsidP="00BA223F">
      <w:pPr>
        <w:pStyle w:val="Heading1"/>
      </w:pPr>
      <w:r w:rsidRPr="00BA223F">
        <w:t>C</w:t>
      </w:r>
      <w:r w:rsidR="00BC36DE" w:rsidRPr="00BA223F">
        <w:t>ontext</w:t>
      </w:r>
      <w:r w:rsidR="00E02AF8" w:rsidRPr="00174585">
        <w:t xml:space="preserve"> </w:t>
      </w:r>
    </w:p>
    <w:p w14:paraId="10912DBA" w14:textId="77777777" w:rsidR="0079742C" w:rsidRDefault="005006DE" w:rsidP="00FA3AFE">
      <w:pPr>
        <w:spacing w:before="80" w:after="80" w:line="280" w:lineRule="atLeast"/>
        <w:jc w:val="both"/>
        <w:rPr>
          <w:sz w:val="24"/>
        </w:rPr>
      </w:pPr>
      <w:r>
        <w:rPr>
          <w:sz w:val="24"/>
        </w:rPr>
        <w:t xml:space="preserve">Australia’s approach to foreign policy has evolved to </w:t>
      </w:r>
      <w:r w:rsidRPr="00CF123F">
        <w:rPr>
          <w:sz w:val="24"/>
        </w:rPr>
        <w:t>more actively engag</w:t>
      </w:r>
      <w:r w:rsidR="00C147A3">
        <w:rPr>
          <w:sz w:val="24"/>
        </w:rPr>
        <w:t>e</w:t>
      </w:r>
      <w:r w:rsidRPr="00CF123F">
        <w:rPr>
          <w:sz w:val="24"/>
        </w:rPr>
        <w:t xml:space="preserve"> in regions and countries, including the Caribbean</w:t>
      </w:r>
      <w:r w:rsidR="00BF60E1">
        <w:rPr>
          <w:rStyle w:val="EndnoteReference"/>
          <w:sz w:val="24"/>
        </w:rPr>
        <w:endnoteReference w:id="2"/>
      </w:r>
      <w:r w:rsidR="00FA3AFE">
        <w:rPr>
          <w:sz w:val="24"/>
        </w:rPr>
        <w:t xml:space="preserve">, </w:t>
      </w:r>
      <w:r w:rsidRPr="00CF123F">
        <w:rPr>
          <w:sz w:val="24"/>
        </w:rPr>
        <w:t>which are beyond Australia’s traditional partners.</w:t>
      </w:r>
      <w:r>
        <w:rPr>
          <w:sz w:val="24"/>
        </w:rPr>
        <w:t xml:space="preserve"> </w:t>
      </w:r>
      <w:r w:rsidR="003263EA">
        <w:rPr>
          <w:sz w:val="24"/>
        </w:rPr>
        <w:t>The region is diverse and includes hi</w:t>
      </w:r>
      <w:r w:rsidR="00BB771A">
        <w:rPr>
          <w:sz w:val="24"/>
        </w:rPr>
        <w:t>gh and middle income countries</w:t>
      </w:r>
      <w:r w:rsidR="0053543B">
        <w:rPr>
          <w:sz w:val="24"/>
        </w:rPr>
        <w:t>,</w:t>
      </w:r>
      <w:r w:rsidR="00BB771A">
        <w:rPr>
          <w:sz w:val="24"/>
        </w:rPr>
        <w:t xml:space="preserve"> as well as</w:t>
      </w:r>
      <w:r w:rsidR="003263EA">
        <w:rPr>
          <w:sz w:val="24"/>
        </w:rPr>
        <w:t xml:space="preserve"> a least developed country (Haiti) afflicted by significant rates of poverty</w:t>
      </w:r>
      <w:r w:rsidR="00A55FAD">
        <w:rPr>
          <w:sz w:val="24"/>
        </w:rPr>
        <w:t>.</w:t>
      </w:r>
      <w:r w:rsidR="00BF60E1">
        <w:rPr>
          <w:rStyle w:val="EndnoteReference"/>
          <w:sz w:val="24"/>
        </w:rPr>
        <w:endnoteReference w:id="3"/>
      </w:r>
      <w:r w:rsidR="003263EA">
        <w:rPr>
          <w:sz w:val="24"/>
        </w:rPr>
        <w:t xml:space="preserve"> </w:t>
      </w:r>
      <w:r w:rsidR="00BF60E1">
        <w:rPr>
          <w:sz w:val="24"/>
        </w:rPr>
        <w:t xml:space="preserve">Australian aid is helping the Caribbean address a range of serious development challenges </w:t>
      </w:r>
      <w:r w:rsidR="00036C8B">
        <w:rPr>
          <w:sz w:val="24"/>
        </w:rPr>
        <w:t>including poverty, s</w:t>
      </w:r>
      <w:r w:rsidR="00BF60E1">
        <w:rPr>
          <w:sz w:val="24"/>
        </w:rPr>
        <w:t>usceptibility to disasters and climate extremes, vulnerability to economic shocks and high crime rates.</w:t>
      </w:r>
      <w:r w:rsidR="00036C8B">
        <w:rPr>
          <w:sz w:val="24"/>
        </w:rPr>
        <w:t xml:space="preserve"> </w:t>
      </w:r>
      <w:r w:rsidR="00EC2403">
        <w:rPr>
          <w:sz w:val="24"/>
        </w:rPr>
        <w:t>M</w:t>
      </w:r>
      <w:r w:rsidR="00036C8B">
        <w:rPr>
          <w:sz w:val="24"/>
        </w:rPr>
        <w:t>ore than 36 per cent of the population in the region liv</w:t>
      </w:r>
      <w:r w:rsidR="00EC2403">
        <w:rPr>
          <w:sz w:val="24"/>
        </w:rPr>
        <w:t>e</w:t>
      </w:r>
      <w:r w:rsidR="00BB771A">
        <w:rPr>
          <w:sz w:val="24"/>
        </w:rPr>
        <w:t>s</w:t>
      </w:r>
      <w:r w:rsidR="00036C8B">
        <w:rPr>
          <w:sz w:val="24"/>
        </w:rPr>
        <w:t xml:space="preserve"> on less than US$2 a day</w:t>
      </w:r>
      <w:r w:rsidR="00A55FAD">
        <w:rPr>
          <w:sz w:val="24"/>
        </w:rPr>
        <w:t>.</w:t>
      </w:r>
      <w:r w:rsidR="00036C8B">
        <w:rPr>
          <w:rStyle w:val="EndnoteReference"/>
          <w:sz w:val="24"/>
        </w:rPr>
        <w:endnoteReference w:id="4"/>
      </w:r>
      <w:r w:rsidR="00036C8B">
        <w:rPr>
          <w:sz w:val="24"/>
        </w:rPr>
        <w:t xml:space="preserve"> </w:t>
      </w:r>
    </w:p>
    <w:p w14:paraId="10912DBB" w14:textId="77777777" w:rsidR="008868CD" w:rsidRDefault="00863F42" w:rsidP="00FA3AFE">
      <w:pPr>
        <w:spacing w:before="80" w:after="80" w:line="280" w:lineRule="atLeast"/>
        <w:jc w:val="both"/>
        <w:rPr>
          <w:sz w:val="24"/>
        </w:rPr>
      </w:pPr>
      <w:r>
        <w:rPr>
          <w:sz w:val="24"/>
        </w:rPr>
        <w:t>While the</w:t>
      </w:r>
      <w:r w:rsidR="003263EA">
        <w:rPr>
          <w:sz w:val="24"/>
        </w:rPr>
        <w:t xml:space="preserve"> Caribbean</w:t>
      </w:r>
      <w:r>
        <w:rPr>
          <w:sz w:val="24"/>
        </w:rPr>
        <w:t xml:space="preserve"> is making </w:t>
      </w:r>
      <w:r w:rsidR="003263EA" w:rsidRPr="00A11A3E">
        <w:rPr>
          <w:sz w:val="24"/>
        </w:rPr>
        <w:t>steady progress towards the Millennium Development Goals (MDGs</w:t>
      </w:r>
      <w:r w:rsidR="003263EA">
        <w:rPr>
          <w:sz w:val="24"/>
        </w:rPr>
        <w:t>)</w:t>
      </w:r>
      <w:r w:rsidR="00D03C18">
        <w:rPr>
          <w:sz w:val="24"/>
        </w:rPr>
        <w:t>,</w:t>
      </w:r>
      <w:r w:rsidR="003263EA">
        <w:rPr>
          <w:sz w:val="24"/>
        </w:rPr>
        <w:t xml:space="preserve"> improvements are </w:t>
      </w:r>
      <w:r w:rsidR="00152864">
        <w:rPr>
          <w:sz w:val="24"/>
        </w:rPr>
        <w:t>varied</w:t>
      </w:r>
      <w:r w:rsidR="003263EA">
        <w:rPr>
          <w:sz w:val="24"/>
        </w:rPr>
        <w:t xml:space="preserve">. </w:t>
      </w:r>
      <w:r w:rsidR="00152864">
        <w:rPr>
          <w:sz w:val="24"/>
        </w:rPr>
        <w:t xml:space="preserve">The </w:t>
      </w:r>
      <w:r w:rsidR="003263EA" w:rsidRPr="00036C8B">
        <w:rPr>
          <w:sz w:val="24"/>
        </w:rPr>
        <w:t xml:space="preserve">MDG </w:t>
      </w:r>
      <w:r w:rsidR="00152864">
        <w:rPr>
          <w:sz w:val="24"/>
        </w:rPr>
        <w:t>One</w:t>
      </w:r>
      <w:r w:rsidR="003263EA" w:rsidRPr="00036C8B">
        <w:rPr>
          <w:sz w:val="24"/>
        </w:rPr>
        <w:t xml:space="preserve"> (poverty</w:t>
      </w:r>
      <w:r w:rsidR="00152864">
        <w:rPr>
          <w:sz w:val="24"/>
        </w:rPr>
        <w:t>)</w:t>
      </w:r>
      <w:r w:rsidR="00166D04">
        <w:rPr>
          <w:sz w:val="24"/>
        </w:rPr>
        <w:t xml:space="preserve"> </w:t>
      </w:r>
      <w:r w:rsidR="003263EA" w:rsidRPr="00036C8B">
        <w:rPr>
          <w:sz w:val="24"/>
        </w:rPr>
        <w:t xml:space="preserve">MDG </w:t>
      </w:r>
      <w:r w:rsidR="00152864">
        <w:rPr>
          <w:sz w:val="24"/>
        </w:rPr>
        <w:t>Six</w:t>
      </w:r>
      <w:r w:rsidR="003263EA" w:rsidRPr="00036C8B">
        <w:rPr>
          <w:sz w:val="24"/>
        </w:rPr>
        <w:t xml:space="preserve"> (HIV/AIDS</w:t>
      </w:r>
      <w:r w:rsidR="003263EA">
        <w:rPr>
          <w:sz w:val="24"/>
        </w:rPr>
        <w:t xml:space="preserve"> and other diseases</w:t>
      </w:r>
      <w:r w:rsidR="003263EA" w:rsidRPr="00036C8B">
        <w:rPr>
          <w:sz w:val="24"/>
        </w:rPr>
        <w:t xml:space="preserve">) and MDG </w:t>
      </w:r>
      <w:r w:rsidR="00152864">
        <w:rPr>
          <w:sz w:val="24"/>
        </w:rPr>
        <w:t>Seven</w:t>
      </w:r>
      <w:r w:rsidR="003263EA" w:rsidRPr="00036C8B">
        <w:rPr>
          <w:sz w:val="24"/>
        </w:rPr>
        <w:t xml:space="preserve"> (</w:t>
      </w:r>
      <w:r w:rsidR="003263EA">
        <w:rPr>
          <w:sz w:val="24"/>
        </w:rPr>
        <w:t>e</w:t>
      </w:r>
      <w:r w:rsidR="003263EA" w:rsidRPr="00036C8B">
        <w:rPr>
          <w:sz w:val="24"/>
        </w:rPr>
        <w:t>nvironmental sustainability) are lagging in some countries across the region</w:t>
      </w:r>
      <w:r w:rsidR="003263EA">
        <w:rPr>
          <w:sz w:val="24"/>
        </w:rPr>
        <w:t xml:space="preserve">, while </w:t>
      </w:r>
      <w:r w:rsidR="003263EA" w:rsidRPr="00036C8B">
        <w:rPr>
          <w:sz w:val="24"/>
        </w:rPr>
        <w:t xml:space="preserve">countries like Haiti, Suriname, Guyana and Belize are </w:t>
      </w:r>
      <w:r w:rsidR="0079742C">
        <w:rPr>
          <w:sz w:val="24"/>
        </w:rPr>
        <w:t>off target</w:t>
      </w:r>
      <w:r w:rsidR="003263EA" w:rsidRPr="00036C8B">
        <w:rPr>
          <w:sz w:val="24"/>
        </w:rPr>
        <w:t xml:space="preserve"> on multiple</w:t>
      </w:r>
      <w:r w:rsidR="003263EA">
        <w:rPr>
          <w:sz w:val="24"/>
        </w:rPr>
        <w:t xml:space="preserve"> MDGs. </w:t>
      </w:r>
      <w:r w:rsidR="00D03C18">
        <w:rPr>
          <w:sz w:val="24"/>
        </w:rPr>
        <w:t xml:space="preserve">However, </w:t>
      </w:r>
      <w:r w:rsidR="0079742C">
        <w:rPr>
          <w:sz w:val="24"/>
        </w:rPr>
        <w:t>in recent decades</w:t>
      </w:r>
      <w:r w:rsidR="003263EA">
        <w:rPr>
          <w:sz w:val="24"/>
        </w:rPr>
        <w:t xml:space="preserve"> there have been marked increases in life expectancy across most of the Caribbean countries, and a marked decline in infant mortality. Secondary education is nearly universal and there is greater access to tertiary education. </w:t>
      </w:r>
      <w:r w:rsidR="00BB771A">
        <w:rPr>
          <w:sz w:val="24"/>
        </w:rPr>
        <w:t>R</w:t>
      </w:r>
      <w:r w:rsidR="003263EA">
        <w:rPr>
          <w:sz w:val="24"/>
        </w:rPr>
        <w:t>educ</w:t>
      </w:r>
      <w:r w:rsidR="00BB771A">
        <w:rPr>
          <w:sz w:val="24"/>
        </w:rPr>
        <w:t>tions in</w:t>
      </w:r>
      <w:r w:rsidR="003263EA">
        <w:rPr>
          <w:sz w:val="24"/>
        </w:rPr>
        <w:t xml:space="preserve"> levels of poverty</w:t>
      </w:r>
      <w:r>
        <w:rPr>
          <w:sz w:val="24"/>
        </w:rPr>
        <w:t xml:space="preserve"> are </w:t>
      </w:r>
      <w:r w:rsidR="003263EA">
        <w:rPr>
          <w:sz w:val="24"/>
        </w:rPr>
        <w:t>reflected in the United Nations Development Programme Human Development Index rankings</w:t>
      </w:r>
      <w:r w:rsidR="003263EA">
        <w:rPr>
          <w:rStyle w:val="EndnoteReference"/>
          <w:sz w:val="24"/>
        </w:rPr>
        <w:endnoteReference w:id="5"/>
      </w:r>
      <w:r w:rsidR="003263EA">
        <w:rPr>
          <w:sz w:val="24"/>
        </w:rPr>
        <w:t xml:space="preserve"> (</w:t>
      </w:r>
      <w:r w:rsidR="003263EA">
        <w:rPr>
          <w:i/>
          <w:sz w:val="24"/>
        </w:rPr>
        <w:t>refer Annex A</w:t>
      </w:r>
      <w:r w:rsidR="003263EA">
        <w:rPr>
          <w:sz w:val="24"/>
        </w:rPr>
        <w:t>).</w:t>
      </w:r>
      <w:r w:rsidR="003263EA">
        <w:rPr>
          <w:rFonts w:ascii="Arial" w:hAnsi="Arial" w:cs="Arial"/>
          <w:sz w:val="16"/>
          <w:szCs w:val="16"/>
        </w:rPr>
        <w:t xml:space="preserve"> </w:t>
      </w:r>
    </w:p>
    <w:p w14:paraId="10912DBC" w14:textId="77777777" w:rsidR="005A47C0" w:rsidRDefault="00C135FF" w:rsidP="00C17DE2">
      <w:pPr>
        <w:spacing w:before="80" w:after="80" w:line="280" w:lineRule="atLeast"/>
        <w:jc w:val="both"/>
        <w:rPr>
          <w:sz w:val="24"/>
        </w:rPr>
      </w:pPr>
      <w:r>
        <w:rPr>
          <w:sz w:val="24"/>
        </w:rPr>
        <w:t>T</w:t>
      </w:r>
      <w:r w:rsidR="00A55AF1">
        <w:rPr>
          <w:sz w:val="24"/>
        </w:rPr>
        <w:t>he</w:t>
      </w:r>
      <w:r w:rsidR="00A55AF1" w:rsidRPr="00A11A3E">
        <w:rPr>
          <w:sz w:val="24"/>
        </w:rPr>
        <w:t xml:space="preserve"> Caribbean</w:t>
      </w:r>
      <w:r w:rsidR="00A55AF1">
        <w:rPr>
          <w:sz w:val="24"/>
        </w:rPr>
        <w:t xml:space="preserve"> region suffers constraints to economic and social development </w:t>
      </w:r>
      <w:r w:rsidR="00954203">
        <w:rPr>
          <w:sz w:val="24"/>
        </w:rPr>
        <w:t xml:space="preserve">comparable to </w:t>
      </w:r>
      <w:r w:rsidR="008868CD">
        <w:rPr>
          <w:sz w:val="24"/>
        </w:rPr>
        <w:t>other</w:t>
      </w:r>
      <w:r w:rsidR="00A55AF1">
        <w:rPr>
          <w:sz w:val="24"/>
        </w:rPr>
        <w:t xml:space="preserve"> small island </w:t>
      </w:r>
      <w:r>
        <w:rPr>
          <w:sz w:val="24"/>
        </w:rPr>
        <w:t xml:space="preserve">developing </w:t>
      </w:r>
      <w:r w:rsidR="00A55AF1">
        <w:rPr>
          <w:sz w:val="24"/>
        </w:rPr>
        <w:t xml:space="preserve">states </w:t>
      </w:r>
      <w:r>
        <w:rPr>
          <w:sz w:val="24"/>
        </w:rPr>
        <w:t>(SIDS)</w:t>
      </w:r>
      <w:r w:rsidR="008868CD">
        <w:rPr>
          <w:rStyle w:val="EndnoteReference"/>
          <w:sz w:val="24"/>
        </w:rPr>
        <w:endnoteReference w:id="6"/>
      </w:r>
      <w:r w:rsidR="00954203">
        <w:rPr>
          <w:sz w:val="24"/>
        </w:rPr>
        <w:t xml:space="preserve"> regions</w:t>
      </w:r>
      <w:r w:rsidR="00A55AF1" w:rsidRPr="00C135FF">
        <w:rPr>
          <w:sz w:val="24"/>
        </w:rPr>
        <w:t xml:space="preserve">. </w:t>
      </w:r>
      <w:r w:rsidR="0015133A" w:rsidRPr="00E71769">
        <w:rPr>
          <w:sz w:val="24"/>
        </w:rPr>
        <w:t>Its small</w:t>
      </w:r>
      <w:r w:rsidR="00C8754A">
        <w:rPr>
          <w:sz w:val="24"/>
        </w:rPr>
        <w:t>,</w:t>
      </w:r>
      <w:r w:rsidR="0015133A" w:rsidRPr="00E71769">
        <w:rPr>
          <w:sz w:val="24"/>
        </w:rPr>
        <w:t xml:space="preserve"> open economies generally have </w:t>
      </w:r>
      <w:r w:rsidR="00075FC0">
        <w:rPr>
          <w:sz w:val="24"/>
        </w:rPr>
        <w:t xml:space="preserve">a </w:t>
      </w:r>
      <w:r w:rsidR="0015133A" w:rsidRPr="00E71769">
        <w:rPr>
          <w:sz w:val="24"/>
        </w:rPr>
        <w:t xml:space="preserve">limited economic base, depend on tourism and </w:t>
      </w:r>
      <w:r w:rsidR="00954203">
        <w:rPr>
          <w:sz w:val="24"/>
        </w:rPr>
        <w:t>scarce</w:t>
      </w:r>
      <w:r w:rsidR="00954203" w:rsidRPr="00E71769">
        <w:rPr>
          <w:sz w:val="24"/>
        </w:rPr>
        <w:t xml:space="preserve"> </w:t>
      </w:r>
      <w:r w:rsidR="0015133A" w:rsidRPr="00E71769">
        <w:rPr>
          <w:sz w:val="24"/>
        </w:rPr>
        <w:t xml:space="preserve">natural resources, and have </w:t>
      </w:r>
      <w:r w:rsidR="00954203" w:rsidRPr="00E71769">
        <w:rPr>
          <w:sz w:val="24"/>
        </w:rPr>
        <w:t>l</w:t>
      </w:r>
      <w:r w:rsidR="00954203">
        <w:rPr>
          <w:sz w:val="24"/>
        </w:rPr>
        <w:t>ow</w:t>
      </w:r>
      <w:r w:rsidR="00954203" w:rsidRPr="00E71769">
        <w:rPr>
          <w:sz w:val="24"/>
        </w:rPr>
        <w:t xml:space="preserve"> </w:t>
      </w:r>
      <w:r w:rsidR="0015133A" w:rsidRPr="00E71769">
        <w:rPr>
          <w:sz w:val="24"/>
        </w:rPr>
        <w:t>technical and institutional capacity for economic growth.</w:t>
      </w:r>
      <w:r w:rsidR="00A83970">
        <w:rPr>
          <w:sz w:val="24"/>
        </w:rPr>
        <w:t xml:space="preserve"> </w:t>
      </w:r>
      <w:r w:rsidR="0015133A" w:rsidRPr="0015133A">
        <w:rPr>
          <w:sz w:val="24"/>
        </w:rPr>
        <w:t>The</w:t>
      </w:r>
      <w:r w:rsidR="00E71769">
        <w:rPr>
          <w:sz w:val="24"/>
        </w:rPr>
        <w:t xml:space="preserve">y </w:t>
      </w:r>
      <w:r w:rsidR="0015133A" w:rsidRPr="0015133A">
        <w:rPr>
          <w:sz w:val="24"/>
        </w:rPr>
        <w:t>are vulnerable to external shocks</w:t>
      </w:r>
      <w:r w:rsidR="00075FC0">
        <w:rPr>
          <w:sz w:val="24"/>
        </w:rPr>
        <w:t>,</w:t>
      </w:r>
      <w:r w:rsidR="0015133A" w:rsidRPr="0015133A">
        <w:rPr>
          <w:sz w:val="24"/>
        </w:rPr>
        <w:t xml:space="preserve"> high unemployment, high </w:t>
      </w:r>
      <w:r w:rsidR="00DD45BC">
        <w:rPr>
          <w:sz w:val="24"/>
        </w:rPr>
        <w:t>public</w:t>
      </w:r>
      <w:r w:rsidR="0015133A" w:rsidRPr="0015133A">
        <w:rPr>
          <w:sz w:val="24"/>
        </w:rPr>
        <w:t xml:space="preserve"> debt and weak institutions, and many fac</w:t>
      </w:r>
      <w:r w:rsidR="00075FC0">
        <w:rPr>
          <w:sz w:val="24"/>
        </w:rPr>
        <w:t>e</w:t>
      </w:r>
      <w:r w:rsidR="0015133A" w:rsidRPr="0015133A">
        <w:rPr>
          <w:sz w:val="24"/>
        </w:rPr>
        <w:t xml:space="preserve"> fiscal and debt distress.</w:t>
      </w:r>
      <w:r w:rsidR="006B0ABA">
        <w:rPr>
          <w:sz w:val="24"/>
        </w:rPr>
        <w:t xml:space="preserve"> </w:t>
      </w:r>
      <w:r w:rsidR="0015133A" w:rsidRPr="0015133A">
        <w:rPr>
          <w:sz w:val="24"/>
        </w:rPr>
        <w:t xml:space="preserve">Youth disengagement and </w:t>
      </w:r>
      <w:r w:rsidR="006B0ABA">
        <w:rPr>
          <w:sz w:val="24"/>
        </w:rPr>
        <w:t xml:space="preserve">high rates of violent crime </w:t>
      </w:r>
      <w:r w:rsidR="00A83970">
        <w:rPr>
          <w:sz w:val="24"/>
        </w:rPr>
        <w:t xml:space="preserve">are </w:t>
      </w:r>
      <w:r w:rsidR="00A83970" w:rsidRPr="0015133A">
        <w:rPr>
          <w:sz w:val="24"/>
        </w:rPr>
        <w:t>significant</w:t>
      </w:r>
      <w:r w:rsidR="0015133A" w:rsidRPr="0015133A">
        <w:rPr>
          <w:sz w:val="24"/>
        </w:rPr>
        <w:t xml:space="preserve"> development challenge</w:t>
      </w:r>
      <w:r w:rsidR="006B0ABA">
        <w:rPr>
          <w:sz w:val="24"/>
        </w:rPr>
        <w:t>s</w:t>
      </w:r>
      <w:r w:rsidR="0015133A" w:rsidRPr="0015133A">
        <w:rPr>
          <w:sz w:val="24"/>
        </w:rPr>
        <w:t xml:space="preserve">. </w:t>
      </w:r>
    </w:p>
    <w:p w14:paraId="10912DBD" w14:textId="77777777" w:rsidR="00953126" w:rsidRDefault="00953126" w:rsidP="001156BA">
      <w:pPr>
        <w:spacing w:before="80" w:after="80" w:line="280" w:lineRule="atLeast"/>
        <w:jc w:val="both"/>
        <w:rPr>
          <w:sz w:val="24"/>
        </w:rPr>
      </w:pPr>
      <w:r>
        <w:rPr>
          <w:sz w:val="24"/>
        </w:rPr>
        <w:t>Climate change</w:t>
      </w:r>
      <w:r w:rsidR="00E07249">
        <w:rPr>
          <w:sz w:val="24"/>
        </w:rPr>
        <w:t xml:space="preserve"> (CC)</w:t>
      </w:r>
      <w:r>
        <w:rPr>
          <w:sz w:val="24"/>
        </w:rPr>
        <w:t xml:space="preserve"> and disaster risk reduction </w:t>
      </w:r>
      <w:r w:rsidR="00E07249">
        <w:rPr>
          <w:sz w:val="24"/>
        </w:rPr>
        <w:t>(</w:t>
      </w:r>
      <w:r>
        <w:rPr>
          <w:sz w:val="24"/>
        </w:rPr>
        <w:t xml:space="preserve">DRR) are </w:t>
      </w:r>
      <w:r w:rsidR="001156BA">
        <w:rPr>
          <w:sz w:val="24"/>
        </w:rPr>
        <w:t xml:space="preserve">also </w:t>
      </w:r>
      <w:r>
        <w:rPr>
          <w:sz w:val="24"/>
        </w:rPr>
        <w:t xml:space="preserve">priority development challenges </w:t>
      </w:r>
      <w:r w:rsidR="00BB771A">
        <w:rPr>
          <w:sz w:val="24"/>
        </w:rPr>
        <w:t xml:space="preserve">for </w:t>
      </w:r>
      <w:r>
        <w:rPr>
          <w:sz w:val="24"/>
        </w:rPr>
        <w:t xml:space="preserve">many low-lying coastal </w:t>
      </w:r>
      <w:r w:rsidR="00BB771A">
        <w:rPr>
          <w:sz w:val="24"/>
        </w:rPr>
        <w:t>s</w:t>
      </w:r>
      <w:r>
        <w:rPr>
          <w:sz w:val="24"/>
        </w:rPr>
        <w:t xml:space="preserve">tates with ecosystems vulnerable to climate variability. Most of the population live in coastal areas. </w:t>
      </w:r>
      <w:r>
        <w:rPr>
          <w:sz w:val="24"/>
        </w:rPr>
        <w:lastRenderedPageBreak/>
        <w:t>Economic activity depends on sectors</w:t>
      </w:r>
      <w:r w:rsidR="00BB771A">
        <w:rPr>
          <w:sz w:val="24"/>
        </w:rPr>
        <w:t xml:space="preserve"> vulnerable to climate variability</w:t>
      </w:r>
      <w:r>
        <w:rPr>
          <w:sz w:val="24"/>
        </w:rPr>
        <w:t xml:space="preserve"> such as tourism, agriculture and inter-island trade. Sea level rises are expected to increase </w:t>
      </w:r>
      <w:r w:rsidR="0053543B">
        <w:rPr>
          <w:sz w:val="24"/>
        </w:rPr>
        <w:t xml:space="preserve">the impact of </w:t>
      </w:r>
      <w:r>
        <w:rPr>
          <w:sz w:val="24"/>
        </w:rPr>
        <w:t>storm surges and erosion, fresh water resources are expected to be</w:t>
      </w:r>
      <w:r w:rsidR="00BB771A">
        <w:rPr>
          <w:sz w:val="24"/>
        </w:rPr>
        <w:t>come</w:t>
      </w:r>
      <w:r>
        <w:rPr>
          <w:sz w:val="24"/>
        </w:rPr>
        <w:t xml:space="preserve"> insufficient to meet demand, and hurricane activity is forecast to increase. </w:t>
      </w:r>
    </w:p>
    <w:p w14:paraId="10912DBE" w14:textId="77777777" w:rsidR="00953126" w:rsidRDefault="00C42C3B" w:rsidP="001156BA">
      <w:pPr>
        <w:spacing w:before="80" w:after="80" w:line="280" w:lineRule="atLeast"/>
        <w:jc w:val="both"/>
        <w:rPr>
          <w:sz w:val="24"/>
        </w:rPr>
      </w:pPr>
      <w:r>
        <w:rPr>
          <w:sz w:val="24"/>
        </w:rPr>
        <w:t>Natural d</w:t>
      </w:r>
      <w:r w:rsidR="00953126">
        <w:rPr>
          <w:sz w:val="24"/>
        </w:rPr>
        <w:t xml:space="preserve">isasters continue to challenge the economic and physical development of Caribbean </w:t>
      </w:r>
      <w:r w:rsidR="00887D91">
        <w:rPr>
          <w:sz w:val="24"/>
        </w:rPr>
        <w:t>countries</w:t>
      </w:r>
      <w:r w:rsidR="00953126">
        <w:rPr>
          <w:sz w:val="24"/>
        </w:rPr>
        <w:t xml:space="preserve">. Although there is widespread recognition </w:t>
      </w:r>
      <w:r w:rsidR="00300C71">
        <w:rPr>
          <w:sz w:val="24"/>
        </w:rPr>
        <w:t>of</w:t>
      </w:r>
      <w:r w:rsidR="00953126">
        <w:rPr>
          <w:sz w:val="24"/>
        </w:rPr>
        <w:t xml:space="preserve"> the need for comprehensive disaster management and better management of the environment, there is </w:t>
      </w:r>
      <w:r w:rsidR="00FA3AFE">
        <w:rPr>
          <w:sz w:val="24"/>
        </w:rPr>
        <w:t>a shortage of people with required</w:t>
      </w:r>
      <w:r w:rsidR="00953126">
        <w:rPr>
          <w:sz w:val="24"/>
        </w:rPr>
        <w:t xml:space="preserve"> skills and political will for concerted action. </w:t>
      </w:r>
    </w:p>
    <w:p w14:paraId="10912DBF" w14:textId="77777777" w:rsidR="00300C71" w:rsidRDefault="00174A42" w:rsidP="0024497A">
      <w:pPr>
        <w:spacing w:before="80" w:after="80" w:line="280" w:lineRule="atLeast"/>
        <w:jc w:val="both"/>
        <w:rPr>
          <w:sz w:val="24"/>
        </w:rPr>
      </w:pPr>
      <w:r>
        <w:rPr>
          <w:sz w:val="24"/>
        </w:rPr>
        <w:t xml:space="preserve">There is a strong history of regional groupings in the Caribbean, including a push for </w:t>
      </w:r>
      <w:r w:rsidR="005A47C0">
        <w:rPr>
          <w:sz w:val="24"/>
        </w:rPr>
        <w:t xml:space="preserve">a </w:t>
      </w:r>
      <w:r w:rsidR="00FF6F94">
        <w:rPr>
          <w:sz w:val="24"/>
        </w:rPr>
        <w:t xml:space="preserve">single </w:t>
      </w:r>
      <w:r>
        <w:rPr>
          <w:sz w:val="24"/>
        </w:rPr>
        <w:t>market. The agenda for a common market has had limited success due to sovereignty</w:t>
      </w:r>
      <w:r w:rsidR="005A47C0">
        <w:rPr>
          <w:sz w:val="24"/>
        </w:rPr>
        <w:t xml:space="preserve"> concerns</w:t>
      </w:r>
      <w:r>
        <w:rPr>
          <w:sz w:val="24"/>
        </w:rPr>
        <w:t xml:space="preserve"> and institutional weaknesses in </w:t>
      </w:r>
      <w:r w:rsidR="006B0ABA">
        <w:rPr>
          <w:sz w:val="24"/>
        </w:rPr>
        <w:t>the Caribbean Community (</w:t>
      </w:r>
      <w:r>
        <w:rPr>
          <w:sz w:val="24"/>
        </w:rPr>
        <w:t>CARICOM</w:t>
      </w:r>
      <w:r w:rsidR="006B0ABA">
        <w:rPr>
          <w:sz w:val="24"/>
        </w:rPr>
        <w:t>)</w:t>
      </w:r>
      <w:r w:rsidR="00A55FAD">
        <w:rPr>
          <w:rStyle w:val="EndnoteReference"/>
          <w:sz w:val="24"/>
        </w:rPr>
        <w:endnoteReference w:id="7"/>
      </w:r>
      <w:r>
        <w:rPr>
          <w:sz w:val="24"/>
        </w:rPr>
        <w:t xml:space="preserve">. Despite this, </w:t>
      </w:r>
      <w:r w:rsidR="005A47C0">
        <w:rPr>
          <w:sz w:val="24"/>
        </w:rPr>
        <w:t xml:space="preserve">there is </w:t>
      </w:r>
      <w:r>
        <w:rPr>
          <w:sz w:val="24"/>
        </w:rPr>
        <w:t>a widespread understandin</w:t>
      </w:r>
      <w:r w:rsidR="00BB771A">
        <w:rPr>
          <w:sz w:val="24"/>
        </w:rPr>
        <w:t>g between Member States, financial</w:t>
      </w:r>
      <w:r>
        <w:rPr>
          <w:sz w:val="24"/>
        </w:rPr>
        <w:t xml:space="preserve"> institutions and donors alike that strong regional integration i</w:t>
      </w:r>
      <w:r w:rsidR="0053543B">
        <w:rPr>
          <w:sz w:val="24"/>
        </w:rPr>
        <w:t>s essential for economic growth</w:t>
      </w:r>
      <w:r>
        <w:rPr>
          <w:sz w:val="24"/>
        </w:rPr>
        <w:t xml:space="preserve"> and social stability in the Caribbean. </w:t>
      </w:r>
    </w:p>
    <w:p w14:paraId="10912DC0" w14:textId="77777777" w:rsidR="00E968AB" w:rsidRDefault="005A47C0" w:rsidP="00300C71">
      <w:pPr>
        <w:spacing w:before="80" w:after="80" w:line="280" w:lineRule="atLeast"/>
        <w:jc w:val="both"/>
        <w:rPr>
          <w:rFonts w:ascii="Franklin Gothic Demi" w:hAnsi="Franklin Gothic Demi"/>
          <w:color w:val="AD495D"/>
          <w:kern w:val="28"/>
          <w:sz w:val="28"/>
          <w:szCs w:val="28"/>
        </w:rPr>
      </w:pPr>
      <w:r>
        <w:rPr>
          <w:sz w:val="24"/>
        </w:rPr>
        <w:t>De</w:t>
      </w:r>
      <w:r w:rsidRPr="00F33B20">
        <w:rPr>
          <w:sz w:val="24"/>
        </w:rPr>
        <w:t>velopment activities</w:t>
      </w:r>
      <w:r>
        <w:rPr>
          <w:sz w:val="24"/>
        </w:rPr>
        <w:t xml:space="preserve"> </w:t>
      </w:r>
      <w:r w:rsidRPr="00F33B20">
        <w:rPr>
          <w:sz w:val="24"/>
        </w:rPr>
        <w:t xml:space="preserve">have </w:t>
      </w:r>
      <w:r>
        <w:rPr>
          <w:sz w:val="24"/>
        </w:rPr>
        <w:t xml:space="preserve">historically </w:t>
      </w:r>
      <w:r w:rsidRPr="00F33B20">
        <w:rPr>
          <w:sz w:val="24"/>
        </w:rPr>
        <w:t>be</w:t>
      </w:r>
      <w:r>
        <w:rPr>
          <w:sz w:val="24"/>
        </w:rPr>
        <w:t>en</w:t>
      </w:r>
      <w:r w:rsidRPr="00F33B20">
        <w:rPr>
          <w:sz w:val="24"/>
        </w:rPr>
        <w:t xml:space="preserve"> </w:t>
      </w:r>
      <w:r>
        <w:rPr>
          <w:sz w:val="24"/>
        </w:rPr>
        <w:t>poorly</w:t>
      </w:r>
      <w:r w:rsidRPr="00F33B20">
        <w:rPr>
          <w:sz w:val="24"/>
        </w:rPr>
        <w:t xml:space="preserve"> coordinated</w:t>
      </w:r>
      <w:r>
        <w:rPr>
          <w:sz w:val="24"/>
        </w:rPr>
        <w:t xml:space="preserve">, though </w:t>
      </w:r>
      <w:r w:rsidRPr="00F33B20">
        <w:rPr>
          <w:sz w:val="24"/>
        </w:rPr>
        <w:t>donors</w:t>
      </w:r>
      <w:r>
        <w:rPr>
          <w:sz w:val="24"/>
        </w:rPr>
        <w:t xml:space="preserve"> are now taking steps to change this. </w:t>
      </w:r>
      <w:r w:rsidR="00BB2D28">
        <w:rPr>
          <w:sz w:val="24"/>
        </w:rPr>
        <w:t>T</w:t>
      </w:r>
      <w:r w:rsidR="009F71D6">
        <w:rPr>
          <w:sz w:val="24"/>
        </w:rPr>
        <w:t>he</w:t>
      </w:r>
      <w:r w:rsidR="009F71D6" w:rsidRPr="00F33B20">
        <w:rPr>
          <w:sz w:val="24"/>
        </w:rPr>
        <w:t xml:space="preserve"> </w:t>
      </w:r>
      <w:r w:rsidR="00F007E9">
        <w:rPr>
          <w:sz w:val="24"/>
        </w:rPr>
        <w:t xml:space="preserve">CARICOM </w:t>
      </w:r>
      <w:r w:rsidR="009F71D6" w:rsidRPr="00F33B20">
        <w:rPr>
          <w:sz w:val="24"/>
        </w:rPr>
        <w:t>Secretariat as the peak regional body is also incre</w:t>
      </w:r>
      <w:r w:rsidR="008868CD">
        <w:rPr>
          <w:sz w:val="24"/>
        </w:rPr>
        <w:t xml:space="preserve">asing its role in </w:t>
      </w:r>
      <w:r w:rsidR="008868CD" w:rsidRPr="004A5F35">
        <w:rPr>
          <w:sz w:val="24"/>
        </w:rPr>
        <w:t>coordination.</w:t>
      </w:r>
      <w:r w:rsidR="00F03685" w:rsidRPr="004A5F35">
        <w:rPr>
          <w:sz w:val="24"/>
        </w:rPr>
        <w:t xml:space="preserve"> Australia is the </w:t>
      </w:r>
      <w:r w:rsidR="0024497A" w:rsidRPr="004A5F35">
        <w:rPr>
          <w:sz w:val="24"/>
        </w:rPr>
        <w:t>fifteenth largest</w:t>
      </w:r>
      <w:r w:rsidR="00F03685" w:rsidRPr="004A5F35">
        <w:rPr>
          <w:sz w:val="24"/>
        </w:rPr>
        <w:t xml:space="preserve"> donor</w:t>
      </w:r>
      <w:r w:rsidR="00954203" w:rsidRPr="004A5F35">
        <w:rPr>
          <w:sz w:val="24"/>
        </w:rPr>
        <w:t xml:space="preserve"> by volume</w:t>
      </w:r>
      <w:r w:rsidR="00F03685" w:rsidRPr="004A5F35">
        <w:rPr>
          <w:sz w:val="24"/>
        </w:rPr>
        <w:t xml:space="preserve"> in the Caribbean</w:t>
      </w:r>
      <w:r w:rsidR="0024497A" w:rsidRPr="004A5F35">
        <w:rPr>
          <w:sz w:val="24"/>
        </w:rPr>
        <w:t xml:space="preserve">, contributing </w:t>
      </w:r>
      <w:r w:rsidR="00103985" w:rsidRPr="004A5F35">
        <w:rPr>
          <w:sz w:val="24"/>
        </w:rPr>
        <w:t xml:space="preserve">a modest </w:t>
      </w:r>
      <w:r w:rsidR="0024497A" w:rsidRPr="004A5F35">
        <w:rPr>
          <w:sz w:val="24"/>
        </w:rPr>
        <w:t xml:space="preserve">0.5 per cent of total </w:t>
      </w:r>
      <w:r w:rsidR="0067164E" w:rsidRPr="004A5F35">
        <w:rPr>
          <w:sz w:val="24"/>
        </w:rPr>
        <w:t>Official Development Assistance (ODA)</w:t>
      </w:r>
      <w:r w:rsidR="00F03685" w:rsidRPr="004A5F35">
        <w:rPr>
          <w:sz w:val="24"/>
        </w:rPr>
        <w:t xml:space="preserve"> in the region in 2010</w:t>
      </w:r>
      <w:r w:rsidR="0024497A" w:rsidRPr="004A5F35">
        <w:rPr>
          <w:rStyle w:val="EndnoteReference"/>
          <w:sz w:val="24"/>
        </w:rPr>
        <w:endnoteReference w:id="8"/>
      </w:r>
      <w:r w:rsidR="0024497A" w:rsidRPr="004A5F35">
        <w:rPr>
          <w:sz w:val="24"/>
        </w:rPr>
        <w:t>.</w:t>
      </w:r>
      <w:r w:rsidR="0024497A">
        <w:rPr>
          <w:sz w:val="24"/>
        </w:rPr>
        <w:t xml:space="preserve">  Our primary development</w:t>
      </w:r>
      <w:r w:rsidR="00CB6566">
        <w:rPr>
          <w:sz w:val="24"/>
        </w:rPr>
        <w:t xml:space="preserve"> re</w:t>
      </w:r>
      <w:r w:rsidR="00BB771A">
        <w:rPr>
          <w:sz w:val="24"/>
        </w:rPr>
        <w:t xml:space="preserve">lationship is with CARICOM, and incorporates </w:t>
      </w:r>
      <w:r w:rsidR="00CB6566">
        <w:rPr>
          <w:sz w:val="24"/>
        </w:rPr>
        <w:t>a focus on institutional strengthening activities which support regional partners</w:t>
      </w:r>
      <w:r w:rsidR="007623CD">
        <w:rPr>
          <w:sz w:val="24"/>
        </w:rPr>
        <w:t>.</w:t>
      </w:r>
      <w:r w:rsidR="00300C71">
        <w:rPr>
          <w:sz w:val="24"/>
        </w:rPr>
        <w:t xml:space="preserve"> </w:t>
      </w:r>
      <w:r w:rsidR="007623CD">
        <w:rPr>
          <w:sz w:val="24"/>
        </w:rPr>
        <w:t xml:space="preserve">The Australian Government has </w:t>
      </w:r>
      <w:r w:rsidR="00A55FAD">
        <w:rPr>
          <w:sz w:val="24"/>
        </w:rPr>
        <w:t>committed</w:t>
      </w:r>
      <w:r w:rsidR="007623CD">
        <w:rPr>
          <w:sz w:val="24"/>
        </w:rPr>
        <w:t xml:space="preserve"> to strengthen relations with Caribbean countries </w:t>
      </w:r>
      <w:r w:rsidR="00C42C3B">
        <w:rPr>
          <w:sz w:val="24"/>
        </w:rPr>
        <w:t xml:space="preserve">and </w:t>
      </w:r>
      <w:r w:rsidR="007623CD">
        <w:rPr>
          <w:sz w:val="24"/>
        </w:rPr>
        <w:t>build on shared historical, sporting, social and politi</w:t>
      </w:r>
      <w:r w:rsidR="00C42C3B">
        <w:rPr>
          <w:sz w:val="24"/>
        </w:rPr>
        <w:t>cal</w:t>
      </w:r>
      <w:r w:rsidR="007623CD">
        <w:rPr>
          <w:sz w:val="24"/>
        </w:rPr>
        <w:t xml:space="preserve"> ties, as well as membership of the Commonwealth.</w:t>
      </w:r>
    </w:p>
    <w:p w14:paraId="10912DC1" w14:textId="77777777" w:rsidR="00300C71" w:rsidRDefault="00300C71" w:rsidP="00462194">
      <w:pPr>
        <w:keepNext/>
        <w:spacing w:after="100" w:line="320" w:lineRule="atLeast"/>
        <w:outlineLvl w:val="0"/>
        <w:rPr>
          <w:rFonts w:ascii="Franklin Gothic Demi" w:hAnsi="Franklin Gothic Demi"/>
          <w:color w:val="AD495D"/>
          <w:kern w:val="28"/>
          <w:sz w:val="28"/>
          <w:szCs w:val="28"/>
        </w:rPr>
      </w:pPr>
    </w:p>
    <w:p w14:paraId="10912DC2" w14:textId="77777777" w:rsidR="00DF1246" w:rsidRPr="00462194" w:rsidRDefault="00130109" w:rsidP="00BA223F">
      <w:pPr>
        <w:pStyle w:val="Heading1"/>
      </w:pPr>
      <w:r>
        <w:t>Program objectives</w:t>
      </w:r>
      <w:r w:rsidR="00202738">
        <w:t xml:space="preserve"> and strategy</w:t>
      </w:r>
    </w:p>
    <w:p w14:paraId="10912DC3" w14:textId="76FE9222" w:rsidR="00123917" w:rsidRDefault="00123917" w:rsidP="0055488F">
      <w:pPr>
        <w:spacing w:before="80" w:after="80" w:line="280" w:lineRule="atLeast"/>
        <w:jc w:val="both"/>
        <w:rPr>
          <w:sz w:val="24"/>
        </w:rPr>
      </w:pPr>
      <w:r w:rsidRPr="009B5E66">
        <w:rPr>
          <w:sz w:val="24"/>
        </w:rPr>
        <w:t xml:space="preserve">Australia’s </w:t>
      </w:r>
      <w:r w:rsidR="0067164E">
        <w:rPr>
          <w:sz w:val="24"/>
        </w:rPr>
        <w:t>ODA</w:t>
      </w:r>
      <w:r w:rsidRPr="009B5E66">
        <w:rPr>
          <w:sz w:val="24"/>
        </w:rPr>
        <w:t xml:space="preserve"> to the Caribbean </w:t>
      </w:r>
      <w:r w:rsidR="0015133A">
        <w:rPr>
          <w:sz w:val="24"/>
        </w:rPr>
        <w:t>is</w:t>
      </w:r>
      <w:r w:rsidRPr="009B5E66">
        <w:rPr>
          <w:sz w:val="24"/>
        </w:rPr>
        <w:t xml:space="preserve"> $60 million over four years</w:t>
      </w:r>
      <w:r w:rsidR="0015133A">
        <w:rPr>
          <w:sz w:val="24"/>
        </w:rPr>
        <w:t xml:space="preserve"> </w:t>
      </w:r>
      <w:r w:rsidR="00C42C3B">
        <w:rPr>
          <w:sz w:val="24"/>
        </w:rPr>
        <w:t>from</w:t>
      </w:r>
      <w:r w:rsidR="00BA223F">
        <w:rPr>
          <w:sz w:val="24"/>
        </w:rPr>
        <w:t xml:space="preserve"> </w:t>
      </w:r>
      <w:r w:rsidR="0015133A">
        <w:rPr>
          <w:sz w:val="24"/>
        </w:rPr>
        <w:t>2010</w:t>
      </w:r>
      <w:r w:rsidR="00C42C3B">
        <w:rPr>
          <w:sz w:val="24"/>
        </w:rPr>
        <w:t xml:space="preserve"> to </w:t>
      </w:r>
      <w:r w:rsidR="0015133A">
        <w:rPr>
          <w:sz w:val="24"/>
        </w:rPr>
        <w:t>2014</w:t>
      </w:r>
      <w:r w:rsidR="005A47C0">
        <w:rPr>
          <w:sz w:val="24"/>
        </w:rPr>
        <w:t>.</w:t>
      </w:r>
      <w:r w:rsidR="00C8754A">
        <w:rPr>
          <w:sz w:val="24"/>
        </w:rPr>
        <w:t xml:space="preserve"> </w:t>
      </w:r>
      <w:r w:rsidR="00722BE6" w:rsidRPr="004A5F35">
        <w:rPr>
          <w:sz w:val="24"/>
        </w:rPr>
        <w:t xml:space="preserve">Nearly all </w:t>
      </w:r>
      <w:r w:rsidR="00954203" w:rsidRPr="004A5F35">
        <w:rPr>
          <w:sz w:val="24"/>
        </w:rPr>
        <w:t>funding</w:t>
      </w:r>
      <w:r w:rsidR="00317281" w:rsidRPr="004A5F35">
        <w:rPr>
          <w:sz w:val="24"/>
        </w:rPr>
        <w:t xml:space="preserve"> has been programmed and m</w:t>
      </w:r>
      <w:r w:rsidR="00A11A3E" w:rsidRPr="004A5F35">
        <w:rPr>
          <w:sz w:val="24"/>
        </w:rPr>
        <w:t>ore than</w:t>
      </w:r>
      <w:r w:rsidR="009B5E66" w:rsidRPr="004A5F35">
        <w:rPr>
          <w:sz w:val="24"/>
        </w:rPr>
        <w:t xml:space="preserve"> </w:t>
      </w:r>
      <w:r w:rsidR="00A11A3E" w:rsidRPr="004A5F35">
        <w:rPr>
          <w:sz w:val="24"/>
        </w:rPr>
        <w:t xml:space="preserve">66 per cent </w:t>
      </w:r>
      <w:r w:rsidRPr="004A5F35">
        <w:rPr>
          <w:sz w:val="24"/>
        </w:rPr>
        <w:t>($</w:t>
      </w:r>
      <w:r w:rsidR="00A11A3E" w:rsidRPr="004A5F35">
        <w:rPr>
          <w:sz w:val="24"/>
        </w:rPr>
        <w:t>40</w:t>
      </w:r>
      <w:r w:rsidR="0024497A" w:rsidRPr="004A5F35">
        <w:rPr>
          <w:sz w:val="24"/>
        </w:rPr>
        <w:t xml:space="preserve"> </w:t>
      </w:r>
      <w:r w:rsidRPr="004A5F35">
        <w:rPr>
          <w:sz w:val="24"/>
        </w:rPr>
        <w:t xml:space="preserve">million) </w:t>
      </w:r>
      <w:r w:rsidR="00C42C3B">
        <w:rPr>
          <w:sz w:val="24"/>
        </w:rPr>
        <w:t>was</w:t>
      </w:r>
      <w:r w:rsidR="00F03685" w:rsidRPr="004A5F35">
        <w:rPr>
          <w:sz w:val="24"/>
        </w:rPr>
        <w:t xml:space="preserve"> </w:t>
      </w:r>
      <w:r w:rsidR="00317281" w:rsidRPr="004A5F35">
        <w:rPr>
          <w:sz w:val="24"/>
        </w:rPr>
        <w:t>expensed</w:t>
      </w:r>
      <w:r w:rsidRPr="004A5F35">
        <w:rPr>
          <w:sz w:val="24"/>
        </w:rPr>
        <w:t xml:space="preserve"> by the end of </w:t>
      </w:r>
      <w:r w:rsidR="00F03685" w:rsidRPr="004A5F35">
        <w:rPr>
          <w:sz w:val="24"/>
        </w:rPr>
        <w:t xml:space="preserve">June </w:t>
      </w:r>
      <w:r w:rsidR="00C8754A" w:rsidRPr="004A5F35">
        <w:rPr>
          <w:sz w:val="24"/>
        </w:rPr>
        <w:t>20</w:t>
      </w:r>
      <w:r w:rsidRPr="004A5F35">
        <w:rPr>
          <w:sz w:val="24"/>
        </w:rPr>
        <w:t>12</w:t>
      </w:r>
      <w:r w:rsidR="0015133A" w:rsidRPr="004A5F35">
        <w:rPr>
          <w:sz w:val="24"/>
        </w:rPr>
        <w:t>.</w:t>
      </w:r>
    </w:p>
    <w:p w14:paraId="10912DC4" w14:textId="77777777" w:rsidR="00123917" w:rsidRPr="00EC2403" w:rsidRDefault="00300C71" w:rsidP="00BA223F">
      <w:pPr>
        <w:pStyle w:val="Heading2"/>
      </w:pPr>
      <w:r w:rsidRPr="00BA223F">
        <w:t>E</w:t>
      </w:r>
      <w:r w:rsidR="00123917" w:rsidRPr="00BA223F">
        <w:t>xpenditure</w:t>
      </w:r>
    </w:p>
    <w:p w14:paraId="10912DC5" w14:textId="77777777" w:rsidR="00123917" w:rsidRPr="003E4C57" w:rsidRDefault="00123917" w:rsidP="00816956">
      <w:pPr>
        <w:pStyle w:val="Caption"/>
        <w:spacing w:before="120"/>
        <w:rPr>
          <w:highlight w:val="magenta"/>
        </w:rPr>
      </w:pPr>
      <w:r w:rsidRPr="00E271CD">
        <w:t xml:space="preserve">Table </w:t>
      </w:r>
      <w:r>
        <w:t>1</w:t>
      </w:r>
      <w:r w:rsidRPr="00E271CD">
        <w:t xml:space="preserve">: </w:t>
      </w:r>
      <w:r>
        <w:t>Estimated e</w:t>
      </w:r>
      <w:r w:rsidRPr="00E271CD">
        <w:t>xpenditure</w:t>
      </w:r>
      <w:r>
        <w:t xml:space="preserve"> in 2011-12 </w:t>
      </w:r>
    </w:p>
    <w:tbl>
      <w:tblPr>
        <w:tblW w:w="8046" w:type="dxa"/>
        <w:tblInd w:w="108" w:type="dxa"/>
        <w:tblLayout w:type="fixed"/>
        <w:tblLook w:val="0000" w:firstRow="0" w:lastRow="0" w:firstColumn="0" w:lastColumn="0" w:noHBand="0" w:noVBand="0"/>
      </w:tblPr>
      <w:tblGrid>
        <w:gridCol w:w="5400"/>
        <w:gridCol w:w="6"/>
        <w:gridCol w:w="1320"/>
        <w:gridCol w:w="1320"/>
      </w:tblGrid>
      <w:tr w:rsidR="00123917" w:rsidRPr="003E4C57" w14:paraId="10912DC9" w14:textId="77777777" w:rsidTr="0015133A">
        <w:tc>
          <w:tcPr>
            <w:tcW w:w="5406" w:type="dxa"/>
            <w:gridSpan w:val="2"/>
            <w:tcBorders>
              <w:top w:val="single" w:sz="12" w:space="0" w:color="auto"/>
              <w:bottom w:val="single" w:sz="2" w:space="0" w:color="auto"/>
            </w:tcBorders>
          </w:tcPr>
          <w:p w14:paraId="10912DC6" w14:textId="77777777" w:rsidR="00123917" w:rsidRDefault="00123917" w:rsidP="00123917">
            <w:pPr>
              <w:pStyle w:val="TableDataColumnHeading"/>
            </w:pPr>
            <w:r>
              <w:t>Objective</w:t>
            </w:r>
          </w:p>
        </w:tc>
        <w:tc>
          <w:tcPr>
            <w:tcW w:w="1320" w:type="dxa"/>
            <w:tcBorders>
              <w:top w:val="single" w:sz="12" w:space="0" w:color="auto"/>
              <w:bottom w:val="single" w:sz="2" w:space="0" w:color="auto"/>
            </w:tcBorders>
            <w:shd w:val="clear" w:color="auto" w:fill="auto"/>
            <w:tcMar>
              <w:left w:w="57" w:type="dxa"/>
              <w:right w:w="57" w:type="dxa"/>
            </w:tcMar>
          </w:tcPr>
          <w:p w14:paraId="10912DC7" w14:textId="77777777" w:rsidR="00123917" w:rsidRDefault="00123917" w:rsidP="00123917">
            <w:pPr>
              <w:pStyle w:val="TableDataColumnHeading"/>
            </w:pPr>
            <w:r>
              <w:t>A$ million</w:t>
            </w:r>
          </w:p>
        </w:tc>
        <w:tc>
          <w:tcPr>
            <w:tcW w:w="1320" w:type="dxa"/>
            <w:tcBorders>
              <w:top w:val="single" w:sz="12" w:space="0" w:color="auto"/>
              <w:bottom w:val="single" w:sz="2" w:space="0" w:color="auto"/>
            </w:tcBorders>
            <w:shd w:val="clear" w:color="auto" w:fill="auto"/>
            <w:tcMar>
              <w:left w:w="57" w:type="dxa"/>
              <w:right w:w="57" w:type="dxa"/>
            </w:tcMar>
          </w:tcPr>
          <w:p w14:paraId="10912DC8" w14:textId="77777777" w:rsidR="00123917" w:rsidRDefault="00816956" w:rsidP="00954203">
            <w:pPr>
              <w:pStyle w:val="TableDataColumnHeading"/>
            </w:pPr>
            <w:r>
              <w:t>% of</w:t>
            </w:r>
            <w:r w:rsidR="00954203">
              <w:t xml:space="preserve"> </w:t>
            </w:r>
            <w:r w:rsidR="00123917">
              <w:t>program</w:t>
            </w:r>
          </w:p>
        </w:tc>
      </w:tr>
      <w:tr w:rsidR="00123917" w:rsidRPr="002452D0" w14:paraId="10912DCD" w14:textId="77777777" w:rsidTr="0015133A">
        <w:tc>
          <w:tcPr>
            <w:tcW w:w="5406" w:type="dxa"/>
            <w:gridSpan w:val="2"/>
          </w:tcPr>
          <w:p w14:paraId="10912DCA" w14:textId="77777777" w:rsidR="00123917" w:rsidRDefault="0015133A" w:rsidP="0015133A">
            <w:pPr>
              <w:pStyle w:val="TableDataEntries"/>
              <w:numPr>
                <w:ilvl w:val="0"/>
                <w:numId w:val="28"/>
              </w:numPr>
              <w:ind w:left="34" w:hanging="34"/>
              <w:jc w:val="left"/>
            </w:pPr>
            <w:r>
              <w:t>A</w:t>
            </w:r>
            <w:r w:rsidRPr="0015133A">
              <w:t>ssisting communities, nations and regional partners to address climate change and better prepare for and respond to natural disasters</w:t>
            </w:r>
          </w:p>
        </w:tc>
        <w:tc>
          <w:tcPr>
            <w:tcW w:w="1320" w:type="dxa"/>
            <w:shd w:val="clear" w:color="auto" w:fill="auto"/>
            <w:tcMar>
              <w:left w:w="57" w:type="dxa"/>
              <w:right w:w="57" w:type="dxa"/>
            </w:tcMar>
          </w:tcPr>
          <w:p w14:paraId="10912DCB" w14:textId="77777777" w:rsidR="00123917" w:rsidRPr="002452D0" w:rsidRDefault="009B5E66" w:rsidP="00123917">
            <w:pPr>
              <w:pStyle w:val="TableDataEntries"/>
            </w:pPr>
            <w:r>
              <w:t>4</w:t>
            </w:r>
          </w:p>
        </w:tc>
        <w:tc>
          <w:tcPr>
            <w:tcW w:w="1320" w:type="dxa"/>
            <w:shd w:val="clear" w:color="auto" w:fill="auto"/>
            <w:tcMar>
              <w:left w:w="57" w:type="dxa"/>
              <w:right w:w="57" w:type="dxa"/>
            </w:tcMar>
          </w:tcPr>
          <w:p w14:paraId="10912DCC" w14:textId="77777777" w:rsidR="00123917" w:rsidRPr="002452D0" w:rsidRDefault="009B5E66" w:rsidP="00123917">
            <w:pPr>
              <w:pStyle w:val="TableDataEntries"/>
            </w:pPr>
            <w:r>
              <w:t>24</w:t>
            </w:r>
          </w:p>
        </w:tc>
      </w:tr>
      <w:tr w:rsidR="00123917" w:rsidRPr="002452D0" w14:paraId="10912DD1" w14:textId="77777777" w:rsidTr="0015133A">
        <w:tc>
          <w:tcPr>
            <w:tcW w:w="5406" w:type="dxa"/>
            <w:gridSpan w:val="2"/>
          </w:tcPr>
          <w:p w14:paraId="10912DCE" w14:textId="77777777" w:rsidR="00123917" w:rsidRDefault="0015133A" w:rsidP="0015133A">
            <w:pPr>
              <w:pStyle w:val="TableDataEntries"/>
              <w:numPr>
                <w:ilvl w:val="0"/>
                <w:numId w:val="28"/>
              </w:numPr>
              <w:ind w:left="34" w:hanging="34"/>
              <w:jc w:val="left"/>
            </w:pPr>
            <w:r w:rsidRPr="0015133A">
              <w:t>enhancing ability within the Caribbean to manage and respond to the region’s economic challenges</w:t>
            </w:r>
          </w:p>
        </w:tc>
        <w:tc>
          <w:tcPr>
            <w:tcW w:w="1320" w:type="dxa"/>
            <w:shd w:val="clear" w:color="auto" w:fill="auto"/>
            <w:tcMar>
              <w:left w:w="57" w:type="dxa"/>
              <w:right w:w="57" w:type="dxa"/>
            </w:tcMar>
          </w:tcPr>
          <w:p w14:paraId="10912DCF" w14:textId="77777777" w:rsidR="00123917" w:rsidRDefault="009B5E66" w:rsidP="00123917">
            <w:pPr>
              <w:pStyle w:val="TableDataEntries"/>
            </w:pPr>
            <w:r>
              <w:t>4.8</w:t>
            </w:r>
          </w:p>
        </w:tc>
        <w:tc>
          <w:tcPr>
            <w:tcW w:w="1320" w:type="dxa"/>
            <w:shd w:val="clear" w:color="auto" w:fill="auto"/>
            <w:tcMar>
              <w:left w:w="57" w:type="dxa"/>
              <w:right w:w="57" w:type="dxa"/>
            </w:tcMar>
          </w:tcPr>
          <w:p w14:paraId="10912DD0" w14:textId="77777777" w:rsidR="00123917" w:rsidRDefault="00BC39CB" w:rsidP="00123917">
            <w:pPr>
              <w:pStyle w:val="TableDataEntries"/>
            </w:pPr>
            <w:r>
              <w:t>30</w:t>
            </w:r>
          </w:p>
        </w:tc>
      </w:tr>
      <w:tr w:rsidR="00123917" w:rsidRPr="002452D0" w14:paraId="10912DD5" w14:textId="77777777" w:rsidTr="0015133A">
        <w:tc>
          <w:tcPr>
            <w:tcW w:w="5406" w:type="dxa"/>
            <w:gridSpan w:val="2"/>
          </w:tcPr>
          <w:p w14:paraId="10912DD2" w14:textId="77777777" w:rsidR="00123917" w:rsidRDefault="0015133A" w:rsidP="0015133A">
            <w:pPr>
              <w:pStyle w:val="TableDataEntries"/>
              <w:numPr>
                <w:ilvl w:val="0"/>
                <w:numId w:val="28"/>
              </w:numPr>
              <w:ind w:left="34" w:hanging="34"/>
              <w:jc w:val="left"/>
            </w:pPr>
            <w:r w:rsidRPr="0015133A">
              <w:t>building linkages and partnerships between the Caribbean, Australia and the Pacific which add to Caribbean knowledge and capacity to address its development priorities</w:t>
            </w:r>
          </w:p>
        </w:tc>
        <w:tc>
          <w:tcPr>
            <w:tcW w:w="1320" w:type="dxa"/>
            <w:shd w:val="clear" w:color="auto" w:fill="auto"/>
            <w:tcMar>
              <w:left w:w="57" w:type="dxa"/>
              <w:right w:w="57" w:type="dxa"/>
            </w:tcMar>
          </w:tcPr>
          <w:p w14:paraId="10912DD3" w14:textId="77777777" w:rsidR="00123917" w:rsidRPr="002452D0" w:rsidRDefault="009B5E66" w:rsidP="009B5E66">
            <w:pPr>
              <w:pStyle w:val="TableDataEntries"/>
            </w:pPr>
            <w:r>
              <w:t>3.2</w:t>
            </w:r>
          </w:p>
        </w:tc>
        <w:tc>
          <w:tcPr>
            <w:tcW w:w="1320" w:type="dxa"/>
            <w:shd w:val="clear" w:color="auto" w:fill="auto"/>
            <w:tcMar>
              <w:left w:w="57" w:type="dxa"/>
              <w:right w:w="57" w:type="dxa"/>
            </w:tcMar>
          </w:tcPr>
          <w:p w14:paraId="10912DD4" w14:textId="77777777" w:rsidR="009B5E66" w:rsidRPr="002452D0" w:rsidRDefault="009B5E66" w:rsidP="009B5E66">
            <w:pPr>
              <w:pStyle w:val="TableDataEntries"/>
            </w:pPr>
            <w:r>
              <w:t>20</w:t>
            </w:r>
          </w:p>
        </w:tc>
      </w:tr>
      <w:tr w:rsidR="009B5E66" w:rsidRPr="002452D0" w14:paraId="10912DD9" w14:textId="77777777" w:rsidTr="00E71769">
        <w:tc>
          <w:tcPr>
            <w:tcW w:w="5400" w:type="dxa"/>
          </w:tcPr>
          <w:p w14:paraId="10912DD6" w14:textId="77777777" w:rsidR="009B5E66" w:rsidRDefault="009B5E66" w:rsidP="0015133A">
            <w:pPr>
              <w:pStyle w:val="TableDataEntries"/>
              <w:numPr>
                <w:ilvl w:val="0"/>
                <w:numId w:val="28"/>
              </w:numPr>
              <w:ind w:left="34" w:hanging="34"/>
              <w:jc w:val="left"/>
            </w:pPr>
            <w:r>
              <w:t>Direct Assistance</w:t>
            </w:r>
            <w:r w:rsidR="0053543B">
              <w:t xml:space="preserve"> for flexibility to respond to specific emerging priorities</w:t>
            </w:r>
          </w:p>
        </w:tc>
        <w:tc>
          <w:tcPr>
            <w:tcW w:w="1326" w:type="dxa"/>
            <w:gridSpan w:val="2"/>
          </w:tcPr>
          <w:p w14:paraId="10912DD7" w14:textId="77777777" w:rsidR="009B5E66" w:rsidRDefault="00BC39CB" w:rsidP="009B5E66">
            <w:pPr>
              <w:pStyle w:val="TableDataEntries"/>
            </w:pPr>
            <w:r>
              <w:t>4.3</w:t>
            </w:r>
          </w:p>
        </w:tc>
        <w:tc>
          <w:tcPr>
            <w:tcW w:w="1320" w:type="dxa"/>
          </w:tcPr>
          <w:p w14:paraId="10912DD8" w14:textId="77777777" w:rsidR="009B5E66" w:rsidRDefault="00BC39CB" w:rsidP="009B5E66">
            <w:pPr>
              <w:pStyle w:val="TableDataEntries"/>
            </w:pPr>
            <w:r>
              <w:t>26</w:t>
            </w:r>
          </w:p>
        </w:tc>
      </w:tr>
    </w:tbl>
    <w:p w14:paraId="10912DDA" w14:textId="77777777" w:rsidR="00123917" w:rsidRDefault="00123917" w:rsidP="00123917">
      <w:pPr>
        <w:pStyle w:val="Note"/>
      </w:pPr>
    </w:p>
    <w:p w14:paraId="10912DDB" w14:textId="77777777" w:rsidR="00E968AB" w:rsidRPr="00FF5550" w:rsidRDefault="00FF0C7C" w:rsidP="00E968AB">
      <w:pPr>
        <w:spacing w:before="80" w:after="80" w:line="280" w:lineRule="atLeast"/>
        <w:jc w:val="both"/>
        <w:rPr>
          <w:sz w:val="24"/>
        </w:rPr>
      </w:pPr>
      <w:r>
        <w:rPr>
          <w:sz w:val="24"/>
        </w:rPr>
        <w:lastRenderedPageBreak/>
        <w:t>The Caribbean Program</w:t>
      </w:r>
      <w:r w:rsidR="00E968AB" w:rsidRPr="00FF5550">
        <w:rPr>
          <w:sz w:val="24"/>
        </w:rPr>
        <w:t xml:space="preserve"> is focused </w:t>
      </w:r>
      <w:r w:rsidR="00BB771A">
        <w:rPr>
          <w:sz w:val="24"/>
        </w:rPr>
        <w:t>on our</w:t>
      </w:r>
      <w:r w:rsidR="00E968AB" w:rsidRPr="00FF5550">
        <w:rPr>
          <w:sz w:val="24"/>
        </w:rPr>
        <w:t xml:space="preserve"> experience, expertise and credibility and complements the work of partner governments and other development partners. The </w:t>
      </w:r>
      <w:r>
        <w:rPr>
          <w:sz w:val="24"/>
        </w:rPr>
        <w:t>Program</w:t>
      </w:r>
      <w:r w:rsidRPr="00FF5550">
        <w:rPr>
          <w:sz w:val="24"/>
        </w:rPr>
        <w:t xml:space="preserve"> </w:t>
      </w:r>
      <w:r w:rsidR="00E968AB" w:rsidRPr="00FF5550">
        <w:rPr>
          <w:sz w:val="24"/>
        </w:rPr>
        <w:t xml:space="preserve">is </w:t>
      </w:r>
      <w:r w:rsidR="003528A7">
        <w:rPr>
          <w:sz w:val="24"/>
        </w:rPr>
        <w:t>focus</w:t>
      </w:r>
      <w:r w:rsidR="007623CD">
        <w:rPr>
          <w:sz w:val="24"/>
        </w:rPr>
        <w:t>ed</w:t>
      </w:r>
      <w:r w:rsidR="003528A7">
        <w:rPr>
          <w:sz w:val="24"/>
        </w:rPr>
        <w:t xml:space="preserve"> on </w:t>
      </w:r>
      <w:r w:rsidR="00E968AB" w:rsidRPr="00FF5550">
        <w:rPr>
          <w:sz w:val="24"/>
        </w:rPr>
        <w:t>three p</w:t>
      </w:r>
      <w:r w:rsidR="003528A7">
        <w:rPr>
          <w:sz w:val="24"/>
        </w:rPr>
        <w:t>rio</w:t>
      </w:r>
      <w:r w:rsidR="007623CD">
        <w:rPr>
          <w:sz w:val="24"/>
        </w:rPr>
        <w:t>ri</w:t>
      </w:r>
      <w:r w:rsidR="003528A7">
        <w:rPr>
          <w:sz w:val="24"/>
        </w:rPr>
        <w:t>ties</w:t>
      </w:r>
      <w:r w:rsidR="00BB771A">
        <w:rPr>
          <w:sz w:val="24"/>
        </w:rPr>
        <w:t>: climate change</w:t>
      </w:r>
      <w:r w:rsidR="00421F7F">
        <w:rPr>
          <w:sz w:val="24"/>
        </w:rPr>
        <w:t xml:space="preserve"> </w:t>
      </w:r>
      <w:r w:rsidR="00E462C7">
        <w:rPr>
          <w:sz w:val="24"/>
        </w:rPr>
        <w:t xml:space="preserve">and </w:t>
      </w:r>
      <w:r w:rsidR="00E968AB" w:rsidRPr="00FF5550">
        <w:rPr>
          <w:sz w:val="24"/>
        </w:rPr>
        <w:t>disaster risk reduction, economic resilience, and linkages between people and institutions</w:t>
      </w:r>
      <w:r w:rsidR="00E968AB">
        <w:rPr>
          <w:sz w:val="24"/>
        </w:rPr>
        <w:t xml:space="preserve">. The </w:t>
      </w:r>
      <w:r w:rsidR="003528A7">
        <w:rPr>
          <w:sz w:val="24"/>
        </w:rPr>
        <w:t xml:space="preserve">priorities </w:t>
      </w:r>
      <w:r w:rsidR="00E968AB">
        <w:rPr>
          <w:sz w:val="24"/>
        </w:rPr>
        <w:t>are mutually reinforcing</w:t>
      </w:r>
      <w:r w:rsidR="00BB771A">
        <w:rPr>
          <w:sz w:val="24"/>
        </w:rPr>
        <w:t>.</w:t>
      </w:r>
      <w:r w:rsidR="00E968AB">
        <w:rPr>
          <w:sz w:val="24"/>
        </w:rPr>
        <w:t xml:space="preserve"> </w:t>
      </w:r>
      <w:r w:rsidR="00E968AB" w:rsidRPr="00FF5550">
        <w:rPr>
          <w:sz w:val="24"/>
        </w:rPr>
        <w:t xml:space="preserve">In addition, there is a budget for direct assistance for </w:t>
      </w:r>
      <w:r w:rsidR="004A5F35">
        <w:rPr>
          <w:sz w:val="24"/>
        </w:rPr>
        <w:t xml:space="preserve">emerging </w:t>
      </w:r>
      <w:r w:rsidR="004A5F35" w:rsidRPr="004A5F35">
        <w:rPr>
          <w:sz w:val="24"/>
        </w:rPr>
        <w:t xml:space="preserve">priorities </w:t>
      </w:r>
      <w:r w:rsidR="003823F9" w:rsidRPr="004A5F35">
        <w:rPr>
          <w:sz w:val="24"/>
        </w:rPr>
        <w:t>such as responding to</w:t>
      </w:r>
      <w:r w:rsidR="00F03685" w:rsidRPr="004A5F35">
        <w:rPr>
          <w:sz w:val="24"/>
        </w:rPr>
        <w:t xml:space="preserve"> disasters</w:t>
      </w:r>
      <w:r w:rsidR="004A5F35" w:rsidRPr="004A5F35">
        <w:rPr>
          <w:sz w:val="24"/>
        </w:rPr>
        <w:t xml:space="preserve"> a</w:t>
      </w:r>
      <w:r w:rsidR="004A5F35">
        <w:rPr>
          <w:sz w:val="24"/>
        </w:rPr>
        <w:t>nd regional development challenges</w:t>
      </w:r>
      <w:r w:rsidR="00E968AB" w:rsidRPr="00FF5550">
        <w:rPr>
          <w:sz w:val="24"/>
        </w:rPr>
        <w:t xml:space="preserve">. The </w:t>
      </w:r>
      <w:r w:rsidR="003528A7">
        <w:rPr>
          <w:sz w:val="24"/>
        </w:rPr>
        <w:t>Program</w:t>
      </w:r>
      <w:r w:rsidR="003528A7" w:rsidRPr="00FF5550">
        <w:rPr>
          <w:sz w:val="24"/>
        </w:rPr>
        <w:t xml:space="preserve"> </w:t>
      </w:r>
      <w:r w:rsidR="00E968AB" w:rsidRPr="00FF5550">
        <w:rPr>
          <w:sz w:val="24"/>
        </w:rPr>
        <w:t>emphasises partnerships with key regional institutions and development of strong people-to-people linkages.</w:t>
      </w:r>
    </w:p>
    <w:p w14:paraId="10912DDC" w14:textId="77777777" w:rsidR="00E968AB" w:rsidRPr="00FF5550" w:rsidRDefault="00E968AB" w:rsidP="00E968AB">
      <w:pPr>
        <w:spacing w:before="80" w:after="80" w:line="280" w:lineRule="atLeast"/>
        <w:jc w:val="both"/>
        <w:rPr>
          <w:sz w:val="24"/>
        </w:rPr>
      </w:pPr>
      <w:r w:rsidRPr="00FF5550">
        <w:rPr>
          <w:sz w:val="24"/>
        </w:rPr>
        <w:t xml:space="preserve">The </w:t>
      </w:r>
      <w:r w:rsidR="003528A7">
        <w:rPr>
          <w:sz w:val="24"/>
        </w:rPr>
        <w:t xml:space="preserve">Caribbean </w:t>
      </w:r>
      <w:r w:rsidR="00FF0C7C">
        <w:rPr>
          <w:sz w:val="24"/>
        </w:rPr>
        <w:t>Program</w:t>
      </w:r>
      <w:r w:rsidR="00FF0C7C" w:rsidRPr="00FF5550">
        <w:rPr>
          <w:sz w:val="24"/>
        </w:rPr>
        <w:t xml:space="preserve"> </w:t>
      </w:r>
      <w:r w:rsidRPr="00FF5550">
        <w:rPr>
          <w:sz w:val="24"/>
        </w:rPr>
        <w:t>has five dimensions:</w:t>
      </w:r>
    </w:p>
    <w:p w14:paraId="10912DDD" w14:textId="77777777" w:rsidR="00E968AB" w:rsidRPr="00FF5550" w:rsidRDefault="00E968AB" w:rsidP="00991303">
      <w:pPr>
        <w:numPr>
          <w:ilvl w:val="0"/>
          <w:numId w:val="45"/>
        </w:numPr>
        <w:spacing w:before="80" w:after="80" w:line="280" w:lineRule="atLeast"/>
        <w:ind w:left="284" w:hanging="284"/>
        <w:jc w:val="both"/>
        <w:rPr>
          <w:sz w:val="24"/>
        </w:rPr>
      </w:pPr>
      <w:r w:rsidRPr="00FF5550">
        <w:rPr>
          <w:sz w:val="24"/>
        </w:rPr>
        <w:t>Work with regional organisations that have a proven track</w:t>
      </w:r>
      <w:r w:rsidR="00421F7F">
        <w:rPr>
          <w:sz w:val="24"/>
        </w:rPr>
        <w:t xml:space="preserve"> </w:t>
      </w:r>
      <w:r w:rsidRPr="00FF5550">
        <w:rPr>
          <w:sz w:val="24"/>
        </w:rPr>
        <w:t>record</w:t>
      </w:r>
      <w:r w:rsidR="00421F7F">
        <w:rPr>
          <w:sz w:val="24"/>
        </w:rPr>
        <w:t>. T</w:t>
      </w:r>
      <w:r w:rsidRPr="00FF5550">
        <w:rPr>
          <w:sz w:val="24"/>
        </w:rPr>
        <w:t>he Caribbean has push</w:t>
      </w:r>
      <w:r w:rsidR="00AD38F7">
        <w:rPr>
          <w:sz w:val="24"/>
        </w:rPr>
        <w:t>ed</w:t>
      </w:r>
      <w:r w:rsidRPr="00FF5550">
        <w:rPr>
          <w:sz w:val="24"/>
        </w:rPr>
        <w:t xml:space="preserve"> for regional integration to promote economic growth, financial and social stability. A relatively small donor such as Australia can gain leverage by working with existing regional and international partners.</w:t>
      </w:r>
    </w:p>
    <w:p w14:paraId="10912DDE" w14:textId="77777777" w:rsidR="00E968AB" w:rsidRDefault="00E968AB" w:rsidP="00991303">
      <w:pPr>
        <w:numPr>
          <w:ilvl w:val="0"/>
          <w:numId w:val="45"/>
        </w:numPr>
        <w:spacing w:before="80" w:after="80" w:line="280" w:lineRule="atLeast"/>
        <w:ind w:left="284" w:hanging="284"/>
        <w:jc w:val="both"/>
        <w:rPr>
          <w:sz w:val="24"/>
        </w:rPr>
      </w:pPr>
      <w:r w:rsidRPr="00FF5550">
        <w:rPr>
          <w:sz w:val="24"/>
        </w:rPr>
        <w:t>Share experience and links with the Pacific</w:t>
      </w:r>
      <w:r w:rsidR="00421F7F">
        <w:rPr>
          <w:sz w:val="24"/>
        </w:rPr>
        <w:t>.</w:t>
      </w:r>
      <w:r w:rsidRPr="00FF5550">
        <w:rPr>
          <w:sz w:val="24"/>
        </w:rPr>
        <w:t xml:space="preserve"> Australia has a long history of partnering with Pacific regional organisations</w:t>
      </w:r>
      <w:r w:rsidR="00300C71">
        <w:rPr>
          <w:rStyle w:val="EndnoteReference"/>
          <w:sz w:val="24"/>
        </w:rPr>
        <w:endnoteReference w:id="9"/>
      </w:r>
      <w:r w:rsidRPr="00FF5550">
        <w:rPr>
          <w:sz w:val="24"/>
        </w:rPr>
        <w:t xml:space="preserve"> and can play a role in bringing Caribbean and Pacific regional organisations and countries together for  reciprocal learning, lesson sharing and mutual support. </w:t>
      </w:r>
    </w:p>
    <w:p w14:paraId="10912DDF" w14:textId="77777777" w:rsidR="00E968AB" w:rsidRPr="00FF5550" w:rsidRDefault="00E968AB" w:rsidP="00991303">
      <w:pPr>
        <w:numPr>
          <w:ilvl w:val="0"/>
          <w:numId w:val="45"/>
        </w:numPr>
        <w:spacing w:before="80" w:after="80" w:line="280" w:lineRule="atLeast"/>
        <w:ind w:left="284" w:hanging="284"/>
        <w:jc w:val="both"/>
        <w:rPr>
          <w:sz w:val="24"/>
        </w:rPr>
      </w:pPr>
      <w:r w:rsidRPr="00FF5550">
        <w:rPr>
          <w:sz w:val="24"/>
        </w:rPr>
        <w:t>Focus on areas of shared interest and Australia’s comparative advantage</w:t>
      </w:r>
      <w:r w:rsidR="00421F7F">
        <w:rPr>
          <w:sz w:val="24"/>
        </w:rPr>
        <w:t>. T</w:t>
      </w:r>
      <w:r w:rsidRPr="00FF5550">
        <w:rPr>
          <w:sz w:val="24"/>
        </w:rPr>
        <w:t>he Caribbean is vulnerable to the</w:t>
      </w:r>
      <w:r w:rsidR="00887D91">
        <w:rPr>
          <w:sz w:val="24"/>
        </w:rPr>
        <w:t xml:space="preserve"> impact of climate variability. A</w:t>
      </w:r>
      <w:r w:rsidRPr="00FF5550">
        <w:rPr>
          <w:sz w:val="24"/>
        </w:rPr>
        <w:t xml:space="preserve">ustralia contributes widely to international efforts to encourage greater investment in disaster risk reduction which can preserve development gains, save lives, protect livelihoods and reduce the cost of responding to disasters. One area of particular Australian expertise </w:t>
      </w:r>
      <w:r>
        <w:rPr>
          <w:sz w:val="24"/>
        </w:rPr>
        <w:t xml:space="preserve">is the management of coral reefs and marine ecosystems. </w:t>
      </w:r>
    </w:p>
    <w:p w14:paraId="10912DE0" w14:textId="77777777" w:rsidR="004A5F35" w:rsidRDefault="00E968AB" w:rsidP="00E968AB">
      <w:pPr>
        <w:numPr>
          <w:ilvl w:val="0"/>
          <w:numId w:val="45"/>
        </w:numPr>
        <w:spacing w:before="80" w:after="80" w:line="280" w:lineRule="atLeast"/>
        <w:ind w:left="284" w:hanging="284"/>
        <w:jc w:val="both"/>
        <w:rPr>
          <w:sz w:val="24"/>
        </w:rPr>
      </w:pPr>
      <w:r w:rsidRPr="00FF5550">
        <w:rPr>
          <w:sz w:val="24"/>
        </w:rPr>
        <w:t>Build partnerships between people and institutions</w:t>
      </w:r>
      <w:r w:rsidR="004A5F35">
        <w:rPr>
          <w:sz w:val="24"/>
        </w:rPr>
        <w:t xml:space="preserve"> in Australia and the Caribbean</w:t>
      </w:r>
      <w:r w:rsidRPr="00FF5550">
        <w:rPr>
          <w:sz w:val="24"/>
        </w:rPr>
        <w:t xml:space="preserve"> – </w:t>
      </w:r>
      <w:r w:rsidR="0053543B">
        <w:rPr>
          <w:sz w:val="24"/>
        </w:rPr>
        <w:t>p</w:t>
      </w:r>
      <w:r w:rsidRPr="00FF5550">
        <w:rPr>
          <w:sz w:val="24"/>
        </w:rPr>
        <w:t xml:space="preserve">roviding technical assistance, capacity </w:t>
      </w:r>
      <w:r w:rsidR="0053543B">
        <w:rPr>
          <w:sz w:val="24"/>
        </w:rPr>
        <w:t xml:space="preserve">development </w:t>
      </w:r>
      <w:r w:rsidR="00DB65D6">
        <w:rPr>
          <w:sz w:val="24"/>
        </w:rPr>
        <w:t>and volunteers</w:t>
      </w:r>
      <w:r w:rsidR="0053543B">
        <w:rPr>
          <w:sz w:val="24"/>
        </w:rPr>
        <w:t>. T</w:t>
      </w:r>
      <w:r w:rsidRPr="00FF5550">
        <w:rPr>
          <w:sz w:val="24"/>
        </w:rPr>
        <w:t>he program aims to strengthen links between individuals and institutions, lay</w:t>
      </w:r>
      <w:r w:rsidR="0053543B">
        <w:rPr>
          <w:sz w:val="24"/>
        </w:rPr>
        <w:t>ing</w:t>
      </w:r>
      <w:r w:rsidRPr="00FF5550">
        <w:rPr>
          <w:sz w:val="24"/>
        </w:rPr>
        <w:t xml:space="preserve"> foundations for long-term collaboration </w:t>
      </w:r>
      <w:r w:rsidR="0053543B">
        <w:rPr>
          <w:sz w:val="24"/>
        </w:rPr>
        <w:t xml:space="preserve">with </w:t>
      </w:r>
      <w:r w:rsidRPr="00FF5550">
        <w:rPr>
          <w:sz w:val="24"/>
        </w:rPr>
        <w:t xml:space="preserve">stakeholders </w:t>
      </w:r>
      <w:r w:rsidR="0053543B">
        <w:rPr>
          <w:sz w:val="24"/>
        </w:rPr>
        <w:t xml:space="preserve">in </w:t>
      </w:r>
      <w:r w:rsidRPr="00FF5550">
        <w:rPr>
          <w:sz w:val="24"/>
        </w:rPr>
        <w:t>civil society, business, academia and government institutions.</w:t>
      </w:r>
    </w:p>
    <w:p w14:paraId="10912DE1" w14:textId="77777777" w:rsidR="004A5F35" w:rsidRDefault="00E968AB" w:rsidP="00E968AB">
      <w:pPr>
        <w:numPr>
          <w:ilvl w:val="0"/>
          <w:numId w:val="45"/>
        </w:numPr>
        <w:spacing w:before="80" w:after="80" w:line="280" w:lineRule="atLeast"/>
        <w:ind w:left="284" w:hanging="284"/>
        <w:jc w:val="both"/>
        <w:rPr>
          <w:sz w:val="24"/>
        </w:rPr>
      </w:pPr>
      <w:r w:rsidRPr="004A5F35">
        <w:rPr>
          <w:sz w:val="24"/>
        </w:rPr>
        <w:t xml:space="preserve">AusAID’s Caribbean program is consistent with </w:t>
      </w:r>
      <w:r w:rsidR="00953126" w:rsidRPr="00421F7F">
        <w:rPr>
          <w:sz w:val="24"/>
        </w:rPr>
        <w:t>Australia’s new aid policy</w:t>
      </w:r>
      <w:r w:rsidR="00421F7F">
        <w:rPr>
          <w:sz w:val="24"/>
        </w:rPr>
        <w:t>;</w:t>
      </w:r>
      <w:r w:rsidRPr="004A5F35">
        <w:rPr>
          <w:sz w:val="24"/>
        </w:rPr>
        <w:t xml:space="preserve"> </w:t>
      </w:r>
      <w:r w:rsidR="00E462C7" w:rsidRPr="00421F7F">
        <w:rPr>
          <w:sz w:val="24"/>
        </w:rPr>
        <w:t>Helping the World’s Poor through Effective Aid: Australia’s Comprehensive Aid Policy Framework (the CAPF)</w:t>
      </w:r>
      <w:r w:rsidR="00421F7F">
        <w:rPr>
          <w:sz w:val="24"/>
        </w:rPr>
        <w:t>.</w:t>
      </w:r>
      <w:r w:rsidR="00E462C7" w:rsidRPr="00421F7F">
        <w:rPr>
          <w:sz w:val="24"/>
        </w:rPr>
        <w:t xml:space="preserve"> </w:t>
      </w:r>
      <w:r w:rsidR="00421F7F">
        <w:rPr>
          <w:sz w:val="24"/>
        </w:rPr>
        <w:t>It is</w:t>
      </w:r>
      <w:r w:rsidRPr="004A5F35">
        <w:rPr>
          <w:sz w:val="24"/>
        </w:rPr>
        <w:t xml:space="preserve"> modest program with the bulk of assista</w:t>
      </w:r>
      <w:r w:rsidR="00421F7F">
        <w:rPr>
          <w:sz w:val="24"/>
        </w:rPr>
        <w:t>nce delivered through partners.</w:t>
      </w:r>
      <w:r w:rsidRPr="004A5F35">
        <w:rPr>
          <w:sz w:val="24"/>
        </w:rPr>
        <w:t xml:space="preserve"> Activities are aligned with regional priorities and focussed on building skills and expertise within regional institutions and frameworks</w:t>
      </w:r>
      <w:r w:rsidR="00A55FAD" w:rsidRPr="004A5F35">
        <w:rPr>
          <w:sz w:val="24"/>
        </w:rPr>
        <w:t>.</w:t>
      </w:r>
      <w:r>
        <w:rPr>
          <w:rStyle w:val="EndnoteReference"/>
          <w:sz w:val="24"/>
        </w:rPr>
        <w:endnoteReference w:id="10"/>
      </w:r>
      <w:r w:rsidRPr="004A5F35">
        <w:rPr>
          <w:sz w:val="24"/>
        </w:rPr>
        <w:t xml:space="preserve"> This benefits multiple countries across the region. It also offers more capacity to make a difference and value for money. </w:t>
      </w:r>
    </w:p>
    <w:p w14:paraId="10912DE2" w14:textId="21E8B1ED" w:rsidR="00E968AB" w:rsidRPr="004A5F35" w:rsidRDefault="00E968AB" w:rsidP="004A5F35">
      <w:pPr>
        <w:spacing w:before="80" w:after="80" w:line="280" w:lineRule="atLeast"/>
        <w:jc w:val="both"/>
        <w:rPr>
          <w:sz w:val="24"/>
        </w:rPr>
      </w:pPr>
      <w:r w:rsidRPr="004A5F35">
        <w:rPr>
          <w:sz w:val="24"/>
        </w:rPr>
        <w:t xml:space="preserve">Our approach has been well received by </w:t>
      </w:r>
      <w:r w:rsidR="00BB771A" w:rsidRPr="004A5F35">
        <w:rPr>
          <w:sz w:val="24"/>
        </w:rPr>
        <w:t>CARICOM</w:t>
      </w:r>
      <w:r w:rsidR="00BB771A">
        <w:rPr>
          <w:sz w:val="24"/>
        </w:rPr>
        <w:t>,</w:t>
      </w:r>
      <w:r w:rsidR="00BB771A" w:rsidRPr="004A5F35">
        <w:rPr>
          <w:sz w:val="24"/>
        </w:rPr>
        <w:t xml:space="preserve"> </w:t>
      </w:r>
      <w:r w:rsidRPr="004A5F35">
        <w:rPr>
          <w:sz w:val="24"/>
        </w:rPr>
        <w:t>regional organisat</w:t>
      </w:r>
      <w:r w:rsidR="00BB771A">
        <w:rPr>
          <w:sz w:val="24"/>
        </w:rPr>
        <w:t>ions and bilateral partners</w:t>
      </w:r>
      <w:r w:rsidRPr="004A5F35">
        <w:rPr>
          <w:sz w:val="24"/>
        </w:rPr>
        <w:t>.</w:t>
      </w:r>
      <w:r w:rsidR="00C906E8" w:rsidRPr="004A5F35">
        <w:rPr>
          <w:sz w:val="24"/>
        </w:rPr>
        <w:t xml:space="preserve"> </w:t>
      </w:r>
      <w:r w:rsidR="00FF0C7C" w:rsidRPr="004A5F35">
        <w:rPr>
          <w:sz w:val="24"/>
        </w:rPr>
        <w:t>Our</w:t>
      </w:r>
      <w:r w:rsidRPr="004A5F35">
        <w:rPr>
          <w:sz w:val="24"/>
        </w:rPr>
        <w:t xml:space="preserve"> </w:t>
      </w:r>
      <w:r w:rsidR="00C906E8" w:rsidRPr="004A5F35">
        <w:rPr>
          <w:sz w:val="24"/>
        </w:rPr>
        <w:t xml:space="preserve">additional </w:t>
      </w:r>
      <w:r w:rsidRPr="004A5F35">
        <w:rPr>
          <w:sz w:val="24"/>
        </w:rPr>
        <w:t>trilateral partnerships with Brazil</w:t>
      </w:r>
      <w:r w:rsidR="00953126" w:rsidRPr="004A5F35">
        <w:rPr>
          <w:sz w:val="24"/>
        </w:rPr>
        <w:t xml:space="preserve"> on water and sanitation projects in Haiti, </w:t>
      </w:r>
      <w:r w:rsidR="00BB771A">
        <w:rPr>
          <w:sz w:val="24"/>
        </w:rPr>
        <w:t xml:space="preserve">as well as cooperation </w:t>
      </w:r>
      <w:r w:rsidR="00953126" w:rsidRPr="004A5F35">
        <w:rPr>
          <w:sz w:val="24"/>
        </w:rPr>
        <w:t xml:space="preserve">with Cuba </w:t>
      </w:r>
      <w:r w:rsidR="00FF0C7C" w:rsidRPr="004A5F35">
        <w:rPr>
          <w:sz w:val="24"/>
        </w:rPr>
        <w:t>to improve health services in Haiti and the Pacific</w:t>
      </w:r>
      <w:r w:rsidR="00953126" w:rsidRPr="004A5F35">
        <w:rPr>
          <w:sz w:val="24"/>
        </w:rPr>
        <w:t xml:space="preserve"> are in line with the partnership approach</w:t>
      </w:r>
      <w:r w:rsidR="00FF0C7C" w:rsidRPr="004A5F35">
        <w:rPr>
          <w:sz w:val="24"/>
        </w:rPr>
        <w:t>.</w:t>
      </w:r>
      <w:r w:rsidR="00BA223F">
        <w:rPr>
          <w:sz w:val="24"/>
        </w:rPr>
        <w:br/>
      </w:r>
      <w:r w:rsidR="00FF0C7C" w:rsidRPr="004A5F35">
        <w:rPr>
          <w:sz w:val="24"/>
        </w:rPr>
        <w:t xml:space="preserve">  </w:t>
      </w:r>
    </w:p>
    <w:p w14:paraId="10912DE3" w14:textId="77777777" w:rsidR="00130109" w:rsidRDefault="00130109" w:rsidP="00BA223F">
      <w:pPr>
        <w:pStyle w:val="Heading1"/>
      </w:pPr>
      <w:r>
        <w:t>Progress against objectives</w:t>
      </w:r>
    </w:p>
    <w:p w14:paraId="10912DE4" w14:textId="77777777" w:rsidR="004F27D1" w:rsidRDefault="004870F6" w:rsidP="004870F6">
      <w:pPr>
        <w:spacing w:before="80" w:after="80" w:line="280" w:lineRule="atLeast"/>
        <w:jc w:val="both"/>
        <w:rPr>
          <w:sz w:val="24"/>
        </w:rPr>
      </w:pPr>
      <w:r>
        <w:rPr>
          <w:sz w:val="24"/>
        </w:rPr>
        <w:t xml:space="preserve">In December 2011, a </w:t>
      </w:r>
      <w:r w:rsidR="00C906E8">
        <w:rPr>
          <w:sz w:val="24"/>
        </w:rPr>
        <w:t xml:space="preserve">draft </w:t>
      </w:r>
      <w:r>
        <w:rPr>
          <w:sz w:val="24"/>
        </w:rPr>
        <w:t>P</w:t>
      </w:r>
      <w:r w:rsidR="00467B22" w:rsidRPr="004870F6">
        <w:rPr>
          <w:sz w:val="24"/>
        </w:rPr>
        <w:t xml:space="preserve">erformance </w:t>
      </w:r>
      <w:r>
        <w:rPr>
          <w:sz w:val="24"/>
        </w:rPr>
        <w:t>A</w:t>
      </w:r>
      <w:r w:rsidR="00467B22" w:rsidRPr="004870F6">
        <w:rPr>
          <w:sz w:val="24"/>
        </w:rPr>
        <w:t xml:space="preserve">ssessment </w:t>
      </w:r>
      <w:r>
        <w:rPr>
          <w:sz w:val="24"/>
        </w:rPr>
        <w:t>F</w:t>
      </w:r>
      <w:r w:rsidR="00467B22" w:rsidRPr="004870F6">
        <w:rPr>
          <w:sz w:val="24"/>
        </w:rPr>
        <w:t xml:space="preserve">ramework </w:t>
      </w:r>
      <w:r w:rsidR="00954203" w:rsidRPr="004870F6">
        <w:rPr>
          <w:sz w:val="24"/>
        </w:rPr>
        <w:t xml:space="preserve">(PAF) </w:t>
      </w:r>
      <w:r w:rsidR="00467B22" w:rsidRPr="004870F6">
        <w:rPr>
          <w:sz w:val="24"/>
        </w:rPr>
        <w:t>was develop</w:t>
      </w:r>
      <w:r w:rsidR="00A55FAD">
        <w:rPr>
          <w:sz w:val="24"/>
        </w:rPr>
        <w:t>ed</w:t>
      </w:r>
      <w:r w:rsidR="00954203" w:rsidRPr="004870F6">
        <w:rPr>
          <w:sz w:val="24"/>
        </w:rPr>
        <w:t xml:space="preserve"> </w:t>
      </w:r>
      <w:r w:rsidR="00467B22" w:rsidRPr="004870F6">
        <w:rPr>
          <w:sz w:val="24"/>
        </w:rPr>
        <w:t xml:space="preserve">to monitor, evaluate and communicate the results of AusAID’s </w:t>
      </w:r>
      <w:r w:rsidR="00467B22" w:rsidRPr="004870F6">
        <w:rPr>
          <w:sz w:val="24"/>
        </w:rPr>
        <w:lastRenderedPageBreak/>
        <w:t xml:space="preserve">program in the region. </w:t>
      </w:r>
      <w:r>
        <w:rPr>
          <w:sz w:val="24"/>
        </w:rPr>
        <w:t xml:space="preserve">Most of the results are small contributions in a much larger change process. </w:t>
      </w:r>
      <w:r w:rsidR="00C906E8">
        <w:rPr>
          <w:sz w:val="24"/>
        </w:rPr>
        <w:t>A finalised</w:t>
      </w:r>
      <w:r>
        <w:rPr>
          <w:sz w:val="24"/>
        </w:rPr>
        <w:t xml:space="preserve"> PAF will help us understand how we contribute to large change processes, not only by financial contributions but with new ideas. </w:t>
      </w:r>
      <w:r w:rsidR="00954203" w:rsidRPr="004870F6">
        <w:rPr>
          <w:sz w:val="24"/>
        </w:rPr>
        <w:t>P</w:t>
      </w:r>
      <w:r w:rsidR="00467B22" w:rsidRPr="004870F6">
        <w:rPr>
          <w:sz w:val="24"/>
        </w:rPr>
        <w:t xml:space="preserve">rogram objectives from </w:t>
      </w:r>
      <w:r w:rsidR="00954203" w:rsidRPr="004870F6">
        <w:rPr>
          <w:sz w:val="24"/>
        </w:rPr>
        <w:t xml:space="preserve">2010 </w:t>
      </w:r>
      <w:r w:rsidR="00467B22" w:rsidRPr="004870F6">
        <w:rPr>
          <w:sz w:val="24"/>
        </w:rPr>
        <w:t>have been adjusted</w:t>
      </w:r>
      <w:r w:rsidR="00954203" w:rsidRPr="004870F6">
        <w:rPr>
          <w:sz w:val="24"/>
        </w:rPr>
        <w:t xml:space="preserve"> in the new PAF</w:t>
      </w:r>
      <w:r w:rsidR="00467B22" w:rsidRPr="004870F6">
        <w:rPr>
          <w:sz w:val="24"/>
        </w:rPr>
        <w:t>.</w:t>
      </w:r>
      <w:r>
        <w:rPr>
          <w:sz w:val="24"/>
        </w:rPr>
        <w:t xml:space="preserve"> </w:t>
      </w:r>
      <w:r w:rsidR="006F6E3E" w:rsidRPr="004870F6">
        <w:rPr>
          <w:sz w:val="24"/>
        </w:rPr>
        <w:t xml:space="preserve">The program </w:t>
      </w:r>
      <w:r w:rsidR="00317281" w:rsidRPr="004870F6">
        <w:rPr>
          <w:sz w:val="24"/>
        </w:rPr>
        <w:t xml:space="preserve">now </w:t>
      </w:r>
      <w:r w:rsidR="006F6E3E" w:rsidRPr="004870F6">
        <w:rPr>
          <w:sz w:val="24"/>
        </w:rPr>
        <w:t xml:space="preserve">has one overarching objective </w:t>
      </w:r>
      <w:r w:rsidR="0053543B">
        <w:rPr>
          <w:sz w:val="24"/>
        </w:rPr>
        <w:t>–</w:t>
      </w:r>
      <w:r w:rsidR="006F6E3E" w:rsidRPr="004870F6">
        <w:rPr>
          <w:sz w:val="24"/>
        </w:rPr>
        <w:t xml:space="preserve"> </w:t>
      </w:r>
      <w:r w:rsidR="0053543B">
        <w:rPr>
          <w:sz w:val="24"/>
        </w:rPr>
        <w:t xml:space="preserve">that </w:t>
      </w:r>
      <w:r w:rsidR="006F6E3E" w:rsidRPr="004870F6">
        <w:rPr>
          <w:sz w:val="24"/>
        </w:rPr>
        <w:t xml:space="preserve">Australia is perceived as a valued development partner </w:t>
      </w:r>
      <w:r w:rsidR="00765776">
        <w:rPr>
          <w:sz w:val="24"/>
        </w:rPr>
        <w:t xml:space="preserve">that </w:t>
      </w:r>
      <w:r w:rsidR="006F6E3E" w:rsidRPr="004870F6">
        <w:rPr>
          <w:sz w:val="24"/>
        </w:rPr>
        <w:t>support</w:t>
      </w:r>
      <w:r w:rsidR="00765776">
        <w:rPr>
          <w:sz w:val="24"/>
        </w:rPr>
        <w:t>s</w:t>
      </w:r>
      <w:r w:rsidR="006F6E3E" w:rsidRPr="004870F6">
        <w:rPr>
          <w:sz w:val="24"/>
        </w:rPr>
        <w:t xml:space="preserve"> Caribbean countries to reduce their vulnerability to climate change, natural disasters and economic challenges</w:t>
      </w:r>
      <w:r w:rsidR="00954203" w:rsidRPr="004870F6">
        <w:rPr>
          <w:sz w:val="24"/>
        </w:rPr>
        <w:t>.</w:t>
      </w:r>
      <w:r>
        <w:rPr>
          <w:sz w:val="24"/>
        </w:rPr>
        <w:t xml:space="preserve"> </w:t>
      </w:r>
      <w:r w:rsidR="00954203" w:rsidRPr="004870F6">
        <w:rPr>
          <w:sz w:val="24"/>
        </w:rPr>
        <w:t>T</w:t>
      </w:r>
      <w:r w:rsidR="00662999" w:rsidRPr="004870F6">
        <w:rPr>
          <w:sz w:val="24"/>
        </w:rPr>
        <w:t xml:space="preserve">he following </w:t>
      </w:r>
      <w:r w:rsidR="006F6E3E" w:rsidRPr="004870F6">
        <w:rPr>
          <w:sz w:val="24"/>
        </w:rPr>
        <w:t xml:space="preserve">three ‘portfolio level’ objectives </w:t>
      </w:r>
      <w:r w:rsidR="00C906E8">
        <w:rPr>
          <w:sz w:val="24"/>
        </w:rPr>
        <w:t xml:space="preserve">in Table 1 </w:t>
      </w:r>
      <w:r w:rsidR="006F6E3E" w:rsidRPr="004870F6">
        <w:rPr>
          <w:sz w:val="24"/>
        </w:rPr>
        <w:t xml:space="preserve">support </w:t>
      </w:r>
      <w:r w:rsidR="00954203" w:rsidRPr="004870F6">
        <w:rPr>
          <w:sz w:val="24"/>
        </w:rPr>
        <w:t>the achievement of this objective</w:t>
      </w:r>
      <w:r w:rsidR="006F6E3E" w:rsidRPr="004870F6">
        <w:rPr>
          <w:sz w:val="24"/>
        </w:rPr>
        <w:t xml:space="preserve">.  </w:t>
      </w:r>
    </w:p>
    <w:p w14:paraId="10912DE5" w14:textId="77777777" w:rsidR="004F27D1" w:rsidRDefault="004F27D1" w:rsidP="006F6E3E">
      <w:pPr>
        <w:pStyle w:val="Default"/>
        <w:rPr>
          <w:sz w:val="22"/>
          <w:szCs w:val="22"/>
        </w:rPr>
      </w:pPr>
    </w:p>
    <w:p w14:paraId="10912DE6" w14:textId="77777777" w:rsidR="00092392" w:rsidRPr="00F007E9" w:rsidRDefault="00092392" w:rsidP="00F007E9">
      <w:pPr>
        <w:pStyle w:val="TableTextEntries"/>
        <w:rPr>
          <w:sz w:val="18"/>
          <w:szCs w:val="18"/>
        </w:rPr>
      </w:pPr>
      <w:r w:rsidRPr="00F007E9">
        <w:rPr>
          <w:sz w:val="18"/>
          <w:szCs w:val="18"/>
        </w:rPr>
        <w:t xml:space="preserve">Table </w:t>
      </w:r>
      <w:r w:rsidR="004E2BFF" w:rsidRPr="00F007E9">
        <w:rPr>
          <w:sz w:val="18"/>
          <w:szCs w:val="18"/>
        </w:rPr>
        <w:fldChar w:fldCharType="begin"/>
      </w:r>
      <w:r w:rsidR="004E2BFF" w:rsidRPr="00F007E9">
        <w:rPr>
          <w:sz w:val="18"/>
          <w:szCs w:val="18"/>
        </w:rPr>
        <w:instrText xml:space="preserve"> SEQ Table \* MERGEFORMAT </w:instrText>
      </w:r>
      <w:r w:rsidR="004E2BFF" w:rsidRPr="00F007E9">
        <w:rPr>
          <w:sz w:val="18"/>
          <w:szCs w:val="18"/>
        </w:rPr>
        <w:fldChar w:fldCharType="separate"/>
      </w:r>
      <w:r w:rsidR="00627E9C">
        <w:rPr>
          <w:noProof/>
          <w:sz w:val="18"/>
          <w:szCs w:val="18"/>
        </w:rPr>
        <w:t>1</w:t>
      </w:r>
      <w:r w:rsidR="004E2BFF" w:rsidRPr="00F007E9">
        <w:rPr>
          <w:sz w:val="18"/>
          <w:szCs w:val="18"/>
        </w:rPr>
        <w:fldChar w:fldCharType="end"/>
      </w:r>
      <w:r w:rsidRPr="00F007E9">
        <w:rPr>
          <w:sz w:val="18"/>
          <w:szCs w:val="18"/>
        </w:rPr>
        <w:t xml:space="preserve">: Ratings of the Caribbean program’s progress in 2011 towards program objectives </w:t>
      </w:r>
    </w:p>
    <w:tbl>
      <w:tblPr>
        <w:tblW w:w="0" w:type="auto"/>
        <w:tblInd w:w="57" w:type="dxa"/>
        <w:tblLook w:val="01E0" w:firstRow="1" w:lastRow="1" w:firstColumn="1" w:lastColumn="1" w:noHBand="0" w:noVBand="0"/>
      </w:tblPr>
      <w:tblGrid>
        <w:gridCol w:w="5725"/>
        <w:gridCol w:w="896"/>
        <w:gridCol w:w="1316"/>
      </w:tblGrid>
      <w:tr w:rsidR="00092392" w14:paraId="10912DEA" w14:textId="77777777" w:rsidTr="00092392">
        <w:trPr>
          <w:cantSplit/>
        </w:trPr>
        <w:tc>
          <w:tcPr>
            <w:tcW w:w="5725" w:type="dxa"/>
            <w:tcBorders>
              <w:top w:val="single" w:sz="12" w:space="0" w:color="auto"/>
              <w:left w:val="nil"/>
              <w:bottom w:val="single" w:sz="2" w:space="0" w:color="auto"/>
              <w:right w:val="nil"/>
            </w:tcBorders>
            <w:tcMar>
              <w:top w:w="0" w:type="dxa"/>
              <w:left w:w="57" w:type="dxa"/>
              <w:bottom w:w="0" w:type="dxa"/>
              <w:right w:w="57" w:type="dxa"/>
            </w:tcMar>
            <w:hideMark/>
          </w:tcPr>
          <w:p w14:paraId="10912DE7" w14:textId="77777777" w:rsidR="00092392" w:rsidRDefault="00092392">
            <w:pPr>
              <w:pStyle w:val="TableTextColumnHeading"/>
            </w:pPr>
            <w:r>
              <w:t>Objective</w:t>
            </w:r>
          </w:p>
        </w:tc>
        <w:tc>
          <w:tcPr>
            <w:tcW w:w="896" w:type="dxa"/>
            <w:tcBorders>
              <w:top w:val="single" w:sz="12" w:space="0" w:color="auto"/>
              <w:left w:val="nil"/>
              <w:bottom w:val="single" w:sz="2" w:space="0" w:color="auto"/>
              <w:right w:val="nil"/>
            </w:tcBorders>
            <w:tcMar>
              <w:top w:w="0" w:type="dxa"/>
              <w:left w:w="57" w:type="dxa"/>
              <w:bottom w:w="0" w:type="dxa"/>
              <w:right w:w="57" w:type="dxa"/>
            </w:tcMar>
            <w:hideMark/>
          </w:tcPr>
          <w:p w14:paraId="10912DE8" w14:textId="77777777" w:rsidR="00092392" w:rsidRDefault="00092392" w:rsidP="00575041">
            <w:pPr>
              <w:pStyle w:val="TableTextColumnHeading"/>
              <w:jc w:val="center"/>
            </w:pPr>
            <w:r>
              <w:t>Rating in 201</w:t>
            </w:r>
            <w:r w:rsidR="00575041">
              <w:t>1</w:t>
            </w:r>
          </w:p>
        </w:tc>
        <w:tc>
          <w:tcPr>
            <w:tcW w:w="1316" w:type="dxa"/>
            <w:tcBorders>
              <w:top w:val="single" w:sz="12" w:space="0" w:color="auto"/>
              <w:left w:val="nil"/>
              <w:bottom w:val="single" w:sz="2" w:space="0" w:color="auto"/>
              <w:right w:val="nil"/>
            </w:tcBorders>
            <w:tcMar>
              <w:top w:w="0" w:type="dxa"/>
              <w:left w:w="57" w:type="dxa"/>
              <w:bottom w:w="0" w:type="dxa"/>
              <w:right w:w="57" w:type="dxa"/>
            </w:tcMar>
            <w:hideMark/>
          </w:tcPr>
          <w:p w14:paraId="10912DE9" w14:textId="77777777" w:rsidR="00092392" w:rsidRDefault="00092392">
            <w:pPr>
              <w:pStyle w:val="TableTextColumnHeading"/>
              <w:jc w:val="center"/>
            </w:pPr>
            <w:r>
              <w:t xml:space="preserve">Relative to </w:t>
            </w:r>
            <w:r>
              <w:br/>
              <w:t>previous rating</w:t>
            </w:r>
          </w:p>
        </w:tc>
      </w:tr>
      <w:tr w:rsidR="00092392" w14:paraId="10912DEE" w14:textId="77777777" w:rsidTr="00092392">
        <w:trPr>
          <w:cantSplit/>
        </w:trPr>
        <w:tc>
          <w:tcPr>
            <w:tcW w:w="5725" w:type="dxa"/>
            <w:tcBorders>
              <w:top w:val="single" w:sz="2" w:space="0" w:color="auto"/>
              <w:left w:val="nil"/>
              <w:bottom w:val="nil"/>
              <w:right w:val="nil"/>
            </w:tcBorders>
            <w:tcMar>
              <w:top w:w="0" w:type="dxa"/>
              <w:left w:w="57" w:type="dxa"/>
              <w:bottom w:w="0" w:type="dxa"/>
              <w:right w:w="57" w:type="dxa"/>
            </w:tcMar>
            <w:vAlign w:val="center"/>
            <w:hideMark/>
          </w:tcPr>
          <w:p w14:paraId="10912DEB" w14:textId="77777777" w:rsidR="00092392" w:rsidRDefault="00092392">
            <w:pPr>
              <w:pStyle w:val="TableTextEntries"/>
            </w:pPr>
            <w:r>
              <w:t xml:space="preserve">Contribute to improved effectiveness of communities, nations and regional partners to reduce the impact of climate change and natural disasters  </w:t>
            </w:r>
          </w:p>
        </w:tc>
        <w:tc>
          <w:tcPr>
            <w:tcW w:w="896" w:type="dxa"/>
            <w:tcBorders>
              <w:top w:val="single" w:sz="2" w:space="0" w:color="auto"/>
              <w:left w:val="nil"/>
              <w:bottom w:val="nil"/>
              <w:right w:val="nil"/>
            </w:tcBorders>
            <w:tcMar>
              <w:top w:w="0" w:type="dxa"/>
              <w:left w:w="57" w:type="dxa"/>
              <w:bottom w:w="0" w:type="dxa"/>
              <w:right w:w="57" w:type="dxa"/>
            </w:tcMar>
            <w:vAlign w:val="center"/>
            <w:hideMark/>
          </w:tcPr>
          <w:p w14:paraId="10912DEC" w14:textId="77777777" w:rsidR="00092392" w:rsidRDefault="00092392">
            <w:pPr>
              <w:pStyle w:val="Ratingbullet"/>
            </w:pPr>
            <w:r>
              <w:rPr>
                <w:color w:val="99CC00"/>
                <w:sz w:val="18"/>
                <w:szCs w:val="18"/>
              </w:rPr>
              <w:sym w:font="Webdings" w:char="F067"/>
            </w:r>
          </w:p>
        </w:tc>
        <w:tc>
          <w:tcPr>
            <w:tcW w:w="1316" w:type="dxa"/>
            <w:tcBorders>
              <w:top w:val="single" w:sz="2" w:space="0" w:color="auto"/>
              <w:left w:val="nil"/>
              <w:bottom w:val="nil"/>
              <w:right w:val="nil"/>
            </w:tcBorders>
            <w:tcMar>
              <w:top w:w="0" w:type="dxa"/>
              <w:left w:w="57" w:type="dxa"/>
              <w:bottom w:w="0" w:type="dxa"/>
              <w:right w:w="57" w:type="dxa"/>
            </w:tcMar>
            <w:vAlign w:val="center"/>
            <w:hideMark/>
          </w:tcPr>
          <w:p w14:paraId="10912DED" w14:textId="77777777" w:rsidR="00092392" w:rsidRDefault="00092392">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Pr>
                <w:bCs/>
              </w:rPr>
              <w:t>Green</w:t>
            </w:r>
            <w:r>
              <w:rPr>
                <w:bCs/>
              </w:rPr>
              <w:fldChar w:fldCharType="end"/>
            </w:r>
          </w:p>
        </w:tc>
      </w:tr>
      <w:tr w:rsidR="00092392" w14:paraId="10912DF2" w14:textId="77777777" w:rsidTr="00092392">
        <w:trPr>
          <w:cantSplit/>
        </w:trPr>
        <w:tc>
          <w:tcPr>
            <w:tcW w:w="5725" w:type="dxa"/>
            <w:tcMar>
              <w:top w:w="0" w:type="dxa"/>
              <w:left w:w="57" w:type="dxa"/>
              <w:bottom w:w="0" w:type="dxa"/>
              <w:right w:w="57" w:type="dxa"/>
            </w:tcMar>
            <w:vAlign w:val="center"/>
            <w:hideMark/>
          </w:tcPr>
          <w:p w14:paraId="10912DEF" w14:textId="77777777" w:rsidR="00092392" w:rsidRDefault="00092392">
            <w:pPr>
              <w:pStyle w:val="TableTextEntries"/>
            </w:pPr>
            <w:r>
              <w:t xml:space="preserve">Contribute to an enhanced ability within the Caribbean to manage and respond to economic challenges in the region </w:t>
            </w:r>
          </w:p>
        </w:tc>
        <w:tc>
          <w:tcPr>
            <w:tcW w:w="896" w:type="dxa"/>
            <w:tcMar>
              <w:top w:w="0" w:type="dxa"/>
              <w:left w:w="57" w:type="dxa"/>
              <w:bottom w:w="0" w:type="dxa"/>
              <w:right w:w="57" w:type="dxa"/>
            </w:tcMar>
            <w:vAlign w:val="center"/>
            <w:hideMark/>
          </w:tcPr>
          <w:p w14:paraId="10912DF0" w14:textId="77777777" w:rsidR="00092392" w:rsidRDefault="00092392">
            <w:pPr>
              <w:pStyle w:val="Ratingbullet"/>
            </w:pPr>
            <w:r>
              <w:rPr>
                <w:color w:val="99CC00"/>
                <w:sz w:val="18"/>
                <w:szCs w:val="18"/>
              </w:rPr>
              <w:sym w:font="Webdings" w:char="F067"/>
            </w:r>
          </w:p>
        </w:tc>
        <w:tc>
          <w:tcPr>
            <w:tcW w:w="1316" w:type="dxa"/>
            <w:tcMar>
              <w:top w:w="0" w:type="dxa"/>
              <w:left w:w="57" w:type="dxa"/>
              <w:bottom w:w="0" w:type="dxa"/>
              <w:right w:w="57" w:type="dxa"/>
            </w:tcMar>
            <w:vAlign w:val="center"/>
            <w:hideMark/>
          </w:tcPr>
          <w:p w14:paraId="10912DF1" w14:textId="77777777" w:rsidR="00092392" w:rsidRDefault="00092392">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Pr>
                <w:bCs/>
              </w:rPr>
              <w:t>Green</w:t>
            </w:r>
            <w:r>
              <w:rPr>
                <w:bCs/>
              </w:rPr>
              <w:fldChar w:fldCharType="end"/>
            </w:r>
          </w:p>
        </w:tc>
      </w:tr>
      <w:tr w:rsidR="00092392" w14:paraId="10912DF6" w14:textId="77777777" w:rsidTr="00092392">
        <w:trPr>
          <w:cantSplit/>
        </w:trPr>
        <w:tc>
          <w:tcPr>
            <w:tcW w:w="5725" w:type="dxa"/>
            <w:tcMar>
              <w:top w:w="0" w:type="dxa"/>
              <w:left w:w="57" w:type="dxa"/>
              <w:bottom w:w="0" w:type="dxa"/>
              <w:right w:w="57" w:type="dxa"/>
            </w:tcMar>
            <w:vAlign w:val="center"/>
            <w:hideMark/>
          </w:tcPr>
          <w:p w14:paraId="10912DF3" w14:textId="77777777" w:rsidR="00092392" w:rsidRPr="0015133A" w:rsidRDefault="00092392">
            <w:pPr>
              <w:pStyle w:val="TableTextEntries"/>
            </w:pPr>
            <w:r>
              <w:t>Promote meaningful opportunities for interaction between Caribbean, Australian and Pacific citizens and opinion leaders which add to Caribbean knowledge and capacity to address climate change, natural disasters and economic challenges</w:t>
            </w:r>
          </w:p>
        </w:tc>
        <w:tc>
          <w:tcPr>
            <w:tcW w:w="896" w:type="dxa"/>
            <w:tcMar>
              <w:top w:w="0" w:type="dxa"/>
              <w:left w:w="57" w:type="dxa"/>
              <w:bottom w:w="0" w:type="dxa"/>
              <w:right w:w="57" w:type="dxa"/>
            </w:tcMar>
            <w:vAlign w:val="center"/>
            <w:hideMark/>
          </w:tcPr>
          <w:p w14:paraId="10912DF4" w14:textId="77777777" w:rsidR="00092392" w:rsidRDefault="00092392">
            <w:pPr>
              <w:pStyle w:val="Ratingbullet"/>
            </w:pPr>
            <w:r>
              <w:rPr>
                <w:color w:val="99CC00"/>
                <w:sz w:val="18"/>
                <w:szCs w:val="18"/>
              </w:rPr>
              <w:sym w:font="Webdings" w:char="F067"/>
            </w:r>
          </w:p>
        </w:tc>
        <w:tc>
          <w:tcPr>
            <w:tcW w:w="1316" w:type="dxa"/>
            <w:tcMar>
              <w:top w:w="0" w:type="dxa"/>
              <w:left w:w="57" w:type="dxa"/>
              <w:bottom w:w="0" w:type="dxa"/>
              <w:right w:w="57" w:type="dxa"/>
            </w:tcMar>
            <w:vAlign w:val="center"/>
            <w:hideMark/>
          </w:tcPr>
          <w:p w14:paraId="10912DF5" w14:textId="77777777" w:rsidR="00092392" w:rsidRDefault="00092392">
            <w:pPr>
              <w:pStyle w:val="TableTextEntries"/>
              <w:jc w:val="center"/>
            </w:pPr>
            <w:r>
              <w:rPr>
                <w:bCs/>
              </w:rPr>
              <w:fldChar w:fldCharType="begin"/>
            </w:r>
            <w:r>
              <w:rPr>
                <w:bCs/>
              </w:rPr>
              <w:instrText xml:space="preserve"> AUTOTEXTLIST  \s "Table Text Entries"\t "Right click to choose a response" \* MERGEFORMAT </w:instrText>
            </w:r>
            <w:r>
              <w:rPr>
                <w:bCs/>
              </w:rPr>
              <w:fldChar w:fldCharType="separate"/>
            </w:r>
            <w:r>
              <w:rPr>
                <w:bCs/>
              </w:rPr>
              <w:t>Green</w:t>
            </w:r>
            <w:r>
              <w:rPr>
                <w:bCs/>
              </w:rPr>
              <w:fldChar w:fldCharType="end"/>
            </w:r>
          </w:p>
        </w:tc>
      </w:tr>
      <w:tr w:rsidR="00092392" w14:paraId="10912DFA" w14:textId="77777777" w:rsidTr="00092392">
        <w:trPr>
          <w:cantSplit/>
        </w:trPr>
        <w:tc>
          <w:tcPr>
            <w:tcW w:w="5725" w:type="dxa"/>
            <w:tcBorders>
              <w:top w:val="nil"/>
              <w:left w:val="nil"/>
              <w:bottom w:val="single" w:sz="12" w:space="0" w:color="auto"/>
              <w:right w:val="nil"/>
            </w:tcBorders>
            <w:tcMar>
              <w:top w:w="0" w:type="dxa"/>
              <w:left w:w="57" w:type="dxa"/>
              <w:bottom w:w="0" w:type="dxa"/>
              <w:right w:w="57" w:type="dxa"/>
            </w:tcMar>
            <w:vAlign w:val="center"/>
          </w:tcPr>
          <w:p w14:paraId="10912DF7" w14:textId="77777777" w:rsidR="00092392" w:rsidRDefault="00092392">
            <w:pPr>
              <w:pStyle w:val="TableTextEntries"/>
            </w:pPr>
          </w:p>
        </w:tc>
        <w:tc>
          <w:tcPr>
            <w:tcW w:w="896" w:type="dxa"/>
            <w:tcBorders>
              <w:top w:val="nil"/>
              <w:left w:val="nil"/>
              <w:bottom w:val="single" w:sz="12" w:space="0" w:color="auto"/>
              <w:right w:val="nil"/>
            </w:tcBorders>
            <w:tcMar>
              <w:top w:w="0" w:type="dxa"/>
              <w:left w:w="57" w:type="dxa"/>
              <w:bottom w:w="0" w:type="dxa"/>
              <w:right w:w="57" w:type="dxa"/>
            </w:tcMar>
            <w:vAlign w:val="center"/>
          </w:tcPr>
          <w:p w14:paraId="10912DF8" w14:textId="77777777" w:rsidR="00092392" w:rsidRDefault="00092392">
            <w:pPr>
              <w:pStyle w:val="Ratingbullet"/>
            </w:pPr>
          </w:p>
        </w:tc>
        <w:tc>
          <w:tcPr>
            <w:tcW w:w="1316" w:type="dxa"/>
            <w:tcBorders>
              <w:top w:val="nil"/>
              <w:left w:val="nil"/>
              <w:bottom w:val="single" w:sz="12" w:space="0" w:color="auto"/>
              <w:right w:val="nil"/>
            </w:tcBorders>
            <w:tcMar>
              <w:top w:w="0" w:type="dxa"/>
              <w:left w:w="57" w:type="dxa"/>
              <w:bottom w:w="0" w:type="dxa"/>
              <w:right w:w="57" w:type="dxa"/>
            </w:tcMar>
            <w:vAlign w:val="center"/>
          </w:tcPr>
          <w:p w14:paraId="10912DF9" w14:textId="77777777" w:rsidR="00092392" w:rsidRDefault="00092392">
            <w:pPr>
              <w:pStyle w:val="TableTextEntries"/>
              <w:jc w:val="center"/>
            </w:pPr>
          </w:p>
        </w:tc>
      </w:tr>
    </w:tbl>
    <w:p w14:paraId="10912DFB" w14:textId="77777777" w:rsidR="00092392" w:rsidRDefault="00092392" w:rsidP="00EC2403">
      <w:pPr>
        <w:pStyle w:val="Note"/>
        <w:keepNext/>
      </w:pPr>
      <w:r>
        <w:t xml:space="preserve">Note: </w:t>
      </w:r>
    </w:p>
    <w:p w14:paraId="10912DFC" w14:textId="77777777" w:rsidR="00092392" w:rsidRDefault="00092392" w:rsidP="00092392">
      <w:pPr>
        <w:pStyle w:val="Note"/>
        <w:keepNext/>
        <w:numPr>
          <w:ilvl w:val="0"/>
          <w:numId w:val="18"/>
        </w:numPr>
        <w:spacing w:before="0"/>
      </w:pPr>
      <w:r>
        <w:rPr>
          <w:color w:val="99CC00"/>
          <w:sz w:val="18"/>
          <w:szCs w:val="18"/>
        </w:rPr>
        <w:sym w:font="Webdings" w:char="F067"/>
      </w:r>
      <w:r>
        <w:rPr>
          <w:rFonts w:ascii="Arial Unicode MS" w:eastAsia="Arial Unicode MS" w:hAnsi="Arial Unicode MS" w:cs="Arial Unicode MS" w:hint="eastAsia"/>
          <w:lang w:val="en-US"/>
        </w:rPr>
        <w:t> </w:t>
      </w:r>
      <w:r>
        <w:t>The objective will be fully achieved within the timeframe of the strategy.</w:t>
      </w:r>
    </w:p>
    <w:p w14:paraId="10912DFD" w14:textId="77777777" w:rsidR="00092392" w:rsidRDefault="00092392" w:rsidP="00092392">
      <w:pPr>
        <w:pStyle w:val="Note"/>
        <w:keepNext/>
        <w:numPr>
          <w:ilvl w:val="0"/>
          <w:numId w:val="18"/>
        </w:numPr>
        <w:spacing w:before="0"/>
      </w:pPr>
      <w:r>
        <w:rPr>
          <w:color w:val="FF9900"/>
          <w:sz w:val="18"/>
          <w:szCs w:val="18"/>
        </w:rPr>
        <w:sym w:font="Webdings" w:char="F067"/>
      </w:r>
      <w:r>
        <w:rPr>
          <w:rFonts w:ascii="Arial Unicode MS" w:eastAsia="Arial Unicode MS" w:hAnsi="Arial Unicode MS" w:cs="Arial Unicode MS" w:hint="eastAsia"/>
          <w:lang w:val="en-US"/>
        </w:rPr>
        <w:t> </w:t>
      </w:r>
      <w:r>
        <w:t>The objective will be partly achieved within the timeframe of the strategy.</w:t>
      </w:r>
    </w:p>
    <w:p w14:paraId="10912DFE" w14:textId="77777777" w:rsidR="00092392" w:rsidRDefault="00092392" w:rsidP="00092392">
      <w:pPr>
        <w:pStyle w:val="Note"/>
        <w:keepNext/>
        <w:numPr>
          <w:ilvl w:val="0"/>
          <w:numId w:val="18"/>
        </w:numPr>
        <w:spacing w:before="0"/>
      </w:pPr>
      <w:r>
        <w:rPr>
          <w:color w:val="FF0000"/>
          <w:sz w:val="18"/>
          <w:szCs w:val="18"/>
        </w:rPr>
        <w:sym w:font="Webdings" w:char="F067"/>
      </w:r>
      <w:r>
        <w:rPr>
          <w:rFonts w:ascii="Arial Unicode MS" w:eastAsia="Arial Unicode MS" w:hAnsi="Arial Unicode MS" w:cs="Arial Unicode MS" w:hint="eastAsia"/>
          <w:lang w:val="en-US"/>
        </w:rPr>
        <w:t> </w:t>
      </w:r>
      <w:r>
        <w:t>The objective is unlikely to be achieved within the timeframe of the strategy.</w:t>
      </w:r>
    </w:p>
    <w:p w14:paraId="10912DFF" w14:textId="77777777" w:rsidR="00092392" w:rsidRDefault="00092392" w:rsidP="004323E1">
      <w:pPr>
        <w:pStyle w:val="Caption"/>
      </w:pPr>
    </w:p>
    <w:p w14:paraId="10912E00" w14:textId="77777777" w:rsidR="00092392" w:rsidRDefault="00092392" w:rsidP="00BA223F">
      <w:pPr>
        <w:pStyle w:val="Heading2"/>
      </w:pPr>
      <w:r>
        <w:t>Objective 1 – Contribute to improved effectiveness of communities, nations and regional partners to reduce the impact of climate change and natural disasters:</w:t>
      </w:r>
    </w:p>
    <w:p w14:paraId="10912E01" w14:textId="77777777" w:rsidR="0055488F" w:rsidRPr="00D44B7C" w:rsidRDefault="0055488F" w:rsidP="0055488F">
      <w:pPr>
        <w:pStyle w:val="Note"/>
        <w:keepNext/>
        <w:spacing w:before="0"/>
        <w:rPr>
          <w:sz w:val="22"/>
          <w:szCs w:val="22"/>
        </w:rPr>
      </w:pPr>
      <w:r w:rsidRPr="00D44B7C">
        <w:rPr>
          <w:rFonts w:cs="Arial"/>
          <w:sz w:val="22"/>
          <w:szCs w:val="22"/>
        </w:rPr>
        <w:t xml:space="preserve">Rating: </w:t>
      </w:r>
      <w:r w:rsidRPr="00D44B7C">
        <w:rPr>
          <w:color w:val="99CC00"/>
          <w:sz w:val="22"/>
          <w:szCs w:val="22"/>
        </w:rPr>
        <w:sym w:font="Webdings" w:char="F067"/>
      </w:r>
      <w:r w:rsidRPr="00D44B7C">
        <w:rPr>
          <w:rFonts w:ascii="Arial Unicode MS" w:eastAsia="Arial Unicode MS" w:hAnsi="Arial Unicode MS" w:cs="Arial Unicode MS" w:hint="eastAsia"/>
          <w:sz w:val="22"/>
          <w:szCs w:val="22"/>
          <w:lang w:val="en-US"/>
        </w:rPr>
        <w:t> </w:t>
      </w:r>
      <w:r w:rsidRPr="00D44B7C">
        <w:rPr>
          <w:sz w:val="22"/>
          <w:szCs w:val="22"/>
        </w:rPr>
        <w:t xml:space="preserve">The objective will be fully achieved within the timeframe of the </w:t>
      </w:r>
      <w:r w:rsidR="004D4034">
        <w:rPr>
          <w:sz w:val="22"/>
          <w:szCs w:val="22"/>
        </w:rPr>
        <w:t>Ministerial commitment</w:t>
      </w:r>
      <w:r w:rsidRPr="00D44B7C">
        <w:rPr>
          <w:sz w:val="22"/>
          <w:szCs w:val="22"/>
        </w:rPr>
        <w:t>.</w:t>
      </w:r>
    </w:p>
    <w:p w14:paraId="10912E02" w14:textId="77777777" w:rsidR="00BF7D17" w:rsidRDefault="00BF7D17" w:rsidP="00DF7C26">
      <w:pPr>
        <w:jc w:val="both"/>
        <w:rPr>
          <w:sz w:val="24"/>
        </w:rPr>
      </w:pPr>
    </w:p>
    <w:p w14:paraId="10912E03" w14:textId="77777777" w:rsidR="00025FF9" w:rsidRDefault="003462D5" w:rsidP="00DF7C26">
      <w:pPr>
        <w:jc w:val="both"/>
        <w:rPr>
          <w:sz w:val="24"/>
        </w:rPr>
      </w:pPr>
      <w:r w:rsidRPr="004A5F35">
        <w:rPr>
          <w:sz w:val="24"/>
        </w:rPr>
        <w:t>Australia</w:t>
      </w:r>
      <w:r w:rsidR="003A0D59" w:rsidRPr="004A5F35">
        <w:rPr>
          <w:sz w:val="24"/>
        </w:rPr>
        <w:t xml:space="preserve"> has invested</w:t>
      </w:r>
      <w:r w:rsidR="0063779E" w:rsidRPr="004A5F35">
        <w:rPr>
          <w:sz w:val="24"/>
        </w:rPr>
        <w:t xml:space="preserve"> in increasing the </w:t>
      </w:r>
      <w:r w:rsidR="004A5F35" w:rsidRPr="004A5F35">
        <w:rPr>
          <w:sz w:val="24"/>
        </w:rPr>
        <w:t xml:space="preserve">skills and expertise </w:t>
      </w:r>
      <w:r w:rsidR="004A5F35">
        <w:rPr>
          <w:sz w:val="24"/>
        </w:rPr>
        <w:t>of</w:t>
      </w:r>
      <w:r w:rsidR="0063779E" w:rsidRPr="004A5F35">
        <w:rPr>
          <w:sz w:val="24"/>
        </w:rPr>
        <w:t xml:space="preserve"> </w:t>
      </w:r>
      <w:r w:rsidRPr="004A5F35">
        <w:rPr>
          <w:sz w:val="24"/>
        </w:rPr>
        <w:t>regional institutions</w:t>
      </w:r>
      <w:r w:rsidR="003A0D59" w:rsidRPr="004A5F35">
        <w:rPr>
          <w:sz w:val="24"/>
        </w:rPr>
        <w:t xml:space="preserve"> to help</w:t>
      </w:r>
      <w:r w:rsidR="0063779E" w:rsidRPr="004A5F35">
        <w:rPr>
          <w:sz w:val="24"/>
        </w:rPr>
        <w:t xml:space="preserve"> Caribbean countries </w:t>
      </w:r>
      <w:r w:rsidR="007B47CD" w:rsidRPr="004A5F35">
        <w:rPr>
          <w:sz w:val="24"/>
        </w:rPr>
        <w:t xml:space="preserve">reduce </w:t>
      </w:r>
      <w:r w:rsidR="00690B9F" w:rsidRPr="004A5F35">
        <w:rPr>
          <w:sz w:val="24"/>
        </w:rPr>
        <w:t>vulnerabilities associated with climate change and better prepare</w:t>
      </w:r>
      <w:r w:rsidR="00765776">
        <w:rPr>
          <w:sz w:val="24"/>
        </w:rPr>
        <w:t>dness to</w:t>
      </w:r>
      <w:r w:rsidR="00270223">
        <w:rPr>
          <w:sz w:val="24"/>
        </w:rPr>
        <w:t xml:space="preserve"> act</w:t>
      </w:r>
      <w:r w:rsidR="00690B9F" w:rsidRPr="004A5F35">
        <w:rPr>
          <w:sz w:val="24"/>
        </w:rPr>
        <w:t xml:space="preserve"> and respond to disasters </w:t>
      </w:r>
      <w:r w:rsidR="0063779E" w:rsidRPr="004A5F35">
        <w:rPr>
          <w:sz w:val="24"/>
        </w:rPr>
        <w:t>in the region</w:t>
      </w:r>
      <w:r w:rsidR="007B47CD" w:rsidRPr="004A5F35">
        <w:rPr>
          <w:sz w:val="24"/>
        </w:rPr>
        <w:t>.</w:t>
      </w:r>
      <w:r w:rsidR="007B47CD">
        <w:rPr>
          <w:sz w:val="24"/>
        </w:rPr>
        <w:t xml:space="preserve"> </w:t>
      </w:r>
    </w:p>
    <w:p w14:paraId="10912E04" w14:textId="77777777" w:rsidR="0063779E" w:rsidRDefault="0063779E" w:rsidP="00DF7C26">
      <w:pPr>
        <w:jc w:val="both"/>
        <w:rPr>
          <w:sz w:val="24"/>
        </w:rPr>
      </w:pPr>
    </w:p>
    <w:p w14:paraId="10912E05" w14:textId="77777777" w:rsidR="00D60CCF" w:rsidRDefault="00D60CCF" w:rsidP="001D5A1E">
      <w:pPr>
        <w:jc w:val="both"/>
        <w:rPr>
          <w:sz w:val="24"/>
        </w:rPr>
      </w:pPr>
      <w:r w:rsidRPr="004A5F35">
        <w:rPr>
          <w:sz w:val="24"/>
        </w:rPr>
        <w:t>Australia’s</w:t>
      </w:r>
      <w:r w:rsidR="00224912" w:rsidRPr="004A5F35">
        <w:rPr>
          <w:sz w:val="24"/>
        </w:rPr>
        <w:t xml:space="preserve"> contribution</w:t>
      </w:r>
      <w:r w:rsidR="00025FF9" w:rsidRPr="004A5F35">
        <w:rPr>
          <w:sz w:val="24"/>
        </w:rPr>
        <w:t xml:space="preserve"> has helped </w:t>
      </w:r>
      <w:r w:rsidR="001D5A1E" w:rsidRPr="004A5F35">
        <w:rPr>
          <w:sz w:val="24"/>
        </w:rPr>
        <w:t xml:space="preserve">build up the </w:t>
      </w:r>
      <w:r w:rsidR="0063779E" w:rsidRPr="004A5F35">
        <w:rPr>
          <w:sz w:val="24"/>
        </w:rPr>
        <w:t>Caribbean Community Climate Change Centre’</w:t>
      </w:r>
      <w:r w:rsidR="00224912" w:rsidRPr="004A5F35">
        <w:rPr>
          <w:sz w:val="24"/>
        </w:rPr>
        <w:t>s</w:t>
      </w:r>
      <w:r w:rsidR="0063779E" w:rsidRPr="004A5F35">
        <w:rPr>
          <w:sz w:val="24"/>
        </w:rPr>
        <w:t xml:space="preserve"> </w:t>
      </w:r>
      <w:r w:rsidR="00270223">
        <w:rPr>
          <w:sz w:val="24"/>
        </w:rPr>
        <w:t xml:space="preserve">(5Cs) </w:t>
      </w:r>
      <w:r w:rsidR="00690B9F" w:rsidRPr="004A5F35">
        <w:rPr>
          <w:sz w:val="24"/>
        </w:rPr>
        <w:t xml:space="preserve">human resource </w:t>
      </w:r>
      <w:r w:rsidR="0063779E" w:rsidRPr="004A5F35">
        <w:rPr>
          <w:sz w:val="24"/>
        </w:rPr>
        <w:t xml:space="preserve">capability to attract donor funding </w:t>
      </w:r>
      <w:r w:rsidR="00753B12" w:rsidRPr="004A5F35">
        <w:rPr>
          <w:sz w:val="24"/>
        </w:rPr>
        <w:t>and</w:t>
      </w:r>
      <w:r w:rsidR="0063779E" w:rsidRPr="004A5F35">
        <w:rPr>
          <w:sz w:val="24"/>
        </w:rPr>
        <w:t xml:space="preserve"> manage activities to reduce the impact of climate change</w:t>
      </w:r>
      <w:r w:rsidRPr="004A5F35">
        <w:rPr>
          <w:sz w:val="24"/>
        </w:rPr>
        <w:t xml:space="preserve"> in Caribbean communities</w:t>
      </w:r>
      <w:r w:rsidR="001D5A1E" w:rsidRPr="004A5F35">
        <w:rPr>
          <w:sz w:val="24"/>
        </w:rPr>
        <w:t xml:space="preserve">. </w:t>
      </w:r>
      <w:r w:rsidRPr="004A5F35">
        <w:rPr>
          <w:sz w:val="24"/>
        </w:rPr>
        <w:t>Our support has enabled 5Cs to increase its human resources and establish more robust administrative and fiduciary systems.  This has contributed to increased technical support and guidance to implementing agencies through recruitment of additional technical, professional and administrative support staff.</w:t>
      </w:r>
    </w:p>
    <w:p w14:paraId="10912E06" w14:textId="77777777" w:rsidR="00D60CCF" w:rsidRDefault="00D60CCF" w:rsidP="001D5A1E">
      <w:pPr>
        <w:jc w:val="both"/>
        <w:rPr>
          <w:sz w:val="24"/>
        </w:rPr>
      </w:pPr>
    </w:p>
    <w:p w14:paraId="10912E07" w14:textId="77777777" w:rsidR="001D5A1E" w:rsidRDefault="004D4034" w:rsidP="001D5A1E">
      <w:pPr>
        <w:jc w:val="both"/>
        <w:rPr>
          <w:sz w:val="24"/>
        </w:rPr>
      </w:pPr>
      <w:r>
        <w:rPr>
          <w:sz w:val="24"/>
        </w:rPr>
        <w:t xml:space="preserve">The 5Cs’ strengthened </w:t>
      </w:r>
      <w:r w:rsidR="00467B22" w:rsidRPr="00DD3D1D">
        <w:rPr>
          <w:sz w:val="24"/>
        </w:rPr>
        <w:t>capacity was</w:t>
      </w:r>
      <w:r w:rsidR="001D5A1E">
        <w:rPr>
          <w:sz w:val="24"/>
        </w:rPr>
        <w:t xml:space="preserve"> recently</w:t>
      </w:r>
      <w:r w:rsidR="00467B22" w:rsidRPr="00DD3D1D">
        <w:rPr>
          <w:sz w:val="24"/>
        </w:rPr>
        <w:t xml:space="preserve"> recognised when </w:t>
      </w:r>
      <w:r>
        <w:rPr>
          <w:sz w:val="24"/>
        </w:rPr>
        <w:t>it was</w:t>
      </w:r>
      <w:r w:rsidR="00467B22" w:rsidRPr="00DD3D1D">
        <w:rPr>
          <w:sz w:val="24"/>
        </w:rPr>
        <w:t xml:space="preserve"> elected </w:t>
      </w:r>
      <w:r>
        <w:rPr>
          <w:sz w:val="24"/>
        </w:rPr>
        <w:t>by the World Bank and SIDS partners</w:t>
      </w:r>
      <w:r w:rsidRPr="00DD3D1D">
        <w:rPr>
          <w:sz w:val="24"/>
        </w:rPr>
        <w:t xml:space="preserve"> </w:t>
      </w:r>
      <w:r w:rsidR="002C3EBA">
        <w:rPr>
          <w:sz w:val="24"/>
        </w:rPr>
        <w:t>as</w:t>
      </w:r>
      <w:r w:rsidR="00467B22" w:rsidRPr="00DD3D1D">
        <w:rPr>
          <w:sz w:val="24"/>
        </w:rPr>
        <w:t xml:space="preserve"> the Secretariat for SIDSDOCK (a venture capital fund for SIDS climate change management and climate change adaptation initiatives). </w:t>
      </w:r>
      <w:r w:rsidR="00467B22" w:rsidRPr="005D7671">
        <w:rPr>
          <w:sz w:val="24"/>
        </w:rPr>
        <w:t>5Cs is currently being accredited as</w:t>
      </w:r>
      <w:r w:rsidR="001D5A1E" w:rsidRPr="005D7671">
        <w:rPr>
          <w:sz w:val="24"/>
        </w:rPr>
        <w:t xml:space="preserve"> a Regional Implementing Entity </w:t>
      </w:r>
      <w:r w:rsidR="00467B22" w:rsidRPr="005D7671">
        <w:rPr>
          <w:sz w:val="24"/>
        </w:rPr>
        <w:t>for the Adaptation Fund</w:t>
      </w:r>
      <w:r w:rsidR="005D7671">
        <w:rPr>
          <w:sz w:val="24"/>
        </w:rPr>
        <w:t xml:space="preserve">, which finances </w:t>
      </w:r>
      <w:r w:rsidR="005D7671" w:rsidRPr="005D7671">
        <w:rPr>
          <w:sz w:val="24"/>
        </w:rPr>
        <w:t>projects and programs to help developing countries adapt to the negative effects of climate change.</w:t>
      </w:r>
      <w:r w:rsidR="005D7671">
        <w:rPr>
          <w:sz w:val="24"/>
        </w:rPr>
        <w:t xml:space="preserve"> </w:t>
      </w:r>
      <w:r>
        <w:rPr>
          <w:sz w:val="24"/>
        </w:rPr>
        <w:t>T</w:t>
      </w:r>
      <w:r w:rsidR="001D5A1E">
        <w:rPr>
          <w:sz w:val="24"/>
        </w:rPr>
        <w:t>he 5Cs</w:t>
      </w:r>
      <w:r>
        <w:rPr>
          <w:sz w:val="24"/>
        </w:rPr>
        <w:t xml:space="preserve"> also</w:t>
      </w:r>
      <w:r w:rsidR="001D5A1E">
        <w:rPr>
          <w:sz w:val="24"/>
        </w:rPr>
        <w:t xml:space="preserve"> signed an MOU in 2011 </w:t>
      </w:r>
      <w:r>
        <w:rPr>
          <w:sz w:val="24"/>
        </w:rPr>
        <w:t xml:space="preserve">with the Secretariat of the Pacific Regional Environment Program </w:t>
      </w:r>
      <w:r w:rsidR="001D5A1E">
        <w:rPr>
          <w:sz w:val="24"/>
        </w:rPr>
        <w:t>to collaborate on reducing the impact of climate change</w:t>
      </w:r>
      <w:r>
        <w:rPr>
          <w:sz w:val="24"/>
        </w:rPr>
        <w:t>.</w:t>
      </w:r>
      <w:r w:rsidR="001D5A1E">
        <w:rPr>
          <w:sz w:val="24"/>
        </w:rPr>
        <w:t xml:space="preserve"> </w:t>
      </w:r>
      <w:r>
        <w:rPr>
          <w:sz w:val="24"/>
        </w:rPr>
        <w:t>A</w:t>
      </w:r>
      <w:r w:rsidR="001D5A1E">
        <w:rPr>
          <w:sz w:val="24"/>
        </w:rPr>
        <w:t xml:space="preserve"> joint pavilion at </w:t>
      </w:r>
      <w:r w:rsidR="00765776">
        <w:rPr>
          <w:sz w:val="24"/>
        </w:rPr>
        <w:t xml:space="preserve">the </w:t>
      </w:r>
      <w:r w:rsidR="001D5A1E">
        <w:rPr>
          <w:sz w:val="24"/>
        </w:rPr>
        <w:t>U</w:t>
      </w:r>
      <w:r w:rsidR="00AD38F7">
        <w:rPr>
          <w:sz w:val="24"/>
        </w:rPr>
        <w:t xml:space="preserve">nited </w:t>
      </w:r>
      <w:r w:rsidR="001D5A1E">
        <w:rPr>
          <w:sz w:val="24"/>
        </w:rPr>
        <w:t>N</w:t>
      </w:r>
      <w:r w:rsidR="00AD38F7">
        <w:rPr>
          <w:sz w:val="24"/>
        </w:rPr>
        <w:t xml:space="preserve">ations </w:t>
      </w:r>
      <w:r w:rsidR="001D5A1E">
        <w:rPr>
          <w:sz w:val="24"/>
        </w:rPr>
        <w:t>F</w:t>
      </w:r>
      <w:r w:rsidR="00AD38F7">
        <w:rPr>
          <w:sz w:val="24"/>
        </w:rPr>
        <w:t xml:space="preserve">ramework </w:t>
      </w:r>
      <w:r w:rsidR="001D5A1E">
        <w:rPr>
          <w:sz w:val="24"/>
        </w:rPr>
        <w:t>C</w:t>
      </w:r>
      <w:r w:rsidR="00AD38F7">
        <w:rPr>
          <w:sz w:val="24"/>
        </w:rPr>
        <w:t>onvention on Climate Change 17</w:t>
      </w:r>
      <w:r w:rsidR="00AD38F7" w:rsidRPr="00036C8B">
        <w:rPr>
          <w:sz w:val="24"/>
          <w:vertAlign w:val="superscript"/>
        </w:rPr>
        <w:t>th</w:t>
      </w:r>
      <w:r w:rsidR="00AD38F7">
        <w:rPr>
          <w:sz w:val="24"/>
        </w:rPr>
        <w:t xml:space="preserve"> Conference of the Parties (UNFCCC</w:t>
      </w:r>
      <w:r w:rsidR="001D5A1E">
        <w:rPr>
          <w:sz w:val="24"/>
        </w:rPr>
        <w:t xml:space="preserve"> COP17</w:t>
      </w:r>
      <w:r w:rsidR="00AD38F7">
        <w:rPr>
          <w:sz w:val="24"/>
        </w:rPr>
        <w:t>)</w:t>
      </w:r>
      <w:r w:rsidR="001D5A1E">
        <w:rPr>
          <w:sz w:val="24"/>
        </w:rPr>
        <w:t xml:space="preserve"> in Durban is a practical example</w:t>
      </w:r>
      <w:r>
        <w:rPr>
          <w:sz w:val="24"/>
        </w:rPr>
        <w:t xml:space="preserve"> of such collaboration</w:t>
      </w:r>
      <w:r w:rsidR="001D5A1E">
        <w:rPr>
          <w:sz w:val="24"/>
        </w:rPr>
        <w:t xml:space="preserve">. </w:t>
      </w:r>
    </w:p>
    <w:p w14:paraId="10912E08" w14:textId="77777777" w:rsidR="001D5A1E" w:rsidRDefault="001D5A1E" w:rsidP="00DF7C26">
      <w:pPr>
        <w:jc w:val="both"/>
        <w:rPr>
          <w:sz w:val="24"/>
        </w:rPr>
      </w:pPr>
    </w:p>
    <w:p w14:paraId="10912E09" w14:textId="77777777" w:rsidR="00467B22" w:rsidRPr="00E867CF" w:rsidRDefault="001D5A1E" w:rsidP="00DF7C26">
      <w:pPr>
        <w:jc w:val="both"/>
        <w:rPr>
          <w:sz w:val="24"/>
        </w:rPr>
      </w:pPr>
      <w:r>
        <w:rPr>
          <w:sz w:val="24"/>
        </w:rPr>
        <w:t>W</w:t>
      </w:r>
      <w:r w:rsidR="001F6F82">
        <w:rPr>
          <w:sz w:val="24"/>
        </w:rPr>
        <w:t xml:space="preserve">ith </w:t>
      </w:r>
      <w:r w:rsidR="00467B22" w:rsidRPr="00DD3D1D">
        <w:rPr>
          <w:sz w:val="24"/>
        </w:rPr>
        <w:t>support from Australia and other donors,</w:t>
      </w:r>
      <w:r w:rsidR="001F6F82">
        <w:rPr>
          <w:sz w:val="24"/>
        </w:rPr>
        <w:t xml:space="preserve"> </w:t>
      </w:r>
      <w:r>
        <w:rPr>
          <w:sz w:val="24"/>
        </w:rPr>
        <w:t>the 5Cs</w:t>
      </w:r>
      <w:r w:rsidR="001F6F82">
        <w:rPr>
          <w:sz w:val="24"/>
        </w:rPr>
        <w:t xml:space="preserve"> </w:t>
      </w:r>
      <w:r w:rsidR="001156BA">
        <w:rPr>
          <w:sz w:val="24"/>
        </w:rPr>
        <w:t xml:space="preserve">also </w:t>
      </w:r>
      <w:r w:rsidR="001F6F82">
        <w:rPr>
          <w:sz w:val="24"/>
        </w:rPr>
        <w:t>helped</w:t>
      </w:r>
      <w:r w:rsidR="00467B22" w:rsidRPr="00DD3D1D">
        <w:rPr>
          <w:sz w:val="24"/>
        </w:rPr>
        <w:t xml:space="preserve"> </w:t>
      </w:r>
      <w:r w:rsidR="001F6F82">
        <w:rPr>
          <w:sz w:val="24"/>
        </w:rPr>
        <w:t xml:space="preserve">the </w:t>
      </w:r>
      <w:r w:rsidR="00467B22" w:rsidRPr="00DD3D1D">
        <w:rPr>
          <w:sz w:val="24"/>
        </w:rPr>
        <w:t>4</w:t>
      </w:r>
      <w:r w:rsidR="002A36D8">
        <w:rPr>
          <w:sz w:val="24"/>
        </w:rPr>
        <w:t xml:space="preserve"> </w:t>
      </w:r>
      <w:r w:rsidR="00467B22" w:rsidRPr="00DD3D1D">
        <w:rPr>
          <w:sz w:val="24"/>
        </w:rPr>
        <w:t xml:space="preserve">874 </w:t>
      </w:r>
      <w:r w:rsidR="001F6F82">
        <w:rPr>
          <w:sz w:val="24"/>
        </w:rPr>
        <w:t xml:space="preserve">people </w:t>
      </w:r>
      <w:r w:rsidR="00467B22" w:rsidRPr="00DD3D1D">
        <w:rPr>
          <w:sz w:val="24"/>
        </w:rPr>
        <w:t>of Bequia</w:t>
      </w:r>
      <w:r w:rsidR="001F6F82">
        <w:rPr>
          <w:sz w:val="24"/>
        </w:rPr>
        <w:t xml:space="preserve"> in</w:t>
      </w:r>
      <w:r w:rsidR="00025FF9">
        <w:rPr>
          <w:sz w:val="24"/>
        </w:rPr>
        <w:t xml:space="preserve"> St. Vincent </w:t>
      </w:r>
      <w:r w:rsidR="00270223">
        <w:rPr>
          <w:sz w:val="24"/>
        </w:rPr>
        <w:t>and</w:t>
      </w:r>
      <w:r w:rsidR="00467B22" w:rsidRPr="00DD3D1D">
        <w:rPr>
          <w:sz w:val="24"/>
        </w:rPr>
        <w:t xml:space="preserve"> the Grenadines benefit from a </w:t>
      </w:r>
      <w:r w:rsidR="00025FF9">
        <w:rPr>
          <w:sz w:val="24"/>
        </w:rPr>
        <w:t xml:space="preserve">solar powered </w:t>
      </w:r>
      <w:r w:rsidR="005604CA">
        <w:rPr>
          <w:sz w:val="24"/>
        </w:rPr>
        <w:t>desalination plant</w:t>
      </w:r>
      <w:r w:rsidR="00467B22" w:rsidRPr="00DD3D1D">
        <w:rPr>
          <w:sz w:val="24"/>
        </w:rPr>
        <w:t xml:space="preserve"> that produce</w:t>
      </w:r>
      <w:r w:rsidR="00025FF9">
        <w:rPr>
          <w:sz w:val="24"/>
        </w:rPr>
        <w:t>s</w:t>
      </w:r>
      <w:r w:rsidR="00467B22" w:rsidRPr="00DD3D1D">
        <w:rPr>
          <w:sz w:val="24"/>
        </w:rPr>
        <w:t xml:space="preserve"> </w:t>
      </w:r>
      <w:r w:rsidR="00A55FAD">
        <w:rPr>
          <w:sz w:val="24"/>
        </w:rPr>
        <w:t xml:space="preserve">better quality </w:t>
      </w:r>
      <w:r w:rsidR="001F6F82">
        <w:rPr>
          <w:sz w:val="24"/>
        </w:rPr>
        <w:t>drinking</w:t>
      </w:r>
      <w:r w:rsidR="00467B22" w:rsidRPr="00DD3D1D">
        <w:rPr>
          <w:sz w:val="24"/>
        </w:rPr>
        <w:t xml:space="preserve"> wa</w:t>
      </w:r>
      <w:r w:rsidR="00025FF9">
        <w:rPr>
          <w:sz w:val="24"/>
        </w:rPr>
        <w:t xml:space="preserve">ter, improved </w:t>
      </w:r>
      <w:r w:rsidR="00467B22" w:rsidRPr="00DD3D1D">
        <w:rPr>
          <w:sz w:val="24"/>
        </w:rPr>
        <w:t>reliability and lower cost than the previous supply.</w:t>
      </w:r>
      <w:r w:rsidR="00917B93">
        <w:rPr>
          <w:sz w:val="24"/>
        </w:rPr>
        <w:t xml:space="preserve"> </w:t>
      </w:r>
      <w:r w:rsidR="001F6F82">
        <w:rPr>
          <w:sz w:val="24"/>
        </w:rPr>
        <w:t>E</w:t>
      </w:r>
      <w:r w:rsidR="00467B22" w:rsidRPr="001454D4">
        <w:rPr>
          <w:sz w:val="24"/>
        </w:rPr>
        <w:t xml:space="preserve">xcess power is sold to the national utility </w:t>
      </w:r>
      <w:r w:rsidR="00467B22">
        <w:rPr>
          <w:sz w:val="24"/>
        </w:rPr>
        <w:t>contributing to its long-</w:t>
      </w:r>
      <w:r w:rsidR="00467B22" w:rsidRPr="001454D4">
        <w:rPr>
          <w:sz w:val="24"/>
        </w:rPr>
        <w:t>term sustainability</w:t>
      </w:r>
      <w:r w:rsidR="00A55FAD">
        <w:rPr>
          <w:sz w:val="24"/>
        </w:rPr>
        <w:t>.</w:t>
      </w:r>
      <w:r w:rsidR="00467B22" w:rsidRPr="005A671C">
        <w:rPr>
          <w:sz w:val="24"/>
          <w:vertAlign w:val="superscript"/>
        </w:rPr>
        <w:endnoteReference w:id="11"/>
      </w:r>
    </w:p>
    <w:p w14:paraId="10912E0A" w14:textId="77777777" w:rsidR="00467B22" w:rsidRDefault="00467B22" w:rsidP="00467B22">
      <w:pPr>
        <w:jc w:val="both"/>
        <w:rPr>
          <w:sz w:val="24"/>
        </w:rPr>
      </w:pPr>
    </w:p>
    <w:p w14:paraId="10912E0B" w14:textId="77777777" w:rsidR="001156BA" w:rsidRDefault="00CC2416" w:rsidP="001156BA">
      <w:pPr>
        <w:jc w:val="both"/>
        <w:rPr>
          <w:sz w:val="24"/>
        </w:rPr>
      </w:pPr>
      <w:r w:rsidRPr="004A5F35">
        <w:rPr>
          <w:sz w:val="24"/>
        </w:rPr>
        <w:t xml:space="preserve">Australia is a major contributor to the </w:t>
      </w:r>
      <w:r w:rsidR="00092392" w:rsidRPr="004A5F35">
        <w:rPr>
          <w:sz w:val="24"/>
        </w:rPr>
        <w:t>Caribbean Disaster Management Harmonised Implementation Program (CDM-HIP)</w:t>
      </w:r>
      <w:r w:rsidRPr="004A5F35">
        <w:rPr>
          <w:sz w:val="24"/>
        </w:rPr>
        <w:t xml:space="preserve"> of the Caribbean Disaster Emergency Management Agency</w:t>
      </w:r>
      <w:r w:rsidR="00753B12" w:rsidRPr="004A5F35">
        <w:rPr>
          <w:sz w:val="24"/>
        </w:rPr>
        <w:t xml:space="preserve"> (CDEMA)</w:t>
      </w:r>
      <w:r w:rsidRPr="004A5F35">
        <w:rPr>
          <w:sz w:val="24"/>
        </w:rPr>
        <w:t xml:space="preserve">, along with </w:t>
      </w:r>
      <w:r w:rsidR="00753B12" w:rsidRPr="004A5F35">
        <w:rPr>
          <w:sz w:val="24"/>
        </w:rPr>
        <w:t>Canada and the United Kingdom. Under this program</w:t>
      </w:r>
      <w:r w:rsidRPr="004A5F35">
        <w:rPr>
          <w:sz w:val="24"/>
        </w:rPr>
        <w:t xml:space="preserve">, </w:t>
      </w:r>
      <w:r w:rsidR="00092392" w:rsidRPr="004A5F35">
        <w:rPr>
          <w:sz w:val="24"/>
        </w:rPr>
        <w:t xml:space="preserve">CDEMA </w:t>
      </w:r>
      <w:r w:rsidR="005A671C" w:rsidRPr="004A5F35">
        <w:rPr>
          <w:sz w:val="24"/>
        </w:rPr>
        <w:t xml:space="preserve">has </w:t>
      </w:r>
      <w:r w:rsidR="00092392" w:rsidRPr="004A5F35">
        <w:rPr>
          <w:sz w:val="24"/>
        </w:rPr>
        <w:t>developed a Model National C</w:t>
      </w:r>
      <w:r w:rsidR="005A581F" w:rsidRPr="004A5F35">
        <w:rPr>
          <w:sz w:val="24"/>
        </w:rPr>
        <w:t xml:space="preserve">omprehensive </w:t>
      </w:r>
      <w:r w:rsidR="00092392" w:rsidRPr="004A5F35">
        <w:rPr>
          <w:sz w:val="24"/>
        </w:rPr>
        <w:t>D</w:t>
      </w:r>
      <w:r w:rsidR="003274F5" w:rsidRPr="004A5F35">
        <w:rPr>
          <w:sz w:val="24"/>
        </w:rPr>
        <w:t>isaster</w:t>
      </w:r>
      <w:r w:rsidR="003274F5">
        <w:rPr>
          <w:sz w:val="24"/>
        </w:rPr>
        <w:t xml:space="preserve"> M</w:t>
      </w:r>
      <w:r w:rsidR="005A581F">
        <w:rPr>
          <w:sz w:val="24"/>
        </w:rPr>
        <w:t>anagement (CDM)</w:t>
      </w:r>
      <w:r w:rsidR="00092392" w:rsidRPr="00916B6D">
        <w:rPr>
          <w:sz w:val="24"/>
        </w:rPr>
        <w:t xml:space="preserve"> policy that </w:t>
      </w:r>
      <w:r w:rsidR="000B01DF" w:rsidRPr="00916B6D">
        <w:rPr>
          <w:sz w:val="24"/>
        </w:rPr>
        <w:t xml:space="preserve">supports </w:t>
      </w:r>
      <w:r w:rsidR="00765776">
        <w:rPr>
          <w:sz w:val="24"/>
        </w:rPr>
        <w:t>member s</w:t>
      </w:r>
      <w:r w:rsidR="003274F5">
        <w:rPr>
          <w:sz w:val="24"/>
        </w:rPr>
        <w:t xml:space="preserve">tates </w:t>
      </w:r>
      <w:r w:rsidR="00092392" w:rsidRPr="00916B6D">
        <w:rPr>
          <w:sz w:val="24"/>
        </w:rPr>
        <w:t xml:space="preserve">to update their Multi-Year </w:t>
      </w:r>
      <w:r>
        <w:rPr>
          <w:sz w:val="24"/>
        </w:rPr>
        <w:t>Caribbean Disaster Management</w:t>
      </w:r>
      <w:r w:rsidR="00092392" w:rsidRPr="00916B6D">
        <w:rPr>
          <w:sz w:val="24"/>
        </w:rPr>
        <w:t xml:space="preserve"> Country Work Programs. </w:t>
      </w:r>
      <w:r>
        <w:rPr>
          <w:sz w:val="24"/>
        </w:rPr>
        <w:t>It</w:t>
      </w:r>
      <w:r w:rsidR="001156BA" w:rsidRPr="001D5A1E">
        <w:rPr>
          <w:sz w:val="24"/>
        </w:rPr>
        <w:t xml:space="preserve"> </w:t>
      </w:r>
      <w:r w:rsidR="001156BA">
        <w:rPr>
          <w:sz w:val="24"/>
        </w:rPr>
        <w:t xml:space="preserve">has </w:t>
      </w:r>
      <w:r w:rsidR="001156BA" w:rsidRPr="001D5A1E">
        <w:rPr>
          <w:sz w:val="24"/>
        </w:rPr>
        <w:t>develop</w:t>
      </w:r>
      <w:r w:rsidR="001156BA">
        <w:rPr>
          <w:sz w:val="24"/>
        </w:rPr>
        <w:t xml:space="preserve">ed </w:t>
      </w:r>
      <w:r w:rsidR="001156BA" w:rsidRPr="001D5A1E">
        <w:rPr>
          <w:sz w:val="24"/>
        </w:rPr>
        <w:t>a series of tools to prioritis</w:t>
      </w:r>
      <w:r w:rsidR="001156BA">
        <w:rPr>
          <w:sz w:val="24"/>
        </w:rPr>
        <w:t>e</w:t>
      </w:r>
      <w:r w:rsidR="001156BA" w:rsidRPr="001D5A1E">
        <w:rPr>
          <w:sz w:val="24"/>
        </w:rPr>
        <w:t xml:space="preserve"> </w:t>
      </w:r>
      <w:r w:rsidR="003274F5">
        <w:rPr>
          <w:sz w:val="24"/>
        </w:rPr>
        <w:t>comprehensive disaster management</w:t>
      </w:r>
      <w:r w:rsidR="001156BA" w:rsidRPr="001D5A1E">
        <w:rPr>
          <w:sz w:val="24"/>
        </w:rPr>
        <w:t xml:space="preserve"> within </w:t>
      </w:r>
      <w:r w:rsidR="00765776">
        <w:rPr>
          <w:sz w:val="24"/>
        </w:rPr>
        <w:t>m</w:t>
      </w:r>
      <w:r w:rsidR="001156BA" w:rsidRPr="001D5A1E">
        <w:rPr>
          <w:sz w:val="24"/>
        </w:rPr>
        <w:t xml:space="preserve">ember </w:t>
      </w:r>
      <w:r w:rsidR="00765776">
        <w:rPr>
          <w:sz w:val="24"/>
        </w:rPr>
        <w:t>s</w:t>
      </w:r>
      <w:r w:rsidR="001156BA" w:rsidRPr="001D5A1E">
        <w:rPr>
          <w:sz w:val="24"/>
        </w:rPr>
        <w:t>tates</w:t>
      </w:r>
      <w:r w:rsidR="001156BA">
        <w:rPr>
          <w:sz w:val="24"/>
        </w:rPr>
        <w:t xml:space="preserve">. These tools include a model policy, templates for a national strategy and action plan, model </w:t>
      </w:r>
      <w:r w:rsidR="001156BA" w:rsidRPr="001D5A1E">
        <w:rPr>
          <w:sz w:val="24"/>
        </w:rPr>
        <w:t xml:space="preserve">legislation, </w:t>
      </w:r>
      <w:r w:rsidR="001156BA">
        <w:rPr>
          <w:sz w:val="24"/>
        </w:rPr>
        <w:t xml:space="preserve">information sharing, enhancements to the CDEMA website and an audit tool.  </w:t>
      </w:r>
      <w:r>
        <w:rPr>
          <w:sz w:val="24"/>
        </w:rPr>
        <w:t>The</w:t>
      </w:r>
      <w:r w:rsidR="001156BA" w:rsidRPr="00916B6D">
        <w:rPr>
          <w:sz w:val="24"/>
        </w:rPr>
        <w:t xml:space="preserve"> tools are designed to integrat</w:t>
      </w:r>
      <w:r w:rsidR="001156BA">
        <w:rPr>
          <w:sz w:val="24"/>
        </w:rPr>
        <w:t>e</w:t>
      </w:r>
      <w:r w:rsidR="001156BA" w:rsidRPr="00916B6D">
        <w:rPr>
          <w:sz w:val="24"/>
        </w:rPr>
        <w:t xml:space="preserve"> </w:t>
      </w:r>
      <w:r w:rsidR="0053543B">
        <w:rPr>
          <w:sz w:val="24"/>
        </w:rPr>
        <w:t xml:space="preserve">disaster risk reduction </w:t>
      </w:r>
      <w:r w:rsidR="001156BA" w:rsidRPr="00916B6D">
        <w:rPr>
          <w:sz w:val="24"/>
        </w:rPr>
        <w:t xml:space="preserve">into national policies and plans. </w:t>
      </w:r>
      <w:r w:rsidR="004A5F35">
        <w:rPr>
          <w:sz w:val="24"/>
        </w:rPr>
        <w:t>The tools c</w:t>
      </w:r>
      <w:r w:rsidR="00270223">
        <w:rPr>
          <w:sz w:val="24"/>
        </w:rPr>
        <w:t>an</w:t>
      </w:r>
      <w:r>
        <w:rPr>
          <w:sz w:val="24"/>
        </w:rPr>
        <w:t xml:space="preserve"> </w:t>
      </w:r>
      <w:r w:rsidR="00765776">
        <w:rPr>
          <w:sz w:val="24"/>
        </w:rPr>
        <w:t>be implemented by member s</w:t>
      </w:r>
      <w:r w:rsidR="001156BA">
        <w:rPr>
          <w:sz w:val="24"/>
        </w:rPr>
        <w:t xml:space="preserve">tates even after </w:t>
      </w:r>
      <w:r w:rsidR="00270223">
        <w:rPr>
          <w:sz w:val="24"/>
        </w:rPr>
        <w:t xml:space="preserve">the conclusion </w:t>
      </w:r>
      <w:r w:rsidR="001156BA">
        <w:rPr>
          <w:sz w:val="24"/>
        </w:rPr>
        <w:t>of the program.</w:t>
      </w:r>
      <w:r w:rsidR="00FF6F94">
        <w:rPr>
          <w:sz w:val="24"/>
        </w:rPr>
        <w:t xml:space="preserve">  </w:t>
      </w:r>
      <w:r w:rsidR="00FF6F94" w:rsidRPr="001D5A1E">
        <w:rPr>
          <w:sz w:val="24"/>
        </w:rPr>
        <w:t>Ad</w:t>
      </w:r>
      <w:r w:rsidR="00270223">
        <w:rPr>
          <w:sz w:val="24"/>
        </w:rPr>
        <w:t>o</w:t>
      </w:r>
      <w:r w:rsidR="00FF6F94" w:rsidRPr="001D5A1E">
        <w:rPr>
          <w:sz w:val="24"/>
        </w:rPr>
        <w:t>ption of the model tools will promote the shift from response to disaster events to a focus on disaster risk management.</w:t>
      </w:r>
      <w:r w:rsidR="009966AF">
        <w:rPr>
          <w:sz w:val="24"/>
        </w:rPr>
        <w:t xml:space="preserve"> </w:t>
      </w:r>
    </w:p>
    <w:p w14:paraId="10912E0C" w14:textId="77777777" w:rsidR="00CC2416" w:rsidRPr="00916B6D" w:rsidRDefault="00CC2416" w:rsidP="001156BA">
      <w:pPr>
        <w:jc w:val="both"/>
        <w:rPr>
          <w:sz w:val="24"/>
        </w:rPr>
      </w:pPr>
    </w:p>
    <w:p w14:paraId="10912E0D" w14:textId="77777777" w:rsidR="009966AF" w:rsidRPr="004A5F35" w:rsidRDefault="006E3F39" w:rsidP="00022C79">
      <w:pPr>
        <w:jc w:val="both"/>
        <w:rPr>
          <w:sz w:val="24"/>
        </w:rPr>
      </w:pPr>
      <w:r w:rsidRPr="001D5A1E">
        <w:rPr>
          <w:sz w:val="24"/>
        </w:rPr>
        <w:t xml:space="preserve">Through Australia’s support to CDEMA, St Lucia is one of three participating </w:t>
      </w:r>
      <w:r w:rsidR="008156A8">
        <w:rPr>
          <w:sz w:val="24"/>
        </w:rPr>
        <w:t>m</w:t>
      </w:r>
      <w:r w:rsidR="001156BA">
        <w:rPr>
          <w:sz w:val="24"/>
        </w:rPr>
        <w:t xml:space="preserve">ember </w:t>
      </w:r>
      <w:r w:rsidR="008156A8">
        <w:rPr>
          <w:sz w:val="24"/>
        </w:rPr>
        <w:t>s</w:t>
      </w:r>
      <w:r w:rsidRPr="001D5A1E">
        <w:rPr>
          <w:sz w:val="24"/>
        </w:rPr>
        <w:t xml:space="preserve">tates committed to </w:t>
      </w:r>
      <w:r w:rsidR="004D4034">
        <w:rPr>
          <w:sz w:val="24"/>
        </w:rPr>
        <w:t>the inclusion</w:t>
      </w:r>
      <w:r w:rsidRPr="001D5A1E">
        <w:rPr>
          <w:sz w:val="24"/>
        </w:rPr>
        <w:t xml:space="preserve"> of </w:t>
      </w:r>
      <w:r w:rsidR="003274F5">
        <w:rPr>
          <w:sz w:val="24"/>
        </w:rPr>
        <w:t>disaster m</w:t>
      </w:r>
      <w:r w:rsidRPr="001D5A1E">
        <w:rPr>
          <w:sz w:val="24"/>
        </w:rPr>
        <w:t xml:space="preserve">anagement into </w:t>
      </w:r>
      <w:r w:rsidR="003274F5">
        <w:rPr>
          <w:sz w:val="24"/>
        </w:rPr>
        <w:t>its</w:t>
      </w:r>
      <w:r w:rsidRPr="001D5A1E">
        <w:rPr>
          <w:sz w:val="24"/>
        </w:rPr>
        <w:t xml:space="preserve"> national disaster management policy and strategy. CDEMA’s regional program </w:t>
      </w:r>
      <w:r w:rsidR="00FF6F94">
        <w:rPr>
          <w:sz w:val="24"/>
        </w:rPr>
        <w:t xml:space="preserve">also </w:t>
      </w:r>
      <w:r w:rsidRPr="001D5A1E">
        <w:rPr>
          <w:sz w:val="24"/>
        </w:rPr>
        <w:t xml:space="preserve">supported </w:t>
      </w:r>
      <w:r w:rsidR="004D4034">
        <w:rPr>
          <w:sz w:val="24"/>
        </w:rPr>
        <w:t>the strengthening of</w:t>
      </w:r>
      <w:r w:rsidRPr="001D5A1E">
        <w:rPr>
          <w:sz w:val="24"/>
        </w:rPr>
        <w:t xml:space="preserve"> St Lucia’s national relief distribution plan</w:t>
      </w:r>
      <w:r w:rsidR="004D4034">
        <w:rPr>
          <w:sz w:val="24"/>
        </w:rPr>
        <w:t>.</w:t>
      </w:r>
      <w:r w:rsidRPr="001D5A1E">
        <w:rPr>
          <w:sz w:val="24"/>
        </w:rPr>
        <w:t xml:space="preserve"> </w:t>
      </w:r>
      <w:r w:rsidR="004D4034">
        <w:rPr>
          <w:sz w:val="24"/>
        </w:rPr>
        <w:t>CDEMA enhanced public</w:t>
      </w:r>
      <w:r w:rsidRPr="001D5A1E">
        <w:rPr>
          <w:sz w:val="24"/>
        </w:rPr>
        <w:t xml:space="preserve"> awareness </w:t>
      </w:r>
      <w:r w:rsidR="004D4034">
        <w:rPr>
          <w:sz w:val="24"/>
        </w:rPr>
        <w:t>o</w:t>
      </w:r>
      <w:r w:rsidRPr="001D5A1E">
        <w:rPr>
          <w:sz w:val="24"/>
        </w:rPr>
        <w:t>f self-evacuation in response to hurricanes with special focus on the school</w:t>
      </w:r>
      <w:r w:rsidR="00917B93">
        <w:rPr>
          <w:sz w:val="24"/>
        </w:rPr>
        <w:t>-</w:t>
      </w:r>
      <w:r w:rsidRPr="001D5A1E">
        <w:rPr>
          <w:sz w:val="24"/>
        </w:rPr>
        <w:t>aged popul</w:t>
      </w:r>
      <w:r w:rsidR="003274F5">
        <w:rPr>
          <w:sz w:val="24"/>
        </w:rPr>
        <w:t>ation and the hearing impaired in St Lucia.</w:t>
      </w:r>
      <w:r w:rsidR="00BB771A">
        <w:rPr>
          <w:sz w:val="24"/>
        </w:rPr>
        <w:t xml:space="preserve"> </w:t>
      </w:r>
      <w:r w:rsidR="009966AF" w:rsidRPr="004A5F35">
        <w:rPr>
          <w:sz w:val="24"/>
        </w:rPr>
        <w:t>As chair of the Management Advisory Committee of the CDM-HIP in 2012,</w:t>
      </w:r>
      <w:r w:rsidR="008156A8">
        <w:rPr>
          <w:sz w:val="24"/>
        </w:rPr>
        <w:t xml:space="preserve"> </w:t>
      </w:r>
      <w:r w:rsidR="009966AF" w:rsidRPr="004A5F35">
        <w:rPr>
          <w:sz w:val="24"/>
        </w:rPr>
        <w:t>Australia will increase its role</w:t>
      </w:r>
      <w:r w:rsidR="008156A8">
        <w:rPr>
          <w:sz w:val="24"/>
        </w:rPr>
        <w:t xml:space="preserve"> in</w:t>
      </w:r>
      <w:r w:rsidR="009966AF" w:rsidRPr="004A5F35">
        <w:rPr>
          <w:sz w:val="24"/>
        </w:rPr>
        <w:t xml:space="preserve"> advocating for a greater emphasis on development results, gender </w:t>
      </w:r>
      <w:r w:rsidR="00753B12" w:rsidRPr="004A5F35">
        <w:rPr>
          <w:sz w:val="24"/>
        </w:rPr>
        <w:t xml:space="preserve">and disability </w:t>
      </w:r>
      <w:r w:rsidR="009966AF" w:rsidRPr="004A5F35">
        <w:rPr>
          <w:sz w:val="24"/>
        </w:rPr>
        <w:t>data and integrating climate change and disaster risk reduction activities.</w:t>
      </w:r>
    </w:p>
    <w:p w14:paraId="10912E0E" w14:textId="77777777" w:rsidR="001156BA" w:rsidRPr="004A5F35" w:rsidRDefault="001156BA" w:rsidP="00022C79">
      <w:pPr>
        <w:jc w:val="both"/>
        <w:rPr>
          <w:sz w:val="24"/>
        </w:rPr>
      </w:pPr>
    </w:p>
    <w:p w14:paraId="10912E0F" w14:textId="77777777" w:rsidR="007945CE" w:rsidRPr="005328AC" w:rsidRDefault="00092392" w:rsidP="005328AC">
      <w:pPr>
        <w:jc w:val="both"/>
        <w:rPr>
          <w:sz w:val="24"/>
        </w:rPr>
      </w:pPr>
      <w:r w:rsidRPr="004A5F35">
        <w:rPr>
          <w:sz w:val="24"/>
        </w:rPr>
        <w:t xml:space="preserve">With support from </w:t>
      </w:r>
      <w:r w:rsidR="001D5A1E" w:rsidRPr="004A5F35">
        <w:rPr>
          <w:sz w:val="24"/>
        </w:rPr>
        <w:t>Australia</w:t>
      </w:r>
      <w:r w:rsidRPr="004A5F35">
        <w:rPr>
          <w:sz w:val="24"/>
        </w:rPr>
        <w:t xml:space="preserve"> and the United Kingdom, CARIBSAVE</w:t>
      </w:r>
      <w:r w:rsidR="00753B12" w:rsidRPr="004A5F35">
        <w:rPr>
          <w:sz w:val="24"/>
        </w:rPr>
        <w:t xml:space="preserve"> (</w:t>
      </w:r>
      <w:r w:rsidR="000721DE" w:rsidRPr="004A5F35">
        <w:rPr>
          <w:sz w:val="24"/>
        </w:rPr>
        <w:t>a</w:t>
      </w:r>
      <w:r w:rsidR="00753B12" w:rsidRPr="004A5F35">
        <w:rPr>
          <w:sz w:val="24"/>
        </w:rPr>
        <w:t xml:space="preserve"> non-governmental organisation in partnership with 5Cs and the University of Oxford) </w:t>
      </w:r>
      <w:r w:rsidRPr="004A5F35">
        <w:rPr>
          <w:sz w:val="24"/>
        </w:rPr>
        <w:t xml:space="preserve">completed climate change risk atlases for </w:t>
      </w:r>
      <w:r w:rsidR="002A36D8">
        <w:rPr>
          <w:sz w:val="24"/>
        </w:rPr>
        <w:t>fourteen</w:t>
      </w:r>
      <w:r w:rsidRPr="004A5F35">
        <w:rPr>
          <w:sz w:val="24"/>
        </w:rPr>
        <w:t xml:space="preserve"> countries (</w:t>
      </w:r>
      <w:r w:rsidR="002A36D8">
        <w:rPr>
          <w:sz w:val="24"/>
        </w:rPr>
        <w:t>five</w:t>
      </w:r>
      <w:r w:rsidRPr="004A5F35">
        <w:rPr>
          <w:sz w:val="24"/>
        </w:rPr>
        <w:t xml:space="preserve"> attributable to Australia</w:t>
      </w:r>
      <w:r w:rsidR="00750647" w:rsidRPr="004A5F35">
        <w:rPr>
          <w:sz w:val="24"/>
        </w:rPr>
        <w:t>n support</w:t>
      </w:r>
      <w:r w:rsidR="00753B12" w:rsidRPr="004A5F35">
        <w:rPr>
          <w:sz w:val="24"/>
        </w:rPr>
        <w:t>).</w:t>
      </w:r>
      <w:r w:rsidR="00753B12">
        <w:rPr>
          <w:sz w:val="24"/>
        </w:rPr>
        <w:t xml:space="preserve"> </w:t>
      </w:r>
      <w:r w:rsidR="004350BA">
        <w:rPr>
          <w:sz w:val="24"/>
        </w:rPr>
        <w:t>T</w:t>
      </w:r>
      <w:r w:rsidRPr="00DD3D1D">
        <w:rPr>
          <w:sz w:val="24"/>
        </w:rPr>
        <w:t xml:space="preserve">he atlases use UNFCCC climate model scenarios and existing digital elevation models to </w:t>
      </w:r>
      <w:r w:rsidR="00750647">
        <w:rPr>
          <w:sz w:val="24"/>
        </w:rPr>
        <w:t>illustrate</w:t>
      </w:r>
      <w:r w:rsidRPr="00DD3D1D">
        <w:rPr>
          <w:sz w:val="24"/>
        </w:rPr>
        <w:t xml:space="preserve"> the impact of sea level rise</w:t>
      </w:r>
      <w:r w:rsidR="004D4034">
        <w:rPr>
          <w:sz w:val="24"/>
        </w:rPr>
        <w:t>s of</w:t>
      </w:r>
      <w:r w:rsidRPr="00DD3D1D">
        <w:rPr>
          <w:sz w:val="24"/>
        </w:rPr>
        <w:t xml:space="preserve"> </w:t>
      </w:r>
      <w:r w:rsidR="009447CF" w:rsidRPr="00DD3D1D">
        <w:rPr>
          <w:sz w:val="24"/>
        </w:rPr>
        <w:t>less than</w:t>
      </w:r>
      <w:r w:rsidRPr="00DD3D1D">
        <w:rPr>
          <w:sz w:val="24"/>
        </w:rPr>
        <w:t xml:space="preserve"> 1</w:t>
      </w:r>
      <w:r w:rsidR="008156A8">
        <w:rPr>
          <w:sz w:val="24"/>
        </w:rPr>
        <w:t xml:space="preserve"> </w:t>
      </w:r>
      <w:r w:rsidRPr="00DD3D1D">
        <w:rPr>
          <w:sz w:val="24"/>
        </w:rPr>
        <w:t>m</w:t>
      </w:r>
      <w:r w:rsidR="006B1DF7">
        <w:rPr>
          <w:sz w:val="24"/>
        </w:rPr>
        <w:t>etre</w:t>
      </w:r>
      <w:r w:rsidRPr="00DD3D1D">
        <w:rPr>
          <w:sz w:val="24"/>
        </w:rPr>
        <w:t xml:space="preserve"> and 2</w:t>
      </w:r>
      <w:r w:rsidR="008156A8">
        <w:rPr>
          <w:sz w:val="24"/>
        </w:rPr>
        <w:t xml:space="preserve"> </w:t>
      </w:r>
      <w:r w:rsidRPr="00DD3D1D">
        <w:rPr>
          <w:sz w:val="24"/>
        </w:rPr>
        <w:t>m</w:t>
      </w:r>
      <w:r w:rsidR="006B1DF7">
        <w:rPr>
          <w:sz w:val="24"/>
        </w:rPr>
        <w:t>etres</w:t>
      </w:r>
      <w:r w:rsidRPr="00DD3D1D">
        <w:rPr>
          <w:sz w:val="24"/>
        </w:rPr>
        <w:t>.</w:t>
      </w:r>
      <w:r w:rsidR="00022C79">
        <w:rPr>
          <w:sz w:val="24"/>
        </w:rPr>
        <w:t xml:space="preserve"> </w:t>
      </w:r>
      <w:r w:rsidRPr="00DD3D1D">
        <w:rPr>
          <w:sz w:val="24"/>
        </w:rPr>
        <w:t xml:space="preserve">The atlases examine sectoral vulnerabilities, assess adaptive capacity and propose </w:t>
      </w:r>
      <w:r w:rsidRPr="004A5F35">
        <w:rPr>
          <w:sz w:val="24"/>
        </w:rPr>
        <w:t xml:space="preserve">practical </w:t>
      </w:r>
      <w:r w:rsidR="003B006F" w:rsidRPr="004A5F35">
        <w:rPr>
          <w:sz w:val="24"/>
        </w:rPr>
        <w:t>country</w:t>
      </w:r>
      <w:r w:rsidR="008156A8">
        <w:rPr>
          <w:sz w:val="24"/>
        </w:rPr>
        <w:t xml:space="preserve"> </w:t>
      </w:r>
      <w:r w:rsidR="003B006F" w:rsidRPr="004A5F35">
        <w:rPr>
          <w:sz w:val="24"/>
        </w:rPr>
        <w:t xml:space="preserve">specific </w:t>
      </w:r>
      <w:r w:rsidRPr="004A5F35">
        <w:rPr>
          <w:sz w:val="24"/>
        </w:rPr>
        <w:t>strategies</w:t>
      </w:r>
      <w:r w:rsidR="006B1DF7">
        <w:rPr>
          <w:sz w:val="24"/>
        </w:rPr>
        <w:t>,</w:t>
      </w:r>
      <w:r w:rsidR="00750647" w:rsidRPr="004A5F35">
        <w:rPr>
          <w:sz w:val="24"/>
        </w:rPr>
        <w:t xml:space="preserve"> particularly</w:t>
      </w:r>
      <w:r w:rsidR="005A671C" w:rsidRPr="004A5F35">
        <w:rPr>
          <w:sz w:val="24"/>
        </w:rPr>
        <w:t xml:space="preserve"> the effects on the tourism industry</w:t>
      </w:r>
      <w:r w:rsidR="005328AC" w:rsidRPr="004A5F35">
        <w:rPr>
          <w:sz w:val="24"/>
        </w:rPr>
        <w:t>.  They will be used by decision makers to protect their assets and ecosystems on which they depend, guide socioeconomic development that is climate-resilient, and build the capacity to respond to climate change</w:t>
      </w:r>
      <w:r w:rsidR="005A671C" w:rsidRPr="004A5F35">
        <w:rPr>
          <w:sz w:val="24"/>
        </w:rPr>
        <w:t>.</w:t>
      </w:r>
      <w:r w:rsidR="00992910" w:rsidRPr="004A5F35">
        <w:rPr>
          <w:sz w:val="24"/>
        </w:rPr>
        <w:t xml:space="preserve"> CARIBSAVE </w:t>
      </w:r>
      <w:r w:rsidR="009447CF" w:rsidRPr="004A5F35">
        <w:rPr>
          <w:sz w:val="24"/>
        </w:rPr>
        <w:t xml:space="preserve">has </w:t>
      </w:r>
      <w:r w:rsidR="00FF6F94" w:rsidRPr="004A5F35">
        <w:rPr>
          <w:sz w:val="24"/>
        </w:rPr>
        <w:t xml:space="preserve">provided </w:t>
      </w:r>
      <w:r w:rsidR="00992910" w:rsidRPr="004A5F35">
        <w:rPr>
          <w:sz w:val="24"/>
        </w:rPr>
        <w:t xml:space="preserve">the atlases </w:t>
      </w:r>
      <w:r w:rsidR="00FF196D" w:rsidRPr="004A5F35">
        <w:rPr>
          <w:sz w:val="24"/>
        </w:rPr>
        <w:t>to</w:t>
      </w:r>
      <w:r w:rsidR="00FF196D">
        <w:rPr>
          <w:sz w:val="24"/>
        </w:rPr>
        <w:t xml:space="preserve"> the relevant countries</w:t>
      </w:r>
      <w:r w:rsidR="00992910">
        <w:rPr>
          <w:sz w:val="24"/>
        </w:rPr>
        <w:t xml:space="preserve"> </w:t>
      </w:r>
      <w:r w:rsidR="00FF6F94">
        <w:rPr>
          <w:sz w:val="24"/>
        </w:rPr>
        <w:t xml:space="preserve">and received </w:t>
      </w:r>
      <w:r w:rsidR="00992910">
        <w:rPr>
          <w:sz w:val="24"/>
        </w:rPr>
        <w:t xml:space="preserve">endorsement by respective governments. </w:t>
      </w:r>
    </w:p>
    <w:p w14:paraId="10912E10" w14:textId="77777777" w:rsidR="000B01DF" w:rsidRDefault="000B01DF" w:rsidP="00C17DE2">
      <w:pPr>
        <w:jc w:val="both"/>
        <w:rPr>
          <w:sz w:val="24"/>
        </w:rPr>
      </w:pPr>
    </w:p>
    <w:p w14:paraId="10912E11" w14:textId="77777777" w:rsidR="005B77C9" w:rsidRDefault="005B77C9" w:rsidP="00022C79">
      <w:pPr>
        <w:jc w:val="both"/>
        <w:rPr>
          <w:sz w:val="24"/>
        </w:rPr>
      </w:pPr>
      <w:r>
        <w:rPr>
          <w:sz w:val="24"/>
        </w:rPr>
        <w:t>Australia</w:t>
      </w:r>
      <w:r w:rsidR="0067164E">
        <w:rPr>
          <w:sz w:val="24"/>
        </w:rPr>
        <w:t xml:space="preserve">n support has also </w:t>
      </w:r>
      <w:r w:rsidR="00A55FAD">
        <w:rPr>
          <w:sz w:val="24"/>
        </w:rPr>
        <w:t>helped</w:t>
      </w:r>
      <w:r>
        <w:rPr>
          <w:sz w:val="24"/>
        </w:rPr>
        <w:t xml:space="preserve"> t</w:t>
      </w:r>
      <w:r w:rsidR="00F63469">
        <w:rPr>
          <w:sz w:val="24"/>
        </w:rPr>
        <w:t>he UN Economic Commission for</w:t>
      </w:r>
      <w:r w:rsidR="000B01DF">
        <w:rPr>
          <w:sz w:val="24"/>
        </w:rPr>
        <w:t xml:space="preserve"> Latin America and the Caribbean </w:t>
      </w:r>
      <w:r w:rsidR="006B1DF7">
        <w:rPr>
          <w:sz w:val="24"/>
        </w:rPr>
        <w:t xml:space="preserve">(ECLAC) </w:t>
      </w:r>
      <w:r w:rsidR="0067164E">
        <w:rPr>
          <w:sz w:val="24"/>
        </w:rPr>
        <w:t xml:space="preserve">to </w:t>
      </w:r>
      <w:r w:rsidR="000B01DF">
        <w:rPr>
          <w:sz w:val="24"/>
        </w:rPr>
        <w:t>estimat</w:t>
      </w:r>
      <w:r w:rsidR="0067164E">
        <w:rPr>
          <w:sz w:val="24"/>
        </w:rPr>
        <w:t>e</w:t>
      </w:r>
      <w:r w:rsidR="000B01DF">
        <w:rPr>
          <w:sz w:val="24"/>
        </w:rPr>
        <w:t xml:space="preserve"> the costs of adapting </w:t>
      </w:r>
      <w:r w:rsidR="00EB6F2A">
        <w:rPr>
          <w:sz w:val="24"/>
        </w:rPr>
        <w:t xml:space="preserve">to </w:t>
      </w:r>
      <w:r w:rsidR="000B01DF">
        <w:rPr>
          <w:sz w:val="24"/>
        </w:rPr>
        <w:t xml:space="preserve">and mitigating </w:t>
      </w:r>
      <w:r w:rsidR="00EB6F2A">
        <w:rPr>
          <w:sz w:val="24"/>
        </w:rPr>
        <w:t xml:space="preserve">against </w:t>
      </w:r>
      <w:r w:rsidR="000B01DF">
        <w:rPr>
          <w:sz w:val="24"/>
        </w:rPr>
        <w:t xml:space="preserve">climate change </w:t>
      </w:r>
      <w:r w:rsidR="00EB6F2A">
        <w:rPr>
          <w:sz w:val="24"/>
        </w:rPr>
        <w:t xml:space="preserve">impacts </w:t>
      </w:r>
      <w:r w:rsidR="000B01DF">
        <w:rPr>
          <w:sz w:val="24"/>
        </w:rPr>
        <w:t>based on scenarios for the next 20</w:t>
      </w:r>
      <w:r w:rsidR="006B1DF7">
        <w:rPr>
          <w:sz w:val="24"/>
        </w:rPr>
        <w:t xml:space="preserve"> to</w:t>
      </w:r>
      <w:r w:rsidR="008156A8">
        <w:rPr>
          <w:sz w:val="24"/>
        </w:rPr>
        <w:t xml:space="preserve"> </w:t>
      </w:r>
      <w:r w:rsidR="000B01DF">
        <w:rPr>
          <w:sz w:val="24"/>
        </w:rPr>
        <w:t>50 years</w:t>
      </w:r>
      <w:r>
        <w:rPr>
          <w:sz w:val="24"/>
        </w:rPr>
        <w:t>.</w:t>
      </w:r>
      <w:r w:rsidR="0073495F">
        <w:rPr>
          <w:sz w:val="24"/>
        </w:rPr>
        <w:t xml:space="preserve"> </w:t>
      </w:r>
      <w:r w:rsidR="00E22AB5">
        <w:rPr>
          <w:sz w:val="24"/>
        </w:rPr>
        <w:t xml:space="preserve">Australian support for </w:t>
      </w:r>
      <w:r>
        <w:rPr>
          <w:sz w:val="24"/>
        </w:rPr>
        <w:t xml:space="preserve">the University of West Indies </w:t>
      </w:r>
      <w:r w:rsidR="003470F3">
        <w:rPr>
          <w:sz w:val="24"/>
        </w:rPr>
        <w:t xml:space="preserve">(UWI) </w:t>
      </w:r>
      <w:r>
        <w:rPr>
          <w:sz w:val="24"/>
        </w:rPr>
        <w:t>research and post-graduate studies</w:t>
      </w:r>
      <w:r w:rsidR="00F63469">
        <w:rPr>
          <w:sz w:val="24"/>
        </w:rPr>
        <w:t xml:space="preserve"> (including six of the ten scholarships awarded in 2011)</w:t>
      </w:r>
      <w:r w:rsidR="00022C79">
        <w:rPr>
          <w:sz w:val="24"/>
        </w:rPr>
        <w:t xml:space="preserve">, and a community-based </w:t>
      </w:r>
      <w:r>
        <w:rPr>
          <w:sz w:val="24"/>
        </w:rPr>
        <w:t xml:space="preserve">adaptation small grants program with the United Nations Development Program Global Environment Fund </w:t>
      </w:r>
      <w:r w:rsidR="00F63469">
        <w:rPr>
          <w:sz w:val="24"/>
        </w:rPr>
        <w:t>are</w:t>
      </w:r>
      <w:r w:rsidR="006246C9">
        <w:rPr>
          <w:sz w:val="24"/>
        </w:rPr>
        <w:t xml:space="preserve"> </w:t>
      </w:r>
      <w:r>
        <w:rPr>
          <w:sz w:val="24"/>
        </w:rPr>
        <w:t>building institutional, community and individual capacity in the region.</w:t>
      </w:r>
    </w:p>
    <w:p w14:paraId="10912E12" w14:textId="77777777" w:rsidR="005B77C9" w:rsidRDefault="005B77C9" w:rsidP="00022C79">
      <w:pPr>
        <w:jc w:val="both"/>
        <w:rPr>
          <w:sz w:val="24"/>
        </w:rPr>
      </w:pPr>
    </w:p>
    <w:p w14:paraId="10912E13" w14:textId="77777777" w:rsidR="002E64C5" w:rsidRDefault="005B77C9" w:rsidP="00022C79">
      <w:pPr>
        <w:jc w:val="both"/>
        <w:rPr>
          <w:sz w:val="24"/>
        </w:rPr>
      </w:pPr>
      <w:r w:rsidRPr="00A24893">
        <w:rPr>
          <w:sz w:val="24"/>
        </w:rPr>
        <w:t xml:space="preserve">Australia responded to requests from the Government of St Lucia to assist with recovery </w:t>
      </w:r>
      <w:r w:rsidR="00E94FED" w:rsidRPr="00A24893">
        <w:rPr>
          <w:sz w:val="24"/>
        </w:rPr>
        <w:t>from</w:t>
      </w:r>
      <w:r w:rsidRPr="00A24893">
        <w:rPr>
          <w:sz w:val="24"/>
        </w:rPr>
        <w:t xml:space="preserve"> widespread damage caused </w:t>
      </w:r>
      <w:r w:rsidR="006246C9" w:rsidRPr="00A24893">
        <w:rPr>
          <w:sz w:val="24"/>
        </w:rPr>
        <w:t xml:space="preserve">by </w:t>
      </w:r>
      <w:r w:rsidRPr="00A24893">
        <w:rPr>
          <w:sz w:val="24"/>
        </w:rPr>
        <w:t xml:space="preserve">Hurricane Tomas in </w:t>
      </w:r>
      <w:r w:rsidR="002C1861" w:rsidRPr="00A24893">
        <w:rPr>
          <w:sz w:val="24"/>
        </w:rPr>
        <w:t xml:space="preserve">October 2010. </w:t>
      </w:r>
      <w:r w:rsidR="002908BB" w:rsidRPr="00A24893">
        <w:rPr>
          <w:sz w:val="24"/>
        </w:rPr>
        <w:t>These activities support better planning, risk reduction and preparedness and a culture of resilience rather than only disaster response. As a result, a</w:t>
      </w:r>
      <w:r w:rsidR="00DF5C5D" w:rsidRPr="00A24893">
        <w:rPr>
          <w:sz w:val="24"/>
        </w:rPr>
        <w:t xml:space="preserve">round </w:t>
      </w:r>
      <w:r w:rsidR="002E64C5" w:rsidRPr="00A24893">
        <w:rPr>
          <w:sz w:val="24"/>
        </w:rPr>
        <w:t xml:space="preserve">276 landslides have been assessed, </w:t>
      </w:r>
      <w:r w:rsidR="00887D91">
        <w:rPr>
          <w:sz w:val="24"/>
        </w:rPr>
        <w:t>eight</w:t>
      </w:r>
      <w:r w:rsidR="002E64C5" w:rsidRPr="00A24893">
        <w:rPr>
          <w:sz w:val="24"/>
        </w:rPr>
        <w:t xml:space="preserve"> hectares of major landslides have been rehabilitated, and </w:t>
      </w:r>
      <w:r w:rsidR="00887D91">
        <w:rPr>
          <w:sz w:val="24"/>
        </w:rPr>
        <w:t>six</w:t>
      </w:r>
      <w:r w:rsidR="002E64C5" w:rsidRPr="00A24893">
        <w:rPr>
          <w:sz w:val="24"/>
        </w:rPr>
        <w:t xml:space="preserve"> nurseries </w:t>
      </w:r>
      <w:r w:rsidR="00DF5C5D" w:rsidRPr="00A24893">
        <w:rPr>
          <w:sz w:val="24"/>
        </w:rPr>
        <w:t xml:space="preserve">(with </w:t>
      </w:r>
      <w:r w:rsidR="002E64C5" w:rsidRPr="00A24893">
        <w:rPr>
          <w:sz w:val="24"/>
        </w:rPr>
        <w:t>56</w:t>
      </w:r>
      <w:r w:rsidR="002A36D8">
        <w:rPr>
          <w:sz w:val="24"/>
        </w:rPr>
        <w:t xml:space="preserve"> </w:t>
      </w:r>
      <w:r w:rsidR="002E64C5" w:rsidRPr="00A24893">
        <w:rPr>
          <w:sz w:val="24"/>
        </w:rPr>
        <w:t>900 seedlings planted</w:t>
      </w:r>
      <w:r w:rsidR="00DF5C5D" w:rsidRPr="00A24893">
        <w:rPr>
          <w:sz w:val="24"/>
        </w:rPr>
        <w:t>) established</w:t>
      </w:r>
      <w:r w:rsidR="002E64C5" w:rsidRPr="00A24893">
        <w:rPr>
          <w:sz w:val="24"/>
        </w:rPr>
        <w:t xml:space="preserve">. </w:t>
      </w:r>
      <w:r w:rsidR="00DF5C5D" w:rsidRPr="00A24893">
        <w:rPr>
          <w:sz w:val="24"/>
        </w:rPr>
        <w:t>Work has also been created for</w:t>
      </w:r>
      <w:r w:rsidR="002E64C5" w:rsidRPr="00A24893">
        <w:rPr>
          <w:sz w:val="24"/>
        </w:rPr>
        <w:t xml:space="preserve"> 50 pe</w:t>
      </w:r>
      <w:r w:rsidR="00DF5C5D" w:rsidRPr="00A24893">
        <w:rPr>
          <w:sz w:val="24"/>
        </w:rPr>
        <w:t>ople</w:t>
      </w:r>
      <w:r w:rsidR="002E64C5" w:rsidRPr="00A24893">
        <w:rPr>
          <w:sz w:val="24"/>
        </w:rPr>
        <w:t xml:space="preserve"> to plant 104</w:t>
      </w:r>
      <w:r w:rsidR="002A36D8">
        <w:rPr>
          <w:sz w:val="24"/>
        </w:rPr>
        <w:t xml:space="preserve"> </w:t>
      </w:r>
      <w:r w:rsidR="002E64C5" w:rsidRPr="00A24893">
        <w:rPr>
          <w:sz w:val="24"/>
        </w:rPr>
        <w:t>148 seedli</w:t>
      </w:r>
      <w:r w:rsidR="006E3F39" w:rsidRPr="00A24893">
        <w:rPr>
          <w:sz w:val="24"/>
        </w:rPr>
        <w:t>ngs, rehabilitat</w:t>
      </w:r>
      <w:r w:rsidR="00DF5C5D" w:rsidRPr="00A24893">
        <w:rPr>
          <w:sz w:val="24"/>
        </w:rPr>
        <w:t>e</w:t>
      </w:r>
      <w:r w:rsidR="00022C79" w:rsidRPr="00A24893">
        <w:rPr>
          <w:sz w:val="24"/>
        </w:rPr>
        <w:t xml:space="preserve"> 54 hectares</w:t>
      </w:r>
      <w:r w:rsidR="006E3F39" w:rsidRPr="00A24893">
        <w:rPr>
          <w:sz w:val="24"/>
        </w:rPr>
        <w:t xml:space="preserve"> </w:t>
      </w:r>
      <w:r w:rsidR="00DF5C5D" w:rsidRPr="00A24893">
        <w:rPr>
          <w:sz w:val="24"/>
        </w:rPr>
        <w:t xml:space="preserve">and monitor </w:t>
      </w:r>
      <w:r w:rsidR="002E64C5" w:rsidRPr="00A24893">
        <w:rPr>
          <w:sz w:val="24"/>
        </w:rPr>
        <w:t>rainfall and stream flow data</w:t>
      </w:r>
      <w:r w:rsidR="00022C79" w:rsidRPr="00A24893">
        <w:rPr>
          <w:sz w:val="24"/>
        </w:rPr>
        <w:t>. On</w:t>
      </w:r>
      <w:r w:rsidR="00DF5C5D" w:rsidRPr="00A24893">
        <w:rPr>
          <w:sz w:val="24"/>
        </w:rPr>
        <w:t xml:space="preserve">e of three </w:t>
      </w:r>
      <w:r w:rsidR="002E64C5" w:rsidRPr="00A24893">
        <w:rPr>
          <w:sz w:val="24"/>
        </w:rPr>
        <w:t>sites identified for hydro monitoring equipment</w:t>
      </w:r>
      <w:r w:rsidR="00022C79" w:rsidRPr="00A24893">
        <w:rPr>
          <w:sz w:val="24"/>
        </w:rPr>
        <w:t xml:space="preserve"> has</w:t>
      </w:r>
      <w:r w:rsidR="00DF5C5D" w:rsidRPr="00A24893">
        <w:rPr>
          <w:sz w:val="24"/>
        </w:rPr>
        <w:t xml:space="preserve"> </w:t>
      </w:r>
      <w:r w:rsidR="00753B12" w:rsidRPr="00A24893">
        <w:rPr>
          <w:sz w:val="24"/>
        </w:rPr>
        <w:t xml:space="preserve">also </w:t>
      </w:r>
      <w:r w:rsidR="00DF5C5D" w:rsidRPr="00A24893">
        <w:rPr>
          <w:sz w:val="24"/>
        </w:rPr>
        <w:t xml:space="preserve">been </w:t>
      </w:r>
      <w:r w:rsidR="002E64C5" w:rsidRPr="00A24893">
        <w:rPr>
          <w:sz w:val="24"/>
        </w:rPr>
        <w:t>fully installed.</w:t>
      </w:r>
      <w:r w:rsidR="002E64C5" w:rsidRPr="006E3F39">
        <w:rPr>
          <w:sz w:val="24"/>
        </w:rPr>
        <w:t xml:space="preserve"> </w:t>
      </w:r>
    </w:p>
    <w:p w14:paraId="1F3915AB" w14:textId="77777777" w:rsidR="00BA223F" w:rsidRPr="006E3F39" w:rsidRDefault="00BA223F" w:rsidP="00022C79">
      <w:pPr>
        <w:jc w:val="both"/>
        <w:rPr>
          <w:sz w:val="24"/>
        </w:rPr>
      </w:pPr>
    </w:p>
    <w:p w14:paraId="10912E14" w14:textId="77777777" w:rsidR="00092392" w:rsidRDefault="00092392" w:rsidP="00BA223F">
      <w:pPr>
        <w:pStyle w:val="Heading2"/>
      </w:pPr>
      <w:r w:rsidRPr="00092392">
        <w:t>Objective 2</w:t>
      </w:r>
      <w:r w:rsidR="00BC39CB">
        <w:t>:</w:t>
      </w:r>
      <w:r w:rsidRPr="00092392">
        <w:t xml:space="preserve"> Contribute to an enhanced ability within the Caribbean to manage and respond to economic challenges in the region </w:t>
      </w:r>
    </w:p>
    <w:p w14:paraId="10912E15" w14:textId="77777777" w:rsidR="00D44B7C" w:rsidRDefault="00D44B7C" w:rsidP="00D44B7C">
      <w:pPr>
        <w:rPr>
          <w:rFonts w:cs="Arial"/>
          <w:sz w:val="24"/>
        </w:rPr>
      </w:pPr>
    </w:p>
    <w:p w14:paraId="10912E16" w14:textId="77777777" w:rsidR="00D44B7C" w:rsidRPr="00D44B7C" w:rsidRDefault="00D44B7C" w:rsidP="00D44B7C">
      <w:pPr>
        <w:pStyle w:val="Note"/>
        <w:keepNext/>
        <w:spacing w:before="0"/>
        <w:rPr>
          <w:sz w:val="22"/>
          <w:szCs w:val="22"/>
        </w:rPr>
      </w:pPr>
      <w:r w:rsidRPr="00D44B7C">
        <w:rPr>
          <w:rFonts w:cs="Arial"/>
          <w:sz w:val="22"/>
          <w:szCs w:val="22"/>
        </w:rPr>
        <w:t xml:space="preserve">Rating: </w:t>
      </w:r>
      <w:r w:rsidRPr="00D44B7C">
        <w:rPr>
          <w:color w:val="99CC00"/>
          <w:sz w:val="22"/>
          <w:szCs w:val="22"/>
        </w:rPr>
        <w:sym w:font="Webdings" w:char="F067"/>
      </w:r>
      <w:r w:rsidRPr="00D44B7C">
        <w:rPr>
          <w:rFonts w:ascii="Arial Unicode MS" w:eastAsia="Arial Unicode MS" w:hAnsi="Arial Unicode MS" w:cs="Arial Unicode MS" w:hint="eastAsia"/>
          <w:sz w:val="22"/>
          <w:szCs w:val="22"/>
          <w:lang w:val="en-US"/>
        </w:rPr>
        <w:t> </w:t>
      </w:r>
      <w:r w:rsidRPr="00D44B7C">
        <w:rPr>
          <w:sz w:val="22"/>
          <w:szCs w:val="22"/>
        </w:rPr>
        <w:t xml:space="preserve">The objective will be fully achieved within the timeframe of the </w:t>
      </w:r>
      <w:r w:rsidR="004D4034">
        <w:rPr>
          <w:sz w:val="22"/>
          <w:szCs w:val="22"/>
        </w:rPr>
        <w:t>Ministerial commitment</w:t>
      </w:r>
      <w:r w:rsidRPr="00D44B7C">
        <w:rPr>
          <w:sz w:val="22"/>
          <w:szCs w:val="22"/>
        </w:rPr>
        <w:t>.</w:t>
      </w:r>
    </w:p>
    <w:p w14:paraId="10912E17" w14:textId="77777777" w:rsidR="00F33B20" w:rsidRDefault="00F33B20" w:rsidP="00921F8A">
      <w:pPr>
        <w:jc w:val="both"/>
        <w:rPr>
          <w:sz w:val="24"/>
        </w:rPr>
      </w:pPr>
    </w:p>
    <w:p w14:paraId="10912E18" w14:textId="77777777" w:rsidR="00AE3F24" w:rsidRPr="00AE3F24" w:rsidRDefault="00B714E8" w:rsidP="00AE3F24">
      <w:pPr>
        <w:jc w:val="both"/>
        <w:rPr>
          <w:sz w:val="24"/>
        </w:rPr>
      </w:pPr>
      <w:r w:rsidRPr="0006540D">
        <w:rPr>
          <w:sz w:val="24"/>
        </w:rPr>
        <w:t>AusAID contribut</w:t>
      </w:r>
      <w:r w:rsidR="00EB6F2A">
        <w:rPr>
          <w:sz w:val="24"/>
        </w:rPr>
        <w:t>es</w:t>
      </w:r>
      <w:r w:rsidRPr="0006540D">
        <w:rPr>
          <w:sz w:val="24"/>
        </w:rPr>
        <w:t xml:space="preserve"> to economic reform in the Caribbean</w:t>
      </w:r>
      <w:r w:rsidR="00AE3F24">
        <w:rPr>
          <w:sz w:val="24"/>
        </w:rPr>
        <w:t xml:space="preserve"> through three complementary activities</w:t>
      </w:r>
      <w:r w:rsidR="007B47CD" w:rsidRPr="00A24893">
        <w:rPr>
          <w:sz w:val="24"/>
        </w:rPr>
        <w:t>. These activities are</w:t>
      </w:r>
      <w:r w:rsidR="00AE3F24" w:rsidRPr="00A24893">
        <w:rPr>
          <w:sz w:val="24"/>
        </w:rPr>
        <w:t xml:space="preserve"> </w:t>
      </w:r>
      <w:r w:rsidR="004D4034" w:rsidRPr="00A24893">
        <w:rPr>
          <w:sz w:val="24"/>
        </w:rPr>
        <w:t>designed</w:t>
      </w:r>
      <w:r w:rsidRPr="00A24893">
        <w:rPr>
          <w:sz w:val="24"/>
        </w:rPr>
        <w:t xml:space="preserve"> to</w:t>
      </w:r>
      <w:r w:rsidR="002908BB" w:rsidRPr="00A24893">
        <w:rPr>
          <w:sz w:val="24"/>
        </w:rPr>
        <w:t xml:space="preserve"> help</w:t>
      </w:r>
      <w:r w:rsidRPr="00A24893">
        <w:rPr>
          <w:sz w:val="24"/>
        </w:rPr>
        <w:t xml:space="preserve"> reduc</w:t>
      </w:r>
      <w:r w:rsidR="004D4034" w:rsidRPr="00A24893">
        <w:rPr>
          <w:sz w:val="24"/>
        </w:rPr>
        <w:t>e</w:t>
      </w:r>
      <w:r w:rsidRPr="00A24893">
        <w:rPr>
          <w:sz w:val="24"/>
        </w:rPr>
        <w:t xml:space="preserve"> average levels of debt to G</w:t>
      </w:r>
      <w:r w:rsidR="006B1DF7">
        <w:rPr>
          <w:sz w:val="24"/>
        </w:rPr>
        <w:t xml:space="preserve">ross </w:t>
      </w:r>
      <w:r w:rsidRPr="00A24893">
        <w:rPr>
          <w:sz w:val="24"/>
        </w:rPr>
        <w:t>D</w:t>
      </w:r>
      <w:r w:rsidR="006B1DF7">
        <w:rPr>
          <w:sz w:val="24"/>
        </w:rPr>
        <w:t xml:space="preserve">omestic </w:t>
      </w:r>
      <w:r w:rsidRPr="00A24893">
        <w:rPr>
          <w:sz w:val="24"/>
        </w:rPr>
        <w:t>P</w:t>
      </w:r>
      <w:r w:rsidR="006B1DF7">
        <w:rPr>
          <w:sz w:val="24"/>
        </w:rPr>
        <w:t>roduct</w:t>
      </w:r>
      <w:r w:rsidR="007958B6" w:rsidRPr="00A24893">
        <w:rPr>
          <w:sz w:val="24"/>
        </w:rPr>
        <w:t>, increase intra-regional trade and economic cooperation</w:t>
      </w:r>
      <w:r w:rsidR="00823BE7">
        <w:rPr>
          <w:sz w:val="24"/>
        </w:rPr>
        <w:t xml:space="preserve"> </w:t>
      </w:r>
      <w:r w:rsidR="007958B6" w:rsidRPr="00A24893">
        <w:rPr>
          <w:sz w:val="24"/>
        </w:rPr>
        <w:t xml:space="preserve">and increase youth employment.  </w:t>
      </w:r>
      <w:r w:rsidR="008F7BC0" w:rsidRPr="00A24893">
        <w:rPr>
          <w:sz w:val="24"/>
        </w:rPr>
        <w:t>Our</w:t>
      </w:r>
      <w:r w:rsidR="008F7BC0">
        <w:rPr>
          <w:sz w:val="24"/>
        </w:rPr>
        <w:t xml:space="preserve"> partners,</w:t>
      </w:r>
      <w:r w:rsidR="00823BE7">
        <w:rPr>
          <w:sz w:val="24"/>
        </w:rPr>
        <w:t xml:space="preserve"> the</w:t>
      </w:r>
      <w:r w:rsidR="00AE3F24">
        <w:rPr>
          <w:sz w:val="24"/>
        </w:rPr>
        <w:t xml:space="preserve"> </w:t>
      </w:r>
      <w:r w:rsidR="00A53D73">
        <w:rPr>
          <w:sz w:val="24"/>
        </w:rPr>
        <w:t>Caribbean Technical Assistance Centre (</w:t>
      </w:r>
      <w:r w:rsidR="00AE3F24">
        <w:rPr>
          <w:sz w:val="24"/>
        </w:rPr>
        <w:t>CARTAC</w:t>
      </w:r>
      <w:r w:rsidR="00A53D73">
        <w:rPr>
          <w:sz w:val="24"/>
        </w:rPr>
        <w:t>)</w:t>
      </w:r>
      <w:r w:rsidR="00AE3F24">
        <w:rPr>
          <w:sz w:val="24"/>
        </w:rPr>
        <w:t xml:space="preserve"> and </w:t>
      </w:r>
      <w:r w:rsidR="008F7BC0">
        <w:rPr>
          <w:sz w:val="24"/>
        </w:rPr>
        <w:t xml:space="preserve">the </w:t>
      </w:r>
      <w:r w:rsidR="00AE3F24">
        <w:rPr>
          <w:sz w:val="24"/>
        </w:rPr>
        <w:t>I</w:t>
      </w:r>
      <w:r w:rsidR="008F7BC0">
        <w:rPr>
          <w:sz w:val="24"/>
        </w:rPr>
        <w:t xml:space="preserve">nternational </w:t>
      </w:r>
      <w:r w:rsidR="00AE3F24">
        <w:rPr>
          <w:sz w:val="24"/>
        </w:rPr>
        <w:t>F</w:t>
      </w:r>
      <w:r w:rsidR="008F7BC0">
        <w:rPr>
          <w:sz w:val="24"/>
        </w:rPr>
        <w:t xml:space="preserve">inance </w:t>
      </w:r>
      <w:r w:rsidR="00AE3F24">
        <w:rPr>
          <w:sz w:val="24"/>
        </w:rPr>
        <w:t>C</w:t>
      </w:r>
      <w:r w:rsidR="008F7BC0">
        <w:rPr>
          <w:sz w:val="24"/>
        </w:rPr>
        <w:t>orporation (IFC)</w:t>
      </w:r>
      <w:r w:rsidR="00AE3F24">
        <w:rPr>
          <w:sz w:val="24"/>
        </w:rPr>
        <w:t xml:space="preserve"> in particular</w:t>
      </w:r>
      <w:r w:rsidR="00AE3F24" w:rsidRPr="00AE3F24">
        <w:rPr>
          <w:sz w:val="24"/>
        </w:rPr>
        <w:t xml:space="preserve"> have a history of proven results and </w:t>
      </w:r>
      <w:r w:rsidR="00EB6F2A">
        <w:rPr>
          <w:sz w:val="24"/>
        </w:rPr>
        <w:t xml:space="preserve">provide an efficient </w:t>
      </w:r>
      <w:r w:rsidR="007958B6">
        <w:rPr>
          <w:sz w:val="24"/>
        </w:rPr>
        <w:t>way to deliver Australia’s</w:t>
      </w:r>
      <w:r w:rsidR="00EB6F2A">
        <w:rPr>
          <w:sz w:val="24"/>
        </w:rPr>
        <w:t xml:space="preserve"> contribution to economic governance in the region</w:t>
      </w:r>
      <w:r w:rsidR="00A963C7">
        <w:rPr>
          <w:sz w:val="24"/>
        </w:rPr>
        <w:t>.</w:t>
      </w:r>
      <w:r w:rsidR="00AE3F24" w:rsidRPr="00AE3F24">
        <w:rPr>
          <w:sz w:val="24"/>
        </w:rPr>
        <w:t xml:space="preserve"> </w:t>
      </w:r>
      <w:r w:rsidR="00174A42">
        <w:rPr>
          <w:sz w:val="24"/>
        </w:rPr>
        <w:t xml:space="preserve"> </w:t>
      </w:r>
    </w:p>
    <w:p w14:paraId="10912E19" w14:textId="77777777" w:rsidR="00AE3F24" w:rsidRDefault="00AE3F24" w:rsidP="00C17DE2">
      <w:pPr>
        <w:jc w:val="both"/>
        <w:rPr>
          <w:sz w:val="24"/>
        </w:rPr>
      </w:pPr>
    </w:p>
    <w:p w14:paraId="10912E1A" w14:textId="77777777" w:rsidR="00BB771A" w:rsidRDefault="004442A9" w:rsidP="00C17DE2">
      <w:pPr>
        <w:jc w:val="both"/>
        <w:rPr>
          <w:sz w:val="24"/>
        </w:rPr>
      </w:pPr>
      <w:r w:rsidRPr="00036C8B">
        <w:rPr>
          <w:sz w:val="24"/>
        </w:rPr>
        <w:t>Australia</w:t>
      </w:r>
      <w:r w:rsidRPr="003274F5">
        <w:rPr>
          <w:sz w:val="24"/>
        </w:rPr>
        <w:t>’s 2011 contribution represent</w:t>
      </w:r>
      <w:r w:rsidR="003274F5" w:rsidRPr="003274F5">
        <w:rPr>
          <w:sz w:val="24"/>
        </w:rPr>
        <w:t>s</w:t>
      </w:r>
      <w:r w:rsidRPr="00036C8B">
        <w:rPr>
          <w:sz w:val="24"/>
        </w:rPr>
        <w:t xml:space="preserve"> </w:t>
      </w:r>
      <w:r w:rsidRPr="003274F5">
        <w:rPr>
          <w:sz w:val="24"/>
        </w:rPr>
        <w:t xml:space="preserve">around </w:t>
      </w:r>
      <w:r>
        <w:rPr>
          <w:sz w:val="24"/>
        </w:rPr>
        <w:t>5 per cent of CARTAC’s</w:t>
      </w:r>
      <w:r w:rsidR="003274F5">
        <w:rPr>
          <w:sz w:val="24"/>
        </w:rPr>
        <w:t xml:space="preserve"> </w:t>
      </w:r>
      <w:r w:rsidR="00EB6F2A">
        <w:rPr>
          <w:sz w:val="24"/>
        </w:rPr>
        <w:t>budget for activities that</w:t>
      </w:r>
      <w:r w:rsidR="00A963C7">
        <w:rPr>
          <w:sz w:val="24"/>
        </w:rPr>
        <w:t xml:space="preserve"> </w:t>
      </w:r>
      <w:r w:rsidR="00AC6530" w:rsidRPr="00AC6530">
        <w:rPr>
          <w:sz w:val="24"/>
        </w:rPr>
        <w:t>strengthen tax and customs administration, public financial management, market regulation and supervision and economic analysis</w:t>
      </w:r>
      <w:r w:rsidR="00A53D73" w:rsidRPr="00A24893">
        <w:rPr>
          <w:sz w:val="24"/>
        </w:rPr>
        <w:t>.</w:t>
      </w:r>
      <w:r w:rsidR="00144514" w:rsidRPr="00A24893">
        <w:rPr>
          <w:rStyle w:val="EndnoteReference"/>
          <w:sz w:val="24"/>
        </w:rPr>
        <w:endnoteReference w:id="12"/>
      </w:r>
      <w:r w:rsidR="00667A2E">
        <w:rPr>
          <w:sz w:val="24"/>
        </w:rPr>
        <w:t xml:space="preserve"> </w:t>
      </w:r>
      <w:r w:rsidR="00EB6F2A">
        <w:rPr>
          <w:sz w:val="24"/>
        </w:rPr>
        <w:t>This investment</w:t>
      </w:r>
      <w:r w:rsidR="00A963C7">
        <w:rPr>
          <w:sz w:val="24"/>
        </w:rPr>
        <w:t xml:space="preserve"> </w:t>
      </w:r>
      <w:r w:rsidR="00BB771A">
        <w:rPr>
          <w:sz w:val="24"/>
        </w:rPr>
        <w:t>helped retain</w:t>
      </w:r>
      <w:r w:rsidR="00EB6F2A">
        <w:rPr>
          <w:sz w:val="24"/>
        </w:rPr>
        <w:t xml:space="preserve"> </w:t>
      </w:r>
      <w:r w:rsidR="00131F8B" w:rsidRPr="00A13675">
        <w:rPr>
          <w:sz w:val="24"/>
        </w:rPr>
        <w:t>ret</w:t>
      </w:r>
      <w:r w:rsidR="00EB6F2A">
        <w:rPr>
          <w:sz w:val="24"/>
        </w:rPr>
        <w:t>ention</w:t>
      </w:r>
      <w:r w:rsidR="00131F8B" w:rsidRPr="00A13675">
        <w:rPr>
          <w:sz w:val="24"/>
        </w:rPr>
        <w:t xml:space="preserve"> of a</w:t>
      </w:r>
      <w:r w:rsidR="00921F8A" w:rsidRPr="00A13675">
        <w:rPr>
          <w:sz w:val="24"/>
        </w:rPr>
        <w:t xml:space="preserve"> public financial management advisor </w:t>
      </w:r>
      <w:r w:rsidR="00095DC9" w:rsidRPr="00A13675">
        <w:rPr>
          <w:sz w:val="24"/>
        </w:rPr>
        <w:t xml:space="preserve">along with </w:t>
      </w:r>
      <w:r w:rsidR="00131F8B" w:rsidRPr="00A13675">
        <w:rPr>
          <w:sz w:val="24"/>
        </w:rPr>
        <w:t>activities</w:t>
      </w:r>
      <w:r w:rsidR="00095DC9" w:rsidRPr="00A13675">
        <w:rPr>
          <w:sz w:val="24"/>
        </w:rPr>
        <w:t xml:space="preserve"> allocated to the position that </w:t>
      </w:r>
      <w:r w:rsidR="00921F8A" w:rsidRPr="00A13675">
        <w:rPr>
          <w:sz w:val="24"/>
        </w:rPr>
        <w:t>would otherwise</w:t>
      </w:r>
      <w:r w:rsidR="00095DC9" w:rsidRPr="00A13675">
        <w:rPr>
          <w:sz w:val="24"/>
        </w:rPr>
        <w:t xml:space="preserve"> not</w:t>
      </w:r>
      <w:r w:rsidR="00131F8B" w:rsidRPr="00A13675">
        <w:rPr>
          <w:sz w:val="24"/>
        </w:rPr>
        <w:t xml:space="preserve"> exist</w:t>
      </w:r>
      <w:r w:rsidR="00921F8A" w:rsidRPr="00A13675">
        <w:rPr>
          <w:sz w:val="24"/>
        </w:rPr>
        <w:t xml:space="preserve">. </w:t>
      </w:r>
      <w:r w:rsidR="00144514">
        <w:rPr>
          <w:sz w:val="24"/>
        </w:rPr>
        <w:t>Our</w:t>
      </w:r>
      <w:r w:rsidR="00921F8A" w:rsidRPr="00A13675">
        <w:rPr>
          <w:sz w:val="24"/>
        </w:rPr>
        <w:t xml:space="preserve"> </w:t>
      </w:r>
      <w:r w:rsidR="00131F8B" w:rsidRPr="00A13675">
        <w:rPr>
          <w:sz w:val="24"/>
        </w:rPr>
        <w:t>contribution</w:t>
      </w:r>
      <w:r w:rsidR="00A963C7">
        <w:rPr>
          <w:sz w:val="24"/>
        </w:rPr>
        <w:t xml:space="preserve"> </w:t>
      </w:r>
      <w:r w:rsidR="00A963C7" w:rsidRPr="00A13675">
        <w:rPr>
          <w:sz w:val="24"/>
        </w:rPr>
        <w:t>(we are now the third largest donor after Canada and UK)</w:t>
      </w:r>
      <w:r w:rsidR="00131F8B" w:rsidRPr="00A13675">
        <w:rPr>
          <w:sz w:val="24"/>
        </w:rPr>
        <w:t xml:space="preserve"> has been timely as</w:t>
      </w:r>
      <w:r w:rsidR="00095DC9" w:rsidRPr="00A13675">
        <w:rPr>
          <w:sz w:val="24"/>
        </w:rPr>
        <w:t xml:space="preserve"> </w:t>
      </w:r>
      <w:r w:rsidR="008F7BC0">
        <w:rPr>
          <w:sz w:val="24"/>
        </w:rPr>
        <w:t>other</w:t>
      </w:r>
      <w:r w:rsidR="008F7BC0" w:rsidRPr="00A13675">
        <w:rPr>
          <w:sz w:val="24"/>
        </w:rPr>
        <w:t xml:space="preserve"> </w:t>
      </w:r>
      <w:r w:rsidR="00095DC9" w:rsidRPr="00A13675">
        <w:rPr>
          <w:sz w:val="24"/>
        </w:rPr>
        <w:t>donors reduc</w:t>
      </w:r>
      <w:r w:rsidR="008F7BC0">
        <w:rPr>
          <w:sz w:val="24"/>
        </w:rPr>
        <w:t>e</w:t>
      </w:r>
      <w:r w:rsidR="00095DC9" w:rsidRPr="00A13675">
        <w:rPr>
          <w:sz w:val="24"/>
        </w:rPr>
        <w:t xml:space="preserve"> </w:t>
      </w:r>
      <w:r w:rsidR="00131F8B" w:rsidRPr="00A13675">
        <w:rPr>
          <w:sz w:val="24"/>
        </w:rPr>
        <w:t xml:space="preserve">their </w:t>
      </w:r>
      <w:r w:rsidR="00095DC9" w:rsidRPr="00A13675">
        <w:rPr>
          <w:sz w:val="24"/>
        </w:rPr>
        <w:t>contributions</w:t>
      </w:r>
      <w:r w:rsidR="00A55FAD">
        <w:rPr>
          <w:sz w:val="24"/>
        </w:rPr>
        <w:t>.</w:t>
      </w:r>
      <w:r w:rsidR="0020424A">
        <w:rPr>
          <w:rStyle w:val="EndnoteReference"/>
          <w:sz w:val="24"/>
        </w:rPr>
        <w:endnoteReference w:id="13"/>
      </w:r>
      <w:r w:rsidR="00667A2E">
        <w:rPr>
          <w:sz w:val="24"/>
        </w:rPr>
        <w:t xml:space="preserve"> </w:t>
      </w:r>
      <w:r w:rsidR="00131F8B" w:rsidRPr="00A13675">
        <w:rPr>
          <w:sz w:val="24"/>
        </w:rPr>
        <w:t xml:space="preserve">It </w:t>
      </w:r>
      <w:r w:rsidR="00095DC9" w:rsidRPr="00A13675">
        <w:rPr>
          <w:sz w:val="24"/>
        </w:rPr>
        <w:t>has</w:t>
      </w:r>
      <w:r w:rsidR="00131F8B" w:rsidRPr="00A13675">
        <w:rPr>
          <w:sz w:val="24"/>
        </w:rPr>
        <w:t xml:space="preserve"> </w:t>
      </w:r>
      <w:r w:rsidR="00921F8A" w:rsidRPr="00A13675">
        <w:rPr>
          <w:sz w:val="24"/>
        </w:rPr>
        <w:t xml:space="preserve">helped </w:t>
      </w:r>
      <w:r w:rsidR="003470F3">
        <w:rPr>
          <w:sz w:val="24"/>
        </w:rPr>
        <w:t>spread donor coverage thereby reducing</w:t>
      </w:r>
      <w:r w:rsidR="00921F8A" w:rsidRPr="00A13675">
        <w:rPr>
          <w:sz w:val="24"/>
        </w:rPr>
        <w:t xml:space="preserve"> </w:t>
      </w:r>
      <w:r w:rsidR="003470F3">
        <w:rPr>
          <w:sz w:val="24"/>
        </w:rPr>
        <w:t xml:space="preserve">the </w:t>
      </w:r>
      <w:r w:rsidR="00921F8A" w:rsidRPr="00A13675">
        <w:rPr>
          <w:sz w:val="24"/>
        </w:rPr>
        <w:t xml:space="preserve">risk </w:t>
      </w:r>
      <w:r w:rsidR="003470F3">
        <w:rPr>
          <w:sz w:val="24"/>
        </w:rPr>
        <w:t xml:space="preserve">of funding shortfalls </w:t>
      </w:r>
      <w:r w:rsidR="00921F8A" w:rsidRPr="00A13675">
        <w:rPr>
          <w:sz w:val="24"/>
        </w:rPr>
        <w:t xml:space="preserve">for the </w:t>
      </w:r>
      <w:r w:rsidR="003470F3">
        <w:rPr>
          <w:sz w:val="24"/>
        </w:rPr>
        <w:t>program</w:t>
      </w:r>
      <w:r w:rsidR="00001D47" w:rsidRPr="00A13675">
        <w:rPr>
          <w:sz w:val="24"/>
        </w:rPr>
        <w:t xml:space="preserve"> which is considered to be</w:t>
      </w:r>
      <w:r w:rsidR="008616A6" w:rsidRPr="00A13675">
        <w:rPr>
          <w:sz w:val="24"/>
        </w:rPr>
        <w:t xml:space="preserve"> a leading </w:t>
      </w:r>
      <w:r w:rsidR="008616A6" w:rsidRPr="00A24893">
        <w:rPr>
          <w:sz w:val="24"/>
        </w:rPr>
        <w:t xml:space="preserve">and </w:t>
      </w:r>
      <w:r w:rsidR="00001D47" w:rsidRPr="00A24893">
        <w:rPr>
          <w:sz w:val="24"/>
        </w:rPr>
        <w:t>effective provider of technical assistance in the region</w:t>
      </w:r>
      <w:r w:rsidR="00A55FAD" w:rsidRPr="00A24893">
        <w:rPr>
          <w:sz w:val="24"/>
        </w:rPr>
        <w:t>.</w:t>
      </w:r>
      <w:r w:rsidR="00001D47" w:rsidRPr="00A24893">
        <w:rPr>
          <w:sz w:val="24"/>
          <w:vertAlign w:val="superscript"/>
        </w:rPr>
        <w:endnoteReference w:id="14"/>
      </w:r>
      <w:r w:rsidR="008616A6" w:rsidRPr="00A24893">
        <w:rPr>
          <w:sz w:val="24"/>
        </w:rPr>
        <w:t xml:space="preserve"> </w:t>
      </w:r>
      <w:r w:rsidR="00144514" w:rsidRPr="00A24893">
        <w:rPr>
          <w:sz w:val="24"/>
        </w:rPr>
        <w:t xml:space="preserve">It has also enabled AusAID </w:t>
      </w:r>
      <w:r w:rsidR="00FB5160">
        <w:rPr>
          <w:sz w:val="24"/>
        </w:rPr>
        <w:t>to</w:t>
      </w:r>
      <w:r w:rsidR="00823BE7">
        <w:rPr>
          <w:sz w:val="24"/>
        </w:rPr>
        <w:t xml:space="preserve"> </w:t>
      </w:r>
      <w:r w:rsidR="00144514" w:rsidRPr="00A24893">
        <w:rPr>
          <w:sz w:val="24"/>
        </w:rPr>
        <w:t>participate in decision making through membership on CARTAC’s steering committee.</w:t>
      </w:r>
      <w:r w:rsidR="00887D91">
        <w:rPr>
          <w:sz w:val="24"/>
        </w:rPr>
        <w:t xml:space="preserve"> </w:t>
      </w:r>
      <w:r w:rsidR="00FD7F0C" w:rsidRPr="00A24893">
        <w:rPr>
          <w:sz w:val="24"/>
        </w:rPr>
        <w:t>CARTAC's</w:t>
      </w:r>
      <w:r w:rsidR="00FD7F0C" w:rsidRPr="00FD7F0C">
        <w:rPr>
          <w:sz w:val="24"/>
        </w:rPr>
        <w:t xml:space="preserve"> demand driven model ensures that it is responsive to</w:t>
      </w:r>
      <w:r w:rsidR="00FD7F0C">
        <w:rPr>
          <w:sz w:val="24"/>
        </w:rPr>
        <w:t xml:space="preserve"> needs expressed by its clients, </w:t>
      </w:r>
      <w:r w:rsidR="00FD7F0C" w:rsidRPr="00FD7F0C">
        <w:rPr>
          <w:sz w:val="24"/>
        </w:rPr>
        <w:t>and being based in the region it can respond quickly to emerging priorities</w:t>
      </w:r>
      <w:r w:rsidR="00823BE7">
        <w:rPr>
          <w:sz w:val="24"/>
        </w:rPr>
        <w:t xml:space="preserve">. </w:t>
      </w:r>
      <w:r w:rsidR="00FD7F0C" w:rsidRPr="00FD7F0C">
        <w:rPr>
          <w:sz w:val="24"/>
        </w:rPr>
        <w:t>As a regional organisation</w:t>
      </w:r>
      <w:r w:rsidR="003274F5">
        <w:rPr>
          <w:sz w:val="24"/>
        </w:rPr>
        <w:t xml:space="preserve"> CARTAC</w:t>
      </w:r>
      <w:r w:rsidR="00FD7F0C" w:rsidRPr="00FD7F0C">
        <w:rPr>
          <w:sz w:val="24"/>
        </w:rPr>
        <w:t xml:space="preserve"> is a cost-effective way to deliver </w:t>
      </w:r>
      <w:r w:rsidR="00FD7F0C">
        <w:rPr>
          <w:sz w:val="24"/>
        </w:rPr>
        <w:t>technical assistance</w:t>
      </w:r>
      <w:r w:rsidR="00BB771A">
        <w:rPr>
          <w:sz w:val="24"/>
        </w:rPr>
        <w:t xml:space="preserve"> and capacity building support.</w:t>
      </w:r>
    </w:p>
    <w:p w14:paraId="10912E1B" w14:textId="77777777" w:rsidR="00BB771A" w:rsidRDefault="00BB771A" w:rsidP="00C17DE2">
      <w:pPr>
        <w:jc w:val="both"/>
        <w:rPr>
          <w:sz w:val="24"/>
        </w:rPr>
      </w:pPr>
    </w:p>
    <w:p w14:paraId="10912E1C" w14:textId="12DC4371" w:rsidR="00200A45" w:rsidRDefault="00200A45" w:rsidP="00C17DE2">
      <w:pPr>
        <w:jc w:val="both"/>
        <w:rPr>
          <w:sz w:val="24"/>
        </w:rPr>
      </w:pPr>
      <w:r w:rsidRPr="00921F8A">
        <w:rPr>
          <w:sz w:val="24"/>
        </w:rPr>
        <w:t>Aus</w:t>
      </w:r>
      <w:r w:rsidR="003470F3">
        <w:rPr>
          <w:sz w:val="24"/>
        </w:rPr>
        <w:t>tralian</w:t>
      </w:r>
      <w:r w:rsidRPr="00921F8A">
        <w:rPr>
          <w:sz w:val="24"/>
        </w:rPr>
        <w:t xml:space="preserve"> support</w:t>
      </w:r>
      <w:r>
        <w:rPr>
          <w:sz w:val="24"/>
        </w:rPr>
        <w:t xml:space="preserve"> has enabled</w:t>
      </w:r>
      <w:r w:rsidRPr="00921F8A">
        <w:rPr>
          <w:sz w:val="24"/>
        </w:rPr>
        <w:t xml:space="preserve"> the first phase of </w:t>
      </w:r>
      <w:r>
        <w:rPr>
          <w:sz w:val="24"/>
        </w:rPr>
        <w:t xml:space="preserve">the </w:t>
      </w:r>
      <w:r w:rsidR="008F7BC0">
        <w:rPr>
          <w:sz w:val="24"/>
        </w:rPr>
        <w:t>IFC</w:t>
      </w:r>
      <w:r>
        <w:rPr>
          <w:sz w:val="24"/>
        </w:rPr>
        <w:t>’s</w:t>
      </w:r>
      <w:r w:rsidRPr="00921F8A">
        <w:rPr>
          <w:sz w:val="24"/>
        </w:rPr>
        <w:t xml:space="preserve"> trade logistics program </w:t>
      </w:r>
      <w:r>
        <w:rPr>
          <w:sz w:val="24"/>
        </w:rPr>
        <w:t>to continue</w:t>
      </w:r>
      <w:r w:rsidR="00CE1E01">
        <w:rPr>
          <w:sz w:val="24"/>
        </w:rPr>
        <w:t xml:space="preserve"> in four countries (</w:t>
      </w:r>
      <w:r w:rsidR="00CE1E01" w:rsidRPr="00CE1E01">
        <w:rPr>
          <w:sz w:val="24"/>
        </w:rPr>
        <w:t>Dominica, Grenada, St. Kitts &amp; Nevis and St. Lucia)</w:t>
      </w:r>
      <w:r>
        <w:rPr>
          <w:sz w:val="24"/>
        </w:rPr>
        <w:t xml:space="preserve"> and expand to </w:t>
      </w:r>
      <w:r w:rsidRPr="00921F8A">
        <w:rPr>
          <w:sz w:val="24"/>
        </w:rPr>
        <w:t>t</w:t>
      </w:r>
      <w:r>
        <w:rPr>
          <w:sz w:val="24"/>
        </w:rPr>
        <w:t>wo more countries</w:t>
      </w:r>
      <w:r w:rsidR="00A55FAD">
        <w:rPr>
          <w:sz w:val="24"/>
        </w:rPr>
        <w:t>.</w:t>
      </w:r>
      <w:r w:rsidR="00340EA3">
        <w:rPr>
          <w:rStyle w:val="EndnoteReference"/>
          <w:sz w:val="24"/>
        </w:rPr>
        <w:endnoteReference w:id="15"/>
      </w:r>
      <w:r w:rsidR="00BC78E3" w:rsidRPr="007D7B82">
        <w:rPr>
          <w:sz w:val="24"/>
        </w:rPr>
        <w:t xml:space="preserve"> </w:t>
      </w:r>
      <w:r w:rsidR="00B714E8">
        <w:rPr>
          <w:sz w:val="24"/>
        </w:rPr>
        <w:t xml:space="preserve">It has established a </w:t>
      </w:r>
      <w:r w:rsidR="00B714E8" w:rsidRPr="007D7B82">
        <w:rPr>
          <w:sz w:val="24"/>
        </w:rPr>
        <w:t>model for assisting countries in the diagnosis and development of strategies to improve trade logistics</w:t>
      </w:r>
      <w:r w:rsidR="00B714E8">
        <w:rPr>
          <w:sz w:val="24"/>
        </w:rPr>
        <w:t xml:space="preserve">. IFC has </w:t>
      </w:r>
      <w:r w:rsidR="008F7BC0">
        <w:rPr>
          <w:sz w:val="24"/>
        </w:rPr>
        <w:t>focused</w:t>
      </w:r>
      <w:r w:rsidR="00B714E8" w:rsidRPr="007D7B82">
        <w:rPr>
          <w:sz w:val="24"/>
        </w:rPr>
        <w:t xml:space="preserve"> on the implementation of action plans developed in an earlier phase</w:t>
      </w:r>
      <w:r w:rsidR="00B714E8">
        <w:rPr>
          <w:sz w:val="24"/>
        </w:rPr>
        <w:t xml:space="preserve"> </w:t>
      </w:r>
      <w:r w:rsidR="00DC2B63">
        <w:rPr>
          <w:sz w:val="24"/>
        </w:rPr>
        <w:t>(supported by Canada)</w:t>
      </w:r>
      <w:r w:rsidR="00823BE7">
        <w:rPr>
          <w:sz w:val="24"/>
        </w:rPr>
        <w:t>,</w:t>
      </w:r>
      <w:r w:rsidR="00B714E8">
        <w:rPr>
          <w:sz w:val="24"/>
        </w:rPr>
        <w:t xml:space="preserve"> </w:t>
      </w:r>
      <w:r w:rsidR="008F7BC0">
        <w:rPr>
          <w:sz w:val="24"/>
        </w:rPr>
        <w:t>con</w:t>
      </w:r>
      <w:r w:rsidR="00667A2E">
        <w:rPr>
          <w:sz w:val="24"/>
        </w:rPr>
        <w:t>v</w:t>
      </w:r>
      <w:r w:rsidR="008F7BC0">
        <w:rPr>
          <w:sz w:val="24"/>
        </w:rPr>
        <w:t>erting</w:t>
      </w:r>
      <w:r w:rsidR="00B714E8" w:rsidRPr="00B42DAC">
        <w:rPr>
          <w:sz w:val="24"/>
        </w:rPr>
        <w:t xml:space="preserve"> diagnostic</w:t>
      </w:r>
      <w:r w:rsidR="008F7BC0">
        <w:rPr>
          <w:sz w:val="24"/>
        </w:rPr>
        <w:t>s</w:t>
      </w:r>
      <w:r w:rsidR="00B714E8" w:rsidRPr="00B42DAC">
        <w:rPr>
          <w:sz w:val="24"/>
        </w:rPr>
        <w:t xml:space="preserve"> into actions and reforms</w:t>
      </w:r>
      <w:r w:rsidR="00B714E8" w:rsidRPr="007D7B82">
        <w:rPr>
          <w:sz w:val="24"/>
        </w:rPr>
        <w:t xml:space="preserve">. </w:t>
      </w:r>
      <w:r w:rsidR="008F7BC0">
        <w:rPr>
          <w:sz w:val="24"/>
        </w:rPr>
        <w:t>H</w:t>
      </w:r>
      <w:r w:rsidR="00B714E8">
        <w:rPr>
          <w:sz w:val="24"/>
        </w:rPr>
        <w:t xml:space="preserve">urdles </w:t>
      </w:r>
      <w:r w:rsidR="008F7BC0">
        <w:rPr>
          <w:sz w:val="24"/>
        </w:rPr>
        <w:t>remain including</w:t>
      </w:r>
      <w:r w:rsidR="00B714E8">
        <w:rPr>
          <w:sz w:val="24"/>
        </w:rPr>
        <w:t xml:space="preserve"> </w:t>
      </w:r>
      <w:r w:rsidRPr="007D7B82">
        <w:rPr>
          <w:sz w:val="24"/>
        </w:rPr>
        <w:t xml:space="preserve">inter-agency </w:t>
      </w:r>
      <w:r w:rsidR="00B714E8">
        <w:rPr>
          <w:sz w:val="24"/>
        </w:rPr>
        <w:t xml:space="preserve">customs </w:t>
      </w:r>
      <w:r w:rsidRPr="007D7B82">
        <w:rPr>
          <w:sz w:val="24"/>
        </w:rPr>
        <w:t xml:space="preserve">coordination and </w:t>
      </w:r>
      <w:r w:rsidR="00B714E8">
        <w:rPr>
          <w:sz w:val="24"/>
        </w:rPr>
        <w:t xml:space="preserve">significant </w:t>
      </w:r>
      <w:r w:rsidRPr="007D7B82">
        <w:rPr>
          <w:sz w:val="24"/>
        </w:rPr>
        <w:t>investments</w:t>
      </w:r>
      <w:r w:rsidR="00B714E8">
        <w:rPr>
          <w:sz w:val="24"/>
        </w:rPr>
        <w:t xml:space="preserve"> required</w:t>
      </w:r>
      <w:r w:rsidRPr="007D7B82">
        <w:rPr>
          <w:sz w:val="24"/>
        </w:rPr>
        <w:t xml:space="preserve"> </w:t>
      </w:r>
      <w:r w:rsidR="00B714E8">
        <w:rPr>
          <w:sz w:val="24"/>
        </w:rPr>
        <w:t>for better port facilities</w:t>
      </w:r>
      <w:r w:rsidR="0020424A">
        <w:rPr>
          <w:sz w:val="24"/>
        </w:rPr>
        <w:t>.</w:t>
      </w:r>
      <w:r w:rsidR="00B714E8">
        <w:rPr>
          <w:sz w:val="24"/>
        </w:rPr>
        <w:t xml:space="preserve"> </w:t>
      </w:r>
      <w:r w:rsidR="0020424A">
        <w:rPr>
          <w:sz w:val="24"/>
        </w:rPr>
        <w:t>H</w:t>
      </w:r>
      <w:r w:rsidR="008F7BC0">
        <w:rPr>
          <w:sz w:val="24"/>
        </w:rPr>
        <w:t xml:space="preserve">owever, </w:t>
      </w:r>
      <w:r w:rsidR="00B714E8">
        <w:rPr>
          <w:sz w:val="24"/>
        </w:rPr>
        <w:t xml:space="preserve">Caribbean countries are beginning to </w:t>
      </w:r>
      <w:r w:rsidR="003B006F">
        <w:rPr>
          <w:sz w:val="24"/>
        </w:rPr>
        <w:t xml:space="preserve">reap </w:t>
      </w:r>
      <w:r w:rsidR="00B714E8">
        <w:rPr>
          <w:sz w:val="24"/>
        </w:rPr>
        <w:t>the benefits from</w:t>
      </w:r>
      <w:r w:rsidRPr="007D7B82">
        <w:rPr>
          <w:sz w:val="24"/>
        </w:rPr>
        <w:t xml:space="preserve"> streamlining trade logistics</w:t>
      </w:r>
      <w:r w:rsidR="00B714E8">
        <w:rPr>
          <w:sz w:val="24"/>
        </w:rPr>
        <w:t xml:space="preserve"> in the region</w:t>
      </w:r>
      <w:r w:rsidRPr="007D7B82">
        <w:rPr>
          <w:sz w:val="24"/>
        </w:rPr>
        <w:t>.</w:t>
      </w:r>
      <w:r w:rsidR="00CE1E01">
        <w:rPr>
          <w:sz w:val="24"/>
        </w:rPr>
        <w:t xml:space="preserve"> This includes</w:t>
      </w:r>
      <w:r w:rsidR="00CE1E01" w:rsidRPr="00CE1E01">
        <w:rPr>
          <w:sz w:val="24"/>
        </w:rPr>
        <w:t xml:space="preserve"> a reduction in the number of days to trade</w:t>
      </w:r>
      <w:r w:rsidR="00CE1E01">
        <w:rPr>
          <w:sz w:val="24"/>
        </w:rPr>
        <w:t xml:space="preserve"> in St. Kitts &amp;</w:t>
      </w:r>
      <w:r w:rsidR="00CE1E01" w:rsidRPr="00CE1E01">
        <w:rPr>
          <w:sz w:val="24"/>
        </w:rPr>
        <w:t xml:space="preserve"> Nevis from twelve to eleven days for exports </w:t>
      </w:r>
      <w:r w:rsidR="00E77465">
        <w:rPr>
          <w:sz w:val="24"/>
        </w:rPr>
        <w:t>(or 9</w:t>
      </w:r>
      <w:r w:rsidR="00C05DDA">
        <w:rPr>
          <w:sz w:val="24"/>
        </w:rPr>
        <w:t xml:space="preserve"> per cent</w:t>
      </w:r>
      <w:r w:rsidR="00E77465">
        <w:rPr>
          <w:sz w:val="24"/>
        </w:rPr>
        <w:t xml:space="preserve">), </w:t>
      </w:r>
      <w:r w:rsidR="00CE1E01" w:rsidRPr="00CE1E01">
        <w:rPr>
          <w:sz w:val="24"/>
        </w:rPr>
        <w:t>and from thirteen to twelve days for imports</w:t>
      </w:r>
      <w:r w:rsidR="00E77465">
        <w:rPr>
          <w:sz w:val="24"/>
        </w:rPr>
        <w:t xml:space="preserve"> (or 8</w:t>
      </w:r>
      <w:r w:rsidR="00C05DDA">
        <w:rPr>
          <w:sz w:val="24"/>
        </w:rPr>
        <w:t xml:space="preserve"> per cent</w:t>
      </w:r>
      <w:r w:rsidR="00E77465">
        <w:rPr>
          <w:sz w:val="24"/>
        </w:rPr>
        <w:t>), resulting from the introduction of electronic submission of Customs’ declarations</w:t>
      </w:r>
      <w:r w:rsidR="00A55FAD">
        <w:rPr>
          <w:sz w:val="24"/>
        </w:rPr>
        <w:t>.</w:t>
      </w:r>
      <w:r w:rsidR="00CE1E01">
        <w:rPr>
          <w:rStyle w:val="EndnoteReference"/>
          <w:sz w:val="24"/>
        </w:rPr>
        <w:endnoteReference w:id="16"/>
      </w:r>
      <w:r w:rsidRPr="007D7B82">
        <w:rPr>
          <w:sz w:val="24"/>
        </w:rPr>
        <w:t xml:space="preserve">  </w:t>
      </w:r>
    </w:p>
    <w:p w14:paraId="10912E1D" w14:textId="77777777" w:rsidR="00A24893" w:rsidRPr="00921F8A" w:rsidRDefault="00A24893" w:rsidP="00C17DE2">
      <w:pPr>
        <w:jc w:val="both"/>
        <w:rPr>
          <w:sz w:val="24"/>
        </w:rPr>
      </w:pPr>
    </w:p>
    <w:p w14:paraId="10912E1E" w14:textId="77777777" w:rsidR="00D90BB1" w:rsidRDefault="00A24893" w:rsidP="00C17DE2">
      <w:pPr>
        <w:jc w:val="both"/>
        <w:rPr>
          <w:sz w:val="24"/>
        </w:rPr>
      </w:pPr>
      <w:r>
        <w:rPr>
          <w:sz w:val="24"/>
        </w:rPr>
        <w:t xml:space="preserve">As the leading donor to the Youth Uplift Through Employment (YUTE) program </w:t>
      </w:r>
      <w:r w:rsidR="00921F8A" w:rsidRPr="00921F8A">
        <w:rPr>
          <w:sz w:val="24"/>
        </w:rPr>
        <w:t>Aus</w:t>
      </w:r>
      <w:r w:rsidR="003470F3">
        <w:rPr>
          <w:sz w:val="24"/>
        </w:rPr>
        <w:t>tralia</w:t>
      </w:r>
      <w:r>
        <w:rPr>
          <w:sz w:val="24"/>
        </w:rPr>
        <w:t xml:space="preserve"> has </w:t>
      </w:r>
      <w:r w:rsidR="00921F8A" w:rsidRPr="00921F8A">
        <w:rPr>
          <w:sz w:val="24"/>
        </w:rPr>
        <w:t>contribut</w:t>
      </w:r>
      <w:r>
        <w:rPr>
          <w:sz w:val="24"/>
        </w:rPr>
        <w:t>ed</w:t>
      </w:r>
      <w:r w:rsidR="001F3EC7">
        <w:rPr>
          <w:sz w:val="24"/>
        </w:rPr>
        <w:t xml:space="preserve"> </w:t>
      </w:r>
      <w:r w:rsidR="00921F8A" w:rsidRPr="00921F8A">
        <w:rPr>
          <w:sz w:val="24"/>
        </w:rPr>
        <w:t xml:space="preserve">around </w:t>
      </w:r>
      <w:r>
        <w:rPr>
          <w:sz w:val="24"/>
        </w:rPr>
        <w:t>23</w:t>
      </w:r>
      <w:r w:rsidR="00921F8A" w:rsidRPr="00921F8A">
        <w:rPr>
          <w:sz w:val="24"/>
        </w:rPr>
        <w:t xml:space="preserve"> per cent of </w:t>
      </w:r>
      <w:r>
        <w:rPr>
          <w:sz w:val="24"/>
        </w:rPr>
        <w:t xml:space="preserve">its </w:t>
      </w:r>
      <w:r w:rsidR="00921F8A" w:rsidRPr="00921F8A">
        <w:rPr>
          <w:sz w:val="24"/>
        </w:rPr>
        <w:t xml:space="preserve">total </w:t>
      </w:r>
      <w:r w:rsidR="001F3EC7">
        <w:rPr>
          <w:sz w:val="24"/>
        </w:rPr>
        <w:t xml:space="preserve">budget </w:t>
      </w:r>
      <w:r w:rsidR="003274F5">
        <w:rPr>
          <w:sz w:val="24"/>
        </w:rPr>
        <w:t>with other donors</w:t>
      </w:r>
      <w:r>
        <w:rPr>
          <w:sz w:val="24"/>
        </w:rPr>
        <w:t xml:space="preserve"> and private sector partners (which contribute 55 per cent)</w:t>
      </w:r>
      <w:r w:rsidR="003274F5">
        <w:rPr>
          <w:sz w:val="24"/>
        </w:rPr>
        <w:t xml:space="preserve">. </w:t>
      </w:r>
      <w:r w:rsidR="0053543B">
        <w:rPr>
          <w:sz w:val="24"/>
        </w:rPr>
        <w:t>This</w:t>
      </w:r>
      <w:r w:rsidR="00A35A86">
        <w:rPr>
          <w:sz w:val="24"/>
        </w:rPr>
        <w:t xml:space="preserve"> has </w:t>
      </w:r>
      <w:r w:rsidR="001F3EC7">
        <w:rPr>
          <w:sz w:val="24"/>
        </w:rPr>
        <w:t>helped</w:t>
      </w:r>
      <w:r w:rsidR="00921F8A" w:rsidRPr="00921F8A">
        <w:rPr>
          <w:sz w:val="24"/>
        </w:rPr>
        <w:t xml:space="preserve"> YUTE to deliver training and employment opportunities for</w:t>
      </w:r>
      <w:r w:rsidR="001F3EC7">
        <w:rPr>
          <w:sz w:val="24"/>
        </w:rPr>
        <w:t xml:space="preserve"> a target of</w:t>
      </w:r>
      <w:r w:rsidR="00921F8A" w:rsidRPr="00921F8A">
        <w:rPr>
          <w:sz w:val="24"/>
        </w:rPr>
        <w:t xml:space="preserve"> 2</w:t>
      </w:r>
      <w:r w:rsidR="00C05DDA">
        <w:rPr>
          <w:sz w:val="24"/>
        </w:rPr>
        <w:t xml:space="preserve"> </w:t>
      </w:r>
      <w:r w:rsidR="00921F8A" w:rsidRPr="00921F8A">
        <w:rPr>
          <w:sz w:val="24"/>
        </w:rPr>
        <w:t xml:space="preserve">000 Jamaican youth. </w:t>
      </w:r>
      <w:r w:rsidR="008F7BC0">
        <w:rPr>
          <w:sz w:val="24"/>
        </w:rPr>
        <w:t xml:space="preserve">It is hoped </w:t>
      </w:r>
      <w:r w:rsidR="00921F8A" w:rsidRPr="00921F8A">
        <w:rPr>
          <w:sz w:val="24"/>
        </w:rPr>
        <w:t>Aus</w:t>
      </w:r>
      <w:r w:rsidR="003470F3">
        <w:rPr>
          <w:sz w:val="24"/>
        </w:rPr>
        <w:t>tralian</w:t>
      </w:r>
      <w:r w:rsidR="00921F8A" w:rsidRPr="00921F8A">
        <w:rPr>
          <w:sz w:val="24"/>
        </w:rPr>
        <w:t xml:space="preserve"> funding </w:t>
      </w:r>
      <w:r w:rsidR="00D90BB1">
        <w:rPr>
          <w:sz w:val="24"/>
        </w:rPr>
        <w:t>could</w:t>
      </w:r>
      <w:r w:rsidR="00D90BB1" w:rsidRPr="00921F8A">
        <w:rPr>
          <w:sz w:val="24"/>
        </w:rPr>
        <w:t xml:space="preserve"> </w:t>
      </w:r>
      <w:r w:rsidR="00921F8A" w:rsidRPr="00921F8A">
        <w:rPr>
          <w:sz w:val="24"/>
        </w:rPr>
        <w:t>catalys</w:t>
      </w:r>
      <w:r w:rsidR="008F7BC0">
        <w:rPr>
          <w:sz w:val="24"/>
        </w:rPr>
        <w:t>e</w:t>
      </w:r>
      <w:r w:rsidR="00921F8A" w:rsidRPr="00921F8A">
        <w:rPr>
          <w:sz w:val="24"/>
        </w:rPr>
        <w:t xml:space="preserve"> support</w:t>
      </w:r>
      <w:r w:rsidR="008F7BC0">
        <w:rPr>
          <w:sz w:val="24"/>
        </w:rPr>
        <w:t xml:space="preserve"> from other donors</w:t>
      </w:r>
      <w:r w:rsidR="00921F8A" w:rsidRPr="00921F8A">
        <w:rPr>
          <w:sz w:val="24"/>
        </w:rPr>
        <w:t>. The first class of 85 students recently graduated and there have already been 283 job placements for YUTE participants.</w:t>
      </w:r>
      <w:r w:rsidR="00AE7C1C">
        <w:rPr>
          <w:sz w:val="24"/>
        </w:rPr>
        <w:t xml:space="preserve"> </w:t>
      </w:r>
      <w:r w:rsidR="00816EC9">
        <w:rPr>
          <w:sz w:val="24"/>
        </w:rPr>
        <w:t xml:space="preserve">As youth engagement is a regional challenge, other countries have expressed </w:t>
      </w:r>
      <w:r w:rsidR="00A83970">
        <w:rPr>
          <w:sz w:val="24"/>
        </w:rPr>
        <w:t>interest</w:t>
      </w:r>
      <w:r w:rsidR="00816EC9">
        <w:rPr>
          <w:sz w:val="24"/>
        </w:rPr>
        <w:t xml:space="preserve"> in the project’s progress.  </w:t>
      </w:r>
      <w:r w:rsidR="00E77465">
        <w:rPr>
          <w:sz w:val="24"/>
        </w:rPr>
        <w:t>Aus</w:t>
      </w:r>
      <w:r w:rsidR="003470F3">
        <w:rPr>
          <w:sz w:val="24"/>
        </w:rPr>
        <w:t>tralia</w:t>
      </w:r>
      <w:r w:rsidR="00E77465">
        <w:rPr>
          <w:sz w:val="24"/>
        </w:rPr>
        <w:t xml:space="preserve"> is</w:t>
      </w:r>
      <w:r w:rsidR="00816EC9">
        <w:rPr>
          <w:sz w:val="24"/>
        </w:rPr>
        <w:t xml:space="preserve"> also</w:t>
      </w:r>
      <w:r w:rsidR="00E77465">
        <w:rPr>
          <w:sz w:val="24"/>
        </w:rPr>
        <w:t xml:space="preserve"> seeking to have a better understanding of </w:t>
      </w:r>
      <w:r w:rsidR="00D90BB1">
        <w:rPr>
          <w:sz w:val="24"/>
        </w:rPr>
        <w:t xml:space="preserve">youth issues </w:t>
      </w:r>
      <w:r w:rsidR="00E77465">
        <w:rPr>
          <w:sz w:val="24"/>
        </w:rPr>
        <w:t xml:space="preserve">and has commissioned a paper that will summarise youth interventions in the Caribbean and any emerging issues. The paper </w:t>
      </w:r>
      <w:r w:rsidR="00DC2B63">
        <w:rPr>
          <w:sz w:val="24"/>
        </w:rPr>
        <w:t>is</w:t>
      </w:r>
      <w:r w:rsidR="00D90BB1">
        <w:rPr>
          <w:sz w:val="24"/>
        </w:rPr>
        <w:t xml:space="preserve"> expected to be completed for </w:t>
      </w:r>
      <w:r>
        <w:rPr>
          <w:sz w:val="24"/>
        </w:rPr>
        <w:t xml:space="preserve">the </w:t>
      </w:r>
      <w:r w:rsidR="00D90BB1">
        <w:rPr>
          <w:sz w:val="24"/>
        </w:rPr>
        <w:t xml:space="preserve">CARICOM </w:t>
      </w:r>
      <w:r>
        <w:rPr>
          <w:sz w:val="24"/>
        </w:rPr>
        <w:t xml:space="preserve">– Australia Senior Officials’ Meeting </w:t>
      </w:r>
      <w:r w:rsidR="00816EC9">
        <w:rPr>
          <w:sz w:val="24"/>
        </w:rPr>
        <w:t xml:space="preserve">in </w:t>
      </w:r>
      <w:r w:rsidR="00D90BB1">
        <w:rPr>
          <w:sz w:val="24"/>
        </w:rPr>
        <w:t>2012.</w:t>
      </w:r>
    </w:p>
    <w:p w14:paraId="6C010993" w14:textId="77777777" w:rsidR="00BA223F" w:rsidRDefault="00BA223F" w:rsidP="00C17DE2">
      <w:pPr>
        <w:jc w:val="both"/>
        <w:rPr>
          <w:sz w:val="24"/>
        </w:rPr>
      </w:pPr>
    </w:p>
    <w:p w14:paraId="10912E1F" w14:textId="77777777" w:rsidR="00BC39CB" w:rsidRPr="00BC39CB" w:rsidRDefault="00BC39CB" w:rsidP="00BA223F">
      <w:pPr>
        <w:pStyle w:val="Heading2"/>
      </w:pPr>
      <w:r>
        <w:t xml:space="preserve">Objective 3: </w:t>
      </w:r>
      <w:r w:rsidRPr="00BC39CB">
        <w:t>Promote meaningful opportunities for interaction between Caribbean, Australian and Pacific citizens and opinion leaders which add to Caribbean knowledge and capacity to address climate change, natural disasters and economic challenges</w:t>
      </w:r>
    </w:p>
    <w:p w14:paraId="10912E20" w14:textId="77777777" w:rsidR="00D44B7C" w:rsidRPr="00D44B7C" w:rsidRDefault="00D44B7C" w:rsidP="00D44B7C">
      <w:pPr>
        <w:jc w:val="both"/>
        <w:rPr>
          <w:b/>
          <w:sz w:val="24"/>
        </w:rPr>
      </w:pPr>
    </w:p>
    <w:p w14:paraId="10912E21" w14:textId="77777777" w:rsidR="00D44B7C" w:rsidRPr="00D44B7C" w:rsidRDefault="00D44B7C" w:rsidP="00D44B7C">
      <w:pPr>
        <w:pStyle w:val="Note"/>
        <w:keepNext/>
        <w:spacing w:before="0"/>
        <w:rPr>
          <w:sz w:val="22"/>
          <w:szCs w:val="22"/>
        </w:rPr>
      </w:pPr>
      <w:r w:rsidRPr="00D44B7C">
        <w:rPr>
          <w:rFonts w:cs="Arial"/>
          <w:sz w:val="22"/>
          <w:szCs w:val="22"/>
        </w:rPr>
        <w:t xml:space="preserve">Rating: </w:t>
      </w:r>
      <w:r w:rsidRPr="00D44B7C">
        <w:rPr>
          <w:color w:val="99CC00"/>
          <w:sz w:val="22"/>
          <w:szCs w:val="22"/>
        </w:rPr>
        <w:sym w:font="Webdings" w:char="F067"/>
      </w:r>
      <w:r w:rsidRPr="00D44B7C">
        <w:rPr>
          <w:rFonts w:ascii="Arial Unicode MS" w:eastAsia="Arial Unicode MS" w:hAnsi="Arial Unicode MS" w:cs="Arial Unicode MS" w:hint="eastAsia"/>
          <w:sz w:val="22"/>
          <w:szCs w:val="22"/>
          <w:lang w:val="en-US"/>
        </w:rPr>
        <w:t> </w:t>
      </w:r>
      <w:r w:rsidRPr="00D44B7C">
        <w:rPr>
          <w:sz w:val="22"/>
          <w:szCs w:val="22"/>
        </w:rPr>
        <w:t xml:space="preserve">The objective will be fully achieved within the timeframe of the </w:t>
      </w:r>
      <w:r w:rsidR="008F7BC0">
        <w:rPr>
          <w:sz w:val="22"/>
          <w:szCs w:val="22"/>
        </w:rPr>
        <w:t>Ministerial commitment</w:t>
      </w:r>
      <w:r w:rsidRPr="00D44B7C">
        <w:rPr>
          <w:sz w:val="22"/>
          <w:szCs w:val="22"/>
        </w:rPr>
        <w:t>.</w:t>
      </w:r>
    </w:p>
    <w:p w14:paraId="10912E22" w14:textId="77777777" w:rsidR="003462D5" w:rsidRDefault="003462D5" w:rsidP="00C17DE2">
      <w:pPr>
        <w:jc w:val="both"/>
        <w:rPr>
          <w:b/>
          <w:sz w:val="24"/>
        </w:rPr>
      </w:pPr>
    </w:p>
    <w:p w14:paraId="10912E23" w14:textId="77777777" w:rsidR="006F6E3E" w:rsidRPr="006F6E3E" w:rsidRDefault="00D108A9" w:rsidP="00C17DE2">
      <w:pPr>
        <w:jc w:val="both"/>
        <w:rPr>
          <w:sz w:val="24"/>
        </w:rPr>
      </w:pPr>
      <w:r w:rsidRPr="006F6E3E">
        <w:rPr>
          <w:sz w:val="24"/>
        </w:rPr>
        <w:t xml:space="preserve">The </w:t>
      </w:r>
      <w:r>
        <w:rPr>
          <w:sz w:val="24"/>
        </w:rPr>
        <w:t>Caribbean program</w:t>
      </w:r>
      <w:r w:rsidR="003470F3">
        <w:rPr>
          <w:sz w:val="24"/>
        </w:rPr>
        <w:t xml:space="preserve"> people to people</w:t>
      </w:r>
      <w:r>
        <w:rPr>
          <w:sz w:val="24"/>
        </w:rPr>
        <w:t xml:space="preserve"> </w:t>
      </w:r>
      <w:r w:rsidRPr="006F6E3E">
        <w:rPr>
          <w:sz w:val="24"/>
        </w:rPr>
        <w:t>linkages</w:t>
      </w:r>
      <w:r>
        <w:rPr>
          <w:sz w:val="24"/>
        </w:rPr>
        <w:t xml:space="preserve"> activities are</w:t>
      </w:r>
      <w:r w:rsidRPr="006F6E3E">
        <w:rPr>
          <w:sz w:val="24"/>
        </w:rPr>
        <w:t xml:space="preserve"> </w:t>
      </w:r>
      <w:r>
        <w:rPr>
          <w:sz w:val="24"/>
        </w:rPr>
        <w:t xml:space="preserve">building </w:t>
      </w:r>
      <w:r w:rsidR="008F7BC0">
        <w:rPr>
          <w:sz w:val="24"/>
        </w:rPr>
        <w:t xml:space="preserve">the </w:t>
      </w:r>
      <w:r>
        <w:rPr>
          <w:sz w:val="24"/>
        </w:rPr>
        <w:t xml:space="preserve">skills </w:t>
      </w:r>
      <w:r w:rsidR="008F7BC0">
        <w:rPr>
          <w:sz w:val="24"/>
        </w:rPr>
        <w:t>o</w:t>
      </w:r>
      <w:r w:rsidRPr="006F6E3E">
        <w:rPr>
          <w:sz w:val="24"/>
        </w:rPr>
        <w:t>f a range of people</w:t>
      </w:r>
      <w:r w:rsidR="00823BE7">
        <w:rPr>
          <w:sz w:val="24"/>
        </w:rPr>
        <w:t xml:space="preserve">. </w:t>
      </w:r>
      <w:r w:rsidR="008B2F97">
        <w:rPr>
          <w:sz w:val="24"/>
        </w:rPr>
        <w:t>These include</w:t>
      </w:r>
      <w:r w:rsidR="003274F5">
        <w:rPr>
          <w:sz w:val="24"/>
        </w:rPr>
        <w:t xml:space="preserve"> </w:t>
      </w:r>
      <w:r>
        <w:rPr>
          <w:sz w:val="24"/>
        </w:rPr>
        <w:t>government officials, students, business people,</w:t>
      </w:r>
      <w:r w:rsidR="00294A22">
        <w:rPr>
          <w:sz w:val="24"/>
        </w:rPr>
        <w:t xml:space="preserve"> academics,</w:t>
      </w:r>
      <w:r>
        <w:rPr>
          <w:sz w:val="24"/>
        </w:rPr>
        <w:t xml:space="preserve"> youth</w:t>
      </w:r>
      <w:r w:rsidR="003274F5">
        <w:rPr>
          <w:sz w:val="24"/>
        </w:rPr>
        <w:t>,</w:t>
      </w:r>
      <w:r>
        <w:rPr>
          <w:sz w:val="24"/>
        </w:rPr>
        <w:t xml:space="preserve"> children</w:t>
      </w:r>
      <w:r w:rsidR="003274F5">
        <w:rPr>
          <w:sz w:val="24"/>
        </w:rPr>
        <w:t xml:space="preserve"> and </w:t>
      </w:r>
      <w:r>
        <w:rPr>
          <w:sz w:val="24"/>
        </w:rPr>
        <w:t xml:space="preserve">people with </w:t>
      </w:r>
      <w:r w:rsidR="008B2F97">
        <w:rPr>
          <w:sz w:val="24"/>
        </w:rPr>
        <w:t xml:space="preserve">a </w:t>
      </w:r>
      <w:r>
        <w:rPr>
          <w:sz w:val="24"/>
        </w:rPr>
        <w:t>disability.</w:t>
      </w:r>
    </w:p>
    <w:p w14:paraId="10912E24" w14:textId="77777777" w:rsidR="006F6E3E" w:rsidRDefault="006F6E3E" w:rsidP="00C17DE2">
      <w:pPr>
        <w:jc w:val="both"/>
        <w:rPr>
          <w:sz w:val="24"/>
        </w:rPr>
      </w:pPr>
    </w:p>
    <w:p w14:paraId="10912E25" w14:textId="77777777" w:rsidR="00BC3735" w:rsidRDefault="00092392" w:rsidP="00C17DE2">
      <w:pPr>
        <w:jc w:val="both"/>
        <w:rPr>
          <w:sz w:val="24"/>
        </w:rPr>
      </w:pPr>
      <w:r w:rsidRPr="00BC39CB">
        <w:rPr>
          <w:sz w:val="24"/>
        </w:rPr>
        <w:t>In 201</w:t>
      </w:r>
      <w:r w:rsidR="00816EC9">
        <w:rPr>
          <w:sz w:val="24"/>
        </w:rPr>
        <w:t>0</w:t>
      </w:r>
      <w:r w:rsidR="00357D3F">
        <w:rPr>
          <w:sz w:val="24"/>
        </w:rPr>
        <w:t>, 22</w:t>
      </w:r>
      <w:r w:rsidRPr="00BC39CB">
        <w:rPr>
          <w:sz w:val="24"/>
        </w:rPr>
        <w:t xml:space="preserve"> </w:t>
      </w:r>
      <w:r w:rsidR="005A4B03">
        <w:rPr>
          <w:sz w:val="24"/>
        </w:rPr>
        <w:t xml:space="preserve">Australia Awards (development </w:t>
      </w:r>
      <w:r w:rsidRPr="00BC39CB">
        <w:rPr>
          <w:sz w:val="24"/>
        </w:rPr>
        <w:t>scholarships</w:t>
      </w:r>
      <w:r w:rsidR="005A4B03">
        <w:rPr>
          <w:sz w:val="24"/>
        </w:rPr>
        <w:t>)</w:t>
      </w:r>
      <w:r w:rsidR="00357D3F">
        <w:rPr>
          <w:sz w:val="24"/>
        </w:rPr>
        <w:t xml:space="preserve"> were granted across </w:t>
      </w:r>
      <w:r w:rsidR="00357D3F">
        <w:rPr>
          <w:sz w:val="24"/>
        </w:rPr>
        <w:br/>
      </w:r>
      <w:r w:rsidR="008B2F97">
        <w:rPr>
          <w:sz w:val="24"/>
        </w:rPr>
        <w:t>eight</w:t>
      </w:r>
      <w:r w:rsidRPr="00BC39CB">
        <w:rPr>
          <w:sz w:val="24"/>
        </w:rPr>
        <w:t xml:space="preserve"> countries</w:t>
      </w:r>
      <w:r w:rsidR="008F7BC0">
        <w:rPr>
          <w:sz w:val="24"/>
        </w:rPr>
        <w:t>,</w:t>
      </w:r>
      <w:r w:rsidRPr="00BC39CB">
        <w:rPr>
          <w:sz w:val="24"/>
        </w:rPr>
        <w:t xml:space="preserve"> </w:t>
      </w:r>
      <w:r w:rsidR="008F7BC0">
        <w:rPr>
          <w:sz w:val="24"/>
        </w:rPr>
        <w:t>while</w:t>
      </w:r>
      <w:r w:rsidR="008F7BC0" w:rsidRPr="00BC39CB">
        <w:rPr>
          <w:sz w:val="24"/>
        </w:rPr>
        <w:t xml:space="preserve"> </w:t>
      </w:r>
      <w:r w:rsidRPr="00BC39CB">
        <w:rPr>
          <w:sz w:val="24"/>
        </w:rPr>
        <w:t>in 201</w:t>
      </w:r>
      <w:r w:rsidR="00816EC9">
        <w:rPr>
          <w:sz w:val="24"/>
        </w:rPr>
        <w:t>1</w:t>
      </w:r>
      <w:r w:rsidR="001C79A8">
        <w:rPr>
          <w:sz w:val="24"/>
        </w:rPr>
        <w:t>,</w:t>
      </w:r>
      <w:r w:rsidRPr="00BC39CB">
        <w:rPr>
          <w:sz w:val="24"/>
        </w:rPr>
        <w:t xml:space="preserve"> </w:t>
      </w:r>
      <w:r w:rsidR="00357D3F">
        <w:rPr>
          <w:sz w:val="24"/>
        </w:rPr>
        <w:t>28</w:t>
      </w:r>
      <w:r w:rsidRPr="00BC39CB">
        <w:rPr>
          <w:sz w:val="24"/>
        </w:rPr>
        <w:t xml:space="preserve"> scholarsh</w:t>
      </w:r>
      <w:r w:rsidR="00357D3F">
        <w:rPr>
          <w:sz w:val="24"/>
        </w:rPr>
        <w:t xml:space="preserve">ips were granted across </w:t>
      </w:r>
      <w:r w:rsidR="00294A22">
        <w:rPr>
          <w:sz w:val="24"/>
        </w:rPr>
        <w:t>ten</w:t>
      </w:r>
      <w:r w:rsidRPr="00BC39CB">
        <w:rPr>
          <w:sz w:val="24"/>
        </w:rPr>
        <w:t xml:space="preserve"> countries. </w:t>
      </w:r>
      <w:r w:rsidR="00C17DE2" w:rsidRPr="00C17DE2">
        <w:rPr>
          <w:sz w:val="24"/>
        </w:rPr>
        <w:t>Fields of study aligned closely with the Caribbean program priorities</w:t>
      </w:r>
      <w:r w:rsidRPr="00BC39CB">
        <w:rPr>
          <w:sz w:val="24"/>
        </w:rPr>
        <w:t>. The increase in the overall number of expressions of interest and applications between the 2011 and 2012 intake indicates that the program is gaining momentum.</w:t>
      </w:r>
      <w:r w:rsidR="00875598">
        <w:rPr>
          <w:sz w:val="24"/>
        </w:rPr>
        <w:t xml:space="preserve"> </w:t>
      </w:r>
      <w:r w:rsidR="00BC3735">
        <w:rPr>
          <w:sz w:val="24"/>
        </w:rPr>
        <w:t xml:space="preserve">Australia </w:t>
      </w:r>
      <w:r w:rsidR="00816EC9">
        <w:rPr>
          <w:sz w:val="24"/>
        </w:rPr>
        <w:t xml:space="preserve">also appears to be </w:t>
      </w:r>
      <w:r w:rsidR="008F7BC0">
        <w:rPr>
          <w:sz w:val="24"/>
        </w:rPr>
        <w:t>provid</w:t>
      </w:r>
      <w:r w:rsidR="00816EC9">
        <w:rPr>
          <w:sz w:val="24"/>
        </w:rPr>
        <w:t>ing</w:t>
      </w:r>
      <w:r w:rsidR="008F7BC0">
        <w:rPr>
          <w:sz w:val="24"/>
        </w:rPr>
        <w:t xml:space="preserve"> more</w:t>
      </w:r>
      <w:r w:rsidR="00BC3735">
        <w:rPr>
          <w:sz w:val="24"/>
        </w:rPr>
        <w:t xml:space="preserve"> </w:t>
      </w:r>
      <w:r w:rsidR="00C83906">
        <w:rPr>
          <w:sz w:val="24"/>
        </w:rPr>
        <w:t xml:space="preserve">scholarships </w:t>
      </w:r>
      <w:r w:rsidR="008F7BC0">
        <w:rPr>
          <w:sz w:val="24"/>
        </w:rPr>
        <w:t>than</w:t>
      </w:r>
      <w:r w:rsidR="00BC3735">
        <w:rPr>
          <w:sz w:val="24"/>
        </w:rPr>
        <w:t xml:space="preserve"> other traditional donors.</w:t>
      </w:r>
    </w:p>
    <w:p w14:paraId="10912E26" w14:textId="77777777" w:rsidR="00627649" w:rsidRDefault="00BA223F" w:rsidP="00BC39CB">
      <w:pPr>
        <w:spacing w:before="80" w:after="80" w:line="280" w:lineRule="atLeast"/>
        <w:rPr>
          <w:sz w:val="24"/>
        </w:rPr>
      </w:pPr>
      <w:r>
        <w:rPr>
          <w:noProof/>
        </w:rPr>
        <w:pict w14:anchorId="10912F32">
          <v:shape id="Chart 1" o:spid="_x0000_s3249" type="#_x0000_t75" alt="Title: 2011 Scholarships by donor" style="position:absolute;margin-left:216.85pt;margin-top:4.25pt;width:216.85pt;height:130.4pt;z-index:251658240;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">
            <v:imagedata r:id="rId14" o:title=""/>
          </v:shape>
        </w:pict>
      </w:r>
      <w:r>
        <w:rPr>
          <w:rFonts w:ascii="Arial" w:hAnsi="Arial" w:cs="Arial"/>
          <w:sz w:val="16"/>
          <w:szCs w:val="16"/>
        </w:rPr>
        <w:pict w14:anchorId="10912F33">
          <v:shape id="_x0000_i1025" type="#_x0000_t75" style="width:215.25pt;height:130.5pt">
            <v:imagedata r:id="rId15" o:title=""/>
          </v:shape>
        </w:pict>
      </w:r>
      <w:r w:rsidR="00C17DE2" w:rsidRPr="00C17DE2">
        <w:rPr>
          <w:noProof/>
        </w:rPr>
        <w:t xml:space="preserve"> </w:t>
      </w:r>
    </w:p>
    <w:p w14:paraId="10912E27" w14:textId="2713FDE0" w:rsidR="00C86C6D" w:rsidRDefault="004E6667" w:rsidP="00C17DE2">
      <w:pPr>
        <w:spacing w:before="80" w:after="80" w:line="280" w:lineRule="atLeast"/>
        <w:jc w:val="both"/>
        <w:rPr>
          <w:sz w:val="24"/>
        </w:rPr>
      </w:pPr>
      <w:r>
        <w:rPr>
          <w:sz w:val="24"/>
        </w:rPr>
        <w:t>From the 2011 intake (selected in 2010</w:t>
      </w:r>
      <w:r w:rsidRPr="004E6667">
        <w:rPr>
          <w:sz w:val="24"/>
        </w:rPr>
        <w:t>) three</w:t>
      </w:r>
      <w:r>
        <w:rPr>
          <w:sz w:val="24"/>
        </w:rPr>
        <w:t xml:space="preserve"> </w:t>
      </w:r>
      <w:r w:rsidR="008F7BC0">
        <w:rPr>
          <w:sz w:val="24"/>
        </w:rPr>
        <w:t>students</w:t>
      </w:r>
      <w:r w:rsidR="003E4795">
        <w:rPr>
          <w:sz w:val="24"/>
        </w:rPr>
        <w:t xml:space="preserve"> </w:t>
      </w:r>
      <w:r>
        <w:rPr>
          <w:sz w:val="24"/>
        </w:rPr>
        <w:t xml:space="preserve">have finished studies and </w:t>
      </w:r>
      <w:r w:rsidR="00BB771A">
        <w:rPr>
          <w:sz w:val="24"/>
        </w:rPr>
        <w:t>the re</w:t>
      </w:r>
      <w:r w:rsidR="00294A22">
        <w:rPr>
          <w:sz w:val="24"/>
        </w:rPr>
        <w:t>st</w:t>
      </w:r>
      <w:r w:rsidR="00BB771A">
        <w:rPr>
          <w:sz w:val="24"/>
        </w:rPr>
        <w:t xml:space="preserve"> </w:t>
      </w:r>
      <w:r w:rsidRPr="00BC39CB">
        <w:rPr>
          <w:sz w:val="24"/>
        </w:rPr>
        <w:t>will return</w:t>
      </w:r>
      <w:r>
        <w:rPr>
          <w:sz w:val="24"/>
        </w:rPr>
        <w:t xml:space="preserve"> home</w:t>
      </w:r>
      <w:r w:rsidRPr="00BC39CB">
        <w:rPr>
          <w:sz w:val="24"/>
        </w:rPr>
        <w:t xml:space="preserve"> between </w:t>
      </w:r>
      <w:proofErr w:type="gramStart"/>
      <w:r w:rsidRPr="00BC39CB">
        <w:rPr>
          <w:sz w:val="24"/>
        </w:rPr>
        <w:t>June</w:t>
      </w:r>
      <w:proofErr w:type="gramEnd"/>
      <w:r w:rsidRPr="00BC39CB">
        <w:rPr>
          <w:sz w:val="24"/>
        </w:rPr>
        <w:t xml:space="preserve"> to December 2012</w:t>
      </w:r>
      <w:r w:rsidR="00A24893">
        <w:rPr>
          <w:sz w:val="24"/>
        </w:rPr>
        <w:t>.</w:t>
      </w:r>
    </w:p>
    <w:p w14:paraId="10912E28" w14:textId="77777777" w:rsidR="00FC3E73" w:rsidRDefault="001F3EC7" w:rsidP="004E6667">
      <w:pPr>
        <w:spacing w:before="80" w:after="80" w:line="280" w:lineRule="atLeast"/>
        <w:jc w:val="both"/>
        <w:rPr>
          <w:sz w:val="24"/>
        </w:rPr>
      </w:pPr>
      <w:r>
        <w:rPr>
          <w:sz w:val="24"/>
        </w:rPr>
        <w:t>A</w:t>
      </w:r>
      <w:r w:rsidR="00EA24B2">
        <w:rPr>
          <w:sz w:val="24"/>
        </w:rPr>
        <w:t xml:space="preserve">n alumni program </w:t>
      </w:r>
      <w:r>
        <w:rPr>
          <w:sz w:val="24"/>
        </w:rPr>
        <w:t xml:space="preserve">is expected to begin </w:t>
      </w:r>
      <w:r w:rsidR="00E867CF">
        <w:rPr>
          <w:sz w:val="24"/>
        </w:rPr>
        <w:t>in 2013</w:t>
      </w:r>
      <w:r>
        <w:rPr>
          <w:sz w:val="24"/>
        </w:rPr>
        <w:t xml:space="preserve"> </w:t>
      </w:r>
      <w:r w:rsidR="00EA24B2">
        <w:rPr>
          <w:sz w:val="24"/>
        </w:rPr>
        <w:t xml:space="preserve">to </w:t>
      </w:r>
      <w:r w:rsidR="00C86C6D">
        <w:rPr>
          <w:sz w:val="24"/>
        </w:rPr>
        <w:t>monitor and evaluate</w:t>
      </w:r>
      <w:r w:rsidR="00816EC9">
        <w:rPr>
          <w:sz w:val="24"/>
        </w:rPr>
        <w:t xml:space="preserve"> the progress of</w:t>
      </w:r>
      <w:r w:rsidR="00092392" w:rsidRPr="00BC39CB">
        <w:rPr>
          <w:sz w:val="24"/>
        </w:rPr>
        <w:t xml:space="preserve"> returning scholars</w:t>
      </w:r>
      <w:r w:rsidR="00EA24B2">
        <w:rPr>
          <w:sz w:val="24"/>
        </w:rPr>
        <w:t xml:space="preserve">. </w:t>
      </w:r>
      <w:r>
        <w:rPr>
          <w:sz w:val="24"/>
        </w:rPr>
        <w:t>It</w:t>
      </w:r>
      <w:r w:rsidR="00EA24B2">
        <w:rPr>
          <w:sz w:val="24"/>
        </w:rPr>
        <w:t xml:space="preserve"> will </w:t>
      </w:r>
      <w:r w:rsidR="00092392" w:rsidRPr="00BC39CB">
        <w:rPr>
          <w:sz w:val="24"/>
        </w:rPr>
        <w:t>identify ways to engage exi</w:t>
      </w:r>
      <w:r w:rsidR="00C86C6D">
        <w:rPr>
          <w:sz w:val="24"/>
        </w:rPr>
        <w:t>s</w:t>
      </w:r>
      <w:r w:rsidR="00092392" w:rsidRPr="00BC39CB">
        <w:rPr>
          <w:sz w:val="24"/>
        </w:rPr>
        <w:t>ting alumni</w:t>
      </w:r>
      <w:r w:rsidR="00C86C6D">
        <w:rPr>
          <w:sz w:val="24"/>
        </w:rPr>
        <w:t xml:space="preserve"> who studied in Australia with an Australian Award</w:t>
      </w:r>
      <w:r w:rsidR="00092392" w:rsidRPr="00BC39CB">
        <w:rPr>
          <w:sz w:val="24"/>
        </w:rPr>
        <w:t xml:space="preserve"> (such as in pre-departure briefings and return home workshops)</w:t>
      </w:r>
      <w:r w:rsidR="00A24893">
        <w:rPr>
          <w:sz w:val="24"/>
        </w:rPr>
        <w:t>.</w:t>
      </w:r>
    </w:p>
    <w:p w14:paraId="10912E29" w14:textId="77777777" w:rsidR="00092392" w:rsidRPr="00BC39CB" w:rsidRDefault="003E4795" w:rsidP="004E6667">
      <w:pPr>
        <w:spacing w:before="80" w:after="80" w:line="280" w:lineRule="atLeast"/>
        <w:jc w:val="both"/>
        <w:rPr>
          <w:sz w:val="24"/>
        </w:rPr>
      </w:pPr>
      <w:r>
        <w:rPr>
          <w:sz w:val="24"/>
        </w:rPr>
        <w:t>Managing</w:t>
      </w:r>
      <w:r w:rsidRPr="00340EA3">
        <w:rPr>
          <w:sz w:val="24"/>
        </w:rPr>
        <w:t xml:space="preserve"> </w:t>
      </w:r>
      <w:r w:rsidR="001702A7" w:rsidRPr="00340EA3">
        <w:rPr>
          <w:sz w:val="24"/>
        </w:rPr>
        <w:t xml:space="preserve">Australia Awards continues to be </w:t>
      </w:r>
      <w:r w:rsidR="00FC3E73" w:rsidRPr="00340EA3">
        <w:rPr>
          <w:sz w:val="24"/>
        </w:rPr>
        <w:t>labour</w:t>
      </w:r>
      <w:r w:rsidR="001702A7" w:rsidRPr="00340EA3">
        <w:rPr>
          <w:sz w:val="24"/>
        </w:rPr>
        <w:t xml:space="preserve"> intensive. </w:t>
      </w:r>
      <w:r w:rsidR="000A3B0A">
        <w:rPr>
          <w:sz w:val="24"/>
        </w:rPr>
        <w:t>The</w:t>
      </w:r>
      <w:r w:rsidR="00340EA3">
        <w:rPr>
          <w:sz w:val="24"/>
        </w:rPr>
        <w:t xml:space="preserve"> 48</w:t>
      </w:r>
      <w:r w:rsidR="001702A7" w:rsidRPr="00340EA3">
        <w:rPr>
          <w:sz w:val="24"/>
        </w:rPr>
        <w:t xml:space="preserve"> active</w:t>
      </w:r>
      <w:r w:rsidR="00BE5FA9" w:rsidRPr="00340EA3">
        <w:rPr>
          <w:sz w:val="24"/>
        </w:rPr>
        <w:t xml:space="preserve"> scholarships</w:t>
      </w:r>
      <w:r w:rsidR="001702A7" w:rsidRPr="00340EA3">
        <w:rPr>
          <w:sz w:val="24"/>
        </w:rPr>
        <w:t xml:space="preserve"> and</w:t>
      </w:r>
      <w:r w:rsidR="00FC3E73" w:rsidRPr="00340EA3">
        <w:rPr>
          <w:sz w:val="24"/>
        </w:rPr>
        <w:t xml:space="preserve"> the 2012 selection processes</w:t>
      </w:r>
      <w:r w:rsidR="00BE5FA9" w:rsidRPr="00340EA3">
        <w:rPr>
          <w:sz w:val="24"/>
        </w:rPr>
        <w:t xml:space="preserve"> </w:t>
      </w:r>
      <w:r w:rsidR="001702A7" w:rsidRPr="00340EA3">
        <w:rPr>
          <w:sz w:val="24"/>
        </w:rPr>
        <w:t>(</w:t>
      </w:r>
      <w:r w:rsidR="00BE5FA9" w:rsidRPr="00340EA3">
        <w:rPr>
          <w:sz w:val="24"/>
        </w:rPr>
        <w:t>which included 238 expressions of interest and 84 shortlisted people</w:t>
      </w:r>
      <w:r w:rsidR="001702A7" w:rsidRPr="00340EA3">
        <w:rPr>
          <w:sz w:val="24"/>
        </w:rPr>
        <w:t xml:space="preserve">) </w:t>
      </w:r>
      <w:r w:rsidR="000A3B0A">
        <w:rPr>
          <w:sz w:val="24"/>
        </w:rPr>
        <w:t xml:space="preserve">were managed by </w:t>
      </w:r>
      <w:r w:rsidR="00887D91">
        <w:rPr>
          <w:sz w:val="24"/>
        </w:rPr>
        <w:t>two</w:t>
      </w:r>
      <w:r w:rsidR="000A3B0A">
        <w:rPr>
          <w:sz w:val="24"/>
        </w:rPr>
        <w:t xml:space="preserve"> of </w:t>
      </w:r>
      <w:r w:rsidR="00887D91">
        <w:rPr>
          <w:sz w:val="24"/>
        </w:rPr>
        <w:t>five</w:t>
      </w:r>
      <w:r w:rsidR="000A3B0A">
        <w:rPr>
          <w:sz w:val="24"/>
        </w:rPr>
        <w:t xml:space="preserve"> program staff</w:t>
      </w:r>
      <w:r>
        <w:rPr>
          <w:sz w:val="24"/>
        </w:rPr>
        <w:t xml:space="preserve"> at different points of the program cycle</w:t>
      </w:r>
      <w:r w:rsidR="00FC3E73" w:rsidRPr="00340EA3">
        <w:rPr>
          <w:sz w:val="24"/>
        </w:rPr>
        <w:t xml:space="preserve">. </w:t>
      </w:r>
      <w:r w:rsidR="000A3B0A">
        <w:rPr>
          <w:sz w:val="24"/>
        </w:rPr>
        <w:t>The activity accounts for around 16 per cent of the program, yet it occupies up to 40 per cent of program staff</w:t>
      </w:r>
      <w:r w:rsidR="003274F5">
        <w:rPr>
          <w:sz w:val="24"/>
        </w:rPr>
        <w:t xml:space="preserve"> time</w:t>
      </w:r>
      <w:r w:rsidR="00BE5FA9" w:rsidRPr="00340EA3">
        <w:rPr>
          <w:sz w:val="24"/>
        </w:rPr>
        <w:t>.</w:t>
      </w:r>
    </w:p>
    <w:p w14:paraId="10912E2A" w14:textId="77777777" w:rsidR="001F706C" w:rsidRPr="007E7E35" w:rsidRDefault="003E4795" w:rsidP="004E6667">
      <w:pPr>
        <w:spacing w:before="80" w:after="80" w:line="280" w:lineRule="atLeast"/>
        <w:jc w:val="both"/>
        <w:rPr>
          <w:sz w:val="24"/>
        </w:rPr>
      </w:pPr>
      <w:r>
        <w:rPr>
          <w:sz w:val="24"/>
        </w:rPr>
        <w:t>T</w:t>
      </w:r>
      <w:r w:rsidR="005F6B14">
        <w:rPr>
          <w:sz w:val="24"/>
        </w:rPr>
        <w:t xml:space="preserve">he deployment of volunteers in 2011 </w:t>
      </w:r>
      <w:r>
        <w:rPr>
          <w:sz w:val="24"/>
        </w:rPr>
        <w:t xml:space="preserve">was delayed </w:t>
      </w:r>
      <w:r w:rsidR="005F6B14">
        <w:rPr>
          <w:sz w:val="24"/>
        </w:rPr>
        <w:t xml:space="preserve">due to </w:t>
      </w:r>
      <w:r>
        <w:rPr>
          <w:sz w:val="24"/>
        </w:rPr>
        <w:t>time required to establish</w:t>
      </w:r>
      <w:r w:rsidR="005F6B14">
        <w:rPr>
          <w:sz w:val="24"/>
        </w:rPr>
        <w:t xml:space="preserve"> governance arrangements</w:t>
      </w:r>
      <w:r>
        <w:rPr>
          <w:sz w:val="24"/>
        </w:rPr>
        <w:t>, and the</w:t>
      </w:r>
      <w:r w:rsidR="005F6B14">
        <w:rPr>
          <w:sz w:val="24"/>
        </w:rPr>
        <w:t xml:space="preserve"> </w:t>
      </w:r>
      <w:r w:rsidR="00BB771A">
        <w:rPr>
          <w:sz w:val="24"/>
        </w:rPr>
        <w:t xml:space="preserve">engagement </w:t>
      </w:r>
      <w:r>
        <w:rPr>
          <w:sz w:val="24"/>
        </w:rPr>
        <w:t>of</w:t>
      </w:r>
      <w:r w:rsidR="005F6B14">
        <w:rPr>
          <w:sz w:val="24"/>
        </w:rPr>
        <w:t xml:space="preserve"> </w:t>
      </w:r>
      <w:r w:rsidR="00011C67">
        <w:rPr>
          <w:sz w:val="24"/>
        </w:rPr>
        <w:t xml:space="preserve">a </w:t>
      </w:r>
      <w:r w:rsidR="00BB771A">
        <w:rPr>
          <w:sz w:val="24"/>
        </w:rPr>
        <w:t xml:space="preserve">regional </w:t>
      </w:r>
      <w:r w:rsidR="00011C67">
        <w:rPr>
          <w:sz w:val="24"/>
        </w:rPr>
        <w:t>manager</w:t>
      </w:r>
      <w:r w:rsidR="005F6B14">
        <w:rPr>
          <w:sz w:val="24"/>
        </w:rPr>
        <w:t xml:space="preserve">. </w:t>
      </w:r>
      <w:r w:rsidR="002B17A4">
        <w:rPr>
          <w:sz w:val="24"/>
        </w:rPr>
        <w:t xml:space="preserve">With </w:t>
      </w:r>
      <w:r w:rsidR="001F706C">
        <w:rPr>
          <w:sz w:val="24"/>
        </w:rPr>
        <w:t>these arrangements in place</w:t>
      </w:r>
      <w:r w:rsidR="00C87420">
        <w:rPr>
          <w:sz w:val="24"/>
        </w:rPr>
        <w:t>,</w:t>
      </w:r>
      <w:r w:rsidR="001F706C">
        <w:rPr>
          <w:sz w:val="24"/>
        </w:rPr>
        <w:t xml:space="preserve"> we expect more rapid </w:t>
      </w:r>
      <w:r w:rsidR="0053543B">
        <w:rPr>
          <w:sz w:val="24"/>
        </w:rPr>
        <w:t xml:space="preserve">volunteer </w:t>
      </w:r>
      <w:r w:rsidR="001F706C">
        <w:rPr>
          <w:sz w:val="24"/>
        </w:rPr>
        <w:t>deployments over the next year</w:t>
      </w:r>
      <w:r w:rsidR="005A4B03">
        <w:rPr>
          <w:sz w:val="24"/>
        </w:rPr>
        <w:t xml:space="preserve"> (the first volunteers </w:t>
      </w:r>
      <w:r w:rsidR="00620D4A">
        <w:rPr>
          <w:sz w:val="24"/>
        </w:rPr>
        <w:t xml:space="preserve">were deployed to </w:t>
      </w:r>
      <w:r w:rsidR="005A4B03">
        <w:rPr>
          <w:sz w:val="24"/>
        </w:rPr>
        <w:t>Dominica in March 2012)</w:t>
      </w:r>
      <w:r w:rsidR="001F706C">
        <w:rPr>
          <w:sz w:val="24"/>
        </w:rPr>
        <w:t xml:space="preserve">.  </w:t>
      </w:r>
    </w:p>
    <w:p w14:paraId="10912E2B" w14:textId="77777777" w:rsidR="00C14699" w:rsidRDefault="00DA4D60" w:rsidP="00DD04A8">
      <w:pPr>
        <w:spacing w:before="80" w:after="80" w:line="280" w:lineRule="atLeast"/>
        <w:jc w:val="both"/>
        <w:rPr>
          <w:sz w:val="24"/>
        </w:rPr>
      </w:pPr>
      <w:r>
        <w:rPr>
          <w:sz w:val="24"/>
        </w:rPr>
        <w:t>Sixteen</w:t>
      </w:r>
      <w:r w:rsidR="00DD04A8">
        <w:rPr>
          <w:sz w:val="24"/>
        </w:rPr>
        <w:t xml:space="preserve"> </w:t>
      </w:r>
      <w:r w:rsidR="00C14699" w:rsidRPr="007E7E35">
        <w:rPr>
          <w:sz w:val="24"/>
        </w:rPr>
        <w:t xml:space="preserve">officials from </w:t>
      </w:r>
      <w:r>
        <w:rPr>
          <w:sz w:val="24"/>
        </w:rPr>
        <w:t>twelve</w:t>
      </w:r>
      <w:r w:rsidR="00A13675">
        <w:rPr>
          <w:sz w:val="24"/>
        </w:rPr>
        <w:t xml:space="preserve"> </w:t>
      </w:r>
      <w:r w:rsidR="00C14699" w:rsidRPr="007E7E35">
        <w:rPr>
          <w:sz w:val="24"/>
        </w:rPr>
        <w:t xml:space="preserve">countries </w:t>
      </w:r>
      <w:r w:rsidR="003274F5">
        <w:rPr>
          <w:sz w:val="24"/>
        </w:rPr>
        <w:t>received additional diplomatic training</w:t>
      </w:r>
      <w:r w:rsidR="00C14699" w:rsidRPr="007E7E35">
        <w:rPr>
          <w:sz w:val="24"/>
        </w:rPr>
        <w:t xml:space="preserve"> to help </w:t>
      </w:r>
      <w:r w:rsidR="003E4795">
        <w:rPr>
          <w:sz w:val="24"/>
        </w:rPr>
        <w:t>build the capacity</w:t>
      </w:r>
      <w:r w:rsidR="00C14699" w:rsidRPr="007E7E35">
        <w:rPr>
          <w:sz w:val="24"/>
        </w:rPr>
        <w:t xml:space="preserve"> of future</w:t>
      </w:r>
      <w:r w:rsidR="00092392" w:rsidRPr="007E7E35">
        <w:rPr>
          <w:sz w:val="24"/>
        </w:rPr>
        <w:t xml:space="preserve"> decision makers and potential leaders</w:t>
      </w:r>
      <w:r w:rsidR="00C14699" w:rsidRPr="007E7E35">
        <w:rPr>
          <w:sz w:val="24"/>
        </w:rPr>
        <w:t>.</w:t>
      </w:r>
      <w:r w:rsidR="00092392" w:rsidRPr="007E7E35">
        <w:rPr>
          <w:sz w:val="24"/>
        </w:rPr>
        <w:t xml:space="preserve"> </w:t>
      </w:r>
      <w:r w:rsidR="00C14699" w:rsidRPr="007E7E35">
        <w:rPr>
          <w:sz w:val="24"/>
        </w:rPr>
        <w:t>The training</w:t>
      </w:r>
      <w:r w:rsidR="00092392" w:rsidRPr="007E7E35">
        <w:rPr>
          <w:sz w:val="24"/>
        </w:rPr>
        <w:t xml:space="preserve"> continues </w:t>
      </w:r>
      <w:r w:rsidR="00E867CF">
        <w:rPr>
          <w:sz w:val="24"/>
        </w:rPr>
        <w:t xml:space="preserve">to </w:t>
      </w:r>
      <w:r w:rsidR="00C14699" w:rsidRPr="007E7E35">
        <w:rPr>
          <w:sz w:val="24"/>
        </w:rPr>
        <w:t>gather</w:t>
      </w:r>
      <w:r w:rsidR="00092392" w:rsidRPr="007E7E35">
        <w:rPr>
          <w:sz w:val="24"/>
        </w:rPr>
        <w:t xml:space="preserve"> interest </w:t>
      </w:r>
      <w:r w:rsidR="00C14699" w:rsidRPr="007E7E35">
        <w:rPr>
          <w:sz w:val="24"/>
        </w:rPr>
        <w:t>in the region</w:t>
      </w:r>
      <w:r w:rsidR="00E867CF">
        <w:rPr>
          <w:sz w:val="24"/>
        </w:rPr>
        <w:t xml:space="preserve"> and is expected to lead to improved trade relations and international partnerships between Caribbean nations and their partners</w:t>
      </w:r>
      <w:r w:rsidR="003274F5">
        <w:rPr>
          <w:sz w:val="24"/>
        </w:rPr>
        <w:t xml:space="preserve"> and Australia</w:t>
      </w:r>
      <w:r w:rsidR="00C14699" w:rsidRPr="007E7E35">
        <w:rPr>
          <w:sz w:val="24"/>
        </w:rPr>
        <w:t xml:space="preserve">. </w:t>
      </w:r>
      <w:r w:rsidR="003274F5">
        <w:rPr>
          <w:sz w:val="24"/>
        </w:rPr>
        <w:t xml:space="preserve">The </w:t>
      </w:r>
      <w:r w:rsidR="00C14699" w:rsidRPr="007E7E35">
        <w:rPr>
          <w:sz w:val="24"/>
        </w:rPr>
        <w:t>A</w:t>
      </w:r>
      <w:r w:rsidR="003274F5">
        <w:rPr>
          <w:sz w:val="24"/>
        </w:rPr>
        <w:t xml:space="preserve">ustralian </w:t>
      </w:r>
      <w:r w:rsidR="00C14699" w:rsidRPr="007E7E35">
        <w:rPr>
          <w:sz w:val="24"/>
        </w:rPr>
        <w:t>N</w:t>
      </w:r>
      <w:r w:rsidR="003274F5">
        <w:rPr>
          <w:sz w:val="24"/>
        </w:rPr>
        <w:t xml:space="preserve">ational </w:t>
      </w:r>
      <w:r w:rsidR="00C14699" w:rsidRPr="007E7E35">
        <w:rPr>
          <w:sz w:val="24"/>
        </w:rPr>
        <w:t>U</w:t>
      </w:r>
      <w:r w:rsidR="003274F5">
        <w:rPr>
          <w:sz w:val="24"/>
        </w:rPr>
        <w:t>niversity</w:t>
      </w:r>
      <w:r w:rsidR="00C14699" w:rsidRPr="007E7E35">
        <w:rPr>
          <w:sz w:val="24"/>
        </w:rPr>
        <w:t xml:space="preserve"> has </w:t>
      </w:r>
      <w:r w:rsidR="00A13675">
        <w:rPr>
          <w:sz w:val="24"/>
        </w:rPr>
        <w:t>also increased its</w:t>
      </w:r>
      <w:r w:rsidR="00C14699" w:rsidRPr="007E7E35">
        <w:rPr>
          <w:sz w:val="24"/>
        </w:rPr>
        <w:t xml:space="preserve"> ties with the </w:t>
      </w:r>
      <w:r w:rsidR="003470F3">
        <w:rPr>
          <w:sz w:val="24"/>
        </w:rPr>
        <w:t>U</w:t>
      </w:r>
      <w:r w:rsidR="0053543B">
        <w:rPr>
          <w:sz w:val="24"/>
        </w:rPr>
        <w:t xml:space="preserve">niversity of </w:t>
      </w:r>
      <w:r w:rsidR="003470F3">
        <w:rPr>
          <w:sz w:val="24"/>
        </w:rPr>
        <w:t>W</w:t>
      </w:r>
      <w:r w:rsidR="0053543B">
        <w:rPr>
          <w:sz w:val="24"/>
        </w:rPr>
        <w:t xml:space="preserve">est </w:t>
      </w:r>
      <w:r w:rsidR="003470F3">
        <w:rPr>
          <w:sz w:val="24"/>
        </w:rPr>
        <w:t>I</w:t>
      </w:r>
      <w:r w:rsidR="0053543B">
        <w:rPr>
          <w:sz w:val="24"/>
        </w:rPr>
        <w:t>ndies</w:t>
      </w:r>
      <w:r w:rsidR="00C14699" w:rsidRPr="007E7E35">
        <w:rPr>
          <w:sz w:val="24"/>
        </w:rPr>
        <w:t xml:space="preserve"> through joint delivery of </w:t>
      </w:r>
      <w:r w:rsidR="00816EC9">
        <w:rPr>
          <w:sz w:val="24"/>
        </w:rPr>
        <w:t>the training</w:t>
      </w:r>
      <w:r w:rsidR="00C14699" w:rsidRPr="007E7E35">
        <w:rPr>
          <w:sz w:val="24"/>
        </w:rPr>
        <w:t xml:space="preserve">. </w:t>
      </w:r>
    </w:p>
    <w:p w14:paraId="10912E2C" w14:textId="44FF3A37" w:rsidR="003274F5" w:rsidRDefault="00F17D15" w:rsidP="00DD04A8">
      <w:pPr>
        <w:spacing w:before="80" w:after="80" w:line="280" w:lineRule="atLeast"/>
        <w:jc w:val="both"/>
        <w:rPr>
          <w:sz w:val="24"/>
        </w:rPr>
      </w:pPr>
      <w:r>
        <w:rPr>
          <w:sz w:val="24"/>
        </w:rPr>
        <w:t>T</w:t>
      </w:r>
      <w:r w:rsidRPr="005F6B14">
        <w:rPr>
          <w:sz w:val="24"/>
        </w:rPr>
        <w:t xml:space="preserve">hrough the Australian Sports Outreach Program </w:t>
      </w:r>
      <w:r>
        <w:rPr>
          <w:sz w:val="24"/>
        </w:rPr>
        <w:t xml:space="preserve">(Australian Sports Commission) </w:t>
      </w:r>
      <w:r w:rsidRPr="005F6B14">
        <w:rPr>
          <w:sz w:val="24"/>
        </w:rPr>
        <w:t>in the Caribbean</w:t>
      </w:r>
      <w:r w:rsidR="00DD04A8">
        <w:rPr>
          <w:sz w:val="24"/>
        </w:rPr>
        <w:t>, m</w:t>
      </w:r>
      <w:r w:rsidR="00712444">
        <w:rPr>
          <w:sz w:val="24"/>
        </w:rPr>
        <w:t xml:space="preserve">ore than </w:t>
      </w:r>
      <w:r w:rsidR="005F6B14">
        <w:rPr>
          <w:sz w:val="24"/>
        </w:rPr>
        <w:t>8</w:t>
      </w:r>
      <w:r w:rsidR="008B2F97">
        <w:rPr>
          <w:sz w:val="24"/>
        </w:rPr>
        <w:t xml:space="preserve"> </w:t>
      </w:r>
      <w:r w:rsidR="005F6B14">
        <w:rPr>
          <w:sz w:val="24"/>
        </w:rPr>
        <w:t>000</w:t>
      </w:r>
      <w:r w:rsidR="005F6B14" w:rsidRPr="005F6B14">
        <w:rPr>
          <w:sz w:val="24"/>
        </w:rPr>
        <w:t xml:space="preserve"> children and adults including people with disabilit</w:t>
      </w:r>
      <w:r w:rsidR="003E4795">
        <w:rPr>
          <w:sz w:val="24"/>
        </w:rPr>
        <w:t>ies</w:t>
      </w:r>
      <w:r w:rsidR="005F6B14" w:rsidRPr="005F6B14">
        <w:rPr>
          <w:sz w:val="24"/>
        </w:rPr>
        <w:t xml:space="preserve"> were </w:t>
      </w:r>
      <w:r w:rsidR="0053543B">
        <w:rPr>
          <w:sz w:val="24"/>
        </w:rPr>
        <w:t xml:space="preserve">encouraged to take </w:t>
      </w:r>
      <w:r w:rsidR="005F6B14" w:rsidRPr="005F6B14">
        <w:rPr>
          <w:sz w:val="24"/>
        </w:rPr>
        <w:t>regular exercise</w:t>
      </w:r>
      <w:r w:rsidR="0053543B">
        <w:rPr>
          <w:sz w:val="24"/>
        </w:rPr>
        <w:t xml:space="preserve"> and live </w:t>
      </w:r>
      <w:r w:rsidR="005F6B14" w:rsidRPr="005F6B14">
        <w:rPr>
          <w:sz w:val="24"/>
        </w:rPr>
        <w:t>healthy lifestyles,</w:t>
      </w:r>
      <w:r w:rsidR="0053543B">
        <w:rPr>
          <w:sz w:val="24"/>
        </w:rPr>
        <w:t xml:space="preserve"> taught </w:t>
      </w:r>
      <w:r w:rsidR="005F6B14" w:rsidRPr="005F6B14">
        <w:rPr>
          <w:sz w:val="24"/>
        </w:rPr>
        <w:t>teamwork and leadership skills.</w:t>
      </w:r>
      <w:r w:rsidR="00E867CF">
        <w:rPr>
          <w:sz w:val="24"/>
        </w:rPr>
        <w:t xml:space="preserve"> </w:t>
      </w:r>
      <w:r w:rsidR="00E867CF" w:rsidRPr="00620D4A">
        <w:rPr>
          <w:sz w:val="24"/>
        </w:rPr>
        <w:t>These</w:t>
      </w:r>
      <w:r w:rsidR="008F1FEB" w:rsidRPr="00620D4A">
        <w:rPr>
          <w:sz w:val="24"/>
        </w:rPr>
        <w:t xml:space="preserve"> results </w:t>
      </w:r>
      <w:r w:rsidR="00A9065D" w:rsidRPr="00620D4A">
        <w:rPr>
          <w:sz w:val="24"/>
        </w:rPr>
        <w:t>help increase</w:t>
      </w:r>
      <w:r w:rsidR="00E867CF" w:rsidRPr="00620D4A">
        <w:rPr>
          <w:sz w:val="24"/>
        </w:rPr>
        <w:t xml:space="preserve"> youth engagement </w:t>
      </w:r>
      <w:r w:rsidR="0053543B">
        <w:rPr>
          <w:sz w:val="24"/>
        </w:rPr>
        <w:t xml:space="preserve">in </w:t>
      </w:r>
      <w:r w:rsidR="00E867CF" w:rsidRPr="00620D4A">
        <w:rPr>
          <w:sz w:val="24"/>
        </w:rPr>
        <w:t>local economies (complementing the YUTE work in Jamaica)</w:t>
      </w:r>
      <w:r w:rsidR="0053543B">
        <w:rPr>
          <w:sz w:val="24"/>
        </w:rPr>
        <w:t>.</w:t>
      </w:r>
      <w:r w:rsidR="00DD04A8">
        <w:rPr>
          <w:sz w:val="24"/>
        </w:rPr>
        <w:t xml:space="preserve"> </w:t>
      </w:r>
    </w:p>
    <w:p w14:paraId="10912E2D" w14:textId="77777777" w:rsidR="009D3978" w:rsidRDefault="00DD04A8" w:rsidP="00DD04A8">
      <w:pPr>
        <w:spacing w:before="80" w:after="80" w:line="280" w:lineRule="atLeast"/>
        <w:jc w:val="both"/>
        <w:rPr>
          <w:sz w:val="24"/>
        </w:rPr>
      </w:pPr>
      <w:r>
        <w:rPr>
          <w:sz w:val="24"/>
        </w:rPr>
        <w:t xml:space="preserve">We </w:t>
      </w:r>
      <w:r w:rsidR="008F1FEB">
        <w:rPr>
          <w:sz w:val="24"/>
        </w:rPr>
        <w:t xml:space="preserve">also </w:t>
      </w:r>
      <w:r>
        <w:rPr>
          <w:sz w:val="24"/>
        </w:rPr>
        <w:t>helped build s</w:t>
      </w:r>
      <w:r w:rsidR="00C14699" w:rsidRPr="007E7E35">
        <w:rPr>
          <w:sz w:val="24"/>
        </w:rPr>
        <w:t xml:space="preserve">trong </w:t>
      </w:r>
      <w:r w:rsidR="00092392" w:rsidRPr="007E7E35">
        <w:rPr>
          <w:sz w:val="24"/>
        </w:rPr>
        <w:t xml:space="preserve">institutional links between Australia and the Caribbean </w:t>
      </w:r>
      <w:r w:rsidR="001F3EC7">
        <w:rPr>
          <w:sz w:val="24"/>
        </w:rPr>
        <w:t xml:space="preserve">with </w:t>
      </w:r>
      <w:r w:rsidR="008B2F97">
        <w:rPr>
          <w:sz w:val="24"/>
        </w:rPr>
        <w:t xml:space="preserve">the </w:t>
      </w:r>
      <w:r w:rsidR="00092392" w:rsidRPr="007E7E35">
        <w:rPr>
          <w:sz w:val="24"/>
        </w:rPr>
        <w:t>University of C</w:t>
      </w:r>
      <w:r w:rsidR="001F3EC7">
        <w:rPr>
          <w:sz w:val="24"/>
        </w:rPr>
        <w:t>anberra successfully implementing</w:t>
      </w:r>
      <w:r w:rsidR="00092392" w:rsidRPr="007E7E35">
        <w:rPr>
          <w:sz w:val="24"/>
        </w:rPr>
        <w:t xml:space="preserve"> a sports management fellowship program attended by</w:t>
      </w:r>
      <w:r w:rsidR="001F3EC7">
        <w:rPr>
          <w:sz w:val="24"/>
        </w:rPr>
        <w:t xml:space="preserve"> people</w:t>
      </w:r>
      <w:r w:rsidR="00092392" w:rsidRPr="007E7E35">
        <w:rPr>
          <w:sz w:val="24"/>
        </w:rPr>
        <w:t xml:space="preserve"> from eight Caribbean countries. </w:t>
      </w:r>
      <w:r>
        <w:rPr>
          <w:sz w:val="24"/>
        </w:rPr>
        <w:t>One</w:t>
      </w:r>
      <w:r w:rsidR="001F3EC7">
        <w:rPr>
          <w:sz w:val="24"/>
        </w:rPr>
        <w:t xml:space="preserve"> fellow</w:t>
      </w:r>
      <w:r w:rsidR="00092392" w:rsidRPr="007E7E35">
        <w:rPr>
          <w:sz w:val="24"/>
        </w:rPr>
        <w:t xml:space="preserve"> from </w:t>
      </w:r>
      <w:r w:rsidR="003274F5">
        <w:rPr>
          <w:sz w:val="24"/>
        </w:rPr>
        <w:t>this program</w:t>
      </w:r>
      <w:r w:rsidR="00092392" w:rsidRPr="007E7E35">
        <w:rPr>
          <w:sz w:val="24"/>
        </w:rPr>
        <w:t xml:space="preserve"> is playing a key role in the Australia Sports O</w:t>
      </w:r>
      <w:r>
        <w:rPr>
          <w:sz w:val="24"/>
        </w:rPr>
        <w:t xml:space="preserve">utreach Program in </w:t>
      </w:r>
      <w:r w:rsidR="003274F5">
        <w:rPr>
          <w:sz w:val="24"/>
        </w:rPr>
        <w:t>St Lucia</w:t>
      </w:r>
      <w:r>
        <w:rPr>
          <w:sz w:val="24"/>
        </w:rPr>
        <w:t>.</w:t>
      </w:r>
    </w:p>
    <w:p w14:paraId="10912E2E" w14:textId="77777777" w:rsidR="00FA79C0" w:rsidRPr="002B17A4" w:rsidRDefault="00FA79C0" w:rsidP="00DD04A8">
      <w:pPr>
        <w:spacing w:before="80" w:after="80" w:line="280" w:lineRule="atLeast"/>
        <w:jc w:val="both"/>
        <w:rPr>
          <w:sz w:val="24"/>
        </w:rPr>
      </w:pPr>
      <w:r w:rsidRPr="00FA79C0">
        <w:rPr>
          <w:sz w:val="24"/>
        </w:rPr>
        <w:t xml:space="preserve">AusAID also supported the attendance of Caribbean officials and experts at conferences on climate change, sustainable energy and coral reef management and trade where relationships with Pacific counterparts have </w:t>
      </w:r>
      <w:r w:rsidR="008B2F97">
        <w:rPr>
          <w:sz w:val="24"/>
        </w:rPr>
        <w:t>been established</w:t>
      </w:r>
      <w:r w:rsidRPr="00FA79C0">
        <w:rPr>
          <w:sz w:val="24"/>
        </w:rPr>
        <w:t>.</w:t>
      </w:r>
    </w:p>
    <w:p w14:paraId="10912E2F" w14:textId="77777777" w:rsidR="005730E5" w:rsidRPr="00E054F4" w:rsidRDefault="005730E5" w:rsidP="00092392">
      <w:pPr>
        <w:pStyle w:val="ListParagraph"/>
        <w:ind w:left="0"/>
        <w:contextualSpacing/>
        <w:rPr>
          <w:rFonts w:ascii="Times New Roman" w:hAnsi="Times New Roman" w:cs="Times New Roman"/>
        </w:rPr>
      </w:pPr>
    </w:p>
    <w:p w14:paraId="10912E30" w14:textId="77777777" w:rsidR="005730E5" w:rsidRPr="002B17A4" w:rsidRDefault="00DA4D60" w:rsidP="00092392">
      <w:pPr>
        <w:pStyle w:val="ListParagraph"/>
        <w:ind w:left="0"/>
        <w:contextualSpacing/>
        <w:rPr>
          <w:rFonts w:ascii="Times New Roman" w:hAnsi="Times New Roman" w:cs="Times New Roman"/>
          <w:b/>
          <w:i/>
          <w:sz w:val="24"/>
          <w:szCs w:val="24"/>
        </w:rPr>
      </w:pPr>
      <w:r>
        <w:rPr>
          <w:rFonts w:ascii="Times New Roman" w:hAnsi="Times New Roman" w:cs="Times New Roman"/>
          <w:b/>
          <w:i/>
          <w:sz w:val="24"/>
          <w:szCs w:val="24"/>
        </w:rPr>
        <w:t>D</w:t>
      </w:r>
      <w:r w:rsidR="005730E5" w:rsidRPr="002B17A4">
        <w:rPr>
          <w:rFonts w:ascii="Times New Roman" w:hAnsi="Times New Roman" w:cs="Times New Roman"/>
          <w:b/>
          <w:i/>
          <w:sz w:val="24"/>
          <w:szCs w:val="24"/>
        </w:rPr>
        <w:t>irect assistance</w:t>
      </w:r>
    </w:p>
    <w:p w14:paraId="10912E31" w14:textId="77777777" w:rsidR="005730E5" w:rsidRDefault="005730E5" w:rsidP="00C17DE2">
      <w:pPr>
        <w:spacing w:before="80" w:after="80" w:line="280" w:lineRule="atLeast"/>
        <w:jc w:val="both"/>
        <w:rPr>
          <w:sz w:val="24"/>
        </w:rPr>
      </w:pPr>
      <w:r w:rsidRPr="00620D4A">
        <w:rPr>
          <w:sz w:val="24"/>
        </w:rPr>
        <w:t xml:space="preserve">The Caribbean portfolio </w:t>
      </w:r>
      <w:r w:rsidR="00AC1465" w:rsidRPr="00620D4A">
        <w:rPr>
          <w:sz w:val="24"/>
        </w:rPr>
        <w:t xml:space="preserve">also </w:t>
      </w:r>
      <w:r w:rsidRPr="00620D4A">
        <w:rPr>
          <w:sz w:val="24"/>
        </w:rPr>
        <w:t>includes a</w:t>
      </w:r>
      <w:r w:rsidR="00AC1465" w:rsidRPr="00620D4A">
        <w:rPr>
          <w:sz w:val="24"/>
        </w:rPr>
        <w:t xml:space="preserve"> fund to support a</w:t>
      </w:r>
      <w:r w:rsidRPr="00620D4A">
        <w:rPr>
          <w:sz w:val="24"/>
        </w:rPr>
        <w:t xml:space="preserve"> range of </w:t>
      </w:r>
      <w:r w:rsidR="00AC1465" w:rsidRPr="00620D4A">
        <w:rPr>
          <w:sz w:val="24"/>
        </w:rPr>
        <w:t>small unrelated activities in response</w:t>
      </w:r>
      <w:r w:rsidR="00B548CB" w:rsidRPr="00620D4A">
        <w:rPr>
          <w:sz w:val="24"/>
        </w:rPr>
        <w:t xml:space="preserve"> to requests from Caribbean governments</w:t>
      </w:r>
      <w:r w:rsidR="00AC1465" w:rsidRPr="00620D4A">
        <w:rPr>
          <w:sz w:val="24"/>
        </w:rPr>
        <w:t xml:space="preserve"> and other key stakeholders such as CARICOM and the Organisation of Eastern Caribbean States (OECS)</w:t>
      </w:r>
      <w:r w:rsidR="00B548CB" w:rsidRPr="00620D4A">
        <w:rPr>
          <w:sz w:val="24"/>
        </w:rPr>
        <w:t xml:space="preserve">. </w:t>
      </w:r>
      <w:r w:rsidR="008B2F97">
        <w:rPr>
          <w:sz w:val="24"/>
        </w:rPr>
        <w:t xml:space="preserve">In total </w:t>
      </w:r>
      <w:r w:rsidR="00E867CF" w:rsidRPr="00620D4A">
        <w:rPr>
          <w:sz w:val="24"/>
        </w:rPr>
        <w:t xml:space="preserve">$16 </w:t>
      </w:r>
      <w:r w:rsidRPr="00620D4A">
        <w:rPr>
          <w:sz w:val="24"/>
        </w:rPr>
        <w:t xml:space="preserve">million </w:t>
      </w:r>
      <w:r w:rsidR="00AC1465" w:rsidRPr="00620D4A">
        <w:rPr>
          <w:sz w:val="24"/>
        </w:rPr>
        <w:t>has been allocated for these activities.</w:t>
      </w:r>
      <w:r w:rsidR="00293FEF" w:rsidRPr="00620D4A">
        <w:rPr>
          <w:sz w:val="24"/>
        </w:rPr>
        <w:t xml:space="preserve"> </w:t>
      </w:r>
      <w:r w:rsidR="00AC1465" w:rsidRPr="00620D4A">
        <w:rPr>
          <w:sz w:val="24"/>
        </w:rPr>
        <w:t>They</w:t>
      </w:r>
      <w:r w:rsidRPr="00620D4A">
        <w:rPr>
          <w:sz w:val="24"/>
        </w:rPr>
        <w:t xml:space="preserve"> range from</w:t>
      </w:r>
      <w:r w:rsidR="00620D4A">
        <w:rPr>
          <w:sz w:val="24"/>
        </w:rPr>
        <w:t>:</w:t>
      </w:r>
      <w:r w:rsidRPr="00620D4A">
        <w:rPr>
          <w:sz w:val="24"/>
        </w:rPr>
        <w:t xml:space="preserve"> </w:t>
      </w:r>
      <w:r w:rsidR="003470F3" w:rsidRPr="00620D4A">
        <w:rPr>
          <w:sz w:val="24"/>
        </w:rPr>
        <w:t>rebuilding infrastructure</w:t>
      </w:r>
      <w:r w:rsidR="003470F3">
        <w:rPr>
          <w:sz w:val="24"/>
        </w:rPr>
        <w:t xml:space="preserve"> (</w:t>
      </w:r>
      <w:r w:rsidRPr="00BC39CB">
        <w:rPr>
          <w:sz w:val="24"/>
        </w:rPr>
        <w:t>St Jude Hospital</w:t>
      </w:r>
      <w:r w:rsidR="00C63851">
        <w:rPr>
          <w:sz w:val="24"/>
        </w:rPr>
        <w:t xml:space="preserve"> damaged by a fire</w:t>
      </w:r>
      <w:r w:rsidRPr="00BC39CB">
        <w:rPr>
          <w:sz w:val="24"/>
        </w:rPr>
        <w:t xml:space="preserve"> in St Lucia</w:t>
      </w:r>
      <w:r w:rsidR="003E4795">
        <w:rPr>
          <w:sz w:val="24"/>
        </w:rPr>
        <w:t xml:space="preserve"> and </w:t>
      </w:r>
      <w:r w:rsidR="00C63851">
        <w:rPr>
          <w:sz w:val="24"/>
        </w:rPr>
        <w:t xml:space="preserve">the Parliament House in Grenada </w:t>
      </w:r>
      <w:r w:rsidRPr="00BC39CB">
        <w:rPr>
          <w:sz w:val="24"/>
        </w:rPr>
        <w:t>destroyed by Hurricane Ivan</w:t>
      </w:r>
      <w:r w:rsidR="003E4795">
        <w:rPr>
          <w:sz w:val="24"/>
        </w:rPr>
        <w:t>)</w:t>
      </w:r>
      <w:r w:rsidR="00620D4A">
        <w:rPr>
          <w:sz w:val="24"/>
        </w:rPr>
        <w:t>;</w:t>
      </w:r>
      <w:r w:rsidRPr="00BC39CB">
        <w:rPr>
          <w:sz w:val="24"/>
        </w:rPr>
        <w:t xml:space="preserve"> </w:t>
      </w:r>
      <w:r w:rsidR="00AC1465">
        <w:rPr>
          <w:sz w:val="24"/>
        </w:rPr>
        <w:t>responding to</w:t>
      </w:r>
      <w:r w:rsidR="00620D4A">
        <w:rPr>
          <w:sz w:val="24"/>
        </w:rPr>
        <w:t xml:space="preserve"> disasters such as</w:t>
      </w:r>
      <w:r w:rsidRPr="00BC39CB">
        <w:rPr>
          <w:sz w:val="24"/>
        </w:rPr>
        <w:t xml:space="preserve"> Hurricane Tomas</w:t>
      </w:r>
      <w:r w:rsidR="00620D4A">
        <w:rPr>
          <w:sz w:val="24"/>
        </w:rPr>
        <w:t xml:space="preserve"> </w:t>
      </w:r>
      <w:r w:rsidR="008B2F97">
        <w:rPr>
          <w:sz w:val="24"/>
        </w:rPr>
        <w:t xml:space="preserve">in Haiti </w:t>
      </w:r>
      <w:r w:rsidR="00620D4A" w:rsidRPr="00BC39CB">
        <w:rPr>
          <w:sz w:val="24"/>
        </w:rPr>
        <w:t>buil</w:t>
      </w:r>
      <w:r w:rsidR="00620D4A">
        <w:rPr>
          <w:sz w:val="24"/>
        </w:rPr>
        <w:t>ding</w:t>
      </w:r>
      <w:r w:rsidR="00620D4A" w:rsidRPr="00BC39CB">
        <w:rPr>
          <w:sz w:val="24"/>
        </w:rPr>
        <w:t xml:space="preserve"> </w:t>
      </w:r>
      <w:r w:rsidR="00620D4A">
        <w:rPr>
          <w:sz w:val="24"/>
        </w:rPr>
        <w:t>150 water tanks</w:t>
      </w:r>
      <w:r w:rsidR="00620D4A" w:rsidRPr="00BC39CB">
        <w:rPr>
          <w:sz w:val="24"/>
        </w:rPr>
        <w:t xml:space="preserve"> </w:t>
      </w:r>
      <w:r w:rsidR="00620D4A">
        <w:rPr>
          <w:sz w:val="24"/>
        </w:rPr>
        <w:t xml:space="preserve">and </w:t>
      </w:r>
      <w:r w:rsidR="00620D4A" w:rsidRPr="00BC39CB">
        <w:rPr>
          <w:sz w:val="24"/>
        </w:rPr>
        <w:t>20 community toilet blocks</w:t>
      </w:r>
      <w:r w:rsidR="00620D4A">
        <w:rPr>
          <w:sz w:val="24"/>
        </w:rPr>
        <w:t xml:space="preserve"> and </w:t>
      </w:r>
      <w:r w:rsidR="00620D4A" w:rsidRPr="00BC39CB">
        <w:rPr>
          <w:sz w:val="24"/>
        </w:rPr>
        <w:t>hand-washing stations</w:t>
      </w:r>
      <w:r w:rsidR="00620D4A">
        <w:rPr>
          <w:sz w:val="24"/>
        </w:rPr>
        <w:t>;</w:t>
      </w:r>
      <w:r w:rsidRPr="00BC39CB">
        <w:rPr>
          <w:sz w:val="24"/>
        </w:rPr>
        <w:t xml:space="preserve"> support for regi</w:t>
      </w:r>
      <w:r w:rsidR="006D5456">
        <w:rPr>
          <w:sz w:val="24"/>
        </w:rPr>
        <w:t>onal</w:t>
      </w:r>
      <w:r w:rsidR="00620D4A">
        <w:rPr>
          <w:sz w:val="24"/>
        </w:rPr>
        <w:t xml:space="preserve"> development challenges such as a </w:t>
      </w:r>
      <w:r w:rsidR="006D5456">
        <w:rPr>
          <w:sz w:val="24"/>
        </w:rPr>
        <w:t xml:space="preserve">land registration </w:t>
      </w:r>
      <w:r w:rsidR="006D5456" w:rsidRPr="00620D4A">
        <w:rPr>
          <w:sz w:val="24"/>
        </w:rPr>
        <w:t>project</w:t>
      </w:r>
      <w:r w:rsidR="00AC1465" w:rsidRPr="00620D4A">
        <w:rPr>
          <w:sz w:val="24"/>
        </w:rPr>
        <w:t xml:space="preserve"> </w:t>
      </w:r>
      <w:r w:rsidR="00887D91">
        <w:rPr>
          <w:sz w:val="24"/>
        </w:rPr>
        <w:t xml:space="preserve">with </w:t>
      </w:r>
      <w:r w:rsidR="00AC1465" w:rsidRPr="00620D4A">
        <w:rPr>
          <w:sz w:val="24"/>
        </w:rPr>
        <w:t>the OECS</w:t>
      </w:r>
      <w:r w:rsidRPr="00620D4A">
        <w:rPr>
          <w:sz w:val="24"/>
        </w:rPr>
        <w:t xml:space="preserve"> and building </w:t>
      </w:r>
      <w:r w:rsidR="00DA4D60" w:rsidRPr="00620D4A">
        <w:rPr>
          <w:sz w:val="24"/>
        </w:rPr>
        <w:t xml:space="preserve">the </w:t>
      </w:r>
      <w:r w:rsidRPr="00620D4A">
        <w:rPr>
          <w:sz w:val="24"/>
        </w:rPr>
        <w:t>technical awareness of</w:t>
      </w:r>
      <w:r w:rsidR="00DA4D60" w:rsidRPr="00620D4A">
        <w:rPr>
          <w:sz w:val="24"/>
        </w:rPr>
        <w:t xml:space="preserve"> 38 officials from 13 countries in</w:t>
      </w:r>
      <w:r w:rsidRPr="00620D4A">
        <w:rPr>
          <w:sz w:val="24"/>
        </w:rPr>
        <w:t xml:space="preserve"> coral reef management. </w:t>
      </w:r>
      <w:r w:rsidR="00C63851" w:rsidRPr="00620D4A">
        <w:rPr>
          <w:sz w:val="24"/>
        </w:rPr>
        <w:t xml:space="preserve">Most of these activities are less than $1 million and </w:t>
      </w:r>
      <w:r w:rsidR="00F94130" w:rsidRPr="00620D4A">
        <w:rPr>
          <w:sz w:val="24"/>
        </w:rPr>
        <w:t xml:space="preserve">contribute to </w:t>
      </w:r>
      <w:r w:rsidRPr="00620D4A">
        <w:rPr>
          <w:sz w:val="24"/>
        </w:rPr>
        <w:t>Australia’s broader en</w:t>
      </w:r>
      <w:r w:rsidR="007E7E35" w:rsidRPr="00620D4A">
        <w:rPr>
          <w:sz w:val="24"/>
        </w:rPr>
        <w:t>gagement across the Caribbean.</w:t>
      </w:r>
    </w:p>
    <w:p w14:paraId="7ED93F0A" w14:textId="77777777" w:rsidR="00BA223F" w:rsidRPr="00BC39CB" w:rsidRDefault="00BA223F" w:rsidP="00C17DE2">
      <w:pPr>
        <w:spacing w:before="80" w:after="80" w:line="280" w:lineRule="atLeast"/>
        <w:jc w:val="both"/>
        <w:rPr>
          <w:sz w:val="24"/>
        </w:rPr>
      </w:pPr>
    </w:p>
    <w:p w14:paraId="10912E32" w14:textId="77777777" w:rsidR="00FF5B06" w:rsidRPr="0067772C" w:rsidRDefault="004323E1" w:rsidP="00BA223F">
      <w:pPr>
        <w:pStyle w:val="Heading1"/>
      </w:pPr>
      <w:r>
        <w:t>Program Quality</w:t>
      </w:r>
    </w:p>
    <w:p w14:paraId="10912E33" w14:textId="77777777" w:rsidR="00A636F4" w:rsidRDefault="00E968AB" w:rsidP="00E968AB">
      <w:pPr>
        <w:spacing w:before="80" w:after="80" w:line="280" w:lineRule="atLeast"/>
        <w:jc w:val="both"/>
        <w:rPr>
          <w:sz w:val="24"/>
        </w:rPr>
      </w:pPr>
      <w:r w:rsidRPr="00CB6566">
        <w:rPr>
          <w:sz w:val="24"/>
        </w:rPr>
        <w:t xml:space="preserve">Overall progress is </w:t>
      </w:r>
      <w:r>
        <w:rPr>
          <w:sz w:val="24"/>
        </w:rPr>
        <w:t>considered</w:t>
      </w:r>
      <w:r w:rsidRPr="00CB6566">
        <w:rPr>
          <w:sz w:val="24"/>
        </w:rPr>
        <w:t xml:space="preserve"> in the context of the </w:t>
      </w:r>
      <w:r w:rsidR="003528A7">
        <w:rPr>
          <w:sz w:val="24"/>
        </w:rPr>
        <w:t xml:space="preserve">Caribbean </w:t>
      </w:r>
      <w:r w:rsidRPr="00CB6566">
        <w:rPr>
          <w:sz w:val="24"/>
        </w:rPr>
        <w:t xml:space="preserve">program being </w:t>
      </w:r>
      <w:r w:rsidR="00816EC9">
        <w:rPr>
          <w:sz w:val="24"/>
        </w:rPr>
        <w:t>guided by an MOU with CARICOM</w:t>
      </w:r>
      <w:r w:rsidRPr="00CB6566">
        <w:rPr>
          <w:sz w:val="24"/>
        </w:rPr>
        <w:t>. The</w:t>
      </w:r>
      <w:r>
        <w:rPr>
          <w:sz w:val="24"/>
        </w:rPr>
        <w:t xml:space="preserve"> program is relatively immature and </w:t>
      </w:r>
      <w:r w:rsidRPr="00CB6566">
        <w:rPr>
          <w:sz w:val="24"/>
        </w:rPr>
        <w:t>operates in a new region for AusAID</w:t>
      </w:r>
      <w:r>
        <w:rPr>
          <w:sz w:val="24"/>
        </w:rPr>
        <w:t>.</w:t>
      </w:r>
      <w:r w:rsidRPr="00CB6566">
        <w:rPr>
          <w:sz w:val="24"/>
        </w:rPr>
        <w:t xml:space="preserve"> 2010 was the start-up phase in which partnerships were established and pipeline activities</w:t>
      </w:r>
      <w:r>
        <w:rPr>
          <w:sz w:val="24"/>
        </w:rPr>
        <w:t xml:space="preserve"> </w:t>
      </w:r>
      <w:r w:rsidRPr="00CB6566">
        <w:rPr>
          <w:sz w:val="24"/>
        </w:rPr>
        <w:t>undertaken.</w:t>
      </w:r>
      <w:r>
        <w:rPr>
          <w:sz w:val="24"/>
        </w:rPr>
        <w:t xml:space="preserve"> </w:t>
      </w:r>
    </w:p>
    <w:p w14:paraId="10912E34" w14:textId="77777777" w:rsidR="00E968AB" w:rsidRPr="00620D4A" w:rsidRDefault="00E968AB" w:rsidP="00E968AB">
      <w:pPr>
        <w:spacing w:before="80" w:after="80" w:line="280" w:lineRule="atLeast"/>
        <w:jc w:val="both"/>
        <w:rPr>
          <w:sz w:val="24"/>
        </w:rPr>
      </w:pPr>
      <w:r w:rsidRPr="00CB6566">
        <w:rPr>
          <w:sz w:val="24"/>
        </w:rPr>
        <w:t xml:space="preserve">Despite its infancy, the program is on track and </w:t>
      </w:r>
      <w:r w:rsidR="00A636F4">
        <w:rPr>
          <w:sz w:val="24"/>
        </w:rPr>
        <w:t xml:space="preserve">nearly all of </w:t>
      </w:r>
      <w:r w:rsidRPr="00CB6566">
        <w:rPr>
          <w:sz w:val="24"/>
        </w:rPr>
        <w:t xml:space="preserve">the $60 million four year commitment is expected to be </w:t>
      </w:r>
      <w:r w:rsidR="00FA79C0">
        <w:rPr>
          <w:sz w:val="24"/>
        </w:rPr>
        <w:t>disbursed</w:t>
      </w:r>
      <w:r w:rsidRPr="00620D4A">
        <w:rPr>
          <w:sz w:val="24"/>
        </w:rPr>
        <w:t xml:space="preserve"> by 2013. </w:t>
      </w:r>
    </w:p>
    <w:p w14:paraId="10912E35" w14:textId="77777777" w:rsidR="00E968AB" w:rsidRDefault="00E968AB" w:rsidP="00E968AB">
      <w:pPr>
        <w:spacing w:before="80" w:after="80" w:line="280" w:lineRule="atLeast"/>
        <w:jc w:val="both"/>
        <w:rPr>
          <w:sz w:val="24"/>
        </w:rPr>
      </w:pPr>
      <w:r w:rsidRPr="00620D4A">
        <w:rPr>
          <w:sz w:val="24"/>
        </w:rPr>
        <w:t xml:space="preserve">Priority areas </w:t>
      </w:r>
      <w:r w:rsidR="00F17D15">
        <w:rPr>
          <w:sz w:val="24"/>
        </w:rPr>
        <w:t>such as climate chan</w:t>
      </w:r>
      <w:r w:rsidR="001F6E0D">
        <w:rPr>
          <w:sz w:val="24"/>
        </w:rPr>
        <w:t xml:space="preserve">ge, disaster risk reduction and </w:t>
      </w:r>
      <w:r w:rsidR="00F17D15">
        <w:rPr>
          <w:sz w:val="24"/>
        </w:rPr>
        <w:t xml:space="preserve">economic resilience </w:t>
      </w:r>
      <w:r w:rsidRPr="00620D4A">
        <w:rPr>
          <w:sz w:val="24"/>
        </w:rPr>
        <w:t xml:space="preserve">continue to be relevant </w:t>
      </w:r>
      <w:r w:rsidR="00AC1465" w:rsidRPr="00620D4A">
        <w:rPr>
          <w:sz w:val="24"/>
        </w:rPr>
        <w:t xml:space="preserve">to regional needs </w:t>
      </w:r>
      <w:r w:rsidRPr="00620D4A">
        <w:rPr>
          <w:sz w:val="24"/>
        </w:rPr>
        <w:t xml:space="preserve">and </w:t>
      </w:r>
      <w:r w:rsidR="003528A7" w:rsidRPr="00620D4A">
        <w:rPr>
          <w:sz w:val="24"/>
        </w:rPr>
        <w:t>there is</w:t>
      </w:r>
      <w:r w:rsidRPr="00620D4A">
        <w:rPr>
          <w:sz w:val="24"/>
        </w:rPr>
        <w:t xml:space="preserve"> </w:t>
      </w:r>
      <w:r w:rsidR="00A55FAD" w:rsidRPr="00620D4A">
        <w:rPr>
          <w:sz w:val="24"/>
        </w:rPr>
        <w:t>significant</w:t>
      </w:r>
      <w:r w:rsidRPr="00620D4A">
        <w:rPr>
          <w:sz w:val="24"/>
        </w:rPr>
        <w:t xml:space="preserve"> interest </w:t>
      </w:r>
      <w:r w:rsidR="003528A7" w:rsidRPr="00620D4A">
        <w:rPr>
          <w:sz w:val="24"/>
        </w:rPr>
        <w:t>from the region i</w:t>
      </w:r>
      <w:r w:rsidRPr="00620D4A">
        <w:rPr>
          <w:sz w:val="24"/>
        </w:rPr>
        <w:t xml:space="preserve">n what Australia </w:t>
      </w:r>
      <w:r w:rsidR="003528A7" w:rsidRPr="00620D4A">
        <w:rPr>
          <w:sz w:val="24"/>
        </w:rPr>
        <w:t xml:space="preserve">offers </w:t>
      </w:r>
      <w:r w:rsidRPr="00620D4A">
        <w:rPr>
          <w:sz w:val="24"/>
        </w:rPr>
        <w:t xml:space="preserve">as a donor. </w:t>
      </w:r>
      <w:r w:rsidR="00AC1465" w:rsidRPr="00620D4A">
        <w:rPr>
          <w:sz w:val="24"/>
        </w:rPr>
        <w:t xml:space="preserve">It </w:t>
      </w:r>
      <w:r w:rsidR="00F17D15">
        <w:rPr>
          <w:sz w:val="24"/>
        </w:rPr>
        <w:t xml:space="preserve">has been </w:t>
      </w:r>
      <w:r w:rsidR="00AC1465" w:rsidRPr="00620D4A">
        <w:rPr>
          <w:sz w:val="24"/>
        </w:rPr>
        <w:t>challenging to</w:t>
      </w:r>
      <w:r w:rsidR="0021503F" w:rsidRPr="00620D4A">
        <w:rPr>
          <w:sz w:val="24"/>
        </w:rPr>
        <w:t xml:space="preserve"> deliver</w:t>
      </w:r>
      <w:r w:rsidR="003528A7" w:rsidRPr="00620D4A">
        <w:rPr>
          <w:sz w:val="24"/>
        </w:rPr>
        <w:t xml:space="preserve"> development activities</w:t>
      </w:r>
      <w:r w:rsidRPr="00620D4A">
        <w:rPr>
          <w:sz w:val="24"/>
        </w:rPr>
        <w:t xml:space="preserve"> across a regional program made up of</w:t>
      </w:r>
      <w:r w:rsidR="0021503F" w:rsidRPr="00620D4A">
        <w:rPr>
          <w:sz w:val="24"/>
        </w:rPr>
        <w:t xml:space="preserve"> </w:t>
      </w:r>
      <w:r w:rsidRPr="00620D4A">
        <w:rPr>
          <w:sz w:val="24"/>
        </w:rPr>
        <w:t>1</w:t>
      </w:r>
      <w:r w:rsidR="00F17D15">
        <w:rPr>
          <w:sz w:val="24"/>
        </w:rPr>
        <w:t>5</w:t>
      </w:r>
      <w:r w:rsidRPr="00620D4A">
        <w:rPr>
          <w:sz w:val="24"/>
        </w:rPr>
        <w:t xml:space="preserve"> countries of different sizes, income levels, and government</w:t>
      </w:r>
      <w:r w:rsidR="003528A7" w:rsidRPr="00620D4A">
        <w:rPr>
          <w:sz w:val="24"/>
        </w:rPr>
        <w:t>s</w:t>
      </w:r>
      <w:r w:rsidRPr="00620D4A">
        <w:rPr>
          <w:sz w:val="24"/>
        </w:rPr>
        <w:t xml:space="preserve">. Additional time and care </w:t>
      </w:r>
      <w:r w:rsidR="00A636F4" w:rsidRPr="00620D4A">
        <w:rPr>
          <w:sz w:val="24"/>
        </w:rPr>
        <w:t>is required</w:t>
      </w:r>
      <w:r w:rsidRPr="00620D4A">
        <w:rPr>
          <w:sz w:val="24"/>
        </w:rPr>
        <w:t xml:space="preserve"> getting to know partners, even though capacity to follow through on specific activities is sometimes lim</w:t>
      </w:r>
      <w:r w:rsidRPr="00553CCD">
        <w:rPr>
          <w:sz w:val="24"/>
        </w:rPr>
        <w:t>ited.</w:t>
      </w:r>
      <w:r w:rsidRPr="00F102B2">
        <w:rPr>
          <w:sz w:val="24"/>
        </w:rPr>
        <w:t xml:space="preserve"> </w:t>
      </w:r>
    </w:p>
    <w:p w14:paraId="10912E36" w14:textId="77777777" w:rsidR="003528A7" w:rsidRPr="00CB6566" w:rsidRDefault="00FA79C0" w:rsidP="003528A7">
      <w:pPr>
        <w:spacing w:before="80" w:after="80" w:line="280" w:lineRule="atLeast"/>
        <w:jc w:val="both"/>
        <w:rPr>
          <w:sz w:val="24"/>
        </w:rPr>
      </w:pPr>
      <w:r>
        <w:rPr>
          <w:sz w:val="24"/>
        </w:rPr>
        <w:t>Program fragmentation has resulted from rapidly scaling</w:t>
      </w:r>
      <w:r w:rsidR="003528A7" w:rsidRPr="00CB6566">
        <w:rPr>
          <w:sz w:val="24"/>
        </w:rPr>
        <w:t xml:space="preserve"> up programming and is magnified </w:t>
      </w:r>
      <w:r w:rsidR="00A636F4">
        <w:rPr>
          <w:sz w:val="24"/>
        </w:rPr>
        <w:t>because</w:t>
      </w:r>
      <w:r w:rsidR="003528A7" w:rsidRPr="00CB6566">
        <w:rPr>
          <w:sz w:val="24"/>
        </w:rPr>
        <w:t xml:space="preserve"> the Caribbean program </w:t>
      </w:r>
      <w:r>
        <w:rPr>
          <w:sz w:val="24"/>
        </w:rPr>
        <w:t>covered</w:t>
      </w:r>
      <w:r w:rsidR="0021503F">
        <w:rPr>
          <w:sz w:val="24"/>
        </w:rPr>
        <w:t xml:space="preserve"> 15</w:t>
      </w:r>
      <w:r w:rsidR="003528A7" w:rsidRPr="00CB6566">
        <w:rPr>
          <w:sz w:val="24"/>
        </w:rPr>
        <w:t xml:space="preserve"> countries</w:t>
      </w:r>
      <w:r w:rsidR="0021503F" w:rsidRPr="0021503F">
        <w:rPr>
          <w:sz w:val="24"/>
        </w:rPr>
        <w:t xml:space="preserve"> </w:t>
      </w:r>
      <w:r w:rsidR="0021503F">
        <w:rPr>
          <w:sz w:val="24"/>
        </w:rPr>
        <w:t>until recently.</w:t>
      </w:r>
      <w:r w:rsidR="0021503F">
        <w:rPr>
          <w:rStyle w:val="EndnoteReference"/>
          <w:sz w:val="24"/>
        </w:rPr>
        <w:endnoteReference w:id="17"/>
      </w:r>
      <w:r w:rsidR="003528A7">
        <w:rPr>
          <w:sz w:val="24"/>
        </w:rPr>
        <w:t xml:space="preserve"> </w:t>
      </w:r>
      <w:r w:rsidR="003528A7" w:rsidRPr="00CB6566">
        <w:rPr>
          <w:sz w:val="24"/>
        </w:rPr>
        <w:t>Rationalisation and consolidation will be an important focus in 2012</w:t>
      </w:r>
      <w:r w:rsidR="008B2F97">
        <w:rPr>
          <w:sz w:val="24"/>
        </w:rPr>
        <w:t xml:space="preserve"> to </w:t>
      </w:r>
      <w:r w:rsidR="003528A7" w:rsidRPr="00CB6566">
        <w:rPr>
          <w:sz w:val="24"/>
        </w:rPr>
        <w:t>13</w:t>
      </w:r>
      <w:r w:rsidR="00D91B3E">
        <w:rPr>
          <w:sz w:val="24"/>
        </w:rPr>
        <w:t xml:space="preserve"> (particularly Direct Assistance funds)</w:t>
      </w:r>
      <w:r w:rsidR="003528A7" w:rsidRPr="00CB6566">
        <w:rPr>
          <w:sz w:val="24"/>
        </w:rPr>
        <w:t>, as will developing and then applying fit for purpose quality review processes to strengthe</w:t>
      </w:r>
      <w:r w:rsidR="0021503F">
        <w:rPr>
          <w:sz w:val="24"/>
        </w:rPr>
        <w:t>n the program’s analytical base</w:t>
      </w:r>
      <w:r w:rsidR="003528A7" w:rsidRPr="00CB6566">
        <w:rPr>
          <w:sz w:val="24"/>
        </w:rPr>
        <w:t xml:space="preserve">. </w:t>
      </w:r>
    </w:p>
    <w:p w14:paraId="10912E37" w14:textId="77777777" w:rsidR="00E968AB" w:rsidRDefault="00E968AB" w:rsidP="00E968AB">
      <w:pPr>
        <w:spacing w:before="80" w:after="80" w:line="280" w:lineRule="atLeast"/>
        <w:jc w:val="both"/>
        <w:rPr>
          <w:sz w:val="24"/>
        </w:rPr>
      </w:pPr>
      <w:r w:rsidRPr="00CB6566">
        <w:rPr>
          <w:sz w:val="24"/>
        </w:rPr>
        <w:t xml:space="preserve">2011 focused on putting in place the building blocks for quality and performance assessment, leading to the development of the program’s Performance Assessment Framework (PAF) at the end of 2011. The draft </w:t>
      </w:r>
      <w:r>
        <w:rPr>
          <w:sz w:val="24"/>
        </w:rPr>
        <w:t>PAF is</w:t>
      </w:r>
      <w:r w:rsidRPr="00CB6566">
        <w:rPr>
          <w:sz w:val="24"/>
        </w:rPr>
        <w:t xml:space="preserve"> aligned with the strategic goals articulated in </w:t>
      </w:r>
      <w:r w:rsidR="008B2F97">
        <w:rPr>
          <w:sz w:val="24"/>
        </w:rPr>
        <w:t xml:space="preserve">the </w:t>
      </w:r>
      <w:r>
        <w:rPr>
          <w:sz w:val="24"/>
        </w:rPr>
        <w:t>CAPF</w:t>
      </w:r>
      <w:r w:rsidRPr="00CB6566">
        <w:rPr>
          <w:sz w:val="24"/>
        </w:rPr>
        <w:t>.</w:t>
      </w:r>
      <w:r>
        <w:rPr>
          <w:sz w:val="24"/>
        </w:rPr>
        <w:t xml:space="preserve"> </w:t>
      </w:r>
      <w:r w:rsidRPr="00CB6566">
        <w:rPr>
          <w:sz w:val="24"/>
        </w:rPr>
        <w:t xml:space="preserve">The APPR is a combined assessment of the </w:t>
      </w:r>
      <w:r w:rsidR="00047868" w:rsidRPr="00CB6566">
        <w:rPr>
          <w:sz w:val="24"/>
        </w:rPr>
        <w:t>Q</w:t>
      </w:r>
      <w:r w:rsidR="00047868">
        <w:rPr>
          <w:sz w:val="24"/>
        </w:rPr>
        <w:t>uality at Implementation (QAI) reports</w:t>
      </w:r>
      <w:r w:rsidRPr="00CB6566">
        <w:rPr>
          <w:sz w:val="24"/>
        </w:rPr>
        <w:t xml:space="preserve"> and does not include humanitarian funding.</w:t>
      </w:r>
    </w:p>
    <w:p w14:paraId="10912E38" w14:textId="77777777" w:rsidR="005E30AC" w:rsidRDefault="00B443EF" w:rsidP="00C17DE2">
      <w:pPr>
        <w:spacing w:before="80" w:after="80" w:line="280" w:lineRule="atLeast"/>
        <w:jc w:val="both"/>
        <w:rPr>
          <w:sz w:val="24"/>
        </w:rPr>
      </w:pPr>
      <w:r>
        <w:rPr>
          <w:sz w:val="24"/>
        </w:rPr>
        <w:t>N</w:t>
      </w:r>
      <w:r w:rsidR="005E30AC" w:rsidRPr="00E25466">
        <w:rPr>
          <w:sz w:val="24"/>
        </w:rPr>
        <w:t xml:space="preserve">early all activities </w:t>
      </w:r>
      <w:r w:rsidR="005C3E2A" w:rsidRPr="00E25466">
        <w:rPr>
          <w:sz w:val="24"/>
        </w:rPr>
        <w:t>continue to meet milestones</w:t>
      </w:r>
      <w:r w:rsidR="00317281">
        <w:rPr>
          <w:sz w:val="24"/>
        </w:rPr>
        <w:t xml:space="preserve"> similar to </w:t>
      </w:r>
      <w:r w:rsidR="00B07B15" w:rsidRPr="00E25466">
        <w:rPr>
          <w:sz w:val="24"/>
        </w:rPr>
        <w:t>2010</w:t>
      </w:r>
      <w:r w:rsidR="00913198">
        <w:rPr>
          <w:sz w:val="24"/>
        </w:rPr>
        <w:t xml:space="preserve"> (</w:t>
      </w:r>
      <w:r w:rsidR="00913198" w:rsidRPr="00913198">
        <w:rPr>
          <w:i/>
          <w:sz w:val="24"/>
        </w:rPr>
        <w:t xml:space="preserve">refer Annex </w:t>
      </w:r>
      <w:r w:rsidR="005A581F">
        <w:rPr>
          <w:i/>
          <w:sz w:val="24"/>
        </w:rPr>
        <w:t>B</w:t>
      </w:r>
      <w:r w:rsidR="00913198" w:rsidRPr="00913198">
        <w:rPr>
          <w:i/>
          <w:sz w:val="24"/>
        </w:rPr>
        <w:t xml:space="preserve"> for QAI scores</w:t>
      </w:r>
      <w:r w:rsidR="00913198">
        <w:rPr>
          <w:i/>
          <w:sz w:val="24"/>
        </w:rPr>
        <w:t>)</w:t>
      </w:r>
      <w:r w:rsidR="00317281">
        <w:rPr>
          <w:sz w:val="24"/>
        </w:rPr>
        <w:t>. S</w:t>
      </w:r>
      <w:r w:rsidR="00ED6794">
        <w:rPr>
          <w:sz w:val="24"/>
        </w:rPr>
        <w:t>ome activities have exceeded expectations</w:t>
      </w:r>
      <w:r w:rsidR="001E2B1A">
        <w:rPr>
          <w:sz w:val="24"/>
        </w:rPr>
        <w:t xml:space="preserve"> for </w:t>
      </w:r>
      <w:r w:rsidR="001F6E0D">
        <w:rPr>
          <w:sz w:val="24"/>
        </w:rPr>
        <w:t xml:space="preserve">example </w:t>
      </w:r>
      <w:r w:rsidR="007E7E35">
        <w:rPr>
          <w:sz w:val="24"/>
        </w:rPr>
        <w:t xml:space="preserve">institutional </w:t>
      </w:r>
      <w:r w:rsidR="00D44B7C">
        <w:rPr>
          <w:sz w:val="24"/>
        </w:rPr>
        <w:t>strengthening</w:t>
      </w:r>
      <w:r w:rsidR="00317281">
        <w:rPr>
          <w:sz w:val="24"/>
        </w:rPr>
        <w:t xml:space="preserve"> of</w:t>
      </w:r>
      <w:r w:rsidR="007E7E35">
        <w:rPr>
          <w:sz w:val="24"/>
        </w:rPr>
        <w:t xml:space="preserve"> CDEMA and 5Cs, Australia Awards and </w:t>
      </w:r>
      <w:r w:rsidR="00F17D15">
        <w:rPr>
          <w:sz w:val="24"/>
        </w:rPr>
        <w:t>S</w:t>
      </w:r>
      <w:r w:rsidR="007E7E35">
        <w:rPr>
          <w:sz w:val="24"/>
        </w:rPr>
        <w:t xml:space="preserve">ports for </w:t>
      </w:r>
      <w:r w:rsidR="00F17D15">
        <w:rPr>
          <w:sz w:val="24"/>
        </w:rPr>
        <w:t>D</w:t>
      </w:r>
      <w:r w:rsidR="007E7E35">
        <w:rPr>
          <w:sz w:val="24"/>
        </w:rPr>
        <w:t>evelopment</w:t>
      </w:r>
      <w:r w:rsidR="00A42CA0">
        <w:rPr>
          <w:sz w:val="24"/>
        </w:rPr>
        <w:t xml:space="preserve"> activities</w:t>
      </w:r>
      <w:r w:rsidR="00B07B15" w:rsidRPr="00E25466">
        <w:rPr>
          <w:sz w:val="24"/>
        </w:rPr>
        <w:t>.</w:t>
      </w:r>
      <w:r w:rsidR="005E30AC" w:rsidRPr="00E25466">
        <w:rPr>
          <w:sz w:val="24"/>
        </w:rPr>
        <w:t xml:space="preserve"> </w:t>
      </w:r>
      <w:r w:rsidR="00BE24B6">
        <w:rPr>
          <w:sz w:val="24"/>
        </w:rPr>
        <w:t>T</w:t>
      </w:r>
      <w:r w:rsidR="00317281">
        <w:rPr>
          <w:sz w:val="24"/>
        </w:rPr>
        <w:t xml:space="preserve">wo activities </w:t>
      </w:r>
      <w:r w:rsidR="00BE24B6">
        <w:rPr>
          <w:sz w:val="24"/>
        </w:rPr>
        <w:t>(</w:t>
      </w:r>
      <w:r w:rsidR="00317281">
        <w:rPr>
          <w:sz w:val="24"/>
        </w:rPr>
        <w:t>constructio</w:t>
      </w:r>
      <w:r w:rsidR="00BE24B6">
        <w:rPr>
          <w:sz w:val="24"/>
        </w:rPr>
        <w:t>n of Grenada Parliament House and</w:t>
      </w:r>
      <w:r w:rsidR="00317281">
        <w:rPr>
          <w:sz w:val="24"/>
        </w:rPr>
        <w:t xml:space="preserve"> </w:t>
      </w:r>
      <w:r w:rsidR="00F17D15">
        <w:rPr>
          <w:sz w:val="24"/>
        </w:rPr>
        <w:t xml:space="preserve">the </w:t>
      </w:r>
      <w:r w:rsidR="00247A7B">
        <w:rPr>
          <w:sz w:val="24"/>
        </w:rPr>
        <w:t>Australia V</w:t>
      </w:r>
      <w:r w:rsidR="00317281">
        <w:rPr>
          <w:sz w:val="24"/>
        </w:rPr>
        <w:t>olunteer</w:t>
      </w:r>
      <w:r w:rsidR="00247A7B">
        <w:rPr>
          <w:sz w:val="24"/>
        </w:rPr>
        <w:t>s for International Development program</w:t>
      </w:r>
      <w:r w:rsidR="00BE24B6">
        <w:rPr>
          <w:sz w:val="24"/>
        </w:rPr>
        <w:t>)</w:t>
      </w:r>
      <w:r w:rsidR="00875598">
        <w:rPr>
          <w:sz w:val="24"/>
        </w:rPr>
        <w:t xml:space="preserve"> have been delayed </w:t>
      </w:r>
      <w:r w:rsidR="00247A7B">
        <w:rPr>
          <w:sz w:val="24"/>
        </w:rPr>
        <w:t>mostly</w:t>
      </w:r>
      <w:r w:rsidR="001E2B1A">
        <w:rPr>
          <w:sz w:val="24"/>
        </w:rPr>
        <w:t xml:space="preserve"> due</w:t>
      </w:r>
      <w:r w:rsidR="00BE24B6">
        <w:rPr>
          <w:sz w:val="24"/>
        </w:rPr>
        <w:t xml:space="preserve"> to delays </w:t>
      </w:r>
      <w:r w:rsidR="001E2B1A">
        <w:rPr>
          <w:sz w:val="24"/>
        </w:rPr>
        <w:t xml:space="preserve">in </w:t>
      </w:r>
      <w:r w:rsidR="00BE24B6">
        <w:rPr>
          <w:sz w:val="24"/>
        </w:rPr>
        <w:t>receiving p</w:t>
      </w:r>
      <w:r w:rsidR="00875598">
        <w:rPr>
          <w:sz w:val="24"/>
        </w:rPr>
        <w:t xml:space="preserve">artner government approvals. The delays </w:t>
      </w:r>
      <w:r w:rsidR="00BE24B6">
        <w:rPr>
          <w:sz w:val="24"/>
        </w:rPr>
        <w:t>do not present significant risks to Australia’s investment</w:t>
      </w:r>
      <w:r w:rsidR="00875598">
        <w:rPr>
          <w:sz w:val="24"/>
        </w:rPr>
        <w:t>s</w:t>
      </w:r>
      <w:r w:rsidR="00247A7B">
        <w:rPr>
          <w:sz w:val="24"/>
        </w:rPr>
        <w:t xml:space="preserve"> at this time</w:t>
      </w:r>
      <w:r w:rsidR="006D5456">
        <w:rPr>
          <w:sz w:val="24"/>
        </w:rPr>
        <w:t>.</w:t>
      </w:r>
      <w:r w:rsidR="005E30AC" w:rsidRPr="00E25466">
        <w:rPr>
          <w:sz w:val="24"/>
        </w:rPr>
        <w:t xml:space="preserve">  </w:t>
      </w:r>
    </w:p>
    <w:p w14:paraId="10912E39" w14:textId="77777777" w:rsidR="00BE5FA9" w:rsidRDefault="00E210A4" w:rsidP="00C17DE2">
      <w:pPr>
        <w:spacing w:before="80" w:after="80" w:line="280" w:lineRule="atLeast"/>
        <w:jc w:val="both"/>
        <w:rPr>
          <w:sz w:val="24"/>
        </w:rPr>
      </w:pPr>
      <w:r>
        <w:rPr>
          <w:sz w:val="24"/>
        </w:rPr>
        <w:t>T</w:t>
      </w:r>
      <w:r w:rsidR="001B7B3C" w:rsidRPr="00E25466">
        <w:rPr>
          <w:sz w:val="24"/>
        </w:rPr>
        <w:t xml:space="preserve">here are </w:t>
      </w:r>
      <w:r w:rsidR="00BE24B6">
        <w:rPr>
          <w:sz w:val="24"/>
        </w:rPr>
        <w:t xml:space="preserve">some </w:t>
      </w:r>
      <w:r w:rsidR="001B7B3C" w:rsidRPr="00E25466">
        <w:rPr>
          <w:sz w:val="24"/>
        </w:rPr>
        <w:t xml:space="preserve">areas that require improvement </w:t>
      </w:r>
      <w:r w:rsidR="007E7E35">
        <w:rPr>
          <w:sz w:val="24"/>
        </w:rPr>
        <w:t>to increase the effectiveness of the Caribbean Program</w:t>
      </w:r>
      <w:r w:rsidR="00BE24B6">
        <w:rPr>
          <w:sz w:val="24"/>
        </w:rPr>
        <w:t>.</w:t>
      </w:r>
      <w:r w:rsidR="004870F6">
        <w:rPr>
          <w:sz w:val="24"/>
        </w:rPr>
        <w:t xml:space="preserve"> </w:t>
      </w:r>
      <w:r w:rsidR="00BE24B6">
        <w:rPr>
          <w:sz w:val="24"/>
        </w:rPr>
        <w:t>They include</w:t>
      </w:r>
      <w:r w:rsidR="00202A46">
        <w:rPr>
          <w:sz w:val="24"/>
        </w:rPr>
        <w:t xml:space="preserve"> </w:t>
      </w:r>
      <w:r w:rsidR="00BE5FA9">
        <w:rPr>
          <w:sz w:val="24"/>
        </w:rPr>
        <w:t>reducing the management burden of</w:t>
      </w:r>
      <w:r w:rsidR="005C3E2A" w:rsidRPr="00E25466">
        <w:rPr>
          <w:sz w:val="24"/>
        </w:rPr>
        <w:t xml:space="preserve"> </w:t>
      </w:r>
      <w:r w:rsidR="00202A46">
        <w:rPr>
          <w:sz w:val="24"/>
        </w:rPr>
        <w:t>delivering the</w:t>
      </w:r>
      <w:r w:rsidR="005C3E2A" w:rsidRPr="00E25466">
        <w:rPr>
          <w:sz w:val="24"/>
        </w:rPr>
        <w:t xml:space="preserve"> Australia Awards</w:t>
      </w:r>
      <w:r w:rsidR="00BE5FA9">
        <w:rPr>
          <w:sz w:val="24"/>
        </w:rPr>
        <w:t xml:space="preserve"> and small activities,</w:t>
      </w:r>
      <w:r w:rsidR="005C3E2A" w:rsidRPr="00E25466">
        <w:rPr>
          <w:sz w:val="24"/>
        </w:rPr>
        <w:t xml:space="preserve"> </w:t>
      </w:r>
      <w:r w:rsidR="00271B09" w:rsidRPr="00E25466">
        <w:rPr>
          <w:sz w:val="24"/>
        </w:rPr>
        <w:t xml:space="preserve">and promoting </w:t>
      </w:r>
      <w:r w:rsidR="00202A46">
        <w:rPr>
          <w:sz w:val="24"/>
        </w:rPr>
        <w:t>gender equality</w:t>
      </w:r>
      <w:r w:rsidR="001B7B3C" w:rsidRPr="00E25466">
        <w:rPr>
          <w:sz w:val="24"/>
        </w:rPr>
        <w:t xml:space="preserve"> and </w:t>
      </w:r>
      <w:r w:rsidR="001C4501">
        <w:rPr>
          <w:sz w:val="24"/>
        </w:rPr>
        <w:t xml:space="preserve">opportunities for people with </w:t>
      </w:r>
      <w:r w:rsidR="001B7B3C" w:rsidRPr="00E25466">
        <w:rPr>
          <w:sz w:val="24"/>
        </w:rPr>
        <w:t>disability</w:t>
      </w:r>
      <w:r w:rsidR="00BE5FA9">
        <w:rPr>
          <w:sz w:val="24"/>
        </w:rPr>
        <w:t xml:space="preserve"> among our partners</w:t>
      </w:r>
      <w:r w:rsidR="001B7B3C" w:rsidRPr="00E25466">
        <w:rPr>
          <w:sz w:val="24"/>
        </w:rPr>
        <w:t>.</w:t>
      </w:r>
      <w:r w:rsidR="00271B09" w:rsidRPr="00E25466">
        <w:rPr>
          <w:sz w:val="24"/>
        </w:rPr>
        <w:t xml:space="preserve"> </w:t>
      </w:r>
      <w:r w:rsidR="001C4501">
        <w:rPr>
          <w:sz w:val="24"/>
        </w:rPr>
        <w:t xml:space="preserve"> </w:t>
      </w:r>
    </w:p>
    <w:p w14:paraId="10912E3A" w14:textId="77777777" w:rsidR="00F17D15" w:rsidRDefault="004870F6" w:rsidP="00D540B2">
      <w:pPr>
        <w:spacing w:before="80" w:after="80" w:line="280" w:lineRule="atLeast"/>
        <w:jc w:val="both"/>
        <w:rPr>
          <w:sz w:val="24"/>
        </w:rPr>
      </w:pPr>
      <w:r>
        <w:rPr>
          <w:sz w:val="24"/>
        </w:rPr>
        <w:t>The program priorities and objectives are negotiated in partnership with CARICOM</w:t>
      </w:r>
      <w:r w:rsidR="005A581F">
        <w:rPr>
          <w:sz w:val="24"/>
        </w:rPr>
        <w:t>. P</w:t>
      </w:r>
      <w:r>
        <w:rPr>
          <w:sz w:val="24"/>
        </w:rPr>
        <w:t xml:space="preserve">rogress and results are </w:t>
      </w:r>
      <w:r w:rsidR="005A581F">
        <w:rPr>
          <w:sz w:val="24"/>
        </w:rPr>
        <w:t xml:space="preserve">reviewed </w:t>
      </w:r>
      <w:r>
        <w:rPr>
          <w:sz w:val="24"/>
        </w:rPr>
        <w:t>at quarterly meetings and the annual Senior Officials Meeting</w:t>
      </w:r>
      <w:r w:rsidRPr="00620D4A">
        <w:rPr>
          <w:sz w:val="24"/>
        </w:rPr>
        <w:t xml:space="preserve">. </w:t>
      </w:r>
      <w:r w:rsidR="00575041" w:rsidRPr="00620D4A">
        <w:rPr>
          <w:sz w:val="24"/>
        </w:rPr>
        <w:t xml:space="preserve">Feedback from the CARICOM Secretariat (Secretary General) </w:t>
      </w:r>
      <w:r w:rsidR="003721B8" w:rsidRPr="00620D4A">
        <w:rPr>
          <w:sz w:val="24"/>
        </w:rPr>
        <w:t xml:space="preserve">described the </w:t>
      </w:r>
      <w:r w:rsidR="00575041" w:rsidRPr="00620D4A">
        <w:rPr>
          <w:sz w:val="24"/>
        </w:rPr>
        <w:t>Australia</w:t>
      </w:r>
      <w:r w:rsidR="003721B8" w:rsidRPr="00620D4A">
        <w:rPr>
          <w:sz w:val="24"/>
        </w:rPr>
        <w:t>n aid program</w:t>
      </w:r>
      <w:r w:rsidR="00575041" w:rsidRPr="00620D4A">
        <w:rPr>
          <w:sz w:val="24"/>
        </w:rPr>
        <w:t xml:space="preserve"> as </w:t>
      </w:r>
      <w:r w:rsidR="001E2B1A">
        <w:rPr>
          <w:sz w:val="24"/>
        </w:rPr>
        <w:t>‘</w:t>
      </w:r>
      <w:r w:rsidR="003721B8" w:rsidRPr="00620D4A">
        <w:rPr>
          <w:sz w:val="24"/>
        </w:rPr>
        <w:t xml:space="preserve">you </w:t>
      </w:r>
      <w:r w:rsidR="00575041" w:rsidRPr="00620D4A">
        <w:rPr>
          <w:sz w:val="24"/>
        </w:rPr>
        <w:t xml:space="preserve">do as </w:t>
      </w:r>
      <w:r w:rsidR="003721B8" w:rsidRPr="00620D4A">
        <w:rPr>
          <w:sz w:val="24"/>
        </w:rPr>
        <w:t xml:space="preserve">you </w:t>
      </w:r>
      <w:r w:rsidR="00575041" w:rsidRPr="00620D4A">
        <w:rPr>
          <w:sz w:val="24"/>
        </w:rPr>
        <w:t>say</w:t>
      </w:r>
      <w:r w:rsidR="001E2B1A">
        <w:rPr>
          <w:sz w:val="24"/>
        </w:rPr>
        <w:t>’</w:t>
      </w:r>
      <w:r w:rsidR="00B548CB" w:rsidRPr="00620D4A">
        <w:rPr>
          <w:sz w:val="24"/>
        </w:rPr>
        <w:t xml:space="preserve"> a</w:t>
      </w:r>
      <w:r w:rsidR="001F2165" w:rsidRPr="00620D4A">
        <w:rPr>
          <w:sz w:val="24"/>
        </w:rPr>
        <w:t xml:space="preserve">nd Australia’s value extends to </w:t>
      </w:r>
      <w:r w:rsidR="001E2B1A">
        <w:rPr>
          <w:sz w:val="24"/>
        </w:rPr>
        <w:t>‘</w:t>
      </w:r>
      <w:r w:rsidR="001F2165" w:rsidRPr="00620D4A">
        <w:rPr>
          <w:sz w:val="24"/>
        </w:rPr>
        <w:t>advocacy for SIDS in international fora and policy dialogue</w:t>
      </w:r>
      <w:r w:rsidR="003721B8" w:rsidRPr="00620D4A">
        <w:rPr>
          <w:sz w:val="24"/>
        </w:rPr>
        <w:t xml:space="preserve"> -</w:t>
      </w:r>
      <w:r w:rsidR="00B548CB" w:rsidRPr="00620D4A">
        <w:rPr>
          <w:sz w:val="24"/>
        </w:rPr>
        <w:t xml:space="preserve"> it is not just about funding</w:t>
      </w:r>
      <w:r w:rsidR="001E2B1A">
        <w:rPr>
          <w:sz w:val="24"/>
        </w:rPr>
        <w:t>’</w:t>
      </w:r>
      <w:r w:rsidR="00575041" w:rsidRPr="00620D4A">
        <w:rPr>
          <w:sz w:val="24"/>
        </w:rPr>
        <w:t xml:space="preserve">. </w:t>
      </w:r>
      <w:r w:rsidR="00A636F4" w:rsidRPr="00620D4A">
        <w:rPr>
          <w:sz w:val="24"/>
        </w:rPr>
        <w:t>Further c</w:t>
      </w:r>
      <w:r w:rsidR="003721B8" w:rsidRPr="00620D4A">
        <w:rPr>
          <w:sz w:val="24"/>
        </w:rPr>
        <w:t>omments indicate the rapid delivery of</w:t>
      </w:r>
      <w:r w:rsidR="00F17D15">
        <w:rPr>
          <w:sz w:val="24"/>
        </w:rPr>
        <w:t xml:space="preserve"> the program has been efficient, however with relationships now established the focus will be on supervision and partner dialogue to manage for development results. </w:t>
      </w:r>
    </w:p>
    <w:p w14:paraId="10912E3B" w14:textId="77777777" w:rsidR="00D540B2" w:rsidRPr="00BC39CB" w:rsidRDefault="00C63851" w:rsidP="00D540B2">
      <w:pPr>
        <w:spacing w:before="80" w:after="80" w:line="280" w:lineRule="atLeast"/>
        <w:jc w:val="both"/>
        <w:rPr>
          <w:sz w:val="24"/>
        </w:rPr>
      </w:pPr>
      <w:r w:rsidRPr="00620D4A">
        <w:rPr>
          <w:sz w:val="24"/>
        </w:rPr>
        <w:t>A</w:t>
      </w:r>
      <w:r w:rsidR="00A30B8A" w:rsidRPr="00620D4A">
        <w:rPr>
          <w:sz w:val="24"/>
        </w:rPr>
        <w:t>n</w:t>
      </w:r>
      <w:r w:rsidRPr="00620D4A">
        <w:rPr>
          <w:sz w:val="24"/>
        </w:rPr>
        <w:t xml:space="preserve"> </w:t>
      </w:r>
      <w:r w:rsidR="00A30B8A" w:rsidRPr="00620D4A">
        <w:rPr>
          <w:sz w:val="24"/>
        </w:rPr>
        <w:t xml:space="preserve">AusAID </w:t>
      </w:r>
      <w:r w:rsidR="005E30AC" w:rsidRPr="00620D4A">
        <w:rPr>
          <w:sz w:val="24"/>
        </w:rPr>
        <w:t xml:space="preserve">visit </w:t>
      </w:r>
      <w:r w:rsidR="00875598" w:rsidRPr="00620D4A">
        <w:rPr>
          <w:sz w:val="24"/>
        </w:rPr>
        <w:t>to the region in December</w:t>
      </w:r>
      <w:r w:rsidR="00875598">
        <w:rPr>
          <w:sz w:val="24"/>
        </w:rPr>
        <w:t xml:space="preserve"> 2011</w:t>
      </w:r>
      <w:r w:rsidR="00A30B8A">
        <w:rPr>
          <w:sz w:val="24"/>
        </w:rPr>
        <w:t xml:space="preserve"> to assess early performance and develop a PAF </w:t>
      </w:r>
      <w:r w:rsidR="00293FEF">
        <w:rPr>
          <w:sz w:val="24"/>
        </w:rPr>
        <w:t>conf</w:t>
      </w:r>
      <w:r w:rsidR="00620D4A">
        <w:rPr>
          <w:sz w:val="24"/>
        </w:rPr>
        <w:t>irmed that the P</w:t>
      </w:r>
      <w:r w:rsidR="00575041">
        <w:rPr>
          <w:sz w:val="24"/>
        </w:rPr>
        <w:t xml:space="preserve">rogram </w:t>
      </w:r>
      <w:r w:rsidR="00620D4A">
        <w:rPr>
          <w:sz w:val="24"/>
        </w:rPr>
        <w:t>was addressing relevant development priorities in the Caribbean region</w:t>
      </w:r>
      <w:r w:rsidR="00293FEF" w:rsidRPr="00A2748B">
        <w:rPr>
          <w:sz w:val="24"/>
        </w:rPr>
        <w:t>.</w:t>
      </w:r>
      <w:r w:rsidR="005E30AC" w:rsidRPr="00A2748B">
        <w:rPr>
          <w:sz w:val="24"/>
        </w:rPr>
        <w:t xml:space="preserve"> </w:t>
      </w:r>
      <w:r w:rsidR="00B06593" w:rsidRPr="00A2748B">
        <w:rPr>
          <w:sz w:val="24"/>
        </w:rPr>
        <w:t xml:space="preserve">The </w:t>
      </w:r>
      <w:r w:rsidR="00711046" w:rsidRPr="00A2748B">
        <w:rPr>
          <w:sz w:val="24"/>
        </w:rPr>
        <w:t>performance team met with</w:t>
      </w:r>
      <w:r w:rsidR="00B06593" w:rsidRPr="00A2748B">
        <w:rPr>
          <w:sz w:val="24"/>
        </w:rPr>
        <w:t xml:space="preserve"> </w:t>
      </w:r>
      <w:r w:rsidR="00A2748B">
        <w:rPr>
          <w:sz w:val="24"/>
        </w:rPr>
        <w:t>the</w:t>
      </w:r>
      <w:r w:rsidR="00B06593" w:rsidRPr="00A2748B">
        <w:rPr>
          <w:sz w:val="24"/>
        </w:rPr>
        <w:t xml:space="preserve"> CARICOM </w:t>
      </w:r>
      <w:r w:rsidR="002A6939">
        <w:rPr>
          <w:sz w:val="24"/>
        </w:rPr>
        <w:t xml:space="preserve">and OECS </w:t>
      </w:r>
      <w:r w:rsidR="00B06593" w:rsidRPr="00A2748B">
        <w:rPr>
          <w:sz w:val="24"/>
        </w:rPr>
        <w:t>Secretariat</w:t>
      </w:r>
      <w:r w:rsidR="002A6939">
        <w:rPr>
          <w:sz w:val="24"/>
        </w:rPr>
        <w:t>s</w:t>
      </w:r>
      <w:r w:rsidR="00B06593" w:rsidRPr="00A2748B">
        <w:rPr>
          <w:sz w:val="24"/>
        </w:rPr>
        <w:t xml:space="preserve">, 5Cs, </w:t>
      </w:r>
      <w:r w:rsidR="003D6774" w:rsidRPr="00A2748B">
        <w:rPr>
          <w:sz w:val="24"/>
        </w:rPr>
        <w:t xml:space="preserve">CDEMA, ECLAC, </w:t>
      </w:r>
      <w:r w:rsidR="002A6939">
        <w:rPr>
          <w:sz w:val="24"/>
        </w:rPr>
        <w:t xml:space="preserve">UWI, CARIBSAVE, IFC, other </w:t>
      </w:r>
      <w:r w:rsidR="003D6774" w:rsidRPr="00A2748B">
        <w:rPr>
          <w:sz w:val="24"/>
        </w:rPr>
        <w:t>donor</w:t>
      </w:r>
      <w:r w:rsidR="002A6939">
        <w:rPr>
          <w:sz w:val="24"/>
        </w:rPr>
        <w:t xml:space="preserve">s </w:t>
      </w:r>
      <w:r w:rsidR="00575041">
        <w:rPr>
          <w:sz w:val="24"/>
        </w:rPr>
        <w:t xml:space="preserve">and </w:t>
      </w:r>
      <w:r w:rsidR="002A6939">
        <w:rPr>
          <w:sz w:val="24"/>
        </w:rPr>
        <w:t>private sector and government representatives</w:t>
      </w:r>
      <w:r w:rsidR="00A2748B">
        <w:rPr>
          <w:sz w:val="24"/>
        </w:rPr>
        <w:t>.</w:t>
      </w:r>
      <w:r w:rsidR="00575041">
        <w:rPr>
          <w:sz w:val="24"/>
        </w:rPr>
        <w:t xml:space="preserve"> </w:t>
      </w:r>
      <w:r w:rsidR="00A2748B">
        <w:rPr>
          <w:sz w:val="24"/>
        </w:rPr>
        <w:t xml:space="preserve">The team </w:t>
      </w:r>
      <w:r w:rsidR="00857BA4">
        <w:rPr>
          <w:sz w:val="24"/>
        </w:rPr>
        <w:t>gathered performance evidence from a range of sources includin</w:t>
      </w:r>
      <w:r w:rsidR="00A30B8A">
        <w:rPr>
          <w:sz w:val="24"/>
        </w:rPr>
        <w:t>g meetings, reports, databases</w:t>
      </w:r>
      <w:r w:rsidR="00857BA4">
        <w:rPr>
          <w:sz w:val="24"/>
        </w:rPr>
        <w:t xml:space="preserve"> and interviews.</w:t>
      </w:r>
      <w:r w:rsidR="005E30AC" w:rsidRPr="00B06593">
        <w:rPr>
          <w:sz w:val="24"/>
        </w:rPr>
        <w:t xml:space="preserve"> The</w:t>
      </w:r>
      <w:r w:rsidR="00BE24B6" w:rsidRPr="00B06593">
        <w:rPr>
          <w:sz w:val="24"/>
        </w:rPr>
        <w:t xml:space="preserve"> </w:t>
      </w:r>
      <w:r w:rsidR="00247A7B">
        <w:rPr>
          <w:sz w:val="24"/>
        </w:rPr>
        <w:t>PAF</w:t>
      </w:r>
      <w:r w:rsidR="00BE24B6" w:rsidRPr="00B06593">
        <w:rPr>
          <w:sz w:val="24"/>
        </w:rPr>
        <w:t xml:space="preserve"> </w:t>
      </w:r>
      <w:r w:rsidR="00980D44" w:rsidRPr="00B06593">
        <w:rPr>
          <w:sz w:val="24"/>
        </w:rPr>
        <w:t>will</w:t>
      </w:r>
      <w:r w:rsidR="005E30AC" w:rsidRPr="00B06593">
        <w:rPr>
          <w:sz w:val="24"/>
        </w:rPr>
        <w:t xml:space="preserve"> identify q</w:t>
      </w:r>
      <w:r w:rsidR="00C00900" w:rsidRPr="00B06593">
        <w:rPr>
          <w:sz w:val="24"/>
        </w:rPr>
        <w:t xml:space="preserve">ualitative and quantitative information </w:t>
      </w:r>
      <w:r w:rsidR="005E30AC" w:rsidRPr="00B06593">
        <w:rPr>
          <w:sz w:val="24"/>
        </w:rPr>
        <w:t>required</w:t>
      </w:r>
      <w:r w:rsidR="005E30AC" w:rsidRPr="00C00900">
        <w:rPr>
          <w:sz w:val="24"/>
        </w:rPr>
        <w:t xml:space="preserve"> for future</w:t>
      </w:r>
      <w:r w:rsidR="00980D44">
        <w:rPr>
          <w:sz w:val="24"/>
        </w:rPr>
        <w:t xml:space="preserve"> reporting of quality</w:t>
      </w:r>
      <w:r w:rsidR="005E30AC" w:rsidRPr="00C00900">
        <w:rPr>
          <w:sz w:val="24"/>
        </w:rPr>
        <w:t xml:space="preserve"> processes</w:t>
      </w:r>
      <w:r w:rsidR="001E2B1A">
        <w:rPr>
          <w:sz w:val="24"/>
        </w:rPr>
        <w:t>,</w:t>
      </w:r>
      <w:r w:rsidR="00BE24B6">
        <w:rPr>
          <w:sz w:val="24"/>
        </w:rPr>
        <w:t xml:space="preserve"> this includes </w:t>
      </w:r>
      <w:r w:rsidR="00D93A57">
        <w:rPr>
          <w:sz w:val="24"/>
        </w:rPr>
        <w:t xml:space="preserve">reporting through </w:t>
      </w:r>
      <w:r w:rsidR="00BE24B6">
        <w:rPr>
          <w:sz w:val="24"/>
        </w:rPr>
        <w:t>case studies</w:t>
      </w:r>
      <w:r w:rsidR="005E30AC" w:rsidRPr="00C00900">
        <w:rPr>
          <w:sz w:val="24"/>
        </w:rPr>
        <w:t>.</w:t>
      </w:r>
    </w:p>
    <w:p w14:paraId="10912E3C" w14:textId="77777777" w:rsidR="008F1FEB" w:rsidRDefault="001E2B1A" w:rsidP="008F1FEB">
      <w:pPr>
        <w:spacing w:before="80" w:after="80" w:line="280" w:lineRule="atLeast"/>
        <w:jc w:val="both"/>
        <w:rPr>
          <w:sz w:val="24"/>
        </w:rPr>
      </w:pPr>
      <w:r>
        <w:rPr>
          <w:sz w:val="24"/>
        </w:rPr>
        <w:t>A review is scheduled for late 2012 when</w:t>
      </w:r>
      <w:r w:rsidR="008F5B0A" w:rsidRPr="003105FF">
        <w:rPr>
          <w:sz w:val="24"/>
        </w:rPr>
        <w:t xml:space="preserve"> th</w:t>
      </w:r>
      <w:r w:rsidR="003105FF">
        <w:rPr>
          <w:sz w:val="24"/>
        </w:rPr>
        <w:t>e Caribbean Program reaches mid-</w:t>
      </w:r>
      <w:r w:rsidR="008F5B0A" w:rsidRPr="003105FF">
        <w:rPr>
          <w:sz w:val="24"/>
        </w:rPr>
        <w:t xml:space="preserve">point in the four-year program </w:t>
      </w:r>
      <w:r w:rsidR="00461976">
        <w:rPr>
          <w:sz w:val="24"/>
        </w:rPr>
        <w:t>(</w:t>
      </w:r>
      <w:r w:rsidR="008F5B0A" w:rsidRPr="003105FF">
        <w:rPr>
          <w:sz w:val="24"/>
        </w:rPr>
        <w:t>2010</w:t>
      </w:r>
      <w:r>
        <w:rPr>
          <w:sz w:val="24"/>
        </w:rPr>
        <w:t xml:space="preserve"> to </w:t>
      </w:r>
      <w:r w:rsidR="008F5B0A" w:rsidRPr="003105FF">
        <w:rPr>
          <w:sz w:val="24"/>
        </w:rPr>
        <w:t>2014</w:t>
      </w:r>
      <w:r w:rsidR="00461976">
        <w:rPr>
          <w:sz w:val="24"/>
        </w:rPr>
        <w:t xml:space="preserve">). </w:t>
      </w:r>
      <w:r w:rsidR="00563010">
        <w:rPr>
          <w:sz w:val="24"/>
        </w:rPr>
        <w:t xml:space="preserve">The </w:t>
      </w:r>
      <w:r>
        <w:rPr>
          <w:sz w:val="24"/>
        </w:rPr>
        <w:t>r</w:t>
      </w:r>
      <w:r w:rsidR="00563010">
        <w:rPr>
          <w:sz w:val="24"/>
        </w:rPr>
        <w:t xml:space="preserve">eview </w:t>
      </w:r>
      <w:r w:rsidR="003105FF">
        <w:rPr>
          <w:sz w:val="24"/>
        </w:rPr>
        <w:t xml:space="preserve">will </w:t>
      </w:r>
      <w:r w:rsidR="003E4795">
        <w:rPr>
          <w:sz w:val="24"/>
        </w:rPr>
        <w:t>consider</w:t>
      </w:r>
      <w:r w:rsidR="003105FF">
        <w:rPr>
          <w:sz w:val="24"/>
        </w:rPr>
        <w:t xml:space="preserve"> results to date, management of the program and future</w:t>
      </w:r>
      <w:r w:rsidR="00BE24B6">
        <w:rPr>
          <w:sz w:val="24"/>
        </w:rPr>
        <w:t xml:space="preserve"> programming</w:t>
      </w:r>
      <w:r w:rsidR="003105FF">
        <w:rPr>
          <w:sz w:val="24"/>
        </w:rPr>
        <w:t xml:space="preserve"> options. </w:t>
      </w:r>
      <w:r w:rsidR="00E4377D">
        <w:rPr>
          <w:sz w:val="24"/>
        </w:rPr>
        <w:t xml:space="preserve">The </w:t>
      </w:r>
      <w:r>
        <w:rPr>
          <w:sz w:val="24"/>
        </w:rPr>
        <w:t>r</w:t>
      </w:r>
      <w:r w:rsidR="00E4377D">
        <w:rPr>
          <w:sz w:val="24"/>
        </w:rPr>
        <w:t>eview together with the 2011 performance mission will help determine whether targets are being met and ultimately the sustainability of the overall program.</w:t>
      </w:r>
    </w:p>
    <w:p w14:paraId="10912E3D" w14:textId="0E692088" w:rsidR="00A636F4" w:rsidRDefault="00E867CF" w:rsidP="00C17DE2">
      <w:pPr>
        <w:spacing w:before="80" w:after="80" w:line="280" w:lineRule="atLeast"/>
        <w:jc w:val="both"/>
        <w:rPr>
          <w:sz w:val="24"/>
        </w:rPr>
      </w:pPr>
      <w:r>
        <w:rPr>
          <w:sz w:val="24"/>
        </w:rPr>
        <w:t>M</w:t>
      </w:r>
      <w:r w:rsidR="00563010" w:rsidRPr="0044118C">
        <w:rPr>
          <w:sz w:val="24"/>
        </w:rPr>
        <w:t>ultilateral organisations</w:t>
      </w:r>
      <w:r w:rsidR="005F6B14" w:rsidRPr="0044118C">
        <w:rPr>
          <w:sz w:val="24"/>
        </w:rPr>
        <w:t xml:space="preserve"> (IFC, United Nations</w:t>
      </w:r>
      <w:r w:rsidR="00BE24B6">
        <w:rPr>
          <w:sz w:val="24"/>
        </w:rPr>
        <w:t>, IMF</w:t>
      </w:r>
      <w:r w:rsidR="005F6B14" w:rsidRPr="0044118C">
        <w:rPr>
          <w:sz w:val="24"/>
        </w:rPr>
        <w:t>)</w:t>
      </w:r>
      <w:r w:rsidR="002B41B8" w:rsidRPr="0044118C">
        <w:rPr>
          <w:sz w:val="24"/>
        </w:rPr>
        <w:t xml:space="preserve"> have </w:t>
      </w:r>
      <w:r w:rsidR="008C29A4" w:rsidRPr="0044118C">
        <w:rPr>
          <w:sz w:val="24"/>
        </w:rPr>
        <w:t xml:space="preserve">generally </w:t>
      </w:r>
      <w:r w:rsidR="00D823C7" w:rsidRPr="0044118C">
        <w:rPr>
          <w:sz w:val="24"/>
        </w:rPr>
        <w:t>met our expectation</w:t>
      </w:r>
      <w:r w:rsidR="002B41B8" w:rsidRPr="0044118C">
        <w:rPr>
          <w:sz w:val="24"/>
        </w:rPr>
        <w:t>s in operating</w:t>
      </w:r>
      <w:r w:rsidR="00563010" w:rsidRPr="0044118C">
        <w:rPr>
          <w:sz w:val="24"/>
        </w:rPr>
        <w:t>,</w:t>
      </w:r>
      <w:r w:rsidR="002B41B8" w:rsidRPr="0044118C">
        <w:rPr>
          <w:sz w:val="24"/>
        </w:rPr>
        <w:t xml:space="preserve"> performance and fiduciary </w:t>
      </w:r>
      <w:r w:rsidR="00D823C7" w:rsidRPr="0044118C">
        <w:rPr>
          <w:sz w:val="24"/>
        </w:rPr>
        <w:t>systems</w:t>
      </w:r>
      <w:r w:rsidR="006D732E" w:rsidRPr="0044118C">
        <w:rPr>
          <w:sz w:val="24"/>
        </w:rPr>
        <w:t xml:space="preserve"> while some like </w:t>
      </w:r>
      <w:r w:rsidR="00F11536">
        <w:rPr>
          <w:sz w:val="24"/>
        </w:rPr>
        <w:t xml:space="preserve">the IMF </w:t>
      </w:r>
      <w:r w:rsidR="00F94130">
        <w:rPr>
          <w:sz w:val="24"/>
        </w:rPr>
        <w:t>(</w:t>
      </w:r>
      <w:r w:rsidR="00F11536">
        <w:rPr>
          <w:sz w:val="24"/>
        </w:rPr>
        <w:t xml:space="preserve">through </w:t>
      </w:r>
      <w:r w:rsidR="006D732E" w:rsidRPr="0044118C">
        <w:rPr>
          <w:sz w:val="24"/>
        </w:rPr>
        <w:t>CARTAC</w:t>
      </w:r>
      <w:r w:rsidR="00F94130">
        <w:rPr>
          <w:sz w:val="24"/>
        </w:rPr>
        <w:t>)</w:t>
      </w:r>
      <w:r w:rsidR="005F6B14" w:rsidRPr="0044118C">
        <w:rPr>
          <w:sz w:val="24"/>
        </w:rPr>
        <w:t xml:space="preserve"> </w:t>
      </w:r>
      <w:r w:rsidR="006D732E" w:rsidRPr="0044118C">
        <w:rPr>
          <w:sz w:val="24"/>
        </w:rPr>
        <w:t>exceed</w:t>
      </w:r>
      <w:r w:rsidR="00F94130">
        <w:rPr>
          <w:sz w:val="24"/>
        </w:rPr>
        <w:t>ed</w:t>
      </w:r>
      <w:r w:rsidR="006D732E" w:rsidRPr="0044118C">
        <w:rPr>
          <w:sz w:val="24"/>
        </w:rPr>
        <w:t xml:space="preserve"> them</w:t>
      </w:r>
      <w:r w:rsidR="00D823C7" w:rsidRPr="0044118C">
        <w:rPr>
          <w:sz w:val="24"/>
        </w:rPr>
        <w:t>.</w:t>
      </w:r>
      <w:r w:rsidR="005F6B14" w:rsidRPr="0044118C">
        <w:rPr>
          <w:sz w:val="24"/>
        </w:rPr>
        <w:t xml:space="preserve"> </w:t>
      </w:r>
      <w:r w:rsidR="00980D44">
        <w:rPr>
          <w:sz w:val="24"/>
        </w:rPr>
        <w:t>However,</w:t>
      </w:r>
      <w:r w:rsidR="008C29A4" w:rsidRPr="0044118C">
        <w:rPr>
          <w:sz w:val="24"/>
        </w:rPr>
        <w:t xml:space="preserve"> </w:t>
      </w:r>
      <w:r w:rsidR="006D732E" w:rsidRPr="0044118C">
        <w:rPr>
          <w:sz w:val="24"/>
        </w:rPr>
        <w:t xml:space="preserve">AusAID </w:t>
      </w:r>
      <w:r w:rsidR="00144514">
        <w:rPr>
          <w:sz w:val="24"/>
        </w:rPr>
        <w:t xml:space="preserve">and other donors (including Canada and </w:t>
      </w:r>
      <w:r w:rsidR="006D732E" w:rsidRPr="0044118C">
        <w:rPr>
          <w:sz w:val="24"/>
        </w:rPr>
        <w:t>UK</w:t>
      </w:r>
      <w:r w:rsidR="00563010" w:rsidRPr="0044118C">
        <w:rPr>
          <w:sz w:val="24"/>
        </w:rPr>
        <w:t>)</w:t>
      </w:r>
      <w:r w:rsidR="00144514">
        <w:rPr>
          <w:sz w:val="24"/>
        </w:rPr>
        <w:t xml:space="preserve"> </w:t>
      </w:r>
      <w:r w:rsidR="00563010" w:rsidRPr="0044118C">
        <w:rPr>
          <w:sz w:val="24"/>
        </w:rPr>
        <w:t xml:space="preserve">continue </w:t>
      </w:r>
      <w:r w:rsidR="006D732E" w:rsidRPr="0044118C">
        <w:rPr>
          <w:sz w:val="24"/>
        </w:rPr>
        <w:t>to</w:t>
      </w:r>
      <w:r w:rsidR="00563010" w:rsidRPr="0044118C">
        <w:rPr>
          <w:sz w:val="24"/>
        </w:rPr>
        <w:t xml:space="preserve"> lobby for increase</w:t>
      </w:r>
      <w:r w:rsidR="00EF723E">
        <w:rPr>
          <w:sz w:val="24"/>
        </w:rPr>
        <w:t>d</w:t>
      </w:r>
      <w:r w:rsidR="00563010" w:rsidRPr="0044118C">
        <w:rPr>
          <w:sz w:val="24"/>
        </w:rPr>
        <w:t xml:space="preserve"> focus on development results</w:t>
      </w:r>
      <w:r w:rsidR="00CA31BA">
        <w:rPr>
          <w:sz w:val="24"/>
        </w:rPr>
        <w:t xml:space="preserve"> </w:t>
      </w:r>
      <w:r w:rsidR="00F17D15">
        <w:rPr>
          <w:sz w:val="24"/>
        </w:rPr>
        <w:t xml:space="preserve">ensuring approaches to </w:t>
      </w:r>
      <w:r w:rsidR="00CA31BA">
        <w:rPr>
          <w:sz w:val="24"/>
        </w:rPr>
        <w:t xml:space="preserve">climate change </w:t>
      </w:r>
      <w:r w:rsidR="00F17D15">
        <w:rPr>
          <w:sz w:val="24"/>
        </w:rPr>
        <w:t xml:space="preserve">adaptation are strongly aligned </w:t>
      </w:r>
      <w:r w:rsidR="00CA31BA">
        <w:rPr>
          <w:sz w:val="24"/>
        </w:rPr>
        <w:t>with disaster risk reduction, greater donor coordination</w:t>
      </w:r>
      <w:r w:rsidR="00563010" w:rsidRPr="0044118C">
        <w:rPr>
          <w:sz w:val="24"/>
        </w:rPr>
        <w:t xml:space="preserve"> and </w:t>
      </w:r>
      <w:r w:rsidR="005F6B14" w:rsidRPr="0044118C">
        <w:rPr>
          <w:sz w:val="24"/>
        </w:rPr>
        <w:t>data</w:t>
      </w:r>
      <w:r w:rsidR="000C57FD">
        <w:rPr>
          <w:sz w:val="24"/>
        </w:rPr>
        <w:t xml:space="preserve"> collection</w:t>
      </w:r>
      <w:r w:rsidR="005F6B14" w:rsidRPr="0044118C">
        <w:rPr>
          <w:sz w:val="24"/>
        </w:rPr>
        <w:t xml:space="preserve"> on gender equality and disability</w:t>
      </w:r>
      <w:r w:rsidR="006D732E" w:rsidRPr="0044118C">
        <w:rPr>
          <w:sz w:val="24"/>
        </w:rPr>
        <w:t>.</w:t>
      </w:r>
      <w:r w:rsidR="008C29A4" w:rsidRPr="0044118C">
        <w:rPr>
          <w:sz w:val="24"/>
        </w:rPr>
        <w:t xml:space="preserve"> </w:t>
      </w:r>
    </w:p>
    <w:p w14:paraId="10912E3E" w14:textId="77777777" w:rsidR="008C29A4" w:rsidRDefault="008C29A4" w:rsidP="00C17DE2">
      <w:pPr>
        <w:spacing w:before="80" w:after="80" w:line="280" w:lineRule="atLeast"/>
        <w:jc w:val="both"/>
        <w:rPr>
          <w:sz w:val="24"/>
        </w:rPr>
      </w:pPr>
      <w:r w:rsidRPr="0044118C">
        <w:rPr>
          <w:sz w:val="24"/>
        </w:rPr>
        <w:t xml:space="preserve">The Australian Multilateral Assessment </w:t>
      </w:r>
      <w:r w:rsidR="00A636F4">
        <w:rPr>
          <w:sz w:val="24"/>
        </w:rPr>
        <w:t>helps</w:t>
      </w:r>
      <w:r w:rsidR="00563010" w:rsidRPr="0044118C">
        <w:rPr>
          <w:sz w:val="24"/>
        </w:rPr>
        <w:t xml:space="preserve"> </w:t>
      </w:r>
      <w:r w:rsidR="001F55D4" w:rsidRPr="0044118C">
        <w:rPr>
          <w:sz w:val="24"/>
        </w:rPr>
        <w:t>guide</w:t>
      </w:r>
      <w:r w:rsidR="00BE24B6">
        <w:rPr>
          <w:sz w:val="24"/>
        </w:rPr>
        <w:t xml:space="preserve"> </w:t>
      </w:r>
      <w:r w:rsidR="00444F12">
        <w:rPr>
          <w:sz w:val="24"/>
        </w:rPr>
        <w:t>our</w:t>
      </w:r>
      <w:r w:rsidR="001F55D4" w:rsidRPr="0044118C">
        <w:rPr>
          <w:sz w:val="24"/>
        </w:rPr>
        <w:t xml:space="preserve"> engagement</w:t>
      </w:r>
      <w:r w:rsidR="003F3EC7">
        <w:rPr>
          <w:sz w:val="24"/>
        </w:rPr>
        <w:t>. Of the six partners</w:t>
      </w:r>
      <w:r w:rsidR="00620D4A">
        <w:rPr>
          <w:sz w:val="24"/>
        </w:rPr>
        <w:t xml:space="preserve"> for the Caribbean program</w:t>
      </w:r>
      <w:r w:rsidR="003F3EC7">
        <w:rPr>
          <w:sz w:val="24"/>
        </w:rPr>
        <w:t xml:space="preserve"> assessed, (Global Environment Facility, IFC, IMF, International Organisation for Migration (IOM), International Committee of the Red Cross, and the UN Office for the Coordination of Humanitarian Affairs) all received between satisfactory and very strong ratings against all criteria with the exception of the IOM</w:t>
      </w:r>
      <w:r w:rsidR="00DA1477">
        <w:rPr>
          <w:sz w:val="24"/>
        </w:rPr>
        <w:t>,</w:t>
      </w:r>
      <w:r w:rsidR="00620D4A">
        <w:rPr>
          <w:sz w:val="24"/>
        </w:rPr>
        <w:t xml:space="preserve"> which is implementing direct assistance water and sanitation activities in Haiti</w:t>
      </w:r>
      <w:r w:rsidR="003F3EC7">
        <w:rPr>
          <w:sz w:val="24"/>
        </w:rPr>
        <w:t>. The IOM scored a weak assessment</w:t>
      </w:r>
      <w:r w:rsidR="00043889">
        <w:rPr>
          <w:sz w:val="24"/>
        </w:rPr>
        <w:t xml:space="preserve"> against playing a critical role in improving aid effectiveness through results monitoring</w:t>
      </w:r>
      <w:r w:rsidR="003F3EC7">
        <w:rPr>
          <w:sz w:val="24"/>
        </w:rPr>
        <w:t>. IOM currently does not frame its work in terms of results achieved</w:t>
      </w:r>
      <w:r w:rsidR="001F55D4" w:rsidRPr="0044118C">
        <w:rPr>
          <w:sz w:val="24"/>
        </w:rPr>
        <w:t>.</w:t>
      </w:r>
    </w:p>
    <w:p w14:paraId="10912E3F" w14:textId="77777777" w:rsidR="008F1FEB" w:rsidRDefault="008F1FEB" w:rsidP="00C17DE2">
      <w:pPr>
        <w:spacing w:before="80" w:after="80" w:line="280" w:lineRule="atLeast"/>
        <w:jc w:val="both"/>
        <w:rPr>
          <w:sz w:val="24"/>
        </w:rPr>
      </w:pPr>
      <w:r w:rsidRPr="00BF4C66">
        <w:rPr>
          <w:sz w:val="24"/>
        </w:rPr>
        <w:t xml:space="preserve">The Caribbean program </w:t>
      </w:r>
      <w:r>
        <w:rPr>
          <w:sz w:val="24"/>
        </w:rPr>
        <w:t xml:space="preserve">relies on critical </w:t>
      </w:r>
      <w:r w:rsidRPr="00BF4C66">
        <w:rPr>
          <w:sz w:val="24"/>
        </w:rPr>
        <w:t>partnerships with Australian</w:t>
      </w:r>
      <w:r w:rsidR="00620D4A">
        <w:rPr>
          <w:sz w:val="24"/>
        </w:rPr>
        <w:t xml:space="preserve"> Government agencies and </w:t>
      </w:r>
      <w:r w:rsidRPr="00BF4C66">
        <w:rPr>
          <w:sz w:val="24"/>
        </w:rPr>
        <w:t>universities</w:t>
      </w:r>
      <w:r w:rsidRPr="00BF4C66">
        <w:rPr>
          <w:rStyle w:val="EndnoteReference"/>
          <w:sz w:val="24"/>
        </w:rPr>
        <w:endnoteReference w:id="18"/>
      </w:r>
      <w:r>
        <w:rPr>
          <w:sz w:val="24"/>
        </w:rPr>
        <w:t xml:space="preserve"> to </w:t>
      </w:r>
      <w:r w:rsidRPr="00BF4C66">
        <w:rPr>
          <w:sz w:val="24"/>
        </w:rPr>
        <w:t xml:space="preserve">help deliver </w:t>
      </w:r>
      <w:r>
        <w:rPr>
          <w:sz w:val="24"/>
        </w:rPr>
        <w:t>aid</w:t>
      </w:r>
      <w:r w:rsidRPr="00BF4C66">
        <w:rPr>
          <w:sz w:val="24"/>
        </w:rPr>
        <w:t xml:space="preserve"> in the</w:t>
      </w:r>
      <w:r>
        <w:rPr>
          <w:sz w:val="24"/>
        </w:rPr>
        <w:t xml:space="preserve"> Caribbean</w:t>
      </w:r>
      <w:r w:rsidRPr="00BF4C66">
        <w:rPr>
          <w:sz w:val="24"/>
        </w:rPr>
        <w:t xml:space="preserve"> region.</w:t>
      </w:r>
      <w:r w:rsidR="007B47CD">
        <w:rPr>
          <w:sz w:val="24"/>
        </w:rPr>
        <w:t xml:space="preserve"> Working through </w:t>
      </w:r>
      <w:r w:rsidR="00DA1477">
        <w:rPr>
          <w:sz w:val="24"/>
        </w:rPr>
        <w:t xml:space="preserve">these </w:t>
      </w:r>
      <w:r w:rsidR="007B47CD">
        <w:rPr>
          <w:sz w:val="24"/>
        </w:rPr>
        <w:t xml:space="preserve">government systems in the provision of direct assistance in operating environments that are less well understood poses higher risks. </w:t>
      </w:r>
    </w:p>
    <w:p w14:paraId="6F545F63" w14:textId="77777777" w:rsidR="00BA223F" w:rsidRDefault="00BA223F" w:rsidP="00C17DE2">
      <w:pPr>
        <w:spacing w:before="80" w:after="80" w:line="280" w:lineRule="atLeast"/>
        <w:jc w:val="both"/>
        <w:rPr>
          <w:sz w:val="24"/>
        </w:rPr>
      </w:pPr>
    </w:p>
    <w:p w14:paraId="10912E40" w14:textId="77777777" w:rsidR="00E04C83" w:rsidRDefault="00E04C83" w:rsidP="00BA223F">
      <w:pPr>
        <w:pStyle w:val="Heading1"/>
      </w:pPr>
      <w:r>
        <w:t>Management Consequences</w:t>
      </w:r>
    </w:p>
    <w:p w14:paraId="10912E41" w14:textId="7211BEFF" w:rsidR="00705131" w:rsidRDefault="001C68C8" w:rsidP="00C17DE2">
      <w:pPr>
        <w:spacing w:before="80" w:after="80" w:line="280" w:lineRule="atLeast"/>
        <w:jc w:val="both"/>
        <w:rPr>
          <w:sz w:val="24"/>
        </w:rPr>
      </w:pPr>
      <w:r>
        <w:rPr>
          <w:sz w:val="24"/>
        </w:rPr>
        <w:t>S</w:t>
      </w:r>
      <w:r w:rsidR="00F94130">
        <w:rPr>
          <w:sz w:val="24"/>
        </w:rPr>
        <w:t>even</w:t>
      </w:r>
      <w:r w:rsidR="009E7A54">
        <w:rPr>
          <w:sz w:val="24"/>
        </w:rPr>
        <w:t xml:space="preserve"> staff in Canberra and Port of Spain manage </w:t>
      </w:r>
      <w:r>
        <w:rPr>
          <w:sz w:val="24"/>
        </w:rPr>
        <w:t xml:space="preserve">a modest (approximately </w:t>
      </w:r>
      <w:r>
        <w:rPr>
          <w:sz w:val="24"/>
        </w:rPr>
        <w:br/>
        <w:t xml:space="preserve">$15 million per year) diverse program with more than </w:t>
      </w:r>
      <w:r w:rsidR="00F17D15">
        <w:rPr>
          <w:sz w:val="24"/>
        </w:rPr>
        <w:t xml:space="preserve">37 activities in </w:t>
      </w:r>
      <w:r w:rsidR="003823F9">
        <w:rPr>
          <w:sz w:val="24"/>
        </w:rPr>
        <w:t>1</w:t>
      </w:r>
      <w:r w:rsidR="00F17D15">
        <w:rPr>
          <w:sz w:val="24"/>
        </w:rPr>
        <w:t>5</w:t>
      </w:r>
      <w:r w:rsidR="009E7A54">
        <w:rPr>
          <w:sz w:val="24"/>
        </w:rPr>
        <w:t xml:space="preserve"> countries. </w:t>
      </w:r>
      <w:r w:rsidR="003E4795">
        <w:rPr>
          <w:sz w:val="24"/>
        </w:rPr>
        <w:t xml:space="preserve">The high number of contracts reflects the </w:t>
      </w:r>
      <w:r w:rsidR="008D5423">
        <w:rPr>
          <w:sz w:val="24"/>
        </w:rPr>
        <w:t>rel</w:t>
      </w:r>
      <w:r w:rsidR="002A36D8">
        <w:rPr>
          <w:sz w:val="24"/>
        </w:rPr>
        <w:t>ative immaturity of the program</w:t>
      </w:r>
      <w:r w:rsidR="008D5423">
        <w:rPr>
          <w:sz w:val="24"/>
        </w:rPr>
        <w:t xml:space="preserve"> and</w:t>
      </w:r>
      <w:r w:rsidR="003E4795">
        <w:rPr>
          <w:sz w:val="24"/>
        </w:rPr>
        <w:t xml:space="preserve"> </w:t>
      </w:r>
      <w:r>
        <w:rPr>
          <w:sz w:val="24"/>
        </w:rPr>
        <w:t>makes</w:t>
      </w:r>
      <w:r w:rsidR="009E7A54">
        <w:rPr>
          <w:sz w:val="24"/>
        </w:rPr>
        <w:t xml:space="preserve"> delivering the program </w:t>
      </w:r>
      <w:r w:rsidR="00073023">
        <w:rPr>
          <w:sz w:val="24"/>
        </w:rPr>
        <w:t>administratively</w:t>
      </w:r>
      <w:r w:rsidR="003E220C">
        <w:rPr>
          <w:sz w:val="24"/>
        </w:rPr>
        <w:t xml:space="preserve"> </w:t>
      </w:r>
      <w:r w:rsidR="00073023">
        <w:rPr>
          <w:sz w:val="24"/>
        </w:rPr>
        <w:t>burdensome</w:t>
      </w:r>
      <w:r w:rsidR="00DF6EF2" w:rsidRPr="00BC39CB">
        <w:rPr>
          <w:sz w:val="24"/>
        </w:rPr>
        <w:t xml:space="preserve">. </w:t>
      </w:r>
      <w:r w:rsidR="009E7A54">
        <w:rPr>
          <w:sz w:val="24"/>
        </w:rPr>
        <w:t xml:space="preserve"> </w:t>
      </w:r>
      <w:r w:rsidR="00DF6EF2" w:rsidRPr="00BC39CB">
        <w:rPr>
          <w:sz w:val="24"/>
        </w:rPr>
        <w:t xml:space="preserve">Staffing </w:t>
      </w:r>
      <w:r w:rsidR="009E7A54">
        <w:rPr>
          <w:sz w:val="24"/>
        </w:rPr>
        <w:t xml:space="preserve">has been </w:t>
      </w:r>
      <w:r w:rsidR="00DF6EF2" w:rsidRPr="00BC39CB">
        <w:rPr>
          <w:sz w:val="24"/>
        </w:rPr>
        <w:t>marginally increase</w:t>
      </w:r>
      <w:r w:rsidR="00705131">
        <w:rPr>
          <w:sz w:val="24"/>
        </w:rPr>
        <w:t xml:space="preserve">d from the previous year </w:t>
      </w:r>
      <w:r w:rsidR="00247A7B">
        <w:rPr>
          <w:sz w:val="24"/>
        </w:rPr>
        <w:t xml:space="preserve">to </w:t>
      </w:r>
      <w:r w:rsidR="00073023">
        <w:rPr>
          <w:sz w:val="24"/>
        </w:rPr>
        <w:t>set</w:t>
      </w:r>
      <w:r w:rsidR="003D7539">
        <w:rPr>
          <w:sz w:val="24"/>
        </w:rPr>
        <w:t xml:space="preserve"> </w:t>
      </w:r>
      <w:r w:rsidR="00073023">
        <w:rPr>
          <w:sz w:val="24"/>
        </w:rPr>
        <w:t xml:space="preserve">up </w:t>
      </w:r>
      <w:r w:rsidR="00A636F4">
        <w:rPr>
          <w:sz w:val="24"/>
        </w:rPr>
        <w:t xml:space="preserve">the </w:t>
      </w:r>
      <w:r w:rsidR="00705131">
        <w:rPr>
          <w:sz w:val="24"/>
        </w:rPr>
        <w:t>Port of Spain</w:t>
      </w:r>
      <w:r w:rsidR="00073023">
        <w:rPr>
          <w:sz w:val="24"/>
        </w:rPr>
        <w:t xml:space="preserve"> Post</w:t>
      </w:r>
      <w:r w:rsidR="00705131">
        <w:rPr>
          <w:sz w:val="24"/>
        </w:rPr>
        <w:t>, and</w:t>
      </w:r>
      <w:r w:rsidR="00DF6EF2" w:rsidRPr="00BC39CB">
        <w:rPr>
          <w:sz w:val="24"/>
        </w:rPr>
        <w:t xml:space="preserve"> additional </w:t>
      </w:r>
      <w:r w:rsidR="00DF6EF2" w:rsidRPr="00DD04A8">
        <w:rPr>
          <w:i/>
          <w:sz w:val="24"/>
        </w:rPr>
        <w:t>ad hoc</w:t>
      </w:r>
      <w:r w:rsidR="00DF6EF2" w:rsidRPr="00BC39CB">
        <w:rPr>
          <w:sz w:val="24"/>
        </w:rPr>
        <w:t xml:space="preserve"> expertise</w:t>
      </w:r>
      <w:r w:rsidR="00705131">
        <w:rPr>
          <w:sz w:val="24"/>
        </w:rPr>
        <w:t xml:space="preserve"> </w:t>
      </w:r>
      <w:r w:rsidR="0015636E">
        <w:rPr>
          <w:sz w:val="24"/>
        </w:rPr>
        <w:t>(</w:t>
      </w:r>
      <w:r w:rsidR="00705131">
        <w:rPr>
          <w:sz w:val="24"/>
        </w:rPr>
        <w:t>AusAID</w:t>
      </w:r>
      <w:r w:rsidR="0015636E">
        <w:rPr>
          <w:sz w:val="24"/>
        </w:rPr>
        <w:t xml:space="preserve"> and other)</w:t>
      </w:r>
      <w:r w:rsidR="00DF6EF2" w:rsidRPr="00BC39CB">
        <w:rPr>
          <w:sz w:val="24"/>
        </w:rPr>
        <w:t xml:space="preserve"> </w:t>
      </w:r>
      <w:r w:rsidR="00705131">
        <w:rPr>
          <w:sz w:val="24"/>
        </w:rPr>
        <w:t>has been</w:t>
      </w:r>
      <w:r w:rsidR="0015636E">
        <w:rPr>
          <w:sz w:val="24"/>
        </w:rPr>
        <w:t xml:space="preserve"> </w:t>
      </w:r>
      <w:r w:rsidR="00073023">
        <w:rPr>
          <w:sz w:val="24"/>
        </w:rPr>
        <w:t>used</w:t>
      </w:r>
      <w:r w:rsidR="00705131">
        <w:rPr>
          <w:sz w:val="24"/>
        </w:rPr>
        <w:t xml:space="preserve"> </w:t>
      </w:r>
      <w:r w:rsidR="00DF6EF2" w:rsidRPr="00BC39CB">
        <w:rPr>
          <w:sz w:val="24"/>
        </w:rPr>
        <w:t xml:space="preserve">during </w:t>
      </w:r>
      <w:r w:rsidR="00073023">
        <w:rPr>
          <w:sz w:val="24"/>
        </w:rPr>
        <w:t>‘</w:t>
      </w:r>
      <w:r w:rsidR="00DF6EF2" w:rsidRPr="00BC39CB">
        <w:rPr>
          <w:sz w:val="24"/>
        </w:rPr>
        <w:t>surge</w:t>
      </w:r>
      <w:r w:rsidR="00073023">
        <w:rPr>
          <w:sz w:val="24"/>
        </w:rPr>
        <w:t>’</w:t>
      </w:r>
      <w:r w:rsidR="00DF6EF2" w:rsidRPr="00BC39CB">
        <w:rPr>
          <w:sz w:val="24"/>
        </w:rPr>
        <w:t xml:space="preserve"> periods.  </w:t>
      </w:r>
    </w:p>
    <w:p w14:paraId="10912E42" w14:textId="77777777" w:rsidR="001C168E" w:rsidRDefault="00247A7B" w:rsidP="001457D9">
      <w:pPr>
        <w:spacing w:before="80" w:after="80" w:line="280" w:lineRule="atLeast"/>
        <w:jc w:val="both"/>
        <w:rPr>
          <w:sz w:val="24"/>
        </w:rPr>
      </w:pPr>
      <w:r>
        <w:rPr>
          <w:sz w:val="24"/>
        </w:rPr>
        <w:t>AusAID</w:t>
      </w:r>
      <w:r w:rsidR="001C68C8">
        <w:rPr>
          <w:sz w:val="24"/>
        </w:rPr>
        <w:t xml:space="preserve"> ha</w:t>
      </w:r>
      <w:r>
        <w:rPr>
          <w:sz w:val="24"/>
        </w:rPr>
        <w:t>s</w:t>
      </w:r>
      <w:r w:rsidR="001C68C8">
        <w:rPr>
          <w:sz w:val="24"/>
        </w:rPr>
        <w:t xml:space="preserve"> been st</w:t>
      </w:r>
      <w:r w:rsidR="00073023">
        <w:rPr>
          <w:sz w:val="24"/>
        </w:rPr>
        <w:t>rategic</w:t>
      </w:r>
      <w:r w:rsidR="00D132B7">
        <w:rPr>
          <w:sz w:val="24"/>
        </w:rPr>
        <w:t xml:space="preserve"> with </w:t>
      </w:r>
      <w:r>
        <w:rPr>
          <w:sz w:val="24"/>
        </w:rPr>
        <w:t>its</w:t>
      </w:r>
      <w:r w:rsidR="00D132B7">
        <w:rPr>
          <w:sz w:val="24"/>
        </w:rPr>
        <w:t xml:space="preserve"> investment</w:t>
      </w:r>
      <w:r w:rsidR="00073023">
        <w:rPr>
          <w:sz w:val="24"/>
        </w:rPr>
        <w:t xml:space="preserve"> by partnering with</w:t>
      </w:r>
      <w:r w:rsidR="001C68C8">
        <w:rPr>
          <w:sz w:val="24"/>
        </w:rPr>
        <w:t xml:space="preserve"> donors and supporting regional institutions.  But most </w:t>
      </w:r>
      <w:r w:rsidR="00DC2404">
        <w:rPr>
          <w:sz w:val="24"/>
        </w:rPr>
        <w:t xml:space="preserve">success will </w:t>
      </w:r>
      <w:r w:rsidR="004D3EB3">
        <w:rPr>
          <w:sz w:val="24"/>
        </w:rPr>
        <w:t xml:space="preserve">depend on </w:t>
      </w:r>
      <w:r w:rsidR="00073023">
        <w:rPr>
          <w:sz w:val="24"/>
        </w:rPr>
        <w:t xml:space="preserve">the </w:t>
      </w:r>
      <w:r w:rsidR="00DC2404">
        <w:rPr>
          <w:sz w:val="24"/>
        </w:rPr>
        <w:t>results of large</w:t>
      </w:r>
      <w:r w:rsidR="004D3EB3">
        <w:rPr>
          <w:sz w:val="24"/>
        </w:rPr>
        <w:t xml:space="preserve"> </w:t>
      </w:r>
      <w:r w:rsidR="00DC2404">
        <w:rPr>
          <w:sz w:val="24"/>
        </w:rPr>
        <w:t>partnerships</w:t>
      </w:r>
      <w:r w:rsidR="009A69EE">
        <w:rPr>
          <w:sz w:val="24"/>
        </w:rPr>
        <w:t xml:space="preserve"> and institutional strengthening</w:t>
      </w:r>
      <w:r w:rsidR="00073023">
        <w:rPr>
          <w:sz w:val="24"/>
        </w:rPr>
        <w:t>,</w:t>
      </w:r>
      <w:r w:rsidR="00AE772B">
        <w:rPr>
          <w:sz w:val="24"/>
        </w:rPr>
        <w:t xml:space="preserve"> which </w:t>
      </w:r>
      <w:r w:rsidR="00073023">
        <w:rPr>
          <w:sz w:val="24"/>
        </w:rPr>
        <w:t>are</w:t>
      </w:r>
      <w:r w:rsidR="009A69EE">
        <w:rPr>
          <w:sz w:val="24"/>
        </w:rPr>
        <w:t xml:space="preserve"> long-term and resource intensive undertaking</w:t>
      </w:r>
      <w:r w:rsidR="00073023">
        <w:rPr>
          <w:sz w:val="24"/>
        </w:rPr>
        <w:t>s</w:t>
      </w:r>
      <w:r w:rsidR="009A69EE">
        <w:rPr>
          <w:sz w:val="24"/>
        </w:rPr>
        <w:t>.</w:t>
      </w:r>
      <w:r w:rsidR="001C168E">
        <w:rPr>
          <w:sz w:val="24"/>
        </w:rPr>
        <w:t xml:space="preserve">  </w:t>
      </w:r>
      <w:r w:rsidR="00D44B7C">
        <w:rPr>
          <w:sz w:val="24"/>
        </w:rPr>
        <w:t>T</w:t>
      </w:r>
      <w:r w:rsidR="009A69EE">
        <w:rPr>
          <w:sz w:val="24"/>
        </w:rPr>
        <w:t>here are</w:t>
      </w:r>
      <w:r w:rsidR="001C168E">
        <w:rPr>
          <w:sz w:val="24"/>
        </w:rPr>
        <w:t xml:space="preserve"> also</w:t>
      </w:r>
      <w:r w:rsidR="00705131">
        <w:rPr>
          <w:sz w:val="24"/>
        </w:rPr>
        <w:t xml:space="preserve"> </w:t>
      </w:r>
      <w:r w:rsidR="00DF6EF2" w:rsidRPr="00BC39CB">
        <w:rPr>
          <w:sz w:val="24"/>
        </w:rPr>
        <w:t xml:space="preserve">limits </w:t>
      </w:r>
      <w:r w:rsidR="00705131">
        <w:rPr>
          <w:sz w:val="24"/>
        </w:rPr>
        <w:t xml:space="preserve">on </w:t>
      </w:r>
      <w:r w:rsidR="001C168E">
        <w:rPr>
          <w:sz w:val="24"/>
        </w:rPr>
        <w:t xml:space="preserve">a small team’s </w:t>
      </w:r>
      <w:r w:rsidR="00073023">
        <w:rPr>
          <w:sz w:val="24"/>
        </w:rPr>
        <w:t xml:space="preserve">ability </w:t>
      </w:r>
      <w:r w:rsidR="00DF6EF2" w:rsidRPr="00BC39CB">
        <w:rPr>
          <w:sz w:val="24"/>
        </w:rPr>
        <w:t xml:space="preserve">to greatly influence or </w:t>
      </w:r>
      <w:r w:rsidR="00705131">
        <w:rPr>
          <w:sz w:val="24"/>
        </w:rPr>
        <w:t xml:space="preserve">deeply </w:t>
      </w:r>
      <w:r w:rsidR="00DF6EF2" w:rsidRPr="00BC39CB">
        <w:rPr>
          <w:sz w:val="24"/>
        </w:rPr>
        <w:t xml:space="preserve">understand </w:t>
      </w:r>
      <w:r w:rsidR="00705131">
        <w:rPr>
          <w:sz w:val="24"/>
        </w:rPr>
        <w:t xml:space="preserve">partners and their activities.  </w:t>
      </w:r>
      <w:r w:rsidR="00705131" w:rsidRPr="00BC39CB">
        <w:rPr>
          <w:sz w:val="24"/>
        </w:rPr>
        <w:t xml:space="preserve">  </w:t>
      </w:r>
    </w:p>
    <w:p w14:paraId="10912E43" w14:textId="77777777" w:rsidR="00DF6EF2" w:rsidRDefault="008D5423" w:rsidP="001457D9">
      <w:pPr>
        <w:spacing w:before="80" w:after="80" w:line="280" w:lineRule="atLeast"/>
        <w:jc w:val="both"/>
        <w:rPr>
          <w:sz w:val="24"/>
        </w:rPr>
      </w:pPr>
      <w:r>
        <w:rPr>
          <w:sz w:val="24"/>
        </w:rPr>
        <w:t>R</w:t>
      </w:r>
      <w:r w:rsidR="00CA31BA">
        <w:rPr>
          <w:sz w:val="24"/>
        </w:rPr>
        <w:t>egular</w:t>
      </w:r>
      <w:r>
        <w:rPr>
          <w:sz w:val="24"/>
        </w:rPr>
        <w:t xml:space="preserve"> </w:t>
      </w:r>
      <w:r w:rsidR="002D01B9">
        <w:rPr>
          <w:sz w:val="24"/>
        </w:rPr>
        <w:t xml:space="preserve">and often face to face </w:t>
      </w:r>
      <w:r w:rsidR="001C168E">
        <w:rPr>
          <w:sz w:val="24"/>
        </w:rPr>
        <w:t>interaction</w:t>
      </w:r>
      <w:r w:rsidR="00CA31BA">
        <w:rPr>
          <w:sz w:val="24"/>
        </w:rPr>
        <w:t xml:space="preserve"> and </w:t>
      </w:r>
      <w:r>
        <w:rPr>
          <w:sz w:val="24"/>
        </w:rPr>
        <w:t xml:space="preserve">deployment of expert </w:t>
      </w:r>
      <w:r w:rsidR="00D44B7C">
        <w:rPr>
          <w:sz w:val="24"/>
        </w:rPr>
        <w:t>resources for supervision and verification</w:t>
      </w:r>
      <w:r w:rsidR="009A69EE">
        <w:rPr>
          <w:sz w:val="24"/>
        </w:rPr>
        <w:t xml:space="preserve"> of these partnerships</w:t>
      </w:r>
      <w:r w:rsidR="00F45F40">
        <w:rPr>
          <w:sz w:val="24"/>
        </w:rPr>
        <w:t xml:space="preserve"> </w:t>
      </w:r>
      <w:r>
        <w:rPr>
          <w:sz w:val="24"/>
        </w:rPr>
        <w:t xml:space="preserve">is vital </w:t>
      </w:r>
      <w:r w:rsidR="00F45F40">
        <w:rPr>
          <w:sz w:val="24"/>
        </w:rPr>
        <w:t>in a region that is large and time</w:t>
      </w:r>
      <w:r w:rsidR="00DA1477">
        <w:rPr>
          <w:sz w:val="24"/>
        </w:rPr>
        <w:t xml:space="preserve"> </w:t>
      </w:r>
      <w:r w:rsidR="00F45F40">
        <w:rPr>
          <w:sz w:val="24"/>
        </w:rPr>
        <w:t>consuming to traverse</w:t>
      </w:r>
      <w:r w:rsidR="00073465">
        <w:rPr>
          <w:sz w:val="24"/>
        </w:rPr>
        <w:t>.</w:t>
      </w:r>
      <w:r w:rsidR="002D2805">
        <w:rPr>
          <w:sz w:val="24"/>
        </w:rPr>
        <w:t xml:space="preserve"> </w:t>
      </w:r>
      <w:r>
        <w:rPr>
          <w:sz w:val="24"/>
        </w:rPr>
        <w:t>I</w:t>
      </w:r>
      <w:r w:rsidR="001C168E">
        <w:rPr>
          <w:sz w:val="24"/>
        </w:rPr>
        <w:t>nnovative</w:t>
      </w:r>
      <w:r w:rsidR="001C168E" w:rsidRPr="001457D9">
        <w:rPr>
          <w:sz w:val="24"/>
        </w:rPr>
        <w:t xml:space="preserve"> ways to manage </w:t>
      </w:r>
      <w:r w:rsidR="001C168E">
        <w:rPr>
          <w:sz w:val="24"/>
        </w:rPr>
        <w:t>delivery</w:t>
      </w:r>
      <w:r w:rsidR="002D2805">
        <w:rPr>
          <w:sz w:val="24"/>
        </w:rPr>
        <w:t xml:space="preserve"> </w:t>
      </w:r>
      <w:r w:rsidR="00574657">
        <w:rPr>
          <w:sz w:val="24"/>
        </w:rPr>
        <w:t>including</w:t>
      </w:r>
      <w:r w:rsidR="002D2805">
        <w:rPr>
          <w:sz w:val="24"/>
        </w:rPr>
        <w:t xml:space="preserve"> building on existing successful programs with partners, targeting high value partnerships where Australia has a comparative advantage such as coral reef management,</w:t>
      </w:r>
      <w:r w:rsidR="001C168E" w:rsidRPr="001457D9">
        <w:rPr>
          <w:sz w:val="24"/>
        </w:rPr>
        <w:t xml:space="preserve"> </w:t>
      </w:r>
      <w:r w:rsidR="001C168E">
        <w:rPr>
          <w:sz w:val="24"/>
        </w:rPr>
        <w:t xml:space="preserve">as well as </w:t>
      </w:r>
      <w:r w:rsidR="002D2805">
        <w:rPr>
          <w:sz w:val="24"/>
        </w:rPr>
        <w:t xml:space="preserve">regularly </w:t>
      </w:r>
      <w:r w:rsidR="001C168E">
        <w:rPr>
          <w:sz w:val="24"/>
        </w:rPr>
        <w:t>access</w:t>
      </w:r>
      <w:r w:rsidR="002D2805">
        <w:rPr>
          <w:sz w:val="24"/>
        </w:rPr>
        <w:t>ing</w:t>
      </w:r>
      <w:r w:rsidR="001C168E">
        <w:rPr>
          <w:sz w:val="24"/>
        </w:rPr>
        <w:t xml:space="preserve"> expertise</w:t>
      </w:r>
      <w:r w:rsidR="001C168E" w:rsidRPr="001457D9">
        <w:rPr>
          <w:sz w:val="24"/>
        </w:rPr>
        <w:t xml:space="preserve"> </w:t>
      </w:r>
      <w:r w:rsidR="001C168E">
        <w:rPr>
          <w:sz w:val="24"/>
        </w:rPr>
        <w:t xml:space="preserve">to </w:t>
      </w:r>
      <w:r>
        <w:rPr>
          <w:sz w:val="24"/>
        </w:rPr>
        <w:t>monitor</w:t>
      </w:r>
      <w:r w:rsidR="001C168E">
        <w:rPr>
          <w:sz w:val="24"/>
        </w:rPr>
        <w:t xml:space="preserve"> </w:t>
      </w:r>
      <w:r>
        <w:rPr>
          <w:sz w:val="24"/>
        </w:rPr>
        <w:t xml:space="preserve">aid </w:t>
      </w:r>
      <w:r w:rsidR="001C168E">
        <w:rPr>
          <w:sz w:val="24"/>
        </w:rPr>
        <w:t>effective</w:t>
      </w:r>
      <w:r>
        <w:rPr>
          <w:sz w:val="24"/>
        </w:rPr>
        <w:t>ness</w:t>
      </w:r>
      <w:r w:rsidR="002A36D8">
        <w:rPr>
          <w:sz w:val="24"/>
        </w:rPr>
        <w:t>,</w:t>
      </w:r>
      <w:r w:rsidR="00574657">
        <w:rPr>
          <w:sz w:val="24"/>
        </w:rPr>
        <w:t xml:space="preserve"> continue to be</w:t>
      </w:r>
      <w:r>
        <w:rPr>
          <w:sz w:val="24"/>
        </w:rPr>
        <w:t xml:space="preserve"> required</w:t>
      </w:r>
      <w:r w:rsidR="001C168E" w:rsidRPr="001457D9">
        <w:rPr>
          <w:sz w:val="24"/>
        </w:rPr>
        <w:t>.</w:t>
      </w:r>
      <w:r w:rsidR="00D93A57">
        <w:rPr>
          <w:sz w:val="24"/>
        </w:rPr>
        <w:t xml:space="preserve"> </w:t>
      </w:r>
      <w:r>
        <w:rPr>
          <w:sz w:val="24"/>
        </w:rPr>
        <w:t>T</w:t>
      </w:r>
      <w:r w:rsidR="009A69EE">
        <w:rPr>
          <w:sz w:val="24"/>
        </w:rPr>
        <w:t xml:space="preserve">he </w:t>
      </w:r>
      <w:r w:rsidR="00F45F40">
        <w:rPr>
          <w:sz w:val="24"/>
        </w:rPr>
        <w:t xml:space="preserve">targeted </w:t>
      </w:r>
      <w:r w:rsidR="009A69EE">
        <w:rPr>
          <w:sz w:val="24"/>
        </w:rPr>
        <w:t xml:space="preserve">use of </w:t>
      </w:r>
      <w:r w:rsidR="00705131">
        <w:rPr>
          <w:sz w:val="24"/>
        </w:rPr>
        <w:t>AusAID</w:t>
      </w:r>
      <w:r w:rsidR="00DF6EF2" w:rsidRPr="00BC39CB">
        <w:rPr>
          <w:sz w:val="24"/>
        </w:rPr>
        <w:t xml:space="preserve"> advisers </w:t>
      </w:r>
      <w:r w:rsidR="00F45F40">
        <w:rPr>
          <w:sz w:val="24"/>
        </w:rPr>
        <w:t>and</w:t>
      </w:r>
      <w:r w:rsidR="00F45F40" w:rsidRPr="00BC39CB">
        <w:rPr>
          <w:sz w:val="24"/>
        </w:rPr>
        <w:t xml:space="preserve"> </w:t>
      </w:r>
      <w:r w:rsidR="00705131">
        <w:rPr>
          <w:sz w:val="24"/>
        </w:rPr>
        <w:t>outside</w:t>
      </w:r>
      <w:r w:rsidR="00DF6EF2" w:rsidRPr="00BC39CB">
        <w:rPr>
          <w:sz w:val="24"/>
        </w:rPr>
        <w:t xml:space="preserve"> expertise </w:t>
      </w:r>
      <w:r w:rsidR="009A69EE">
        <w:rPr>
          <w:sz w:val="24"/>
        </w:rPr>
        <w:t xml:space="preserve">will continue to be </w:t>
      </w:r>
      <w:r w:rsidR="002D2805">
        <w:rPr>
          <w:sz w:val="24"/>
        </w:rPr>
        <w:t xml:space="preserve">crucial, and </w:t>
      </w:r>
      <w:r w:rsidR="00574657">
        <w:rPr>
          <w:sz w:val="24"/>
        </w:rPr>
        <w:t xml:space="preserve">reducing </w:t>
      </w:r>
      <w:r w:rsidR="002D2805">
        <w:rPr>
          <w:sz w:val="24"/>
        </w:rPr>
        <w:t xml:space="preserve">the </w:t>
      </w:r>
      <w:r>
        <w:rPr>
          <w:sz w:val="24"/>
        </w:rPr>
        <w:t xml:space="preserve">number </w:t>
      </w:r>
      <w:r w:rsidR="00853334">
        <w:rPr>
          <w:sz w:val="24"/>
        </w:rPr>
        <w:t xml:space="preserve">of smaller activities will also </w:t>
      </w:r>
      <w:r>
        <w:rPr>
          <w:sz w:val="24"/>
        </w:rPr>
        <w:t xml:space="preserve">be </w:t>
      </w:r>
      <w:r w:rsidR="00574657">
        <w:rPr>
          <w:sz w:val="24"/>
        </w:rPr>
        <w:t>needed</w:t>
      </w:r>
      <w:r w:rsidR="00853334">
        <w:rPr>
          <w:sz w:val="24"/>
        </w:rPr>
        <w:t xml:space="preserve"> to </w:t>
      </w:r>
      <w:r w:rsidR="002D2805">
        <w:rPr>
          <w:sz w:val="24"/>
        </w:rPr>
        <w:t>minimise fragmentation</w:t>
      </w:r>
      <w:r w:rsidR="00853334">
        <w:rPr>
          <w:sz w:val="24"/>
        </w:rPr>
        <w:t>.</w:t>
      </w:r>
    </w:p>
    <w:p w14:paraId="10912E44" w14:textId="77777777" w:rsidR="00073465" w:rsidRDefault="001457D9" w:rsidP="001457D9">
      <w:pPr>
        <w:spacing w:before="80" w:after="80" w:line="280" w:lineRule="atLeast"/>
        <w:jc w:val="both"/>
        <w:rPr>
          <w:sz w:val="24"/>
        </w:rPr>
      </w:pPr>
      <w:r>
        <w:rPr>
          <w:sz w:val="24"/>
        </w:rPr>
        <w:t>With more than 90 per cent of the current $60 million program expected to be disbursed by 2013</w:t>
      </w:r>
      <w:r w:rsidR="00A55FAD">
        <w:rPr>
          <w:sz w:val="24"/>
        </w:rPr>
        <w:t>,</w:t>
      </w:r>
      <w:r>
        <w:rPr>
          <w:sz w:val="24"/>
        </w:rPr>
        <w:t xml:space="preserve"> </w:t>
      </w:r>
      <w:r w:rsidR="00E10FD5">
        <w:rPr>
          <w:sz w:val="24"/>
        </w:rPr>
        <w:t>future</w:t>
      </w:r>
      <w:r w:rsidR="00293FEF">
        <w:rPr>
          <w:sz w:val="24"/>
        </w:rPr>
        <w:t xml:space="preserve"> </w:t>
      </w:r>
      <w:r>
        <w:rPr>
          <w:sz w:val="24"/>
        </w:rPr>
        <w:t xml:space="preserve">programming decisions </w:t>
      </w:r>
      <w:r w:rsidR="003E220C">
        <w:rPr>
          <w:sz w:val="24"/>
        </w:rPr>
        <w:t xml:space="preserve">will need to </w:t>
      </w:r>
      <w:r>
        <w:rPr>
          <w:sz w:val="24"/>
        </w:rPr>
        <w:t xml:space="preserve">be made over the </w:t>
      </w:r>
      <w:r w:rsidR="00980D44">
        <w:rPr>
          <w:sz w:val="24"/>
        </w:rPr>
        <w:t>next 18 months</w:t>
      </w:r>
      <w:r>
        <w:rPr>
          <w:sz w:val="24"/>
        </w:rPr>
        <w:t>.  T</w:t>
      </w:r>
      <w:r w:rsidR="00073465">
        <w:rPr>
          <w:sz w:val="24"/>
        </w:rPr>
        <w:t xml:space="preserve">he </w:t>
      </w:r>
      <w:r w:rsidR="004870F6">
        <w:rPr>
          <w:sz w:val="24"/>
        </w:rPr>
        <w:t>M</w:t>
      </w:r>
      <w:r w:rsidR="00AF1735">
        <w:rPr>
          <w:sz w:val="24"/>
        </w:rPr>
        <w:t>id</w:t>
      </w:r>
      <w:r w:rsidR="004870F6">
        <w:rPr>
          <w:sz w:val="24"/>
        </w:rPr>
        <w:t xml:space="preserve"> T</w:t>
      </w:r>
      <w:r w:rsidR="00AF1735">
        <w:rPr>
          <w:sz w:val="24"/>
        </w:rPr>
        <w:t>erm</w:t>
      </w:r>
      <w:r w:rsidR="00073465">
        <w:rPr>
          <w:sz w:val="24"/>
        </w:rPr>
        <w:t xml:space="preserve"> </w:t>
      </w:r>
      <w:r w:rsidR="004870F6">
        <w:rPr>
          <w:sz w:val="24"/>
        </w:rPr>
        <w:t>R</w:t>
      </w:r>
      <w:r w:rsidR="00073465">
        <w:rPr>
          <w:sz w:val="24"/>
        </w:rPr>
        <w:t xml:space="preserve">eview </w:t>
      </w:r>
      <w:r w:rsidR="00DA1477">
        <w:rPr>
          <w:sz w:val="24"/>
        </w:rPr>
        <w:t xml:space="preserve">(MTR) </w:t>
      </w:r>
      <w:r w:rsidR="00073465">
        <w:rPr>
          <w:sz w:val="24"/>
        </w:rPr>
        <w:t xml:space="preserve">of the program </w:t>
      </w:r>
      <w:r w:rsidR="00980D44">
        <w:rPr>
          <w:sz w:val="24"/>
        </w:rPr>
        <w:t xml:space="preserve">will </w:t>
      </w:r>
      <w:r w:rsidR="00ED13A2">
        <w:rPr>
          <w:sz w:val="24"/>
        </w:rPr>
        <w:t>inform this process</w:t>
      </w:r>
      <w:r w:rsidR="00D93A57">
        <w:rPr>
          <w:sz w:val="24"/>
        </w:rPr>
        <w:t xml:space="preserve">.  </w:t>
      </w:r>
    </w:p>
    <w:p w14:paraId="10912E45" w14:textId="77777777" w:rsidR="00853334" w:rsidRDefault="00D540B2" w:rsidP="00F94130">
      <w:pPr>
        <w:spacing w:before="80" w:after="80" w:line="280" w:lineRule="atLeast"/>
        <w:jc w:val="both"/>
        <w:rPr>
          <w:sz w:val="24"/>
        </w:rPr>
      </w:pPr>
      <w:r w:rsidRPr="00BF4C66">
        <w:rPr>
          <w:sz w:val="24"/>
        </w:rPr>
        <w:t xml:space="preserve">Delivering aid to </w:t>
      </w:r>
      <w:r w:rsidR="001F6F82" w:rsidRPr="00BF4C66">
        <w:rPr>
          <w:sz w:val="24"/>
        </w:rPr>
        <w:t xml:space="preserve">Cuba and </w:t>
      </w:r>
      <w:r w:rsidR="00853334" w:rsidRPr="00BF4C66">
        <w:rPr>
          <w:sz w:val="24"/>
        </w:rPr>
        <w:t xml:space="preserve">the </w:t>
      </w:r>
      <w:r w:rsidR="001F6F82" w:rsidRPr="00BF4C66">
        <w:rPr>
          <w:sz w:val="24"/>
        </w:rPr>
        <w:t xml:space="preserve">Dominican Republic has been challenging because </w:t>
      </w:r>
      <w:r w:rsidR="00853334" w:rsidRPr="00BF4C66">
        <w:rPr>
          <w:sz w:val="24"/>
        </w:rPr>
        <w:t>they</w:t>
      </w:r>
      <w:r w:rsidR="004E6667" w:rsidRPr="00BF4C66">
        <w:rPr>
          <w:sz w:val="24"/>
        </w:rPr>
        <w:t xml:space="preserve"> are</w:t>
      </w:r>
      <w:r w:rsidR="001F6F82" w:rsidRPr="00BF4C66">
        <w:rPr>
          <w:sz w:val="24"/>
        </w:rPr>
        <w:t xml:space="preserve"> not members of CARICOM, are Spanish speaking and diplomatic relations are </w:t>
      </w:r>
      <w:r w:rsidR="001F6F82" w:rsidRPr="003D7539">
        <w:rPr>
          <w:sz w:val="24"/>
        </w:rPr>
        <w:t>managed from Mexico City</w:t>
      </w:r>
      <w:r w:rsidRPr="003D7539">
        <w:rPr>
          <w:sz w:val="24"/>
        </w:rPr>
        <w:t xml:space="preserve"> Post</w:t>
      </w:r>
      <w:r w:rsidR="001F6F82" w:rsidRPr="003D7539">
        <w:rPr>
          <w:sz w:val="24"/>
        </w:rPr>
        <w:t xml:space="preserve">.  </w:t>
      </w:r>
      <w:r w:rsidR="00FA79C0">
        <w:rPr>
          <w:sz w:val="24"/>
        </w:rPr>
        <w:t>For example, good</w:t>
      </w:r>
      <w:r w:rsidR="001F6F82" w:rsidRPr="003D7539">
        <w:rPr>
          <w:sz w:val="24"/>
        </w:rPr>
        <w:t xml:space="preserve"> communication</w:t>
      </w:r>
      <w:r w:rsidRPr="003D7539">
        <w:rPr>
          <w:sz w:val="24"/>
        </w:rPr>
        <w:t xml:space="preserve"> </w:t>
      </w:r>
      <w:r w:rsidR="002B524D" w:rsidRPr="003D7539">
        <w:rPr>
          <w:sz w:val="24"/>
        </w:rPr>
        <w:t>between AusAID and DFAT</w:t>
      </w:r>
      <w:r w:rsidR="00444F12" w:rsidRPr="003D7539">
        <w:rPr>
          <w:sz w:val="24"/>
        </w:rPr>
        <w:t xml:space="preserve"> </w:t>
      </w:r>
      <w:r w:rsidR="00553CCD" w:rsidRPr="003D7539">
        <w:rPr>
          <w:sz w:val="24"/>
        </w:rPr>
        <w:t>(Canberra and Mexico City)</w:t>
      </w:r>
      <w:r w:rsidR="00444F12" w:rsidRPr="003D7539">
        <w:rPr>
          <w:sz w:val="24"/>
        </w:rPr>
        <w:t xml:space="preserve"> as key interlocutors</w:t>
      </w:r>
      <w:r w:rsidR="002B524D" w:rsidRPr="003D7539">
        <w:rPr>
          <w:sz w:val="24"/>
        </w:rPr>
        <w:t xml:space="preserve"> </w:t>
      </w:r>
      <w:r w:rsidR="00444F12" w:rsidRPr="003D7539">
        <w:rPr>
          <w:sz w:val="24"/>
        </w:rPr>
        <w:t xml:space="preserve">with the Cuban Government </w:t>
      </w:r>
      <w:r w:rsidR="002B524D" w:rsidRPr="003D7539">
        <w:rPr>
          <w:sz w:val="24"/>
        </w:rPr>
        <w:t>will</w:t>
      </w:r>
      <w:r w:rsidR="002B524D" w:rsidRPr="00BF4C66">
        <w:rPr>
          <w:sz w:val="24"/>
        </w:rPr>
        <w:t xml:space="preserve"> be particularly vital to</w:t>
      </w:r>
      <w:r w:rsidR="00BF4C66" w:rsidRPr="00BF4C66">
        <w:rPr>
          <w:sz w:val="24"/>
        </w:rPr>
        <w:t xml:space="preserve"> Australia’s</w:t>
      </w:r>
      <w:r w:rsidR="001F6F82" w:rsidRPr="00BF4C66">
        <w:rPr>
          <w:sz w:val="24"/>
        </w:rPr>
        <w:t xml:space="preserve"> cooperation </w:t>
      </w:r>
      <w:r w:rsidR="004E6667" w:rsidRPr="00BF4C66">
        <w:rPr>
          <w:sz w:val="24"/>
        </w:rPr>
        <w:t xml:space="preserve">with Cuba </w:t>
      </w:r>
      <w:r w:rsidR="00BF4C66" w:rsidRPr="00BF4C66">
        <w:rPr>
          <w:sz w:val="24"/>
        </w:rPr>
        <w:t>to improv</w:t>
      </w:r>
      <w:r w:rsidR="00913198">
        <w:rPr>
          <w:sz w:val="24"/>
        </w:rPr>
        <w:t>e</w:t>
      </w:r>
      <w:r w:rsidR="00BF4C66" w:rsidRPr="00BF4C66">
        <w:rPr>
          <w:sz w:val="24"/>
        </w:rPr>
        <w:t xml:space="preserve"> health services </w:t>
      </w:r>
      <w:r w:rsidR="001F6F82" w:rsidRPr="00BF4C66">
        <w:rPr>
          <w:sz w:val="24"/>
        </w:rPr>
        <w:t>in the Pacific.</w:t>
      </w:r>
    </w:p>
    <w:p w14:paraId="10912E46" w14:textId="77777777" w:rsidR="008D5423" w:rsidRDefault="008D5423" w:rsidP="008D5423">
      <w:pPr>
        <w:spacing w:before="80" w:after="80" w:line="280" w:lineRule="atLeast"/>
        <w:jc w:val="both"/>
        <w:rPr>
          <w:sz w:val="24"/>
        </w:rPr>
      </w:pPr>
      <w:r>
        <w:rPr>
          <w:sz w:val="24"/>
        </w:rPr>
        <w:t>More</w:t>
      </w:r>
      <w:r w:rsidRPr="00BC39CB">
        <w:rPr>
          <w:sz w:val="24"/>
        </w:rPr>
        <w:t xml:space="preserve"> </w:t>
      </w:r>
      <w:r>
        <w:rPr>
          <w:sz w:val="24"/>
        </w:rPr>
        <w:t>training</w:t>
      </w:r>
      <w:r w:rsidRPr="00BC39CB">
        <w:rPr>
          <w:sz w:val="24"/>
        </w:rPr>
        <w:t xml:space="preserve"> </w:t>
      </w:r>
      <w:r>
        <w:rPr>
          <w:sz w:val="24"/>
        </w:rPr>
        <w:t xml:space="preserve">is needed to further improve program management and supervision.  With AusAID’s Caribbean Post now established, opportunities exist to refine roles and responsibilities </w:t>
      </w:r>
      <w:r w:rsidR="003E220C">
        <w:rPr>
          <w:sz w:val="24"/>
        </w:rPr>
        <w:t xml:space="preserve">within the program team. </w:t>
      </w:r>
    </w:p>
    <w:p w14:paraId="10912E47" w14:textId="77777777" w:rsidR="008D5423" w:rsidRDefault="00247A7B" w:rsidP="00F94130">
      <w:pPr>
        <w:spacing w:before="80" w:after="80" w:line="280" w:lineRule="atLeast"/>
        <w:jc w:val="both"/>
        <w:rPr>
          <w:sz w:val="24"/>
        </w:rPr>
      </w:pPr>
      <w:r>
        <w:rPr>
          <w:sz w:val="24"/>
        </w:rPr>
        <w:t>Nearly all of the mana</w:t>
      </w:r>
      <w:r w:rsidR="003E220C">
        <w:rPr>
          <w:sz w:val="24"/>
        </w:rPr>
        <w:t xml:space="preserve">gement consequences actions outlined in the </w:t>
      </w:r>
      <w:r>
        <w:rPr>
          <w:sz w:val="24"/>
        </w:rPr>
        <w:t>201</w:t>
      </w:r>
      <w:r w:rsidR="003E220C">
        <w:rPr>
          <w:sz w:val="24"/>
        </w:rPr>
        <w:t>0 Annual Program Performance Report</w:t>
      </w:r>
      <w:r>
        <w:rPr>
          <w:sz w:val="24"/>
        </w:rPr>
        <w:t xml:space="preserve"> were met or partially met (see Annex B).  </w:t>
      </w:r>
      <w:r w:rsidR="008D5423" w:rsidRPr="00C8754A">
        <w:rPr>
          <w:sz w:val="24"/>
        </w:rPr>
        <w:t>Management actions arising</w:t>
      </w:r>
      <w:r>
        <w:rPr>
          <w:sz w:val="24"/>
        </w:rPr>
        <w:t xml:space="preserve"> for </w:t>
      </w:r>
      <w:r w:rsidR="003E220C">
        <w:rPr>
          <w:sz w:val="24"/>
        </w:rPr>
        <w:t>this year’s report are</w:t>
      </w:r>
      <w:r w:rsidR="008D5423" w:rsidRPr="00C8754A">
        <w:rPr>
          <w:sz w:val="24"/>
        </w:rPr>
        <w:t>:</w:t>
      </w:r>
    </w:p>
    <w:p w14:paraId="10912E48" w14:textId="77777777" w:rsidR="008D5423" w:rsidRDefault="008D5423" w:rsidP="00036C8B">
      <w:pPr>
        <w:numPr>
          <w:ilvl w:val="0"/>
          <w:numId w:val="46"/>
        </w:numPr>
        <w:spacing w:before="80" w:after="80" w:line="280" w:lineRule="atLeast"/>
        <w:jc w:val="both"/>
        <w:rPr>
          <w:sz w:val="24"/>
        </w:rPr>
      </w:pPr>
      <w:r>
        <w:rPr>
          <w:sz w:val="24"/>
        </w:rPr>
        <w:t>Finalise P</w:t>
      </w:r>
      <w:r w:rsidR="00FF196D">
        <w:rPr>
          <w:sz w:val="24"/>
        </w:rPr>
        <w:t xml:space="preserve">erformance </w:t>
      </w:r>
      <w:r>
        <w:rPr>
          <w:sz w:val="24"/>
        </w:rPr>
        <w:t>A</w:t>
      </w:r>
      <w:r w:rsidR="00FF196D">
        <w:rPr>
          <w:sz w:val="24"/>
        </w:rPr>
        <w:t>ssessment Framework</w:t>
      </w:r>
      <w:r w:rsidR="00A30B8A">
        <w:rPr>
          <w:sz w:val="24"/>
        </w:rPr>
        <w:t xml:space="preserve"> – to help improve the collection and assessment of development results in line with </w:t>
      </w:r>
      <w:r w:rsidR="000E779A">
        <w:rPr>
          <w:sz w:val="24"/>
        </w:rPr>
        <w:t xml:space="preserve">the </w:t>
      </w:r>
      <w:r w:rsidR="00A30B8A">
        <w:rPr>
          <w:sz w:val="24"/>
        </w:rPr>
        <w:t xml:space="preserve">AusAID </w:t>
      </w:r>
      <w:r w:rsidR="000E779A">
        <w:rPr>
          <w:sz w:val="24"/>
        </w:rPr>
        <w:t xml:space="preserve">CAPF and </w:t>
      </w:r>
      <w:r w:rsidR="00A30B8A">
        <w:rPr>
          <w:sz w:val="24"/>
        </w:rPr>
        <w:t>quality processes</w:t>
      </w:r>
      <w:r w:rsidR="00DA1477">
        <w:rPr>
          <w:sz w:val="24"/>
        </w:rPr>
        <w:t>.</w:t>
      </w:r>
    </w:p>
    <w:p w14:paraId="10912E49" w14:textId="77777777" w:rsidR="008D5423" w:rsidRDefault="008D5423" w:rsidP="00036C8B">
      <w:pPr>
        <w:numPr>
          <w:ilvl w:val="0"/>
          <w:numId w:val="46"/>
        </w:numPr>
        <w:spacing w:before="80" w:after="80" w:line="280" w:lineRule="atLeast"/>
        <w:jc w:val="both"/>
        <w:rPr>
          <w:sz w:val="24"/>
        </w:rPr>
      </w:pPr>
      <w:r>
        <w:rPr>
          <w:sz w:val="24"/>
        </w:rPr>
        <w:t xml:space="preserve">Undertake the </w:t>
      </w:r>
      <w:r w:rsidR="00A636F4">
        <w:rPr>
          <w:sz w:val="24"/>
        </w:rPr>
        <w:t>MTR</w:t>
      </w:r>
      <w:r w:rsidR="00357D3F">
        <w:rPr>
          <w:sz w:val="24"/>
        </w:rPr>
        <w:t xml:space="preserve"> of the Caribbean program</w:t>
      </w:r>
      <w:r w:rsidR="00C02C56">
        <w:rPr>
          <w:sz w:val="24"/>
        </w:rPr>
        <w:t xml:space="preserve"> – </w:t>
      </w:r>
      <w:r w:rsidR="003721B8">
        <w:rPr>
          <w:sz w:val="24"/>
        </w:rPr>
        <w:t xml:space="preserve">a formal </w:t>
      </w:r>
      <w:r w:rsidR="00357D3F">
        <w:rPr>
          <w:sz w:val="24"/>
        </w:rPr>
        <w:t>evaluation with CARICOM to assess current performance</w:t>
      </w:r>
      <w:r w:rsidR="00C02C56">
        <w:rPr>
          <w:sz w:val="24"/>
        </w:rPr>
        <w:t>.</w:t>
      </w:r>
    </w:p>
    <w:p w14:paraId="10912E4A" w14:textId="77777777" w:rsidR="003D7539" w:rsidRDefault="003D7539" w:rsidP="00036C8B">
      <w:pPr>
        <w:numPr>
          <w:ilvl w:val="0"/>
          <w:numId w:val="46"/>
        </w:numPr>
        <w:spacing w:before="80" w:after="80" w:line="280" w:lineRule="atLeast"/>
        <w:jc w:val="both"/>
        <w:rPr>
          <w:sz w:val="24"/>
        </w:rPr>
      </w:pPr>
      <w:r>
        <w:rPr>
          <w:sz w:val="24"/>
        </w:rPr>
        <w:t>Review the efficiency of the Caribbean Australia Awards program including the promotion and selection process, and resource requirements.</w:t>
      </w:r>
    </w:p>
    <w:p w14:paraId="10912E4B" w14:textId="77777777" w:rsidR="007B47CD" w:rsidRDefault="000E779A" w:rsidP="00036C8B">
      <w:pPr>
        <w:numPr>
          <w:ilvl w:val="0"/>
          <w:numId w:val="46"/>
        </w:numPr>
        <w:spacing w:before="80" w:after="80" w:line="280" w:lineRule="atLeast"/>
        <w:jc w:val="both"/>
        <w:rPr>
          <w:sz w:val="24"/>
        </w:rPr>
      </w:pPr>
      <w:r>
        <w:rPr>
          <w:sz w:val="24"/>
        </w:rPr>
        <w:t xml:space="preserve">Identify and update risks to the program including obtaining </w:t>
      </w:r>
      <w:r w:rsidR="007B47CD">
        <w:rPr>
          <w:sz w:val="24"/>
        </w:rPr>
        <w:t>a better understanding of our partners’ risks and how risks may impact on achievement of objectives.</w:t>
      </w:r>
    </w:p>
    <w:p w14:paraId="10912E4C" w14:textId="77777777" w:rsidR="00E4377D" w:rsidRDefault="00E4377D" w:rsidP="00036C8B">
      <w:pPr>
        <w:numPr>
          <w:ilvl w:val="0"/>
          <w:numId w:val="46"/>
        </w:numPr>
        <w:spacing w:before="80" w:after="80" w:line="280" w:lineRule="atLeast"/>
        <w:jc w:val="both"/>
        <w:rPr>
          <w:sz w:val="24"/>
        </w:rPr>
      </w:pPr>
      <w:r>
        <w:rPr>
          <w:sz w:val="24"/>
        </w:rPr>
        <w:t>Complete the program’s operational architecture</w:t>
      </w:r>
      <w:r w:rsidR="00DA1477">
        <w:rPr>
          <w:sz w:val="24"/>
        </w:rPr>
        <w:t>,</w:t>
      </w:r>
      <w:r w:rsidR="00574657">
        <w:rPr>
          <w:sz w:val="24"/>
        </w:rPr>
        <w:t xml:space="preserve"> </w:t>
      </w:r>
      <w:r w:rsidR="006A444A">
        <w:rPr>
          <w:sz w:val="24"/>
        </w:rPr>
        <w:t>including a</w:t>
      </w:r>
      <w:r w:rsidR="00574657">
        <w:rPr>
          <w:sz w:val="24"/>
        </w:rPr>
        <w:t xml:space="preserve"> regional program strategy</w:t>
      </w:r>
      <w:r>
        <w:rPr>
          <w:sz w:val="24"/>
        </w:rPr>
        <w:t>, ensuring it is in place by mid 2013.</w:t>
      </w:r>
    </w:p>
    <w:p w14:paraId="10912E4D" w14:textId="77777777" w:rsidR="008D5423" w:rsidRDefault="00CB6566" w:rsidP="00036C8B">
      <w:pPr>
        <w:numPr>
          <w:ilvl w:val="0"/>
          <w:numId w:val="46"/>
        </w:numPr>
        <w:spacing w:before="80" w:after="80" w:line="280" w:lineRule="atLeast"/>
        <w:jc w:val="both"/>
        <w:rPr>
          <w:sz w:val="24"/>
        </w:rPr>
      </w:pPr>
      <w:r>
        <w:rPr>
          <w:sz w:val="24"/>
        </w:rPr>
        <w:t>Rationalis</w:t>
      </w:r>
      <w:r w:rsidR="003E220C">
        <w:rPr>
          <w:sz w:val="24"/>
        </w:rPr>
        <w:t>e</w:t>
      </w:r>
      <w:r>
        <w:rPr>
          <w:sz w:val="24"/>
        </w:rPr>
        <w:t xml:space="preserve"> and </w:t>
      </w:r>
      <w:r w:rsidR="003E220C">
        <w:rPr>
          <w:sz w:val="24"/>
        </w:rPr>
        <w:t>consol</w:t>
      </w:r>
      <w:r w:rsidR="00887D91">
        <w:rPr>
          <w:sz w:val="24"/>
        </w:rPr>
        <w:t>idate</w:t>
      </w:r>
      <w:r w:rsidR="003E220C">
        <w:rPr>
          <w:sz w:val="24"/>
        </w:rPr>
        <w:t xml:space="preserve"> </w:t>
      </w:r>
      <w:r w:rsidR="002A36D8">
        <w:rPr>
          <w:sz w:val="24"/>
        </w:rPr>
        <w:t>activities, including</w:t>
      </w:r>
      <w:r w:rsidR="004161FD">
        <w:rPr>
          <w:sz w:val="24"/>
        </w:rPr>
        <w:t xml:space="preserve"> small direct assistance activities</w:t>
      </w:r>
      <w:r w:rsidR="00DA1477">
        <w:rPr>
          <w:sz w:val="24"/>
        </w:rPr>
        <w:t>,</w:t>
      </w:r>
      <w:r>
        <w:rPr>
          <w:sz w:val="24"/>
        </w:rPr>
        <w:t xml:space="preserve"> </w:t>
      </w:r>
      <w:r w:rsidR="00DA1477">
        <w:rPr>
          <w:sz w:val="24"/>
        </w:rPr>
        <w:t>to</w:t>
      </w:r>
      <w:r w:rsidR="004161FD">
        <w:rPr>
          <w:sz w:val="24"/>
        </w:rPr>
        <w:t xml:space="preserve"> develop a plan and set indicative targets for the number </w:t>
      </w:r>
      <w:r w:rsidR="00C02C56">
        <w:rPr>
          <w:sz w:val="24"/>
        </w:rPr>
        <w:t>of activities to be reduced.</w:t>
      </w:r>
    </w:p>
    <w:p w14:paraId="10912E4E" w14:textId="77777777" w:rsidR="005E5B4A" w:rsidRPr="00991303" w:rsidRDefault="00A636F4" w:rsidP="005E5B4A">
      <w:pPr>
        <w:numPr>
          <w:ilvl w:val="0"/>
          <w:numId w:val="46"/>
        </w:numPr>
        <w:spacing w:before="80" w:after="80" w:line="280" w:lineRule="atLeast"/>
        <w:jc w:val="both"/>
        <w:rPr>
          <w:sz w:val="24"/>
        </w:rPr>
      </w:pPr>
      <w:r>
        <w:rPr>
          <w:sz w:val="24"/>
        </w:rPr>
        <w:t xml:space="preserve">Refine roles between Desk and Post to work more effectively, including </w:t>
      </w:r>
      <w:r w:rsidR="003E220C">
        <w:rPr>
          <w:sz w:val="24"/>
        </w:rPr>
        <w:t>developing</w:t>
      </w:r>
      <w:r w:rsidR="008D5423">
        <w:rPr>
          <w:sz w:val="24"/>
        </w:rPr>
        <w:t xml:space="preserve"> staff expertise in monitoring and </w:t>
      </w:r>
      <w:r w:rsidR="003E220C">
        <w:rPr>
          <w:sz w:val="24"/>
        </w:rPr>
        <w:t>supervision</w:t>
      </w:r>
      <w:r w:rsidR="005E5B4A">
        <w:rPr>
          <w:sz w:val="24"/>
        </w:rPr>
        <w:t xml:space="preserve">. </w:t>
      </w:r>
      <w:r w:rsidR="005E5B4A" w:rsidRPr="00991303">
        <w:rPr>
          <w:sz w:val="24"/>
        </w:rPr>
        <w:t xml:space="preserve">Continue to look for innovative </w:t>
      </w:r>
      <w:r w:rsidR="005E5B4A">
        <w:rPr>
          <w:sz w:val="24"/>
        </w:rPr>
        <w:t xml:space="preserve">and non-face to face </w:t>
      </w:r>
      <w:r w:rsidR="005E5B4A" w:rsidRPr="00991303">
        <w:rPr>
          <w:sz w:val="24"/>
        </w:rPr>
        <w:t>ways to monitor activity progress remotely</w:t>
      </w:r>
      <w:r w:rsidR="005E5B4A">
        <w:rPr>
          <w:sz w:val="24"/>
        </w:rPr>
        <w:t xml:space="preserve"> such as making better use of the reporting of trusted partners, AusAID adviser and external expertise.</w:t>
      </w:r>
    </w:p>
    <w:p w14:paraId="10912E4F" w14:textId="77777777" w:rsidR="00FF196D" w:rsidRDefault="003E220C" w:rsidP="00036C8B">
      <w:pPr>
        <w:numPr>
          <w:ilvl w:val="0"/>
          <w:numId w:val="46"/>
        </w:numPr>
        <w:spacing w:before="80" w:after="80" w:line="280" w:lineRule="atLeast"/>
        <w:jc w:val="both"/>
        <w:rPr>
          <w:sz w:val="24"/>
        </w:rPr>
      </w:pPr>
      <w:r>
        <w:rPr>
          <w:sz w:val="24"/>
        </w:rPr>
        <w:t>Explicitly address g</w:t>
      </w:r>
      <w:r w:rsidR="00FF196D">
        <w:rPr>
          <w:sz w:val="24"/>
        </w:rPr>
        <w:t xml:space="preserve">ender equality and disability </w:t>
      </w:r>
      <w:r w:rsidR="00627E9C">
        <w:rPr>
          <w:sz w:val="24"/>
        </w:rPr>
        <w:t>within</w:t>
      </w:r>
      <w:r w:rsidR="005E5B4A">
        <w:rPr>
          <w:sz w:val="24"/>
        </w:rPr>
        <w:t xml:space="preserve"> the program, </w:t>
      </w:r>
      <w:r w:rsidR="00627E9C">
        <w:rPr>
          <w:sz w:val="24"/>
        </w:rPr>
        <w:t>being selective to ensure</w:t>
      </w:r>
      <w:r w:rsidR="005E5B4A">
        <w:rPr>
          <w:sz w:val="24"/>
        </w:rPr>
        <w:t xml:space="preserve"> impact</w:t>
      </w:r>
      <w:r w:rsidR="00FF196D">
        <w:rPr>
          <w:sz w:val="24"/>
        </w:rPr>
        <w:t>.</w:t>
      </w:r>
      <w:r w:rsidR="00D91B3E">
        <w:rPr>
          <w:sz w:val="24"/>
        </w:rPr>
        <w:t xml:space="preserve">  Identify ways to do this during the </w:t>
      </w:r>
      <w:r w:rsidR="00DA1477">
        <w:rPr>
          <w:sz w:val="24"/>
        </w:rPr>
        <w:t>MTR</w:t>
      </w:r>
      <w:r w:rsidR="005E5B4A">
        <w:rPr>
          <w:sz w:val="24"/>
        </w:rPr>
        <w:t xml:space="preserve"> and in future programming.</w:t>
      </w:r>
    </w:p>
    <w:p w14:paraId="10912E50" w14:textId="77777777" w:rsidR="00D702D4" w:rsidRPr="00C02C56" w:rsidRDefault="00D702D4" w:rsidP="00036C8B">
      <w:pPr>
        <w:numPr>
          <w:ilvl w:val="0"/>
          <w:numId w:val="46"/>
        </w:numPr>
        <w:spacing w:before="80" w:after="80" w:line="280" w:lineRule="atLeast"/>
        <w:jc w:val="both"/>
        <w:rPr>
          <w:sz w:val="24"/>
        </w:rPr>
      </w:pPr>
      <w:r w:rsidRPr="00C02C56">
        <w:rPr>
          <w:sz w:val="24"/>
        </w:rPr>
        <w:t>Regularis</w:t>
      </w:r>
      <w:r w:rsidR="00E4377D" w:rsidRPr="00C02C56">
        <w:rPr>
          <w:sz w:val="24"/>
        </w:rPr>
        <w:t>e</w:t>
      </w:r>
      <w:r w:rsidR="006A444A">
        <w:rPr>
          <w:sz w:val="24"/>
        </w:rPr>
        <w:t xml:space="preserve"> and streamline</w:t>
      </w:r>
      <w:r w:rsidRPr="00C02C56">
        <w:rPr>
          <w:sz w:val="24"/>
        </w:rPr>
        <w:t xml:space="preserve"> consultations with partners</w:t>
      </w:r>
      <w:r w:rsidR="00DA1477">
        <w:rPr>
          <w:sz w:val="24"/>
        </w:rPr>
        <w:t>,</w:t>
      </w:r>
      <w:r w:rsidR="00887D91">
        <w:rPr>
          <w:sz w:val="24"/>
        </w:rPr>
        <w:t xml:space="preserve"> CARICOM S</w:t>
      </w:r>
      <w:r w:rsidR="00D91B3E">
        <w:rPr>
          <w:sz w:val="24"/>
        </w:rPr>
        <w:t>ecretariat and key donors</w:t>
      </w:r>
      <w:r w:rsidRPr="00C02C56">
        <w:rPr>
          <w:sz w:val="24"/>
        </w:rPr>
        <w:t xml:space="preserve"> and disseminat</w:t>
      </w:r>
      <w:r w:rsidR="00E4377D" w:rsidRPr="00C02C56">
        <w:rPr>
          <w:sz w:val="24"/>
        </w:rPr>
        <w:t>e</w:t>
      </w:r>
      <w:r w:rsidRPr="00C02C56">
        <w:rPr>
          <w:sz w:val="24"/>
        </w:rPr>
        <w:t xml:space="preserve"> information.</w:t>
      </w:r>
    </w:p>
    <w:p w14:paraId="10912E51" w14:textId="77777777" w:rsidR="00C02C56" w:rsidRDefault="00C02C56" w:rsidP="00036C8B">
      <w:pPr>
        <w:numPr>
          <w:ilvl w:val="0"/>
          <w:numId w:val="46"/>
        </w:numPr>
        <w:spacing w:before="80" w:after="80" w:line="280" w:lineRule="atLeast"/>
        <w:jc w:val="both"/>
        <w:rPr>
          <w:sz w:val="24"/>
        </w:rPr>
      </w:pPr>
      <w:r w:rsidRPr="00C02C56">
        <w:rPr>
          <w:sz w:val="24"/>
        </w:rPr>
        <w:t>Maintain</w:t>
      </w:r>
      <w:r w:rsidR="00574657">
        <w:rPr>
          <w:sz w:val="24"/>
        </w:rPr>
        <w:t xml:space="preserve"> working relationships</w:t>
      </w:r>
      <w:r w:rsidRPr="00C02C56">
        <w:rPr>
          <w:sz w:val="24"/>
        </w:rPr>
        <w:t xml:space="preserve"> </w:t>
      </w:r>
      <w:r w:rsidR="00A30B8A">
        <w:rPr>
          <w:sz w:val="24"/>
        </w:rPr>
        <w:t xml:space="preserve">between Caribbean and </w:t>
      </w:r>
      <w:r w:rsidR="006A444A">
        <w:rPr>
          <w:sz w:val="24"/>
        </w:rPr>
        <w:t>Pacific</w:t>
      </w:r>
      <w:r w:rsidR="00A30B8A">
        <w:rPr>
          <w:sz w:val="24"/>
        </w:rPr>
        <w:t xml:space="preserve"> program areas</w:t>
      </w:r>
      <w:r w:rsidR="006A444A">
        <w:rPr>
          <w:sz w:val="24"/>
        </w:rPr>
        <w:t xml:space="preserve"> </w:t>
      </w:r>
      <w:r w:rsidR="00A30B8A">
        <w:rPr>
          <w:sz w:val="24"/>
        </w:rPr>
        <w:t>to exchange information and continue to help build stronger the links between both regions which are considered as SIDS</w:t>
      </w:r>
      <w:r>
        <w:rPr>
          <w:sz w:val="24"/>
        </w:rPr>
        <w:t>.</w:t>
      </w:r>
    </w:p>
    <w:p w14:paraId="10912E52" w14:textId="77777777" w:rsidR="00C02C56" w:rsidRPr="000E779A" w:rsidRDefault="00FA79C0" w:rsidP="000E779A">
      <w:pPr>
        <w:numPr>
          <w:ilvl w:val="0"/>
          <w:numId w:val="46"/>
        </w:numPr>
        <w:spacing w:before="80" w:after="80" w:line="280" w:lineRule="atLeast"/>
        <w:jc w:val="both"/>
        <w:rPr>
          <w:sz w:val="24"/>
        </w:rPr>
      </w:pPr>
      <w:r>
        <w:rPr>
          <w:sz w:val="24"/>
        </w:rPr>
        <w:t>Include a combined ODA</w:t>
      </w:r>
      <w:r w:rsidR="00AC2472">
        <w:rPr>
          <w:sz w:val="24"/>
        </w:rPr>
        <w:t xml:space="preserve"> discussion in future APPRs</w:t>
      </w:r>
      <w:r w:rsidR="00C02C56">
        <w:rPr>
          <w:sz w:val="24"/>
        </w:rPr>
        <w:t xml:space="preserve"> </w:t>
      </w:r>
      <w:r w:rsidR="00AC2472">
        <w:rPr>
          <w:sz w:val="24"/>
        </w:rPr>
        <w:t>with relevant Australian Government agencies</w:t>
      </w:r>
      <w:r w:rsidR="00C02C56">
        <w:rPr>
          <w:sz w:val="24"/>
        </w:rPr>
        <w:t>.</w:t>
      </w:r>
    </w:p>
    <w:tbl>
      <w:tblPr>
        <w:tblW w:w="8280" w:type="dxa"/>
        <w:tblInd w:w="57" w:type="dxa"/>
        <w:tblLayout w:type="fixed"/>
        <w:tblLook w:val="0000" w:firstRow="0" w:lastRow="0" w:firstColumn="0" w:lastColumn="0" w:noHBand="0" w:noVBand="0"/>
      </w:tblPr>
      <w:tblGrid>
        <w:gridCol w:w="2646"/>
        <w:gridCol w:w="1554"/>
        <w:gridCol w:w="4080"/>
      </w:tblGrid>
      <w:tr w:rsidR="00FB11DC" w14:paraId="10912E56" w14:textId="77777777" w:rsidTr="00FB11DC">
        <w:tc>
          <w:tcPr>
            <w:tcW w:w="2646" w:type="dxa"/>
            <w:tcMar>
              <w:left w:w="57" w:type="dxa"/>
              <w:right w:w="57" w:type="dxa"/>
            </w:tcMar>
          </w:tcPr>
          <w:p w14:paraId="10912E53" w14:textId="77777777" w:rsidR="00FB11DC" w:rsidRDefault="00FB11DC" w:rsidP="00A34995"/>
        </w:tc>
        <w:tc>
          <w:tcPr>
            <w:tcW w:w="1554" w:type="dxa"/>
            <w:tcMar>
              <w:left w:w="57" w:type="dxa"/>
              <w:right w:w="57" w:type="dxa"/>
            </w:tcMar>
          </w:tcPr>
          <w:p w14:paraId="10912E54" w14:textId="77777777" w:rsidR="00FB11DC" w:rsidRDefault="00FB11DC" w:rsidP="00FB11DC">
            <w:pPr>
              <w:pStyle w:val="TableTextEntries"/>
            </w:pPr>
          </w:p>
        </w:tc>
        <w:tc>
          <w:tcPr>
            <w:tcW w:w="4080" w:type="dxa"/>
            <w:tcMar>
              <w:left w:w="57" w:type="dxa"/>
              <w:right w:w="57" w:type="dxa"/>
            </w:tcMar>
          </w:tcPr>
          <w:p w14:paraId="10912E55" w14:textId="77777777" w:rsidR="00FB11DC" w:rsidRDefault="00FB11DC" w:rsidP="00FB11DC">
            <w:pPr>
              <w:pStyle w:val="TableTextEntries"/>
            </w:pPr>
          </w:p>
        </w:tc>
      </w:tr>
    </w:tbl>
    <w:p w14:paraId="10912E57" w14:textId="77777777" w:rsidR="00B46DDB" w:rsidRDefault="00B46DDB" w:rsidP="006F3973">
      <w:pPr>
        <w:keepNext/>
        <w:spacing w:after="100" w:line="320" w:lineRule="atLeast"/>
        <w:outlineLvl w:val="0"/>
        <w:rPr>
          <w:rFonts w:ascii="Franklin Gothic Demi" w:hAnsi="Franklin Gothic Demi"/>
          <w:color w:val="AD495D"/>
          <w:kern w:val="28"/>
          <w:sz w:val="28"/>
          <w:szCs w:val="28"/>
        </w:rPr>
        <w:sectPr w:rsidR="00B46DDB" w:rsidSect="00FA3AFE">
          <w:headerReference w:type="even" r:id="rId16"/>
          <w:footerReference w:type="even" r:id="rId17"/>
          <w:footerReference w:type="default" r:id="rId18"/>
          <w:footerReference w:type="first" r:id="rId19"/>
          <w:footnotePr>
            <w:numFmt w:val="lowerRoman"/>
          </w:footnotePr>
          <w:endnotePr>
            <w:numFmt w:val="decimal"/>
          </w:endnotePr>
          <w:type w:val="continuous"/>
          <w:pgSz w:w="11907" w:h="16840" w:code="9"/>
          <w:pgMar w:top="2381" w:right="2155" w:bottom="851" w:left="1814" w:header="851" w:footer="340" w:gutter="0"/>
          <w:cols w:space="720"/>
          <w:titlePg/>
        </w:sectPr>
      </w:pPr>
    </w:p>
    <w:p w14:paraId="10912E58" w14:textId="77777777" w:rsidR="00EB4D32" w:rsidRDefault="00EB4D32" w:rsidP="00BA223F">
      <w:pPr>
        <w:pStyle w:val="Heading1"/>
      </w:pPr>
      <w:r>
        <w:t>Annex A:</w:t>
      </w:r>
    </w:p>
    <w:p w14:paraId="10912E59" w14:textId="77777777" w:rsidR="00161B9F" w:rsidRPr="00036C8B" w:rsidRDefault="003721B8" w:rsidP="00036C8B">
      <w:pPr>
        <w:pStyle w:val="Caption"/>
        <w:spacing w:before="240"/>
        <w:ind w:left="284"/>
      </w:pPr>
      <w:r w:rsidRPr="003721B8">
        <w:t xml:space="preserve">Chart 1.1 </w:t>
      </w:r>
      <w:r>
        <w:t xml:space="preserve">is a </w:t>
      </w:r>
      <w:r w:rsidR="00863F42">
        <w:t>sample</w:t>
      </w:r>
      <w:r>
        <w:t xml:space="preserve"> of 7 Caribbean countries </w:t>
      </w:r>
      <w:r w:rsidR="003F36D7">
        <w:t xml:space="preserve">and the CARICOM average </w:t>
      </w:r>
      <w:r>
        <w:t>Human Development Index.</w:t>
      </w:r>
      <w:r w:rsidR="003F36D7">
        <w:t xml:space="preserve"> </w:t>
      </w:r>
    </w:p>
    <w:p w14:paraId="10912E5A" w14:textId="77777777" w:rsidR="00161B9F" w:rsidRDefault="00161B9F" w:rsidP="00EB4D32">
      <w:pPr>
        <w:keepNext/>
        <w:spacing w:after="100" w:line="320" w:lineRule="atLeast"/>
        <w:ind w:left="284"/>
        <w:outlineLvl w:val="0"/>
        <w:rPr>
          <w:rFonts w:ascii="Franklin Gothic Demi" w:hAnsi="Franklin Gothic Demi"/>
          <w:color w:val="AD495D"/>
          <w:kern w:val="28"/>
          <w:sz w:val="28"/>
          <w:szCs w:val="28"/>
        </w:rPr>
      </w:pPr>
      <w:r w:rsidRPr="00036C8B">
        <w:rPr>
          <w:rFonts w:ascii="Franklin Gothic Demi" w:hAnsi="Franklin Gothic Demi"/>
          <w:noProof/>
          <w:color w:val="AD495D"/>
          <w:kern w:val="28"/>
          <w:sz w:val="28"/>
          <w:szCs w:val="28"/>
        </w:rPr>
        <w:drawing>
          <wp:inline distT="0" distB="0" distL="0" distR="0" wp14:anchorId="10912F34" wp14:editId="10912F35">
            <wp:extent cx="5495925" cy="49977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8510" cy="5000113"/>
                    </a:xfrm>
                    <a:prstGeom prst="rect">
                      <a:avLst/>
                    </a:prstGeom>
                    <a:noFill/>
                    <a:ln>
                      <a:noFill/>
                    </a:ln>
                  </pic:spPr>
                </pic:pic>
              </a:graphicData>
            </a:graphic>
          </wp:inline>
        </w:drawing>
      </w:r>
    </w:p>
    <w:p w14:paraId="10912E5B" w14:textId="77777777" w:rsidR="004A7ACE" w:rsidRDefault="004A7ACE" w:rsidP="00BA223F">
      <w:pPr>
        <w:pStyle w:val="Heading1"/>
      </w:pPr>
      <w:r>
        <w:br w:type="page"/>
        <w:t>Annex B:</w:t>
      </w:r>
    </w:p>
    <w:p w14:paraId="10912E5C" w14:textId="77777777" w:rsidR="00EB4D32" w:rsidRPr="006F0F23" w:rsidRDefault="00EB4D32" w:rsidP="00EB4D32">
      <w:pPr>
        <w:pStyle w:val="Caption"/>
        <w:spacing w:before="240"/>
        <w:ind w:left="284"/>
      </w:pPr>
      <w:proofErr w:type="gramStart"/>
      <w:r w:rsidRPr="006F0F23">
        <w:t>Table :</w:t>
      </w:r>
      <w:proofErr w:type="gramEnd"/>
      <w:r w:rsidRPr="006F0F23">
        <w:t xml:space="preserve"> </w:t>
      </w:r>
      <w:r>
        <w:t xml:space="preserve">2011 </w:t>
      </w:r>
      <w:r w:rsidRPr="006F0F23">
        <w:t xml:space="preserve">Quality at </w:t>
      </w:r>
      <w:r>
        <w:t>I</w:t>
      </w:r>
      <w:r w:rsidRPr="00250744">
        <w:t>mplementation</w:t>
      </w:r>
      <w:r>
        <w:t xml:space="preserve"> data</w:t>
      </w:r>
      <w:r>
        <w:rPr>
          <w:rStyle w:val="FootnoteReference"/>
        </w:rPr>
        <w:footnoteReference w:id="2"/>
      </w:r>
      <w:r>
        <w:t xml:space="preserve"> </w:t>
      </w:r>
    </w:p>
    <w:tbl>
      <w:tblPr>
        <w:tblW w:w="8078" w:type="dxa"/>
        <w:tblInd w:w="341" w:type="dxa"/>
        <w:tblLayout w:type="fixed"/>
        <w:tblLook w:val="0000" w:firstRow="0" w:lastRow="0" w:firstColumn="0" w:lastColumn="0" w:noHBand="0" w:noVBand="0"/>
      </w:tblPr>
      <w:tblGrid>
        <w:gridCol w:w="3240"/>
        <w:gridCol w:w="1200"/>
        <w:gridCol w:w="480"/>
        <w:gridCol w:w="480"/>
        <w:gridCol w:w="480"/>
        <w:gridCol w:w="600"/>
        <w:gridCol w:w="480"/>
        <w:gridCol w:w="583"/>
        <w:gridCol w:w="535"/>
      </w:tblGrid>
      <w:tr w:rsidR="00EB4D32" w:rsidRPr="00FD3D0A" w14:paraId="10912E67" w14:textId="77777777" w:rsidTr="00EB4D32">
        <w:trPr>
          <w:cantSplit/>
          <w:trHeight w:val="1276"/>
          <w:tblHeader/>
        </w:trPr>
        <w:tc>
          <w:tcPr>
            <w:tcW w:w="3240" w:type="dxa"/>
            <w:tcBorders>
              <w:top w:val="single" w:sz="12" w:space="0" w:color="auto"/>
              <w:left w:val="single" w:sz="12" w:space="0" w:color="auto"/>
              <w:bottom w:val="single" w:sz="2" w:space="0" w:color="808080"/>
              <w:right w:val="single" w:sz="2" w:space="0" w:color="808080"/>
            </w:tcBorders>
            <w:tcMar>
              <w:left w:w="57" w:type="dxa"/>
              <w:right w:w="57" w:type="dxa"/>
            </w:tcMar>
            <w:vAlign w:val="center"/>
          </w:tcPr>
          <w:p w14:paraId="10912E5D" w14:textId="77777777" w:rsidR="00EB4D32" w:rsidRDefault="00EB4D32" w:rsidP="00913198">
            <w:pPr>
              <w:pStyle w:val="TableDataColumnHeading"/>
              <w:keepNext/>
              <w:jc w:val="left"/>
            </w:pPr>
            <w:r w:rsidRPr="006F0F23">
              <w:t xml:space="preserve">Quality at </w:t>
            </w:r>
            <w:r>
              <w:t>I</w:t>
            </w:r>
            <w:r w:rsidRPr="00250744">
              <w:t>mplementation</w:t>
            </w:r>
          </w:p>
          <w:p w14:paraId="10912E5E" w14:textId="77777777" w:rsidR="00EB4D32" w:rsidRPr="00FD3D0A" w:rsidRDefault="00EB4D32" w:rsidP="00913198">
            <w:pPr>
              <w:pStyle w:val="TableDataColumnHeading"/>
              <w:keepNext/>
              <w:jc w:val="left"/>
            </w:pPr>
          </w:p>
        </w:tc>
        <w:tc>
          <w:tcPr>
            <w:tcW w:w="1200" w:type="dxa"/>
            <w:tcBorders>
              <w:top w:val="single" w:sz="12" w:space="0" w:color="auto"/>
              <w:left w:val="single" w:sz="2" w:space="0" w:color="808080"/>
              <w:bottom w:val="single" w:sz="2" w:space="0" w:color="808080"/>
              <w:right w:val="single" w:sz="2" w:space="0" w:color="808080"/>
            </w:tcBorders>
            <w:tcMar>
              <w:left w:w="57" w:type="dxa"/>
              <w:right w:w="57" w:type="dxa"/>
            </w:tcMar>
            <w:vAlign w:val="center"/>
          </w:tcPr>
          <w:p w14:paraId="10912E5F" w14:textId="77777777" w:rsidR="00EB4D32" w:rsidRPr="00FD3D0A" w:rsidRDefault="00EB4D32" w:rsidP="00913198">
            <w:pPr>
              <w:pStyle w:val="TableDataColumnHeading"/>
              <w:keepNext/>
              <w:jc w:val="center"/>
            </w:pPr>
            <w:r w:rsidRPr="00FD3D0A">
              <w:t>Financial approval</w:t>
            </w:r>
          </w:p>
        </w:tc>
        <w:tc>
          <w:tcPr>
            <w:tcW w:w="480" w:type="dxa"/>
            <w:tcBorders>
              <w:top w:val="single" w:sz="12" w:space="0" w:color="auto"/>
              <w:left w:val="single" w:sz="2" w:space="0" w:color="808080"/>
              <w:bottom w:val="single" w:sz="2" w:space="0" w:color="808080"/>
              <w:right w:val="single" w:sz="2" w:space="0" w:color="808080"/>
            </w:tcBorders>
            <w:tcMar>
              <w:left w:w="57" w:type="dxa"/>
              <w:right w:w="57" w:type="dxa"/>
            </w:tcMar>
            <w:textDirection w:val="btLr"/>
          </w:tcPr>
          <w:p w14:paraId="10912E60" w14:textId="77777777" w:rsidR="00EB4D32" w:rsidRPr="00FD3D0A" w:rsidRDefault="00EB4D32" w:rsidP="00913198">
            <w:pPr>
              <w:pStyle w:val="TableDataColumnHeading"/>
              <w:keepNext/>
              <w:spacing w:before="60" w:after="60" w:line="240" w:lineRule="auto"/>
              <w:jc w:val="center"/>
            </w:pPr>
            <w:r>
              <w:t>Relevance</w:t>
            </w:r>
          </w:p>
        </w:tc>
        <w:tc>
          <w:tcPr>
            <w:tcW w:w="480" w:type="dxa"/>
            <w:tcBorders>
              <w:top w:val="single" w:sz="12" w:space="0" w:color="auto"/>
              <w:left w:val="single" w:sz="2" w:space="0" w:color="808080"/>
              <w:bottom w:val="single" w:sz="2" w:space="0" w:color="808080"/>
              <w:right w:val="single" w:sz="2" w:space="0" w:color="808080"/>
            </w:tcBorders>
            <w:tcMar>
              <w:left w:w="57" w:type="dxa"/>
              <w:right w:w="57" w:type="dxa"/>
            </w:tcMar>
            <w:textDirection w:val="btLr"/>
          </w:tcPr>
          <w:p w14:paraId="10912E61" w14:textId="77777777" w:rsidR="00EB4D32" w:rsidRPr="00FD3D0A" w:rsidRDefault="00EB4D32" w:rsidP="00913198">
            <w:pPr>
              <w:pStyle w:val="TableDataColumnHeading"/>
              <w:keepNext/>
              <w:spacing w:before="60" w:after="60" w:line="240" w:lineRule="auto"/>
              <w:jc w:val="center"/>
            </w:pPr>
            <w:r>
              <w:t>Effectiveness</w:t>
            </w:r>
          </w:p>
        </w:tc>
        <w:tc>
          <w:tcPr>
            <w:tcW w:w="480" w:type="dxa"/>
            <w:tcBorders>
              <w:top w:val="single" w:sz="12" w:space="0" w:color="auto"/>
              <w:left w:val="single" w:sz="2" w:space="0" w:color="808080"/>
              <w:bottom w:val="single" w:sz="2" w:space="0" w:color="808080"/>
              <w:right w:val="single" w:sz="2" w:space="0" w:color="808080"/>
            </w:tcBorders>
            <w:textDirection w:val="btLr"/>
          </w:tcPr>
          <w:p w14:paraId="10912E62" w14:textId="77777777" w:rsidR="00EB4D32" w:rsidRPr="00FD3D0A" w:rsidRDefault="00EB4D32" w:rsidP="00913198">
            <w:pPr>
              <w:pStyle w:val="TableDataColumnHeading"/>
              <w:keepNext/>
              <w:spacing w:before="60" w:after="60" w:line="240" w:lineRule="auto"/>
              <w:jc w:val="center"/>
            </w:pPr>
            <w:r>
              <w:t>Efficiency</w:t>
            </w:r>
          </w:p>
        </w:tc>
        <w:tc>
          <w:tcPr>
            <w:tcW w:w="600" w:type="dxa"/>
            <w:tcBorders>
              <w:top w:val="single" w:sz="12" w:space="0" w:color="auto"/>
              <w:left w:val="single" w:sz="2" w:space="0" w:color="808080"/>
              <w:bottom w:val="single" w:sz="2" w:space="0" w:color="808080"/>
              <w:right w:val="single" w:sz="2" w:space="0" w:color="808080"/>
            </w:tcBorders>
            <w:tcMar>
              <w:left w:w="57" w:type="dxa"/>
              <w:right w:w="57" w:type="dxa"/>
            </w:tcMar>
            <w:textDirection w:val="btLr"/>
          </w:tcPr>
          <w:p w14:paraId="10912E63" w14:textId="77777777" w:rsidR="00EB4D32" w:rsidRPr="00FD3D0A" w:rsidRDefault="00EB4D32" w:rsidP="00913198">
            <w:pPr>
              <w:pStyle w:val="TableDataColumnHeading"/>
              <w:keepNext/>
              <w:spacing w:before="60" w:after="60" w:line="240" w:lineRule="auto"/>
              <w:jc w:val="center"/>
            </w:pPr>
            <w:r w:rsidRPr="00FD3D0A">
              <w:t xml:space="preserve">Monitoring &amp; </w:t>
            </w:r>
            <w:r>
              <w:t>E</w:t>
            </w:r>
            <w:r w:rsidRPr="00FD3D0A">
              <w:t>valuation</w:t>
            </w:r>
          </w:p>
        </w:tc>
        <w:tc>
          <w:tcPr>
            <w:tcW w:w="480" w:type="dxa"/>
            <w:tcBorders>
              <w:top w:val="single" w:sz="12" w:space="0" w:color="auto"/>
              <w:left w:val="single" w:sz="2" w:space="0" w:color="808080"/>
              <w:bottom w:val="single" w:sz="2" w:space="0" w:color="808080"/>
              <w:right w:val="single" w:sz="2" w:space="0" w:color="808080"/>
            </w:tcBorders>
            <w:tcMar>
              <w:left w:w="57" w:type="dxa"/>
              <w:right w:w="57" w:type="dxa"/>
            </w:tcMar>
            <w:textDirection w:val="btLr"/>
          </w:tcPr>
          <w:p w14:paraId="10912E64" w14:textId="77777777" w:rsidR="00EB4D32" w:rsidRPr="00FD3D0A" w:rsidRDefault="00EB4D32" w:rsidP="00913198">
            <w:pPr>
              <w:pStyle w:val="TableDataColumnHeading"/>
              <w:keepNext/>
              <w:spacing w:before="60" w:after="60" w:line="240" w:lineRule="auto"/>
              <w:jc w:val="center"/>
            </w:pPr>
            <w:r w:rsidRPr="00FD3D0A">
              <w:t>Sustain-ability</w:t>
            </w:r>
          </w:p>
        </w:tc>
        <w:tc>
          <w:tcPr>
            <w:tcW w:w="583" w:type="dxa"/>
            <w:tcBorders>
              <w:top w:val="single" w:sz="12" w:space="0" w:color="auto"/>
              <w:left w:val="single" w:sz="2" w:space="0" w:color="808080"/>
              <w:bottom w:val="single" w:sz="2" w:space="0" w:color="808080"/>
              <w:right w:val="single" w:sz="12" w:space="0" w:color="auto"/>
            </w:tcBorders>
            <w:textDirection w:val="btLr"/>
          </w:tcPr>
          <w:p w14:paraId="10912E65" w14:textId="77777777" w:rsidR="00EB4D32" w:rsidRPr="00FD3D0A" w:rsidRDefault="00EB4D32" w:rsidP="00913198">
            <w:pPr>
              <w:pStyle w:val="TableDataColumnHeading"/>
              <w:keepNext/>
              <w:spacing w:before="60" w:after="60" w:line="240" w:lineRule="auto"/>
              <w:jc w:val="center"/>
            </w:pPr>
            <w:r>
              <w:t>Gender Equality</w:t>
            </w:r>
          </w:p>
        </w:tc>
        <w:tc>
          <w:tcPr>
            <w:tcW w:w="535" w:type="dxa"/>
            <w:tcBorders>
              <w:top w:val="single" w:sz="12" w:space="0" w:color="auto"/>
              <w:left w:val="single" w:sz="12" w:space="0" w:color="auto"/>
              <w:bottom w:val="single" w:sz="2" w:space="0" w:color="808080"/>
              <w:right w:val="single" w:sz="12" w:space="0" w:color="auto"/>
            </w:tcBorders>
            <w:textDirection w:val="btLr"/>
          </w:tcPr>
          <w:p w14:paraId="10912E66" w14:textId="77777777" w:rsidR="00EB4D32" w:rsidRDefault="00EB4D32" w:rsidP="00913198">
            <w:pPr>
              <w:pStyle w:val="TableDataColumnHeading"/>
              <w:keepNext/>
              <w:spacing w:before="60" w:after="60" w:line="240" w:lineRule="auto"/>
              <w:jc w:val="center"/>
            </w:pPr>
            <w:r>
              <w:t>2011 Average</w:t>
            </w:r>
          </w:p>
        </w:tc>
      </w:tr>
      <w:tr w:rsidR="00EB4D32" w:rsidRPr="00FD3D0A" w14:paraId="10912E71" w14:textId="77777777" w:rsidTr="00EB4D32">
        <w:trPr>
          <w:cantSplit/>
        </w:trPr>
        <w:tc>
          <w:tcPr>
            <w:tcW w:w="3240" w:type="dxa"/>
            <w:tcBorders>
              <w:top w:val="single" w:sz="2" w:space="0" w:color="808080"/>
              <w:left w:val="single" w:sz="12" w:space="0" w:color="auto"/>
              <w:bottom w:val="single" w:sz="2" w:space="0" w:color="808080"/>
              <w:right w:val="single" w:sz="2" w:space="0" w:color="808080"/>
            </w:tcBorders>
          </w:tcPr>
          <w:p w14:paraId="10912E68" w14:textId="77777777" w:rsidR="00EB4D32" w:rsidRPr="00887FD1" w:rsidRDefault="00EB4D32" w:rsidP="00913198">
            <w:pPr>
              <w:pStyle w:val="TableTextEntries"/>
              <w:spacing w:line="240" w:lineRule="auto"/>
            </w:pPr>
            <w:r>
              <w:t>Climate Change and Disaster Risk Reduction Pillar</w:t>
            </w:r>
          </w:p>
        </w:tc>
        <w:tc>
          <w:tcPr>
            <w:tcW w:w="1200" w:type="dxa"/>
            <w:tcBorders>
              <w:top w:val="single" w:sz="2" w:space="0" w:color="808080"/>
              <w:left w:val="single" w:sz="2" w:space="0" w:color="808080"/>
              <w:bottom w:val="single" w:sz="2" w:space="0" w:color="808080"/>
              <w:right w:val="single" w:sz="2" w:space="0" w:color="808080"/>
            </w:tcBorders>
            <w:vAlign w:val="center"/>
          </w:tcPr>
          <w:p w14:paraId="10912E69" w14:textId="77777777" w:rsidR="00EB4D32" w:rsidRPr="00887FD1" w:rsidRDefault="00EB4D32" w:rsidP="00913198">
            <w:pPr>
              <w:pStyle w:val="TableTextEntries"/>
              <w:spacing w:line="240" w:lineRule="auto"/>
            </w:pPr>
            <w:r w:rsidRPr="00887FD1">
              <w:t>$</w:t>
            </w:r>
            <w:r>
              <w:t>17.5</w:t>
            </w:r>
            <w:r w:rsidRPr="00887FD1">
              <w:t xml:space="preserve"> million</w:t>
            </w:r>
          </w:p>
        </w:tc>
        <w:tc>
          <w:tcPr>
            <w:tcW w:w="480" w:type="dxa"/>
            <w:tcBorders>
              <w:top w:val="single" w:sz="2" w:space="0" w:color="808080"/>
              <w:left w:val="single" w:sz="2" w:space="0" w:color="808080"/>
              <w:bottom w:val="single" w:sz="2" w:space="0" w:color="808080"/>
              <w:right w:val="single" w:sz="2" w:space="0" w:color="808080"/>
            </w:tcBorders>
            <w:vAlign w:val="center"/>
          </w:tcPr>
          <w:p w14:paraId="10912E6A" w14:textId="77777777" w:rsidR="00EB4D32" w:rsidRPr="004F78AA" w:rsidRDefault="00EB4D32" w:rsidP="00913198">
            <w:pPr>
              <w:pStyle w:val="TableDataEntries"/>
              <w:spacing w:before="60" w:after="60"/>
              <w:jc w:val="center"/>
            </w:pPr>
            <w:r w:rsidRPr="00DF1246">
              <w:rPr>
                <w:color w:val="99CC00"/>
                <w:sz w:val="18"/>
                <w:szCs w:val="18"/>
              </w:rPr>
              <w:sym w:font="Webdings" w:char="F067"/>
            </w:r>
          </w:p>
        </w:tc>
        <w:tc>
          <w:tcPr>
            <w:tcW w:w="480" w:type="dxa"/>
            <w:tcBorders>
              <w:top w:val="single" w:sz="2" w:space="0" w:color="808080"/>
              <w:left w:val="single" w:sz="2" w:space="0" w:color="808080"/>
              <w:bottom w:val="single" w:sz="2" w:space="0" w:color="808080"/>
              <w:right w:val="single" w:sz="2" w:space="0" w:color="808080"/>
            </w:tcBorders>
            <w:vAlign w:val="center"/>
          </w:tcPr>
          <w:p w14:paraId="10912E6B" w14:textId="77777777" w:rsidR="00EB4D32" w:rsidRPr="004F78AA" w:rsidRDefault="00EB4D32" w:rsidP="00913198">
            <w:pPr>
              <w:pStyle w:val="TableDataEntries"/>
              <w:spacing w:before="60" w:after="60"/>
              <w:jc w:val="center"/>
            </w:pPr>
            <w:r w:rsidRPr="00DF1246">
              <w:rPr>
                <w:color w:val="99CC00"/>
                <w:sz w:val="18"/>
                <w:szCs w:val="18"/>
              </w:rPr>
              <w:sym w:font="Webdings" w:char="F067"/>
            </w:r>
          </w:p>
        </w:tc>
        <w:tc>
          <w:tcPr>
            <w:tcW w:w="480" w:type="dxa"/>
            <w:tcBorders>
              <w:top w:val="single" w:sz="2" w:space="0" w:color="808080"/>
              <w:left w:val="single" w:sz="2" w:space="0" w:color="808080"/>
              <w:bottom w:val="single" w:sz="2" w:space="0" w:color="808080"/>
              <w:right w:val="single" w:sz="2" w:space="0" w:color="808080"/>
            </w:tcBorders>
            <w:vAlign w:val="center"/>
          </w:tcPr>
          <w:p w14:paraId="10912E6C" w14:textId="77777777" w:rsidR="00EB4D32" w:rsidRPr="004F78AA" w:rsidRDefault="00EB4D32" w:rsidP="00913198">
            <w:pPr>
              <w:pStyle w:val="TableDataEntries"/>
              <w:spacing w:before="60" w:after="60"/>
              <w:jc w:val="center"/>
            </w:pPr>
            <w:r w:rsidRPr="00BE1B5C">
              <w:rPr>
                <w:color w:val="FFCC00"/>
                <w:sz w:val="18"/>
                <w:szCs w:val="18"/>
              </w:rPr>
              <w:sym w:font="Webdings" w:char="F067"/>
            </w:r>
          </w:p>
        </w:tc>
        <w:tc>
          <w:tcPr>
            <w:tcW w:w="600" w:type="dxa"/>
            <w:tcBorders>
              <w:top w:val="single" w:sz="2" w:space="0" w:color="808080"/>
              <w:left w:val="single" w:sz="2" w:space="0" w:color="808080"/>
              <w:bottom w:val="single" w:sz="2" w:space="0" w:color="808080"/>
              <w:right w:val="single" w:sz="2" w:space="0" w:color="808080"/>
            </w:tcBorders>
            <w:tcMar>
              <w:top w:w="28" w:type="dxa"/>
              <w:left w:w="57" w:type="dxa"/>
              <w:bottom w:w="28" w:type="dxa"/>
              <w:right w:w="57" w:type="dxa"/>
            </w:tcMar>
            <w:vAlign w:val="center"/>
          </w:tcPr>
          <w:p w14:paraId="10912E6D" w14:textId="77777777" w:rsidR="00EB4D32" w:rsidRPr="004F78AA" w:rsidRDefault="00EB4D32" w:rsidP="00913198">
            <w:pPr>
              <w:pStyle w:val="TableDataEntries"/>
              <w:spacing w:before="60" w:after="60"/>
              <w:jc w:val="center"/>
            </w:pPr>
            <w:r w:rsidRPr="00BE1B5C">
              <w:rPr>
                <w:color w:val="FFCC00"/>
                <w:sz w:val="18"/>
                <w:szCs w:val="18"/>
              </w:rPr>
              <w:sym w:font="Webdings" w:char="F067"/>
            </w:r>
          </w:p>
        </w:tc>
        <w:tc>
          <w:tcPr>
            <w:tcW w:w="480" w:type="dxa"/>
            <w:tcBorders>
              <w:top w:val="single" w:sz="2" w:space="0" w:color="808080"/>
              <w:left w:val="single" w:sz="2" w:space="0" w:color="808080"/>
              <w:bottom w:val="single" w:sz="2" w:space="0" w:color="808080"/>
              <w:right w:val="single" w:sz="2" w:space="0" w:color="808080"/>
            </w:tcBorders>
            <w:tcMar>
              <w:top w:w="28" w:type="dxa"/>
              <w:left w:w="57" w:type="dxa"/>
              <w:bottom w:w="28" w:type="dxa"/>
              <w:right w:w="57" w:type="dxa"/>
            </w:tcMar>
            <w:vAlign w:val="center"/>
          </w:tcPr>
          <w:p w14:paraId="10912E6E" w14:textId="77777777" w:rsidR="00EB4D32" w:rsidRPr="004F78AA" w:rsidRDefault="00EB4D32" w:rsidP="00913198">
            <w:pPr>
              <w:pStyle w:val="TableDataEntries"/>
              <w:spacing w:before="60" w:after="60"/>
              <w:jc w:val="center"/>
            </w:pPr>
            <w:r w:rsidRPr="00BE1B5C">
              <w:rPr>
                <w:color w:val="FFCC00"/>
                <w:sz w:val="18"/>
                <w:szCs w:val="18"/>
              </w:rPr>
              <w:sym w:font="Webdings" w:char="F067"/>
            </w:r>
          </w:p>
        </w:tc>
        <w:tc>
          <w:tcPr>
            <w:tcW w:w="583" w:type="dxa"/>
            <w:tcBorders>
              <w:top w:val="single" w:sz="2" w:space="0" w:color="808080"/>
              <w:left w:val="single" w:sz="2" w:space="0" w:color="808080"/>
              <w:bottom w:val="single" w:sz="2" w:space="0" w:color="808080"/>
              <w:right w:val="single" w:sz="12" w:space="0" w:color="auto"/>
            </w:tcBorders>
            <w:vAlign w:val="center"/>
          </w:tcPr>
          <w:p w14:paraId="10912E6F" w14:textId="77777777" w:rsidR="00EB4D32" w:rsidRPr="004F78AA" w:rsidRDefault="00EB4D32" w:rsidP="00913198">
            <w:pPr>
              <w:pStyle w:val="TableDataEntries"/>
              <w:spacing w:before="60" w:after="60"/>
              <w:jc w:val="center"/>
            </w:pPr>
            <w:r w:rsidRPr="00BE1B5C">
              <w:rPr>
                <w:color w:val="FF0000"/>
                <w:sz w:val="18"/>
                <w:szCs w:val="18"/>
              </w:rPr>
              <w:sym w:font="Webdings" w:char="F067"/>
            </w:r>
          </w:p>
        </w:tc>
        <w:tc>
          <w:tcPr>
            <w:tcW w:w="535" w:type="dxa"/>
            <w:tcBorders>
              <w:top w:val="single" w:sz="2" w:space="0" w:color="808080"/>
              <w:left w:val="single" w:sz="12" w:space="0" w:color="auto"/>
              <w:bottom w:val="single" w:sz="2" w:space="0" w:color="808080"/>
              <w:right w:val="single" w:sz="12" w:space="0" w:color="auto"/>
            </w:tcBorders>
            <w:vAlign w:val="center"/>
          </w:tcPr>
          <w:p w14:paraId="10912E70" w14:textId="77777777" w:rsidR="00EB4D32" w:rsidRPr="000C4C3C" w:rsidRDefault="00EB4D32" w:rsidP="00913198">
            <w:pPr>
              <w:pStyle w:val="TableDataEntries"/>
              <w:spacing w:before="60" w:after="60"/>
              <w:jc w:val="center"/>
              <w:rPr>
                <w:color w:val="99CC00"/>
                <w:sz w:val="22"/>
                <w:szCs w:val="22"/>
              </w:rPr>
            </w:pPr>
          </w:p>
        </w:tc>
      </w:tr>
      <w:tr w:rsidR="00EB4D32" w:rsidRPr="00FD3D0A" w14:paraId="10912E7C" w14:textId="77777777" w:rsidTr="00EB4D32">
        <w:trPr>
          <w:cantSplit/>
        </w:trPr>
        <w:tc>
          <w:tcPr>
            <w:tcW w:w="3240" w:type="dxa"/>
            <w:tcBorders>
              <w:top w:val="single" w:sz="2" w:space="0" w:color="808080"/>
              <w:left w:val="single" w:sz="12" w:space="0" w:color="auto"/>
              <w:bottom w:val="single" w:sz="2" w:space="0" w:color="808080"/>
              <w:right w:val="single" w:sz="2" w:space="0" w:color="808080"/>
            </w:tcBorders>
          </w:tcPr>
          <w:p w14:paraId="10912E72" w14:textId="77777777" w:rsidR="00EB4D32" w:rsidRPr="00887FD1" w:rsidRDefault="00EB4D32" w:rsidP="00913198">
            <w:pPr>
              <w:pStyle w:val="TableTextEntries"/>
              <w:spacing w:line="240" w:lineRule="auto"/>
            </w:pPr>
            <w:r>
              <w:t>Economic Resilience Pillar</w:t>
            </w:r>
          </w:p>
        </w:tc>
        <w:tc>
          <w:tcPr>
            <w:tcW w:w="1200" w:type="dxa"/>
            <w:tcBorders>
              <w:top w:val="single" w:sz="2" w:space="0" w:color="808080"/>
              <w:left w:val="single" w:sz="2" w:space="0" w:color="808080"/>
              <w:bottom w:val="single" w:sz="2" w:space="0" w:color="808080"/>
              <w:right w:val="single" w:sz="2" w:space="0" w:color="808080"/>
            </w:tcBorders>
            <w:vAlign w:val="center"/>
          </w:tcPr>
          <w:p w14:paraId="10912E73" w14:textId="77777777" w:rsidR="00EB4D32" w:rsidRPr="00887FD1" w:rsidRDefault="00EB4D32" w:rsidP="00913198">
            <w:pPr>
              <w:pStyle w:val="TableTextEntries"/>
              <w:spacing w:line="240" w:lineRule="auto"/>
            </w:pPr>
            <w:r w:rsidRPr="00887FD1">
              <w:t>$</w:t>
            </w:r>
            <w:r>
              <w:t>10</w:t>
            </w:r>
            <w:r w:rsidRPr="00887FD1">
              <w:t xml:space="preserve"> million</w:t>
            </w:r>
          </w:p>
        </w:tc>
        <w:tc>
          <w:tcPr>
            <w:tcW w:w="480" w:type="dxa"/>
            <w:tcBorders>
              <w:top w:val="single" w:sz="2" w:space="0" w:color="808080"/>
              <w:left w:val="single" w:sz="2" w:space="0" w:color="808080"/>
              <w:bottom w:val="single" w:sz="2" w:space="0" w:color="808080"/>
              <w:right w:val="single" w:sz="2" w:space="0" w:color="808080"/>
            </w:tcBorders>
            <w:vAlign w:val="center"/>
          </w:tcPr>
          <w:p w14:paraId="10912E74" w14:textId="77777777" w:rsidR="00EB4D32" w:rsidRPr="004F78AA" w:rsidRDefault="00EB4D32" w:rsidP="00913198">
            <w:pPr>
              <w:pStyle w:val="TableDataEntries"/>
              <w:spacing w:before="60" w:after="60"/>
              <w:jc w:val="center"/>
            </w:pPr>
            <w:r w:rsidRPr="00DF1246">
              <w:rPr>
                <w:color w:val="99CC00"/>
                <w:sz w:val="18"/>
                <w:szCs w:val="18"/>
              </w:rPr>
              <w:sym w:font="Webdings" w:char="F067"/>
            </w:r>
          </w:p>
        </w:tc>
        <w:tc>
          <w:tcPr>
            <w:tcW w:w="480" w:type="dxa"/>
            <w:tcBorders>
              <w:top w:val="single" w:sz="2" w:space="0" w:color="808080"/>
              <w:left w:val="single" w:sz="2" w:space="0" w:color="808080"/>
              <w:bottom w:val="single" w:sz="2" w:space="0" w:color="808080"/>
              <w:right w:val="single" w:sz="2" w:space="0" w:color="808080"/>
            </w:tcBorders>
            <w:vAlign w:val="center"/>
          </w:tcPr>
          <w:p w14:paraId="10912E75" w14:textId="77777777" w:rsidR="00EB4D32" w:rsidRPr="004F78AA" w:rsidRDefault="00EB4D32" w:rsidP="00913198">
            <w:pPr>
              <w:pStyle w:val="TableDataEntries"/>
              <w:spacing w:before="60" w:after="60"/>
              <w:jc w:val="center"/>
            </w:pPr>
            <w:r w:rsidRPr="00BE1B5C">
              <w:rPr>
                <w:color w:val="FFCC00"/>
                <w:sz w:val="18"/>
                <w:szCs w:val="18"/>
              </w:rPr>
              <w:sym w:font="Webdings" w:char="F067"/>
            </w:r>
          </w:p>
        </w:tc>
        <w:tc>
          <w:tcPr>
            <w:tcW w:w="480" w:type="dxa"/>
            <w:tcBorders>
              <w:top w:val="single" w:sz="2" w:space="0" w:color="808080"/>
              <w:left w:val="single" w:sz="2" w:space="0" w:color="808080"/>
              <w:bottom w:val="single" w:sz="2" w:space="0" w:color="808080"/>
              <w:right w:val="single" w:sz="2" w:space="0" w:color="808080"/>
            </w:tcBorders>
            <w:vAlign w:val="center"/>
          </w:tcPr>
          <w:p w14:paraId="10912E76" w14:textId="77777777" w:rsidR="00EB4D32" w:rsidRPr="004F78AA" w:rsidRDefault="00EB4D32" w:rsidP="00913198">
            <w:pPr>
              <w:pStyle w:val="TableDataEntries"/>
              <w:spacing w:before="60" w:after="60"/>
              <w:jc w:val="center"/>
            </w:pPr>
            <w:r w:rsidRPr="00DF1246">
              <w:rPr>
                <w:color w:val="99CC00"/>
                <w:sz w:val="18"/>
                <w:szCs w:val="18"/>
              </w:rPr>
              <w:sym w:font="Webdings" w:char="F067"/>
            </w:r>
          </w:p>
        </w:tc>
        <w:tc>
          <w:tcPr>
            <w:tcW w:w="600" w:type="dxa"/>
            <w:tcBorders>
              <w:top w:val="single" w:sz="2" w:space="0" w:color="808080"/>
              <w:left w:val="single" w:sz="2" w:space="0" w:color="808080"/>
              <w:bottom w:val="single" w:sz="2" w:space="0" w:color="808080"/>
              <w:right w:val="single" w:sz="2" w:space="0" w:color="808080"/>
            </w:tcBorders>
            <w:tcMar>
              <w:top w:w="28" w:type="dxa"/>
              <w:left w:w="57" w:type="dxa"/>
              <w:bottom w:w="28" w:type="dxa"/>
              <w:right w:w="57" w:type="dxa"/>
            </w:tcMar>
            <w:vAlign w:val="center"/>
          </w:tcPr>
          <w:p w14:paraId="10912E77" w14:textId="77777777" w:rsidR="00EB4D32" w:rsidRPr="004F78AA" w:rsidRDefault="00EB4D32" w:rsidP="00913198">
            <w:pPr>
              <w:pStyle w:val="TableDataEntries"/>
              <w:spacing w:before="60" w:after="60"/>
              <w:jc w:val="center"/>
            </w:pPr>
            <w:r w:rsidRPr="00DF1246">
              <w:rPr>
                <w:color w:val="99CC00"/>
                <w:sz w:val="18"/>
                <w:szCs w:val="18"/>
              </w:rPr>
              <w:sym w:font="Webdings" w:char="F067"/>
            </w:r>
          </w:p>
        </w:tc>
        <w:tc>
          <w:tcPr>
            <w:tcW w:w="480" w:type="dxa"/>
            <w:tcBorders>
              <w:top w:val="single" w:sz="2" w:space="0" w:color="808080"/>
              <w:left w:val="single" w:sz="2" w:space="0" w:color="808080"/>
              <w:bottom w:val="single" w:sz="2" w:space="0" w:color="808080"/>
              <w:right w:val="single" w:sz="2" w:space="0" w:color="808080"/>
            </w:tcBorders>
            <w:tcMar>
              <w:top w:w="28" w:type="dxa"/>
              <w:left w:w="57" w:type="dxa"/>
              <w:bottom w:w="28" w:type="dxa"/>
              <w:right w:w="57" w:type="dxa"/>
            </w:tcMar>
            <w:vAlign w:val="center"/>
          </w:tcPr>
          <w:p w14:paraId="10912E78" w14:textId="77777777" w:rsidR="00EB4D32" w:rsidRPr="004F78AA" w:rsidRDefault="00EB4D32" w:rsidP="00913198">
            <w:pPr>
              <w:pStyle w:val="TableDataEntries"/>
              <w:spacing w:before="60" w:after="60"/>
              <w:jc w:val="center"/>
            </w:pPr>
            <w:r w:rsidRPr="00DF1246">
              <w:rPr>
                <w:color w:val="99CC00"/>
                <w:sz w:val="18"/>
                <w:szCs w:val="18"/>
              </w:rPr>
              <w:sym w:font="Webdings" w:char="F067"/>
            </w:r>
          </w:p>
        </w:tc>
        <w:tc>
          <w:tcPr>
            <w:tcW w:w="583" w:type="dxa"/>
            <w:tcBorders>
              <w:top w:val="single" w:sz="2" w:space="0" w:color="808080"/>
              <w:left w:val="single" w:sz="2" w:space="0" w:color="808080"/>
              <w:bottom w:val="single" w:sz="2" w:space="0" w:color="808080"/>
              <w:right w:val="single" w:sz="12" w:space="0" w:color="auto"/>
            </w:tcBorders>
            <w:vAlign w:val="center"/>
          </w:tcPr>
          <w:p w14:paraId="10912E79" w14:textId="77777777" w:rsidR="00EB4D32" w:rsidRPr="004F78AA" w:rsidRDefault="00EB4D32" w:rsidP="00913198">
            <w:pPr>
              <w:pStyle w:val="TableDataEntries"/>
              <w:spacing w:before="60" w:after="60"/>
              <w:jc w:val="center"/>
            </w:pPr>
            <w:r w:rsidRPr="00BE1B5C">
              <w:rPr>
                <w:color w:val="FF9900"/>
                <w:sz w:val="18"/>
                <w:szCs w:val="18"/>
              </w:rPr>
              <w:sym w:font="Webdings" w:char="F067"/>
            </w:r>
          </w:p>
        </w:tc>
        <w:tc>
          <w:tcPr>
            <w:tcW w:w="535" w:type="dxa"/>
            <w:tcBorders>
              <w:top w:val="single" w:sz="2" w:space="0" w:color="808080"/>
              <w:left w:val="single" w:sz="12" w:space="0" w:color="auto"/>
              <w:bottom w:val="single" w:sz="2" w:space="0" w:color="808080"/>
              <w:right w:val="single" w:sz="12" w:space="0" w:color="auto"/>
            </w:tcBorders>
            <w:vAlign w:val="center"/>
          </w:tcPr>
          <w:p w14:paraId="10912E7A" w14:textId="77777777" w:rsidR="00EB4D32" w:rsidRDefault="00EB4D32" w:rsidP="00913198">
            <w:pPr>
              <w:pStyle w:val="TableDataEntries"/>
              <w:spacing w:before="60" w:after="60"/>
              <w:jc w:val="center"/>
              <w:rPr>
                <w:color w:val="FFCC00"/>
                <w:sz w:val="18"/>
                <w:szCs w:val="18"/>
              </w:rPr>
            </w:pPr>
            <w:r w:rsidRPr="00BE1B5C">
              <w:rPr>
                <w:color w:val="FFCC00"/>
                <w:sz w:val="18"/>
                <w:szCs w:val="18"/>
              </w:rPr>
              <w:sym w:font="Webdings" w:char="F067"/>
            </w:r>
          </w:p>
          <w:p w14:paraId="10912E7B" w14:textId="77777777" w:rsidR="00EB4D32" w:rsidRPr="004F78AA" w:rsidRDefault="00EB4D32" w:rsidP="00913198">
            <w:pPr>
              <w:pStyle w:val="TableDataEntries"/>
              <w:spacing w:before="60" w:after="60"/>
              <w:jc w:val="center"/>
              <w:rPr>
                <w:color w:val="FFCC00"/>
                <w:sz w:val="22"/>
                <w:szCs w:val="22"/>
              </w:rPr>
            </w:pPr>
            <w:r w:rsidRPr="00415E4C">
              <w:rPr>
                <w:color w:val="000000" w:themeColor="text1"/>
                <w:sz w:val="18"/>
                <w:szCs w:val="18"/>
              </w:rPr>
              <w:t>4.5</w:t>
            </w:r>
          </w:p>
        </w:tc>
      </w:tr>
      <w:tr w:rsidR="00EB4D32" w:rsidRPr="00FD3D0A" w14:paraId="10912E87" w14:textId="77777777" w:rsidTr="00EB4D32">
        <w:trPr>
          <w:cantSplit/>
        </w:trPr>
        <w:tc>
          <w:tcPr>
            <w:tcW w:w="3240" w:type="dxa"/>
            <w:tcBorders>
              <w:top w:val="single" w:sz="2" w:space="0" w:color="808080"/>
              <w:left w:val="single" w:sz="12" w:space="0" w:color="auto"/>
              <w:bottom w:val="single" w:sz="2" w:space="0" w:color="808080"/>
              <w:right w:val="single" w:sz="2" w:space="0" w:color="808080"/>
            </w:tcBorders>
          </w:tcPr>
          <w:p w14:paraId="10912E7D" w14:textId="77777777" w:rsidR="00EB4D32" w:rsidRPr="00887FD1" w:rsidRDefault="00EB4D32" w:rsidP="00913198">
            <w:pPr>
              <w:pStyle w:val="TableTextEntries"/>
              <w:spacing w:line="240" w:lineRule="auto"/>
            </w:pPr>
            <w:r>
              <w:t>People-to-People and Institutional Linkages Pillar</w:t>
            </w:r>
          </w:p>
        </w:tc>
        <w:tc>
          <w:tcPr>
            <w:tcW w:w="1200" w:type="dxa"/>
            <w:tcBorders>
              <w:top w:val="single" w:sz="2" w:space="0" w:color="808080"/>
              <w:left w:val="single" w:sz="2" w:space="0" w:color="808080"/>
              <w:bottom w:val="single" w:sz="2" w:space="0" w:color="808080"/>
              <w:right w:val="single" w:sz="2" w:space="0" w:color="808080"/>
            </w:tcBorders>
            <w:vAlign w:val="center"/>
          </w:tcPr>
          <w:p w14:paraId="10912E7E" w14:textId="77777777" w:rsidR="00EB4D32" w:rsidRPr="00887FD1" w:rsidRDefault="00EB4D32" w:rsidP="00913198">
            <w:pPr>
              <w:pStyle w:val="TableTextEntries"/>
              <w:spacing w:line="240" w:lineRule="auto"/>
            </w:pPr>
            <w:r w:rsidRPr="00887FD1">
              <w:t>$</w:t>
            </w:r>
            <w:r>
              <w:t xml:space="preserve">16.5 </w:t>
            </w:r>
            <w:r w:rsidRPr="00887FD1">
              <w:t>million</w:t>
            </w:r>
          </w:p>
        </w:tc>
        <w:tc>
          <w:tcPr>
            <w:tcW w:w="480" w:type="dxa"/>
            <w:tcBorders>
              <w:top w:val="single" w:sz="2" w:space="0" w:color="808080"/>
              <w:left w:val="single" w:sz="2" w:space="0" w:color="808080"/>
              <w:bottom w:val="single" w:sz="2" w:space="0" w:color="808080"/>
              <w:right w:val="single" w:sz="2" w:space="0" w:color="808080"/>
            </w:tcBorders>
            <w:vAlign w:val="center"/>
          </w:tcPr>
          <w:p w14:paraId="10912E7F" w14:textId="77777777" w:rsidR="00EB4D32" w:rsidRPr="004F78AA" w:rsidRDefault="00EB4D32" w:rsidP="00913198">
            <w:pPr>
              <w:pStyle w:val="TableDataEntries"/>
              <w:spacing w:before="60" w:after="60"/>
              <w:jc w:val="center"/>
            </w:pPr>
            <w:r w:rsidRPr="00DF1246">
              <w:rPr>
                <w:color w:val="99CC00"/>
                <w:sz w:val="18"/>
                <w:szCs w:val="18"/>
              </w:rPr>
              <w:sym w:font="Webdings" w:char="F067"/>
            </w:r>
          </w:p>
        </w:tc>
        <w:tc>
          <w:tcPr>
            <w:tcW w:w="480" w:type="dxa"/>
            <w:tcBorders>
              <w:top w:val="single" w:sz="2" w:space="0" w:color="808080"/>
              <w:left w:val="single" w:sz="2" w:space="0" w:color="808080"/>
              <w:bottom w:val="single" w:sz="2" w:space="0" w:color="808080"/>
              <w:right w:val="single" w:sz="2" w:space="0" w:color="808080"/>
            </w:tcBorders>
            <w:vAlign w:val="center"/>
          </w:tcPr>
          <w:p w14:paraId="10912E80" w14:textId="77777777" w:rsidR="00EB4D32" w:rsidRPr="004F78AA" w:rsidRDefault="00EB4D32" w:rsidP="00913198">
            <w:pPr>
              <w:pStyle w:val="TableDataEntries"/>
              <w:spacing w:before="60" w:after="60"/>
              <w:jc w:val="center"/>
            </w:pPr>
            <w:r w:rsidRPr="00BE1B5C">
              <w:rPr>
                <w:color w:val="FFCC00"/>
                <w:sz w:val="18"/>
                <w:szCs w:val="18"/>
              </w:rPr>
              <w:sym w:font="Webdings" w:char="F067"/>
            </w:r>
          </w:p>
        </w:tc>
        <w:tc>
          <w:tcPr>
            <w:tcW w:w="480" w:type="dxa"/>
            <w:tcBorders>
              <w:top w:val="single" w:sz="2" w:space="0" w:color="808080"/>
              <w:left w:val="single" w:sz="2" w:space="0" w:color="808080"/>
              <w:bottom w:val="single" w:sz="2" w:space="0" w:color="808080"/>
              <w:right w:val="single" w:sz="2" w:space="0" w:color="808080"/>
            </w:tcBorders>
            <w:vAlign w:val="center"/>
          </w:tcPr>
          <w:p w14:paraId="10912E81" w14:textId="77777777" w:rsidR="00EB4D32" w:rsidRPr="004F78AA" w:rsidRDefault="00EB4D32" w:rsidP="00913198">
            <w:pPr>
              <w:pStyle w:val="TableDataEntries"/>
              <w:spacing w:before="60" w:after="60"/>
              <w:jc w:val="center"/>
            </w:pPr>
            <w:r w:rsidRPr="00BE1B5C">
              <w:rPr>
                <w:color w:val="FF9900"/>
                <w:sz w:val="18"/>
                <w:szCs w:val="18"/>
              </w:rPr>
              <w:sym w:font="Webdings" w:char="F067"/>
            </w:r>
          </w:p>
        </w:tc>
        <w:tc>
          <w:tcPr>
            <w:tcW w:w="600" w:type="dxa"/>
            <w:tcBorders>
              <w:top w:val="single" w:sz="2" w:space="0" w:color="808080"/>
              <w:left w:val="single" w:sz="2" w:space="0" w:color="808080"/>
              <w:bottom w:val="single" w:sz="2" w:space="0" w:color="808080"/>
              <w:right w:val="single" w:sz="2" w:space="0" w:color="808080"/>
            </w:tcBorders>
            <w:tcMar>
              <w:top w:w="28" w:type="dxa"/>
              <w:left w:w="57" w:type="dxa"/>
              <w:bottom w:w="28" w:type="dxa"/>
              <w:right w:w="57" w:type="dxa"/>
            </w:tcMar>
            <w:vAlign w:val="center"/>
          </w:tcPr>
          <w:p w14:paraId="10912E82" w14:textId="77777777" w:rsidR="00EB4D32" w:rsidRPr="004F78AA" w:rsidRDefault="00EB4D32" w:rsidP="00913198">
            <w:pPr>
              <w:pStyle w:val="TableDataEntries"/>
              <w:spacing w:before="60" w:after="60"/>
              <w:jc w:val="center"/>
            </w:pPr>
            <w:r w:rsidRPr="00BE1B5C">
              <w:rPr>
                <w:color w:val="FFCC00"/>
                <w:sz w:val="18"/>
                <w:szCs w:val="18"/>
              </w:rPr>
              <w:sym w:font="Webdings" w:char="F067"/>
            </w:r>
          </w:p>
        </w:tc>
        <w:tc>
          <w:tcPr>
            <w:tcW w:w="480" w:type="dxa"/>
            <w:tcBorders>
              <w:top w:val="single" w:sz="2" w:space="0" w:color="808080"/>
              <w:left w:val="single" w:sz="2" w:space="0" w:color="808080"/>
              <w:bottom w:val="single" w:sz="2" w:space="0" w:color="808080"/>
              <w:right w:val="single" w:sz="2" w:space="0" w:color="808080"/>
            </w:tcBorders>
            <w:tcMar>
              <w:top w:w="28" w:type="dxa"/>
              <w:left w:w="57" w:type="dxa"/>
              <w:bottom w:w="28" w:type="dxa"/>
              <w:right w:w="57" w:type="dxa"/>
            </w:tcMar>
            <w:vAlign w:val="center"/>
          </w:tcPr>
          <w:p w14:paraId="10912E83" w14:textId="77777777" w:rsidR="00EB4D32" w:rsidRPr="004F78AA" w:rsidRDefault="00EB4D32" w:rsidP="00913198">
            <w:pPr>
              <w:pStyle w:val="TableDataEntries"/>
              <w:spacing w:before="60" w:after="60"/>
              <w:jc w:val="center"/>
            </w:pPr>
            <w:r w:rsidRPr="00BE1B5C">
              <w:rPr>
                <w:color w:val="FFCC00"/>
                <w:sz w:val="18"/>
                <w:szCs w:val="18"/>
              </w:rPr>
              <w:sym w:font="Webdings" w:char="F067"/>
            </w:r>
          </w:p>
        </w:tc>
        <w:tc>
          <w:tcPr>
            <w:tcW w:w="583" w:type="dxa"/>
            <w:tcBorders>
              <w:top w:val="single" w:sz="2" w:space="0" w:color="808080"/>
              <w:left w:val="single" w:sz="2" w:space="0" w:color="808080"/>
              <w:bottom w:val="single" w:sz="2" w:space="0" w:color="808080"/>
              <w:right w:val="single" w:sz="12" w:space="0" w:color="auto"/>
            </w:tcBorders>
            <w:vAlign w:val="center"/>
          </w:tcPr>
          <w:p w14:paraId="10912E84" w14:textId="77777777" w:rsidR="00EB4D32" w:rsidRPr="004F78AA" w:rsidRDefault="00EB4D32" w:rsidP="00913198">
            <w:pPr>
              <w:pStyle w:val="TableDataEntries"/>
              <w:spacing w:before="60" w:after="60"/>
              <w:jc w:val="center"/>
            </w:pPr>
            <w:r w:rsidRPr="00BE1B5C">
              <w:rPr>
                <w:color w:val="FFCC00"/>
                <w:sz w:val="18"/>
                <w:szCs w:val="18"/>
              </w:rPr>
              <w:sym w:font="Webdings" w:char="F067"/>
            </w:r>
          </w:p>
        </w:tc>
        <w:tc>
          <w:tcPr>
            <w:tcW w:w="535" w:type="dxa"/>
            <w:tcBorders>
              <w:top w:val="single" w:sz="2" w:space="0" w:color="808080"/>
              <w:left w:val="single" w:sz="12" w:space="0" w:color="auto"/>
              <w:bottom w:val="single" w:sz="2" w:space="0" w:color="808080"/>
              <w:right w:val="single" w:sz="12" w:space="0" w:color="auto"/>
            </w:tcBorders>
            <w:vAlign w:val="center"/>
          </w:tcPr>
          <w:p w14:paraId="10912E85" w14:textId="77777777" w:rsidR="00EB4D32" w:rsidRDefault="00EB4D32" w:rsidP="00913198">
            <w:pPr>
              <w:pStyle w:val="TableDataEntries"/>
              <w:spacing w:before="60" w:after="60"/>
              <w:jc w:val="center"/>
              <w:rPr>
                <w:color w:val="FFCC00"/>
                <w:sz w:val="18"/>
                <w:szCs w:val="18"/>
              </w:rPr>
            </w:pPr>
            <w:r w:rsidRPr="00BE1B5C">
              <w:rPr>
                <w:color w:val="FFCC00"/>
                <w:sz w:val="18"/>
                <w:szCs w:val="18"/>
              </w:rPr>
              <w:sym w:font="Webdings" w:char="F067"/>
            </w:r>
          </w:p>
          <w:p w14:paraId="10912E86" w14:textId="77777777" w:rsidR="00EB4D32" w:rsidRPr="004F78AA" w:rsidRDefault="00EB4D32" w:rsidP="00913198">
            <w:pPr>
              <w:pStyle w:val="TableDataEntries"/>
              <w:spacing w:before="60" w:after="60"/>
              <w:jc w:val="center"/>
            </w:pPr>
            <w:r>
              <w:rPr>
                <w:color w:val="000000" w:themeColor="text1"/>
                <w:sz w:val="18"/>
                <w:szCs w:val="18"/>
              </w:rPr>
              <w:t>4</w:t>
            </w:r>
          </w:p>
        </w:tc>
      </w:tr>
    </w:tbl>
    <w:p w14:paraId="10912E88" w14:textId="77777777" w:rsidR="00EB4D32" w:rsidRDefault="00EB4D32" w:rsidP="00EB4D32">
      <w:pPr>
        <w:pStyle w:val="Note"/>
        <w:ind w:left="284"/>
        <w:rPr>
          <w:rFonts w:ascii="Franklin Gothic Medium" w:hAnsi="Franklin Gothic Medium"/>
        </w:rPr>
      </w:pPr>
    </w:p>
    <w:p w14:paraId="10912E89" w14:textId="77777777" w:rsidR="00EB4D32" w:rsidRPr="00AF63F8" w:rsidRDefault="00EB4D32" w:rsidP="00EB4D32">
      <w:pPr>
        <w:pStyle w:val="Note"/>
        <w:ind w:left="284"/>
        <w:rPr>
          <w:rFonts w:ascii="Franklin Gothic Medium" w:hAnsi="Franklin Gothic Medium"/>
        </w:rPr>
      </w:pPr>
      <w:r w:rsidRPr="00AF63F8">
        <w:rPr>
          <w:rFonts w:ascii="Franklin Gothic Medium" w:hAnsi="Franklin Gothic Medium"/>
        </w:rPr>
        <w:t>Definitions of rating scale</w:t>
      </w:r>
      <w:r>
        <w:rPr>
          <w:rFonts w:ascii="Franklin Gothic Medium" w:hAnsi="Franklin Gothic Medium"/>
        </w:rPr>
        <w:t>:</w:t>
      </w:r>
    </w:p>
    <w:tbl>
      <w:tblPr>
        <w:tblW w:w="7938" w:type="dxa"/>
        <w:tblInd w:w="3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3946"/>
        <w:gridCol w:w="3992"/>
      </w:tblGrid>
      <w:tr w:rsidR="00EB4D32" w:rsidRPr="00AF63F8" w14:paraId="10912E8C" w14:textId="77777777" w:rsidTr="00EB4D32">
        <w:trPr>
          <w:cantSplit/>
        </w:trPr>
        <w:tc>
          <w:tcPr>
            <w:tcW w:w="3946" w:type="dxa"/>
            <w:tcBorders>
              <w:top w:val="nil"/>
              <w:left w:val="nil"/>
              <w:bottom w:val="nil"/>
              <w:right w:val="nil"/>
            </w:tcBorders>
            <w:noWrap/>
            <w:vAlign w:val="bottom"/>
          </w:tcPr>
          <w:p w14:paraId="10912E8A" w14:textId="77777777" w:rsidR="00EB4D32" w:rsidRPr="00FA78BE" w:rsidRDefault="00EB4D32" w:rsidP="00913198">
            <w:pPr>
              <w:pStyle w:val="Note"/>
              <w:spacing w:before="20" w:after="20"/>
              <w:ind w:left="-57"/>
              <w:rPr>
                <w:rFonts w:ascii="Franklin Gothic Medium" w:hAnsi="Franklin Gothic Medium"/>
              </w:rPr>
            </w:pPr>
            <w:r w:rsidRPr="00FA78BE">
              <w:rPr>
                <w:rFonts w:ascii="Franklin Gothic Medium" w:hAnsi="Franklin Gothic Medium"/>
              </w:rPr>
              <w:t>Satisfactory (4, 5 and 6)</w:t>
            </w:r>
          </w:p>
        </w:tc>
        <w:tc>
          <w:tcPr>
            <w:tcW w:w="3992" w:type="dxa"/>
            <w:tcBorders>
              <w:top w:val="nil"/>
              <w:left w:val="nil"/>
              <w:bottom w:val="nil"/>
              <w:right w:val="nil"/>
            </w:tcBorders>
            <w:noWrap/>
            <w:vAlign w:val="bottom"/>
          </w:tcPr>
          <w:p w14:paraId="10912E8B" w14:textId="77777777" w:rsidR="00EB4D32" w:rsidRPr="00FA78BE" w:rsidRDefault="00EB4D32" w:rsidP="00913198">
            <w:pPr>
              <w:pStyle w:val="Note"/>
              <w:spacing w:before="20" w:after="20"/>
              <w:ind w:left="-57"/>
              <w:rPr>
                <w:rFonts w:ascii="Franklin Gothic Medium" w:hAnsi="Franklin Gothic Medium"/>
              </w:rPr>
            </w:pPr>
            <w:r w:rsidRPr="00FA78BE">
              <w:rPr>
                <w:rFonts w:ascii="Franklin Gothic Medium" w:hAnsi="Franklin Gothic Medium"/>
              </w:rPr>
              <w:t>Less than satisfactory (1, 2 and 3)</w:t>
            </w:r>
          </w:p>
        </w:tc>
      </w:tr>
      <w:tr w:rsidR="00EB4D32" w:rsidRPr="00D7139C" w14:paraId="10912E8F" w14:textId="77777777" w:rsidTr="00EB4D32">
        <w:trPr>
          <w:cantSplit/>
          <w:trHeight w:val="227"/>
        </w:trPr>
        <w:tc>
          <w:tcPr>
            <w:tcW w:w="3946" w:type="dxa"/>
            <w:tcBorders>
              <w:top w:val="nil"/>
              <w:left w:val="nil"/>
              <w:bottom w:val="nil"/>
              <w:right w:val="nil"/>
            </w:tcBorders>
            <w:tcMar>
              <w:top w:w="0" w:type="dxa"/>
              <w:bottom w:w="0" w:type="dxa"/>
            </w:tcMar>
            <w:vAlign w:val="bottom"/>
          </w:tcPr>
          <w:p w14:paraId="10912E8D" w14:textId="77777777" w:rsidR="00EB4D32" w:rsidRPr="00FA78BE" w:rsidRDefault="00EB4D32" w:rsidP="00913198">
            <w:pPr>
              <w:pStyle w:val="Note"/>
              <w:spacing w:before="0"/>
            </w:pPr>
            <w:r w:rsidRPr="00FA78BE">
              <w:rPr>
                <w:color w:val="99CC00"/>
                <w:sz w:val="18"/>
                <w:szCs w:val="18"/>
              </w:rPr>
              <w:sym w:font="Webdings" w:char="F067"/>
            </w:r>
            <w:r w:rsidRPr="00FA78BE">
              <w:t xml:space="preserve"> = 6 = Very high quality</w:t>
            </w:r>
          </w:p>
        </w:tc>
        <w:tc>
          <w:tcPr>
            <w:tcW w:w="3992" w:type="dxa"/>
            <w:tcBorders>
              <w:top w:val="nil"/>
              <w:left w:val="nil"/>
              <w:bottom w:val="nil"/>
              <w:right w:val="nil"/>
            </w:tcBorders>
            <w:noWrap/>
            <w:tcMar>
              <w:top w:w="0" w:type="dxa"/>
              <w:bottom w:w="0" w:type="dxa"/>
            </w:tcMar>
            <w:vAlign w:val="bottom"/>
          </w:tcPr>
          <w:p w14:paraId="10912E8E" w14:textId="77777777" w:rsidR="00EB4D32" w:rsidRPr="00FA78BE" w:rsidRDefault="00EB4D32" w:rsidP="00913198">
            <w:pPr>
              <w:pStyle w:val="Note"/>
              <w:spacing w:before="0"/>
            </w:pPr>
            <w:r w:rsidRPr="00FA78BE">
              <w:rPr>
                <w:color w:val="FF9900"/>
                <w:sz w:val="18"/>
                <w:szCs w:val="18"/>
              </w:rPr>
              <w:sym w:font="Webdings" w:char="F067"/>
            </w:r>
            <w:r w:rsidRPr="00FA78BE">
              <w:t xml:space="preserve"> = 3 = Less than adequate quality; needs significant work</w:t>
            </w:r>
          </w:p>
        </w:tc>
      </w:tr>
      <w:tr w:rsidR="00EB4D32" w:rsidRPr="00D7139C" w14:paraId="10912E92" w14:textId="77777777" w:rsidTr="00EB4D32">
        <w:trPr>
          <w:cantSplit/>
          <w:trHeight w:val="227"/>
        </w:trPr>
        <w:tc>
          <w:tcPr>
            <w:tcW w:w="3946" w:type="dxa"/>
            <w:tcBorders>
              <w:top w:val="nil"/>
              <w:left w:val="nil"/>
              <w:bottom w:val="nil"/>
              <w:right w:val="nil"/>
            </w:tcBorders>
            <w:tcMar>
              <w:top w:w="0" w:type="dxa"/>
              <w:bottom w:w="0" w:type="dxa"/>
            </w:tcMar>
            <w:vAlign w:val="bottom"/>
          </w:tcPr>
          <w:p w14:paraId="10912E90" w14:textId="77777777" w:rsidR="00EB4D32" w:rsidRPr="00FA78BE" w:rsidRDefault="00EB4D32" w:rsidP="00913198">
            <w:pPr>
              <w:pStyle w:val="Note"/>
              <w:spacing w:before="0"/>
            </w:pPr>
            <w:r w:rsidRPr="00FA78BE">
              <w:rPr>
                <w:color w:val="99CC00"/>
                <w:sz w:val="18"/>
                <w:szCs w:val="18"/>
              </w:rPr>
              <w:sym w:font="Webdings" w:char="F067"/>
            </w:r>
            <w:r w:rsidRPr="00FA78BE">
              <w:t xml:space="preserve"> = 5 = Good quality</w:t>
            </w:r>
          </w:p>
        </w:tc>
        <w:tc>
          <w:tcPr>
            <w:tcW w:w="3992" w:type="dxa"/>
            <w:tcBorders>
              <w:top w:val="nil"/>
              <w:left w:val="nil"/>
              <w:bottom w:val="nil"/>
              <w:right w:val="nil"/>
            </w:tcBorders>
            <w:noWrap/>
            <w:tcMar>
              <w:top w:w="0" w:type="dxa"/>
              <w:bottom w:w="0" w:type="dxa"/>
            </w:tcMar>
            <w:vAlign w:val="bottom"/>
          </w:tcPr>
          <w:p w14:paraId="10912E91" w14:textId="77777777" w:rsidR="00EB4D32" w:rsidRPr="00FA78BE" w:rsidRDefault="00EB4D32" w:rsidP="00913198">
            <w:pPr>
              <w:pStyle w:val="Note"/>
              <w:spacing w:before="0"/>
            </w:pPr>
            <w:r w:rsidRPr="00FA78BE">
              <w:rPr>
                <w:color w:val="FF0000"/>
                <w:sz w:val="18"/>
                <w:szCs w:val="18"/>
              </w:rPr>
              <w:sym w:font="Webdings" w:char="F067"/>
            </w:r>
            <w:r w:rsidRPr="00FA78BE">
              <w:t xml:space="preserve"> = 2 = Poor quality; needs major work</w:t>
            </w:r>
          </w:p>
        </w:tc>
      </w:tr>
      <w:tr w:rsidR="00EB4D32" w:rsidRPr="00D7139C" w14:paraId="10912E95" w14:textId="77777777" w:rsidTr="00EB4D32">
        <w:trPr>
          <w:cantSplit/>
          <w:trHeight w:val="227"/>
        </w:trPr>
        <w:tc>
          <w:tcPr>
            <w:tcW w:w="3946" w:type="dxa"/>
            <w:tcBorders>
              <w:top w:val="nil"/>
              <w:left w:val="nil"/>
              <w:bottom w:val="nil"/>
              <w:right w:val="nil"/>
            </w:tcBorders>
            <w:tcMar>
              <w:top w:w="0" w:type="dxa"/>
              <w:bottom w:w="0" w:type="dxa"/>
            </w:tcMar>
            <w:vAlign w:val="bottom"/>
          </w:tcPr>
          <w:p w14:paraId="10912E93" w14:textId="77777777" w:rsidR="00EB4D32" w:rsidRPr="00FA78BE" w:rsidRDefault="00EB4D32" w:rsidP="00913198">
            <w:pPr>
              <w:pStyle w:val="Note"/>
              <w:spacing w:before="0"/>
            </w:pPr>
            <w:r w:rsidRPr="00FA78BE">
              <w:rPr>
                <w:color w:val="FFCC00"/>
                <w:sz w:val="18"/>
                <w:szCs w:val="18"/>
              </w:rPr>
              <w:sym w:font="Webdings" w:char="F067"/>
            </w:r>
            <w:r w:rsidRPr="00FA78BE">
              <w:t xml:space="preserve"> = 4 = Adequate quality; needs some work</w:t>
            </w:r>
          </w:p>
        </w:tc>
        <w:tc>
          <w:tcPr>
            <w:tcW w:w="3992" w:type="dxa"/>
            <w:tcBorders>
              <w:top w:val="nil"/>
              <w:left w:val="nil"/>
              <w:bottom w:val="nil"/>
              <w:right w:val="nil"/>
            </w:tcBorders>
            <w:noWrap/>
            <w:tcMar>
              <w:top w:w="0" w:type="dxa"/>
              <w:bottom w:w="0" w:type="dxa"/>
            </w:tcMar>
            <w:vAlign w:val="bottom"/>
          </w:tcPr>
          <w:p w14:paraId="10912E94" w14:textId="77777777" w:rsidR="00EB4D32" w:rsidRPr="00FA78BE" w:rsidRDefault="00EB4D32" w:rsidP="00913198">
            <w:pPr>
              <w:pStyle w:val="Note"/>
              <w:spacing w:before="0"/>
            </w:pPr>
            <w:r w:rsidRPr="00FA78BE">
              <w:rPr>
                <w:color w:val="FF0000"/>
                <w:sz w:val="18"/>
                <w:szCs w:val="18"/>
              </w:rPr>
              <w:sym w:font="Webdings" w:char="F067"/>
            </w:r>
            <w:r w:rsidRPr="00FA78BE">
              <w:t xml:space="preserve"> = 1 = Very poor quality; needs major overhaul</w:t>
            </w:r>
          </w:p>
        </w:tc>
      </w:tr>
    </w:tbl>
    <w:p w14:paraId="10912E96" w14:textId="77777777" w:rsidR="00EB4D32" w:rsidRDefault="00EB4D32" w:rsidP="00EB4D32">
      <w:pPr>
        <w:ind w:left="284"/>
        <w:rPr>
          <w:szCs w:val="20"/>
        </w:rPr>
      </w:pPr>
    </w:p>
    <w:p w14:paraId="10912E97" w14:textId="77777777" w:rsidR="00A34995" w:rsidRDefault="00EB4D32" w:rsidP="00BA223F">
      <w:pPr>
        <w:pStyle w:val="Heading1"/>
      </w:pPr>
      <w:r>
        <w:br w:type="page"/>
      </w:r>
      <w:r w:rsidR="00A34995">
        <w:t xml:space="preserve">Annex </w:t>
      </w:r>
      <w:r w:rsidR="003F36D7">
        <w:t>C</w:t>
      </w:r>
      <w:r w:rsidR="00A34995">
        <w:t>:</w:t>
      </w:r>
    </w:p>
    <w:p w14:paraId="10912E98" w14:textId="77777777" w:rsidR="00A34995" w:rsidRDefault="00A34995" w:rsidP="00A34995">
      <w:pPr>
        <w:spacing w:before="80" w:after="80" w:line="280" w:lineRule="atLeast"/>
        <w:jc w:val="both"/>
        <w:rPr>
          <w:rFonts w:ascii="Franklin Gothic Demi" w:hAnsi="Franklin Gothic Demi"/>
          <w:color w:val="AD495D"/>
          <w:kern w:val="28"/>
          <w:sz w:val="28"/>
          <w:szCs w:val="28"/>
        </w:rPr>
      </w:pPr>
    </w:p>
    <w:p w14:paraId="10912E99" w14:textId="77777777" w:rsidR="00A34995" w:rsidRPr="00443799" w:rsidRDefault="00A34995" w:rsidP="00A34995">
      <w:pPr>
        <w:spacing w:before="80" w:after="80" w:line="280" w:lineRule="atLeast"/>
        <w:jc w:val="both"/>
      </w:pPr>
      <w:r>
        <w:t>Status of 2010 management consequences</w:t>
      </w:r>
    </w:p>
    <w:tbl>
      <w:tblPr>
        <w:tblW w:w="8280" w:type="dxa"/>
        <w:tblInd w:w="57" w:type="dxa"/>
        <w:tblLayout w:type="fixed"/>
        <w:tblLook w:val="0000" w:firstRow="0" w:lastRow="0" w:firstColumn="0" w:lastColumn="0" w:noHBand="0" w:noVBand="0"/>
      </w:tblPr>
      <w:tblGrid>
        <w:gridCol w:w="2646"/>
        <w:gridCol w:w="1554"/>
        <w:gridCol w:w="4080"/>
      </w:tblGrid>
      <w:tr w:rsidR="00A34995" w14:paraId="10912E9D" w14:textId="77777777" w:rsidTr="002E7476">
        <w:trPr>
          <w:trHeight w:val="431"/>
        </w:trPr>
        <w:tc>
          <w:tcPr>
            <w:tcW w:w="2646" w:type="dxa"/>
            <w:tcBorders>
              <w:top w:val="single" w:sz="12" w:space="0" w:color="auto"/>
              <w:bottom w:val="single" w:sz="2" w:space="0" w:color="auto"/>
            </w:tcBorders>
            <w:tcMar>
              <w:left w:w="57" w:type="dxa"/>
              <w:right w:w="57" w:type="dxa"/>
            </w:tcMar>
          </w:tcPr>
          <w:p w14:paraId="10912E9A" w14:textId="77777777" w:rsidR="00A34995" w:rsidRDefault="00A34995" w:rsidP="002E7476">
            <w:pPr>
              <w:pStyle w:val="TableTextColumnHeading"/>
            </w:pPr>
            <w:r>
              <w:t>Management Consequence</w:t>
            </w:r>
          </w:p>
        </w:tc>
        <w:tc>
          <w:tcPr>
            <w:tcW w:w="1554" w:type="dxa"/>
            <w:tcBorders>
              <w:top w:val="single" w:sz="12" w:space="0" w:color="auto"/>
              <w:bottom w:val="single" w:sz="2" w:space="0" w:color="auto"/>
            </w:tcBorders>
            <w:tcMar>
              <w:left w:w="57" w:type="dxa"/>
              <w:right w:w="57" w:type="dxa"/>
            </w:tcMar>
          </w:tcPr>
          <w:p w14:paraId="10912E9B" w14:textId="77777777" w:rsidR="00A34995" w:rsidRDefault="00A34995" w:rsidP="002E7476">
            <w:pPr>
              <w:pStyle w:val="TableTextColumnHeading"/>
            </w:pPr>
            <w:r>
              <w:t>Status</w:t>
            </w:r>
          </w:p>
        </w:tc>
        <w:tc>
          <w:tcPr>
            <w:tcW w:w="4080" w:type="dxa"/>
            <w:tcBorders>
              <w:top w:val="single" w:sz="12" w:space="0" w:color="auto"/>
              <w:bottom w:val="single" w:sz="2" w:space="0" w:color="auto"/>
            </w:tcBorders>
            <w:tcMar>
              <w:left w:w="57" w:type="dxa"/>
              <w:right w:w="57" w:type="dxa"/>
            </w:tcMar>
          </w:tcPr>
          <w:p w14:paraId="10912E9C" w14:textId="77777777" w:rsidR="00A34995" w:rsidRDefault="00A34995" w:rsidP="002E7476">
            <w:pPr>
              <w:pStyle w:val="TableTextColumnHeading"/>
            </w:pPr>
            <w:r>
              <w:t>Comment</w:t>
            </w:r>
          </w:p>
        </w:tc>
      </w:tr>
      <w:tr w:rsidR="00A34995" w14:paraId="10912EAC" w14:textId="77777777" w:rsidTr="002E7476">
        <w:tc>
          <w:tcPr>
            <w:tcW w:w="2646" w:type="dxa"/>
            <w:tcBorders>
              <w:top w:val="single" w:sz="2" w:space="0" w:color="auto"/>
            </w:tcBorders>
            <w:tcMar>
              <w:left w:w="57" w:type="dxa"/>
              <w:right w:w="57" w:type="dxa"/>
            </w:tcMar>
          </w:tcPr>
          <w:p w14:paraId="10912E9E" w14:textId="77777777" w:rsidR="00A34995" w:rsidRDefault="00A34995" w:rsidP="002E7476">
            <w:pPr>
              <w:pStyle w:val="TableTextEntries"/>
            </w:pPr>
            <w:r>
              <w:t>Work with like-minded donors to encourage key regional organisations to address performance issues.</w:t>
            </w:r>
          </w:p>
          <w:p w14:paraId="10912E9F" w14:textId="77777777" w:rsidR="00A34995" w:rsidRDefault="00A34995" w:rsidP="002E7476">
            <w:pPr>
              <w:pStyle w:val="TableTextEntries"/>
            </w:pPr>
          </w:p>
          <w:p w14:paraId="10912EA0" w14:textId="77777777" w:rsidR="00A34995" w:rsidRDefault="00A34995" w:rsidP="002E7476">
            <w:pPr>
              <w:pStyle w:val="TableTextEntries"/>
            </w:pPr>
            <w:r>
              <w:t>Clarify AusAID profile and role in relation to each key partner organisation.</w:t>
            </w:r>
          </w:p>
        </w:tc>
        <w:tc>
          <w:tcPr>
            <w:tcW w:w="1554" w:type="dxa"/>
            <w:tcBorders>
              <w:top w:val="single" w:sz="2" w:space="0" w:color="auto"/>
            </w:tcBorders>
            <w:tcMar>
              <w:left w:w="57" w:type="dxa"/>
              <w:right w:w="57" w:type="dxa"/>
            </w:tcMar>
          </w:tcPr>
          <w:p w14:paraId="10912EA1" w14:textId="77777777" w:rsidR="00A34995" w:rsidRDefault="00A34995" w:rsidP="002E7476">
            <w:pPr>
              <w:pStyle w:val="TableTextEntries"/>
              <w:rPr>
                <w:sz w:val="18"/>
              </w:rPr>
            </w:pPr>
            <w:r>
              <w:rPr>
                <w:sz w:val="18"/>
              </w:rPr>
              <w:t>Ac</w:t>
            </w:r>
            <w:r w:rsidRPr="00E35DB8">
              <w:rPr>
                <w:sz w:val="18"/>
              </w:rPr>
              <w:t>hieved</w:t>
            </w:r>
          </w:p>
          <w:p w14:paraId="10912EA2" w14:textId="77777777" w:rsidR="00A34995" w:rsidRDefault="00A34995" w:rsidP="002E7476">
            <w:pPr>
              <w:pStyle w:val="TableTextEntries"/>
              <w:rPr>
                <w:sz w:val="18"/>
              </w:rPr>
            </w:pPr>
          </w:p>
          <w:p w14:paraId="10912EA3" w14:textId="77777777" w:rsidR="00A34995" w:rsidRDefault="00A34995" w:rsidP="002E7476">
            <w:pPr>
              <w:pStyle w:val="TableTextEntries"/>
              <w:rPr>
                <w:sz w:val="18"/>
              </w:rPr>
            </w:pPr>
          </w:p>
          <w:p w14:paraId="10912EA4" w14:textId="77777777" w:rsidR="00A34995" w:rsidRDefault="00A34995" w:rsidP="002E7476">
            <w:pPr>
              <w:pStyle w:val="TableTextEntries"/>
              <w:rPr>
                <w:sz w:val="18"/>
              </w:rPr>
            </w:pPr>
          </w:p>
          <w:p w14:paraId="10912EA5" w14:textId="77777777" w:rsidR="00A34995" w:rsidRDefault="00A34995" w:rsidP="002E7476">
            <w:pPr>
              <w:pStyle w:val="TableTextEntries"/>
              <w:rPr>
                <w:sz w:val="18"/>
              </w:rPr>
            </w:pPr>
          </w:p>
          <w:p w14:paraId="10912EA6" w14:textId="77777777" w:rsidR="00A34995" w:rsidRPr="00E35DB8" w:rsidRDefault="00A34995" w:rsidP="002E7476">
            <w:pPr>
              <w:pStyle w:val="TableTextEntries"/>
              <w:rPr>
                <w:color w:val="FF0000"/>
                <w:sz w:val="18"/>
              </w:rPr>
            </w:pPr>
            <w:r>
              <w:rPr>
                <w:sz w:val="18"/>
              </w:rPr>
              <w:t>Partly achieved</w:t>
            </w:r>
          </w:p>
        </w:tc>
        <w:tc>
          <w:tcPr>
            <w:tcW w:w="4080" w:type="dxa"/>
            <w:tcBorders>
              <w:top w:val="single" w:sz="2" w:space="0" w:color="auto"/>
            </w:tcBorders>
            <w:tcMar>
              <w:left w:w="57" w:type="dxa"/>
              <w:right w:w="57" w:type="dxa"/>
            </w:tcMar>
          </w:tcPr>
          <w:p w14:paraId="10912EA7" w14:textId="77777777" w:rsidR="00A34995" w:rsidRDefault="00A34995" w:rsidP="002E7476">
            <w:pPr>
              <w:pStyle w:val="TableTextEntries"/>
            </w:pPr>
            <w:r>
              <w:t>AusAID is regularly represented on donor committees particular for CDEMA and CARTAC which also feature the Canada and UK. This is an ongoing process.</w:t>
            </w:r>
          </w:p>
          <w:p w14:paraId="10912EA8" w14:textId="77777777" w:rsidR="00A34995" w:rsidRDefault="00A34995" w:rsidP="002E7476">
            <w:pPr>
              <w:pStyle w:val="TableTextEntries"/>
            </w:pPr>
          </w:p>
          <w:p w14:paraId="10912EA9" w14:textId="77777777" w:rsidR="00A34995" w:rsidRDefault="00A34995" w:rsidP="002E7476">
            <w:pPr>
              <w:pStyle w:val="TableTextEntries"/>
            </w:pPr>
          </w:p>
          <w:p w14:paraId="10912EAA" w14:textId="77777777" w:rsidR="00A34995" w:rsidRDefault="00A34995" w:rsidP="002E7476">
            <w:pPr>
              <w:pStyle w:val="TableTextEntries"/>
            </w:pPr>
            <w:r>
              <w:t xml:space="preserve">Performance assessment framework being developed for implementing in 2012.   </w:t>
            </w:r>
          </w:p>
          <w:p w14:paraId="10912EAB" w14:textId="77777777" w:rsidR="00A34995" w:rsidRDefault="00A34995" w:rsidP="002E7476">
            <w:pPr>
              <w:pStyle w:val="TableTextEntries"/>
            </w:pPr>
          </w:p>
        </w:tc>
      </w:tr>
      <w:tr w:rsidR="00A34995" w14:paraId="10912EBC" w14:textId="77777777" w:rsidTr="002E7476">
        <w:tc>
          <w:tcPr>
            <w:tcW w:w="2646" w:type="dxa"/>
            <w:tcMar>
              <w:left w:w="57" w:type="dxa"/>
              <w:right w:w="57" w:type="dxa"/>
            </w:tcMar>
          </w:tcPr>
          <w:p w14:paraId="10912EAD" w14:textId="77777777" w:rsidR="00A34995" w:rsidRDefault="00A34995" w:rsidP="002E7476">
            <w:pPr>
              <w:pStyle w:val="TableTextEntries"/>
            </w:pPr>
            <w:r>
              <w:t>Work to strengthen and deepen established relationships.</w:t>
            </w:r>
          </w:p>
          <w:p w14:paraId="10912EAE" w14:textId="77777777" w:rsidR="00A34995" w:rsidRDefault="00A34995" w:rsidP="002E7476">
            <w:pPr>
              <w:pStyle w:val="TableTextEntries"/>
            </w:pPr>
          </w:p>
          <w:p w14:paraId="10912EAF" w14:textId="77777777" w:rsidR="00A34995" w:rsidRDefault="00A34995" w:rsidP="002E7476">
            <w:pPr>
              <w:pStyle w:val="TableTextEntries"/>
            </w:pPr>
          </w:p>
          <w:p w14:paraId="10912EB0" w14:textId="77777777" w:rsidR="00A34995" w:rsidRDefault="00A34995" w:rsidP="002E7476">
            <w:pPr>
              <w:pStyle w:val="TableTextEntries"/>
            </w:pPr>
          </w:p>
          <w:p w14:paraId="10912EB1" w14:textId="77777777" w:rsidR="00A34995" w:rsidRDefault="00A34995" w:rsidP="002E7476">
            <w:pPr>
              <w:pStyle w:val="TableTextEntries"/>
            </w:pPr>
            <w:r>
              <w:t xml:space="preserve">Build knowledge of the region in AusAID and Australia, and of Australia in the region </w:t>
            </w:r>
          </w:p>
        </w:tc>
        <w:tc>
          <w:tcPr>
            <w:tcW w:w="1554" w:type="dxa"/>
            <w:tcMar>
              <w:left w:w="57" w:type="dxa"/>
              <w:right w:w="57" w:type="dxa"/>
            </w:tcMar>
          </w:tcPr>
          <w:p w14:paraId="10912EB2" w14:textId="77777777" w:rsidR="00A34995" w:rsidRDefault="00A34995" w:rsidP="002E7476">
            <w:pPr>
              <w:pStyle w:val="TableTextEntries"/>
            </w:pPr>
            <w:r>
              <w:t>Achieved</w:t>
            </w:r>
          </w:p>
          <w:p w14:paraId="10912EB3" w14:textId="77777777" w:rsidR="00A34995" w:rsidRDefault="00A34995" w:rsidP="002E7476">
            <w:pPr>
              <w:pStyle w:val="TableTextEntries"/>
            </w:pPr>
          </w:p>
          <w:p w14:paraId="10912EB4" w14:textId="77777777" w:rsidR="00A34995" w:rsidRDefault="00A34995" w:rsidP="002E7476">
            <w:pPr>
              <w:pStyle w:val="TableTextEntries"/>
            </w:pPr>
          </w:p>
          <w:p w14:paraId="10912EB5" w14:textId="77777777" w:rsidR="00A34995" w:rsidRDefault="00A34995" w:rsidP="002E7476">
            <w:pPr>
              <w:pStyle w:val="TableTextEntries"/>
            </w:pPr>
          </w:p>
          <w:p w14:paraId="10912EB6" w14:textId="77777777" w:rsidR="00A34995" w:rsidRDefault="00A34995" w:rsidP="002E7476">
            <w:pPr>
              <w:pStyle w:val="TableTextEntries"/>
            </w:pPr>
          </w:p>
          <w:p w14:paraId="10912EB7" w14:textId="77777777" w:rsidR="00A34995" w:rsidRDefault="00A34995" w:rsidP="002E7476">
            <w:pPr>
              <w:pStyle w:val="TableTextEntries"/>
            </w:pPr>
            <w:r>
              <w:t>Partly Achieved</w:t>
            </w:r>
          </w:p>
        </w:tc>
        <w:tc>
          <w:tcPr>
            <w:tcW w:w="4080" w:type="dxa"/>
            <w:tcMar>
              <w:left w:w="57" w:type="dxa"/>
              <w:right w:w="57" w:type="dxa"/>
            </w:tcMar>
          </w:tcPr>
          <w:p w14:paraId="10912EB8" w14:textId="77777777" w:rsidR="00A34995" w:rsidRDefault="00A34995" w:rsidP="002E7476">
            <w:pPr>
              <w:pStyle w:val="TableTextEntries"/>
            </w:pPr>
            <w:r>
              <w:t xml:space="preserve">Ministerial and Senior Official Visits continue to build relations with partner governments and CARICOM while regular donor meetings improve relations with development partners </w:t>
            </w:r>
          </w:p>
          <w:p w14:paraId="10912EB9" w14:textId="77777777" w:rsidR="00A34995" w:rsidRDefault="00A34995" w:rsidP="002E7476">
            <w:pPr>
              <w:pStyle w:val="TableTextEntries"/>
            </w:pPr>
          </w:p>
          <w:p w14:paraId="10912EBA" w14:textId="77777777" w:rsidR="00A34995" w:rsidRDefault="00A34995" w:rsidP="002E7476">
            <w:pPr>
              <w:pStyle w:val="TableTextEntries"/>
            </w:pPr>
            <w:r>
              <w:t>A communication strategy to be implemented in 2012, to increase understanding and awareness of the program as well as communicate results of the program to stakeholders.</w:t>
            </w:r>
          </w:p>
          <w:p w14:paraId="10912EBB" w14:textId="77777777" w:rsidR="00A34995" w:rsidRDefault="00A34995" w:rsidP="002E7476">
            <w:pPr>
              <w:pStyle w:val="TableTextEntries"/>
            </w:pPr>
          </w:p>
        </w:tc>
      </w:tr>
      <w:tr w:rsidR="00A34995" w14:paraId="10912EC1" w14:textId="77777777" w:rsidTr="002E7476">
        <w:tc>
          <w:tcPr>
            <w:tcW w:w="2646" w:type="dxa"/>
            <w:tcMar>
              <w:left w:w="57" w:type="dxa"/>
              <w:right w:w="57" w:type="dxa"/>
            </w:tcMar>
          </w:tcPr>
          <w:p w14:paraId="10912EBD" w14:textId="77777777" w:rsidR="00A34995" w:rsidRDefault="00A34995" w:rsidP="002E7476">
            <w:pPr>
              <w:pStyle w:val="TableTextEntries"/>
            </w:pPr>
            <w:r>
              <w:t>Dialogue with whole of government partners to ensure criteria of development effectiveness is understood and balance is maintained.</w:t>
            </w:r>
          </w:p>
        </w:tc>
        <w:tc>
          <w:tcPr>
            <w:tcW w:w="1554" w:type="dxa"/>
            <w:tcMar>
              <w:left w:w="57" w:type="dxa"/>
              <w:right w:w="57" w:type="dxa"/>
            </w:tcMar>
          </w:tcPr>
          <w:p w14:paraId="10912EBE" w14:textId="77777777" w:rsidR="00A34995" w:rsidRDefault="00A34995" w:rsidP="002E7476">
            <w:pPr>
              <w:pStyle w:val="TableTextEntries"/>
            </w:pPr>
            <w:r>
              <w:t>Partly Achieved</w:t>
            </w:r>
          </w:p>
        </w:tc>
        <w:tc>
          <w:tcPr>
            <w:tcW w:w="4080" w:type="dxa"/>
            <w:tcMar>
              <w:left w:w="57" w:type="dxa"/>
              <w:right w:w="57" w:type="dxa"/>
            </w:tcMar>
          </w:tcPr>
          <w:p w14:paraId="10912EBF" w14:textId="77777777" w:rsidR="00A34995" w:rsidRDefault="00A34995" w:rsidP="002E7476">
            <w:pPr>
              <w:pStyle w:val="TableTextEntries"/>
            </w:pPr>
            <w:r>
              <w:t>Regular consultation in region (particularly with HOMs) and in Canberra.</w:t>
            </w:r>
          </w:p>
          <w:p w14:paraId="10912EC0" w14:textId="77777777" w:rsidR="00A34995" w:rsidRDefault="00A34995" w:rsidP="002E7476">
            <w:pPr>
              <w:pStyle w:val="TableTextEntries"/>
            </w:pPr>
            <w:r>
              <w:t xml:space="preserve">Country architecture not in place but mid-term review is expected to increase understanding of development priorities </w:t>
            </w:r>
          </w:p>
        </w:tc>
      </w:tr>
      <w:tr w:rsidR="00A34995" w14:paraId="10912EE8" w14:textId="77777777" w:rsidTr="002E7476">
        <w:tc>
          <w:tcPr>
            <w:tcW w:w="2646" w:type="dxa"/>
            <w:tcMar>
              <w:left w:w="57" w:type="dxa"/>
              <w:right w:w="57" w:type="dxa"/>
            </w:tcMar>
          </w:tcPr>
          <w:p w14:paraId="10912EC2" w14:textId="77777777" w:rsidR="00A34995" w:rsidRDefault="00A34995" w:rsidP="002E7476">
            <w:pPr>
              <w:pStyle w:val="TableTextEntries"/>
            </w:pPr>
            <w:r>
              <w:t>Develop program performance framework.</w:t>
            </w:r>
          </w:p>
          <w:p w14:paraId="10912EC3" w14:textId="77777777" w:rsidR="00A34995" w:rsidRDefault="00A34995" w:rsidP="002E7476">
            <w:pPr>
              <w:pStyle w:val="TableTextEntries"/>
            </w:pPr>
          </w:p>
          <w:p w14:paraId="10912EC4" w14:textId="77777777" w:rsidR="00A34995" w:rsidRDefault="00A34995" w:rsidP="002E7476">
            <w:pPr>
              <w:pStyle w:val="TableTextEntries"/>
            </w:pPr>
          </w:p>
          <w:p w14:paraId="10912EC5" w14:textId="77777777" w:rsidR="00A34995" w:rsidRDefault="00A34995" w:rsidP="002E7476">
            <w:pPr>
              <w:pStyle w:val="TableTextEntries"/>
            </w:pPr>
            <w:r>
              <w:t>Increased understanding of how to meet AusAID reporting requirements.</w:t>
            </w:r>
          </w:p>
          <w:p w14:paraId="10912EC6" w14:textId="77777777" w:rsidR="00A34995" w:rsidRDefault="00A34995" w:rsidP="002E7476">
            <w:pPr>
              <w:pStyle w:val="TableTextEntries"/>
            </w:pPr>
          </w:p>
          <w:p w14:paraId="10912EC7" w14:textId="77777777" w:rsidR="00A34995" w:rsidRDefault="00A34995" w:rsidP="002E7476">
            <w:pPr>
              <w:pStyle w:val="TableTextEntries"/>
            </w:pPr>
          </w:p>
          <w:p w14:paraId="10912EC8" w14:textId="77777777" w:rsidR="00A34995" w:rsidRDefault="00A34995" w:rsidP="002E7476">
            <w:pPr>
              <w:pStyle w:val="TableTextEntries"/>
            </w:pPr>
            <w:r>
              <w:t>Develop a forward phase, multi- year work plan.</w:t>
            </w:r>
          </w:p>
          <w:p w14:paraId="10912EC9" w14:textId="77777777" w:rsidR="00A34995" w:rsidRDefault="00A34995" w:rsidP="002E7476">
            <w:pPr>
              <w:pStyle w:val="TableTextEntries"/>
            </w:pPr>
          </w:p>
          <w:p w14:paraId="10912ECA" w14:textId="77777777" w:rsidR="00A34995" w:rsidRDefault="00A34995" w:rsidP="002E7476">
            <w:pPr>
              <w:pStyle w:val="TableTextEntries"/>
            </w:pPr>
          </w:p>
          <w:p w14:paraId="10912ECB" w14:textId="77777777" w:rsidR="00A34995" w:rsidRDefault="00A34995" w:rsidP="002E7476">
            <w:pPr>
              <w:pStyle w:val="TableTextEntries"/>
            </w:pPr>
            <w:r>
              <w:t xml:space="preserve">Risk assessment of program partners and impact </w:t>
            </w:r>
          </w:p>
          <w:p w14:paraId="10912ECC" w14:textId="77777777" w:rsidR="00A34995" w:rsidRDefault="00A34995" w:rsidP="002E7476">
            <w:pPr>
              <w:pStyle w:val="TableTextEntries"/>
            </w:pPr>
          </w:p>
          <w:p w14:paraId="10912ECD" w14:textId="77777777" w:rsidR="00A34995" w:rsidRDefault="00A34995" w:rsidP="002E7476">
            <w:pPr>
              <w:pStyle w:val="TableTextEntries"/>
            </w:pPr>
            <w:r>
              <w:t>Consider mechanism for achieving consistency in staffing and building institutional knowledge and consistency in approaches.</w:t>
            </w:r>
          </w:p>
        </w:tc>
        <w:tc>
          <w:tcPr>
            <w:tcW w:w="1554" w:type="dxa"/>
            <w:tcMar>
              <w:left w:w="57" w:type="dxa"/>
              <w:right w:w="57" w:type="dxa"/>
            </w:tcMar>
          </w:tcPr>
          <w:p w14:paraId="10912ECE" w14:textId="77777777" w:rsidR="00A34995" w:rsidRDefault="00A34995" w:rsidP="002E7476">
            <w:pPr>
              <w:pStyle w:val="TableTextEntries"/>
            </w:pPr>
            <w:r>
              <w:t>Partly Achieved</w:t>
            </w:r>
          </w:p>
          <w:p w14:paraId="10912ECF" w14:textId="77777777" w:rsidR="00A34995" w:rsidRDefault="00A34995" w:rsidP="002E7476">
            <w:pPr>
              <w:pStyle w:val="TableTextEntries"/>
            </w:pPr>
          </w:p>
          <w:p w14:paraId="10912ED0" w14:textId="77777777" w:rsidR="00A34995" w:rsidRDefault="00A34995" w:rsidP="002E7476">
            <w:pPr>
              <w:pStyle w:val="TableTextEntries"/>
            </w:pPr>
          </w:p>
          <w:p w14:paraId="10912ED1" w14:textId="77777777" w:rsidR="00A34995" w:rsidRDefault="00A34995" w:rsidP="002E7476">
            <w:pPr>
              <w:pStyle w:val="TableTextEntries"/>
            </w:pPr>
          </w:p>
          <w:p w14:paraId="10912ED2" w14:textId="77777777" w:rsidR="00A34995" w:rsidRDefault="00A34995" w:rsidP="002E7476">
            <w:pPr>
              <w:pStyle w:val="TableTextEntries"/>
            </w:pPr>
            <w:r>
              <w:t>Partly Achieved</w:t>
            </w:r>
          </w:p>
          <w:p w14:paraId="10912ED3" w14:textId="77777777" w:rsidR="00A34995" w:rsidRDefault="00A34995" w:rsidP="002E7476">
            <w:pPr>
              <w:pStyle w:val="TableTextEntries"/>
            </w:pPr>
          </w:p>
          <w:p w14:paraId="10912ED4" w14:textId="77777777" w:rsidR="00A34995" w:rsidRDefault="00A34995" w:rsidP="002E7476">
            <w:pPr>
              <w:pStyle w:val="TableTextEntries"/>
            </w:pPr>
          </w:p>
          <w:p w14:paraId="10912ED5" w14:textId="77777777" w:rsidR="00A34995" w:rsidRDefault="00A34995" w:rsidP="002E7476">
            <w:pPr>
              <w:pStyle w:val="TableTextEntries"/>
            </w:pPr>
          </w:p>
          <w:p w14:paraId="10912ED6" w14:textId="77777777" w:rsidR="00A34995" w:rsidRDefault="00A34995" w:rsidP="002E7476">
            <w:pPr>
              <w:pStyle w:val="TableTextEntries"/>
            </w:pPr>
          </w:p>
          <w:p w14:paraId="10912ED7" w14:textId="77777777" w:rsidR="00A34995" w:rsidRDefault="00A34995" w:rsidP="002E7476">
            <w:pPr>
              <w:pStyle w:val="TableTextEntries"/>
            </w:pPr>
            <w:r>
              <w:t>Partly Achieved</w:t>
            </w:r>
          </w:p>
          <w:p w14:paraId="10912ED8" w14:textId="77777777" w:rsidR="00A34995" w:rsidRDefault="00A34995" w:rsidP="002E7476">
            <w:pPr>
              <w:pStyle w:val="TableTextEntries"/>
            </w:pPr>
          </w:p>
          <w:p w14:paraId="10912ED9" w14:textId="77777777" w:rsidR="00A34995" w:rsidRDefault="00A34995" w:rsidP="002E7476">
            <w:pPr>
              <w:pStyle w:val="TableTextEntries"/>
            </w:pPr>
          </w:p>
          <w:p w14:paraId="10912EDA" w14:textId="77777777" w:rsidR="00A34995" w:rsidRDefault="00A34995" w:rsidP="002E7476">
            <w:pPr>
              <w:pStyle w:val="TableTextEntries"/>
            </w:pPr>
            <w:r>
              <w:t>Partly achieved</w:t>
            </w:r>
          </w:p>
          <w:p w14:paraId="10912EDB" w14:textId="77777777" w:rsidR="00A34995" w:rsidRDefault="00A34995" w:rsidP="002E7476">
            <w:pPr>
              <w:pStyle w:val="TableTextEntries"/>
            </w:pPr>
          </w:p>
          <w:p w14:paraId="10912EDC" w14:textId="77777777" w:rsidR="00A34995" w:rsidRDefault="00A34995" w:rsidP="002E7476">
            <w:pPr>
              <w:pStyle w:val="TableTextEntries"/>
            </w:pPr>
          </w:p>
          <w:p w14:paraId="10912EDD" w14:textId="77777777" w:rsidR="00A34995" w:rsidRDefault="00A34995" w:rsidP="002E7476">
            <w:pPr>
              <w:pStyle w:val="TableTextEntries"/>
            </w:pPr>
            <w:r>
              <w:t>Not achieved</w:t>
            </w:r>
          </w:p>
        </w:tc>
        <w:tc>
          <w:tcPr>
            <w:tcW w:w="4080" w:type="dxa"/>
            <w:tcMar>
              <w:left w:w="57" w:type="dxa"/>
              <w:right w:w="57" w:type="dxa"/>
            </w:tcMar>
          </w:tcPr>
          <w:p w14:paraId="10912EDE" w14:textId="77777777" w:rsidR="00A34995" w:rsidRDefault="00A34995" w:rsidP="002E7476">
            <w:pPr>
              <w:pStyle w:val="TableTextEntries"/>
            </w:pPr>
            <w:r>
              <w:t>Framework to be complete and operational in 2012 and aligned with the Comprehensive Aid Policy Framework. Early progress being made on monitoring and developing case studies.</w:t>
            </w:r>
          </w:p>
          <w:p w14:paraId="10912EDF" w14:textId="77777777" w:rsidR="00A34995" w:rsidRDefault="00A34995" w:rsidP="002E7476">
            <w:pPr>
              <w:pStyle w:val="TableTextEntries"/>
            </w:pPr>
          </w:p>
          <w:p w14:paraId="10912EE0" w14:textId="77777777" w:rsidR="00A34995" w:rsidRDefault="00A34995" w:rsidP="002E7476">
            <w:pPr>
              <w:pStyle w:val="TableTextEntries"/>
            </w:pPr>
            <w:r>
              <w:t>Specialist M E support has been used to train staff to enhance reporting on result level data in QAIs and other briefings.  The same support will be provided to road test performance framework. Further program management training required.</w:t>
            </w:r>
          </w:p>
          <w:p w14:paraId="10912EE1" w14:textId="77777777" w:rsidR="00A34995" w:rsidRDefault="00A34995" w:rsidP="002E7476">
            <w:pPr>
              <w:pStyle w:val="TableTextEntries"/>
            </w:pPr>
          </w:p>
          <w:p w14:paraId="10912EE2" w14:textId="77777777" w:rsidR="00A34995" w:rsidRDefault="00A34995" w:rsidP="002E7476">
            <w:pPr>
              <w:pStyle w:val="TableTextEntries"/>
            </w:pPr>
            <w:r>
              <w:t>Superseded by Engagement Strategy</w:t>
            </w:r>
          </w:p>
          <w:p w14:paraId="10912EE3" w14:textId="77777777" w:rsidR="00A34995" w:rsidRDefault="00A34995" w:rsidP="002E7476">
            <w:pPr>
              <w:pStyle w:val="TableTextEntries"/>
            </w:pPr>
          </w:p>
          <w:p w14:paraId="10912EE4" w14:textId="77777777" w:rsidR="00A34995" w:rsidRDefault="00A34995" w:rsidP="002E7476">
            <w:pPr>
              <w:pStyle w:val="TableTextEntries"/>
            </w:pPr>
            <w:r>
              <w:t>Draft risk &amp; fraud management plan developed for Port of Spain post</w:t>
            </w:r>
          </w:p>
          <w:p w14:paraId="10912EE5" w14:textId="77777777" w:rsidR="00A34995" w:rsidRDefault="00A34995" w:rsidP="002E7476">
            <w:pPr>
              <w:pStyle w:val="TableTextEntries"/>
            </w:pPr>
          </w:p>
          <w:p w14:paraId="10912EE6" w14:textId="77777777" w:rsidR="00A34995" w:rsidRDefault="00A34995" w:rsidP="002E7476">
            <w:pPr>
              <w:pStyle w:val="TableTextEntries"/>
            </w:pPr>
          </w:p>
          <w:p w14:paraId="10912EE7" w14:textId="77777777" w:rsidR="00A34995" w:rsidRDefault="00A34995" w:rsidP="002E7476">
            <w:pPr>
              <w:pStyle w:val="TableTextEntries"/>
            </w:pPr>
            <w:r>
              <w:t>Staff leave and turnover and an agency restructure is likely to provide challenges for the Program.  However contracting on-going technical support in the region has helped build skills.</w:t>
            </w:r>
          </w:p>
        </w:tc>
      </w:tr>
    </w:tbl>
    <w:p w14:paraId="10912EE9" w14:textId="77777777" w:rsidR="003F36D7" w:rsidRDefault="003F36D7" w:rsidP="00EB4D32">
      <w:pPr>
        <w:keepNext/>
        <w:spacing w:after="100" w:line="320" w:lineRule="atLeast"/>
        <w:ind w:left="568"/>
        <w:outlineLvl w:val="0"/>
        <w:rPr>
          <w:rFonts w:ascii="Franklin Gothic Demi" w:hAnsi="Franklin Gothic Demi"/>
          <w:color w:val="AD495D"/>
          <w:kern w:val="28"/>
          <w:sz w:val="28"/>
          <w:szCs w:val="28"/>
        </w:rPr>
      </w:pPr>
    </w:p>
    <w:p w14:paraId="10912EEA" w14:textId="77777777" w:rsidR="003F36D7" w:rsidRDefault="003F36D7" w:rsidP="00036C8B">
      <w:pPr>
        <w:pStyle w:val="BodyText"/>
        <w:sectPr w:rsidR="003F36D7" w:rsidSect="00A34995">
          <w:footnotePr>
            <w:numFmt w:val="lowerRoman"/>
          </w:footnotePr>
          <w:pgSz w:w="11907" w:h="16840" w:code="9"/>
          <w:pgMar w:top="2381" w:right="1276" w:bottom="851" w:left="1814" w:header="851" w:footer="340" w:gutter="0"/>
          <w:cols w:space="720"/>
          <w:titlePg/>
          <w:docGrid w:linePitch="272"/>
        </w:sectPr>
      </w:pPr>
      <w:r>
        <w:br w:type="page"/>
      </w:r>
    </w:p>
    <w:p w14:paraId="10912EEB" w14:textId="77777777" w:rsidR="006F3973" w:rsidRDefault="007A3E04" w:rsidP="00BA223F">
      <w:pPr>
        <w:pStyle w:val="Heading1"/>
      </w:pPr>
      <w:r>
        <w:t>Annex D</w:t>
      </w:r>
    </w:p>
    <w:p w14:paraId="10912EEC" w14:textId="77777777" w:rsidR="006F3973" w:rsidRDefault="00B46DDB" w:rsidP="00B46DDB">
      <w:pPr>
        <w:pStyle w:val="BodyText"/>
        <w:ind w:left="284"/>
        <w:rPr>
          <w:b/>
        </w:rPr>
      </w:pPr>
      <w:r>
        <w:rPr>
          <w:b/>
        </w:rPr>
        <w:t>H</w:t>
      </w:r>
      <w:r w:rsidR="006F3973">
        <w:rPr>
          <w:b/>
        </w:rPr>
        <w:t xml:space="preserve">eadline </w:t>
      </w:r>
      <w:r>
        <w:rPr>
          <w:b/>
        </w:rPr>
        <w:t>R</w:t>
      </w:r>
      <w:r w:rsidR="006F3973">
        <w:rPr>
          <w:b/>
        </w:rPr>
        <w:t>esults</w:t>
      </w:r>
      <w:r>
        <w:rPr>
          <w:b/>
        </w:rPr>
        <w:t xml:space="preserve"> Summary: Country/Regional Program</w:t>
      </w:r>
    </w:p>
    <w:p w14:paraId="10912EED" w14:textId="77777777" w:rsidR="00B46DDB" w:rsidRPr="00B46DDB" w:rsidRDefault="00B46DDB" w:rsidP="00B46DDB">
      <w:pPr>
        <w:ind w:left="852"/>
        <w:rPr>
          <w:b/>
          <w:sz w:val="24"/>
        </w:rPr>
      </w:pPr>
    </w:p>
    <w:tbl>
      <w:tblPr>
        <w:tblW w:w="13524"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1789"/>
        <w:gridCol w:w="3260"/>
        <w:gridCol w:w="2393"/>
        <w:gridCol w:w="2627"/>
      </w:tblGrid>
      <w:tr w:rsidR="00B46DDB" w14:paraId="10912EF3" w14:textId="77777777" w:rsidTr="00A636F4">
        <w:trPr>
          <w:trHeight w:val="531"/>
        </w:trPr>
        <w:tc>
          <w:tcPr>
            <w:tcW w:w="3455" w:type="dxa"/>
            <w:shd w:val="clear" w:color="auto" w:fill="4BACC6"/>
          </w:tcPr>
          <w:p w14:paraId="10912EEE" w14:textId="77777777" w:rsidR="00B46DDB" w:rsidRPr="00F90DF9" w:rsidRDefault="00B46DDB" w:rsidP="00F90DF9">
            <w:pPr>
              <w:rPr>
                <w:b/>
                <w:sz w:val="24"/>
              </w:rPr>
            </w:pPr>
            <w:r w:rsidRPr="00F90DF9">
              <w:rPr>
                <w:b/>
                <w:sz w:val="24"/>
              </w:rPr>
              <w:t>Headline Result Indicator</w:t>
            </w:r>
          </w:p>
        </w:tc>
        <w:tc>
          <w:tcPr>
            <w:tcW w:w="1789" w:type="dxa"/>
            <w:shd w:val="clear" w:color="auto" w:fill="4BACC6"/>
          </w:tcPr>
          <w:p w14:paraId="10912EEF" w14:textId="77777777" w:rsidR="00B46DDB" w:rsidRPr="00F90DF9" w:rsidRDefault="00B46DDB" w:rsidP="00F90DF9">
            <w:pPr>
              <w:rPr>
                <w:b/>
                <w:sz w:val="24"/>
              </w:rPr>
            </w:pPr>
            <w:r w:rsidRPr="00F90DF9">
              <w:rPr>
                <w:b/>
                <w:sz w:val="24"/>
              </w:rPr>
              <w:t>2011 Result</w:t>
            </w:r>
          </w:p>
        </w:tc>
        <w:tc>
          <w:tcPr>
            <w:tcW w:w="3260" w:type="dxa"/>
            <w:shd w:val="clear" w:color="auto" w:fill="4BACC6"/>
          </w:tcPr>
          <w:p w14:paraId="10912EF0" w14:textId="77777777" w:rsidR="00B46DDB" w:rsidRPr="00F90DF9" w:rsidRDefault="00B46DDB" w:rsidP="00F90DF9">
            <w:pPr>
              <w:rPr>
                <w:b/>
                <w:sz w:val="24"/>
              </w:rPr>
            </w:pPr>
            <w:r w:rsidRPr="00F90DF9">
              <w:rPr>
                <w:b/>
                <w:sz w:val="24"/>
              </w:rPr>
              <w:t xml:space="preserve">How Australia contributes </w:t>
            </w:r>
            <w:r w:rsidRPr="00F90DF9">
              <w:rPr>
                <w:b/>
                <w:sz w:val="24"/>
              </w:rPr>
              <w:br/>
              <w:t>(type of aid)</w:t>
            </w:r>
          </w:p>
        </w:tc>
        <w:tc>
          <w:tcPr>
            <w:tcW w:w="2393" w:type="dxa"/>
            <w:shd w:val="clear" w:color="auto" w:fill="4BACC6"/>
          </w:tcPr>
          <w:p w14:paraId="10912EF1" w14:textId="77777777" w:rsidR="00B46DDB" w:rsidRPr="00F90DF9" w:rsidRDefault="00B46DDB" w:rsidP="00F90DF9">
            <w:pPr>
              <w:rPr>
                <w:b/>
                <w:sz w:val="24"/>
              </w:rPr>
            </w:pPr>
            <w:r w:rsidRPr="00F90DF9">
              <w:rPr>
                <w:b/>
                <w:sz w:val="24"/>
              </w:rPr>
              <w:t>Method of calculation</w:t>
            </w:r>
          </w:p>
        </w:tc>
        <w:tc>
          <w:tcPr>
            <w:tcW w:w="2627" w:type="dxa"/>
            <w:shd w:val="clear" w:color="auto" w:fill="4BACC6"/>
          </w:tcPr>
          <w:p w14:paraId="10912EF2" w14:textId="77777777" w:rsidR="00B46DDB" w:rsidRPr="00F90DF9" w:rsidRDefault="00B46DDB" w:rsidP="00F90DF9">
            <w:pPr>
              <w:rPr>
                <w:b/>
                <w:sz w:val="24"/>
              </w:rPr>
            </w:pPr>
            <w:r w:rsidRPr="00F90DF9">
              <w:rPr>
                <w:b/>
                <w:sz w:val="24"/>
              </w:rPr>
              <w:t>Data source</w:t>
            </w:r>
          </w:p>
        </w:tc>
      </w:tr>
      <w:tr w:rsidR="00D108A9" w14:paraId="10912EF9" w14:textId="77777777" w:rsidTr="00A636F4">
        <w:trPr>
          <w:trHeight w:val="440"/>
        </w:trPr>
        <w:tc>
          <w:tcPr>
            <w:tcW w:w="3455" w:type="dxa"/>
            <w:shd w:val="clear" w:color="auto" w:fill="auto"/>
          </w:tcPr>
          <w:p w14:paraId="10912EF4" w14:textId="77777777" w:rsidR="00D108A9" w:rsidRPr="00D108A9" w:rsidRDefault="00D108A9" w:rsidP="00F90DF9">
            <w:r w:rsidRPr="00D108A9">
              <w:t>Number of people awarded tertiary scholarships</w:t>
            </w:r>
          </w:p>
        </w:tc>
        <w:tc>
          <w:tcPr>
            <w:tcW w:w="1789" w:type="dxa"/>
            <w:shd w:val="clear" w:color="auto" w:fill="auto"/>
          </w:tcPr>
          <w:p w14:paraId="10912EF5" w14:textId="77777777" w:rsidR="00D108A9" w:rsidRPr="00D108A9" w:rsidRDefault="00D108A9" w:rsidP="00954203">
            <w:r w:rsidRPr="00D108A9">
              <w:t>34</w:t>
            </w:r>
            <w:r w:rsidRPr="00D108A9">
              <w:rPr>
                <w:rStyle w:val="FootnoteReference"/>
              </w:rPr>
              <w:footnoteReference w:id="3"/>
            </w:r>
          </w:p>
        </w:tc>
        <w:tc>
          <w:tcPr>
            <w:tcW w:w="3260" w:type="dxa"/>
            <w:shd w:val="clear" w:color="auto" w:fill="auto"/>
          </w:tcPr>
          <w:p w14:paraId="10912EF6" w14:textId="77777777" w:rsidR="00D108A9" w:rsidRPr="00D108A9" w:rsidRDefault="00D108A9" w:rsidP="00954203">
            <w:r w:rsidRPr="00D108A9">
              <w:t>Projects</w:t>
            </w:r>
          </w:p>
        </w:tc>
        <w:tc>
          <w:tcPr>
            <w:tcW w:w="2393" w:type="dxa"/>
            <w:shd w:val="clear" w:color="auto" w:fill="auto"/>
          </w:tcPr>
          <w:p w14:paraId="10912EF7" w14:textId="77777777" w:rsidR="00D108A9" w:rsidRPr="00D108A9" w:rsidRDefault="00D108A9" w:rsidP="00954203">
            <w:r w:rsidRPr="00D108A9">
              <w:t>Full result attributed to AusAID</w:t>
            </w:r>
          </w:p>
        </w:tc>
        <w:tc>
          <w:tcPr>
            <w:tcW w:w="2627" w:type="dxa"/>
            <w:shd w:val="clear" w:color="auto" w:fill="auto"/>
          </w:tcPr>
          <w:p w14:paraId="10912EF8" w14:textId="77777777" w:rsidR="00D108A9" w:rsidRPr="00D108A9" w:rsidRDefault="00D108A9" w:rsidP="00954203">
            <w:r w:rsidRPr="00D108A9">
              <w:t>Partner reporting and AusAID records (Confidence – high)</w:t>
            </w:r>
          </w:p>
        </w:tc>
      </w:tr>
      <w:tr w:rsidR="00B46DDB" w14:paraId="10912EFF" w14:textId="77777777" w:rsidTr="00A636F4">
        <w:trPr>
          <w:trHeight w:val="1122"/>
        </w:trPr>
        <w:tc>
          <w:tcPr>
            <w:tcW w:w="3455" w:type="dxa"/>
            <w:shd w:val="clear" w:color="auto" w:fill="auto"/>
          </w:tcPr>
          <w:p w14:paraId="10912EFA" w14:textId="77777777" w:rsidR="00B46DDB" w:rsidRPr="00D108A9" w:rsidRDefault="005F6B14" w:rsidP="005F6B14">
            <w:r w:rsidRPr="00D108A9">
              <w:t xml:space="preserve">Number of people with increased access to safe water </w:t>
            </w:r>
          </w:p>
        </w:tc>
        <w:tc>
          <w:tcPr>
            <w:tcW w:w="1789" w:type="dxa"/>
            <w:shd w:val="clear" w:color="auto" w:fill="auto"/>
          </w:tcPr>
          <w:p w14:paraId="10912EFB" w14:textId="77777777" w:rsidR="00B46DDB" w:rsidRPr="00D108A9" w:rsidRDefault="00D13440" w:rsidP="00F90DF9">
            <w:r w:rsidRPr="00D108A9">
              <w:t>12,000</w:t>
            </w:r>
          </w:p>
        </w:tc>
        <w:tc>
          <w:tcPr>
            <w:tcW w:w="3260" w:type="dxa"/>
            <w:shd w:val="clear" w:color="auto" w:fill="auto"/>
          </w:tcPr>
          <w:p w14:paraId="10912EFC" w14:textId="77777777" w:rsidR="00B46DDB" w:rsidRPr="00D108A9" w:rsidRDefault="00D13440" w:rsidP="00F90DF9">
            <w:r w:rsidRPr="00D108A9">
              <w:t>Pooled funds – Australia contributed 10% of overall budget for water project in St Vincent &amp; Grenadines; and 81% of budget in Haiti WASAN project</w:t>
            </w:r>
          </w:p>
        </w:tc>
        <w:tc>
          <w:tcPr>
            <w:tcW w:w="2393" w:type="dxa"/>
            <w:shd w:val="clear" w:color="auto" w:fill="auto"/>
          </w:tcPr>
          <w:p w14:paraId="10912EFD" w14:textId="77777777" w:rsidR="00B46DDB" w:rsidRPr="00D108A9" w:rsidRDefault="00D13440" w:rsidP="00F90DF9">
            <w:r w:rsidRPr="00D108A9">
              <w:t>Pro-rata based on Australia’s total financial contribution against total donor and government spending.</w:t>
            </w:r>
          </w:p>
        </w:tc>
        <w:tc>
          <w:tcPr>
            <w:tcW w:w="2627" w:type="dxa"/>
            <w:shd w:val="clear" w:color="auto" w:fill="auto"/>
          </w:tcPr>
          <w:p w14:paraId="10912EFE" w14:textId="77777777" w:rsidR="00B46DDB" w:rsidRPr="00D108A9" w:rsidRDefault="00D13440" w:rsidP="00F90DF9">
            <w:r w:rsidRPr="00D108A9">
              <w:t>Results data comes from partner reporting (Confidence – High)</w:t>
            </w:r>
          </w:p>
        </w:tc>
      </w:tr>
      <w:tr w:rsidR="00D108A9" w14:paraId="10912F05" w14:textId="77777777" w:rsidTr="00A636F4">
        <w:trPr>
          <w:trHeight w:val="440"/>
        </w:trPr>
        <w:tc>
          <w:tcPr>
            <w:tcW w:w="3455" w:type="dxa"/>
            <w:shd w:val="clear" w:color="auto" w:fill="auto"/>
          </w:tcPr>
          <w:p w14:paraId="10912F00" w14:textId="77777777" w:rsidR="00D108A9" w:rsidRPr="00D108A9" w:rsidRDefault="00D108A9" w:rsidP="00F90DF9">
            <w:r w:rsidRPr="00D108A9">
              <w:t>Number of public servants trained</w:t>
            </w:r>
          </w:p>
        </w:tc>
        <w:tc>
          <w:tcPr>
            <w:tcW w:w="1789" w:type="dxa"/>
            <w:shd w:val="clear" w:color="auto" w:fill="auto"/>
          </w:tcPr>
          <w:p w14:paraId="10912F01" w14:textId="77777777" w:rsidR="00D108A9" w:rsidRPr="00D108A9" w:rsidRDefault="00D108A9" w:rsidP="00954203">
            <w:r w:rsidRPr="00D108A9">
              <w:t>16</w:t>
            </w:r>
          </w:p>
        </w:tc>
        <w:tc>
          <w:tcPr>
            <w:tcW w:w="3260" w:type="dxa"/>
            <w:shd w:val="clear" w:color="auto" w:fill="auto"/>
          </w:tcPr>
          <w:p w14:paraId="10912F02" w14:textId="77777777" w:rsidR="00D108A9" w:rsidRPr="00D108A9" w:rsidRDefault="00D108A9" w:rsidP="00954203">
            <w:r w:rsidRPr="00D108A9">
              <w:t>Projects</w:t>
            </w:r>
          </w:p>
        </w:tc>
        <w:tc>
          <w:tcPr>
            <w:tcW w:w="2393" w:type="dxa"/>
            <w:shd w:val="clear" w:color="auto" w:fill="auto"/>
          </w:tcPr>
          <w:p w14:paraId="10912F03" w14:textId="77777777" w:rsidR="00D108A9" w:rsidRPr="00D108A9" w:rsidRDefault="00D108A9" w:rsidP="00954203">
            <w:r w:rsidRPr="00D108A9">
              <w:t>Full result attributed to AusAID</w:t>
            </w:r>
          </w:p>
        </w:tc>
        <w:tc>
          <w:tcPr>
            <w:tcW w:w="2627" w:type="dxa"/>
            <w:shd w:val="clear" w:color="auto" w:fill="auto"/>
          </w:tcPr>
          <w:p w14:paraId="10912F04" w14:textId="77777777" w:rsidR="00D108A9" w:rsidRPr="00D108A9" w:rsidRDefault="00D108A9" w:rsidP="00954203">
            <w:r w:rsidRPr="00D108A9">
              <w:t>Partner reporting and AusAID records (Confidence – Medium)</w:t>
            </w:r>
          </w:p>
        </w:tc>
      </w:tr>
      <w:tr w:rsidR="009E270A" w14:paraId="10912F0B" w14:textId="77777777" w:rsidTr="00A636F4">
        <w:trPr>
          <w:trHeight w:val="894"/>
        </w:trPr>
        <w:tc>
          <w:tcPr>
            <w:tcW w:w="3455" w:type="dxa"/>
            <w:shd w:val="clear" w:color="auto" w:fill="auto"/>
          </w:tcPr>
          <w:p w14:paraId="10912F06" w14:textId="77777777" w:rsidR="009E270A" w:rsidRPr="00D108A9" w:rsidRDefault="009E270A" w:rsidP="00F90DF9">
            <w:r w:rsidRPr="00D108A9">
              <w:t>Number of countries assisted with adaptation programs to reduce vulnerability to climate change</w:t>
            </w:r>
          </w:p>
        </w:tc>
        <w:tc>
          <w:tcPr>
            <w:tcW w:w="1789" w:type="dxa"/>
            <w:shd w:val="clear" w:color="auto" w:fill="auto"/>
          </w:tcPr>
          <w:p w14:paraId="10912F07" w14:textId="77777777" w:rsidR="009E270A" w:rsidRPr="00D108A9" w:rsidRDefault="00D13440" w:rsidP="00E64B3C">
            <w:r w:rsidRPr="00D108A9">
              <w:t>6</w:t>
            </w:r>
          </w:p>
        </w:tc>
        <w:tc>
          <w:tcPr>
            <w:tcW w:w="3260" w:type="dxa"/>
            <w:shd w:val="clear" w:color="auto" w:fill="auto"/>
          </w:tcPr>
          <w:p w14:paraId="10912F08" w14:textId="77777777" w:rsidR="009E270A" w:rsidRPr="00D108A9" w:rsidRDefault="00D13440" w:rsidP="00D13440">
            <w:r w:rsidRPr="00D108A9">
              <w:t>Pooled funds – Australia contributed 33% of total $15m funding to CDEMA HIP.</w:t>
            </w:r>
          </w:p>
        </w:tc>
        <w:tc>
          <w:tcPr>
            <w:tcW w:w="2393" w:type="dxa"/>
            <w:shd w:val="clear" w:color="auto" w:fill="auto"/>
          </w:tcPr>
          <w:p w14:paraId="10912F09" w14:textId="77777777" w:rsidR="009E270A" w:rsidRPr="00D108A9" w:rsidRDefault="009E270A" w:rsidP="003E1E9B">
            <w:r w:rsidRPr="00D108A9">
              <w:t>Pro-rata based on Australia’s total financial contribution against total donor and government spending.</w:t>
            </w:r>
          </w:p>
        </w:tc>
        <w:tc>
          <w:tcPr>
            <w:tcW w:w="2627" w:type="dxa"/>
            <w:shd w:val="clear" w:color="auto" w:fill="auto"/>
          </w:tcPr>
          <w:p w14:paraId="10912F0A" w14:textId="77777777" w:rsidR="009E270A" w:rsidRPr="00D108A9" w:rsidRDefault="009E270A" w:rsidP="00D13440">
            <w:r w:rsidRPr="00D108A9">
              <w:t xml:space="preserve">Results data comes from partner reporting (Confidence – </w:t>
            </w:r>
            <w:r w:rsidR="00D13440" w:rsidRPr="00D108A9">
              <w:t>High</w:t>
            </w:r>
            <w:r w:rsidRPr="00D108A9">
              <w:t>)</w:t>
            </w:r>
          </w:p>
        </w:tc>
      </w:tr>
      <w:tr w:rsidR="00D108A9" w14:paraId="10912F11" w14:textId="77777777" w:rsidTr="00A636F4">
        <w:trPr>
          <w:trHeight w:val="1122"/>
        </w:trPr>
        <w:tc>
          <w:tcPr>
            <w:tcW w:w="3455" w:type="dxa"/>
            <w:shd w:val="clear" w:color="auto" w:fill="auto"/>
          </w:tcPr>
          <w:p w14:paraId="10912F0C" w14:textId="77777777" w:rsidR="00D108A9" w:rsidRPr="00D108A9" w:rsidRDefault="00D108A9" w:rsidP="00F90DF9">
            <w:r w:rsidRPr="00D108A9">
              <w:t>Number of countries supported to improve public financial management</w:t>
            </w:r>
          </w:p>
        </w:tc>
        <w:tc>
          <w:tcPr>
            <w:tcW w:w="1789" w:type="dxa"/>
            <w:shd w:val="clear" w:color="auto" w:fill="auto"/>
          </w:tcPr>
          <w:p w14:paraId="10912F0D" w14:textId="77777777" w:rsidR="00D108A9" w:rsidRPr="00D108A9" w:rsidRDefault="00D108A9" w:rsidP="00954203">
            <w:r w:rsidRPr="00D108A9">
              <w:t>0.7</w:t>
            </w:r>
          </w:p>
        </w:tc>
        <w:tc>
          <w:tcPr>
            <w:tcW w:w="3260" w:type="dxa"/>
            <w:shd w:val="clear" w:color="auto" w:fill="auto"/>
          </w:tcPr>
          <w:p w14:paraId="10912F0E" w14:textId="77777777" w:rsidR="00D108A9" w:rsidRPr="00D108A9" w:rsidRDefault="00D108A9" w:rsidP="00954203">
            <w:r w:rsidRPr="00D108A9">
              <w:t>Pooled funds – Australia has contributed over 5 % of total funding to CARICOM’s key technical support agency - CARTAC</w:t>
            </w:r>
          </w:p>
        </w:tc>
        <w:tc>
          <w:tcPr>
            <w:tcW w:w="2393" w:type="dxa"/>
            <w:shd w:val="clear" w:color="auto" w:fill="auto"/>
          </w:tcPr>
          <w:p w14:paraId="10912F0F" w14:textId="77777777" w:rsidR="00D108A9" w:rsidRPr="00D108A9" w:rsidRDefault="00D108A9" w:rsidP="00954203">
            <w:r w:rsidRPr="00D108A9">
              <w:t>Pro-rata based on Australia’s total financial contribution against total donor and government spending.</w:t>
            </w:r>
          </w:p>
        </w:tc>
        <w:tc>
          <w:tcPr>
            <w:tcW w:w="2627" w:type="dxa"/>
            <w:shd w:val="clear" w:color="auto" w:fill="auto"/>
          </w:tcPr>
          <w:p w14:paraId="10912F10" w14:textId="77777777" w:rsidR="00D108A9" w:rsidRPr="00D108A9" w:rsidRDefault="00D108A9" w:rsidP="00954203">
            <w:r w:rsidRPr="00D108A9">
              <w:t>Results data comes from partner reporting (Confidence – medium)</w:t>
            </w:r>
          </w:p>
        </w:tc>
      </w:tr>
    </w:tbl>
    <w:p w14:paraId="10912F12" w14:textId="77777777" w:rsidR="001F64F4" w:rsidRDefault="001F64F4" w:rsidP="006F3973">
      <w:pPr>
        <w:pStyle w:val="Subtitle"/>
      </w:pPr>
    </w:p>
    <w:p w14:paraId="10912F13" w14:textId="77777777" w:rsidR="003F36D7" w:rsidRDefault="001F64F4" w:rsidP="00A636F4">
      <w:pPr>
        <w:keepNext/>
        <w:spacing w:after="100" w:line="320" w:lineRule="atLeast"/>
        <w:ind w:left="568"/>
        <w:outlineLvl w:val="0"/>
        <w:sectPr w:rsidR="003F36D7" w:rsidSect="003F36D7">
          <w:footnotePr>
            <w:numFmt w:val="lowerRoman"/>
          </w:footnotePr>
          <w:pgSz w:w="16840" w:h="11907" w:orient="landscape" w:code="9"/>
          <w:pgMar w:top="1814" w:right="2381" w:bottom="1276" w:left="851" w:header="851" w:footer="340" w:gutter="0"/>
          <w:cols w:space="720"/>
          <w:titlePg/>
          <w:docGrid w:linePitch="272"/>
        </w:sectPr>
      </w:pPr>
      <w:r>
        <w:br w:type="page"/>
      </w:r>
    </w:p>
    <w:p w14:paraId="10912F14" w14:textId="77777777" w:rsidR="00A636F4" w:rsidRDefault="007A3E04" w:rsidP="00BA223F">
      <w:pPr>
        <w:pStyle w:val="Heading1"/>
      </w:pPr>
      <w:r>
        <w:t>Annex E:</w:t>
      </w:r>
      <w:r w:rsidR="003B108D">
        <w:t xml:space="preserve"> Glossary</w:t>
      </w:r>
    </w:p>
    <w:p w14:paraId="10912F15" w14:textId="77777777" w:rsidR="007A3E04" w:rsidRPr="003B108D" w:rsidRDefault="003B108D" w:rsidP="00A636F4">
      <w:pPr>
        <w:keepNext/>
        <w:spacing w:after="100" w:line="320" w:lineRule="atLeast"/>
        <w:outlineLvl w:val="0"/>
        <w:rPr>
          <w:sz w:val="24"/>
        </w:rPr>
      </w:pPr>
      <w:r>
        <w:rPr>
          <w:sz w:val="24"/>
        </w:rPr>
        <w:t>Australian Agency for International Development (AusAID)</w:t>
      </w:r>
    </w:p>
    <w:p w14:paraId="10912F16" w14:textId="77777777" w:rsidR="003B108D" w:rsidRPr="003B108D" w:rsidRDefault="003B108D" w:rsidP="00A636F4">
      <w:pPr>
        <w:keepNext/>
        <w:spacing w:after="100" w:line="320" w:lineRule="atLeast"/>
        <w:outlineLvl w:val="0"/>
        <w:rPr>
          <w:sz w:val="24"/>
        </w:rPr>
      </w:pPr>
      <w:r w:rsidRPr="003B108D">
        <w:rPr>
          <w:sz w:val="24"/>
        </w:rPr>
        <w:t>Millennium Development Goals (MDG)</w:t>
      </w:r>
    </w:p>
    <w:p w14:paraId="10912F17" w14:textId="77777777" w:rsidR="003B108D" w:rsidRPr="003B108D" w:rsidRDefault="003B108D" w:rsidP="00A636F4">
      <w:pPr>
        <w:keepNext/>
        <w:spacing w:after="100" w:line="320" w:lineRule="atLeast"/>
        <w:outlineLvl w:val="0"/>
        <w:rPr>
          <w:sz w:val="24"/>
        </w:rPr>
      </w:pPr>
      <w:r w:rsidRPr="003B108D">
        <w:rPr>
          <w:sz w:val="24"/>
        </w:rPr>
        <w:t>Small island Developing States (SIDS)</w:t>
      </w:r>
    </w:p>
    <w:p w14:paraId="10912F18" w14:textId="77777777" w:rsidR="003B108D" w:rsidRPr="003B108D" w:rsidRDefault="003B108D" w:rsidP="00A636F4">
      <w:pPr>
        <w:keepNext/>
        <w:spacing w:after="100" w:line="320" w:lineRule="atLeast"/>
        <w:outlineLvl w:val="0"/>
        <w:rPr>
          <w:sz w:val="24"/>
        </w:rPr>
      </w:pPr>
      <w:r w:rsidRPr="003B108D">
        <w:rPr>
          <w:sz w:val="24"/>
        </w:rPr>
        <w:t>Climate Change (CC)</w:t>
      </w:r>
    </w:p>
    <w:p w14:paraId="10912F19" w14:textId="77777777" w:rsidR="003B108D" w:rsidRPr="003B108D" w:rsidRDefault="003B108D" w:rsidP="00A636F4">
      <w:pPr>
        <w:keepNext/>
        <w:spacing w:after="100" w:line="320" w:lineRule="atLeast"/>
        <w:outlineLvl w:val="0"/>
        <w:rPr>
          <w:sz w:val="24"/>
        </w:rPr>
      </w:pPr>
      <w:r w:rsidRPr="003B108D">
        <w:rPr>
          <w:sz w:val="24"/>
        </w:rPr>
        <w:t>Disaster Risk Reduction (DRR)</w:t>
      </w:r>
    </w:p>
    <w:p w14:paraId="10912F1A" w14:textId="77777777" w:rsidR="003B108D" w:rsidRPr="003B108D" w:rsidRDefault="003B108D" w:rsidP="00A636F4">
      <w:pPr>
        <w:keepNext/>
        <w:spacing w:after="100" w:line="320" w:lineRule="atLeast"/>
        <w:outlineLvl w:val="0"/>
        <w:rPr>
          <w:sz w:val="24"/>
        </w:rPr>
      </w:pPr>
      <w:r w:rsidRPr="003B108D">
        <w:rPr>
          <w:sz w:val="24"/>
        </w:rPr>
        <w:t>Caribbean Community (CARICOM)</w:t>
      </w:r>
    </w:p>
    <w:p w14:paraId="10912F1B" w14:textId="77777777" w:rsidR="003B108D" w:rsidRPr="003B108D" w:rsidRDefault="003B108D" w:rsidP="00A636F4">
      <w:pPr>
        <w:keepNext/>
        <w:spacing w:after="100" w:line="320" w:lineRule="atLeast"/>
        <w:outlineLvl w:val="0"/>
        <w:rPr>
          <w:sz w:val="24"/>
        </w:rPr>
      </w:pPr>
      <w:r w:rsidRPr="003B108D">
        <w:rPr>
          <w:sz w:val="24"/>
        </w:rPr>
        <w:t>Official Development Assistance (ODA)</w:t>
      </w:r>
    </w:p>
    <w:p w14:paraId="10912F1C" w14:textId="77777777" w:rsidR="003B108D" w:rsidRPr="003B108D" w:rsidRDefault="003B108D" w:rsidP="00A636F4">
      <w:pPr>
        <w:keepNext/>
        <w:spacing w:after="100" w:line="320" w:lineRule="atLeast"/>
        <w:outlineLvl w:val="0"/>
        <w:rPr>
          <w:sz w:val="24"/>
        </w:rPr>
      </w:pPr>
      <w:r w:rsidRPr="003B108D">
        <w:rPr>
          <w:sz w:val="24"/>
        </w:rPr>
        <w:t>Performance Assessment Framework (PAF)</w:t>
      </w:r>
    </w:p>
    <w:p w14:paraId="10912F1D" w14:textId="77777777" w:rsidR="003B108D" w:rsidRPr="003B108D" w:rsidRDefault="003B108D" w:rsidP="00A636F4">
      <w:pPr>
        <w:keepNext/>
        <w:spacing w:after="100" w:line="320" w:lineRule="atLeast"/>
        <w:outlineLvl w:val="0"/>
        <w:rPr>
          <w:sz w:val="24"/>
        </w:rPr>
      </w:pPr>
      <w:r w:rsidRPr="003B108D">
        <w:rPr>
          <w:sz w:val="24"/>
        </w:rPr>
        <w:t>Caribbean Community Climate Change Centre (5Cs)</w:t>
      </w:r>
    </w:p>
    <w:p w14:paraId="10912F1E" w14:textId="77777777" w:rsidR="003B108D" w:rsidRPr="003B108D" w:rsidRDefault="003B108D" w:rsidP="00A636F4">
      <w:pPr>
        <w:keepNext/>
        <w:spacing w:after="100" w:line="320" w:lineRule="atLeast"/>
        <w:outlineLvl w:val="0"/>
        <w:rPr>
          <w:sz w:val="24"/>
        </w:rPr>
      </w:pPr>
      <w:r w:rsidRPr="003B108D">
        <w:rPr>
          <w:sz w:val="24"/>
        </w:rPr>
        <w:t>Caribbean Disaster Emergency Agency (CDEMA)</w:t>
      </w:r>
    </w:p>
    <w:p w14:paraId="10912F1F" w14:textId="77777777" w:rsidR="003B108D" w:rsidRPr="003B108D" w:rsidRDefault="003B108D" w:rsidP="00A636F4">
      <w:pPr>
        <w:keepNext/>
        <w:spacing w:after="100" w:line="320" w:lineRule="atLeast"/>
        <w:outlineLvl w:val="0"/>
        <w:rPr>
          <w:sz w:val="24"/>
        </w:rPr>
      </w:pPr>
      <w:r w:rsidRPr="003B108D">
        <w:rPr>
          <w:sz w:val="24"/>
        </w:rPr>
        <w:t>Memorandum of Understanding (MOU)</w:t>
      </w:r>
    </w:p>
    <w:p w14:paraId="10912F20" w14:textId="77777777" w:rsidR="003B108D" w:rsidRDefault="003B108D" w:rsidP="00A636F4">
      <w:pPr>
        <w:keepNext/>
        <w:spacing w:after="100" w:line="320" w:lineRule="atLeast"/>
        <w:outlineLvl w:val="0"/>
        <w:rPr>
          <w:sz w:val="24"/>
        </w:rPr>
      </w:pPr>
      <w:r w:rsidRPr="003B108D">
        <w:rPr>
          <w:sz w:val="24"/>
        </w:rPr>
        <w:t>United Nations Framework Convention on Climate Change 17</w:t>
      </w:r>
      <w:r w:rsidRPr="003B108D">
        <w:rPr>
          <w:sz w:val="24"/>
          <w:vertAlign w:val="superscript"/>
        </w:rPr>
        <w:t>th</w:t>
      </w:r>
      <w:r w:rsidRPr="003B108D">
        <w:rPr>
          <w:sz w:val="24"/>
        </w:rPr>
        <w:t xml:space="preserve"> Conference of the Parties </w:t>
      </w:r>
      <w:r>
        <w:rPr>
          <w:sz w:val="24"/>
        </w:rPr>
        <w:t>(</w:t>
      </w:r>
      <w:r w:rsidRPr="003B108D">
        <w:rPr>
          <w:sz w:val="24"/>
        </w:rPr>
        <w:t>UNFCCC COP17</w:t>
      </w:r>
      <w:r>
        <w:rPr>
          <w:sz w:val="24"/>
        </w:rPr>
        <w:t>)</w:t>
      </w:r>
    </w:p>
    <w:p w14:paraId="10912F21" w14:textId="77777777" w:rsidR="003B108D" w:rsidRDefault="003B108D" w:rsidP="00A636F4">
      <w:pPr>
        <w:keepNext/>
        <w:spacing w:after="100" w:line="320" w:lineRule="atLeast"/>
        <w:outlineLvl w:val="0"/>
        <w:rPr>
          <w:sz w:val="24"/>
        </w:rPr>
      </w:pPr>
      <w:r w:rsidRPr="00916B6D">
        <w:rPr>
          <w:sz w:val="24"/>
        </w:rPr>
        <w:t xml:space="preserve">Caribbean Disaster Management Harmonised Implementation Program </w:t>
      </w:r>
      <w:r>
        <w:rPr>
          <w:sz w:val="24"/>
        </w:rPr>
        <w:t>(CDM-HIP)</w:t>
      </w:r>
    </w:p>
    <w:p w14:paraId="10912F22" w14:textId="77777777" w:rsidR="003B108D" w:rsidRDefault="003B108D" w:rsidP="00A636F4">
      <w:pPr>
        <w:keepNext/>
        <w:spacing w:after="100" w:line="320" w:lineRule="atLeast"/>
        <w:outlineLvl w:val="0"/>
        <w:rPr>
          <w:sz w:val="24"/>
        </w:rPr>
      </w:pPr>
      <w:r>
        <w:rPr>
          <w:sz w:val="24"/>
        </w:rPr>
        <w:t>Caribbean Technical Assistance Centre (CARTAC)</w:t>
      </w:r>
    </w:p>
    <w:p w14:paraId="10912F23" w14:textId="77777777" w:rsidR="003B108D" w:rsidRDefault="003B108D" w:rsidP="003B108D">
      <w:pPr>
        <w:keepNext/>
        <w:spacing w:after="100" w:line="320" w:lineRule="atLeast"/>
        <w:outlineLvl w:val="0"/>
        <w:rPr>
          <w:sz w:val="24"/>
        </w:rPr>
      </w:pPr>
      <w:r>
        <w:rPr>
          <w:sz w:val="24"/>
        </w:rPr>
        <w:t>University of West Indies (UWI)</w:t>
      </w:r>
    </w:p>
    <w:p w14:paraId="10912F24" w14:textId="77777777" w:rsidR="003B108D" w:rsidRDefault="003B108D" w:rsidP="00A636F4">
      <w:pPr>
        <w:keepNext/>
        <w:spacing w:after="100" w:line="320" w:lineRule="atLeast"/>
        <w:outlineLvl w:val="0"/>
        <w:rPr>
          <w:sz w:val="24"/>
        </w:rPr>
      </w:pPr>
      <w:r>
        <w:rPr>
          <w:sz w:val="24"/>
        </w:rPr>
        <w:t>International Finance Corporation (IFC)</w:t>
      </w:r>
    </w:p>
    <w:p w14:paraId="10912F25" w14:textId="77777777" w:rsidR="003B108D" w:rsidRDefault="003B108D" w:rsidP="00A636F4">
      <w:pPr>
        <w:keepNext/>
        <w:spacing w:after="100" w:line="320" w:lineRule="atLeast"/>
        <w:outlineLvl w:val="0"/>
        <w:rPr>
          <w:sz w:val="24"/>
        </w:rPr>
      </w:pPr>
      <w:r>
        <w:rPr>
          <w:sz w:val="24"/>
        </w:rPr>
        <w:t>Youth Uplift Through Employment program (YUTE)</w:t>
      </w:r>
    </w:p>
    <w:p w14:paraId="10912F26" w14:textId="77777777" w:rsidR="003B108D" w:rsidRDefault="003B108D" w:rsidP="00A636F4">
      <w:pPr>
        <w:keepNext/>
        <w:spacing w:after="100" w:line="320" w:lineRule="atLeast"/>
        <w:outlineLvl w:val="0"/>
        <w:rPr>
          <w:sz w:val="24"/>
        </w:rPr>
      </w:pPr>
      <w:r>
        <w:rPr>
          <w:sz w:val="24"/>
        </w:rPr>
        <w:t>Australian National University (ANU)</w:t>
      </w:r>
    </w:p>
    <w:p w14:paraId="10912F27" w14:textId="77777777" w:rsidR="003B108D" w:rsidRDefault="003B108D" w:rsidP="00A636F4">
      <w:pPr>
        <w:keepNext/>
        <w:spacing w:after="100" w:line="320" w:lineRule="atLeast"/>
        <w:outlineLvl w:val="0"/>
        <w:rPr>
          <w:sz w:val="24"/>
        </w:rPr>
      </w:pPr>
      <w:r>
        <w:rPr>
          <w:sz w:val="24"/>
        </w:rPr>
        <w:t>Australian Sports Outreach Program (ASOP)</w:t>
      </w:r>
    </w:p>
    <w:p w14:paraId="10912F28" w14:textId="77777777" w:rsidR="003B108D" w:rsidRDefault="003B108D" w:rsidP="00A636F4">
      <w:pPr>
        <w:keepNext/>
        <w:spacing w:after="100" w:line="320" w:lineRule="atLeast"/>
        <w:outlineLvl w:val="0"/>
        <w:rPr>
          <w:sz w:val="24"/>
        </w:rPr>
      </w:pPr>
      <w:r>
        <w:rPr>
          <w:sz w:val="24"/>
        </w:rPr>
        <w:t>Comprehensive Aid Policy Framework of AusAID (CAPF)</w:t>
      </w:r>
    </w:p>
    <w:p w14:paraId="10912F29" w14:textId="77777777" w:rsidR="003B108D" w:rsidRDefault="00F235A6" w:rsidP="00A636F4">
      <w:pPr>
        <w:keepNext/>
        <w:spacing w:after="100" w:line="320" w:lineRule="atLeast"/>
        <w:outlineLvl w:val="0"/>
        <w:rPr>
          <w:sz w:val="24"/>
        </w:rPr>
      </w:pPr>
      <w:r>
        <w:rPr>
          <w:sz w:val="24"/>
        </w:rPr>
        <w:t>Quality at Implementation (QAI)</w:t>
      </w:r>
    </w:p>
    <w:p w14:paraId="10912F2A" w14:textId="77777777" w:rsidR="00F235A6" w:rsidRDefault="00F235A6" w:rsidP="00A636F4">
      <w:pPr>
        <w:keepNext/>
        <w:spacing w:after="100" w:line="320" w:lineRule="atLeast"/>
        <w:outlineLvl w:val="0"/>
        <w:rPr>
          <w:sz w:val="24"/>
        </w:rPr>
      </w:pPr>
      <w:r>
        <w:rPr>
          <w:sz w:val="24"/>
        </w:rPr>
        <w:t>Organisation of Eastern Caribbean States (OECS)</w:t>
      </w:r>
    </w:p>
    <w:p w14:paraId="10912F2B" w14:textId="77777777" w:rsidR="00F235A6" w:rsidRDefault="00F235A6" w:rsidP="00A636F4">
      <w:pPr>
        <w:keepNext/>
        <w:spacing w:after="100" w:line="320" w:lineRule="atLeast"/>
        <w:outlineLvl w:val="0"/>
        <w:rPr>
          <w:sz w:val="24"/>
        </w:rPr>
      </w:pPr>
      <w:r>
        <w:rPr>
          <w:sz w:val="24"/>
        </w:rPr>
        <w:t>UN Economic Commission for Latin America and the Caribbean (ECLAC)</w:t>
      </w:r>
    </w:p>
    <w:p w14:paraId="10912F2C" w14:textId="77777777" w:rsidR="003B108D" w:rsidRDefault="00F235A6" w:rsidP="00A636F4">
      <w:pPr>
        <w:keepNext/>
        <w:spacing w:after="100" w:line="320" w:lineRule="atLeast"/>
        <w:outlineLvl w:val="0"/>
        <w:rPr>
          <w:sz w:val="24"/>
        </w:rPr>
      </w:pPr>
      <w:r>
        <w:rPr>
          <w:sz w:val="24"/>
        </w:rPr>
        <w:t>International Monetary Fund (IMF)</w:t>
      </w:r>
    </w:p>
    <w:p w14:paraId="10912F2D" w14:textId="77777777" w:rsidR="00F235A6" w:rsidRDefault="00F235A6" w:rsidP="00A636F4">
      <w:pPr>
        <w:keepNext/>
        <w:spacing w:after="100" w:line="320" w:lineRule="atLeast"/>
        <w:outlineLvl w:val="0"/>
        <w:rPr>
          <w:sz w:val="24"/>
        </w:rPr>
      </w:pPr>
      <w:r>
        <w:rPr>
          <w:sz w:val="24"/>
        </w:rPr>
        <w:t xml:space="preserve">International Organisation for Migration (IOM) </w:t>
      </w:r>
    </w:p>
    <w:p w14:paraId="10912F2E" w14:textId="77777777" w:rsidR="00F235A6" w:rsidRDefault="00F235A6" w:rsidP="00A636F4">
      <w:pPr>
        <w:keepNext/>
        <w:spacing w:after="100" w:line="320" w:lineRule="atLeast"/>
        <w:outlineLvl w:val="0"/>
        <w:rPr>
          <w:sz w:val="24"/>
        </w:rPr>
      </w:pPr>
      <w:r>
        <w:rPr>
          <w:sz w:val="24"/>
        </w:rPr>
        <w:t>Global Environment Fund (GEF)</w:t>
      </w:r>
    </w:p>
    <w:p w14:paraId="10912F2F" w14:textId="77777777" w:rsidR="00A636F4" w:rsidRDefault="007A3E04" w:rsidP="00BA223F">
      <w:pPr>
        <w:pStyle w:val="Heading1"/>
      </w:pPr>
      <w:r>
        <w:br w:type="page"/>
      </w:r>
      <w:r w:rsidR="00A636F4">
        <w:t>Annex F:</w:t>
      </w:r>
    </w:p>
    <w:p w14:paraId="10912F30" w14:textId="77777777" w:rsidR="00A636F4" w:rsidRPr="00A636F4" w:rsidRDefault="00A636F4" w:rsidP="00A636F4">
      <w:pPr>
        <w:keepNext/>
        <w:spacing w:after="100" w:line="320" w:lineRule="atLeast"/>
        <w:outlineLvl w:val="0"/>
        <w:rPr>
          <w:sz w:val="24"/>
        </w:rPr>
      </w:pPr>
      <w:r w:rsidRPr="00A636F4">
        <w:rPr>
          <w:sz w:val="24"/>
        </w:rPr>
        <w:t>Footnotes</w:t>
      </w:r>
    </w:p>
    <w:sectPr w:rsidR="00A636F4" w:rsidRPr="00A636F4" w:rsidSect="007A3E04">
      <w:footnotePr>
        <w:numFmt w:val="lowerRoman"/>
      </w:footnotePr>
      <w:pgSz w:w="11907" w:h="16840" w:code="9"/>
      <w:pgMar w:top="2381" w:right="1276" w:bottom="851" w:left="1814" w:header="851" w:footer="3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12F3B" w14:textId="77777777" w:rsidR="002A36D8" w:rsidRDefault="002A36D8">
      <w:r>
        <w:separator/>
      </w:r>
    </w:p>
    <w:p w14:paraId="10912F3C" w14:textId="77777777" w:rsidR="002A36D8" w:rsidRDefault="002A36D8"/>
  </w:endnote>
  <w:endnote w:type="continuationSeparator" w:id="0">
    <w:p w14:paraId="10912F3D" w14:textId="77777777" w:rsidR="002A36D8" w:rsidRDefault="002A36D8">
      <w:r>
        <w:continuationSeparator/>
      </w:r>
    </w:p>
    <w:p w14:paraId="10912F3E" w14:textId="77777777" w:rsidR="002A36D8" w:rsidRDefault="002A36D8"/>
  </w:endnote>
  <w:endnote w:type="continuationNotice" w:id="1">
    <w:p w14:paraId="10912F3F" w14:textId="77777777" w:rsidR="002A36D8" w:rsidRDefault="002A36D8"/>
  </w:endnote>
  <w:endnote w:id="2">
    <w:p w14:paraId="10912F49" w14:textId="77777777" w:rsidR="002A36D8" w:rsidRPr="00887D91" w:rsidRDefault="002A36D8" w:rsidP="00BF60E1">
      <w:pPr>
        <w:pStyle w:val="ListParagraph"/>
        <w:ind w:left="0"/>
        <w:rPr>
          <w:rStyle w:val="EndnoteReference"/>
        </w:rPr>
      </w:pPr>
      <w:r w:rsidRPr="008972BF">
        <w:rPr>
          <w:rStyle w:val="EndnoteReference"/>
        </w:rPr>
        <w:endnoteRef/>
      </w:r>
      <w:r w:rsidRPr="00887D91">
        <w:rPr>
          <w:rStyle w:val="EndnoteReference"/>
        </w:rPr>
        <w:t xml:space="preserve"> Australian has provided aid to 15 ODA eligible countries in the Caribbean region (13 CARICOM members plus the Dominican Republic and Cuba - who are not members of CARICOM). The Bahamas has not been ODA-eligible since 2005 and Montserrat is a British Territory. From 2012 Trinidad &amp; Tobago and Barbados were not ODA eligible.  </w:t>
      </w:r>
    </w:p>
  </w:endnote>
  <w:endnote w:id="3">
    <w:p w14:paraId="10912F4A" w14:textId="77777777" w:rsidR="002A36D8" w:rsidRPr="00887D91" w:rsidRDefault="002A36D8" w:rsidP="00BF60E1">
      <w:pPr>
        <w:pStyle w:val="ListParagraph"/>
        <w:ind w:left="0"/>
        <w:rPr>
          <w:rStyle w:val="EndnoteReference"/>
        </w:rPr>
      </w:pPr>
      <w:r w:rsidRPr="008972BF">
        <w:rPr>
          <w:rStyle w:val="EndnoteReference"/>
        </w:rPr>
        <w:endnoteRef/>
      </w:r>
      <w:r w:rsidRPr="00887D91">
        <w:rPr>
          <w:rStyle w:val="EndnoteReference"/>
        </w:rPr>
        <w:t xml:space="preserve"> Haiti currently ranks 158 out of 187 countries on the Human Development Index.</w:t>
      </w:r>
    </w:p>
  </w:endnote>
  <w:endnote w:id="4">
    <w:p w14:paraId="10912F4B" w14:textId="77777777" w:rsidR="002A36D8" w:rsidRPr="00887D91" w:rsidRDefault="002A36D8" w:rsidP="00036C8B">
      <w:pPr>
        <w:pStyle w:val="ListParagraph"/>
        <w:ind w:left="0"/>
        <w:rPr>
          <w:rStyle w:val="EndnoteReference"/>
        </w:rPr>
      </w:pPr>
      <w:r w:rsidRPr="008972BF">
        <w:rPr>
          <w:rStyle w:val="EndnoteReference"/>
        </w:rPr>
        <w:endnoteRef/>
      </w:r>
      <w:r w:rsidRPr="00887D91">
        <w:rPr>
          <w:rStyle w:val="EndnoteReference"/>
        </w:rPr>
        <w:t xml:space="preserve"> Based on World Bank and United Nations data.</w:t>
      </w:r>
    </w:p>
  </w:endnote>
  <w:endnote w:id="5">
    <w:p w14:paraId="10912F4C" w14:textId="77777777" w:rsidR="002A36D8" w:rsidRPr="00887D91" w:rsidRDefault="002A36D8" w:rsidP="003263EA">
      <w:pPr>
        <w:pStyle w:val="ListParagraph"/>
        <w:ind w:left="0"/>
        <w:rPr>
          <w:rStyle w:val="EndnoteReference"/>
        </w:rPr>
      </w:pPr>
      <w:r>
        <w:rPr>
          <w:rStyle w:val="EndnoteReference"/>
        </w:rPr>
        <w:endnoteRef/>
      </w:r>
      <w:r w:rsidRPr="00887D91">
        <w:rPr>
          <w:rStyle w:val="EndnoteReference"/>
        </w:rPr>
        <w:t xml:space="preserve"> United Nations Development Programme Caribbean Human Development Report (2012). </w:t>
      </w:r>
    </w:p>
  </w:endnote>
  <w:endnote w:id="6">
    <w:p w14:paraId="10912F4D" w14:textId="77777777" w:rsidR="002A36D8" w:rsidRPr="00887D91" w:rsidRDefault="002A36D8" w:rsidP="008972BF">
      <w:pPr>
        <w:pStyle w:val="ListParagraph"/>
        <w:ind w:left="0"/>
        <w:rPr>
          <w:rStyle w:val="EndnoteReference"/>
        </w:rPr>
      </w:pPr>
      <w:r w:rsidRPr="008972BF">
        <w:rPr>
          <w:rStyle w:val="EndnoteReference"/>
        </w:rPr>
        <w:endnoteRef/>
      </w:r>
      <w:r w:rsidRPr="00887D91">
        <w:rPr>
          <w:rStyle w:val="EndnoteReference"/>
        </w:rPr>
        <w:t xml:space="preserve"> The small island states of the Caribbean are also keen to build stronger links with similar economies in the Pacific.  </w:t>
      </w:r>
    </w:p>
  </w:endnote>
  <w:endnote w:id="7">
    <w:p w14:paraId="10912F4E" w14:textId="77777777" w:rsidR="002A36D8" w:rsidRPr="00887D91" w:rsidRDefault="002A36D8" w:rsidP="00A55FAD">
      <w:pPr>
        <w:pStyle w:val="ListParagraph"/>
        <w:ind w:left="0"/>
        <w:rPr>
          <w:rStyle w:val="EndnoteReference"/>
        </w:rPr>
      </w:pPr>
      <w:r w:rsidRPr="008972BF">
        <w:rPr>
          <w:rStyle w:val="EndnoteReference"/>
        </w:rPr>
        <w:endnoteRef/>
      </w:r>
      <w:r w:rsidRPr="00887D91">
        <w:rPr>
          <w:rStyle w:val="EndnoteReference"/>
        </w:rPr>
        <w:t>The 15 CARICOM members are: Antigua and Barbuda, The Bahamas, Barbados, Belize, Dominica, Grenada, Guyana, Haiti, Jamaica, Montserrat, Saint Lucia, St Kitts and Nevis, St Vincent and Grenadines, Suriname, Trinidad and Tobago.</w:t>
      </w:r>
    </w:p>
  </w:endnote>
  <w:endnote w:id="8">
    <w:p w14:paraId="10912F4F" w14:textId="77777777" w:rsidR="002A36D8" w:rsidRPr="00887D91" w:rsidRDefault="002A36D8" w:rsidP="0024497A">
      <w:pPr>
        <w:pStyle w:val="ListParagraph"/>
        <w:ind w:left="0"/>
        <w:rPr>
          <w:rStyle w:val="EndnoteReference"/>
        </w:rPr>
      </w:pPr>
      <w:r w:rsidRPr="00C324E0">
        <w:rPr>
          <w:rStyle w:val="EndnoteReference"/>
        </w:rPr>
        <w:endnoteRef/>
      </w:r>
      <w:r w:rsidRPr="00887D91">
        <w:rPr>
          <w:rStyle w:val="EndnoteReference"/>
        </w:rPr>
        <w:t xml:space="preserve"> Leading donors as a percentage of total ODA in 2010 included United States of America (25%), European Union (14%), Inter-American Development Bank (14%), and Canada (10%).  </w:t>
      </w:r>
    </w:p>
  </w:endnote>
  <w:endnote w:id="9">
    <w:p w14:paraId="10912F50" w14:textId="77777777" w:rsidR="002A36D8" w:rsidRPr="00887D91" w:rsidRDefault="002A36D8" w:rsidP="00300C71">
      <w:pPr>
        <w:pStyle w:val="ListParagraph"/>
        <w:ind w:left="0"/>
        <w:rPr>
          <w:rStyle w:val="EndnoteReference"/>
        </w:rPr>
      </w:pPr>
      <w:r w:rsidRPr="00C324E0">
        <w:rPr>
          <w:rStyle w:val="EndnoteReference"/>
        </w:rPr>
        <w:endnoteRef/>
      </w:r>
      <w:r w:rsidRPr="00887D91">
        <w:rPr>
          <w:rStyle w:val="EndnoteReference"/>
        </w:rPr>
        <w:t xml:space="preserve"> For example the Secretariat of the Pacific Regional Environment Program (SPREP) and the Pacific Islands Geoscience Commission.</w:t>
      </w:r>
    </w:p>
  </w:endnote>
  <w:endnote w:id="10">
    <w:p w14:paraId="10912F51" w14:textId="77777777" w:rsidR="002A36D8" w:rsidRPr="00887D91" w:rsidRDefault="002A36D8" w:rsidP="00887D91">
      <w:pPr>
        <w:pStyle w:val="ListParagraph"/>
        <w:ind w:left="0"/>
        <w:rPr>
          <w:rStyle w:val="EndnoteReference"/>
        </w:rPr>
      </w:pPr>
      <w:r>
        <w:rPr>
          <w:rStyle w:val="EndnoteReference"/>
        </w:rPr>
        <w:endnoteRef/>
      </w:r>
      <w:r w:rsidRPr="00887D91">
        <w:rPr>
          <w:rStyle w:val="EndnoteReference"/>
        </w:rPr>
        <w:t xml:space="preserve"> Australia has helped scale up support to regional institutions like the Caribbean Regional Technical Assistance Centre (CARTAC), the Caribbean Disaster and Emergency Management Agency (CDEMA) and Caribbean Community Climate Change Centre (5Cs), which are already supported by other experienced donors (Canada and the United Kingdom).  </w:t>
      </w:r>
    </w:p>
  </w:endnote>
  <w:endnote w:id="11">
    <w:p w14:paraId="10912F52" w14:textId="77777777" w:rsidR="002A36D8" w:rsidRPr="00887D91" w:rsidRDefault="002A36D8" w:rsidP="008972BF">
      <w:pPr>
        <w:pStyle w:val="ListParagraph"/>
        <w:ind w:left="0"/>
        <w:rPr>
          <w:rStyle w:val="EndnoteReference"/>
        </w:rPr>
      </w:pPr>
      <w:r w:rsidRPr="008972BF">
        <w:rPr>
          <w:rStyle w:val="EndnoteReference"/>
        </w:rPr>
        <w:endnoteRef/>
      </w:r>
      <w:r w:rsidRPr="00887D91">
        <w:rPr>
          <w:rStyle w:val="EndnoteReference"/>
        </w:rPr>
        <w:t xml:space="preserve"> The system performance measured during the month of October [2011] indicates that the average annual output should exceed the design specifications by at least thirty per cent. The system was designed to deliver a minimum of 115,000 KWH per year. The SWRO system’s annual requirement is 80,000 KWH. (Source: Final Report – Bequia Salt Water Reverse Osmosis Project, Caribbean Community Climate Change Centre, December 2011 p5)</w:t>
      </w:r>
    </w:p>
  </w:endnote>
  <w:endnote w:id="12">
    <w:p w14:paraId="10912F53" w14:textId="77777777" w:rsidR="002A36D8" w:rsidRPr="00887D91" w:rsidRDefault="002A36D8" w:rsidP="00887D91">
      <w:pPr>
        <w:pStyle w:val="ListParagraph"/>
        <w:ind w:left="0"/>
        <w:rPr>
          <w:rStyle w:val="EndnoteReference"/>
        </w:rPr>
      </w:pPr>
      <w:r w:rsidRPr="00887D91">
        <w:rPr>
          <w:rStyle w:val="EndnoteReference"/>
        </w:rPr>
        <w:endnoteRef/>
      </w:r>
      <w:r w:rsidRPr="00887D91">
        <w:rPr>
          <w:rStyle w:val="EndnoteReference"/>
        </w:rPr>
        <w:t xml:space="preserve"> Phase IV of CARTAC aims to reduce average levels of debt to GDP in five of the most heavily indebted Caribbean countries from over 120 per cent to less than 110 per cent by 2015.</w:t>
      </w:r>
    </w:p>
  </w:endnote>
  <w:endnote w:id="13">
    <w:p w14:paraId="10912F54" w14:textId="77777777" w:rsidR="002A36D8" w:rsidRPr="00887D91" w:rsidRDefault="002A36D8" w:rsidP="00887D91">
      <w:pPr>
        <w:pStyle w:val="ListParagraph"/>
        <w:ind w:left="0"/>
        <w:rPr>
          <w:rStyle w:val="EndnoteReference"/>
        </w:rPr>
      </w:pPr>
      <w:r>
        <w:rPr>
          <w:rStyle w:val="EndnoteReference"/>
        </w:rPr>
        <w:endnoteRef/>
      </w:r>
      <w:r w:rsidRPr="00887D91">
        <w:rPr>
          <w:rStyle w:val="EndnoteReference"/>
        </w:rPr>
        <w:t xml:space="preserve"> Canada is reducing its contribution to CARTAC to focus on other priority sectors in the Caribbean such as education and training,</w:t>
      </w:r>
    </w:p>
  </w:endnote>
  <w:endnote w:id="14">
    <w:p w14:paraId="10912F55" w14:textId="77777777" w:rsidR="002A36D8" w:rsidRPr="00887D91" w:rsidRDefault="002A36D8" w:rsidP="000C57FD">
      <w:pPr>
        <w:pStyle w:val="ListParagraph"/>
        <w:ind w:left="0"/>
        <w:rPr>
          <w:rStyle w:val="EndnoteReference"/>
        </w:rPr>
      </w:pPr>
      <w:r w:rsidRPr="008972BF">
        <w:rPr>
          <w:rStyle w:val="EndnoteReference"/>
        </w:rPr>
        <w:endnoteRef/>
      </w:r>
      <w:r w:rsidRPr="00887D91">
        <w:rPr>
          <w:rStyle w:val="EndnoteReference"/>
        </w:rPr>
        <w:t xml:space="preserve"> Independent Evaluation of Phase III, Oxford Policy Management (2010)</w:t>
      </w:r>
    </w:p>
  </w:endnote>
  <w:endnote w:id="15">
    <w:p w14:paraId="10912F56" w14:textId="77777777" w:rsidR="002A36D8" w:rsidRPr="00887D91" w:rsidRDefault="002A36D8" w:rsidP="00887D91">
      <w:pPr>
        <w:pStyle w:val="ListParagraph"/>
        <w:ind w:left="0"/>
        <w:rPr>
          <w:rStyle w:val="EndnoteReference"/>
        </w:rPr>
      </w:pPr>
      <w:r w:rsidRPr="00887D91">
        <w:rPr>
          <w:rStyle w:val="EndnoteReference"/>
        </w:rPr>
        <w:endnoteRef/>
      </w:r>
      <w:r w:rsidRPr="00887D91">
        <w:rPr>
          <w:rStyle w:val="EndnoteReference"/>
        </w:rPr>
        <w:t xml:space="preserve"> IFC is currently collecting baseline data in 5 countries – Antigua and Barbuda, Guyana, Jamaica, Suriname and Trinidad and Tobago to assist with the selection of the two additional countries to be supported under the project.</w:t>
      </w:r>
    </w:p>
  </w:endnote>
  <w:endnote w:id="16">
    <w:p w14:paraId="10912F57" w14:textId="77777777" w:rsidR="002A36D8" w:rsidRPr="00887D91" w:rsidRDefault="002A36D8" w:rsidP="00887D91">
      <w:pPr>
        <w:pStyle w:val="ListParagraph"/>
        <w:ind w:left="0"/>
        <w:rPr>
          <w:rStyle w:val="EndnoteReference"/>
        </w:rPr>
      </w:pPr>
      <w:r w:rsidRPr="00887D91">
        <w:rPr>
          <w:rStyle w:val="EndnoteReference"/>
        </w:rPr>
        <w:endnoteRef/>
      </w:r>
      <w:r w:rsidRPr="00887D91">
        <w:rPr>
          <w:rStyle w:val="EndnoteReference"/>
        </w:rPr>
        <w:t xml:space="preserve"> World Bank Group Doing Business Report 2012</w:t>
      </w:r>
    </w:p>
  </w:endnote>
  <w:endnote w:id="17">
    <w:p w14:paraId="10912F58" w14:textId="77777777" w:rsidR="002A36D8" w:rsidRPr="00887D91" w:rsidRDefault="002A36D8" w:rsidP="00887D91">
      <w:pPr>
        <w:pStyle w:val="ListParagraph"/>
        <w:ind w:left="0"/>
        <w:rPr>
          <w:rStyle w:val="EndnoteReference"/>
        </w:rPr>
      </w:pPr>
      <w:r w:rsidRPr="00887D91">
        <w:rPr>
          <w:rStyle w:val="EndnoteReference"/>
        </w:rPr>
        <w:endnoteRef/>
      </w:r>
      <w:r w:rsidRPr="00887D91">
        <w:rPr>
          <w:rStyle w:val="EndnoteReference"/>
        </w:rPr>
        <w:t xml:space="preserve"> From 2012, Barbados and Trinidad &amp; Tobago became ineligible to receive ODA.</w:t>
      </w:r>
    </w:p>
  </w:endnote>
  <w:endnote w:id="18">
    <w:p w14:paraId="10912F59" w14:textId="77777777" w:rsidR="002A36D8" w:rsidRPr="00887D91" w:rsidRDefault="002A36D8" w:rsidP="00887D91">
      <w:pPr>
        <w:pStyle w:val="ListParagraph"/>
        <w:ind w:left="0"/>
        <w:rPr>
          <w:rFonts w:ascii="Arial" w:hAnsi="Arial" w:cs="Arial"/>
          <w:sz w:val="16"/>
          <w:szCs w:val="16"/>
        </w:rPr>
      </w:pPr>
      <w:r w:rsidRPr="00887D91">
        <w:rPr>
          <w:rStyle w:val="EndnoteReference"/>
        </w:rPr>
        <w:endnoteRef/>
      </w:r>
      <w:r w:rsidRPr="00887D91">
        <w:rPr>
          <w:rStyle w:val="EndnoteReference"/>
        </w:rPr>
        <w:t xml:space="preserve"> Department Foreign Affairs and Trade, Australian Sports Commission and Great Barrier Reef Marine Park Authority as well as Australian Universities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12F41" w14:textId="77777777" w:rsidR="002A36D8" w:rsidRPr="00AD612A" w:rsidRDefault="00BA223F">
    <w:pPr>
      <w:pStyle w:val="Footer"/>
    </w:pPr>
    <w:r>
      <w:rPr>
        <w:noProof/>
        <w:color w:val="54534A"/>
        <w:lang w:val="en-US" w:eastAsia="en-US"/>
      </w:rPr>
      <w:pict w14:anchorId="10912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04" type="#_x0000_t75" style="position:absolute;left:0;text-align:left;margin-left:0;margin-top:694.6pt;width:31.2pt;height:118.75pt;z-index:-251659776;mso-position-horizontal-relative:page;mso-position-vertical-relative:page" o:allowincell="f">
          <v:imagedata r:id="rId1" o:title="AusAID_MDG_2_factsheet_www"/>
          <w10:wrap anchorx="page" anchory="page"/>
        </v:shape>
      </w:pict>
    </w:r>
    <w:r w:rsidR="002A36D8" w:rsidRPr="007C1ECE">
      <w:tab/>
    </w:r>
    <w:r w:rsidR="002A36D8">
      <w:tab/>
    </w:r>
    <w:r w:rsidR="002A36D8">
      <w:tab/>
    </w:r>
    <w:r w:rsidR="002A36D8">
      <w:rPr>
        <w:rStyle w:val="PageNumber"/>
      </w:rPr>
      <w:fldChar w:fldCharType="begin"/>
    </w:r>
    <w:r w:rsidR="002A36D8">
      <w:rPr>
        <w:rStyle w:val="PageNumber"/>
      </w:rPr>
      <w:instrText xml:space="preserve"> PAGE </w:instrText>
    </w:r>
    <w:r w:rsidR="002A36D8">
      <w:rPr>
        <w:rStyle w:val="PageNumber"/>
      </w:rPr>
      <w:fldChar w:fldCharType="separate"/>
    </w:r>
    <w:r w:rsidR="002A36D8">
      <w:rPr>
        <w:rStyle w:val="PageNumber"/>
        <w:noProof/>
      </w:rPr>
      <w:t>20</w:t>
    </w:r>
    <w:r w:rsidR="002A36D8">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12F42" w14:textId="77777777" w:rsidR="002A36D8" w:rsidRPr="004A4B6B" w:rsidRDefault="00BA223F" w:rsidP="001260C2">
    <w:pPr>
      <w:pStyle w:val="Footer"/>
    </w:pPr>
    <w:r>
      <w:rPr>
        <w:noProof/>
        <w:lang w:val="en-US" w:eastAsia="en-US"/>
      </w:rPr>
      <w:pict w14:anchorId="10912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22" type="#_x0000_t75" style="position:absolute;left:0;text-align:left;margin-left:0;margin-top:0;width:595.3pt;height:842.05pt;z-index:-251657728;mso-position-horizontal-relative:page;mso-position-vertical-relative:page" wrapcoords="-27 0 -27 21581 21600 21581 21600 0 -27 0">
          <v:imagedata r:id="rId1" o:title="AusAID_facsheet_D2" grayscale="t"/>
          <w10:wrap anchorx="page" anchory="page"/>
        </v:shape>
      </w:pict>
    </w:r>
    <w:r w:rsidR="002A36D8">
      <w:tab/>
    </w:r>
    <w:r>
      <w:fldChar w:fldCharType="begin"/>
    </w:r>
    <w:r>
      <w:instrText xml:space="preserve"> STYLEREF  Title </w:instrText>
    </w:r>
    <w:r>
      <w:fldChar w:fldCharType="separate"/>
    </w:r>
    <w:r>
      <w:rPr>
        <w:noProof/>
      </w:rPr>
      <w:t>Caribbean Annual Program Performance Report 2011</w:t>
    </w:r>
    <w:r>
      <w:rPr>
        <w:noProof/>
      </w:rPr>
      <w:fldChar w:fldCharType="end"/>
    </w:r>
    <w:r w:rsidR="002A36D8">
      <w:rPr>
        <w:rStyle w:val="PageNumber"/>
      </w:rPr>
      <w:tab/>
    </w:r>
    <w:r w:rsidR="002A36D8">
      <w:rPr>
        <w:rStyle w:val="PageNumber"/>
      </w:rPr>
      <w:tab/>
    </w:r>
    <w:r w:rsidR="002A36D8" w:rsidRPr="004A26C9">
      <w:rPr>
        <w:rStyle w:val="PageNumber"/>
      </w:rPr>
      <w:fldChar w:fldCharType="begin"/>
    </w:r>
    <w:r w:rsidR="002A36D8" w:rsidRPr="004A26C9">
      <w:rPr>
        <w:rStyle w:val="PageNumber"/>
      </w:rPr>
      <w:instrText xml:space="preserve"> PAGE </w:instrText>
    </w:r>
    <w:r w:rsidR="002A36D8" w:rsidRPr="004A26C9">
      <w:rPr>
        <w:rStyle w:val="PageNumber"/>
      </w:rPr>
      <w:fldChar w:fldCharType="separate"/>
    </w:r>
    <w:r>
      <w:rPr>
        <w:rStyle w:val="PageNumber"/>
        <w:noProof/>
      </w:rPr>
      <w:t>2</w:t>
    </w:r>
    <w:r w:rsidR="002A36D8" w:rsidRPr="004A26C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12F43" w14:textId="77777777" w:rsidR="002A36D8" w:rsidRDefault="002A36D8">
    <w:pPr>
      <w:pStyle w:val="Footer"/>
    </w:pPr>
    <w:r>
      <w:tab/>
    </w:r>
    <w:r>
      <w:tab/>
    </w:r>
    <w:r>
      <w:tab/>
    </w:r>
    <w:r>
      <w:rPr>
        <w:rStyle w:val="PageNumber"/>
      </w:rPr>
      <w:fldChar w:fldCharType="begin"/>
    </w:r>
    <w:r>
      <w:rPr>
        <w:rStyle w:val="PageNumber"/>
      </w:rPr>
      <w:instrText xml:space="preserve"> PAGE </w:instrText>
    </w:r>
    <w:r>
      <w:rPr>
        <w:rStyle w:val="PageNumber"/>
      </w:rPr>
      <w:fldChar w:fldCharType="separate"/>
    </w:r>
    <w:r w:rsidR="00BA223F">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12F36" w14:textId="77777777" w:rsidR="002A36D8" w:rsidRDefault="002A36D8" w:rsidP="00D62AA4">
      <w:pPr>
        <w:spacing w:before="60" w:after="40" w:line="180" w:lineRule="exact"/>
      </w:pPr>
      <w:r>
        <w:continuationSeparator/>
      </w:r>
    </w:p>
  </w:footnote>
  <w:footnote w:type="continuationSeparator" w:id="0">
    <w:p w14:paraId="10912F37" w14:textId="77777777" w:rsidR="002A36D8" w:rsidRDefault="002A36D8">
      <w:r>
        <w:continuationSeparator/>
      </w:r>
    </w:p>
    <w:p w14:paraId="10912F38" w14:textId="77777777" w:rsidR="002A36D8" w:rsidRDefault="002A36D8"/>
  </w:footnote>
  <w:footnote w:type="continuationNotice" w:id="1">
    <w:p w14:paraId="10912F39" w14:textId="77777777" w:rsidR="002A36D8" w:rsidRDefault="002A36D8"/>
    <w:p w14:paraId="10912F3A" w14:textId="77777777" w:rsidR="002A36D8" w:rsidRDefault="002A36D8"/>
  </w:footnote>
  <w:footnote w:id="2">
    <w:p w14:paraId="10912F47" w14:textId="77777777" w:rsidR="002A36D8" w:rsidRDefault="002A36D8" w:rsidP="00EB4D32">
      <w:pPr>
        <w:pStyle w:val="TableDataColumnHeading"/>
        <w:keepNext/>
        <w:spacing w:before="0" w:after="0"/>
        <w:ind w:left="238" w:hanging="238"/>
        <w:jc w:val="left"/>
      </w:pPr>
      <w:r>
        <w:rPr>
          <w:rStyle w:val="FootnoteReference"/>
        </w:rPr>
        <w:footnoteRef/>
      </w:r>
      <w:r>
        <w:t xml:space="preserve"> </w:t>
      </w:r>
      <w:r>
        <w:tab/>
      </w:r>
      <w:r w:rsidRPr="00DE6B08">
        <w:rPr>
          <w:rFonts w:ascii="Franklin Gothic Book" w:hAnsi="Franklin Gothic Book"/>
          <w:sz w:val="14"/>
          <w:szCs w:val="14"/>
          <w:lang w:eastAsia="en-AU"/>
        </w:rPr>
        <w:t>QAIs are undertaken for significant activities under the Partnership Priority Outcomes and for significant funding provided to other sectors through other donor and government activities. Financial in</w:t>
      </w:r>
      <w:r>
        <w:rPr>
          <w:rFonts w:ascii="Franklin Gothic Book" w:hAnsi="Franklin Gothic Book"/>
          <w:sz w:val="14"/>
          <w:szCs w:val="14"/>
          <w:lang w:eastAsia="en-AU"/>
        </w:rPr>
        <w:t>formation is as at February 2012</w:t>
      </w:r>
      <w:r w:rsidRPr="00DE6B08">
        <w:rPr>
          <w:rFonts w:ascii="Franklin Gothic Book" w:hAnsi="Franklin Gothic Book"/>
          <w:sz w:val="14"/>
          <w:szCs w:val="14"/>
          <w:lang w:eastAsia="en-AU"/>
        </w:rPr>
        <w:t>, when QAIs were prepared.</w:t>
      </w:r>
    </w:p>
  </w:footnote>
  <w:footnote w:id="3">
    <w:p w14:paraId="10912F48" w14:textId="77777777" w:rsidR="002A36D8" w:rsidRDefault="002A36D8" w:rsidP="00954203">
      <w:pPr>
        <w:pStyle w:val="FootnoteText"/>
      </w:pPr>
      <w:r>
        <w:rPr>
          <w:rStyle w:val="FootnoteReference"/>
        </w:rPr>
        <w:footnoteRef/>
      </w:r>
      <w:r>
        <w:t xml:space="preserve"> This figure represents 28 scholarships awarded under the Australia Awards and six scholarships awarded in 2011 under the UWI CERMES project.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12F40" w14:textId="77777777" w:rsidR="002A36D8" w:rsidRDefault="00BA223F" w:rsidP="00B7603F">
    <w:pPr>
      <w:pStyle w:val="Header"/>
      <w:jc w:val="left"/>
    </w:pPr>
    <w:r>
      <w:rPr>
        <w:noProof/>
        <w:lang w:val="en-US" w:eastAsia="en-US"/>
      </w:rPr>
      <w:pict w14:anchorId="10912F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10" type="#_x0000_t75" style="position:absolute;margin-left:0;margin-top:0;width:595.3pt;height:842.05pt;z-index:-251658752;mso-position-horizontal-relative:page;mso-position-vertical-relative:page">
          <v:imagedata r:id="rId1" o:title="AusAID_facsheet_D2" grayscale="t"/>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1109320"/>
    <w:lvl w:ilvl="0">
      <w:start w:val="1"/>
      <w:numFmt w:val="bullet"/>
      <w:lvlText w:val=""/>
      <w:lvlJc w:val="left"/>
      <w:pPr>
        <w:tabs>
          <w:tab w:val="num" w:pos="360"/>
        </w:tabs>
        <w:ind w:left="360" w:hanging="360"/>
      </w:pPr>
      <w:rPr>
        <w:rFonts w:ascii="Symbol" w:hAnsi="Symbol" w:hint="default"/>
      </w:rPr>
    </w:lvl>
  </w:abstractNum>
  <w:abstractNum w:abstractNumId="1">
    <w:nsid w:val="0796268C"/>
    <w:multiLevelType w:val="hybridMultilevel"/>
    <w:tmpl w:val="8904ED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DD01F3D"/>
    <w:multiLevelType w:val="hybridMultilevel"/>
    <w:tmpl w:val="3B7C8442"/>
    <w:lvl w:ilvl="0" w:tplc="1AFA62AE">
      <w:start w:val="1"/>
      <w:numFmt w:val="bullet"/>
      <w:lvlText w:val=""/>
      <w:lvlJc w:val="left"/>
      <w:pPr>
        <w:tabs>
          <w:tab w:val="num" w:pos="360"/>
        </w:tabs>
        <w:ind w:left="360" w:hanging="360"/>
      </w:pPr>
      <w:rPr>
        <w:rFonts w:ascii="Symbol" w:hAnsi="Symbol" w:hint="default"/>
        <w:color w:val="auto"/>
        <w:sz w:val="16"/>
      </w:rPr>
    </w:lvl>
    <w:lvl w:ilvl="1" w:tplc="0C090003">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3">
    <w:nsid w:val="0EC12367"/>
    <w:multiLevelType w:val="hybridMultilevel"/>
    <w:tmpl w:val="9F62DD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69480B"/>
    <w:multiLevelType w:val="hybridMultilevel"/>
    <w:tmpl w:val="15640202"/>
    <w:lvl w:ilvl="0" w:tplc="0C090001">
      <w:start w:val="1"/>
      <w:numFmt w:val="bullet"/>
      <w:lvlText w:val=""/>
      <w:lvlJc w:val="left"/>
      <w:pPr>
        <w:tabs>
          <w:tab w:val="num" w:pos="644"/>
        </w:tabs>
        <w:ind w:left="644" w:hanging="360"/>
      </w:pPr>
      <w:rPr>
        <w:rFonts w:ascii="Symbol" w:hAnsi="Symbol" w:hint="default"/>
      </w:rPr>
    </w:lvl>
    <w:lvl w:ilvl="1" w:tplc="0C090003">
      <w:start w:val="1"/>
      <w:numFmt w:val="bullet"/>
      <w:lvlText w:val="o"/>
      <w:lvlJc w:val="left"/>
      <w:pPr>
        <w:tabs>
          <w:tab w:val="num" w:pos="1364"/>
        </w:tabs>
        <w:ind w:left="1364" w:hanging="360"/>
      </w:pPr>
      <w:rPr>
        <w:rFonts w:ascii="Courier New" w:hAnsi="Courier New" w:cs="Courier New" w:hint="default"/>
      </w:rPr>
    </w:lvl>
    <w:lvl w:ilvl="2" w:tplc="0C090005">
      <w:start w:val="1"/>
      <w:numFmt w:val="bullet"/>
      <w:lvlText w:val=""/>
      <w:lvlJc w:val="left"/>
      <w:pPr>
        <w:tabs>
          <w:tab w:val="num" w:pos="2084"/>
        </w:tabs>
        <w:ind w:left="2084" w:hanging="360"/>
      </w:pPr>
      <w:rPr>
        <w:rFonts w:ascii="Wingdings" w:hAnsi="Wingdings" w:hint="default"/>
      </w:rPr>
    </w:lvl>
    <w:lvl w:ilvl="3" w:tplc="0C090001">
      <w:start w:val="1"/>
      <w:numFmt w:val="bullet"/>
      <w:lvlText w:val=""/>
      <w:lvlJc w:val="left"/>
      <w:pPr>
        <w:tabs>
          <w:tab w:val="num" w:pos="2804"/>
        </w:tabs>
        <w:ind w:left="2804" w:hanging="360"/>
      </w:pPr>
      <w:rPr>
        <w:rFonts w:ascii="Symbol" w:hAnsi="Symbol" w:hint="default"/>
      </w:rPr>
    </w:lvl>
    <w:lvl w:ilvl="4" w:tplc="0C090003">
      <w:start w:val="1"/>
      <w:numFmt w:val="bullet"/>
      <w:lvlText w:val="o"/>
      <w:lvlJc w:val="left"/>
      <w:pPr>
        <w:tabs>
          <w:tab w:val="num" w:pos="3524"/>
        </w:tabs>
        <w:ind w:left="3524" w:hanging="360"/>
      </w:pPr>
      <w:rPr>
        <w:rFonts w:ascii="Courier New" w:hAnsi="Courier New" w:cs="Courier New" w:hint="default"/>
      </w:rPr>
    </w:lvl>
    <w:lvl w:ilvl="5" w:tplc="0C090005">
      <w:start w:val="1"/>
      <w:numFmt w:val="bullet"/>
      <w:lvlText w:val=""/>
      <w:lvlJc w:val="left"/>
      <w:pPr>
        <w:tabs>
          <w:tab w:val="num" w:pos="4244"/>
        </w:tabs>
        <w:ind w:left="4244" w:hanging="360"/>
      </w:pPr>
      <w:rPr>
        <w:rFonts w:ascii="Wingdings" w:hAnsi="Wingdings" w:hint="default"/>
      </w:rPr>
    </w:lvl>
    <w:lvl w:ilvl="6" w:tplc="0C090001">
      <w:start w:val="1"/>
      <w:numFmt w:val="bullet"/>
      <w:lvlText w:val=""/>
      <w:lvlJc w:val="left"/>
      <w:pPr>
        <w:tabs>
          <w:tab w:val="num" w:pos="4964"/>
        </w:tabs>
        <w:ind w:left="4964" w:hanging="360"/>
      </w:pPr>
      <w:rPr>
        <w:rFonts w:ascii="Symbol" w:hAnsi="Symbol" w:hint="default"/>
      </w:rPr>
    </w:lvl>
    <w:lvl w:ilvl="7" w:tplc="0C090003">
      <w:start w:val="1"/>
      <w:numFmt w:val="bullet"/>
      <w:lvlText w:val="o"/>
      <w:lvlJc w:val="left"/>
      <w:pPr>
        <w:tabs>
          <w:tab w:val="num" w:pos="5684"/>
        </w:tabs>
        <w:ind w:left="5684" w:hanging="360"/>
      </w:pPr>
      <w:rPr>
        <w:rFonts w:ascii="Courier New" w:hAnsi="Courier New" w:cs="Courier New" w:hint="default"/>
      </w:rPr>
    </w:lvl>
    <w:lvl w:ilvl="8" w:tplc="0C090005">
      <w:start w:val="1"/>
      <w:numFmt w:val="bullet"/>
      <w:lvlText w:val=""/>
      <w:lvlJc w:val="left"/>
      <w:pPr>
        <w:tabs>
          <w:tab w:val="num" w:pos="6404"/>
        </w:tabs>
        <w:ind w:left="6404" w:hanging="360"/>
      </w:pPr>
      <w:rPr>
        <w:rFonts w:ascii="Wingdings" w:hAnsi="Wingdings" w:hint="default"/>
      </w:rPr>
    </w:lvl>
  </w:abstractNum>
  <w:abstractNum w:abstractNumId="6">
    <w:nsid w:val="177B7DD8"/>
    <w:multiLevelType w:val="hybridMultilevel"/>
    <w:tmpl w:val="3EA6F6DE"/>
    <w:lvl w:ilvl="0" w:tplc="B9BC0330">
      <w:start w:val="1"/>
      <w:numFmt w:val="lowerLetter"/>
      <w:pStyle w:val="TableListNumber2"/>
      <w:lvlText w:val="%1."/>
      <w:lvlJc w:val="left"/>
      <w:pPr>
        <w:tabs>
          <w:tab w:val="num" w:pos="454"/>
        </w:tabs>
        <w:ind w:left="454" w:hanging="227"/>
      </w:pPr>
      <w:rPr>
        <w:rFonts w:hint="default"/>
      </w:rPr>
    </w:lvl>
    <w:lvl w:ilvl="1" w:tplc="9BD4ABA8" w:tentative="1">
      <w:start w:val="1"/>
      <w:numFmt w:val="lowerLetter"/>
      <w:lvlText w:val="%2."/>
      <w:lvlJc w:val="left"/>
      <w:pPr>
        <w:tabs>
          <w:tab w:val="num" w:pos="1440"/>
        </w:tabs>
        <w:ind w:left="1440" w:hanging="360"/>
      </w:pPr>
    </w:lvl>
    <w:lvl w:ilvl="2" w:tplc="01A68F38" w:tentative="1">
      <w:start w:val="1"/>
      <w:numFmt w:val="lowerRoman"/>
      <w:lvlText w:val="%3."/>
      <w:lvlJc w:val="right"/>
      <w:pPr>
        <w:tabs>
          <w:tab w:val="num" w:pos="2160"/>
        </w:tabs>
        <w:ind w:left="2160" w:hanging="180"/>
      </w:pPr>
    </w:lvl>
    <w:lvl w:ilvl="3" w:tplc="D3C24E88" w:tentative="1">
      <w:start w:val="1"/>
      <w:numFmt w:val="decimal"/>
      <w:lvlText w:val="%4."/>
      <w:lvlJc w:val="left"/>
      <w:pPr>
        <w:tabs>
          <w:tab w:val="num" w:pos="2880"/>
        </w:tabs>
        <w:ind w:left="2880" w:hanging="360"/>
      </w:pPr>
    </w:lvl>
    <w:lvl w:ilvl="4" w:tplc="3586BB66" w:tentative="1">
      <w:start w:val="1"/>
      <w:numFmt w:val="lowerLetter"/>
      <w:lvlText w:val="%5."/>
      <w:lvlJc w:val="left"/>
      <w:pPr>
        <w:tabs>
          <w:tab w:val="num" w:pos="3600"/>
        </w:tabs>
        <w:ind w:left="3600" w:hanging="360"/>
      </w:pPr>
    </w:lvl>
    <w:lvl w:ilvl="5" w:tplc="ACD0480E" w:tentative="1">
      <w:start w:val="1"/>
      <w:numFmt w:val="lowerRoman"/>
      <w:lvlText w:val="%6."/>
      <w:lvlJc w:val="right"/>
      <w:pPr>
        <w:tabs>
          <w:tab w:val="num" w:pos="4320"/>
        </w:tabs>
        <w:ind w:left="4320" w:hanging="180"/>
      </w:pPr>
    </w:lvl>
    <w:lvl w:ilvl="6" w:tplc="C2E8CEEC" w:tentative="1">
      <w:start w:val="1"/>
      <w:numFmt w:val="decimal"/>
      <w:lvlText w:val="%7."/>
      <w:lvlJc w:val="left"/>
      <w:pPr>
        <w:tabs>
          <w:tab w:val="num" w:pos="5040"/>
        </w:tabs>
        <w:ind w:left="5040" w:hanging="360"/>
      </w:pPr>
    </w:lvl>
    <w:lvl w:ilvl="7" w:tplc="C8260750" w:tentative="1">
      <w:start w:val="1"/>
      <w:numFmt w:val="lowerLetter"/>
      <w:lvlText w:val="%8."/>
      <w:lvlJc w:val="left"/>
      <w:pPr>
        <w:tabs>
          <w:tab w:val="num" w:pos="5760"/>
        </w:tabs>
        <w:ind w:left="5760" w:hanging="360"/>
      </w:pPr>
    </w:lvl>
    <w:lvl w:ilvl="8" w:tplc="E18C40C4" w:tentative="1">
      <w:start w:val="1"/>
      <w:numFmt w:val="lowerRoman"/>
      <w:lvlText w:val="%9."/>
      <w:lvlJc w:val="right"/>
      <w:pPr>
        <w:tabs>
          <w:tab w:val="num" w:pos="6480"/>
        </w:tabs>
        <w:ind w:left="6480" w:hanging="180"/>
      </w:pPr>
    </w:lvl>
  </w:abstractNum>
  <w:abstractNum w:abstractNumId="7">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C95784"/>
    <w:multiLevelType w:val="hybridMultilevel"/>
    <w:tmpl w:val="649AC6F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1D974F82"/>
    <w:multiLevelType w:val="hybridMultilevel"/>
    <w:tmpl w:val="CAB29A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1E585CFF"/>
    <w:multiLevelType w:val="hybridMultilevel"/>
    <w:tmpl w:val="C414DA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2">
    <w:nsid w:val="23DB494F"/>
    <w:multiLevelType w:val="hybridMultilevel"/>
    <w:tmpl w:val="1C0650C2"/>
    <w:lvl w:ilvl="0" w:tplc="F2703CB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25C957D5"/>
    <w:multiLevelType w:val="hybridMultilevel"/>
    <w:tmpl w:val="B2503AA2"/>
    <w:lvl w:ilvl="0" w:tplc="50A43B60">
      <w:start w:val="1"/>
      <w:numFmt w:val="lowerLetter"/>
      <w:lvlText w:val="%1)"/>
      <w:lvlJc w:val="left"/>
      <w:pPr>
        <w:tabs>
          <w:tab w:val="num" w:pos="720"/>
        </w:tabs>
        <w:ind w:left="720" w:hanging="36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4">
    <w:nsid w:val="27605890"/>
    <w:multiLevelType w:val="multilevel"/>
    <w:tmpl w:val="624A2AB4"/>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ascii="Arial" w:hAnsi="Arial" w:cs="Arial" w:hint="default"/>
        <w:b/>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nsid w:val="339B6E2E"/>
    <w:multiLevelType w:val="hybridMultilevel"/>
    <w:tmpl w:val="B2503AA2"/>
    <w:lvl w:ilvl="0" w:tplc="50A43B60">
      <w:start w:val="1"/>
      <w:numFmt w:val="lowerLetter"/>
      <w:lvlText w:val="%1)"/>
      <w:lvlJc w:val="left"/>
      <w:pPr>
        <w:tabs>
          <w:tab w:val="num" w:pos="720"/>
        </w:tabs>
        <w:ind w:left="720" w:hanging="36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6">
    <w:nsid w:val="349E5707"/>
    <w:multiLevelType w:val="hybridMultilevel"/>
    <w:tmpl w:val="BE5A0D68"/>
    <w:lvl w:ilvl="0" w:tplc="0C09000F">
      <w:start w:val="1"/>
      <w:numFmt w:val="decimal"/>
      <w:lvlText w:val="%1."/>
      <w:lvlJc w:val="left"/>
      <w:pPr>
        <w:ind w:left="928" w:hanging="360"/>
      </w:pPr>
    </w:lvl>
    <w:lvl w:ilvl="1" w:tplc="0C090019">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7">
    <w:nsid w:val="3643740F"/>
    <w:multiLevelType w:val="hybridMultilevel"/>
    <w:tmpl w:val="B2503AA2"/>
    <w:lvl w:ilvl="0" w:tplc="50A43B60">
      <w:start w:val="1"/>
      <w:numFmt w:val="lowerLetter"/>
      <w:lvlText w:val="%1)"/>
      <w:lvlJc w:val="left"/>
      <w:pPr>
        <w:tabs>
          <w:tab w:val="num" w:pos="720"/>
        </w:tabs>
        <w:ind w:left="720" w:hanging="36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8">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233F6B"/>
    <w:multiLevelType w:val="hybridMultilevel"/>
    <w:tmpl w:val="53929CB2"/>
    <w:lvl w:ilvl="0" w:tplc="8AA0B10A">
      <w:start w:val="1"/>
      <w:numFmt w:val="lowerLetter"/>
      <w:pStyle w:val="BoxListNumber2"/>
      <w:lvlText w:val="%1."/>
      <w:lvlJc w:val="left"/>
      <w:pPr>
        <w:tabs>
          <w:tab w:val="num" w:pos="567"/>
        </w:tabs>
        <w:ind w:left="567" w:hanging="283"/>
      </w:pPr>
      <w:rPr>
        <w:rFonts w:hint="default"/>
      </w:rPr>
    </w:lvl>
    <w:lvl w:ilvl="1" w:tplc="6344AB72" w:tentative="1">
      <w:start w:val="1"/>
      <w:numFmt w:val="lowerLetter"/>
      <w:lvlText w:val="%2."/>
      <w:lvlJc w:val="left"/>
      <w:pPr>
        <w:tabs>
          <w:tab w:val="num" w:pos="1440"/>
        </w:tabs>
        <w:ind w:left="1440" w:hanging="360"/>
      </w:pPr>
    </w:lvl>
    <w:lvl w:ilvl="2" w:tplc="D18C85CC" w:tentative="1">
      <w:start w:val="1"/>
      <w:numFmt w:val="lowerRoman"/>
      <w:lvlText w:val="%3."/>
      <w:lvlJc w:val="right"/>
      <w:pPr>
        <w:tabs>
          <w:tab w:val="num" w:pos="2160"/>
        </w:tabs>
        <w:ind w:left="2160" w:hanging="180"/>
      </w:pPr>
    </w:lvl>
    <w:lvl w:ilvl="3" w:tplc="8A6CB64E" w:tentative="1">
      <w:start w:val="1"/>
      <w:numFmt w:val="decimal"/>
      <w:lvlText w:val="%4."/>
      <w:lvlJc w:val="left"/>
      <w:pPr>
        <w:tabs>
          <w:tab w:val="num" w:pos="2880"/>
        </w:tabs>
        <w:ind w:left="2880" w:hanging="360"/>
      </w:pPr>
    </w:lvl>
    <w:lvl w:ilvl="4" w:tplc="7A0C908C" w:tentative="1">
      <w:start w:val="1"/>
      <w:numFmt w:val="lowerLetter"/>
      <w:lvlText w:val="%5."/>
      <w:lvlJc w:val="left"/>
      <w:pPr>
        <w:tabs>
          <w:tab w:val="num" w:pos="3600"/>
        </w:tabs>
        <w:ind w:left="3600" w:hanging="360"/>
      </w:pPr>
    </w:lvl>
    <w:lvl w:ilvl="5" w:tplc="E10E5E5C" w:tentative="1">
      <w:start w:val="1"/>
      <w:numFmt w:val="lowerRoman"/>
      <w:lvlText w:val="%6."/>
      <w:lvlJc w:val="right"/>
      <w:pPr>
        <w:tabs>
          <w:tab w:val="num" w:pos="4320"/>
        </w:tabs>
        <w:ind w:left="4320" w:hanging="180"/>
      </w:pPr>
    </w:lvl>
    <w:lvl w:ilvl="6" w:tplc="6A549EE6" w:tentative="1">
      <w:start w:val="1"/>
      <w:numFmt w:val="decimal"/>
      <w:lvlText w:val="%7."/>
      <w:lvlJc w:val="left"/>
      <w:pPr>
        <w:tabs>
          <w:tab w:val="num" w:pos="5040"/>
        </w:tabs>
        <w:ind w:left="5040" w:hanging="360"/>
      </w:pPr>
    </w:lvl>
    <w:lvl w:ilvl="7" w:tplc="8420393A" w:tentative="1">
      <w:start w:val="1"/>
      <w:numFmt w:val="lowerLetter"/>
      <w:lvlText w:val="%8."/>
      <w:lvlJc w:val="left"/>
      <w:pPr>
        <w:tabs>
          <w:tab w:val="num" w:pos="5760"/>
        </w:tabs>
        <w:ind w:left="5760" w:hanging="360"/>
      </w:pPr>
    </w:lvl>
    <w:lvl w:ilvl="8" w:tplc="E26CE3AC" w:tentative="1">
      <w:start w:val="1"/>
      <w:numFmt w:val="lowerRoman"/>
      <w:lvlText w:val="%9."/>
      <w:lvlJc w:val="right"/>
      <w:pPr>
        <w:tabs>
          <w:tab w:val="num" w:pos="6480"/>
        </w:tabs>
        <w:ind w:left="6480" w:hanging="180"/>
      </w:pPr>
    </w:lvl>
  </w:abstractNum>
  <w:abstractNum w:abstractNumId="20">
    <w:nsid w:val="396C3512"/>
    <w:multiLevelType w:val="hybridMultilevel"/>
    <w:tmpl w:val="F460C624"/>
    <w:lvl w:ilvl="0" w:tplc="2A9AB928">
      <w:start w:val="1"/>
      <w:numFmt w:val="bullet"/>
      <w:lvlText w:val=""/>
      <w:lvlJc w:val="left"/>
      <w:pPr>
        <w:tabs>
          <w:tab w:val="num" w:pos="0"/>
        </w:tabs>
        <w:ind w:left="737" w:hanging="1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EF1631A"/>
    <w:multiLevelType w:val="hybridMultilevel"/>
    <w:tmpl w:val="D5AE19F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1D37C7C"/>
    <w:multiLevelType w:val="hybridMultilevel"/>
    <w:tmpl w:val="F8FC6ABE"/>
    <w:lvl w:ilvl="0" w:tplc="C922DB8A">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46CD579B"/>
    <w:multiLevelType w:val="hybridMultilevel"/>
    <w:tmpl w:val="36F2514A"/>
    <w:lvl w:ilvl="0" w:tplc="584022B0">
      <w:start w:val="1"/>
      <w:numFmt w:val="bullet"/>
      <w:pStyle w:val="BoxListBullet"/>
      <w:lvlText w:val="&gt;"/>
      <w:lvlJc w:val="left"/>
      <w:pPr>
        <w:tabs>
          <w:tab w:val="num" w:pos="284"/>
        </w:tabs>
        <w:ind w:left="284" w:hanging="284"/>
      </w:pPr>
      <w:rPr>
        <w:rFonts w:hint="default"/>
        <w:color w:val="auto"/>
      </w:rPr>
    </w:lvl>
    <w:lvl w:ilvl="1" w:tplc="13CCB64C" w:tentative="1">
      <w:start w:val="1"/>
      <w:numFmt w:val="bullet"/>
      <w:lvlText w:val="o"/>
      <w:lvlJc w:val="left"/>
      <w:pPr>
        <w:tabs>
          <w:tab w:val="num" w:pos="1440"/>
        </w:tabs>
        <w:ind w:left="1440" w:hanging="360"/>
      </w:pPr>
      <w:rPr>
        <w:rFonts w:ascii="Courier New" w:hAnsi="Courier New" w:cs="Courier New" w:hint="default"/>
      </w:rPr>
    </w:lvl>
    <w:lvl w:ilvl="2" w:tplc="006CB200" w:tentative="1">
      <w:start w:val="1"/>
      <w:numFmt w:val="bullet"/>
      <w:lvlText w:val=""/>
      <w:lvlJc w:val="left"/>
      <w:pPr>
        <w:tabs>
          <w:tab w:val="num" w:pos="2160"/>
        </w:tabs>
        <w:ind w:left="2160" w:hanging="360"/>
      </w:pPr>
      <w:rPr>
        <w:rFonts w:ascii="Wingdings" w:hAnsi="Wingdings" w:hint="default"/>
      </w:rPr>
    </w:lvl>
    <w:lvl w:ilvl="3" w:tplc="3A3A2A88" w:tentative="1">
      <w:start w:val="1"/>
      <w:numFmt w:val="bullet"/>
      <w:lvlText w:val=""/>
      <w:lvlJc w:val="left"/>
      <w:pPr>
        <w:tabs>
          <w:tab w:val="num" w:pos="2880"/>
        </w:tabs>
        <w:ind w:left="2880" w:hanging="360"/>
      </w:pPr>
      <w:rPr>
        <w:rFonts w:ascii="Symbol" w:hAnsi="Symbol" w:hint="default"/>
      </w:rPr>
    </w:lvl>
    <w:lvl w:ilvl="4" w:tplc="F47CC8B6" w:tentative="1">
      <w:start w:val="1"/>
      <w:numFmt w:val="bullet"/>
      <w:lvlText w:val="o"/>
      <w:lvlJc w:val="left"/>
      <w:pPr>
        <w:tabs>
          <w:tab w:val="num" w:pos="3600"/>
        </w:tabs>
        <w:ind w:left="3600" w:hanging="360"/>
      </w:pPr>
      <w:rPr>
        <w:rFonts w:ascii="Courier New" w:hAnsi="Courier New" w:cs="Courier New" w:hint="default"/>
      </w:rPr>
    </w:lvl>
    <w:lvl w:ilvl="5" w:tplc="8CA40208" w:tentative="1">
      <w:start w:val="1"/>
      <w:numFmt w:val="bullet"/>
      <w:lvlText w:val=""/>
      <w:lvlJc w:val="left"/>
      <w:pPr>
        <w:tabs>
          <w:tab w:val="num" w:pos="4320"/>
        </w:tabs>
        <w:ind w:left="4320" w:hanging="360"/>
      </w:pPr>
      <w:rPr>
        <w:rFonts w:ascii="Wingdings" w:hAnsi="Wingdings" w:hint="default"/>
      </w:rPr>
    </w:lvl>
    <w:lvl w:ilvl="6" w:tplc="2D22BC1E" w:tentative="1">
      <w:start w:val="1"/>
      <w:numFmt w:val="bullet"/>
      <w:lvlText w:val=""/>
      <w:lvlJc w:val="left"/>
      <w:pPr>
        <w:tabs>
          <w:tab w:val="num" w:pos="5040"/>
        </w:tabs>
        <w:ind w:left="5040" w:hanging="360"/>
      </w:pPr>
      <w:rPr>
        <w:rFonts w:ascii="Symbol" w:hAnsi="Symbol" w:hint="default"/>
      </w:rPr>
    </w:lvl>
    <w:lvl w:ilvl="7" w:tplc="61822FDA" w:tentative="1">
      <w:start w:val="1"/>
      <w:numFmt w:val="bullet"/>
      <w:lvlText w:val="o"/>
      <w:lvlJc w:val="left"/>
      <w:pPr>
        <w:tabs>
          <w:tab w:val="num" w:pos="5760"/>
        </w:tabs>
        <w:ind w:left="5760" w:hanging="360"/>
      </w:pPr>
      <w:rPr>
        <w:rFonts w:ascii="Courier New" w:hAnsi="Courier New" w:cs="Courier New" w:hint="default"/>
      </w:rPr>
    </w:lvl>
    <w:lvl w:ilvl="8" w:tplc="3F9489BA" w:tentative="1">
      <w:start w:val="1"/>
      <w:numFmt w:val="bullet"/>
      <w:lvlText w:val=""/>
      <w:lvlJc w:val="left"/>
      <w:pPr>
        <w:tabs>
          <w:tab w:val="num" w:pos="6480"/>
        </w:tabs>
        <w:ind w:left="6480" w:hanging="360"/>
      </w:pPr>
      <w:rPr>
        <w:rFonts w:ascii="Wingdings" w:hAnsi="Wingdings" w:hint="default"/>
      </w:rPr>
    </w:lvl>
  </w:abstractNum>
  <w:abstractNum w:abstractNumId="24">
    <w:nsid w:val="48121D07"/>
    <w:multiLevelType w:val="hybridMultilevel"/>
    <w:tmpl w:val="D5AE19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BFB22D2"/>
    <w:multiLevelType w:val="hybridMultilevel"/>
    <w:tmpl w:val="0EF053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C773580"/>
    <w:multiLevelType w:val="hybridMultilevel"/>
    <w:tmpl w:val="4EA6A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637407C"/>
    <w:multiLevelType w:val="hybridMultilevel"/>
    <w:tmpl w:val="19344B2A"/>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98A5214"/>
    <w:multiLevelType w:val="hybridMultilevel"/>
    <w:tmpl w:val="0B5AC610"/>
    <w:lvl w:ilvl="0" w:tplc="BB4833E8">
      <w:start w:val="1"/>
      <w:numFmt w:val="decimal"/>
      <w:pStyle w:val="TableListNumber"/>
      <w:lvlText w:val="%1."/>
      <w:lvlJc w:val="left"/>
      <w:pPr>
        <w:tabs>
          <w:tab w:val="num" w:pos="227"/>
        </w:tabs>
        <w:ind w:left="227" w:hanging="227"/>
      </w:pPr>
      <w:rPr>
        <w:rFonts w:hint="default"/>
      </w:rPr>
    </w:lvl>
    <w:lvl w:ilvl="1" w:tplc="97E837FC">
      <w:start w:val="1"/>
      <w:numFmt w:val="lowerLetter"/>
      <w:lvlText w:val="%2."/>
      <w:lvlJc w:val="left"/>
      <w:pPr>
        <w:tabs>
          <w:tab w:val="num" w:pos="1440"/>
        </w:tabs>
        <w:ind w:left="1440" w:hanging="360"/>
      </w:pPr>
    </w:lvl>
    <w:lvl w:ilvl="2" w:tplc="191C90E4" w:tentative="1">
      <w:start w:val="1"/>
      <w:numFmt w:val="lowerRoman"/>
      <w:lvlText w:val="%3."/>
      <w:lvlJc w:val="right"/>
      <w:pPr>
        <w:tabs>
          <w:tab w:val="num" w:pos="2160"/>
        </w:tabs>
        <w:ind w:left="2160" w:hanging="180"/>
      </w:pPr>
    </w:lvl>
    <w:lvl w:ilvl="3" w:tplc="F0520CEA" w:tentative="1">
      <w:start w:val="1"/>
      <w:numFmt w:val="decimal"/>
      <w:lvlText w:val="%4."/>
      <w:lvlJc w:val="left"/>
      <w:pPr>
        <w:tabs>
          <w:tab w:val="num" w:pos="2880"/>
        </w:tabs>
        <w:ind w:left="2880" w:hanging="360"/>
      </w:pPr>
    </w:lvl>
    <w:lvl w:ilvl="4" w:tplc="C3449AE4" w:tentative="1">
      <w:start w:val="1"/>
      <w:numFmt w:val="lowerLetter"/>
      <w:lvlText w:val="%5."/>
      <w:lvlJc w:val="left"/>
      <w:pPr>
        <w:tabs>
          <w:tab w:val="num" w:pos="3600"/>
        </w:tabs>
        <w:ind w:left="3600" w:hanging="360"/>
      </w:pPr>
    </w:lvl>
    <w:lvl w:ilvl="5" w:tplc="CB867FFA" w:tentative="1">
      <w:start w:val="1"/>
      <w:numFmt w:val="lowerRoman"/>
      <w:lvlText w:val="%6."/>
      <w:lvlJc w:val="right"/>
      <w:pPr>
        <w:tabs>
          <w:tab w:val="num" w:pos="4320"/>
        </w:tabs>
        <w:ind w:left="4320" w:hanging="180"/>
      </w:pPr>
    </w:lvl>
    <w:lvl w:ilvl="6" w:tplc="423ECDB4" w:tentative="1">
      <w:start w:val="1"/>
      <w:numFmt w:val="decimal"/>
      <w:lvlText w:val="%7."/>
      <w:lvlJc w:val="left"/>
      <w:pPr>
        <w:tabs>
          <w:tab w:val="num" w:pos="5040"/>
        </w:tabs>
        <w:ind w:left="5040" w:hanging="360"/>
      </w:pPr>
    </w:lvl>
    <w:lvl w:ilvl="7" w:tplc="F58C803A" w:tentative="1">
      <w:start w:val="1"/>
      <w:numFmt w:val="lowerLetter"/>
      <w:lvlText w:val="%8."/>
      <w:lvlJc w:val="left"/>
      <w:pPr>
        <w:tabs>
          <w:tab w:val="num" w:pos="5760"/>
        </w:tabs>
        <w:ind w:left="5760" w:hanging="360"/>
      </w:pPr>
    </w:lvl>
    <w:lvl w:ilvl="8" w:tplc="A92C91A4" w:tentative="1">
      <w:start w:val="1"/>
      <w:numFmt w:val="lowerRoman"/>
      <w:lvlText w:val="%9."/>
      <w:lvlJc w:val="right"/>
      <w:pPr>
        <w:tabs>
          <w:tab w:val="num" w:pos="6480"/>
        </w:tabs>
        <w:ind w:left="6480" w:hanging="180"/>
      </w:pPr>
    </w:lvl>
  </w:abstractNum>
  <w:abstractNum w:abstractNumId="31">
    <w:nsid w:val="5EC02F32"/>
    <w:multiLevelType w:val="multilevel"/>
    <w:tmpl w:val="802EF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EF94FC0"/>
    <w:multiLevelType w:val="hybridMultilevel"/>
    <w:tmpl w:val="7088749A"/>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33">
    <w:nsid w:val="5FA931BD"/>
    <w:multiLevelType w:val="multilevel"/>
    <w:tmpl w:val="A0404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4F264CF"/>
    <w:multiLevelType w:val="multilevel"/>
    <w:tmpl w:val="DD5A44F4"/>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pStyle w:val="Heading3"/>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36">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38">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F633C8"/>
    <w:multiLevelType w:val="hybridMultilevel"/>
    <w:tmpl w:val="8A905E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77A07BC9"/>
    <w:multiLevelType w:val="hybridMultilevel"/>
    <w:tmpl w:val="E24E5AE2"/>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79E1124E"/>
    <w:multiLevelType w:val="hybridMultilevel"/>
    <w:tmpl w:val="6D42E656"/>
    <w:lvl w:ilvl="0" w:tplc="AA5658D6">
      <w:start w:val="1"/>
      <w:numFmt w:val="lowerLetter"/>
      <w:pStyle w:val="ListNumber2"/>
      <w:lvlText w:val="%1."/>
      <w:lvlJc w:val="left"/>
      <w:pPr>
        <w:tabs>
          <w:tab w:val="num" w:pos="567"/>
        </w:tabs>
        <w:ind w:left="567" w:hanging="283"/>
      </w:pPr>
      <w:rPr>
        <w:rFonts w:hint="default"/>
      </w:rPr>
    </w:lvl>
    <w:lvl w:ilvl="1" w:tplc="7FD2321E" w:tentative="1">
      <w:start w:val="1"/>
      <w:numFmt w:val="lowerLetter"/>
      <w:lvlText w:val="%2."/>
      <w:lvlJc w:val="left"/>
      <w:pPr>
        <w:tabs>
          <w:tab w:val="num" w:pos="1440"/>
        </w:tabs>
        <w:ind w:left="1440" w:hanging="360"/>
      </w:pPr>
    </w:lvl>
    <w:lvl w:ilvl="2" w:tplc="0FD0F876" w:tentative="1">
      <w:start w:val="1"/>
      <w:numFmt w:val="lowerRoman"/>
      <w:lvlText w:val="%3."/>
      <w:lvlJc w:val="right"/>
      <w:pPr>
        <w:tabs>
          <w:tab w:val="num" w:pos="2160"/>
        </w:tabs>
        <w:ind w:left="2160" w:hanging="180"/>
      </w:pPr>
    </w:lvl>
    <w:lvl w:ilvl="3" w:tplc="8FC87248" w:tentative="1">
      <w:start w:val="1"/>
      <w:numFmt w:val="decimal"/>
      <w:lvlText w:val="%4."/>
      <w:lvlJc w:val="left"/>
      <w:pPr>
        <w:tabs>
          <w:tab w:val="num" w:pos="2880"/>
        </w:tabs>
        <w:ind w:left="2880" w:hanging="360"/>
      </w:pPr>
    </w:lvl>
    <w:lvl w:ilvl="4" w:tplc="A5821146" w:tentative="1">
      <w:start w:val="1"/>
      <w:numFmt w:val="lowerLetter"/>
      <w:lvlText w:val="%5."/>
      <w:lvlJc w:val="left"/>
      <w:pPr>
        <w:tabs>
          <w:tab w:val="num" w:pos="3600"/>
        </w:tabs>
        <w:ind w:left="3600" w:hanging="360"/>
      </w:pPr>
    </w:lvl>
    <w:lvl w:ilvl="5" w:tplc="1D6AABDE" w:tentative="1">
      <w:start w:val="1"/>
      <w:numFmt w:val="lowerRoman"/>
      <w:lvlText w:val="%6."/>
      <w:lvlJc w:val="right"/>
      <w:pPr>
        <w:tabs>
          <w:tab w:val="num" w:pos="4320"/>
        </w:tabs>
        <w:ind w:left="4320" w:hanging="180"/>
      </w:pPr>
    </w:lvl>
    <w:lvl w:ilvl="6" w:tplc="EC4224B4" w:tentative="1">
      <w:start w:val="1"/>
      <w:numFmt w:val="decimal"/>
      <w:lvlText w:val="%7."/>
      <w:lvlJc w:val="left"/>
      <w:pPr>
        <w:tabs>
          <w:tab w:val="num" w:pos="5040"/>
        </w:tabs>
        <w:ind w:left="5040" w:hanging="360"/>
      </w:pPr>
    </w:lvl>
    <w:lvl w:ilvl="7" w:tplc="7BB09FB8" w:tentative="1">
      <w:start w:val="1"/>
      <w:numFmt w:val="lowerLetter"/>
      <w:lvlText w:val="%8."/>
      <w:lvlJc w:val="left"/>
      <w:pPr>
        <w:tabs>
          <w:tab w:val="num" w:pos="5760"/>
        </w:tabs>
        <w:ind w:left="5760" w:hanging="360"/>
      </w:pPr>
    </w:lvl>
    <w:lvl w:ilvl="8" w:tplc="EAF67344" w:tentative="1">
      <w:start w:val="1"/>
      <w:numFmt w:val="lowerRoman"/>
      <w:lvlText w:val="%9."/>
      <w:lvlJc w:val="right"/>
      <w:pPr>
        <w:tabs>
          <w:tab w:val="num" w:pos="6480"/>
        </w:tabs>
        <w:ind w:left="6480" w:hanging="180"/>
      </w:pPr>
    </w:lvl>
  </w:abstractNum>
  <w:abstractNum w:abstractNumId="42">
    <w:nsid w:val="7F7A528B"/>
    <w:multiLevelType w:val="hybridMultilevel"/>
    <w:tmpl w:val="4ADC517C"/>
    <w:lvl w:ilvl="0" w:tplc="1CAC5EDE">
      <w:start w:val="1"/>
      <w:numFmt w:val="bullet"/>
      <w:pStyle w:val="ListBullet"/>
      <w:lvlText w:val="&gt;"/>
      <w:lvlJc w:val="left"/>
      <w:pPr>
        <w:tabs>
          <w:tab w:val="num" w:pos="284"/>
        </w:tabs>
        <w:ind w:left="284" w:hanging="284"/>
      </w:pPr>
      <w:rPr>
        <w:rFonts w:hint="default"/>
        <w:color w:val="auto"/>
        <w:position w:val="3"/>
      </w:rPr>
    </w:lvl>
    <w:lvl w:ilvl="1" w:tplc="E4EE1396" w:tentative="1">
      <w:start w:val="1"/>
      <w:numFmt w:val="bullet"/>
      <w:lvlText w:val="o"/>
      <w:lvlJc w:val="left"/>
      <w:pPr>
        <w:tabs>
          <w:tab w:val="num" w:pos="1440"/>
        </w:tabs>
        <w:ind w:left="1440" w:hanging="360"/>
      </w:pPr>
      <w:rPr>
        <w:rFonts w:ascii="Courier New" w:hAnsi="Courier New" w:cs="Courier New" w:hint="default"/>
      </w:rPr>
    </w:lvl>
    <w:lvl w:ilvl="2" w:tplc="A8042B04" w:tentative="1">
      <w:start w:val="1"/>
      <w:numFmt w:val="bullet"/>
      <w:lvlText w:val=""/>
      <w:lvlJc w:val="left"/>
      <w:pPr>
        <w:tabs>
          <w:tab w:val="num" w:pos="2160"/>
        </w:tabs>
        <w:ind w:left="2160" w:hanging="360"/>
      </w:pPr>
      <w:rPr>
        <w:rFonts w:ascii="Wingdings" w:hAnsi="Wingdings" w:hint="default"/>
      </w:rPr>
    </w:lvl>
    <w:lvl w:ilvl="3" w:tplc="A3BAAB50" w:tentative="1">
      <w:start w:val="1"/>
      <w:numFmt w:val="bullet"/>
      <w:lvlText w:val=""/>
      <w:lvlJc w:val="left"/>
      <w:pPr>
        <w:tabs>
          <w:tab w:val="num" w:pos="2880"/>
        </w:tabs>
        <w:ind w:left="2880" w:hanging="360"/>
      </w:pPr>
      <w:rPr>
        <w:rFonts w:ascii="Symbol" w:hAnsi="Symbol" w:hint="default"/>
      </w:rPr>
    </w:lvl>
    <w:lvl w:ilvl="4" w:tplc="A74A60BE" w:tentative="1">
      <w:start w:val="1"/>
      <w:numFmt w:val="bullet"/>
      <w:lvlText w:val="o"/>
      <w:lvlJc w:val="left"/>
      <w:pPr>
        <w:tabs>
          <w:tab w:val="num" w:pos="3600"/>
        </w:tabs>
        <w:ind w:left="3600" w:hanging="360"/>
      </w:pPr>
      <w:rPr>
        <w:rFonts w:ascii="Courier New" w:hAnsi="Courier New" w:cs="Courier New" w:hint="default"/>
      </w:rPr>
    </w:lvl>
    <w:lvl w:ilvl="5" w:tplc="F3B63E42" w:tentative="1">
      <w:start w:val="1"/>
      <w:numFmt w:val="bullet"/>
      <w:lvlText w:val=""/>
      <w:lvlJc w:val="left"/>
      <w:pPr>
        <w:tabs>
          <w:tab w:val="num" w:pos="4320"/>
        </w:tabs>
        <w:ind w:left="4320" w:hanging="360"/>
      </w:pPr>
      <w:rPr>
        <w:rFonts w:ascii="Wingdings" w:hAnsi="Wingdings" w:hint="default"/>
      </w:rPr>
    </w:lvl>
    <w:lvl w:ilvl="6" w:tplc="E586D9C8" w:tentative="1">
      <w:start w:val="1"/>
      <w:numFmt w:val="bullet"/>
      <w:lvlText w:val=""/>
      <w:lvlJc w:val="left"/>
      <w:pPr>
        <w:tabs>
          <w:tab w:val="num" w:pos="5040"/>
        </w:tabs>
        <w:ind w:left="5040" w:hanging="360"/>
      </w:pPr>
      <w:rPr>
        <w:rFonts w:ascii="Symbol" w:hAnsi="Symbol" w:hint="default"/>
      </w:rPr>
    </w:lvl>
    <w:lvl w:ilvl="7" w:tplc="5A2009A4" w:tentative="1">
      <w:start w:val="1"/>
      <w:numFmt w:val="bullet"/>
      <w:lvlText w:val="o"/>
      <w:lvlJc w:val="left"/>
      <w:pPr>
        <w:tabs>
          <w:tab w:val="num" w:pos="5760"/>
        </w:tabs>
        <w:ind w:left="5760" w:hanging="360"/>
      </w:pPr>
      <w:rPr>
        <w:rFonts w:ascii="Courier New" w:hAnsi="Courier New" w:cs="Courier New" w:hint="default"/>
      </w:rPr>
    </w:lvl>
    <w:lvl w:ilvl="8" w:tplc="25DE045A"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6"/>
  </w:num>
  <w:num w:numId="3">
    <w:abstractNumId w:val="19"/>
  </w:num>
  <w:num w:numId="4">
    <w:abstractNumId w:val="28"/>
  </w:num>
  <w:num w:numId="5">
    <w:abstractNumId w:val="23"/>
  </w:num>
  <w:num w:numId="6">
    <w:abstractNumId w:val="18"/>
  </w:num>
  <w:num w:numId="7">
    <w:abstractNumId w:val="35"/>
  </w:num>
  <w:num w:numId="8">
    <w:abstractNumId w:val="36"/>
  </w:num>
  <w:num w:numId="9">
    <w:abstractNumId w:val="4"/>
  </w:num>
  <w:num w:numId="10">
    <w:abstractNumId w:val="27"/>
  </w:num>
  <w:num w:numId="11">
    <w:abstractNumId w:val="38"/>
  </w:num>
  <w:num w:numId="12">
    <w:abstractNumId w:val="11"/>
  </w:num>
  <w:num w:numId="13">
    <w:abstractNumId w:val="7"/>
  </w:num>
  <w:num w:numId="14">
    <w:abstractNumId w:val="41"/>
  </w:num>
  <w:num w:numId="15">
    <w:abstractNumId w:val="42"/>
  </w:num>
  <w:num w:numId="16">
    <w:abstractNumId w:val="37"/>
  </w:num>
  <w:num w:numId="17">
    <w:abstractNumId w:val="34"/>
  </w:num>
  <w:num w:numId="18">
    <w:abstractNumId w:val="1"/>
  </w:num>
  <w:num w:numId="19">
    <w:abstractNumId w:val="25"/>
  </w:num>
  <w:num w:numId="20">
    <w:abstractNumId w:val="3"/>
  </w:num>
  <w:num w:numId="21">
    <w:abstractNumId w:val="2"/>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40"/>
  </w:num>
  <w:num w:numId="28">
    <w:abstractNumId w:val="24"/>
  </w:num>
  <w:num w:numId="29">
    <w:abstractNumId w:val="13"/>
  </w:num>
  <w:num w:numId="30">
    <w:abstractNumId w:val="15"/>
  </w:num>
  <w:num w:numId="31">
    <w:abstractNumId w:val="17"/>
  </w:num>
  <w:num w:numId="32">
    <w:abstractNumId w:val="26"/>
  </w:num>
  <w:num w:numId="33">
    <w:abstractNumId w:val="39"/>
  </w:num>
  <w:num w:numId="34">
    <w:abstractNumId w:val="0"/>
  </w:num>
  <w:num w:numId="35">
    <w:abstractNumId w:val="20"/>
  </w:num>
  <w:num w:numId="36">
    <w:abstractNumId w:val="22"/>
  </w:num>
  <w:num w:numId="37">
    <w:abstractNumId w:val="12"/>
  </w:num>
  <w:num w:numId="38">
    <w:abstractNumId w:val="22"/>
  </w:num>
  <w:num w:numId="39">
    <w:abstractNumId w:val="21"/>
  </w:num>
  <w:num w:numId="40">
    <w:abstractNumId w:val="33"/>
  </w:num>
  <w:num w:numId="41">
    <w:abstractNumId w:val="31"/>
  </w:num>
  <w:num w:numId="42">
    <w:abstractNumId w:val="10"/>
  </w:num>
  <w:num w:numId="43">
    <w:abstractNumId w:val="9"/>
  </w:num>
  <w:num w:numId="44">
    <w:abstractNumId w:val="14"/>
  </w:num>
  <w:num w:numId="45">
    <w:abstractNumId w:val="16"/>
  </w:num>
  <w:num w:numId="46">
    <w:abstractNumId w:val="8"/>
  </w:num>
  <w:num w:numId="47">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3251">
      <o:colormru v:ext="edit" colors="#5a9a98,#ddcf56,#ad495d,#ab9c8f,#b5d3d2,#7e6d5f,#f26631,#54534a"/>
    </o:shapedefaults>
    <o:shapelayout v:ext="edit">
      <o:idmap v:ext="edit" data="2"/>
    </o:shapelayout>
  </w:hdrShapeDefaults>
  <w:footnotePr>
    <w:numFmt w:val="lowerRoman"/>
    <w:footnote w:id="-1"/>
    <w:footnote w:id="0"/>
    <w:footnote w:id="1"/>
  </w:footnotePr>
  <w:endnotePr>
    <w:numFmt w:val="decimal"/>
    <w:endnote w:id="-1"/>
    <w:endnote w:id="0"/>
    <w:endnote w:id="1"/>
  </w:endnotePr>
  <w:compat>
    <w:noLeading/>
    <w:noExtraLineSpacing/>
    <w:printColBlack/>
    <w:suppressSpBfAfterPgBrk/>
    <w:alignTablesRowByRow/>
    <w:forgetLastTabAlignment/>
    <w:noSpaceRaiseLower/>
    <w:doNotUseHTMLParagraphAutoSpacing/>
    <w:layoutTableRowsApart/>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177E"/>
    <w:rsid w:val="00001D47"/>
    <w:rsid w:val="00002939"/>
    <w:rsid w:val="00004368"/>
    <w:rsid w:val="00004EEB"/>
    <w:rsid w:val="00007EC5"/>
    <w:rsid w:val="00011550"/>
    <w:rsid w:val="0001170C"/>
    <w:rsid w:val="00011C67"/>
    <w:rsid w:val="000129D7"/>
    <w:rsid w:val="0001356A"/>
    <w:rsid w:val="00014038"/>
    <w:rsid w:val="0001508D"/>
    <w:rsid w:val="00015DBC"/>
    <w:rsid w:val="000165CC"/>
    <w:rsid w:val="00016771"/>
    <w:rsid w:val="00016CBA"/>
    <w:rsid w:val="00017D33"/>
    <w:rsid w:val="00017D6A"/>
    <w:rsid w:val="00017E33"/>
    <w:rsid w:val="000211DA"/>
    <w:rsid w:val="0002235F"/>
    <w:rsid w:val="00022C79"/>
    <w:rsid w:val="00022D41"/>
    <w:rsid w:val="000257E7"/>
    <w:rsid w:val="00025FF9"/>
    <w:rsid w:val="00030588"/>
    <w:rsid w:val="00030BF1"/>
    <w:rsid w:val="0003385B"/>
    <w:rsid w:val="00034B41"/>
    <w:rsid w:val="00034E45"/>
    <w:rsid w:val="00035E2A"/>
    <w:rsid w:val="00036C8B"/>
    <w:rsid w:val="00037673"/>
    <w:rsid w:val="00040DF7"/>
    <w:rsid w:val="000433AB"/>
    <w:rsid w:val="00043889"/>
    <w:rsid w:val="00044783"/>
    <w:rsid w:val="00044EDD"/>
    <w:rsid w:val="000452A6"/>
    <w:rsid w:val="0004636D"/>
    <w:rsid w:val="00046974"/>
    <w:rsid w:val="00047868"/>
    <w:rsid w:val="000513B2"/>
    <w:rsid w:val="000519AD"/>
    <w:rsid w:val="00053BB3"/>
    <w:rsid w:val="00053D8A"/>
    <w:rsid w:val="00060A32"/>
    <w:rsid w:val="00061389"/>
    <w:rsid w:val="000634B7"/>
    <w:rsid w:val="00063C90"/>
    <w:rsid w:val="00064AA6"/>
    <w:rsid w:val="000655EB"/>
    <w:rsid w:val="00065B0D"/>
    <w:rsid w:val="00065C12"/>
    <w:rsid w:val="00067F6E"/>
    <w:rsid w:val="00070BAE"/>
    <w:rsid w:val="00070F05"/>
    <w:rsid w:val="000721DE"/>
    <w:rsid w:val="000722A1"/>
    <w:rsid w:val="00073023"/>
    <w:rsid w:val="00073465"/>
    <w:rsid w:val="000735CF"/>
    <w:rsid w:val="00074C9B"/>
    <w:rsid w:val="00075C1B"/>
    <w:rsid w:val="00075E37"/>
    <w:rsid w:val="00075F52"/>
    <w:rsid w:val="00075FC0"/>
    <w:rsid w:val="000765D3"/>
    <w:rsid w:val="000766F0"/>
    <w:rsid w:val="00076703"/>
    <w:rsid w:val="000805B2"/>
    <w:rsid w:val="00082E97"/>
    <w:rsid w:val="000833A0"/>
    <w:rsid w:val="00085585"/>
    <w:rsid w:val="00085E50"/>
    <w:rsid w:val="00086164"/>
    <w:rsid w:val="000863C3"/>
    <w:rsid w:val="00090C8C"/>
    <w:rsid w:val="00092392"/>
    <w:rsid w:val="00092F37"/>
    <w:rsid w:val="00093380"/>
    <w:rsid w:val="00095DC9"/>
    <w:rsid w:val="00097A76"/>
    <w:rsid w:val="000A0794"/>
    <w:rsid w:val="000A1360"/>
    <w:rsid w:val="000A3437"/>
    <w:rsid w:val="000A3B0A"/>
    <w:rsid w:val="000A4433"/>
    <w:rsid w:val="000A5BCC"/>
    <w:rsid w:val="000A7400"/>
    <w:rsid w:val="000A7708"/>
    <w:rsid w:val="000A7AD4"/>
    <w:rsid w:val="000A7D61"/>
    <w:rsid w:val="000B01DF"/>
    <w:rsid w:val="000B0232"/>
    <w:rsid w:val="000B108C"/>
    <w:rsid w:val="000B13AB"/>
    <w:rsid w:val="000B146D"/>
    <w:rsid w:val="000B4054"/>
    <w:rsid w:val="000B4271"/>
    <w:rsid w:val="000B56CF"/>
    <w:rsid w:val="000B5B55"/>
    <w:rsid w:val="000B6330"/>
    <w:rsid w:val="000B7FF7"/>
    <w:rsid w:val="000C0125"/>
    <w:rsid w:val="000C0455"/>
    <w:rsid w:val="000C0807"/>
    <w:rsid w:val="000C0D83"/>
    <w:rsid w:val="000C0FB8"/>
    <w:rsid w:val="000C45A2"/>
    <w:rsid w:val="000C57FD"/>
    <w:rsid w:val="000C6046"/>
    <w:rsid w:val="000C6354"/>
    <w:rsid w:val="000D0442"/>
    <w:rsid w:val="000D074E"/>
    <w:rsid w:val="000D32D5"/>
    <w:rsid w:val="000D444F"/>
    <w:rsid w:val="000D47A5"/>
    <w:rsid w:val="000E0333"/>
    <w:rsid w:val="000E2E8A"/>
    <w:rsid w:val="000E595E"/>
    <w:rsid w:val="000E5C21"/>
    <w:rsid w:val="000E715B"/>
    <w:rsid w:val="000E779A"/>
    <w:rsid w:val="000F5F51"/>
    <w:rsid w:val="000F706A"/>
    <w:rsid w:val="000F7DB9"/>
    <w:rsid w:val="000F7EBB"/>
    <w:rsid w:val="0010001A"/>
    <w:rsid w:val="00100EA0"/>
    <w:rsid w:val="001020A5"/>
    <w:rsid w:val="00103985"/>
    <w:rsid w:val="00104CCC"/>
    <w:rsid w:val="001104EF"/>
    <w:rsid w:val="001154DA"/>
    <w:rsid w:val="001156BA"/>
    <w:rsid w:val="00115A8C"/>
    <w:rsid w:val="00115D91"/>
    <w:rsid w:val="00115F2A"/>
    <w:rsid w:val="001204E2"/>
    <w:rsid w:val="00123917"/>
    <w:rsid w:val="001250BF"/>
    <w:rsid w:val="001260C2"/>
    <w:rsid w:val="001262B4"/>
    <w:rsid w:val="00127B7F"/>
    <w:rsid w:val="00130109"/>
    <w:rsid w:val="00131DB9"/>
    <w:rsid w:val="00131F8B"/>
    <w:rsid w:val="0013264A"/>
    <w:rsid w:val="00132E41"/>
    <w:rsid w:val="00135A4C"/>
    <w:rsid w:val="001360A4"/>
    <w:rsid w:val="00136E47"/>
    <w:rsid w:val="00136FF9"/>
    <w:rsid w:val="00137BA1"/>
    <w:rsid w:val="0014049B"/>
    <w:rsid w:val="00141210"/>
    <w:rsid w:val="00141818"/>
    <w:rsid w:val="0014252B"/>
    <w:rsid w:val="0014282B"/>
    <w:rsid w:val="00142A4D"/>
    <w:rsid w:val="00142E47"/>
    <w:rsid w:val="00143525"/>
    <w:rsid w:val="001436A7"/>
    <w:rsid w:val="00144514"/>
    <w:rsid w:val="00144611"/>
    <w:rsid w:val="00144B1B"/>
    <w:rsid w:val="001454D4"/>
    <w:rsid w:val="001457D9"/>
    <w:rsid w:val="0014684E"/>
    <w:rsid w:val="0014787F"/>
    <w:rsid w:val="0015133A"/>
    <w:rsid w:val="00152864"/>
    <w:rsid w:val="001529E0"/>
    <w:rsid w:val="00152D98"/>
    <w:rsid w:val="0015577D"/>
    <w:rsid w:val="0015636E"/>
    <w:rsid w:val="001564B4"/>
    <w:rsid w:val="00156521"/>
    <w:rsid w:val="00156A18"/>
    <w:rsid w:val="00161606"/>
    <w:rsid w:val="00161B9F"/>
    <w:rsid w:val="0016217F"/>
    <w:rsid w:val="0016411C"/>
    <w:rsid w:val="001644AA"/>
    <w:rsid w:val="00165C4D"/>
    <w:rsid w:val="00166BE1"/>
    <w:rsid w:val="00166D04"/>
    <w:rsid w:val="001702A7"/>
    <w:rsid w:val="001702D7"/>
    <w:rsid w:val="001707ED"/>
    <w:rsid w:val="00170B04"/>
    <w:rsid w:val="00172093"/>
    <w:rsid w:val="00172F3A"/>
    <w:rsid w:val="0017313D"/>
    <w:rsid w:val="00174585"/>
    <w:rsid w:val="00174A42"/>
    <w:rsid w:val="001756DD"/>
    <w:rsid w:val="00175CFE"/>
    <w:rsid w:val="00176289"/>
    <w:rsid w:val="00176846"/>
    <w:rsid w:val="001772C7"/>
    <w:rsid w:val="00177AE1"/>
    <w:rsid w:val="00180749"/>
    <w:rsid w:val="00180E63"/>
    <w:rsid w:val="00180EC6"/>
    <w:rsid w:val="001822D6"/>
    <w:rsid w:val="001826C4"/>
    <w:rsid w:val="00182E7D"/>
    <w:rsid w:val="001840DC"/>
    <w:rsid w:val="00184C6E"/>
    <w:rsid w:val="00184C6F"/>
    <w:rsid w:val="00187D56"/>
    <w:rsid w:val="00190A25"/>
    <w:rsid w:val="001924E2"/>
    <w:rsid w:val="00193384"/>
    <w:rsid w:val="001957F2"/>
    <w:rsid w:val="0019627A"/>
    <w:rsid w:val="00197485"/>
    <w:rsid w:val="001A0653"/>
    <w:rsid w:val="001A157D"/>
    <w:rsid w:val="001A4314"/>
    <w:rsid w:val="001A4CB0"/>
    <w:rsid w:val="001A4F3D"/>
    <w:rsid w:val="001A64D6"/>
    <w:rsid w:val="001A676A"/>
    <w:rsid w:val="001A76CD"/>
    <w:rsid w:val="001A7A00"/>
    <w:rsid w:val="001B0BC3"/>
    <w:rsid w:val="001B11EB"/>
    <w:rsid w:val="001B1559"/>
    <w:rsid w:val="001B35CF"/>
    <w:rsid w:val="001B3A25"/>
    <w:rsid w:val="001B40B6"/>
    <w:rsid w:val="001B4109"/>
    <w:rsid w:val="001B55D6"/>
    <w:rsid w:val="001B7441"/>
    <w:rsid w:val="001B7B3C"/>
    <w:rsid w:val="001B7D36"/>
    <w:rsid w:val="001C1650"/>
    <w:rsid w:val="001C168E"/>
    <w:rsid w:val="001C18A5"/>
    <w:rsid w:val="001C27DD"/>
    <w:rsid w:val="001C4501"/>
    <w:rsid w:val="001C54D5"/>
    <w:rsid w:val="001C557B"/>
    <w:rsid w:val="001C68A6"/>
    <w:rsid w:val="001C68C8"/>
    <w:rsid w:val="001C6E03"/>
    <w:rsid w:val="001C6E25"/>
    <w:rsid w:val="001C79A8"/>
    <w:rsid w:val="001C7FAB"/>
    <w:rsid w:val="001D0D54"/>
    <w:rsid w:val="001D0D75"/>
    <w:rsid w:val="001D101D"/>
    <w:rsid w:val="001D21D0"/>
    <w:rsid w:val="001D24B1"/>
    <w:rsid w:val="001D2D04"/>
    <w:rsid w:val="001D494C"/>
    <w:rsid w:val="001D5233"/>
    <w:rsid w:val="001D5666"/>
    <w:rsid w:val="001D5A1E"/>
    <w:rsid w:val="001D65A4"/>
    <w:rsid w:val="001E0DD5"/>
    <w:rsid w:val="001E2B1A"/>
    <w:rsid w:val="001E521E"/>
    <w:rsid w:val="001E5458"/>
    <w:rsid w:val="001E61C0"/>
    <w:rsid w:val="001E77A7"/>
    <w:rsid w:val="001E7C2A"/>
    <w:rsid w:val="001F0E53"/>
    <w:rsid w:val="001F0E62"/>
    <w:rsid w:val="001F1365"/>
    <w:rsid w:val="001F2165"/>
    <w:rsid w:val="001F2A26"/>
    <w:rsid w:val="001F353B"/>
    <w:rsid w:val="001F39C9"/>
    <w:rsid w:val="001F3EC7"/>
    <w:rsid w:val="001F4CD3"/>
    <w:rsid w:val="001F4E51"/>
    <w:rsid w:val="001F55D4"/>
    <w:rsid w:val="001F5AA9"/>
    <w:rsid w:val="001F6214"/>
    <w:rsid w:val="001F64F4"/>
    <w:rsid w:val="001F6E0D"/>
    <w:rsid w:val="001F6F82"/>
    <w:rsid w:val="001F706C"/>
    <w:rsid w:val="00200A45"/>
    <w:rsid w:val="0020245F"/>
    <w:rsid w:val="00202738"/>
    <w:rsid w:val="002028B6"/>
    <w:rsid w:val="00202A46"/>
    <w:rsid w:val="00203160"/>
    <w:rsid w:val="0020410B"/>
    <w:rsid w:val="0020424A"/>
    <w:rsid w:val="00205552"/>
    <w:rsid w:val="00205AA6"/>
    <w:rsid w:val="0021017E"/>
    <w:rsid w:val="00210F50"/>
    <w:rsid w:val="002122E8"/>
    <w:rsid w:val="00212975"/>
    <w:rsid w:val="00213176"/>
    <w:rsid w:val="00214C9D"/>
    <w:rsid w:val="0021503F"/>
    <w:rsid w:val="002178C9"/>
    <w:rsid w:val="00222B16"/>
    <w:rsid w:val="00222F3B"/>
    <w:rsid w:val="0022332C"/>
    <w:rsid w:val="00224912"/>
    <w:rsid w:val="00225556"/>
    <w:rsid w:val="00226029"/>
    <w:rsid w:val="00226880"/>
    <w:rsid w:val="0022688E"/>
    <w:rsid w:val="00226CC8"/>
    <w:rsid w:val="002274D0"/>
    <w:rsid w:val="00227783"/>
    <w:rsid w:val="00227D6B"/>
    <w:rsid w:val="00230BD1"/>
    <w:rsid w:val="00230DB7"/>
    <w:rsid w:val="00230F10"/>
    <w:rsid w:val="00231CB6"/>
    <w:rsid w:val="00232097"/>
    <w:rsid w:val="00233570"/>
    <w:rsid w:val="00233D7A"/>
    <w:rsid w:val="00234583"/>
    <w:rsid w:val="00234D37"/>
    <w:rsid w:val="002368CD"/>
    <w:rsid w:val="00236C53"/>
    <w:rsid w:val="00237451"/>
    <w:rsid w:val="0024071E"/>
    <w:rsid w:val="00240A07"/>
    <w:rsid w:val="00243468"/>
    <w:rsid w:val="0024348E"/>
    <w:rsid w:val="0024497A"/>
    <w:rsid w:val="00244F96"/>
    <w:rsid w:val="002452D0"/>
    <w:rsid w:val="0024542D"/>
    <w:rsid w:val="0024630C"/>
    <w:rsid w:val="00247A7B"/>
    <w:rsid w:val="00247D70"/>
    <w:rsid w:val="00247F6A"/>
    <w:rsid w:val="0025020D"/>
    <w:rsid w:val="002505BE"/>
    <w:rsid w:val="00250D70"/>
    <w:rsid w:val="002515F6"/>
    <w:rsid w:val="0025173D"/>
    <w:rsid w:val="00253146"/>
    <w:rsid w:val="00253B3E"/>
    <w:rsid w:val="00253C95"/>
    <w:rsid w:val="00254E43"/>
    <w:rsid w:val="00254E51"/>
    <w:rsid w:val="00256373"/>
    <w:rsid w:val="00257199"/>
    <w:rsid w:val="002600C7"/>
    <w:rsid w:val="00260CE2"/>
    <w:rsid w:val="0026347A"/>
    <w:rsid w:val="00263B78"/>
    <w:rsid w:val="00266A89"/>
    <w:rsid w:val="00266B56"/>
    <w:rsid w:val="00266C05"/>
    <w:rsid w:val="00267EF6"/>
    <w:rsid w:val="00270223"/>
    <w:rsid w:val="002702DD"/>
    <w:rsid w:val="00271B07"/>
    <w:rsid w:val="00271B09"/>
    <w:rsid w:val="00272699"/>
    <w:rsid w:val="0027351E"/>
    <w:rsid w:val="0027441E"/>
    <w:rsid w:val="0027483C"/>
    <w:rsid w:val="00277B1D"/>
    <w:rsid w:val="00281D52"/>
    <w:rsid w:val="002820D7"/>
    <w:rsid w:val="002837C1"/>
    <w:rsid w:val="00286E03"/>
    <w:rsid w:val="00287F57"/>
    <w:rsid w:val="002908BB"/>
    <w:rsid w:val="00291B3A"/>
    <w:rsid w:val="00292656"/>
    <w:rsid w:val="00292C3C"/>
    <w:rsid w:val="00293FEF"/>
    <w:rsid w:val="00294A22"/>
    <w:rsid w:val="00294AA6"/>
    <w:rsid w:val="00294D4C"/>
    <w:rsid w:val="00296270"/>
    <w:rsid w:val="002979E9"/>
    <w:rsid w:val="00297DF9"/>
    <w:rsid w:val="002A1D2F"/>
    <w:rsid w:val="002A1DE3"/>
    <w:rsid w:val="002A2305"/>
    <w:rsid w:val="002A36D8"/>
    <w:rsid w:val="002A477C"/>
    <w:rsid w:val="002A4BB1"/>
    <w:rsid w:val="002A561C"/>
    <w:rsid w:val="002A6939"/>
    <w:rsid w:val="002A6CE4"/>
    <w:rsid w:val="002A731E"/>
    <w:rsid w:val="002B02EA"/>
    <w:rsid w:val="002B1624"/>
    <w:rsid w:val="002B17A4"/>
    <w:rsid w:val="002B1C3F"/>
    <w:rsid w:val="002B1D0E"/>
    <w:rsid w:val="002B2514"/>
    <w:rsid w:val="002B3053"/>
    <w:rsid w:val="002B33AD"/>
    <w:rsid w:val="002B3E15"/>
    <w:rsid w:val="002B41B8"/>
    <w:rsid w:val="002B4651"/>
    <w:rsid w:val="002B524D"/>
    <w:rsid w:val="002B7D4C"/>
    <w:rsid w:val="002C012E"/>
    <w:rsid w:val="002C018F"/>
    <w:rsid w:val="002C0F44"/>
    <w:rsid w:val="002C159E"/>
    <w:rsid w:val="002C1861"/>
    <w:rsid w:val="002C1967"/>
    <w:rsid w:val="002C1D02"/>
    <w:rsid w:val="002C23D1"/>
    <w:rsid w:val="002C257C"/>
    <w:rsid w:val="002C3EBA"/>
    <w:rsid w:val="002C49EC"/>
    <w:rsid w:val="002C5AF0"/>
    <w:rsid w:val="002C6D09"/>
    <w:rsid w:val="002C7822"/>
    <w:rsid w:val="002C79E4"/>
    <w:rsid w:val="002D01B9"/>
    <w:rsid w:val="002D0510"/>
    <w:rsid w:val="002D11B5"/>
    <w:rsid w:val="002D2805"/>
    <w:rsid w:val="002D468F"/>
    <w:rsid w:val="002D4A0B"/>
    <w:rsid w:val="002D5DED"/>
    <w:rsid w:val="002D638C"/>
    <w:rsid w:val="002D657C"/>
    <w:rsid w:val="002D6E19"/>
    <w:rsid w:val="002D7A0A"/>
    <w:rsid w:val="002E000E"/>
    <w:rsid w:val="002E0115"/>
    <w:rsid w:val="002E1AC2"/>
    <w:rsid w:val="002E27B6"/>
    <w:rsid w:val="002E2CDD"/>
    <w:rsid w:val="002E499B"/>
    <w:rsid w:val="002E626C"/>
    <w:rsid w:val="002E64C5"/>
    <w:rsid w:val="002E7476"/>
    <w:rsid w:val="002E7F6A"/>
    <w:rsid w:val="002F056E"/>
    <w:rsid w:val="002F1AB4"/>
    <w:rsid w:val="002F3393"/>
    <w:rsid w:val="002F36D2"/>
    <w:rsid w:val="002F3C1A"/>
    <w:rsid w:val="002F3CAC"/>
    <w:rsid w:val="002F3E97"/>
    <w:rsid w:val="002F4300"/>
    <w:rsid w:val="002F489A"/>
    <w:rsid w:val="00300C71"/>
    <w:rsid w:val="003023FD"/>
    <w:rsid w:val="0030414F"/>
    <w:rsid w:val="00305213"/>
    <w:rsid w:val="00305565"/>
    <w:rsid w:val="003105FF"/>
    <w:rsid w:val="00310AB8"/>
    <w:rsid w:val="00310C02"/>
    <w:rsid w:val="0031131B"/>
    <w:rsid w:val="003115AB"/>
    <w:rsid w:val="0031292C"/>
    <w:rsid w:val="00312B95"/>
    <w:rsid w:val="00312E50"/>
    <w:rsid w:val="003130ED"/>
    <w:rsid w:val="003147DD"/>
    <w:rsid w:val="00315D84"/>
    <w:rsid w:val="00316AAC"/>
    <w:rsid w:val="00317281"/>
    <w:rsid w:val="00321C81"/>
    <w:rsid w:val="00322444"/>
    <w:rsid w:val="003225AB"/>
    <w:rsid w:val="00323965"/>
    <w:rsid w:val="00323D1B"/>
    <w:rsid w:val="00324130"/>
    <w:rsid w:val="003263EA"/>
    <w:rsid w:val="003274F5"/>
    <w:rsid w:val="00330A76"/>
    <w:rsid w:val="00330D74"/>
    <w:rsid w:val="003320E3"/>
    <w:rsid w:val="00332945"/>
    <w:rsid w:val="00333127"/>
    <w:rsid w:val="003341A9"/>
    <w:rsid w:val="00334B60"/>
    <w:rsid w:val="003360B5"/>
    <w:rsid w:val="003368B5"/>
    <w:rsid w:val="003369D5"/>
    <w:rsid w:val="00336FAC"/>
    <w:rsid w:val="003379F3"/>
    <w:rsid w:val="00337AAE"/>
    <w:rsid w:val="003405D1"/>
    <w:rsid w:val="00340EA3"/>
    <w:rsid w:val="00341566"/>
    <w:rsid w:val="00342A5A"/>
    <w:rsid w:val="00342CB4"/>
    <w:rsid w:val="00343207"/>
    <w:rsid w:val="00345C2F"/>
    <w:rsid w:val="003462D5"/>
    <w:rsid w:val="003470F3"/>
    <w:rsid w:val="0034794C"/>
    <w:rsid w:val="00347D10"/>
    <w:rsid w:val="00347E04"/>
    <w:rsid w:val="0035098F"/>
    <w:rsid w:val="0035177E"/>
    <w:rsid w:val="003522B0"/>
    <w:rsid w:val="003528A7"/>
    <w:rsid w:val="00352A66"/>
    <w:rsid w:val="00353B7B"/>
    <w:rsid w:val="00354CF6"/>
    <w:rsid w:val="003557A9"/>
    <w:rsid w:val="00355C9E"/>
    <w:rsid w:val="0035655A"/>
    <w:rsid w:val="00357879"/>
    <w:rsid w:val="00357D3F"/>
    <w:rsid w:val="00360C27"/>
    <w:rsid w:val="0036152B"/>
    <w:rsid w:val="00361A07"/>
    <w:rsid w:val="00362300"/>
    <w:rsid w:val="00362945"/>
    <w:rsid w:val="00363DA6"/>
    <w:rsid w:val="003643A3"/>
    <w:rsid w:val="00364555"/>
    <w:rsid w:val="0036493C"/>
    <w:rsid w:val="00365BED"/>
    <w:rsid w:val="00365ECE"/>
    <w:rsid w:val="00366135"/>
    <w:rsid w:val="00366EAE"/>
    <w:rsid w:val="0037000D"/>
    <w:rsid w:val="003721B8"/>
    <w:rsid w:val="00372980"/>
    <w:rsid w:val="00372C90"/>
    <w:rsid w:val="00373509"/>
    <w:rsid w:val="00373545"/>
    <w:rsid w:val="00373D61"/>
    <w:rsid w:val="003813B0"/>
    <w:rsid w:val="00381894"/>
    <w:rsid w:val="003823F9"/>
    <w:rsid w:val="00382BC2"/>
    <w:rsid w:val="003852FD"/>
    <w:rsid w:val="003864C0"/>
    <w:rsid w:val="00386714"/>
    <w:rsid w:val="00386BBA"/>
    <w:rsid w:val="00386D59"/>
    <w:rsid w:val="003870E2"/>
    <w:rsid w:val="003908F2"/>
    <w:rsid w:val="00390992"/>
    <w:rsid w:val="0039171C"/>
    <w:rsid w:val="00393C49"/>
    <w:rsid w:val="00395037"/>
    <w:rsid w:val="003950F3"/>
    <w:rsid w:val="00396AAB"/>
    <w:rsid w:val="00396E51"/>
    <w:rsid w:val="00396FEE"/>
    <w:rsid w:val="00397842"/>
    <w:rsid w:val="003A0D59"/>
    <w:rsid w:val="003A12E4"/>
    <w:rsid w:val="003A1A4E"/>
    <w:rsid w:val="003A2AFB"/>
    <w:rsid w:val="003A3E3B"/>
    <w:rsid w:val="003A437D"/>
    <w:rsid w:val="003A5F6E"/>
    <w:rsid w:val="003B006F"/>
    <w:rsid w:val="003B01D4"/>
    <w:rsid w:val="003B0602"/>
    <w:rsid w:val="003B08FF"/>
    <w:rsid w:val="003B108D"/>
    <w:rsid w:val="003B14C9"/>
    <w:rsid w:val="003B1C07"/>
    <w:rsid w:val="003B3833"/>
    <w:rsid w:val="003B5B3A"/>
    <w:rsid w:val="003B669E"/>
    <w:rsid w:val="003B6AF8"/>
    <w:rsid w:val="003C4418"/>
    <w:rsid w:val="003C6F51"/>
    <w:rsid w:val="003D277A"/>
    <w:rsid w:val="003D3401"/>
    <w:rsid w:val="003D3DC5"/>
    <w:rsid w:val="003D41D9"/>
    <w:rsid w:val="003D6774"/>
    <w:rsid w:val="003D7539"/>
    <w:rsid w:val="003D7C66"/>
    <w:rsid w:val="003E15BE"/>
    <w:rsid w:val="003E1E9B"/>
    <w:rsid w:val="003E220C"/>
    <w:rsid w:val="003E28C7"/>
    <w:rsid w:val="003E4703"/>
    <w:rsid w:val="003E4795"/>
    <w:rsid w:val="003E4C57"/>
    <w:rsid w:val="003E4E42"/>
    <w:rsid w:val="003E6A24"/>
    <w:rsid w:val="003E74A4"/>
    <w:rsid w:val="003F0648"/>
    <w:rsid w:val="003F159A"/>
    <w:rsid w:val="003F23B0"/>
    <w:rsid w:val="003F291D"/>
    <w:rsid w:val="003F2F80"/>
    <w:rsid w:val="003F2FDC"/>
    <w:rsid w:val="003F36D7"/>
    <w:rsid w:val="003F3EC7"/>
    <w:rsid w:val="003F4406"/>
    <w:rsid w:val="003F4998"/>
    <w:rsid w:val="003F6535"/>
    <w:rsid w:val="003F7A36"/>
    <w:rsid w:val="003F7DFD"/>
    <w:rsid w:val="004030F5"/>
    <w:rsid w:val="00403EC1"/>
    <w:rsid w:val="00404378"/>
    <w:rsid w:val="00404981"/>
    <w:rsid w:val="00404EA8"/>
    <w:rsid w:val="00406127"/>
    <w:rsid w:val="004069E3"/>
    <w:rsid w:val="00407730"/>
    <w:rsid w:val="00407CFC"/>
    <w:rsid w:val="00410D4E"/>
    <w:rsid w:val="00411191"/>
    <w:rsid w:val="00412989"/>
    <w:rsid w:val="004131F2"/>
    <w:rsid w:val="00414418"/>
    <w:rsid w:val="004146C9"/>
    <w:rsid w:val="004161FD"/>
    <w:rsid w:val="00416765"/>
    <w:rsid w:val="00416A03"/>
    <w:rsid w:val="004174E5"/>
    <w:rsid w:val="00420072"/>
    <w:rsid w:val="004202ED"/>
    <w:rsid w:val="0042107B"/>
    <w:rsid w:val="00421F7F"/>
    <w:rsid w:val="0042222F"/>
    <w:rsid w:val="00422524"/>
    <w:rsid w:val="00422662"/>
    <w:rsid w:val="004226D0"/>
    <w:rsid w:val="004229B0"/>
    <w:rsid w:val="00425388"/>
    <w:rsid w:val="00427DB3"/>
    <w:rsid w:val="00427F0E"/>
    <w:rsid w:val="0043018B"/>
    <w:rsid w:val="004323E1"/>
    <w:rsid w:val="00433FEB"/>
    <w:rsid w:val="004350BA"/>
    <w:rsid w:val="0043622D"/>
    <w:rsid w:val="00437F12"/>
    <w:rsid w:val="0044106F"/>
    <w:rsid w:val="0044118C"/>
    <w:rsid w:val="00441D9B"/>
    <w:rsid w:val="0044214F"/>
    <w:rsid w:val="00442BE6"/>
    <w:rsid w:val="004442A9"/>
    <w:rsid w:val="0044452B"/>
    <w:rsid w:val="00444F12"/>
    <w:rsid w:val="00445908"/>
    <w:rsid w:val="00446744"/>
    <w:rsid w:val="00446BFE"/>
    <w:rsid w:val="00447F42"/>
    <w:rsid w:val="0045116A"/>
    <w:rsid w:val="00451E60"/>
    <w:rsid w:val="00451FB2"/>
    <w:rsid w:val="00452C48"/>
    <w:rsid w:val="00452E9D"/>
    <w:rsid w:val="0045304C"/>
    <w:rsid w:val="004530AC"/>
    <w:rsid w:val="00453226"/>
    <w:rsid w:val="00453EB3"/>
    <w:rsid w:val="00454368"/>
    <w:rsid w:val="004547C0"/>
    <w:rsid w:val="00454AE8"/>
    <w:rsid w:val="004559D3"/>
    <w:rsid w:val="004561F5"/>
    <w:rsid w:val="00456D32"/>
    <w:rsid w:val="0045720E"/>
    <w:rsid w:val="00457853"/>
    <w:rsid w:val="00457902"/>
    <w:rsid w:val="004604D5"/>
    <w:rsid w:val="00460B25"/>
    <w:rsid w:val="004612FD"/>
    <w:rsid w:val="00461976"/>
    <w:rsid w:val="00461AD2"/>
    <w:rsid w:val="00462194"/>
    <w:rsid w:val="00462797"/>
    <w:rsid w:val="00464228"/>
    <w:rsid w:val="00464640"/>
    <w:rsid w:val="00467537"/>
    <w:rsid w:val="00467B22"/>
    <w:rsid w:val="0047058E"/>
    <w:rsid w:val="00471026"/>
    <w:rsid w:val="004732C0"/>
    <w:rsid w:val="00473A93"/>
    <w:rsid w:val="00474394"/>
    <w:rsid w:val="004744D3"/>
    <w:rsid w:val="00475EFF"/>
    <w:rsid w:val="00476144"/>
    <w:rsid w:val="0047786B"/>
    <w:rsid w:val="004822A1"/>
    <w:rsid w:val="00482EF4"/>
    <w:rsid w:val="0048343C"/>
    <w:rsid w:val="00483A17"/>
    <w:rsid w:val="00483DD5"/>
    <w:rsid w:val="004845F1"/>
    <w:rsid w:val="00484BC2"/>
    <w:rsid w:val="00486E8C"/>
    <w:rsid w:val="004870F6"/>
    <w:rsid w:val="004872E3"/>
    <w:rsid w:val="00487630"/>
    <w:rsid w:val="004900C1"/>
    <w:rsid w:val="00490743"/>
    <w:rsid w:val="00491178"/>
    <w:rsid w:val="004914D1"/>
    <w:rsid w:val="00492FC4"/>
    <w:rsid w:val="00493037"/>
    <w:rsid w:val="00494052"/>
    <w:rsid w:val="00494CD3"/>
    <w:rsid w:val="00494FB3"/>
    <w:rsid w:val="004953A1"/>
    <w:rsid w:val="004955A5"/>
    <w:rsid w:val="00495EF4"/>
    <w:rsid w:val="00496D19"/>
    <w:rsid w:val="00496DF9"/>
    <w:rsid w:val="00497240"/>
    <w:rsid w:val="004A154E"/>
    <w:rsid w:val="004A15DE"/>
    <w:rsid w:val="004A2EFC"/>
    <w:rsid w:val="004A31C3"/>
    <w:rsid w:val="004A472E"/>
    <w:rsid w:val="004A4B6B"/>
    <w:rsid w:val="004A5F35"/>
    <w:rsid w:val="004A7ACE"/>
    <w:rsid w:val="004A7FA7"/>
    <w:rsid w:val="004B0361"/>
    <w:rsid w:val="004B0F8C"/>
    <w:rsid w:val="004B3904"/>
    <w:rsid w:val="004B4114"/>
    <w:rsid w:val="004B42F1"/>
    <w:rsid w:val="004B6157"/>
    <w:rsid w:val="004B7492"/>
    <w:rsid w:val="004B7C61"/>
    <w:rsid w:val="004C0E63"/>
    <w:rsid w:val="004C3546"/>
    <w:rsid w:val="004C3568"/>
    <w:rsid w:val="004C4638"/>
    <w:rsid w:val="004C60B8"/>
    <w:rsid w:val="004C7DD7"/>
    <w:rsid w:val="004D183E"/>
    <w:rsid w:val="004D18D0"/>
    <w:rsid w:val="004D27D6"/>
    <w:rsid w:val="004D2F5D"/>
    <w:rsid w:val="004D382B"/>
    <w:rsid w:val="004D3EB3"/>
    <w:rsid w:val="004D4034"/>
    <w:rsid w:val="004D5771"/>
    <w:rsid w:val="004D79AD"/>
    <w:rsid w:val="004E2BFF"/>
    <w:rsid w:val="004E493E"/>
    <w:rsid w:val="004E6274"/>
    <w:rsid w:val="004E63CC"/>
    <w:rsid w:val="004E6667"/>
    <w:rsid w:val="004F096E"/>
    <w:rsid w:val="004F0BE2"/>
    <w:rsid w:val="004F256B"/>
    <w:rsid w:val="004F27D1"/>
    <w:rsid w:val="004F311D"/>
    <w:rsid w:val="004F32A0"/>
    <w:rsid w:val="004F72C7"/>
    <w:rsid w:val="004F75A1"/>
    <w:rsid w:val="004F79BD"/>
    <w:rsid w:val="005006DE"/>
    <w:rsid w:val="00502E98"/>
    <w:rsid w:val="005031B6"/>
    <w:rsid w:val="00506BC4"/>
    <w:rsid w:val="00507A63"/>
    <w:rsid w:val="00507D05"/>
    <w:rsid w:val="00510FCB"/>
    <w:rsid w:val="00513602"/>
    <w:rsid w:val="005157A6"/>
    <w:rsid w:val="0052067C"/>
    <w:rsid w:val="00521985"/>
    <w:rsid w:val="00522F30"/>
    <w:rsid w:val="00531479"/>
    <w:rsid w:val="0053234B"/>
    <w:rsid w:val="005328AC"/>
    <w:rsid w:val="00532D7B"/>
    <w:rsid w:val="005335EE"/>
    <w:rsid w:val="005343DE"/>
    <w:rsid w:val="005348EF"/>
    <w:rsid w:val="005351E9"/>
    <w:rsid w:val="005353FE"/>
    <w:rsid w:val="0053543B"/>
    <w:rsid w:val="005363D4"/>
    <w:rsid w:val="005374AC"/>
    <w:rsid w:val="00537F37"/>
    <w:rsid w:val="00542FD8"/>
    <w:rsid w:val="005445D6"/>
    <w:rsid w:val="00545090"/>
    <w:rsid w:val="00546C44"/>
    <w:rsid w:val="00550834"/>
    <w:rsid w:val="005510FE"/>
    <w:rsid w:val="00553CCD"/>
    <w:rsid w:val="0055488F"/>
    <w:rsid w:val="00556B35"/>
    <w:rsid w:val="005604CA"/>
    <w:rsid w:val="00561DA5"/>
    <w:rsid w:val="00561EE2"/>
    <w:rsid w:val="0056297D"/>
    <w:rsid w:val="00563010"/>
    <w:rsid w:val="005631AD"/>
    <w:rsid w:val="005639EA"/>
    <w:rsid w:val="00564BCE"/>
    <w:rsid w:val="0056561F"/>
    <w:rsid w:val="005667D5"/>
    <w:rsid w:val="005722A1"/>
    <w:rsid w:val="00572319"/>
    <w:rsid w:val="00572841"/>
    <w:rsid w:val="005730E5"/>
    <w:rsid w:val="00573B43"/>
    <w:rsid w:val="00574314"/>
    <w:rsid w:val="00574657"/>
    <w:rsid w:val="00574E74"/>
    <w:rsid w:val="00575041"/>
    <w:rsid w:val="00575350"/>
    <w:rsid w:val="00575D08"/>
    <w:rsid w:val="00577298"/>
    <w:rsid w:val="00580DC4"/>
    <w:rsid w:val="005822F5"/>
    <w:rsid w:val="0058536F"/>
    <w:rsid w:val="00585433"/>
    <w:rsid w:val="0058729F"/>
    <w:rsid w:val="0058772C"/>
    <w:rsid w:val="005879C7"/>
    <w:rsid w:val="0059107D"/>
    <w:rsid w:val="005910A3"/>
    <w:rsid w:val="00591DD6"/>
    <w:rsid w:val="005925E4"/>
    <w:rsid w:val="00592A83"/>
    <w:rsid w:val="00593B07"/>
    <w:rsid w:val="00593E3E"/>
    <w:rsid w:val="005942EA"/>
    <w:rsid w:val="005943A7"/>
    <w:rsid w:val="00596832"/>
    <w:rsid w:val="005A1052"/>
    <w:rsid w:val="005A341D"/>
    <w:rsid w:val="005A3AA3"/>
    <w:rsid w:val="005A3FE0"/>
    <w:rsid w:val="005A47C0"/>
    <w:rsid w:val="005A4B03"/>
    <w:rsid w:val="005A581F"/>
    <w:rsid w:val="005A671C"/>
    <w:rsid w:val="005B0C9B"/>
    <w:rsid w:val="005B2981"/>
    <w:rsid w:val="005B522F"/>
    <w:rsid w:val="005B595D"/>
    <w:rsid w:val="005B7710"/>
    <w:rsid w:val="005B77C9"/>
    <w:rsid w:val="005C10C7"/>
    <w:rsid w:val="005C206D"/>
    <w:rsid w:val="005C2C17"/>
    <w:rsid w:val="005C3128"/>
    <w:rsid w:val="005C349D"/>
    <w:rsid w:val="005C3E2A"/>
    <w:rsid w:val="005C4005"/>
    <w:rsid w:val="005C4BD3"/>
    <w:rsid w:val="005C5E72"/>
    <w:rsid w:val="005C6FD6"/>
    <w:rsid w:val="005C7A9F"/>
    <w:rsid w:val="005D0AF9"/>
    <w:rsid w:val="005D1E18"/>
    <w:rsid w:val="005D23EC"/>
    <w:rsid w:val="005D244B"/>
    <w:rsid w:val="005D2B37"/>
    <w:rsid w:val="005D4715"/>
    <w:rsid w:val="005D6F2C"/>
    <w:rsid w:val="005D7671"/>
    <w:rsid w:val="005D7BB7"/>
    <w:rsid w:val="005E0A0B"/>
    <w:rsid w:val="005E1812"/>
    <w:rsid w:val="005E1AF2"/>
    <w:rsid w:val="005E1D7A"/>
    <w:rsid w:val="005E2411"/>
    <w:rsid w:val="005E30AC"/>
    <w:rsid w:val="005E344F"/>
    <w:rsid w:val="005E3CEF"/>
    <w:rsid w:val="005E51D2"/>
    <w:rsid w:val="005E5B4A"/>
    <w:rsid w:val="005E6A91"/>
    <w:rsid w:val="005E725C"/>
    <w:rsid w:val="005F168A"/>
    <w:rsid w:val="005F177B"/>
    <w:rsid w:val="005F1840"/>
    <w:rsid w:val="005F218A"/>
    <w:rsid w:val="005F2846"/>
    <w:rsid w:val="005F2F06"/>
    <w:rsid w:val="005F356A"/>
    <w:rsid w:val="005F5193"/>
    <w:rsid w:val="005F5C10"/>
    <w:rsid w:val="005F5C2F"/>
    <w:rsid w:val="005F6B14"/>
    <w:rsid w:val="005F710E"/>
    <w:rsid w:val="005F7879"/>
    <w:rsid w:val="006007F6"/>
    <w:rsid w:val="00600A18"/>
    <w:rsid w:val="00600B0F"/>
    <w:rsid w:val="00601D94"/>
    <w:rsid w:val="00602D21"/>
    <w:rsid w:val="00604147"/>
    <w:rsid w:val="006051CE"/>
    <w:rsid w:val="00605815"/>
    <w:rsid w:val="00605C82"/>
    <w:rsid w:val="0060617B"/>
    <w:rsid w:val="00607978"/>
    <w:rsid w:val="00607E92"/>
    <w:rsid w:val="006108D2"/>
    <w:rsid w:val="00614A27"/>
    <w:rsid w:val="00615135"/>
    <w:rsid w:val="00615247"/>
    <w:rsid w:val="006155FC"/>
    <w:rsid w:val="00615695"/>
    <w:rsid w:val="0061714E"/>
    <w:rsid w:val="006203BD"/>
    <w:rsid w:val="0062059B"/>
    <w:rsid w:val="006207C0"/>
    <w:rsid w:val="00620D4A"/>
    <w:rsid w:val="006232FF"/>
    <w:rsid w:val="006246C9"/>
    <w:rsid w:val="006247BA"/>
    <w:rsid w:val="00624C5C"/>
    <w:rsid w:val="00627649"/>
    <w:rsid w:val="00627E76"/>
    <w:rsid w:val="00627E9C"/>
    <w:rsid w:val="0063085F"/>
    <w:rsid w:val="006323A6"/>
    <w:rsid w:val="00632B1F"/>
    <w:rsid w:val="00634450"/>
    <w:rsid w:val="00635A77"/>
    <w:rsid w:val="00635A99"/>
    <w:rsid w:val="00636A86"/>
    <w:rsid w:val="0063779E"/>
    <w:rsid w:val="006409FF"/>
    <w:rsid w:val="00645987"/>
    <w:rsid w:val="0065046E"/>
    <w:rsid w:val="006504EE"/>
    <w:rsid w:val="00650B00"/>
    <w:rsid w:val="00651811"/>
    <w:rsid w:val="0065259E"/>
    <w:rsid w:val="0065282A"/>
    <w:rsid w:val="00652F48"/>
    <w:rsid w:val="006536A9"/>
    <w:rsid w:val="006541BC"/>
    <w:rsid w:val="006563BB"/>
    <w:rsid w:val="0065733C"/>
    <w:rsid w:val="00657C61"/>
    <w:rsid w:val="00657CB6"/>
    <w:rsid w:val="00657E00"/>
    <w:rsid w:val="00660628"/>
    <w:rsid w:val="006613A9"/>
    <w:rsid w:val="006625B4"/>
    <w:rsid w:val="00662999"/>
    <w:rsid w:val="006640FE"/>
    <w:rsid w:val="006649B0"/>
    <w:rsid w:val="006650D3"/>
    <w:rsid w:val="00667A2E"/>
    <w:rsid w:val="00671255"/>
    <w:rsid w:val="0067164E"/>
    <w:rsid w:val="00672BEE"/>
    <w:rsid w:val="00674467"/>
    <w:rsid w:val="0067448D"/>
    <w:rsid w:val="00674D06"/>
    <w:rsid w:val="006762E5"/>
    <w:rsid w:val="006764C8"/>
    <w:rsid w:val="0067746B"/>
    <w:rsid w:val="0067772C"/>
    <w:rsid w:val="006777A0"/>
    <w:rsid w:val="00677CD4"/>
    <w:rsid w:val="006813C8"/>
    <w:rsid w:val="00681A3E"/>
    <w:rsid w:val="00682A07"/>
    <w:rsid w:val="00683B97"/>
    <w:rsid w:val="00683CCF"/>
    <w:rsid w:val="00683DC7"/>
    <w:rsid w:val="00683E06"/>
    <w:rsid w:val="006846ED"/>
    <w:rsid w:val="0068568E"/>
    <w:rsid w:val="00685B51"/>
    <w:rsid w:val="00685E07"/>
    <w:rsid w:val="0069068B"/>
    <w:rsid w:val="00690B9F"/>
    <w:rsid w:val="006931D5"/>
    <w:rsid w:val="00694103"/>
    <w:rsid w:val="00696280"/>
    <w:rsid w:val="006974FC"/>
    <w:rsid w:val="006A0482"/>
    <w:rsid w:val="006A13BF"/>
    <w:rsid w:val="006A4046"/>
    <w:rsid w:val="006A444A"/>
    <w:rsid w:val="006A53F6"/>
    <w:rsid w:val="006A5585"/>
    <w:rsid w:val="006B0490"/>
    <w:rsid w:val="006B0ABA"/>
    <w:rsid w:val="006B1DF7"/>
    <w:rsid w:val="006B432F"/>
    <w:rsid w:val="006B7C24"/>
    <w:rsid w:val="006B7CF9"/>
    <w:rsid w:val="006C0139"/>
    <w:rsid w:val="006C111C"/>
    <w:rsid w:val="006C1AEE"/>
    <w:rsid w:val="006C27E2"/>
    <w:rsid w:val="006C3927"/>
    <w:rsid w:val="006C51F7"/>
    <w:rsid w:val="006C5261"/>
    <w:rsid w:val="006C6452"/>
    <w:rsid w:val="006C6761"/>
    <w:rsid w:val="006C679E"/>
    <w:rsid w:val="006D0368"/>
    <w:rsid w:val="006D2333"/>
    <w:rsid w:val="006D2DEC"/>
    <w:rsid w:val="006D3DBE"/>
    <w:rsid w:val="006D403A"/>
    <w:rsid w:val="006D5456"/>
    <w:rsid w:val="006D571E"/>
    <w:rsid w:val="006D649F"/>
    <w:rsid w:val="006D6CC7"/>
    <w:rsid w:val="006D70CD"/>
    <w:rsid w:val="006D732E"/>
    <w:rsid w:val="006D7C85"/>
    <w:rsid w:val="006E1CA2"/>
    <w:rsid w:val="006E2C81"/>
    <w:rsid w:val="006E343F"/>
    <w:rsid w:val="006E3F39"/>
    <w:rsid w:val="006E42F5"/>
    <w:rsid w:val="006E4AA9"/>
    <w:rsid w:val="006E53D1"/>
    <w:rsid w:val="006E67D0"/>
    <w:rsid w:val="006E6DB3"/>
    <w:rsid w:val="006E7CC1"/>
    <w:rsid w:val="006F01E4"/>
    <w:rsid w:val="006F058E"/>
    <w:rsid w:val="006F0B6B"/>
    <w:rsid w:val="006F1E01"/>
    <w:rsid w:val="006F3556"/>
    <w:rsid w:val="006F3973"/>
    <w:rsid w:val="006F450F"/>
    <w:rsid w:val="006F47C8"/>
    <w:rsid w:val="006F4AF5"/>
    <w:rsid w:val="006F51F9"/>
    <w:rsid w:val="006F6071"/>
    <w:rsid w:val="006F6E3E"/>
    <w:rsid w:val="006F715C"/>
    <w:rsid w:val="006F7A23"/>
    <w:rsid w:val="0070010D"/>
    <w:rsid w:val="007004DA"/>
    <w:rsid w:val="00701726"/>
    <w:rsid w:val="007031E2"/>
    <w:rsid w:val="00703733"/>
    <w:rsid w:val="007049D0"/>
    <w:rsid w:val="00705131"/>
    <w:rsid w:val="00711046"/>
    <w:rsid w:val="00711B43"/>
    <w:rsid w:val="007122CC"/>
    <w:rsid w:val="00712444"/>
    <w:rsid w:val="00716799"/>
    <w:rsid w:val="00716907"/>
    <w:rsid w:val="00717D68"/>
    <w:rsid w:val="00721B36"/>
    <w:rsid w:val="0072229D"/>
    <w:rsid w:val="00722BE6"/>
    <w:rsid w:val="00722C2A"/>
    <w:rsid w:val="007232E6"/>
    <w:rsid w:val="00726AAC"/>
    <w:rsid w:val="007339FC"/>
    <w:rsid w:val="00733A81"/>
    <w:rsid w:val="0073495F"/>
    <w:rsid w:val="0073548A"/>
    <w:rsid w:val="007375CF"/>
    <w:rsid w:val="00737F14"/>
    <w:rsid w:val="00740BD4"/>
    <w:rsid w:val="00742F5B"/>
    <w:rsid w:val="0074328B"/>
    <w:rsid w:val="0074644C"/>
    <w:rsid w:val="007500A2"/>
    <w:rsid w:val="00750647"/>
    <w:rsid w:val="00751A18"/>
    <w:rsid w:val="00751E2F"/>
    <w:rsid w:val="00753B12"/>
    <w:rsid w:val="0075426C"/>
    <w:rsid w:val="00754B6C"/>
    <w:rsid w:val="007609DE"/>
    <w:rsid w:val="00760D7B"/>
    <w:rsid w:val="00761CFE"/>
    <w:rsid w:val="00762176"/>
    <w:rsid w:val="007623CD"/>
    <w:rsid w:val="007650F6"/>
    <w:rsid w:val="00765776"/>
    <w:rsid w:val="0076664B"/>
    <w:rsid w:val="00766D48"/>
    <w:rsid w:val="007712B8"/>
    <w:rsid w:val="00773ADD"/>
    <w:rsid w:val="00774FA0"/>
    <w:rsid w:val="00777A11"/>
    <w:rsid w:val="00780026"/>
    <w:rsid w:val="0078013B"/>
    <w:rsid w:val="00780E9B"/>
    <w:rsid w:val="00784027"/>
    <w:rsid w:val="007848F3"/>
    <w:rsid w:val="00784C7B"/>
    <w:rsid w:val="007857B4"/>
    <w:rsid w:val="0078623D"/>
    <w:rsid w:val="007864C1"/>
    <w:rsid w:val="00786718"/>
    <w:rsid w:val="00791CE4"/>
    <w:rsid w:val="00794312"/>
    <w:rsid w:val="007945CE"/>
    <w:rsid w:val="007949E9"/>
    <w:rsid w:val="0079518B"/>
    <w:rsid w:val="007958B6"/>
    <w:rsid w:val="0079742C"/>
    <w:rsid w:val="00797A74"/>
    <w:rsid w:val="00797D46"/>
    <w:rsid w:val="007A01CC"/>
    <w:rsid w:val="007A0524"/>
    <w:rsid w:val="007A2365"/>
    <w:rsid w:val="007A2597"/>
    <w:rsid w:val="007A25C9"/>
    <w:rsid w:val="007A2CC5"/>
    <w:rsid w:val="007A2D4A"/>
    <w:rsid w:val="007A32BB"/>
    <w:rsid w:val="007A3E04"/>
    <w:rsid w:val="007A4679"/>
    <w:rsid w:val="007A4C9D"/>
    <w:rsid w:val="007A5DFF"/>
    <w:rsid w:val="007B0784"/>
    <w:rsid w:val="007B149E"/>
    <w:rsid w:val="007B19B1"/>
    <w:rsid w:val="007B1D16"/>
    <w:rsid w:val="007B2DB4"/>
    <w:rsid w:val="007B3B56"/>
    <w:rsid w:val="007B403A"/>
    <w:rsid w:val="007B4213"/>
    <w:rsid w:val="007B4677"/>
    <w:rsid w:val="007B47CD"/>
    <w:rsid w:val="007B497F"/>
    <w:rsid w:val="007B4ED1"/>
    <w:rsid w:val="007B60E5"/>
    <w:rsid w:val="007B794B"/>
    <w:rsid w:val="007C0DEC"/>
    <w:rsid w:val="007C175D"/>
    <w:rsid w:val="007C1ECE"/>
    <w:rsid w:val="007C3820"/>
    <w:rsid w:val="007C4C18"/>
    <w:rsid w:val="007C54AE"/>
    <w:rsid w:val="007C574F"/>
    <w:rsid w:val="007C613A"/>
    <w:rsid w:val="007C7CF6"/>
    <w:rsid w:val="007C7D7C"/>
    <w:rsid w:val="007D1A32"/>
    <w:rsid w:val="007D3FA4"/>
    <w:rsid w:val="007D5153"/>
    <w:rsid w:val="007D620F"/>
    <w:rsid w:val="007E082A"/>
    <w:rsid w:val="007E14BD"/>
    <w:rsid w:val="007E19B2"/>
    <w:rsid w:val="007E31EA"/>
    <w:rsid w:val="007E3B25"/>
    <w:rsid w:val="007E3B7D"/>
    <w:rsid w:val="007E5A22"/>
    <w:rsid w:val="007E75E3"/>
    <w:rsid w:val="007E7710"/>
    <w:rsid w:val="007E7E35"/>
    <w:rsid w:val="007F2008"/>
    <w:rsid w:val="007F22AC"/>
    <w:rsid w:val="007F29E1"/>
    <w:rsid w:val="007F42E3"/>
    <w:rsid w:val="007F4388"/>
    <w:rsid w:val="007F4788"/>
    <w:rsid w:val="007F618A"/>
    <w:rsid w:val="00801104"/>
    <w:rsid w:val="00801432"/>
    <w:rsid w:val="00802290"/>
    <w:rsid w:val="00802DF7"/>
    <w:rsid w:val="00803305"/>
    <w:rsid w:val="0080375B"/>
    <w:rsid w:val="00803FCC"/>
    <w:rsid w:val="008041F5"/>
    <w:rsid w:val="00804200"/>
    <w:rsid w:val="00804F53"/>
    <w:rsid w:val="0081042F"/>
    <w:rsid w:val="008120AF"/>
    <w:rsid w:val="008125B6"/>
    <w:rsid w:val="00812625"/>
    <w:rsid w:val="00814DBF"/>
    <w:rsid w:val="008156A8"/>
    <w:rsid w:val="00816956"/>
    <w:rsid w:val="00816EC9"/>
    <w:rsid w:val="00817759"/>
    <w:rsid w:val="00817C8F"/>
    <w:rsid w:val="00820982"/>
    <w:rsid w:val="008213C2"/>
    <w:rsid w:val="0082170D"/>
    <w:rsid w:val="0082187A"/>
    <w:rsid w:val="00822223"/>
    <w:rsid w:val="00822802"/>
    <w:rsid w:val="00823BE7"/>
    <w:rsid w:val="00825521"/>
    <w:rsid w:val="0082784E"/>
    <w:rsid w:val="00831989"/>
    <w:rsid w:val="00831EBD"/>
    <w:rsid w:val="00836609"/>
    <w:rsid w:val="00836BE4"/>
    <w:rsid w:val="008378B4"/>
    <w:rsid w:val="00840A1A"/>
    <w:rsid w:val="00840D02"/>
    <w:rsid w:val="00842196"/>
    <w:rsid w:val="008431E0"/>
    <w:rsid w:val="00843A16"/>
    <w:rsid w:val="00844665"/>
    <w:rsid w:val="00844A56"/>
    <w:rsid w:val="00845E4B"/>
    <w:rsid w:val="00846735"/>
    <w:rsid w:val="00846837"/>
    <w:rsid w:val="00846E42"/>
    <w:rsid w:val="00850601"/>
    <w:rsid w:val="00852698"/>
    <w:rsid w:val="008527C1"/>
    <w:rsid w:val="00852948"/>
    <w:rsid w:val="00853065"/>
    <w:rsid w:val="00853334"/>
    <w:rsid w:val="008535CE"/>
    <w:rsid w:val="00854598"/>
    <w:rsid w:val="0085671C"/>
    <w:rsid w:val="00856BDC"/>
    <w:rsid w:val="00857BA4"/>
    <w:rsid w:val="00857CBA"/>
    <w:rsid w:val="008616A6"/>
    <w:rsid w:val="00861C4F"/>
    <w:rsid w:val="00862D0B"/>
    <w:rsid w:val="00863D30"/>
    <w:rsid w:val="00863F42"/>
    <w:rsid w:val="008642C1"/>
    <w:rsid w:val="008642DF"/>
    <w:rsid w:val="0086434F"/>
    <w:rsid w:val="00864FC3"/>
    <w:rsid w:val="00865AD8"/>
    <w:rsid w:val="00865EE6"/>
    <w:rsid w:val="00866CE0"/>
    <w:rsid w:val="00866FE2"/>
    <w:rsid w:val="008721CC"/>
    <w:rsid w:val="00872226"/>
    <w:rsid w:val="0087239F"/>
    <w:rsid w:val="00872695"/>
    <w:rsid w:val="00872B47"/>
    <w:rsid w:val="00873208"/>
    <w:rsid w:val="00874730"/>
    <w:rsid w:val="0087473A"/>
    <w:rsid w:val="008751CE"/>
    <w:rsid w:val="00875598"/>
    <w:rsid w:val="00875F84"/>
    <w:rsid w:val="008773C3"/>
    <w:rsid w:val="00877623"/>
    <w:rsid w:val="00877BB7"/>
    <w:rsid w:val="008824EE"/>
    <w:rsid w:val="00882980"/>
    <w:rsid w:val="00882B7E"/>
    <w:rsid w:val="00882D96"/>
    <w:rsid w:val="00883EFA"/>
    <w:rsid w:val="00885A80"/>
    <w:rsid w:val="008867F6"/>
    <w:rsid w:val="008868CD"/>
    <w:rsid w:val="00887818"/>
    <w:rsid w:val="00887D91"/>
    <w:rsid w:val="008906FE"/>
    <w:rsid w:val="00892C54"/>
    <w:rsid w:val="00893260"/>
    <w:rsid w:val="008952E6"/>
    <w:rsid w:val="0089533A"/>
    <w:rsid w:val="00896227"/>
    <w:rsid w:val="008972BF"/>
    <w:rsid w:val="008A063A"/>
    <w:rsid w:val="008A0CAF"/>
    <w:rsid w:val="008A146D"/>
    <w:rsid w:val="008A37E3"/>
    <w:rsid w:val="008A5294"/>
    <w:rsid w:val="008A5850"/>
    <w:rsid w:val="008A6398"/>
    <w:rsid w:val="008A73CB"/>
    <w:rsid w:val="008A79AF"/>
    <w:rsid w:val="008A7FE6"/>
    <w:rsid w:val="008B02D1"/>
    <w:rsid w:val="008B14A2"/>
    <w:rsid w:val="008B1A8D"/>
    <w:rsid w:val="008B1C28"/>
    <w:rsid w:val="008B2F97"/>
    <w:rsid w:val="008B31F8"/>
    <w:rsid w:val="008B4FAB"/>
    <w:rsid w:val="008B7A52"/>
    <w:rsid w:val="008B7F12"/>
    <w:rsid w:val="008C00EC"/>
    <w:rsid w:val="008C0773"/>
    <w:rsid w:val="008C0CE5"/>
    <w:rsid w:val="008C179C"/>
    <w:rsid w:val="008C1F78"/>
    <w:rsid w:val="008C29A4"/>
    <w:rsid w:val="008C3DB0"/>
    <w:rsid w:val="008C435C"/>
    <w:rsid w:val="008C5ABC"/>
    <w:rsid w:val="008C5C88"/>
    <w:rsid w:val="008C6AAF"/>
    <w:rsid w:val="008D095A"/>
    <w:rsid w:val="008D1FCD"/>
    <w:rsid w:val="008D5423"/>
    <w:rsid w:val="008D5CE0"/>
    <w:rsid w:val="008D75EB"/>
    <w:rsid w:val="008E0A3D"/>
    <w:rsid w:val="008E0A75"/>
    <w:rsid w:val="008E0EAF"/>
    <w:rsid w:val="008E0EB8"/>
    <w:rsid w:val="008E1805"/>
    <w:rsid w:val="008E6453"/>
    <w:rsid w:val="008F0759"/>
    <w:rsid w:val="008F1FEB"/>
    <w:rsid w:val="008F2B5D"/>
    <w:rsid w:val="008F3B24"/>
    <w:rsid w:val="008F551C"/>
    <w:rsid w:val="008F5B0A"/>
    <w:rsid w:val="008F5BCA"/>
    <w:rsid w:val="008F6A8E"/>
    <w:rsid w:val="008F7BC0"/>
    <w:rsid w:val="009027ED"/>
    <w:rsid w:val="009029E1"/>
    <w:rsid w:val="00903409"/>
    <w:rsid w:val="00903846"/>
    <w:rsid w:val="0090525F"/>
    <w:rsid w:val="00911B9C"/>
    <w:rsid w:val="00913198"/>
    <w:rsid w:val="00915D0C"/>
    <w:rsid w:val="00916B6D"/>
    <w:rsid w:val="00917927"/>
    <w:rsid w:val="00917B93"/>
    <w:rsid w:val="009201BE"/>
    <w:rsid w:val="00920B05"/>
    <w:rsid w:val="00921F8A"/>
    <w:rsid w:val="00924453"/>
    <w:rsid w:val="009254FA"/>
    <w:rsid w:val="00925BAC"/>
    <w:rsid w:val="00927A4E"/>
    <w:rsid w:val="00932EB4"/>
    <w:rsid w:val="00932F64"/>
    <w:rsid w:val="00933953"/>
    <w:rsid w:val="009339D9"/>
    <w:rsid w:val="009340B2"/>
    <w:rsid w:val="00934C7F"/>
    <w:rsid w:val="009369AB"/>
    <w:rsid w:val="00936BC3"/>
    <w:rsid w:val="009374CE"/>
    <w:rsid w:val="00940371"/>
    <w:rsid w:val="00940671"/>
    <w:rsid w:val="0094076F"/>
    <w:rsid w:val="00940ECD"/>
    <w:rsid w:val="00941A6A"/>
    <w:rsid w:val="00941C25"/>
    <w:rsid w:val="00942B42"/>
    <w:rsid w:val="0094326B"/>
    <w:rsid w:val="0094365B"/>
    <w:rsid w:val="0094415E"/>
    <w:rsid w:val="0094416B"/>
    <w:rsid w:val="009447CF"/>
    <w:rsid w:val="00946625"/>
    <w:rsid w:val="00951733"/>
    <w:rsid w:val="009519FC"/>
    <w:rsid w:val="00952317"/>
    <w:rsid w:val="00953126"/>
    <w:rsid w:val="00953865"/>
    <w:rsid w:val="00953A8D"/>
    <w:rsid w:val="00954203"/>
    <w:rsid w:val="00954FA9"/>
    <w:rsid w:val="0095692A"/>
    <w:rsid w:val="00957D8E"/>
    <w:rsid w:val="0096040D"/>
    <w:rsid w:val="009606C6"/>
    <w:rsid w:val="00960AA9"/>
    <w:rsid w:val="00960D9D"/>
    <w:rsid w:val="00961811"/>
    <w:rsid w:val="009622C7"/>
    <w:rsid w:val="009663D4"/>
    <w:rsid w:val="00970F6A"/>
    <w:rsid w:val="009712C8"/>
    <w:rsid w:val="0097190C"/>
    <w:rsid w:val="0097562C"/>
    <w:rsid w:val="009765DD"/>
    <w:rsid w:val="009775E7"/>
    <w:rsid w:val="0098097B"/>
    <w:rsid w:val="00980D44"/>
    <w:rsid w:val="00981906"/>
    <w:rsid w:val="00982E10"/>
    <w:rsid w:val="00985129"/>
    <w:rsid w:val="00985BC6"/>
    <w:rsid w:val="00990CCF"/>
    <w:rsid w:val="00991303"/>
    <w:rsid w:val="009918D7"/>
    <w:rsid w:val="009919C7"/>
    <w:rsid w:val="00992910"/>
    <w:rsid w:val="009932CC"/>
    <w:rsid w:val="0099432E"/>
    <w:rsid w:val="0099453D"/>
    <w:rsid w:val="009951C5"/>
    <w:rsid w:val="009966AF"/>
    <w:rsid w:val="00996D23"/>
    <w:rsid w:val="00997A92"/>
    <w:rsid w:val="009A0A11"/>
    <w:rsid w:val="009A1504"/>
    <w:rsid w:val="009A1864"/>
    <w:rsid w:val="009A1C69"/>
    <w:rsid w:val="009A28D5"/>
    <w:rsid w:val="009A2FA0"/>
    <w:rsid w:val="009A3393"/>
    <w:rsid w:val="009A43A3"/>
    <w:rsid w:val="009A5FEB"/>
    <w:rsid w:val="009A69EE"/>
    <w:rsid w:val="009A7A34"/>
    <w:rsid w:val="009B0288"/>
    <w:rsid w:val="009B077D"/>
    <w:rsid w:val="009B0FA0"/>
    <w:rsid w:val="009B21BB"/>
    <w:rsid w:val="009B5599"/>
    <w:rsid w:val="009B5BD8"/>
    <w:rsid w:val="009B5E66"/>
    <w:rsid w:val="009B6B4F"/>
    <w:rsid w:val="009B786F"/>
    <w:rsid w:val="009C0FD7"/>
    <w:rsid w:val="009C3C8C"/>
    <w:rsid w:val="009C4B4C"/>
    <w:rsid w:val="009C4C54"/>
    <w:rsid w:val="009C4FD2"/>
    <w:rsid w:val="009C50A0"/>
    <w:rsid w:val="009C7161"/>
    <w:rsid w:val="009C76C1"/>
    <w:rsid w:val="009D05EC"/>
    <w:rsid w:val="009D11D6"/>
    <w:rsid w:val="009D1AF8"/>
    <w:rsid w:val="009D3978"/>
    <w:rsid w:val="009D3AF6"/>
    <w:rsid w:val="009D3F08"/>
    <w:rsid w:val="009D4019"/>
    <w:rsid w:val="009D628C"/>
    <w:rsid w:val="009E11BA"/>
    <w:rsid w:val="009E141B"/>
    <w:rsid w:val="009E270A"/>
    <w:rsid w:val="009E2D6C"/>
    <w:rsid w:val="009E3EF0"/>
    <w:rsid w:val="009E4C23"/>
    <w:rsid w:val="009E660D"/>
    <w:rsid w:val="009E7A54"/>
    <w:rsid w:val="009F0293"/>
    <w:rsid w:val="009F05B1"/>
    <w:rsid w:val="009F1508"/>
    <w:rsid w:val="009F50D8"/>
    <w:rsid w:val="009F71D6"/>
    <w:rsid w:val="009F7E80"/>
    <w:rsid w:val="00A03535"/>
    <w:rsid w:val="00A045A2"/>
    <w:rsid w:val="00A04B6D"/>
    <w:rsid w:val="00A05CB0"/>
    <w:rsid w:val="00A06DD7"/>
    <w:rsid w:val="00A11A3E"/>
    <w:rsid w:val="00A12BCC"/>
    <w:rsid w:val="00A13675"/>
    <w:rsid w:val="00A14318"/>
    <w:rsid w:val="00A14F4E"/>
    <w:rsid w:val="00A16773"/>
    <w:rsid w:val="00A167FB"/>
    <w:rsid w:val="00A174F5"/>
    <w:rsid w:val="00A20E1D"/>
    <w:rsid w:val="00A241E3"/>
    <w:rsid w:val="00A24893"/>
    <w:rsid w:val="00A2748B"/>
    <w:rsid w:val="00A30B8A"/>
    <w:rsid w:val="00A32095"/>
    <w:rsid w:val="00A32C7A"/>
    <w:rsid w:val="00A32E70"/>
    <w:rsid w:val="00A33E33"/>
    <w:rsid w:val="00A34995"/>
    <w:rsid w:val="00A34D08"/>
    <w:rsid w:val="00A35A86"/>
    <w:rsid w:val="00A42CA0"/>
    <w:rsid w:val="00A43557"/>
    <w:rsid w:val="00A44D85"/>
    <w:rsid w:val="00A45025"/>
    <w:rsid w:val="00A45844"/>
    <w:rsid w:val="00A4597D"/>
    <w:rsid w:val="00A45CFC"/>
    <w:rsid w:val="00A5102C"/>
    <w:rsid w:val="00A51077"/>
    <w:rsid w:val="00A51224"/>
    <w:rsid w:val="00A53A6B"/>
    <w:rsid w:val="00A53D73"/>
    <w:rsid w:val="00A5433B"/>
    <w:rsid w:val="00A54C60"/>
    <w:rsid w:val="00A54E1A"/>
    <w:rsid w:val="00A55441"/>
    <w:rsid w:val="00A55AF1"/>
    <w:rsid w:val="00A55FAD"/>
    <w:rsid w:val="00A56A48"/>
    <w:rsid w:val="00A56DEC"/>
    <w:rsid w:val="00A60B48"/>
    <w:rsid w:val="00A60DE4"/>
    <w:rsid w:val="00A612FF"/>
    <w:rsid w:val="00A614D0"/>
    <w:rsid w:val="00A62BFB"/>
    <w:rsid w:val="00A636F4"/>
    <w:rsid w:val="00A6462A"/>
    <w:rsid w:val="00A65FDE"/>
    <w:rsid w:val="00A6602B"/>
    <w:rsid w:val="00A66E8A"/>
    <w:rsid w:val="00A71943"/>
    <w:rsid w:val="00A730EF"/>
    <w:rsid w:val="00A7361D"/>
    <w:rsid w:val="00A7456C"/>
    <w:rsid w:val="00A75588"/>
    <w:rsid w:val="00A772B5"/>
    <w:rsid w:val="00A778FF"/>
    <w:rsid w:val="00A77D5D"/>
    <w:rsid w:val="00A80635"/>
    <w:rsid w:val="00A82118"/>
    <w:rsid w:val="00A82EA9"/>
    <w:rsid w:val="00A83970"/>
    <w:rsid w:val="00A87BD4"/>
    <w:rsid w:val="00A9065D"/>
    <w:rsid w:val="00A91E7F"/>
    <w:rsid w:val="00A95C14"/>
    <w:rsid w:val="00A95FAA"/>
    <w:rsid w:val="00A963C7"/>
    <w:rsid w:val="00A9666F"/>
    <w:rsid w:val="00A9677D"/>
    <w:rsid w:val="00A97BA6"/>
    <w:rsid w:val="00A97C92"/>
    <w:rsid w:val="00AA029E"/>
    <w:rsid w:val="00AA0797"/>
    <w:rsid w:val="00AA2F4F"/>
    <w:rsid w:val="00AA4BFF"/>
    <w:rsid w:val="00AB0069"/>
    <w:rsid w:val="00AB0ECC"/>
    <w:rsid w:val="00AB18A3"/>
    <w:rsid w:val="00AB24E1"/>
    <w:rsid w:val="00AB2AB3"/>
    <w:rsid w:val="00AB3D71"/>
    <w:rsid w:val="00AB6EAC"/>
    <w:rsid w:val="00AB7C07"/>
    <w:rsid w:val="00AC07A4"/>
    <w:rsid w:val="00AC1465"/>
    <w:rsid w:val="00AC2472"/>
    <w:rsid w:val="00AC271E"/>
    <w:rsid w:val="00AC37C5"/>
    <w:rsid w:val="00AC6530"/>
    <w:rsid w:val="00AC67A5"/>
    <w:rsid w:val="00AC6D82"/>
    <w:rsid w:val="00AD011F"/>
    <w:rsid w:val="00AD0EF9"/>
    <w:rsid w:val="00AD1F3F"/>
    <w:rsid w:val="00AD239E"/>
    <w:rsid w:val="00AD2944"/>
    <w:rsid w:val="00AD35EF"/>
    <w:rsid w:val="00AD38F7"/>
    <w:rsid w:val="00AD4A4D"/>
    <w:rsid w:val="00AD57B1"/>
    <w:rsid w:val="00AD612A"/>
    <w:rsid w:val="00AD7A2D"/>
    <w:rsid w:val="00AE2C33"/>
    <w:rsid w:val="00AE2F42"/>
    <w:rsid w:val="00AE33A9"/>
    <w:rsid w:val="00AE3F24"/>
    <w:rsid w:val="00AE4335"/>
    <w:rsid w:val="00AE4666"/>
    <w:rsid w:val="00AE48EA"/>
    <w:rsid w:val="00AE5255"/>
    <w:rsid w:val="00AE7661"/>
    <w:rsid w:val="00AE772B"/>
    <w:rsid w:val="00AE7C1C"/>
    <w:rsid w:val="00AF0C56"/>
    <w:rsid w:val="00AF140A"/>
    <w:rsid w:val="00AF1735"/>
    <w:rsid w:val="00AF1F7E"/>
    <w:rsid w:val="00AF2CDB"/>
    <w:rsid w:val="00AF4251"/>
    <w:rsid w:val="00AF4AEB"/>
    <w:rsid w:val="00AF539D"/>
    <w:rsid w:val="00AF59B9"/>
    <w:rsid w:val="00AF5A5E"/>
    <w:rsid w:val="00AF7241"/>
    <w:rsid w:val="00AF7DA3"/>
    <w:rsid w:val="00B001E4"/>
    <w:rsid w:val="00B0153A"/>
    <w:rsid w:val="00B0169A"/>
    <w:rsid w:val="00B017A5"/>
    <w:rsid w:val="00B035CE"/>
    <w:rsid w:val="00B03CE1"/>
    <w:rsid w:val="00B045F0"/>
    <w:rsid w:val="00B04889"/>
    <w:rsid w:val="00B04DC4"/>
    <w:rsid w:val="00B05CA8"/>
    <w:rsid w:val="00B06013"/>
    <w:rsid w:val="00B06593"/>
    <w:rsid w:val="00B06CAC"/>
    <w:rsid w:val="00B06D01"/>
    <w:rsid w:val="00B07049"/>
    <w:rsid w:val="00B07B15"/>
    <w:rsid w:val="00B10AEF"/>
    <w:rsid w:val="00B13099"/>
    <w:rsid w:val="00B1380A"/>
    <w:rsid w:val="00B13902"/>
    <w:rsid w:val="00B13FA7"/>
    <w:rsid w:val="00B14244"/>
    <w:rsid w:val="00B1506B"/>
    <w:rsid w:val="00B21B51"/>
    <w:rsid w:val="00B238AA"/>
    <w:rsid w:val="00B24B2E"/>
    <w:rsid w:val="00B24DB2"/>
    <w:rsid w:val="00B251E2"/>
    <w:rsid w:val="00B25570"/>
    <w:rsid w:val="00B2579E"/>
    <w:rsid w:val="00B25DA5"/>
    <w:rsid w:val="00B260DF"/>
    <w:rsid w:val="00B31660"/>
    <w:rsid w:val="00B31E71"/>
    <w:rsid w:val="00B3394C"/>
    <w:rsid w:val="00B33AC0"/>
    <w:rsid w:val="00B34081"/>
    <w:rsid w:val="00B35386"/>
    <w:rsid w:val="00B356C3"/>
    <w:rsid w:val="00B35BF4"/>
    <w:rsid w:val="00B362C6"/>
    <w:rsid w:val="00B379C0"/>
    <w:rsid w:val="00B37E3B"/>
    <w:rsid w:val="00B402D8"/>
    <w:rsid w:val="00B40BE8"/>
    <w:rsid w:val="00B41994"/>
    <w:rsid w:val="00B42655"/>
    <w:rsid w:val="00B443EF"/>
    <w:rsid w:val="00B4450F"/>
    <w:rsid w:val="00B44BDA"/>
    <w:rsid w:val="00B4503B"/>
    <w:rsid w:val="00B453F2"/>
    <w:rsid w:val="00B462E6"/>
    <w:rsid w:val="00B46DDB"/>
    <w:rsid w:val="00B46EBD"/>
    <w:rsid w:val="00B47179"/>
    <w:rsid w:val="00B504DC"/>
    <w:rsid w:val="00B51489"/>
    <w:rsid w:val="00B5163B"/>
    <w:rsid w:val="00B51651"/>
    <w:rsid w:val="00B525EE"/>
    <w:rsid w:val="00B52754"/>
    <w:rsid w:val="00B548CB"/>
    <w:rsid w:val="00B55021"/>
    <w:rsid w:val="00B562C4"/>
    <w:rsid w:val="00B571D5"/>
    <w:rsid w:val="00B57273"/>
    <w:rsid w:val="00B6012E"/>
    <w:rsid w:val="00B61037"/>
    <w:rsid w:val="00B6112C"/>
    <w:rsid w:val="00B61C6C"/>
    <w:rsid w:val="00B622E7"/>
    <w:rsid w:val="00B62C96"/>
    <w:rsid w:val="00B6380C"/>
    <w:rsid w:val="00B63F64"/>
    <w:rsid w:val="00B641A3"/>
    <w:rsid w:val="00B647BA"/>
    <w:rsid w:val="00B6545B"/>
    <w:rsid w:val="00B6556C"/>
    <w:rsid w:val="00B6734D"/>
    <w:rsid w:val="00B67AA9"/>
    <w:rsid w:val="00B7081E"/>
    <w:rsid w:val="00B7104F"/>
    <w:rsid w:val="00B714E8"/>
    <w:rsid w:val="00B72B76"/>
    <w:rsid w:val="00B72F4B"/>
    <w:rsid w:val="00B73591"/>
    <w:rsid w:val="00B73DAC"/>
    <w:rsid w:val="00B744B2"/>
    <w:rsid w:val="00B7597A"/>
    <w:rsid w:val="00B75E8C"/>
    <w:rsid w:val="00B7603F"/>
    <w:rsid w:val="00B76E5E"/>
    <w:rsid w:val="00B777FE"/>
    <w:rsid w:val="00B77EF4"/>
    <w:rsid w:val="00B815E2"/>
    <w:rsid w:val="00B82865"/>
    <w:rsid w:val="00B846D4"/>
    <w:rsid w:val="00B84A71"/>
    <w:rsid w:val="00B84B16"/>
    <w:rsid w:val="00B8544D"/>
    <w:rsid w:val="00B871A9"/>
    <w:rsid w:val="00B878CE"/>
    <w:rsid w:val="00B87B22"/>
    <w:rsid w:val="00B87F9C"/>
    <w:rsid w:val="00B906FF"/>
    <w:rsid w:val="00B92018"/>
    <w:rsid w:val="00B9211C"/>
    <w:rsid w:val="00B92EEC"/>
    <w:rsid w:val="00B950A5"/>
    <w:rsid w:val="00B95C83"/>
    <w:rsid w:val="00B967D8"/>
    <w:rsid w:val="00B97541"/>
    <w:rsid w:val="00BA1CA0"/>
    <w:rsid w:val="00BA223F"/>
    <w:rsid w:val="00BA455A"/>
    <w:rsid w:val="00BA5528"/>
    <w:rsid w:val="00BA688E"/>
    <w:rsid w:val="00BB0507"/>
    <w:rsid w:val="00BB0742"/>
    <w:rsid w:val="00BB1B0D"/>
    <w:rsid w:val="00BB1DFD"/>
    <w:rsid w:val="00BB2D28"/>
    <w:rsid w:val="00BB6818"/>
    <w:rsid w:val="00BB771A"/>
    <w:rsid w:val="00BC013C"/>
    <w:rsid w:val="00BC0541"/>
    <w:rsid w:val="00BC0C96"/>
    <w:rsid w:val="00BC2A94"/>
    <w:rsid w:val="00BC328D"/>
    <w:rsid w:val="00BC36DE"/>
    <w:rsid w:val="00BC3735"/>
    <w:rsid w:val="00BC395B"/>
    <w:rsid w:val="00BC39CB"/>
    <w:rsid w:val="00BC3F67"/>
    <w:rsid w:val="00BC45BA"/>
    <w:rsid w:val="00BC5F4E"/>
    <w:rsid w:val="00BC5FDE"/>
    <w:rsid w:val="00BC7297"/>
    <w:rsid w:val="00BC72EA"/>
    <w:rsid w:val="00BC78E3"/>
    <w:rsid w:val="00BD0240"/>
    <w:rsid w:val="00BD0822"/>
    <w:rsid w:val="00BD1E79"/>
    <w:rsid w:val="00BD2C19"/>
    <w:rsid w:val="00BD5E01"/>
    <w:rsid w:val="00BD5F92"/>
    <w:rsid w:val="00BD799F"/>
    <w:rsid w:val="00BD7F7B"/>
    <w:rsid w:val="00BE0125"/>
    <w:rsid w:val="00BE0A98"/>
    <w:rsid w:val="00BE13D4"/>
    <w:rsid w:val="00BE1867"/>
    <w:rsid w:val="00BE24B6"/>
    <w:rsid w:val="00BE5FA9"/>
    <w:rsid w:val="00BE5FB6"/>
    <w:rsid w:val="00BE79DB"/>
    <w:rsid w:val="00BF11D7"/>
    <w:rsid w:val="00BF467C"/>
    <w:rsid w:val="00BF4C66"/>
    <w:rsid w:val="00BF59B0"/>
    <w:rsid w:val="00BF60E1"/>
    <w:rsid w:val="00BF7D17"/>
    <w:rsid w:val="00BF7D62"/>
    <w:rsid w:val="00C007A6"/>
    <w:rsid w:val="00C00900"/>
    <w:rsid w:val="00C0130E"/>
    <w:rsid w:val="00C0272E"/>
    <w:rsid w:val="00C02B41"/>
    <w:rsid w:val="00C02C56"/>
    <w:rsid w:val="00C04D36"/>
    <w:rsid w:val="00C04DB4"/>
    <w:rsid w:val="00C050E4"/>
    <w:rsid w:val="00C05DDA"/>
    <w:rsid w:val="00C05EB3"/>
    <w:rsid w:val="00C06FCE"/>
    <w:rsid w:val="00C07C03"/>
    <w:rsid w:val="00C10747"/>
    <w:rsid w:val="00C10EB5"/>
    <w:rsid w:val="00C12025"/>
    <w:rsid w:val="00C133C8"/>
    <w:rsid w:val="00C135FF"/>
    <w:rsid w:val="00C142C8"/>
    <w:rsid w:val="00C1447E"/>
    <w:rsid w:val="00C14699"/>
    <w:rsid w:val="00C147A3"/>
    <w:rsid w:val="00C15F7E"/>
    <w:rsid w:val="00C17DE2"/>
    <w:rsid w:val="00C21159"/>
    <w:rsid w:val="00C21650"/>
    <w:rsid w:val="00C265C0"/>
    <w:rsid w:val="00C27482"/>
    <w:rsid w:val="00C27872"/>
    <w:rsid w:val="00C30595"/>
    <w:rsid w:val="00C30AAD"/>
    <w:rsid w:val="00C30BFE"/>
    <w:rsid w:val="00C3111C"/>
    <w:rsid w:val="00C311B3"/>
    <w:rsid w:val="00C324E0"/>
    <w:rsid w:val="00C32FF2"/>
    <w:rsid w:val="00C33D9D"/>
    <w:rsid w:val="00C35637"/>
    <w:rsid w:val="00C3576B"/>
    <w:rsid w:val="00C36AC4"/>
    <w:rsid w:val="00C40E65"/>
    <w:rsid w:val="00C418FA"/>
    <w:rsid w:val="00C421DB"/>
    <w:rsid w:val="00C42C3B"/>
    <w:rsid w:val="00C44424"/>
    <w:rsid w:val="00C44FA7"/>
    <w:rsid w:val="00C4611A"/>
    <w:rsid w:val="00C472A4"/>
    <w:rsid w:val="00C537EB"/>
    <w:rsid w:val="00C53B33"/>
    <w:rsid w:val="00C54DAB"/>
    <w:rsid w:val="00C61A21"/>
    <w:rsid w:val="00C62EDF"/>
    <w:rsid w:val="00C630B4"/>
    <w:rsid w:val="00C63824"/>
    <w:rsid w:val="00C63851"/>
    <w:rsid w:val="00C654F4"/>
    <w:rsid w:val="00C65CA4"/>
    <w:rsid w:val="00C66654"/>
    <w:rsid w:val="00C706EC"/>
    <w:rsid w:val="00C7185F"/>
    <w:rsid w:val="00C71F95"/>
    <w:rsid w:val="00C72C64"/>
    <w:rsid w:val="00C73585"/>
    <w:rsid w:val="00C73C0D"/>
    <w:rsid w:val="00C7436B"/>
    <w:rsid w:val="00C74C6E"/>
    <w:rsid w:val="00C7586A"/>
    <w:rsid w:val="00C76480"/>
    <w:rsid w:val="00C77547"/>
    <w:rsid w:val="00C778E6"/>
    <w:rsid w:val="00C8121B"/>
    <w:rsid w:val="00C81B64"/>
    <w:rsid w:val="00C81E07"/>
    <w:rsid w:val="00C8388D"/>
    <w:rsid w:val="00C83906"/>
    <w:rsid w:val="00C839A9"/>
    <w:rsid w:val="00C83FB4"/>
    <w:rsid w:val="00C849C6"/>
    <w:rsid w:val="00C85D6A"/>
    <w:rsid w:val="00C86C6D"/>
    <w:rsid w:val="00C86D42"/>
    <w:rsid w:val="00C87420"/>
    <w:rsid w:val="00C874E9"/>
    <w:rsid w:val="00C8754A"/>
    <w:rsid w:val="00C9040A"/>
    <w:rsid w:val="00C906E8"/>
    <w:rsid w:val="00C90AFC"/>
    <w:rsid w:val="00C94693"/>
    <w:rsid w:val="00C94898"/>
    <w:rsid w:val="00CA24FA"/>
    <w:rsid w:val="00CA2D32"/>
    <w:rsid w:val="00CA31BA"/>
    <w:rsid w:val="00CA3FE6"/>
    <w:rsid w:val="00CA6414"/>
    <w:rsid w:val="00CA70A4"/>
    <w:rsid w:val="00CA74DC"/>
    <w:rsid w:val="00CB29A2"/>
    <w:rsid w:val="00CB2AB7"/>
    <w:rsid w:val="00CB6566"/>
    <w:rsid w:val="00CC0083"/>
    <w:rsid w:val="00CC2416"/>
    <w:rsid w:val="00CC27F3"/>
    <w:rsid w:val="00CC3194"/>
    <w:rsid w:val="00CC3562"/>
    <w:rsid w:val="00CC4D63"/>
    <w:rsid w:val="00CC5E5B"/>
    <w:rsid w:val="00CC6023"/>
    <w:rsid w:val="00CC61A5"/>
    <w:rsid w:val="00CC772A"/>
    <w:rsid w:val="00CC7E08"/>
    <w:rsid w:val="00CD14DB"/>
    <w:rsid w:val="00CD4F8F"/>
    <w:rsid w:val="00CD6D72"/>
    <w:rsid w:val="00CD7B93"/>
    <w:rsid w:val="00CE0348"/>
    <w:rsid w:val="00CE03BA"/>
    <w:rsid w:val="00CE1E01"/>
    <w:rsid w:val="00CE2E0F"/>
    <w:rsid w:val="00CE35A5"/>
    <w:rsid w:val="00CE42FD"/>
    <w:rsid w:val="00CE546B"/>
    <w:rsid w:val="00CE5FE4"/>
    <w:rsid w:val="00CE6283"/>
    <w:rsid w:val="00CE67AA"/>
    <w:rsid w:val="00CE6F33"/>
    <w:rsid w:val="00CE73B5"/>
    <w:rsid w:val="00CE791D"/>
    <w:rsid w:val="00CE79D7"/>
    <w:rsid w:val="00CE7CE3"/>
    <w:rsid w:val="00CF123F"/>
    <w:rsid w:val="00CF2071"/>
    <w:rsid w:val="00CF244E"/>
    <w:rsid w:val="00CF278D"/>
    <w:rsid w:val="00CF2FE9"/>
    <w:rsid w:val="00CF37C7"/>
    <w:rsid w:val="00CF3CF8"/>
    <w:rsid w:val="00CF474D"/>
    <w:rsid w:val="00CF5A64"/>
    <w:rsid w:val="00CF6622"/>
    <w:rsid w:val="00CF749A"/>
    <w:rsid w:val="00D0089A"/>
    <w:rsid w:val="00D014C7"/>
    <w:rsid w:val="00D01548"/>
    <w:rsid w:val="00D01B3A"/>
    <w:rsid w:val="00D02BD7"/>
    <w:rsid w:val="00D03639"/>
    <w:rsid w:val="00D03C18"/>
    <w:rsid w:val="00D04D5F"/>
    <w:rsid w:val="00D04DD6"/>
    <w:rsid w:val="00D04DFA"/>
    <w:rsid w:val="00D0597F"/>
    <w:rsid w:val="00D05F35"/>
    <w:rsid w:val="00D06393"/>
    <w:rsid w:val="00D06E5E"/>
    <w:rsid w:val="00D06F79"/>
    <w:rsid w:val="00D10597"/>
    <w:rsid w:val="00D108A9"/>
    <w:rsid w:val="00D120A3"/>
    <w:rsid w:val="00D13288"/>
    <w:rsid w:val="00D132B7"/>
    <w:rsid w:val="00D13440"/>
    <w:rsid w:val="00D13AF8"/>
    <w:rsid w:val="00D1584B"/>
    <w:rsid w:val="00D20601"/>
    <w:rsid w:val="00D2077A"/>
    <w:rsid w:val="00D219E9"/>
    <w:rsid w:val="00D2205B"/>
    <w:rsid w:val="00D23418"/>
    <w:rsid w:val="00D23A1A"/>
    <w:rsid w:val="00D24606"/>
    <w:rsid w:val="00D2620A"/>
    <w:rsid w:val="00D3056A"/>
    <w:rsid w:val="00D3064D"/>
    <w:rsid w:val="00D30AED"/>
    <w:rsid w:val="00D30F84"/>
    <w:rsid w:val="00D31091"/>
    <w:rsid w:val="00D33CFE"/>
    <w:rsid w:val="00D33DDE"/>
    <w:rsid w:val="00D34DA4"/>
    <w:rsid w:val="00D35C1D"/>
    <w:rsid w:val="00D3752F"/>
    <w:rsid w:val="00D40DDE"/>
    <w:rsid w:val="00D42D78"/>
    <w:rsid w:val="00D43970"/>
    <w:rsid w:val="00D43CA5"/>
    <w:rsid w:val="00D44769"/>
    <w:rsid w:val="00D44B7C"/>
    <w:rsid w:val="00D44CA5"/>
    <w:rsid w:val="00D451DE"/>
    <w:rsid w:val="00D46E12"/>
    <w:rsid w:val="00D50734"/>
    <w:rsid w:val="00D507C0"/>
    <w:rsid w:val="00D513CC"/>
    <w:rsid w:val="00D5172A"/>
    <w:rsid w:val="00D540B2"/>
    <w:rsid w:val="00D56435"/>
    <w:rsid w:val="00D60CCF"/>
    <w:rsid w:val="00D62755"/>
    <w:rsid w:val="00D62AA4"/>
    <w:rsid w:val="00D6318F"/>
    <w:rsid w:val="00D650BB"/>
    <w:rsid w:val="00D6540A"/>
    <w:rsid w:val="00D674AF"/>
    <w:rsid w:val="00D70107"/>
    <w:rsid w:val="00D702D4"/>
    <w:rsid w:val="00D70438"/>
    <w:rsid w:val="00D717AD"/>
    <w:rsid w:val="00D720AD"/>
    <w:rsid w:val="00D72D1D"/>
    <w:rsid w:val="00D74A18"/>
    <w:rsid w:val="00D74D3E"/>
    <w:rsid w:val="00D757C6"/>
    <w:rsid w:val="00D75C41"/>
    <w:rsid w:val="00D80529"/>
    <w:rsid w:val="00D80F78"/>
    <w:rsid w:val="00D81AC3"/>
    <w:rsid w:val="00D81C59"/>
    <w:rsid w:val="00D823C7"/>
    <w:rsid w:val="00D82A5B"/>
    <w:rsid w:val="00D84637"/>
    <w:rsid w:val="00D8473B"/>
    <w:rsid w:val="00D85780"/>
    <w:rsid w:val="00D90BB1"/>
    <w:rsid w:val="00D91B3E"/>
    <w:rsid w:val="00D925AA"/>
    <w:rsid w:val="00D9283D"/>
    <w:rsid w:val="00D930DD"/>
    <w:rsid w:val="00D9341C"/>
    <w:rsid w:val="00D93A57"/>
    <w:rsid w:val="00D94B7D"/>
    <w:rsid w:val="00DA0B1A"/>
    <w:rsid w:val="00DA0C75"/>
    <w:rsid w:val="00DA0ED7"/>
    <w:rsid w:val="00DA1477"/>
    <w:rsid w:val="00DA1560"/>
    <w:rsid w:val="00DA3176"/>
    <w:rsid w:val="00DA4C44"/>
    <w:rsid w:val="00DA4C48"/>
    <w:rsid w:val="00DA4D60"/>
    <w:rsid w:val="00DA4E21"/>
    <w:rsid w:val="00DA552E"/>
    <w:rsid w:val="00DA71EF"/>
    <w:rsid w:val="00DA761D"/>
    <w:rsid w:val="00DA7A18"/>
    <w:rsid w:val="00DB1347"/>
    <w:rsid w:val="00DB1573"/>
    <w:rsid w:val="00DB28CE"/>
    <w:rsid w:val="00DB29BC"/>
    <w:rsid w:val="00DB2A2A"/>
    <w:rsid w:val="00DB479F"/>
    <w:rsid w:val="00DB55B6"/>
    <w:rsid w:val="00DB5EA7"/>
    <w:rsid w:val="00DB5F21"/>
    <w:rsid w:val="00DB65D6"/>
    <w:rsid w:val="00DB6D7C"/>
    <w:rsid w:val="00DB7183"/>
    <w:rsid w:val="00DC065F"/>
    <w:rsid w:val="00DC090A"/>
    <w:rsid w:val="00DC09CC"/>
    <w:rsid w:val="00DC0E7E"/>
    <w:rsid w:val="00DC1DB5"/>
    <w:rsid w:val="00DC2404"/>
    <w:rsid w:val="00DC2B63"/>
    <w:rsid w:val="00DC2D72"/>
    <w:rsid w:val="00DC30EA"/>
    <w:rsid w:val="00DC4FE9"/>
    <w:rsid w:val="00DC5918"/>
    <w:rsid w:val="00DC6C8D"/>
    <w:rsid w:val="00DC73A5"/>
    <w:rsid w:val="00DD0236"/>
    <w:rsid w:val="00DD04A8"/>
    <w:rsid w:val="00DD1922"/>
    <w:rsid w:val="00DD32F8"/>
    <w:rsid w:val="00DD3D1D"/>
    <w:rsid w:val="00DD4100"/>
    <w:rsid w:val="00DD45BC"/>
    <w:rsid w:val="00DD76A4"/>
    <w:rsid w:val="00DD7C65"/>
    <w:rsid w:val="00DE03E4"/>
    <w:rsid w:val="00DE1134"/>
    <w:rsid w:val="00DE1AEB"/>
    <w:rsid w:val="00DE2247"/>
    <w:rsid w:val="00DE2A34"/>
    <w:rsid w:val="00DE37AE"/>
    <w:rsid w:val="00DE4732"/>
    <w:rsid w:val="00DE5BD0"/>
    <w:rsid w:val="00DE5C79"/>
    <w:rsid w:val="00DE6668"/>
    <w:rsid w:val="00DE6987"/>
    <w:rsid w:val="00DE7339"/>
    <w:rsid w:val="00DF1246"/>
    <w:rsid w:val="00DF20BB"/>
    <w:rsid w:val="00DF2103"/>
    <w:rsid w:val="00DF30C0"/>
    <w:rsid w:val="00DF5C5D"/>
    <w:rsid w:val="00DF6EF2"/>
    <w:rsid w:val="00DF7C26"/>
    <w:rsid w:val="00E0080A"/>
    <w:rsid w:val="00E00F31"/>
    <w:rsid w:val="00E02242"/>
    <w:rsid w:val="00E02AF8"/>
    <w:rsid w:val="00E0300E"/>
    <w:rsid w:val="00E04AE0"/>
    <w:rsid w:val="00E04C83"/>
    <w:rsid w:val="00E054F4"/>
    <w:rsid w:val="00E070D0"/>
    <w:rsid w:val="00E07249"/>
    <w:rsid w:val="00E10FD5"/>
    <w:rsid w:val="00E11517"/>
    <w:rsid w:val="00E12834"/>
    <w:rsid w:val="00E13727"/>
    <w:rsid w:val="00E15630"/>
    <w:rsid w:val="00E164C4"/>
    <w:rsid w:val="00E1666E"/>
    <w:rsid w:val="00E16823"/>
    <w:rsid w:val="00E1708E"/>
    <w:rsid w:val="00E17AB3"/>
    <w:rsid w:val="00E20254"/>
    <w:rsid w:val="00E209F0"/>
    <w:rsid w:val="00E210A4"/>
    <w:rsid w:val="00E219EB"/>
    <w:rsid w:val="00E22AB5"/>
    <w:rsid w:val="00E22C13"/>
    <w:rsid w:val="00E23129"/>
    <w:rsid w:val="00E25045"/>
    <w:rsid w:val="00E25466"/>
    <w:rsid w:val="00E2677C"/>
    <w:rsid w:val="00E26D83"/>
    <w:rsid w:val="00E271CD"/>
    <w:rsid w:val="00E27A1E"/>
    <w:rsid w:val="00E303B4"/>
    <w:rsid w:val="00E306E9"/>
    <w:rsid w:val="00E307DC"/>
    <w:rsid w:val="00E323CF"/>
    <w:rsid w:val="00E334B9"/>
    <w:rsid w:val="00E33905"/>
    <w:rsid w:val="00E3419E"/>
    <w:rsid w:val="00E342D1"/>
    <w:rsid w:val="00E34B96"/>
    <w:rsid w:val="00E34E09"/>
    <w:rsid w:val="00E35F7D"/>
    <w:rsid w:val="00E37502"/>
    <w:rsid w:val="00E40127"/>
    <w:rsid w:val="00E43074"/>
    <w:rsid w:val="00E431C8"/>
    <w:rsid w:val="00E4377D"/>
    <w:rsid w:val="00E44926"/>
    <w:rsid w:val="00E44E09"/>
    <w:rsid w:val="00E45D53"/>
    <w:rsid w:val="00E462C7"/>
    <w:rsid w:val="00E46514"/>
    <w:rsid w:val="00E46DBD"/>
    <w:rsid w:val="00E50DAD"/>
    <w:rsid w:val="00E51708"/>
    <w:rsid w:val="00E51729"/>
    <w:rsid w:val="00E51D0A"/>
    <w:rsid w:val="00E53139"/>
    <w:rsid w:val="00E53A8F"/>
    <w:rsid w:val="00E5435E"/>
    <w:rsid w:val="00E54A56"/>
    <w:rsid w:val="00E55A81"/>
    <w:rsid w:val="00E56450"/>
    <w:rsid w:val="00E56D16"/>
    <w:rsid w:val="00E56DA8"/>
    <w:rsid w:val="00E60ACC"/>
    <w:rsid w:val="00E60C4B"/>
    <w:rsid w:val="00E60E21"/>
    <w:rsid w:val="00E625EB"/>
    <w:rsid w:val="00E64B3C"/>
    <w:rsid w:val="00E65544"/>
    <w:rsid w:val="00E6570E"/>
    <w:rsid w:val="00E66638"/>
    <w:rsid w:val="00E6706E"/>
    <w:rsid w:val="00E71769"/>
    <w:rsid w:val="00E7211D"/>
    <w:rsid w:val="00E754C2"/>
    <w:rsid w:val="00E7567E"/>
    <w:rsid w:val="00E757CA"/>
    <w:rsid w:val="00E75D48"/>
    <w:rsid w:val="00E76750"/>
    <w:rsid w:val="00E773CD"/>
    <w:rsid w:val="00E77465"/>
    <w:rsid w:val="00E774C9"/>
    <w:rsid w:val="00E77D0C"/>
    <w:rsid w:val="00E8032F"/>
    <w:rsid w:val="00E80964"/>
    <w:rsid w:val="00E8309D"/>
    <w:rsid w:val="00E83D43"/>
    <w:rsid w:val="00E84159"/>
    <w:rsid w:val="00E841A6"/>
    <w:rsid w:val="00E84BCB"/>
    <w:rsid w:val="00E85905"/>
    <w:rsid w:val="00E85D20"/>
    <w:rsid w:val="00E867CF"/>
    <w:rsid w:val="00E87C0D"/>
    <w:rsid w:val="00E90DC4"/>
    <w:rsid w:val="00E9163F"/>
    <w:rsid w:val="00E91CB7"/>
    <w:rsid w:val="00E94E13"/>
    <w:rsid w:val="00E94FED"/>
    <w:rsid w:val="00E955B0"/>
    <w:rsid w:val="00E956E8"/>
    <w:rsid w:val="00E968AB"/>
    <w:rsid w:val="00EA022D"/>
    <w:rsid w:val="00EA0C13"/>
    <w:rsid w:val="00EA0D10"/>
    <w:rsid w:val="00EA0F2C"/>
    <w:rsid w:val="00EA19CB"/>
    <w:rsid w:val="00EA24B2"/>
    <w:rsid w:val="00EA2B2D"/>
    <w:rsid w:val="00EA2C8F"/>
    <w:rsid w:val="00EA345E"/>
    <w:rsid w:val="00EA5045"/>
    <w:rsid w:val="00EA5D64"/>
    <w:rsid w:val="00EA613A"/>
    <w:rsid w:val="00EA6A8C"/>
    <w:rsid w:val="00EB2AD1"/>
    <w:rsid w:val="00EB2F9F"/>
    <w:rsid w:val="00EB3067"/>
    <w:rsid w:val="00EB353E"/>
    <w:rsid w:val="00EB3AA1"/>
    <w:rsid w:val="00EB4D32"/>
    <w:rsid w:val="00EB56E0"/>
    <w:rsid w:val="00EB5DDF"/>
    <w:rsid w:val="00EB6390"/>
    <w:rsid w:val="00EB6E66"/>
    <w:rsid w:val="00EB6F2A"/>
    <w:rsid w:val="00EC0129"/>
    <w:rsid w:val="00EC2403"/>
    <w:rsid w:val="00EC3CEC"/>
    <w:rsid w:val="00EC4625"/>
    <w:rsid w:val="00ED139E"/>
    <w:rsid w:val="00ED13A2"/>
    <w:rsid w:val="00ED1759"/>
    <w:rsid w:val="00ED21DB"/>
    <w:rsid w:val="00ED27A5"/>
    <w:rsid w:val="00ED3ECB"/>
    <w:rsid w:val="00ED445D"/>
    <w:rsid w:val="00ED461C"/>
    <w:rsid w:val="00ED5E2B"/>
    <w:rsid w:val="00ED6794"/>
    <w:rsid w:val="00EE01C2"/>
    <w:rsid w:val="00EE2D66"/>
    <w:rsid w:val="00EE2FEA"/>
    <w:rsid w:val="00EE37A2"/>
    <w:rsid w:val="00EE3B12"/>
    <w:rsid w:val="00EE4B94"/>
    <w:rsid w:val="00EE5AF3"/>
    <w:rsid w:val="00EE5E91"/>
    <w:rsid w:val="00EE5F8C"/>
    <w:rsid w:val="00EE73BC"/>
    <w:rsid w:val="00EE7AC8"/>
    <w:rsid w:val="00EF00AA"/>
    <w:rsid w:val="00EF3996"/>
    <w:rsid w:val="00EF4859"/>
    <w:rsid w:val="00EF723E"/>
    <w:rsid w:val="00F0026A"/>
    <w:rsid w:val="00F007E9"/>
    <w:rsid w:val="00F01234"/>
    <w:rsid w:val="00F021E7"/>
    <w:rsid w:val="00F026C1"/>
    <w:rsid w:val="00F02B5F"/>
    <w:rsid w:val="00F03685"/>
    <w:rsid w:val="00F039D1"/>
    <w:rsid w:val="00F04969"/>
    <w:rsid w:val="00F04CF0"/>
    <w:rsid w:val="00F05BEC"/>
    <w:rsid w:val="00F05D0F"/>
    <w:rsid w:val="00F05DB4"/>
    <w:rsid w:val="00F102B2"/>
    <w:rsid w:val="00F11536"/>
    <w:rsid w:val="00F13358"/>
    <w:rsid w:val="00F13F98"/>
    <w:rsid w:val="00F1456D"/>
    <w:rsid w:val="00F14DA0"/>
    <w:rsid w:val="00F15387"/>
    <w:rsid w:val="00F15B1D"/>
    <w:rsid w:val="00F15D8B"/>
    <w:rsid w:val="00F15F46"/>
    <w:rsid w:val="00F17D15"/>
    <w:rsid w:val="00F17D58"/>
    <w:rsid w:val="00F228F5"/>
    <w:rsid w:val="00F235A6"/>
    <w:rsid w:val="00F23FD4"/>
    <w:rsid w:val="00F24143"/>
    <w:rsid w:val="00F241BE"/>
    <w:rsid w:val="00F24962"/>
    <w:rsid w:val="00F25038"/>
    <w:rsid w:val="00F263D9"/>
    <w:rsid w:val="00F2735C"/>
    <w:rsid w:val="00F3124A"/>
    <w:rsid w:val="00F31D41"/>
    <w:rsid w:val="00F33B20"/>
    <w:rsid w:val="00F34539"/>
    <w:rsid w:val="00F35005"/>
    <w:rsid w:val="00F359FB"/>
    <w:rsid w:val="00F364CB"/>
    <w:rsid w:val="00F36E13"/>
    <w:rsid w:val="00F37601"/>
    <w:rsid w:val="00F4058E"/>
    <w:rsid w:val="00F4220F"/>
    <w:rsid w:val="00F423B8"/>
    <w:rsid w:val="00F43F58"/>
    <w:rsid w:val="00F45507"/>
    <w:rsid w:val="00F45F40"/>
    <w:rsid w:val="00F46014"/>
    <w:rsid w:val="00F47670"/>
    <w:rsid w:val="00F51371"/>
    <w:rsid w:val="00F51AF6"/>
    <w:rsid w:val="00F551E9"/>
    <w:rsid w:val="00F5573C"/>
    <w:rsid w:val="00F55A95"/>
    <w:rsid w:val="00F55DE0"/>
    <w:rsid w:val="00F56113"/>
    <w:rsid w:val="00F5640F"/>
    <w:rsid w:val="00F56735"/>
    <w:rsid w:val="00F56B3A"/>
    <w:rsid w:val="00F579FC"/>
    <w:rsid w:val="00F57DC7"/>
    <w:rsid w:val="00F60F94"/>
    <w:rsid w:val="00F61408"/>
    <w:rsid w:val="00F615F9"/>
    <w:rsid w:val="00F62055"/>
    <w:rsid w:val="00F620BE"/>
    <w:rsid w:val="00F63469"/>
    <w:rsid w:val="00F64DC5"/>
    <w:rsid w:val="00F73938"/>
    <w:rsid w:val="00F73E87"/>
    <w:rsid w:val="00F74224"/>
    <w:rsid w:val="00F747A9"/>
    <w:rsid w:val="00F76696"/>
    <w:rsid w:val="00F7705A"/>
    <w:rsid w:val="00F77295"/>
    <w:rsid w:val="00F77A84"/>
    <w:rsid w:val="00F80438"/>
    <w:rsid w:val="00F87905"/>
    <w:rsid w:val="00F90DF9"/>
    <w:rsid w:val="00F91A0D"/>
    <w:rsid w:val="00F9229E"/>
    <w:rsid w:val="00F92724"/>
    <w:rsid w:val="00F92A12"/>
    <w:rsid w:val="00F93D6E"/>
    <w:rsid w:val="00F94130"/>
    <w:rsid w:val="00F942E2"/>
    <w:rsid w:val="00F9523B"/>
    <w:rsid w:val="00F9546E"/>
    <w:rsid w:val="00F9560B"/>
    <w:rsid w:val="00F95755"/>
    <w:rsid w:val="00F96E67"/>
    <w:rsid w:val="00F96E92"/>
    <w:rsid w:val="00FA0700"/>
    <w:rsid w:val="00FA13CB"/>
    <w:rsid w:val="00FA2BE9"/>
    <w:rsid w:val="00FA31AE"/>
    <w:rsid w:val="00FA3AFE"/>
    <w:rsid w:val="00FA4FCD"/>
    <w:rsid w:val="00FA7534"/>
    <w:rsid w:val="00FA79C0"/>
    <w:rsid w:val="00FB0BD2"/>
    <w:rsid w:val="00FB11DC"/>
    <w:rsid w:val="00FB1DA4"/>
    <w:rsid w:val="00FB2973"/>
    <w:rsid w:val="00FB382E"/>
    <w:rsid w:val="00FB42CF"/>
    <w:rsid w:val="00FB511E"/>
    <w:rsid w:val="00FB5160"/>
    <w:rsid w:val="00FB6E92"/>
    <w:rsid w:val="00FB7B5E"/>
    <w:rsid w:val="00FB7D0C"/>
    <w:rsid w:val="00FC07DD"/>
    <w:rsid w:val="00FC083E"/>
    <w:rsid w:val="00FC2B86"/>
    <w:rsid w:val="00FC3E73"/>
    <w:rsid w:val="00FC48B5"/>
    <w:rsid w:val="00FC4A0E"/>
    <w:rsid w:val="00FC4CA2"/>
    <w:rsid w:val="00FC6FF3"/>
    <w:rsid w:val="00FC7629"/>
    <w:rsid w:val="00FC7B2A"/>
    <w:rsid w:val="00FD017B"/>
    <w:rsid w:val="00FD3D67"/>
    <w:rsid w:val="00FD4F56"/>
    <w:rsid w:val="00FD536A"/>
    <w:rsid w:val="00FD74FF"/>
    <w:rsid w:val="00FD7F0C"/>
    <w:rsid w:val="00FE2FEE"/>
    <w:rsid w:val="00FE3CEC"/>
    <w:rsid w:val="00FE4145"/>
    <w:rsid w:val="00FE5F2D"/>
    <w:rsid w:val="00FE607C"/>
    <w:rsid w:val="00FE6A1F"/>
    <w:rsid w:val="00FE743E"/>
    <w:rsid w:val="00FF04FB"/>
    <w:rsid w:val="00FF0810"/>
    <w:rsid w:val="00FF0C7C"/>
    <w:rsid w:val="00FF11E6"/>
    <w:rsid w:val="00FF181F"/>
    <w:rsid w:val="00FF196D"/>
    <w:rsid w:val="00FF32F3"/>
    <w:rsid w:val="00FF5550"/>
    <w:rsid w:val="00FF5B06"/>
    <w:rsid w:val="00FF6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51">
      <o:colormru v:ext="edit" colors="#5a9a98,#ddcf56,#ad495d,#ab9c8f,#b5d3d2,#7e6d5f,#f26631,#54534a"/>
    </o:shapedefaults>
    <o:shapelayout v:ext="edit">
      <o:idmap v:ext="edit" data="1,3"/>
    </o:shapelayout>
  </w:shapeDefaults>
  <w:decimalSymbol w:val="."/>
  <w:listSeparator w:val=","/>
  <w14:docId w14:val="1091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99" w:qFormat="1"/>
    <w:lsdException w:name="annotation reference" w:uiPriority="99"/>
    <w:lsdException w:name="Title" w:qFormat="1"/>
    <w:lsdException w:name="Body Tex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semiHidden/>
    <w:rsid w:val="00953A8D"/>
    <w:rPr>
      <w:szCs w:val="24"/>
    </w:rPr>
  </w:style>
  <w:style w:type="paragraph" w:styleId="Heading1">
    <w:name w:val="heading 1"/>
    <w:basedOn w:val="Normal"/>
    <w:next w:val="BodyText"/>
    <w:link w:val="Heading1Char"/>
    <w:qFormat/>
    <w:rsid w:val="00BA223F"/>
    <w:pPr>
      <w:keepNext/>
      <w:spacing w:after="100" w:line="320" w:lineRule="atLeast"/>
      <w:jc w:val="both"/>
      <w:outlineLvl w:val="0"/>
    </w:pPr>
    <w:rPr>
      <w:rFonts w:ascii="Franklin Gothic Demi" w:hAnsi="Franklin Gothic Demi"/>
      <w:color w:val="AD495D"/>
      <w:kern w:val="28"/>
      <w:sz w:val="28"/>
      <w:szCs w:val="28"/>
    </w:rPr>
  </w:style>
  <w:style w:type="paragraph" w:styleId="Heading2">
    <w:name w:val="heading 2"/>
    <w:basedOn w:val="Normal"/>
    <w:next w:val="BodyText"/>
    <w:link w:val="Heading2Char"/>
    <w:qFormat/>
    <w:rsid w:val="00BA223F"/>
    <w:pPr>
      <w:spacing w:before="80" w:after="80" w:line="280" w:lineRule="atLeast"/>
      <w:jc w:val="both"/>
      <w:outlineLvl w:val="1"/>
    </w:pPr>
    <w:rPr>
      <w:rFonts w:ascii="Franklin Gothic Medium" w:hAnsi="Franklin Gothic Medium"/>
      <w:color w:val="5A9A98"/>
      <w:sz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Id w:val="7"/>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1356A"/>
    <w:pPr>
      <w:spacing w:before="80" w:after="80" w:line="280" w:lineRule="atLeast"/>
    </w:pPr>
    <w:rPr>
      <w:rFonts w:ascii="Georgia" w:hAnsi="Georgia"/>
      <w:sz w:val="19"/>
      <w:szCs w:val="19"/>
    </w:rPr>
  </w:style>
  <w:style w:type="character" w:customStyle="1" w:styleId="BodyTextChar">
    <w:name w:val="Body Text Char"/>
    <w:link w:val="BodyText"/>
    <w:uiPriority w:val="99"/>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semiHidden/>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semiHidden/>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uiPriority w:val="99"/>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uiPriority w:val="99"/>
    <w:rsid w:val="008D75EB"/>
    <w:pPr>
      <w:spacing w:after="0" w:line="180" w:lineRule="atLeast"/>
    </w:pPr>
    <w:rPr>
      <w:sz w:val="14"/>
      <w:szCs w:val="14"/>
    </w:rPr>
  </w:style>
  <w:style w:type="paragraph" w:customStyle="1" w:styleId="TableTextEntries">
    <w:name w:val="Table Text Entries"/>
    <w:basedOn w:val="Normal"/>
    <w:uiPriority w:val="99"/>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uiPriority w:val="99"/>
    <w:semiHidden/>
    <w:rsid w:val="007A2D4A"/>
    <w:rPr>
      <w:rFonts w:ascii="Franklin Gothic Medium" w:hAnsi="Franklin Gothic Medium"/>
      <w:vanish/>
      <w:color w:val="FF00FF"/>
      <w:sz w:val="16"/>
      <w:szCs w:val="16"/>
    </w:rPr>
  </w:style>
  <w:style w:type="paragraph" w:styleId="CommentText">
    <w:name w:val="annotation text"/>
    <w:basedOn w:val="BodyText"/>
    <w:link w:val="CommentTextChar"/>
    <w:uiPriority w:val="99"/>
    <w:semiHidden/>
    <w:rsid w:val="008527C1"/>
    <w:pPr>
      <w:spacing w:line="240" w:lineRule="atLeast"/>
    </w:pPr>
    <w:rPr>
      <w:rFonts w:ascii="Calibri" w:hAnsi="Calibri"/>
      <w:sz w:val="18"/>
      <w:szCs w:val="18"/>
    </w:rPr>
  </w:style>
  <w:style w:type="character" w:styleId="FootnoteReference">
    <w:name w:val="footnote reference"/>
    <w:aliases w:val="ftref,fr,16 Point,Superscript 6 Point,Normal + Font:9 Point,Superscript 3 Point Times"/>
    <w:semiHidden/>
    <w:rsid w:val="00FB1DA4"/>
    <w:rPr>
      <w:rFonts w:ascii="Franklin Gothic Book" w:hAnsi="Franklin Gothic Book"/>
      <w:w w:val="100"/>
      <w:position w:val="6"/>
      <w:sz w:val="12"/>
      <w:szCs w:val="12"/>
      <w:vertAlign w:val="baseline"/>
    </w:rPr>
  </w:style>
  <w:style w:type="paragraph" w:styleId="FootnoteText">
    <w:name w:val="footnote text"/>
    <w:aliases w:val="Char,ft,single space,fn,Footnote Text Char Char Char Char,FOOTNOTES"/>
    <w:basedOn w:val="BodyText"/>
    <w:link w:val="FootnoteTextChar"/>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semiHidden/>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uiPriority w:val="99"/>
    <w:rsid w:val="009B0288"/>
    <w:pPr>
      <w:jc w:val="right"/>
    </w:pPr>
  </w:style>
  <w:style w:type="paragraph" w:customStyle="1" w:styleId="TableDataColumnHeading">
    <w:name w:val="Table Data Column Heading"/>
    <w:basedOn w:val="TableDataEntries"/>
    <w:uiPriority w:val="99"/>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uiPriority w:val="99"/>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eastAsia="en-US"/>
    </w:rPr>
  </w:style>
  <w:style w:type="character" w:customStyle="1" w:styleId="NoteCharChar">
    <w:name w:val="Note Char Char"/>
    <w:link w:val="Note"/>
    <w:uiPriority w:val="99"/>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eastAsia="en-US"/>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uiPriority w:val="59"/>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rsid w:val="001B11EB"/>
    <w:pPr>
      <w:spacing w:before="60" w:after="60" w:line="240" w:lineRule="atLeast"/>
    </w:pPr>
    <w:rPr>
      <w:rFonts w:ascii="Calibri" w:hAnsi="Calibri"/>
      <w:color w:val="0000FF"/>
      <w:sz w:val="20"/>
      <w:szCs w:val="20"/>
    </w:rPr>
  </w:style>
  <w:style w:type="character" w:customStyle="1" w:styleId="CharChar4">
    <w:name w:val="Char Char4"/>
    <w:rsid w:val="0035177E"/>
    <w:rPr>
      <w:rFonts w:ascii="Georgia" w:hAnsi="Georgia"/>
      <w:sz w:val="19"/>
      <w:szCs w:val="19"/>
      <w:lang w:val="en-AU" w:eastAsia="en-AU" w:bidi="ar-SA"/>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Heading1Char">
    <w:name w:val="Heading 1 Char"/>
    <w:link w:val="Heading1"/>
    <w:rsid w:val="00BA223F"/>
    <w:rPr>
      <w:rFonts w:ascii="Franklin Gothic Demi" w:hAnsi="Franklin Gothic Demi"/>
      <w:color w:val="AD495D"/>
      <w:kern w:val="28"/>
      <w:sz w:val="28"/>
      <w:szCs w:val="28"/>
    </w:rPr>
  </w:style>
  <w:style w:type="character" w:customStyle="1" w:styleId="Heading2Char">
    <w:name w:val="Heading 2 Char"/>
    <w:link w:val="Heading2"/>
    <w:rsid w:val="00BA223F"/>
    <w:rPr>
      <w:rFonts w:ascii="Franklin Gothic Medium" w:hAnsi="Franklin Gothic Medium"/>
      <w:color w:val="5A9A98"/>
      <w:sz w:val="24"/>
      <w:szCs w:val="24"/>
    </w:rPr>
  </w:style>
  <w:style w:type="character" w:customStyle="1" w:styleId="CharChar1">
    <w:name w:val="Char Char1"/>
    <w:aliases w:val="Footnote Text Char1,Footnote Text Char Char,Char Char Char,ft Char,single space Char1,fn Char1,Footnote Text Char Char Char Char Char,FOOTNOTES Char1"/>
    <w:locked/>
    <w:rsid w:val="00F263D9"/>
    <w:rPr>
      <w:rFonts w:ascii="Georgia" w:hAnsi="Georgia"/>
      <w:sz w:val="19"/>
      <w:szCs w:val="19"/>
      <w:lang w:val="en-AU" w:eastAsia="en-AU" w:bidi="ar-SA"/>
    </w:rPr>
  </w:style>
  <w:style w:type="character" w:customStyle="1" w:styleId="CharChar40">
    <w:name w:val="Char Char4"/>
    <w:locked/>
    <w:rsid w:val="00F263D9"/>
    <w:rPr>
      <w:rFonts w:ascii="Georgia" w:hAnsi="Georgia"/>
      <w:sz w:val="19"/>
      <w:szCs w:val="19"/>
      <w:lang w:val="en-AU" w:eastAsia="en-AU" w:bidi="ar-SA"/>
    </w:rPr>
  </w:style>
  <w:style w:type="paragraph" w:styleId="ListParagraph">
    <w:name w:val="List Paragraph"/>
    <w:basedOn w:val="Normal"/>
    <w:uiPriority w:val="34"/>
    <w:qFormat/>
    <w:rsid w:val="002C012E"/>
    <w:pPr>
      <w:ind w:left="720"/>
    </w:pPr>
    <w:rPr>
      <w:rFonts w:ascii="Calibri" w:eastAsia="Calibri" w:hAnsi="Calibri" w:cs="Calibri"/>
      <w:sz w:val="22"/>
      <w:szCs w:val="22"/>
      <w:lang w:eastAsia="en-US"/>
    </w:rPr>
  </w:style>
  <w:style w:type="paragraph" w:customStyle="1" w:styleId="List-bullet-1">
    <w:name w:val="List-bullet-1"/>
    <w:basedOn w:val="Normal"/>
    <w:link w:val="List-bullet-1Char"/>
    <w:rsid w:val="009E3EF0"/>
    <w:pPr>
      <w:spacing w:before="120"/>
    </w:pPr>
    <w:rPr>
      <w:rFonts w:ascii="Arial" w:hAnsi="Arial" w:cs="Arial"/>
      <w:szCs w:val="22"/>
      <w:lang w:eastAsia="en-US"/>
    </w:rPr>
  </w:style>
  <w:style w:type="character" w:customStyle="1" w:styleId="List-bullet-1Char">
    <w:name w:val="List-bullet-1 Char"/>
    <w:link w:val="List-bullet-1"/>
    <w:rsid w:val="009E3EF0"/>
    <w:rPr>
      <w:rFonts w:ascii="Arial" w:hAnsi="Arial" w:cs="Arial"/>
      <w:szCs w:val="22"/>
      <w:lang w:eastAsia="en-US"/>
    </w:rPr>
  </w:style>
  <w:style w:type="character" w:customStyle="1" w:styleId="FootnoteTextChar">
    <w:name w:val="Footnote Text Char"/>
    <w:aliases w:val="Char Char2,ft Char1,single space Char,fn Char,Footnote Text Char Char Char Char Char1,FOOTNOTES Char"/>
    <w:link w:val="FootnoteText"/>
    <w:uiPriority w:val="99"/>
    <w:semiHidden/>
    <w:rsid w:val="00092392"/>
    <w:rPr>
      <w:rFonts w:ascii="Franklin Gothic Book" w:hAnsi="Franklin Gothic Book"/>
      <w:sz w:val="14"/>
      <w:szCs w:val="14"/>
    </w:rPr>
  </w:style>
  <w:style w:type="paragraph" w:styleId="EndnoteText">
    <w:name w:val="endnote text"/>
    <w:basedOn w:val="Normal"/>
    <w:link w:val="EndnoteTextChar"/>
    <w:unhideWhenUsed/>
    <w:rsid w:val="00092392"/>
    <w:rPr>
      <w:rFonts w:ascii="Arial" w:hAnsi="Arial"/>
      <w:szCs w:val="20"/>
      <w:lang w:eastAsia="en-US"/>
    </w:rPr>
  </w:style>
  <w:style w:type="character" w:customStyle="1" w:styleId="EndnoteTextChar">
    <w:name w:val="Endnote Text Char"/>
    <w:link w:val="EndnoteText"/>
    <w:rsid w:val="00092392"/>
    <w:rPr>
      <w:rFonts w:ascii="Arial" w:hAnsi="Arial"/>
      <w:lang w:eastAsia="en-US"/>
    </w:rPr>
  </w:style>
  <w:style w:type="character" w:styleId="EndnoteReference">
    <w:name w:val="endnote reference"/>
    <w:unhideWhenUsed/>
    <w:rsid w:val="00092392"/>
    <w:rPr>
      <w:rFonts w:ascii="Times New Roman" w:hAnsi="Times New Roman" w:cs="Times New Roman" w:hint="default"/>
      <w:vertAlign w:val="superscript"/>
    </w:rPr>
  </w:style>
  <w:style w:type="paragraph" w:customStyle="1" w:styleId="Default">
    <w:name w:val="Default"/>
    <w:rsid w:val="00A16773"/>
    <w:pPr>
      <w:autoSpaceDE w:val="0"/>
      <w:autoSpaceDN w:val="0"/>
      <w:adjustRightInd w:val="0"/>
    </w:pPr>
    <w:rPr>
      <w:rFonts w:eastAsia="Calibri"/>
      <w:color w:val="000000"/>
      <w:sz w:val="24"/>
      <w:szCs w:val="24"/>
      <w:lang w:eastAsia="en-US"/>
    </w:rPr>
  </w:style>
  <w:style w:type="paragraph" w:styleId="Revision">
    <w:name w:val="Revision"/>
    <w:hidden/>
    <w:uiPriority w:val="99"/>
    <w:semiHidden/>
    <w:rsid w:val="00E71769"/>
    <w:rPr>
      <w:szCs w:val="24"/>
    </w:rPr>
  </w:style>
  <w:style w:type="character" w:customStyle="1" w:styleId="CommentTextChar">
    <w:name w:val="Comment Text Char"/>
    <w:basedOn w:val="DefaultParagraphFont"/>
    <w:link w:val="CommentText"/>
    <w:uiPriority w:val="99"/>
    <w:semiHidden/>
    <w:locked/>
    <w:rsid w:val="00D108A9"/>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99" w:qFormat="1"/>
    <w:lsdException w:name="annotation reference" w:uiPriority="99"/>
    <w:lsdException w:name="Title" w:qFormat="1"/>
    <w:lsdException w:name="Body Text" w:uiPriority="99"/>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semiHidden/>
    <w:rsid w:val="00953A8D"/>
    <w:rPr>
      <w:szCs w:val="24"/>
    </w:rPr>
  </w:style>
  <w:style w:type="paragraph" w:styleId="Heading1">
    <w:name w:val="heading 1"/>
    <w:basedOn w:val="Normal"/>
    <w:next w:val="BodyText"/>
    <w:link w:val="Heading1Char"/>
    <w:qFormat/>
    <w:rsid w:val="00BA223F"/>
    <w:pPr>
      <w:keepNext/>
      <w:spacing w:after="100" w:line="320" w:lineRule="atLeast"/>
      <w:jc w:val="both"/>
      <w:outlineLvl w:val="0"/>
    </w:pPr>
    <w:rPr>
      <w:rFonts w:ascii="Franklin Gothic Demi" w:hAnsi="Franklin Gothic Demi"/>
      <w:color w:val="AD495D"/>
      <w:kern w:val="28"/>
      <w:sz w:val="28"/>
      <w:szCs w:val="28"/>
    </w:rPr>
  </w:style>
  <w:style w:type="paragraph" w:styleId="Heading2">
    <w:name w:val="heading 2"/>
    <w:basedOn w:val="Normal"/>
    <w:next w:val="BodyText"/>
    <w:link w:val="Heading2Char"/>
    <w:qFormat/>
    <w:rsid w:val="00BA223F"/>
    <w:pPr>
      <w:spacing w:before="80" w:after="80" w:line="280" w:lineRule="atLeast"/>
      <w:jc w:val="both"/>
      <w:outlineLvl w:val="1"/>
    </w:pPr>
    <w:rPr>
      <w:rFonts w:ascii="Franklin Gothic Medium" w:hAnsi="Franklin Gothic Medium"/>
      <w:color w:val="5A9A98"/>
      <w:sz w:val="24"/>
    </w:rPr>
  </w:style>
  <w:style w:type="paragraph" w:styleId="Heading3">
    <w:name w:val="heading 3"/>
    <w:basedOn w:val="Heading2"/>
    <w:next w:val="BodyText"/>
    <w:qFormat/>
    <w:rsid w:val="00A66E8A"/>
    <w:pPr>
      <w:numPr>
        <w:ilvl w:val="2"/>
      </w:numPr>
      <w:spacing w:before="300" w:line="260" w:lineRule="atLeast"/>
      <w:outlineLvl w:val="2"/>
    </w:pPr>
    <w:rPr>
      <w:color w:val="54534A"/>
      <w:sz w:val="22"/>
      <w:szCs w:val="22"/>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Id w:val="7"/>
      </w:numPr>
      <w:outlineLvl w:val="5"/>
    </w:pPr>
    <w:rPr>
      <w:bCs/>
    </w:rPr>
  </w:style>
  <w:style w:type="paragraph" w:styleId="Heading7">
    <w:name w:val="heading 7"/>
    <w:basedOn w:val="Heading2"/>
    <w:next w:val="BodyText"/>
    <w:qFormat/>
    <w:rsid w:val="00B525EE"/>
    <w:pPr>
      <w:numPr>
        <w:ilvl w:val="6"/>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1356A"/>
    <w:pPr>
      <w:spacing w:before="80" w:after="80" w:line="280" w:lineRule="atLeast"/>
    </w:pPr>
    <w:rPr>
      <w:rFonts w:ascii="Georgia" w:hAnsi="Georgia"/>
      <w:sz w:val="19"/>
      <w:szCs w:val="19"/>
    </w:rPr>
  </w:style>
  <w:style w:type="character" w:customStyle="1" w:styleId="BodyTextChar">
    <w:name w:val="Body Text Char"/>
    <w:link w:val="BodyText"/>
    <w:uiPriority w:val="99"/>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E77D0C"/>
    <w:pPr>
      <w:pageBreakBefore/>
      <w:spacing w:line="540" w:lineRule="atLeast"/>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semiHidden/>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semiHidden/>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semiHidden/>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uiPriority w:val="99"/>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uiPriority w:val="99"/>
    <w:rsid w:val="008D75EB"/>
    <w:pPr>
      <w:spacing w:after="0" w:line="180" w:lineRule="atLeast"/>
    </w:pPr>
    <w:rPr>
      <w:sz w:val="14"/>
      <w:szCs w:val="14"/>
    </w:rPr>
  </w:style>
  <w:style w:type="paragraph" w:customStyle="1" w:styleId="TableTextEntries">
    <w:name w:val="Table Text Entries"/>
    <w:basedOn w:val="Normal"/>
    <w:uiPriority w:val="99"/>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uiPriority w:val="99"/>
    <w:semiHidden/>
    <w:rsid w:val="007A2D4A"/>
    <w:rPr>
      <w:rFonts w:ascii="Franklin Gothic Medium" w:hAnsi="Franklin Gothic Medium"/>
      <w:vanish/>
      <w:color w:val="FF00FF"/>
      <w:sz w:val="16"/>
      <w:szCs w:val="16"/>
    </w:rPr>
  </w:style>
  <w:style w:type="paragraph" w:styleId="CommentText">
    <w:name w:val="annotation text"/>
    <w:basedOn w:val="BodyText"/>
    <w:link w:val="CommentTextChar"/>
    <w:uiPriority w:val="99"/>
    <w:semiHidden/>
    <w:rsid w:val="008527C1"/>
    <w:pPr>
      <w:spacing w:line="240" w:lineRule="atLeast"/>
    </w:pPr>
    <w:rPr>
      <w:rFonts w:ascii="Calibri" w:hAnsi="Calibri"/>
      <w:sz w:val="18"/>
      <w:szCs w:val="18"/>
    </w:rPr>
  </w:style>
  <w:style w:type="character" w:styleId="FootnoteReference">
    <w:name w:val="footnote reference"/>
    <w:aliases w:val="ftref,fr,16 Point,Superscript 6 Point,Normal + Font:9 Point,Superscript 3 Point Times"/>
    <w:semiHidden/>
    <w:rsid w:val="00FB1DA4"/>
    <w:rPr>
      <w:rFonts w:ascii="Franklin Gothic Book" w:hAnsi="Franklin Gothic Book"/>
      <w:w w:val="100"/>
      <w:position w:val="6"/>
      <w:sz w:val="12"/>
      <w:szCs w:val="12"/>
      <w:vertAlign w:val="baseline"/>
    </w:rPr>
  </w:style>
  <w:style w:type="paragraph" w:styleId="FootnoteText">
    <w:name w:val="footnote text"/>
    <w:aliases w:val="Char,ft,single space,fn,Footnote Text Char Char Char Char,FOOTNOTES"/>
    <w:basedOn w:val="BodyText"/>
    <w:link w:val="FootnoteTextChar"/>
    <w:semiHidden/>
    <w:rsid w:val="00281D52"/>
    <w:pPr>
      <w:spacing w:before="0" w:after="0" w:line="180" w:lineRule="atLeast"/>
      <w:ind w:left="284" w:hanging="284"/>
    </w:pPr>
    <w:rPr>
      <w:rFonts w:ascii="Franklin Gothic Book" w:hAnsi="Franklin Gothic Book"/>
      <w:sz w:val="14"/>
      <w:szCs w:val="14"/>
    </w:rPr>
  </w:style>
  <w:style w:type="character" w:styleId="Hyperlink">
    <w:name w:val="Hyperlink"/>
    <w:semiHidden/>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uiPriority w:val="99"/>
    <w:rsid w:val="009B0288"/>
    <w:pPr>
      <w:jc w:val="right"/>
    </w:pPr>
  </w:style>
  <w:style w:type="paragraph" w:customStyle="1" w:styleId="TableDataColumnHeading">
    <w:name w:val="Table Data Column Heading"/>
    <w:basedOn w:val="TableDataEntries"/>
    <w:uiPriority w:val="99"/>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uiPriority w:val="99"/>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eastAsia="en-US"/>
    </w:rPr>
  </w:style>
  <w:style w:type="character" w:customStyle="1" w:styleId="NoteCharChar">
    <w:name w:val="Note Char Char"/>
    <w:link w:val="Note"/>
    <w:uiPriority w:val="99"/>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eastAsia="en-US"/>
    </w:rPr>
  </w:style>
  <w:style w:type="character" w:customStyle="1" w:styleId="TitleChar">
    <w:name w:val="Title Char"/>
    <w:link w:val="Title"/>
    <w:rsid w:val="00E77D0C"/>
    <w:rPr>
      <w:rFonts w:ascii="Franklin Gothic Book" w:hAnsi="Franklin Gothic Book"/>
      <w:color w:val="FFFFFF"/>
      <w:spacing w:val="-10"/>
      <w:kern w:val="28"/>
      <w:sz w:val="46"/>
      <w:szCs w:val="46"/>
      <w:lang w:val="en-AU" w:eastAsia="en-AU" w:bidi="ar-SA"/>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0">
    <w:name w:val="Char Char"/>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uiPriority w:val="59"/>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rsid w:val="001B11EB"/>
    <w:pPr>
      <w:spacing w:before="60" w:after="60" w:line="240" w:lineRule="atLeast"/>
    </w:pPr>
    <w:rPr>
      <w:rFonts w:ascii="Calibri" w:hAnsi="Calibri"/>
      <w:color w:val="0000FF"/>
      <w:sz w:val="20"/>
      <w:szCs w:val="20"/>
    </w:rPr>
  </w:style>
  <w:style w:type="character" w:customStyle="1" w:styleId="CharChar4">
    <w:name w:val="Char Char4"/>
    <w:rsid w:val="0035177E"/>
    <w:rPr>
      <w:rFonts w:ascii="Georgia" w:hAnsi="Georgia"/>
      <w:sz w:val="19"/>
      <w:szCs w:val="19"/>
      <w:lang w:val="en-AU" w:eastAsia="en-AU" w:bidi="ar-SA"/>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Heading1Char">
    <w:name w:val="Heading 1 Char"/>
    <w:link w:val="Heading1"/>
    <w:rsid w:val="00BA223F"/>
    <w:rPr>
      <w:rFonts w:ascii="Franklin Gothic Demi" w:hAnsi="Franklin Gothic Demi"/>
      <w:color w:val="AD495D"/>
      <w:kern w:val="28"/>
      <w:sz w:val="28"/>
      <w:szCs w:val="28"/>
    </w:rPr>
  </w:style>
  <w:style w:type="character" w:customStyle="1" w:styleId="Heading2Char">
    <w:name w:val="Heading 2 Char"/>
    <w:link w:val="Heading2"/>
    <w:rsid w:val="00BA223F"/>
    <w:rPr>
      <w:rFonts w:ascii="Franklin Gothic Medium" w:hAnsi="Franklin Gothic Medium"/>
      <w:color w:val="5A9A98"/>
      <w:sz w:val="24"/>
      <w:szCs w:val="24"/>
    </w:rPr>
  </w:style>
  <w:style w:type="character" w:customStyle="1" w:styleId="CharChar1">
    <w:name w:val="Char Char1"/>
    <w:aliases w:val="Footnote Text Char1,Footnote Text Char Char,Char Char Char,ft Char,single space Char1,fn Char1,Footnote Text Char Char Char Char Char,FOOTNOTES Char1"/>
    <w:locked/>
    <w:rsid w:val="00F263D9"/>
    <w:rPr>
      <w:rFonts w:ascii="Georgia" w:hAnsi="Georgia"/>
      <w:sz w:val="19"/>
      <w:szCs w:val="19"/>
      <w:lang w:val="en-AU" w:eastAsia="en-AU" w:bidi="ar-SA"/>
    </w:rPr>
  </w:style>
  <w:style w:type="character" w:customStyle="1" w:styleId="CharChar40">
    <w:name w:val="Char Char4"/>
    <w:locked/>
    <w:rsid w:val="00F263D9"/>
    <w:rPr>
      <w:rFonts w:ascii="Georgia" w:hAnsi="Georgia"/>
      <w:sz w:val="19"/>
      <w:szCs w:val="19"/>
      <w:lang w:val="en-AU" w:eastAsia="en-AU" w:bidi="ar-SA"/>
    </w:rPr>
  </w:style>
  <w:style w:type="paragraph" w:styleId="ListParagraph">
    <w:name w:val="List Paragraph"/>
    <w:basedOn w:val="Normal"/>
    <w:uiPriority w:val="34"/>
    <w:qFormat/>
    <w:rsid w:val="002C012E"/>
    <w:pPr>
      <w:ind w:left="720"/>
    </w:pPr>
    <w:rPr>
      <w:rFonts w:ascii="Calibri" w:eastAsia="Calibri" w:hAnsi="Calibri" w:cs="Calibri"/>
      <w:sz w:val="22"/>
      <w:szCs w:val="22"/>
      <w:lang w:eastAsia="en-US"/>
    </w:rPr>
  </w:style>
  <w:style w:type="paragraph" w:customStyle="1" w:styleId="List-bullet-1">
    <w:name w:val="List-bullet-1"/>
    <w:basedOn w:val="Normal"/>
    <w:link w:val="List-bullet-1Char"/>
    <w:rsid w:val="009E3EF0"/>
    <w:pPr>
      <w:spacing w:before="120"/>
    </w:pPr>
    <w:rPr>
      <w:rFonts w:ascii="Arial" w:hAnsi="Arial" w:cs="Arial"/>
      <w:szCs w:val="22"/>
      <w:lang w:eastAsia="en-US"/>
    </w:rPr>
  </w:style>
  <w:style w:type="character" w:customStyle="1" w:styleId="List-bullet-1Char">
    <w:name w:val="List-bullet-1 Char"/>
    <w:link w:val="List-bullet-1"/>
    <w:rsid w:val="009E3EF0"/>
    <w:rPr>
      <w:rFonts w:ascii="Arial" w:hAnsi="Arial" w:cs="Arial"/>
      <w:szCs w:val="22"/>
      <w:lang w:eastAsia="en-US"/>
    </w:rPr>
  </w:style>
  <w:style w:type="character" w:customStyle="1" w:styleId="FootnoteTextChar">
    <w:name w:val="Footnote Text Char"/>
    <w:aliases w:val="Char Char2,ft Char1,single space Char,fn Char,Footnote Text Char Char Char Char Char1,FOOTNOTES Char"/>
    <w:link w:val="FootnoteText"/>
    <w:uiPriority w:val="99"/>
    <w:semiHidden/>
    <w:rsid w:val="00092392"/>
    <w:rPr>
      <w:rFonts w:ascii="Franklin Gothic Book" w:hAnsi="Franklin Gothic Book"/>
      <w:sz w:val="14"/>
      <w:szCs w:val="14"/>
    </w:rPr>
  </w:style>
  <w:style w:type="paragraph" w:styleId="EndnoteText">
    <w:name w:val="endnote text"/>
    <w:basedOn w:val="Normal"/>
    <w:link w:val="EndnoteTextChar"/>
    <w:unhideWhenUsed/>
    <w:rsid w:val="00092392"/>
    <w:rPr>
      <w:rFonts w:ascii="Arial" w:hAnsi="Arial"/>
      <w:szCs w:val="20"/>
      <w:lang w:eastAsia="en-US"/>
    </w:rPr>
  </w:style>
  <w:style w:type="character" w:customStyle="1" w:styleId="EndnoteTextChar">
    <w:name w:val="Endnote Text Char"/>
    <w:link w:val="EndnoteText"/>
    <w:rsid w:val="00092392"/>
    <w:rPr>
      <w:rFonts w:ascii="Arial" w:hAnsi="Arial"/>
      <w:lang w:eastAsia="en-US"/>
    </w:rPr>
  </w:style>
  <w:style w:type="character" w:styleId="EndnoteReference">
    <w:name w:val="endnote reference"/>
    <w:unhideWhenUsed/>
    <w:rsid w:val="00092392"/>
    <w:rPr>
      <w:rFonts w:ascii="Times New Roman" w:hAnsi="Times New Roman" w:cs="Times New Roman" w:hint="default"/>
      <w:vertAlign w:val="superscript"/>
    </w:rPr>
  </w:style>
  <w:style w:type="paragraph" w:customStyle="1" w:styleId="Default">
    <w:name w:val="Default"/>
    <w:rsid w:val="00A16773"/>
    <w:pPr>
      <w:autoSpaceDE w:val="0"/>
      <w:autoSpaceDN w:val="0"/>
      <w:adjustRightInd w:val="0"/>
    </w:pPr>
    <w:rPr>
      <w:rFonts w:eastAsia="Calibri"/>
      <w:color w:val="000000"/>
      <w:sz w:val="24"/>
      <w:szCs w:val="24"/>
      <w:lang w:eastAsia="en-US"/>
    </w:rPr>
  </w:style>
  <w:style w:type="paragraph" w:styleId="Revision">
    <w:name w:val="Revision"/>
    <w:hidden/>
    <w:uiPriority w:val="99"/>
    <w:semiHidden/>
    <w:rsid w:val="00E71769"/>
    <w:rPr>
      <w:szCs w:val="24"/>
    </w:rPr>
  </w:style>
  <w:style w:type="character" w:customStyle="1" w:styleId="CommentTextChar">
    <w:name w:val="Comment Text Char"/>
    <w:basedOn w:val="DefaultParagraphFont"/>
    <w:link w:val="CommentText"/>
    <w:uiPriority w:val="99"/>
    <w:semiHidden/>
    <w:locked/>
    <w:rsid w:val="00D108A9"/>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083">
      <w:bodyDiv w:val="1"/>
      <w:marLeft w:val="0"/>
      <w:marRight w:val="0"/>
      <w:marTop w:val="0"/>
      <w:marBottom w:val="0"/>
      <w:divBdr>
        <w:top w:val="none" w:sz="0" w:space="0" w:color="auto"/>
        <w:left w:val="none" w:sz="0" w:space="0" w:color="auto"/>
        <w:bottom w:val="none" w:sz="0" w:space="0" w:color="auto"/>
        <w:right w:val="none" w:sz="0" w:space="0" w:color="auto"/>
      </w:divBdr>
    </w:div>
    <w:div w:id="62265797">
      <w:bodyDiv w:val="1"/>
      <w:marLeft w:val="0"/>
      <w:marRight w:val="0"/>
      <w:marTop w:val="0"/>
      <w:marBottom w:val="0"/>
      <w:divBdr>
        <w:top w:val="none" w:sz="0" w:space="0" w:color="auto"/>
        <w:left w:val="none" w:sz="0" w:space="0" w:color="auto"/>
        <w:bottom w:val="none" w:sz="0" w:space="0" w:color="auto"/>
        <w:right w:val="none" w:sz="0" w:space="0" w:color="auto"/>
      </w:divBdr>
    </w:div>
    <w:div w:id="65930089">
      <w:bodyDiv w:val="1"/>
      <w:marLeft w:val="0"/>
      <w:marRight w:val="0"/>
      <w:marTop w:val="0"/>
      <w:marBottom w:val="0"/>
      <w:divBdr>
        <w:top w:val="none" w:sz="0" w:space="0" w:color="auto"/>
        <w:left w:val="none" w:sz="0" w:space="0" w:color="auto"/>
        <w:bottom w:val="none" w:sz="0" w:space="0" w:color="auto"/>
        <w:right w:val="none" w:sz="0" w:space="0" w:color="auto"/>
      </w:divBdr>
    </w:div>
    <w:div w:id="105849296">
      <w:bodyDiv w:val="1"/>
      <w:marLeft w:val="0"/>
      <w:marRight w:val="0"/>
      <w:marTop w:val="0"/>
      <w:marBottom w:val="0"/>
      <w:divBdr>
        <w:top w:val="none" w:sz="0" w:space="0" w:color="auto"/>
        <w:left w:val="none" w:sz="0" w:space="0" w:color="auto"/>
        <w:bottom w:val="none" w:sz="0" w:space="0" w:color="auto"/>
        <w:right w:val="none" w:sz="0" w:space="0" w:color="auto"/>
      </w:divBdr>
    </w:div>
    <w:div w:id="155000571">
      <w:bodyDiv w:val="1"/>
      <w:marLeft w:val="0"/>
      <w:marRight w:val="0"/>
      <w:marTop w:val="0"/>
      <w:marBottom w:val="0"/>
      <w:divBdr>
        <w:top w:val="none" w:sz="0" w:space="0" w:color="auto"/>
        <w:left w:val="none" w:sz="0" w:space="0" w:color="auto"/>
        <w:bottom w:val="none" w:sz="0" w:space="0" w:color="auto"/>
        <w:right w:val="none" w:sz="0" w:space="0" w:color="auto"/>
      </w:divBdr>
    </w:div>
    <w:div w:id="264196946">
      <w:bodyDiv w:val="1"/>
      <w:marLeft w:val="0"/>
      <w:marRight w:val="0"/>
      <w:marTop w:val="0"/>
      <w:marBottom w:val="0"/>
      <w:divBdr>
        <w:top w:val="none" w:sz="0" w:space="0" w:color="auto"/>
        <w:left w:val="none" w:sz="0" w:space="0" w:color="auto"/>
        <w:bottom w:val="none" w:sz="0" w:space="0" w:color="auto"/>
        <w:right w:val="none" w:sz="0" w:space="0" w:color="auto"/>
      </w:divBdr>
    </w:div>
    <w:div w:id="291593840">
      <w:bodyDiv w:val="1"/>
      <w:marLeft w:val="0"/>
      <w:marRight w:val="0"/>
      <w:marTop w:val="0"/>
      <w:marBottom w:val="0"/>
      <w:divBdr>
        <w:top w:val="none" w:sz="0" w:space="0" w:color="auto"/>
        <w:left w:val="none" w:sz="0" w:space="0" w:color="auto"/>
        <w:bottom w:val="none" w:sz="0" w:space="0" w:color="auto"/>
        <w:right w:val="none" w:sz="0" w:space="0" w:color="auto"/>
      </w:divBdr>
    </w:div>
    <w:div w:id="355934845">
      <w:bodyDiv w:val="1"/>
      <w:marLeft w:val="0"/>
      <w:marRight w:val="0"/>
      <w:marTop w:val="0"/>
      <w:marBottom w:val="0"/>
      <w:divBdr>
        <w:top w:val="none" w:sz="0" w:space="0" w:color="auto"/>
        <w:left w:val="none" w:sz="0" w:space="0" w:color="auto"/>
        <w:bottom w:val="none" w:sz="0" w:space="0" w:color="auto"/>
        <w:right w:val="none" w:sz="0" w:space="0" w:color="auto"/>
      </w:divBdr>
    </w:div>
    <w:div w:id="377051932">
      <w:bodyDiv w:val="1"/>
      <w:marLeft w:val="0"/>
      <w:marRight w:val="0"/>
      <w:marTop w:val="0"/>
      <w:marBottom w:val="0"/>
      <w:divBdr>
        <w:top w:val="none" w:sz="0" w:space="0" w:color="auto"/>
        <w:left w:val="none" w:sz="0" w:space="0" w:color="auto"/>
        <w:bottom w:val="none" w:sz="0" w:space="0" w:color="auto"/>
        <w:right w:val="none" w:sz="0" w:space="0" w:color="auto"/>
      </w:divBdr>
    </w:div>
    <w:div w:id="378364197">
      <w:bodyDiv w:val="1"/>
      <w:marLeft w:val="0"/>
      <w:marRight w:val="0"/>
      <w:marTop w:val="0"/>
      <w:marBottom w:val="0"/>
      <w:divBdr>
        <w:top w:val="none" w:sz="0" w:space="0" w:color="auto"/>
        <w:left w:val="none" w:sz="0" w:space="0" w:color="auto"/>
        <w:bottom w:val="none" w:sz="0" w:space="0" w:color="auto"/>
        <w:right w:val="none" w:sz="0" w:space="0" w:color="auto"/>
      </w:divBdr>
    </w:div>
    <w:div w:id="466047702">
      <w:bodyDiv w:val="1"/>
      <w:marLeft w:val="0"/>
      <w:marRight w:val="0"/>
      <w:marTop w:val="0"/>
      <w:marBottom w:val="0"/>
      <w:divBdr>
        <w:top w:val="none" w:sz="0" w:space="0" w:color="auto"/>
        <w:left w:val="none" w:sz="0" w:space="0" w:color="auto"/>
        <w:bottom w:val="none" w:sz="0" w:space="0" w:color="auto"/>
        <w:right w:val="none" w:sz="0" w:space="0" w:color="auto"/>
      </w:divBdr>
    </w:div>
    <w:div w:id="483543232">
      <w:bodyDiv w:val="1"/>
      <w:marLeft w:val="0"/>
      <w:marRight w:val="0"/>
      <w:marTop w:val="0"/>
      <w:marBottom w:val="0"/>
      <w:divBdr>
        <w:top w:val="none" w:sz="0" w:space="0" w:color="auto"/>
        <w:left w:val="none" w:sz="0" w:space="0" w:color="auto"/>
        <w:bottom w:val="none" w:sz="0" w:space="0" w:color="auto"/>
        <w:right w:val="none" w:sz="0" w:space="0" w:color="auto"/>
      </w:divBdr>
    </w:div>
    <w:div w:id="521632396">
      <w:bodyDiv w:val="1"/>
      <w:marLeft w:val="0"/>
      <w:marRight w:val="0"/>
      <w:marTop w:val="0"/>
      <w:marBottom w:val="0"/>
      <w:divBdr>
        <w:top w:val="none" w:sz="0" w:space="0" w:color="auto"/>
        <w:left w:val="none" w:sz="0" w:space="0" w:color="auto"/>
        <w:bottom w:val="none" w:sz="0" w:space="0" w:color="auto"/>
        <w:right w:val="none" w:sz="0" w:space="0" w:color="auto"/>
      </w:divBdr>
    </w:div>
    <w:div w:id="560215215">
      <w:bodyDiv w:val="1"/>
      <w:marLeft w:val="0"/>
      <w:marRight w:val="0"/>
      <w:marTop w:val="0"/>
      <w:marBottom w:val="0"/>
      <w:divBdr>
        <w:top w:val="none" w:sz="0" w:space="0" w:color="auto"/>
        <w:left w:val="none" w:sz="0" w:space="0" w:color="auto"/>
        <w:bottom w:val="none" w:sz="0" w:space="0" w:color="auto"/>
        <w:right w:val="none" w:sz="0" w:space="0" w:color="auto"/>
      </w:divBdr>
    </w:div>
    <w:div w:id="565797914">
      <w:bodyDiv w:val="1"/>
      <w:marLeft w:val="0"/>
      <w:marRight w:val="0"/>
      <w:marTop w:val="0"/>
      <w:marBottom w:val="0"/>
      <w:divBdr>
        <w:top w:val="none" w:sz="0" w:space="0" w:color="auto"/>
        <w:left w:val="none" w:sz="0" w:space="0" w:color="auto"/>
        <w:bottom w:val="none" w:sz="0" w:space="0" w:color="auto"/>
        <w:right w:val="none" w:sz="0" w:space="0" w:color="auto"/>
      </w:divBdr>
    </w:div>
    <w:div w:id="583608175">
      <w:bodyDiv w:val="1"/>
      <w:marLeft w:val="0"/>
      <w:marRight w:val="0"/>
      <w:marTop w:val="0"/>
      <w:marBottom w:val="0"/>
      <w:divBdr>
        <w:top w:val="none" w:sz="0" w:space="0" w:color="auto"/>
        <w:left w:val="none" w:sz="0" w:space="0" w:color="auto"/>
        <w:bottom w:val="none" w:sz="0" w:space="0" w:color="auto"/>
        <w:right w:val="none" w:sz="0" w:space="0" w:color="auto"/>
      </w:divBdr>
    </w:div>
    <w:div w:id="685056218">
      <w:bodyDiv w:val="1"/>
      <w:marLeft w:val="0"/>
      <w:marRight w:val="0"/>
      <w:marTop w:val="0"/>
      <w:marBottom w:val="0"/>
      <w:divBdr>
        <w:top w:val="none" w:sz="0" w:space="0" w:color="auto"/>
        <w:left w:val="none" w:sz="0" w:space="0" w:color="auto"/>
        <w:bottom w:val="none" w:sz="0" w:space="0" w:color="auto"/>
        <w:right w:val="none" w:sz="0" w:space="0" w:color="auto"/>
      </w:divBdr>
    </w:div>
    <w:div w:id="724838517">
      <w:bodyDiv w:val="1"/>
      <w:marLeft w:val="0"/>
      <w:marRight w:val="0"/>
      <w:marTop w:val="0"/>
      <w:marBottom w:val="0"/>
      <w:divBdr>
        <w:top w:val="none" w:sz="0" w:space="0" w:color="auto"/>
        <w:left w:val="none" w:sz="0" w:space="0" w:color="auto"/>
        <w:bottom w:val="none" w:sz="0" w:space="0" w:color="auto"/>
        <w:right w:val="none" w:sz="0" w:space="0" w:color="auto"/>
      </w:divBdr>
    </w:div>
    <w:div w:id="750854806">
      <w:bodyDiv w:val="1"/>
      <w:marLeft w:val="0"/>
      <w:marRight w:val="0"/>
      <w:marTop w:val="0"/>
      <w:marBottom w:val="0"/>
      <w:divBdr>
        <w:top w:val="none" w:sz="0" w:space="0" w:color="auto"/>
        <w:left w:val="none" w:sz="0" w:space="0" w:color="auto"/>
        <w:bottom w:val="none" w:sz="0" w:space="0" w:color="auto"/>
        <w:right w:val="none" w:sz="0" w:space="0" w:color="auto"/>
      </w:divBdr>
    </w:div>
    <w:div w:id="818116789">
      <w:bodyDiv w:val="1"/>
      <w:marLeft w:val="0"/>
      <w:marRight w:val="0"/>
      <w:marTop w:val="0"/>
      <w:marBottom w:val="0"/>
      <w:divBdr>
        <w:top w:val="none" w:sz="0" w:space="0" w:color="auto"/>
        <w:left w:val="none" w:sz="0" w:space="0" w:color="auto"/>
        <w:bottom w:val="none" w:sz="0" w:space="0" w:color="auto"/>
        <w:right w:val="none" w:sz="0" w:space="0" w:color="auto"/>
      </w:divBdr>
    </w:div>
    <w:div w:id="869804593">
      <w:bodyDiv w:val="1"/>
      <w:marLeft w:val="0"/>
      <w:marRight w:val="0"/>
      <w:marTop w:val="0"/>
      <w:marBottom w:val="0"/>
      <w:divBdr>
        <w:top w:val="none" w:sz="0" w:space="0" w:color="auto"/>
        <w:left w:val="none" w:sz="0" w:space="0" w:color="auto"/>
        <w:bottom w:val="none" w:sz="0" w:space="0" w:color="auto"/>
        <w:right w:val="none" w:sz="0" w:space="0" w:color="auto"/>
      </w:divBdr>
    </w:div>
    <w:div w:id="893085825">
      <w:bodyDiv w:val="1"/>
      <w:marLeft w:val="0"/>
      <w:marRight w:val="0"/>
      <w:marTop w:val="0"/>
      <w:marBottom w:val="0"/>
      <w:divBdr>
        <w:top w:val="none" w:sz="0" w:space="0" w:color="auto"/>
        <w:left w:val="none" w:sz="0" w:space="0" w:color="auto"/>
        <w:bottom w:val="none" w:sz="0" w:space="0" w:color="auto"/>
        <w:right w:val="none" w:sz="0" w:space="0" w:color="auto"/>
      </w:divBdr>
    </w:div>
    <w:div w:id="903099310">
      <w:bodyDiv w:val="1"/>
      <w:marLeft w:val="0"/>
      <w:marRight w:val="0"/>
      <w:marTop w:val="0"/>
      <w:marBottom w:val="0"/>
      <w:divBdr>
        <w:top w:val="none" w:sz="0" w:space="0" w:color="auto"/>
        <w:left w:val="none" w:sz="0" w:space="0" w:color="auto"/>
        <w:bottom w:val="none" w:sz="0" w:space="0" w:color="auto"/>
        <w:right w:val="none" w:sz="0" w:space="0" w:color="auto"/>
      </w:divBdr>
    </w:div>
    <w:div w:id="1048799523">
      <w:bodyDiv w:val="1"/>
      <w:marLeft w:val="0"/>
      <w:marRight w:val="0"/>
      <w:marTop w:val="0"/>
      <w:marBottom w:val="0"/>
      <w:divBdr>
        <w:top w:val="none" w:sz="0" w:space="0" w:color="auto"/>
        <w:left w:val="none" w:sz="0" w:space="0" w:color="auto"/>
        <w:bottom w:val="none" w:sz="0" w:space="0" w:color="auto"/>
        <w:right w:val="none" w:sz="0" w:space="0" w:color="auto"/>
      </w:divBdr>
    </w:div>
    <w:div w:id="1091703294">
      <w:bodyDiv w:val="1"/>
      <w:marLeft w:val="0"/>
      <w:marRight w:val="0"/>
      <w:marTop w:val="0"/>
      <w:marBottom w:val="0"/>
      <w:divBdr>
        <w:top w:val="none" w:sz="0" w:space="0" w:color="auto"/>
        <w:left w:val="none" w:sz="0" w:space="0" w:color="auto"/>
        <w:bottom w:val="none" w:sz="0" w:space="0" w:color="auto"/>
        <w:right w:val="none" w:sz="0" w:space="0" w:color="auto"/>
      </w:divBdr>
    </w:div>
    <w:div w:id="1109277016">
      <w:bodyDiv w:val="1"/>
      <w:marLeft w:val="0"/>
      <w:marRight w:val="0"/>
      <w:marTop w:val="0"/>
      <w:marBottom w:val="0"/>
      <w:divBdr>
        <w:top w:val="none" w:sz="0" w:space="0" w:color="auto"/>
        <w:left w:val="none" w:sz="0" w:space="0" w:color="auto"/>
        <w:bottom w:val="none" w:sz="0" w:space="0" w:color="auto"/>
        <w:right w:val="none" w:sz="0" w:space="0" w:color="auto"/>
      </w:divBdr>
    </w:div>
    <w:div w:id="1158616497">
      <w:bodyDiv w:val="1"/>
      <w:marLeft w:val="0"/>
      <w:marRight w:val="0"/>
      <w:marTop w:val="0"/>
      <w:marBottom w:val="0"/>
      <w:divBdr>
        <w:top w:val="none" w:sz="0" w:space="0" w:color="auto"/>
        <w:left w:val="none" w:sz="0" w:space="0" w:color="auto"/>
        <w:bottom w:val="none" w:sz="0" w:space="0" w:color="auto"/>
        <w:right w:val="none" w:sz="0" w:space="0" w:color="auto"/>
      </w:divBdr>
    </w:div>
    <w:div w:id="1188327524">
      <w:bodyDiv w:val="1"/>
      <w:marLeft w:val="0"/>
      <w:marRight w:val="0"/>
      <w:marTop w:val="0"/>
      <w:marBottom w:val="0"/>
      <w:divBdr>
        <w:top w:val="none" w:sz="0" w:space="0" w:color="auto"/>
        <w:left w:val="none" w:sz="0" w:space="0" w:color="auto"/>
        <w:bottom w:val="none" w:sz="0" w:space="0" w:color="auto"/>
        <w:right w:val="none" w:sz="0" w:space="0" w:color="auto"/>
      </w:divBdr>
    </w:div>
    <w:div w:id="1189026679">
      <w:bodyDiv w:val="1"/>
      <w:marLeft w:val="0"/>
      <w:marRight w:val="0"/>
      <w:marTop w:val="0"/>
      <w:marBottom w:val="0"/>
      <w:divBdr>
        <w:top w:val="none" w:sz="0" w:space="0" w:color="auto"/>
        <w:left w:val="none" w:sz="0" w:space="0" w:color="auto"/>
        <w:bottom w:val="none" w:sz="0" w:space="0" w:color="auto"/>
        <w:right w:val="none" w:sz="0" w:space="0" w:color="auto"/>
      </w:divBdr>
    </w:div>
    <w:div w:id="1216818753">
      <w:bodyDiv w:val="1"/>
      <w:marLeft w:val="0"/>
      <w:marRight w:val="0"/>
      <w:marTop w:val="0"/>
      <w:marBottom w:val="0"/>
      <w:divBdr>
        <w:top w:val="none" w:sz="0" w:space="0" w:color="auto"/>
        <w:left w:val="none" w:sz="0" w:space="0" w:color="auto"/>
        <w:bottom w:val="none" w:sz="0" w:space="0" w:color="auto"/>
        <w:right w:val="none" w:sz="0" w:space="0" w:color="auto"/>
      </w:divBdr>
    </w:div>
    <w:div w:id="1219978370">
      <w:bodyDiv w:val="1"/>
      <w:marLeft w:val="0"/>
      <w:marRight w:val="0"/>
      <w:marTop w:val="0"/>
      <w:marBottom w:val="0"/>
      <w:divBdr>
        <w:top w:val="none" w:sz="0" w:space="0" w:color="auto"/>
        <w:left w:val="none" w:sz="0" w:space="0" w:color="auto"/>
        <w:bottom w:val="none" w:sz="0" w:space="0" w:color="auto"/>
        <w:right w:val="none" w:sz="0" w:space="0" w:color="auto"/>
      </w:divBdr>
    </w:div>
    <w:div w:id="1221407792">
      <w:bodyDiv w:val="1"/>
      <w:marLeft w:val="0"/>
      <w:marRight w:val="0"/>
      <w:marTop w:val="0"/>
      <w:marBottom w:val="0"/>
      <w:divBdr>
        <w:top w:val="none" w:sz="0" w:space="0" w:color="auto"/>
        <w:left w:val="none" w:sz="0" w:space="0" w:color="auto"/>
        <w:bottom w:val="none" w:sz="0" w:space="0" w:color="auto"/>
        <w:right w:val="none" w:sz="0" w:space="0" w:color="auto"/>
      </w:divBdr>
    </w:div>
    <w:div w:id="1257785965">
      <w:bodyDiv w:val="1"/>
      <w:marLeft w:val="0"/>
      <w:marRight w:val="0"/>
      <w:marTop w:val="0"/>
      <w:marBottom w:val="0"/>
      <w:divBdr>
        <w:top w:val="none" w:sz="0" w:space="0" w:color="auto"/>
        <w:left w:val="none" w:sz="0" w:space="0" w:color="auto"/>
        <w:bottom w:val="none" w:sz="0" w:space="0" w:color="auto"/>
        <w:right w:val="none" w:sz="0" w:space="0" w:color="auto"/>
      </w:divBdr>
    </w:div>
    <w:div w:id="1301306478">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373773246">
      <w:bodyDiv w:val="1"/>
      <w:marLeft w:val="0"/>
      <w:marRight w:val="0"/>
      <w:marTop w:val="0"/>
      <w:marBottom w:val="0"/>
      <w:divBdr>
        <w:top w:val="none" w:sz="0" w:space="0" w:color="auto"/>
        <w:left w:val="none" w:sz="0" w:space="0" w:color="auto"/>
        <w:bottom w:val="none" w:sz="0" w:space="0" w:color="auto"/>
        <w:right w:val="none" w:sz="0" w:space="0" w:color="auto"/>
      </w:divBdr>
    </w:div>
    <w:div w:id="1490823488">
      <w:bodyDiv w:val="1"/>
      <w:marLeft w:val="0"/>
      <w:marRight w:val="0"/>
      <w:marTop w:val="0"/>
      <w:marBottom w:val="0"/>
      <w:divBdr>
        <w:top w:val="none" w:sz="0" w:space="0" w:color="auto"/>
        <w:left w:val="none" w:sz="0" w:space="0" w:color="auto"/>
        <w:bottom w:val="none" w:sz="0" w:space="0" w:color="auto"/>
        <w:right w:val="none" w:sz="0" w:space="0" w:color="auto"/>
      </w:divBdr>
    </w:div>
    <w:div w:id="1523320344">
      <w:bodyDiv w:val="1"/>
      <w:marLeft w:val="0"/>
      <w:marRight w:val="0"/>
      <w:marTop w:val="0"/>
      <w:marBottom w:val="0"/>
      <w:divBdr>
        <w:top w:val="none" w:sz="0" w:space="0" w:color="auto"/>
        <w:left w:val="none" w:sz="0" w:space="0" w:color="auto"/>
        <w:bottom w:val="none" w:sz="0" w:space="0" w:color="auto"/>
        <w:right w:val="none" w:sz="0" w:space="0" w:color="auto"/>
      </w:divBdr>
    </w:div>
    <w:div w:id="1530600679">
      <w:bodyDiv w:val="1"/>
      <w:marLeft w:val="0"/>
      <w:marRight w:val="0"/>
      <w:marTop w:val="0"/>
      <w:marBottom w:val="0"/>
      <w:divBdr>
        <w:top w:val="none" w:sz="0" w:space="0" w:color="auto"/>
        <w:left w:val="none" w:sz="0" w:space="0" w:color="auto"/>
        <w:bottom w:val="none" w:sz="0" w:space="0" w:color="auto"/>
        <w:right w:val="none" w:sz="0" w:space="0" w:color="auto"/>
      </w:divBdr>
    </w:div>
    <w:div w:id="1571040680">
      <w:bodyDiv w:val="1"/>
      <w:marLeft w:val="0"/>
      <w:marRight w:val="0"/>
      <w:marTop w:val="0"/>
      <w:marBottom w:val="0"/>
      <w:divBdr>
        <w:top w:val="none" w:sz="0" w:space="0" w:color="auto"/>
        <w:left w:val="none" w:sz="0" w:space="0" w:color="auto"/>
        <w:bottom w:val="none" w:sz="0" w:space="0" w:color="auto"/>
        <w:right w:val="none" w:sz="0" w:space="0" w:color="auto"/>
      </w:divBdr>
    </w:div>
    <w:div w:id="1576474156">
      <w:bodyDiv w:val="1"/>
      <w:marLeft w:val="0"/>
      <w:marRight w:val="0"/>
      <w:marTop w:val="0"/>
      <w:marBottom w:val="0"/>
      <w:divBdr>
        <w:top w:val="none" w:sz="0" w:space="0" w:color="auto"/>
        <w:left w:val="none" w:sz="0" w:space="0" w:color="auto"/>
        <w:bottom w:val="none" w:sz="0" w:space="0" w:color="auto"/>
        <w:right w:val="none" w:sz="0" w:space="0" w:color="auto"/>
      </w:divBdr>
    </w:div>
    <w:div w:id="1633050328">
      <w:bodyDiv w:val="1"/>
      <w:marLeft w:val="0"/>
      <w:marRight w:val="0"/>
      <w:marTop w:val="0"/>
      <w:marBottom w:val="0"/>
      <w:divBdr>
        <w:top w:val="none" w:sz="0" w:space="0" w:color="auto"/>
        <w:left w:val="none" w:sz="0" w:space="0" w:color="auto"/>
        <w:bottom w:val="none" w:sz="0" w:space="0" w:color="auto"/>
        <w:right w:val="none" w:sz="0" w:space="0" w:color="auto"/>
      </w:divBdr>
    </w:div>
    <w:div w:id="1660767104">
      <w:bodyDiv w:val="1"/>
      <w:marLeft w:val="0"/>
      <w:marRight w:val="0"/>
      <w:marTop w:val="0"/>
      <w:marBottom w:val="0"/>
      <w:divBdr>
        <w:top w:val="none" w:sz="0" w:space="0" w:color="auto"/>
        <w:left w:val="none" w:sz="0" w:space="0" w:color="auto"/>
        <w:bottom w:val="none" w:sz="0" w:space="0" w:color="auto"/>
        <w:right w:val="none" w:sz="0" w:space="0" w:color="auto"/>
      </w:divBdr>
    </w:div>
    <w:div w:id="1781341380">
      <w:bodyDiv w:val="1"/>
      <w:marLeft w:val="0"/>
      <w:marRight w:val="0"/>
      <w:marTop w:val="0"/>
      <w:marBottom w:val="0"/>
      <w:divBdr>
        <w:top w:val="none" w:sz="0" w:space="0" w:color="auto"/>
        <w:left w:val="none" w:sz="0" w:space="0" w:color="auto"/>
        <w:bottom w:val="none" w:sz="0" w:space="0" w:color="auto"/>
        <w:right w:val="none" w:sz="0" w:space="0" w:color="auto"/>
      </w:divBdr>
    </w:div>
    <w:div w:id="1784030778">
      <w:bodyDiv w:val="1"/>
      <w:marLeft w:val="0"/>
      <w:marRight w:val="0"/>
      <w:marTop w:val="0"/>
      <w:marBottom w:val="0"/>
      <w:divBdr>
        <w:top w:val="none" w:sz="0" w:space="0" w:color="auto"/>
        <w:left w:val="none" w:sz="0" w:space="0" w:color="auto"/>
        <w:bottom w:val="none" w:sz="0" w:space="0" w:color="auto"/>
        <w:right w:val="none" w:sz="0" w:space="0" w:color="auto"/>
      </w:divBdr>
    </w:div>
    <w:div w:id="1827478219">
      <w:bodyDiv w:val="1"/>
      <w:marLeft w:val="0"/>
      <w:marRight w:val="0"/>
      <w:marTop w:val="0"/>
      <w:marBottom w:val="0"/>
      <w:divBdr>
        <w:top w:val="none" w:sz="0" w:space="0" w:color="auto"/>
        <w:left w:val="none" w:sz="0" w:space="0" w:color="auto"/>
        <w:bottom w:val="none" w:sz="0" w:space="0" w:color="auto"/>
        <w:right w:val="none" w:sz="0" w:space="0" w:color="auto"/>
      </w:divBdr>
    </w:div>
    <w:div w:id="1880779853">
      <w:bodyDiv w:val="1"/>
      <w:marLeft w:val="0"/>
      <w:marRight w:val="0"/>
      <w:marTop w:val="0"/>
      <w:marBottom w:val="0"/>
      <w:divBdr>
        <w:top w:val="none" w:sz="0" w:space="0" w:color="auto"/>
        <w:left w:val="none" w:sz="0" w:space="0" w:color="auto"/>
        <w:bottom w:val="none" w:sz="0" w:space="0" w:color="auto"/>
        <w:right w:val="none" w:sz="0" w:space="0" w:color="auto"/>
      </w:divBdr>
    </w:div>
    <w:div w:id="195921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roc\Local%20Settings\Temporary%20Internet%20Files\OLK5\APPR%20Public%20Report%20Template-1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5F544E-E635-4888-9474-8A0D6242AFD5}"/>
</file>

<file path=customXml/itemProps2.xml><?xml version="1.0" encoding="utf-8"?>
<ds:datastoreItem xmlns:ds="http://schemas.openxmlformats.org/officeDocument/2006/customXml" ds:itemID="{8508DEF4-CDF4-47D5-A98C-07FC9BE0983F}"/>
</file>

<file path=customXml/itemProps3.xml><?xml version="1.0" encoding="utf-8"?>
<ds:datastoreItem xmlns:ds="http://schemas.openxmlformats.org/officeDocument/2006/customXml" ds:itemID="{990387B8-FB77-4822-A2B2-E8CDF4D8CCF6}"/>
</file>

<file path=customXml/itemProps4.xml><?xml version="1.0" encoding="utf-8"?>
<ds:datastoreItem xmlns:ds="http://schemas.openxmlformats.org/officeDocument/2006/customXml" ds:itemID="{C8F90CC0-EF9B-4176-A6C9-5635B0F6DF1D}"/>
</file>

<file path=customXml/itemProps5.xml><?xml version="1.0" encoding="utf-8"?>
<ds:datastoreItem xmlns:ds="http://schemas.openxmlformats.org/officeDocument/2006/customXml" ds:itemID="{9BFD7F66-E959-4516-B8D2-7C0EE9C499FA}"/>
</file>

<file path=docProps/app.xml><?xml version="1.0" encoding="utf-8"?>
<Properties xmlns="http://schemas.openxmlformats.org/officeDocument/2006/extended-properties" xmlns:vt="http://schemas.openxmlformats.org/officeDocument/2006/docPropsVTypes">
  <Template>APPR Public Report Template-123.dot</Template>
  <TotalTime>1</TotalTime>
  <Pages>20</Pages>
  <Words>5954</Words>
  <Characters>35023</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TEMPLATE</vt:lpstr>
    </vt:vector>
  </TitlesOfParts>
  <Manager>AusAID ADG OPS</Manager>
  <Company>AusAID</Company>
  <LinksUpToDate>false</LinksUpToDate>
  <CharactersWithSpaces>40896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Catherine Herron</dc:creator>
  <cp:keywords>APPR</cp:keywords>
  <dc:description>Current to August 2011</dc:description>
  <cp:lastModifiedBy>Jeff Fitzgibbon</cp:lastModifiedBy>
  <cp:revision>2</cp:revision>
  <cp:lastPrinted>2013-02-11T04:56:00Z</cp:lastPrinted>
  <dcterms:created xsi:type="dcterms:W3CDTF">2013-05-09T00:54:00Z</dcterms:created>
  <dcterms:modified xsi:type="dcterms:W3CDTF">2013-05-09T00:54:00Z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oup">
    <vt:lpwstr>Strategy</vt:lpwstr>
  </property>
  <property fmtid="{D5CDD505-2E9C-101B-9397-08002B2CF9AE}" pid="3" name="Keyword">
    <vt:lpwstr/>
  </property>
  <property fmtid="{D5CDD505-2E9C-101B-9397-08002B2CF9AE}" pid="4" name="Owner">
    <vt:lpwstr/>
  </property>
  <property fmtid="{D5CDD505-2E9C-101B-9397-08002B2CF9AE}" pid="5" name="ContentType">
    <vt:lpwstr>Document</vt:lpwstr>
  </property>
  <property fmtid="{D5CDD505-2E9C-101B-9397-08002B2CF9AE}" pid="6" name="Doc Number">
    <vt:lpwstr/>
  </property>
  <property fmtid="{D5CDD505-2E9C-101B-9397-08002B2CF9AE}" pid="7" name="Date of Release">
    <vt:lpwstr/>
  </property>
  <property fmtid="{D5CDD505-2E9C-101B-9397-08002B2CF9AE}" pid="8" name="Date of Review">
    <vt:lpwstr/>
  </property>
  <property fmtid="{D5CDD505-2E9C-101B-9397-08002B2CF9AE}" pid="9" name="ContentTypeId">
    <vt:lpwstr>0x01010050F19AC2165D2E47A5E6B7F563E4CF00</vt:lpwstr>
  </property>
  <property fmtid="{D5CDD505-2E9C-101B-9397-08002B2CF9AE}" pid="10" name="TemplateUrl">
    <vt:lpwstr/>
  </property>
  <property fmtid="{D5CDD505-2E9C-101B-9397-08002B2CF9AE}" pid="11" name="Order">
    <vt:r8>500</vt:r8>
  </property>
  <property fmtid="{D5CDD505-2E9C-101B-9397-08002B2CF9AE}" pid="12" name="_SourceUrl">
    <vt:lpwstr/>
  </property>
  <property fmtid="{D5CDD505-2E9C-101B-9397-08002B2CF9AE}" pid="13" name="_SharedFileIndex">
    <vt:lpwstr/>
  </property>
  <property fmtid="{D5CDD505-2E9C-101B-9397-08002B2CF9AE}" pid="14" name="xd_Signature">
    <vt:bool>false</vt:bool>
  </property>
  <property fmtid="{D5CDD505-2E9C-101B-9397-08002B2CF9AE}" pid="15" name="xd_ProgID">
    <vt:lpwstr/>
  </property>
</Properties>
</file>