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54" w:rsidRPr="00405E23" w:rsidRDefault="00405E23" w:rsidP="00405E23">
      <w:pPr>
        <w:spacing w:after="0"/>
        <w:jc w:val="center"/>
        <w:rPr>
          <w:b/>
          <w:bCs/>
        </w:rPr>
      </w:pPr>
      <w:bookmarkStart w:id="0" w:name="_GoBack"/>
      <w:bookmarkEnd w:id="0"/>
      <w:r w:rsidRPr="00405E23">
        <w:rPr>
          <w:b/>
          <w:bCs/>
        </w:rPr>
        <w:t>Partnering to Save Lives (PSL)</w:t>
      </w:r>
    </w:p>
    <w:p w:rsidR="00405E23" w:rsidRPr="00405E23" w:rsidRDefault="00405E23" w:rsidP="00405E23">
      <w:pPr>
        <w:spacing w:after="0"/>
        <w:jc w:val="center"/>
        <w:rPr>
          <w:b/>
          <w:bCs/>
        </w:rPr>
      </w:pPr>
      <w:r w:rsidRPr="00405E23">
        <w:rPr>
          <w:b/>
          <w:bCs/>
        </w:rPr>
        <w:t>FACTSHEET</w:t>
      </w:r>
    </w:p>
    <w:p w:rsidR="00772CD7" w:rsidRPr="00772CD7" w:rsidRDefault="00772CD7" w:rsidP="00405E23">
      <w:pPr>
        <w:spacing w:after="0"/>
        <w:rPr>
          <w:b/>
          <w:bCs/>
        </w:rPr>
      </w:pPr>
      <w:r w:rsidRPr="00772CD7">
        <w:rPr>
          <w:b/>
          <w:bCs/>
        </w:rPr>
        <w:t>Background</w:t>
      </w:r>
    </w:p>
    <w:p w:rsidR="00405E23" w:rsidRDefault="00405E23" w:rsidP="00405E23">
      <w:pPr>
        <w:spacing w:after="0"/>
      </w:pPr>
      <w:r>
        <w:t xml:space="preserve">The Partnering to Save Lives (PSL) program </w:t>
      </w:r>
      <w:r w:rsidR="00343BA6">
        <w:t>demonstrates</w:t>
      </w:r>
      <w:r>
        <w:t xml:space="preserve"> the high priority placed by the Royal Government of Cambodia</w:t>
      </w:r>
      <w:r w:rsidR="00CB225C">
        <w:t xml:space="preserve"> (RGC)</w:t>
      </w:r>
      <w:r>
        <w:t xml:space="preserve"> and </w:t>
      </w:r>
      <w:r w:rsidR="0007694C">
        <w:t>the Australian Government</w:t>
      </w:r>
      <w:r w:rsidR="008A6F18">
        <w:t>’s</w:t>
      </w:r>
      <w:r w:rsidR="0007694C">
        <w:t xml:space="preserve"> Department for Foreign Affairs and Trade (DFAT) </w:t>
      </w:r>
      <w:r>
        <w:t>on reproductive, maternal and neonatal health (RMNH)</w:t>
      </w:r>
      <w:r w:rsidR="005105D1">
        <w:t>,</w:t>
      </w:r>
      <w:r>
        <w:t xml:space="preserve"> and their recognition of the added value of partnerships in achieving RMNH outcomes.</w:t>
      </w:r>
      <w:r w:rsidR="00772CD7">
        <w:t xml:space="preserve"> Building on </w:t>
      </w:r>
      <w:r w:rsidR="00D04FF2">
        <w:t>the considerable progress made o</w:t>
      </w:r>
      <w:r w:rsidR="00772CD7">
        <w:t>n RMNH within Cambodia in recent years, PSL combines the complementary strengths of government and non-governmental partners to achieve the goals of the Fast-Track Initiative Road Map for Reducing Maternal and Neonatal Mortality (FTIRMN) and beyond.</w:t>
      </w:r>
    </w:p>
    <w:p w:rsidR="00AB5FB9" w:rsidRDefault="00AB5FB9" w:rsidP="00405E23">
      <w:pPr>
        <w:spacing w:after="0"/>
        <w:rPr>
          <w:b/>
          <w:bCs/>
        </w:rPr>
      </w:pPr>
    </w:p>
    <w:p w:rsidR="00772CD7" w:rsidRPr="00772CD7" w:rsidRDefault="00772CD7" w:rsidP="00405E23">
      <w:pPr>
        <w:spacing w:after="0"/>
        <w:rPr>
          <w:b/>
          <w:bCs/>
        </w:rPr>
      </w:pPr>
      <w:r w:rsidRPr="00772CD7">
        <w:rPr>
          <w:b/>
          <w:bCs/>
        </w:rPr>
        <w:t>Goal</w:t>
      </w:r>
    </w:p>
    <w:p w:rsidR="000F3824" w:rsidRPr="00405E23" w:rsidRDefault="00343BA6" w:rsidP="00405E23">
      <w:pPr>
        <w:spacing w:after="0"/>
      </w:pPr>
      <w:r>
        <w:t>To s</w:t>
      </w:r>
      <w:r w:rsidR="00AF3722" w:rsidRPr="00405E23">
        <w:t>ave the lives of women and neonates in Cambodia through improved quality, access and utilisation of RMNH services</w:t>
      </w:r>
      <w:r w:rsidR="00951E17">
        <w:t xml:space="preserve"> through a partnership approach</w:t>
      </w:r>
      <w:r w:rsidR="007B049E">
        <w:t>.</w:t>
      </w:r>
    </w:p>
    <w:p w:rsidR="00AB5FB9" w:rsidRDefault="00AB5FB9" w:rsidP="00405E23">
      <w:pPr>
        <w:spacing w:after="0"/>
        <w:rPr>
          <w:b/>
          <w:bCs/>
        </w:rPr>
      </w:pPr>
    </w:p>
    <w:p w:rsidR="00772CD7" w:rsidRPr="00772CD7" w:rsidRDefault="00772CD7" w:rsidP="00405E23">
      <w:pPr>
        <w:spacing w:after="0"/>
        <w:rPr>
          <w:b/>
          <w:bCs/>
        </w:rPr>
      </w:pPr>
      <w:r w:rsidRPr="00772CD7">
        <w:rPr>
          <w:b/>
          <w:bCs/>
        </w:rPr>
        <w:t>Partners</w:t>
      </w:r>
    </w:p>
    <w:p w:rsidR="000F3824" w:rsidRPr="00405E23" w:rsidRDefault="00772CD7" w:rsidP="00405E23">
      <w:pPr>
        <w:spacing w:after="0"/>
      </w:pPr>
      <w:r>
        <w:t xml:space="preserve">CARE, Marie Stopes International Cambodia, Save the Children, </w:t>
      </w:r>
      <w:r w:rsidR="00CB225C">
        <w:t>RGC</w:t>
      </w:r>
      <w:r w:rsidR="0007694C">
        <w:t xml:space="preserve"> </w:t>
      </w:r>
      <w:r>
        <w:t xml:space="preserve">Ministry of </w:t>
      </w:r>
      <w:r w:rsidR="00AF3722" w:rsidRPr="00405E23">
        <w:t>H</w:t>
      </w:r>
      <w:r>
        <w:t>ealth</w:t>
      </w:r>
      <w:r w:rsidR="00AF3722" w:rsidRPr="00405E23">
        <w:t xml:space="preserve">, </w:t>
      </w:r>
      <w:r w:rsidR="006E3A28">
        <w:t>Australian Government (</w:t>
      </w:r>
      <w:r w:rsidR="0007694C">
        <w:t>DFAT</w:t>
      </w:r>
      <w:r w:rsidR="006E3A28">
        <w:t>)</w:t>
      </w:r>
      <w:r w:rsidR="0007694C" w:rsidRPr="00405E23">
        <w:t xml:space="preserve"> </w:t>
      </w:r>
    </w:p>
    <w:p w:rsidR="00AB5FB9" w:rsidRDefault="00AB5FB9" w:rsidP="00405E23">
      <w:pPr>
        <w:spacing w:after="0"/>
        <w:rPr>
          <w:b/>
          <w:bCs/>
        </w:rPr>
      </w:pPr>
    </w:p>
    <w:p w:rsidR="00772CD7" w:rsidRPr="00772CD7" w:rsidRDefault="00772CD7" w:rsidP="00405E23">
      <w:pPr>
        <w:spacing w:after="0"/>
        <w:rPr>
          <w:b/>
          <w:bCs/>
        </w:rPr>
      </w:pPr>
      <w:r w:rsidRPr="00772CD7">
        <w:rPr>
          <w:b/>
          <w:bCs/>
        </w:rPr>
        <w:t>Timeframe</w:t>
      </w:r>
    </w:p>
    <w:p w:rsidR="00405E23" w:rsidRDefault="00405E23" w:rsidP="00405E23">
      <w:pPr>
        <w:spacing w:after="0"/>
      </w:pPr>
      <w:r w:rsidRPr="00405E23">
        <w:t>Aug 2013 – Jul 2016</w:t>
      </w:r>
      <w:r w:rsidR="007B049E">
        <w:t xml:space="preserve"> (with </w:t>
      </w:r>
      <w:r w:rsidR="006E3A28">
        <w:t xml:space="preserve">a </w:t>
      </w:r>
      <w:r w:rsidR="007B049E">
        <w:t>possible two-year extension)</w:t>
      </w:r>
    </w:p>
    <w:p w:rsidR="00AB5FB9" w:rsidRDefault="00AB5FB9" w:rsidP="00405E23">
      <w:pPr>
        <w:spacing w:after="0"/>
        <w:rPr>
          <w:b/>
          <w:bCs/>
        </w:rPr>
      </w:pPr>
    </w:p>
    <w:p w:rsidR="00405E23" w:rsidRPr="00772CD7" w:rsidRDefault="00405E23" w:rsidP="00405E23">
      <w:pPr>
        <w:spacing w:after="0"/>
        <w:rPr>
          <w:b/>
          <w:bCs/>
        </w:rPr>
      </w:pPr>
      <w:r w:rsidRPr="00772CD7">
        <w:rPr>
          <w:b/>
          <w:bCs/>
        </w:rPr>
        <w:t>What will PSL achieve?</w:t>
      </w:r>
    </w:p>
    <w:p w:rsidR="00405E23" w:rsidRPr="00405E23" w:rsidRDefault="00AF3722" w:rsidP="00405E23">
      <w:pPr>
        <w:spacing w:after="0"/>
      </w:pPr>
      <w:r>
        <w:t>PSL will c</w:t>
      </w:r>
      <w:r w:rsidR="00405E23" w:rsidRPr="00405E23">
        <w:t>ontribute to FTIRMN targets through:</w:t>
      </w:r>
    </w:p>
    <w:p w:rsidR="000F3824" w:rsidRPr="00405E23" w:rsidRDefault="00AF3722" w:rsidP="00405E23">
      <w:pPr>
        <w:numPr>
          <w:ilvl w:val="0"/>
          <w:numId w:val="2"/>
        </w:numPr>
        <w:spacing w:after="0"/>
      </w:pPr>
      <w:r>
        <w:t>i</w:t>
      </w:r>
      <w:r w:rsidRPr="00405E23">
        <w:t>mproved quality</w:t>
      </w:r>
      <w:r w:rsidR="00343BA6">
        <w:t xml:space="preserve"> of</w:t>
      </w:r>
      <w:r w:rsidRPr="00405E23">
        <w:t xml:space="preserve"> RMNH services</w:t>
      </w:r>
    </w:p>
    <w:p w:rsidR="000F3824" w:rsidRPr="00405E23" w:rsidRDefault="00AF3722" w:rsidP="00405E23">
      <w:pPr>
        <w:numPr>
          <w:ilvl w:val="0"/>
          <w:numId w:val="2"/>
        </w:numPr>
        <w:spacing w:after="0"/>
      </w:pPr>
      <w:r>
        <w:t>g</w:t>
      </w:r>
      <w:r w:rsidRPr="00405E23">
        <w:t>reater equity of access to RMNH services</w:t>
      </w:r>
    </w:p>
    <w:p w:rsidR="000F3824" w:rsidRPr="00405E23" w:rsidRDefault="00AF3722" w:rsidP="00405E23">
      <w:pPr>
        <w:numPr>
          <w:ilvl w:val="0"/>
          <w:numId w:val="2"/>
        </w:numPr>
        <w:spacing w:after="0"/>
      </w:pPr>
      <w:r>
        <w:t>m</w:t>
      </w:r>
      <w:r w:rsidRPr="00405E23">
        <w:t>ore responsive RMNH services</w:t>
      </w:r>
    </w:p>
    <w:p w:rsidR="000F3824" w:rsidRPr="00405E23" w:rsidRDefault="00AF3722" w:rsidP="00405E23">
      <w:pPr>
        <w:numPr>
          <w:ilvl w:val="0"/>
          <w:numId w:val="2"/>
        </w:numPr>
        <w:spacing w:after="0"/>
      </w:pPr>
      <w:r>
        <w:t>i</w:t>
      </w:r>
      <w:r w:rsidRPr="00405E23">
        <w:t xml:space="preserve">mproved RMNH behaviours </w:t>
      </w:r>
    </w:p>
    <w:p w:rsidR="00405E23" w:rsidRDefault="00AF3722" w:rsidP="00405E23">
      <w:pPr>
        <w:numPr>
          <w:ilvl w:val="0"/>
          <w:numId w:val="2"/>
        </w:numPr>
        <w:spacing w:after="0"/>
      </w:pPr>
      <w:r>
        <w:t xml:space="preserve">evidence-based innovation and </w:t>
      </w:r>
      <w:r w:rsidRPr="00405E23">
        <w:t>lear</w:t>
      </w:r>
      <w:r>
        <w:t xml:space="preserve">ning leading to improved policy and </w:t>
      </w:r>
      <w:r w:rsidRPr="00405E23">
        <w:t>practices</w:t>
      </w:r>
    </w:p>
    <w:p w:rsidR="00405E23" w:rsidRDefault="00AF3722" w:rsidP="00405E23">
      <w:pPr>
        <w:numPr>
          <w:ilvl w:val="0"/>
          <w:numId w:val="2"/>
        </w:numPr>
        <w:spacing w:after="0"/>
      </w:pPr>
      <w:r>
        <w:t>p</w:t>
      </w:r>
      <w:r w:rsidR="00405E23" w:rsidRPr="00405E23">
        <w:t xml:space="preserve">artnership for </w:t>
      </w:r>
      <w:r>
        <w:t xml:space="preserve">greater </w:t>
      </w:r>
      <w:r w:rsidR="00405E23" w:rsidRPr="00405E23">
        <w:t>impact and value-for-money</w:t>
      </w:r>
    </w:p>
    <w:p w:rsidR="00AB5FB9" w:rsidRDefault="00AB5FB9" w:rsidP="00AB5FB9">
      <w:pPr>
        <w:spacing w:after="0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CAE" w:rsidTr="009F0CAE">
        <w:tc>
          <w:tcPr>
            <w:tcW w:w="9576" w:type="dxa"/>
          </w:tcPr>
          <w:p w:rsidR="009F0CAE" w:rsidRPr="00772CD7" w:rsidRDefault="009F0CAE" w:rsidP="009F0CAE">
            <w:pPr>
              <w:rPr>
                <w:b/>
                <w:bCs/>
              </w:rPr>
            </w:pPr>
            <w:r w:rsidRPr="00772CD7">
              <w:rPr>
                <w:b/>
                <w:bCs/>
              </w:rPr>
              <w:t xml:space="preserve">What </w:t>
            </w:r>
            <w:r>
              <w:rPr>
                <w:b/>
                <w:bCs/>
              </w:rPr>
              <w:t>does</w:t>
            </w:r>
            <w:r w:rsidRPr="00772CD7">
              <w:rPr>
                <w:b/>
                <w:bCs/>
              </w:rPr>
              <w:t xml:space="preserve"> PSL do?</w:t>
            </w:r>
          </w:p>
          <w:p w:rsidR="009F0CAE" w:rsidRPr="00405E23" w:rsidRDefault="009F0CAE" w:rsidP="009F0CAE">
            <w:r>
              <w:t>PSL f</w:t>
            </w:r>
            <w:r w:rsidRPr="00405E23">
              <w:t>ocus</w:t>
            </w:r>
            <w:r>
              <w:t>es</w:t>
            </w:r>
            <w:r w:rsidRPr="00405E23">
              <w:t xml:space="preserve"> on 6 </w:t>
            </w:r>
            <w:r>
              <w:t xml:space="preserve">of the 7 </w:t>
            </w:r>
            <w:r w:rsidRPr="00405E23">
              <w:t>components of FTIRMN: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e</w:t>
            </w:r>
            <w:r w:rsidRPr="00405E23">
              <w:t>mergency obstetric and newborn care</w:t>
            </w:r>
            <w:r w:rsidR="001E03A5">
              <w:t xml:space="preserve"> (</w:t>
            </w:r>
            <w:proofErr w:type="spellStart"/>
            <w:r w:rsidR="001E03A5">
              <w:t>EmONC</w:t>
            </w:r>
            <w:proofErr w:type="spellEnd"/>
            <w:r w:rsidR="001E03A5">
              <w:t>)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s</w:t>
            </w:r>
            <w:r w:rsidRPr="00405E23">
              <w:t>killed birth attendance</w:t>
            </w:r>
            <w:r w:rsidR="001E03A5">
              <w:t xml:space="preserve"> (SBA)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f</w:t>
            </w:r>
            <w:r w:rsidRPr="00405E23">
              <w:t>amily planning</w:t>
            </w:r>
            <w:r w:rsidR="001E03A5">
              <w:t xml:space="preserve"> (FP)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s</w:t>
            </w:r>
            <w:r w:rsidRPr="00405E23">
              <w:t>afe abortion</w:t>
            </w:r>
            <w:r>
              <w:t xml:space="preserve"> (</w:t>
            </w:r>
            <w:r w:rsidR="001E03A5">
              <w:t xml:space="preserve">SA; </w:t>
            </w:r>
            <w:r>
              <w:t>training and quality improvement)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b</w:t>
            </w:r>
            <w:r w:rsidRPr="00405E23">
              <w:t>ehaviour change communication</w:t>
            </w:r>
            <w:r w:rsidR="001E03A5">
              <w:t xml:space="preserve"> (BCC)</w:t>
            </w:r>
          </w:p>
          <w:p w:rsidR="009F0CAE" w:rsidRPr="00405E23" w:rsidRDefault="009F0CAE" w:rsidP="009F0CAE">
            <w:pPr>
              <w:numPr>
                <w:ilvl w:val="0"/>
                <w:numId w:val="3"/>
              </w:numPr>
            </w:pPr>
            <w:r>
              <w:t>r</w:t>
            </w:r>
            <w:r w:rsidRPr="00405E23">
              <w:t>emovi</w:t>
            </w:r>
            <w:r>
              <w:t>ng financial barriers</w:t>
            </w:r>
          </w:p>
          <w:p w:rsidR="009F0CAE" w:rsidRPr="00405E23" w:rsidRDefault="009F0CAE" w:rsidP="009F0CAE">
            <w:r>
              <w:t>The program</w:t>
            </w:r>
            <w:r w:rsidRPr="00405E23">
              <w:t xml:space="preserve"> has 3 co</w:t>
            </w:r>
            <w:r>
              <w:t>re function</w:t>
            </w:r>
            <w:r w:rsidRPr="00405E23">
              <w:t>s:</w:t>
            </w:r>
          </w:p>
          <w:p w:rsidR="009F0CAE" w:rsidRPr="00405E23" w:rsidRDefault="009F0CAE" w:rsidP="009F0CAE">
            <w:pPr>
              <w:numPr>
                <w:ilvl w:val="0"/>
                <w:numId w:val="4"/>
              </w:numPr>
            </w:pPr>
            <w:r>
              <w:t>i</w:t>
            </w:r>
            <w:r w:rsidRPr="00405E23">
              <w:t>mproving health service delivery</w:t>
            </w:r>
          </w:p>
          <w:p w:rsidR="009F0CAE" w:rsidRDefault="009F0CAE" w:rsidP="009F0CAE">
            <w:pPr>
              <w:numPr>
                <w:ilvl w:val="0"/>
                <w:numId w:val="4"/>
              </w:numPr>
            </w:pPr>
            <w:r>
              <w:t>c</w:t>
            </w:r>
            <w:r w:rsidRPr="00405E23">
              <w:t>ommunity strengthening and engagement</w:t>
            </w:r>
          </w:p>
          <w:p w:rsidR="009F0CAE" w:rsidRPr="009F0CAE" w:rsidRDefault="009F0CAE" w:rsidP="00405E23">
            <w:pPr>
              <w:numPr>
                <w:ilvl w:val="0"/>
                <w:numId w:val="4"/>
              </w:numPr>
            </w:pPr>
            <w:proofErr w:type="gramStart"/>
            <w:r>
              <w:t>t</w:t>
            </w:r>
            <w:r w:rsidRPr="00405E23">
              <w:t>ranslating</w:t>
            </w:r>
            <w:proofErr w:type="gramEnd"/>
            <w:r w:rsidRPr="00405E23">
              <w:t xml:space="preserve"> </w:t>
            </w:r>
            <w:r>
              <w:t xml:space="preserve">learning and </w:t>
            </w:r>
            <w:r w:rsidRPr="00405E23">
              <w:t>knowledge into policy</w:t>
            </w:r>
            <w:r>
              <w:t>.</w:t>
            </w:r>
          </w:p>
        </w:tc>
      </w:tr>
    </w:tbl>
    <w:p w:rsidR="00405E23" w:rsidRPr="00772CD7" w:rsidRDefault="00405E23" w:rsidP="00405E23">
      <w:pPr>
        <w:spacing w:after="0"/>
        <w:rPr>
          <w:b/>
          <w:bCs/>
        </w:rPr>
      </w:pPr>
      <w:r w:rsidRPr="00772CD7">
        <w:rPr>
          <w:b/>
          <w:bCs/>
        </w:rPr>
        <w:lastRenderedPageBreak/>
        <w:t xml:space="preserve">Where </w:t>
      </w:r>
      <w:r w:rsidR="007B049E">
        <w:rPr>
          <w:b/>
          <w:bCs/>
        </w:rPr>
        <w:t>does</w:t>
      </w:r>
      <w:r w:rsidRPr="00772CD7">
        <w:rPr>
          <w:b/>
          <w:bCs/>
        </w:rPr>
        <w:t xml:space="preserve"> PSL work?</w:t>
      </w:r>
    </w:p>
    <w:p w:rsidR="000F3824" w:rsidRPr="00405E23" w:rsidRDefault="0041460A" w:rsidP="00AF3722">
      <w:pPr>
        <w:spacing w:after="0"/>
      </w:pPr>
      <w:r>
        <w:t xml:space="preserve">PSL </w:t>
      </w:r>
      <w:r w:rsidR="006E3A28">
        <w:t>focuses</w:t>
      </w:r>
      <w:r w:rsidR="00AF3722" w:rsidRPr="00405E23">
        <w:t xml:space="preserve"> on</w:t>
      </w:r>
      <w:r w:rsidR="00AF3722">
        <w:t xml:space="preserve"> </w:t>
      </w:r>
      <w:r w:rsidR="00A4651F">
        <w:t xml:space="preserve">holistic RMNH service provision in </w:t>
      </w:r>
      <w:r w:rsidR="00AF3722">
        <w:t xml:space="preserve">the </w:t>
      </w:r>
      <w:r>
        <w:t xml:space="preserve">underserved </w:t>
      </w:r>
      <w:r w:rsidR="00AF3722">
        <w:t>north-eastern provinces of</w:t>
      </w:r>
      <w:r w:rsidR="00AF3722" w:rsidRPr="00405E23">
        <w:t xml:space="preserve"> </w:t>
      </w:r>
      <w:proofErr w:type="spellStart"/>
      <w:r w:rsidR="00AF3722" w:rsidRPr="00405E23">
        <w:t>Kratie</w:t>
      </w:r>
      <w:proofErr w:type="spellEnd"/>
      <w:r w:rsidR="00AF3722" w:rsidRPr="00405E23">
        <w:t xml:space="preserve">, </w:t>
      </w:r>
      <w:proofErr w:type="spellStart"/>
      <w:r w:rsidR="00AF3722" w:rsidRPr="00405E23">
        <w:t>Mondulk</w:t>
      </w:r>
      <w:r w:rsidR="00AF3722">
        <w:t>iri</w:t>
      </w:r>
      <w:proofErr w:type="spellEnd"/>
      <w:r w:rsidR="00AF3722">
        <w:t xml:space="preserve">, </w:t>
      </w:r>
      <w:proofErr w:type="spellStart"/>
      <w:r w:rsidR="00AF3722">
        <w:t>Ratanakiri</w:t>
      </w:r>
      <w:proofErr w:type="spellEnd"/>
      <w:r w:rsidR="00AF3722">
        <w:t xml:space="preserve"> and Stung </w:t>
      </w:r>
      <w:proofErr w:type="spellStart"/>
      <w:r w:rsidR="00AF3722" w:rsidRPr="004B12A0">
        <w:t>Treng</w:t>
      </w:r>
      <w:proofErr w:type="spellEnd"/>
      <w:r w:rsidRPr="004B12A0">
        <w:t>.</w:t>
      </w:r>
      <w:r w:rsidR="00AF3722" w:rsidRPr="004B12A0">
        <w:t xml:space="preserve"> </w:t>
      </w:r>
      <w:r w:rsidR="004B12A0" w:rsidRPr="004B12A0">
        <w:t>PSL supports f</w:t>
      </w:r>
      <w:r w:rsidRPr="004B12A0">
        <w:t xml:space="preserve">amily planning </w:t>
      </w:r>
      <w:r w:rsidR="00365165" w:rsidRPr="004B12A0">
        <w:t xml:space="preserve">services </w:t>
      </w:r>
      <w:r w:rsidRPr="004B12A0">
        <w:t xml:space="preserve">and </w:t>
      </w:r>
      <w:r w:rsidR="004B12A0" w:rsidRPr="004B12A0">
        <w:t xml:space="preserve">training on </w:t>
      </w:r>
      <w:r w:rsidR="00AF3722" w:rsidRPr="004B12A0">
        <w:t>safe abortion</w:t>
      </w:r>
      <w:r w:rsidR="00365165" w:rsidRPr="004B12A0">
        <w:t xml:space="preserve"> </w:t>
      </w:r>
      <w:r w:rsidR="00A4651F" w:rsidRPr="004B12A0">
        <w:t>in</w:t>
      </w:r>
      <w:r w:rsidRPr="004B12A0">
        <w:t xml:space="preserve"> </w:t>
      </w:r>
      <w:r w:rsidR="004E39C5" w:rsidRPr="004B12A0">
        <w:t>an additional 1</w:t>
      </w:r>
      <w:r w:rsidR="00343BA6" w:rsidRPr="004B12A0">
        <w:t>7</w:t>
      </w:r>
      <w:r w:rsidR="008C2D83" w:rsidRPr="004B12A0">
        <w:t xml:space="preserve"> </w:t>
      </w:r>
      <w:r w:rsidRPr="004B12A0">
        <w:t>province</w:t>
      </w:r>
      <w:r>
        <w:t>s across the country</w:t>
      </w:r>
      <w:r w:rsidR="00AF3722">
        <w:t xml:space="preserve">. PSL also </w:t>
      </w:r>
      <w:r w:rsidR="00343BA6">
        <w:t xml:space="preserve">works to </w:t>
      </w:r>
      <w:r w:rsidR="004E39C5">
        <w:t>improve access to</w:t>
      </w:r>
      <w:r w:rsidR="00AF3722">
        <w:t xml:space="preserve"> </w:t>
      </w:r>
      <w:r w:rsidR="007B049E">
        <w:t xml:space="preserve">RMNH information and </w:t>
      </w:r>
      <w:r w:rsidR="00AF3722">
        <w:t>services for vulnerable young women working in garment factories in Phnom Penh and</w:t>
      </w:r>
      <w:r w:rsidR="00AF3722" w:rsidRPr="00405E23">
        <w:t xml:space="preserve"> </w:t>
      </w:r>
      <w:proofErr w:type="spellStart"/>
      <w:r w:rsidR="00AF3722" w:rsidRPr="00405E23">
        <w:t>Kandal</w:t>
      </w:r>
      <w:proofErr w:type="spellEnd"/>
      <w:r w:rsidR="00AF3722">
        <w:t>.</w:t>
      </w:r>
    </w:p>
    <w:p w:rsidR="00AB5FB9" w:rsidRDefault="00AB5FB9" w:rsidP="00405E23">
      <w:pPr>
        <w:spacing w:after="0"/>
        <w:rPr>
          <w:b/>
          <w:bCs/>
        </w:rPr>
      </w:pPr>
    </w:p>
    <w:p w:rsidR="00405E23" w:rsidRPr="00772CD7" w:rsidRDefault="00405E23" w:rsidP="00405E23">
      <w:pPr>
        <w:spacing w:after="0"/>
        <w:rPr>
          <w:b/>
          <w:bCs/>
        </w:rPr>
      </w:pPr>
      <w:r w:rsidRPr="00772CD7">
        <w:rPr>
          <w:b/>
          <w:bCs/>
        </w:rPr>
        <w:t xml:space="preserve">How </w:t>
      </w:r>
      <w:r w:rsidR="00343BA6">
        <w:rPr>
          <w:b/>
          <w:bCs/>
        </w:rPr>
        <w:t>does</w:t>
      </w:r>
      <w:r w:rsidRPr="00772CD7">
        <w:rPr>
          <w:b/>
          <w:bCs/>
        </w:rPr>
        <w:t xml:space="preserve"> PSL measure success?</w:t>
      </w:r>
    </w:p>
    <w:p w:rsidR="00405E23" w:rsidRPr="00405E23" w:rsidRDefault="00405E23" w:rsidP="00405E23">
      <w:pPr>
        <w:spacing w:after="0"/>
      </w:pPr>
      <w:r w:rsidRPr="00405E23">
        <w:t>PSL’s monitoring, evaluation, reporting and information (MERI) framework involves:</w:t>
      </w:r>
    </w:p>
    <w:p w:rsidR="000F3824" w:rsidRPr="00405E23" w:rsidRDefault="00AF3722" w:rsidP="00405E23">
      <w:pPr>
        <w:numPr>
          <w:ilvl w:val="0"/>
          <w:numId w:val="7"/>
        </w:numPr>
        <w:spacing w:after="0"/>
      </w:pPr>
      <w:r w:rsidRPr="00405E23">
        <w:t>FTIRMN indicators</w:t>
      </w:r>
    </w:p>
    <w:p w:rsidR="000F3824" w:rsidRPr="00405E23" w:rsidRDefault="00AF3722" w:rsidP="00405E23">
      <w:pPr>
        <w:numPr>
          <w:ilvl w:val="0"/>
          <w:numId w:val="7"/>
        </w:numPr>
        <w:spacing w:after="0"/>
      </w:pPr>
      <w:r>
        <w:t>j</w:t>
      </w:r>
      <w:r w:rsidRPr="00405E23">
        <w:t>oint M&amp;E between the partners</w:t>
      </w:r>
    </w:p>
    <w:p w:rsidR="00405E23" w:rsidRDefault="00AF3722" w:rsidP="00405E23">
      <w:pPr>
        <w:numPr>
          <w:ilvl w:val="0"/>
          <w:numId w:val="7"/>
        </w:numPr>
        <w:spacing w:after="0"/>
      </w:pPr>
      <w:r>
        <w:t>p</w:t>
      </w:r>
      <w:r w:rsidRPr="00405E23">
        <w:t>articipation of stakeholders and community</w:t>
      </w:r>
    </w:p>
    <w:p w:rsidR="00951E17" w:rsidRDefault="007B049E" w:rsidP="007B049E">
      <w:pPr>
        <w:numPr>
          <w:ilvl w:val="0"/>
          <w:numId w:val="7"/>
        </w:numPr>
        <w:spacing w:after="0"/>
      </w:pPr>
      <w:proofErr w:type="gramStart"/>
      <w:r>
        <w:t>an</w:t>
      </w:r>
      <w:proofErr w:type="gramEnd"/>
      <w:r>
        <w:t xml:space="preserve"> annual review and planning process that bases future</w:t>
      </w:r>
      <w:r w:rsidRPr="007B049E">
        <w:t xml:space="preserve"> </w:t>
      </w:r>
      <w:r>
        <w:t>program direction on the latest results and learning.</w:t>
      </w:r>
    </w:p>
    <w:p w:rsidR="00AB5FB9" w:rsidRDefault="00AB5FB9" w:rsidP="00AB5FB9">
      <w:pPr>
        <w:spacing w:after="0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CAE" w:rsidTr="009F0CAE">
        <w:tc>
          <w:tcPr>
            <w:tcW w:w="9576" w:type="dxa"/>
          </w:tcPr>
          <w:p w:rsidR="009F0CAE" w:rsidRDefault="009F0CAE" w:rsidP="009F0CAE">
            <w:r>
              <w:t xml:space="preserve">For further information please contact: </w:t>
            </w:r>
          </w:p>
          <w:p w:rsidR="009F0CAE" w:rsidRDefault="009F0CAE" w:rsidP="009F0CAE">
            <w:r>
              <w:t xml:space="preserve">Dr. Heidi Brown, Coordination and Learning Unit Director, Phnom Penh </w:t>
            </w:r>
          </w:p>
          <w:p w:rsidR="009F0CAE" w:rsidRDefault="009F0CAE" w:rsidP="009F0CAE">
            <w:r>
              <w:t>092 994 772; heidi.brown@partneringsavelives.org</w:t>
            </w:r>
          </w:p>
          <w:p w:rsidR="009F0CAE" w:rsidRDefault="009F0CAE" w:rsidP="009F0CAE">
            <w:r>
              <w:t xml:space="preserve">Dr. Mao </w:t>
            </w:r>
            <w:proofErr w:type="spellStart"/>
            <w:r>
              <w:t>Guech</w:t>
            </w:r>
            <w:proofErr w:type="spellEnd"/>
            <w:r>
              <w:t xml:space="preserve"> </w:t>
            </w:r>
            <w:proofErr w:type="spellStart"/>
            <w:r>
              <w:t>Hourng</w:t>
            </w:r>
            <w:proofErr w:type="spellEnd"/>
            <w:r>
              <w:t xml:space="preserve">, Regional Manager, </w:t>
            </w:r>
            <w:proofErr w:type="spellStart"/>
            <w:r>
              <w:t>Kratie</w:t>
            </w:r>
            <w:proofErr w:type="spellEnd"/>
          </w:p>
          <w:p w:rsidR="009F0CAE" w:rsidRDefault="009F0CAE" w:rsidP="00951E17">
            <w:r>
              <w:t>099 775 833; guechhourng.mao@partneringsavelives.org</w:t>
            </w:r>
          </w:p>
        </w:tc>
      </w:tr>
    </w:tbl>
    <w:p w:rsidR="00951E17" w:rsidRDefault="00951E17" w:rsidP="00951E17">
      <w:pPr>
        <w:spacing w:after="0"/>
      </w:pPr>
    </w:p>
    <w:p w:rsidR="00951E17" w:rsidRDefault="00951E17" w:rsidP="00951E17">
      <w:pPr>
        <w:spacing w:after="0"/>
      </w:pPr>
    </w:p>
    <w:sectPr w:rsidR="00951E17" w:rsidSect="00D06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CB" w:rsidRDefault="000812CB" w:rsidP="000812CB">
      <w:pPr>
        <w:spacing w:after="0" w:line="240" w:lineRule="auto"/>
      </w:pPr>
      <w:r>
        <w:separator/>
      </w:r>
    </w:p>
  </w:endnote>
  <w:endnote w:type="continuationSeparator" w:id="0">
    <w:p w:rsidR="000812CB" w:rsidRDefault="000812CB" w:rsidP="0008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CB" w:rsidRDefault="000812CB" w:rsidP="000812CB">
      <w:pPr>
        <w:spacing w:after="0" w:line="240" w:lineRule="auto"/>
      </w:pPr>
      <w:r>
        <w:separator/>
      </w:r>
    </w:p>
  </w:footnote>
  <w:footnote w:type="continuationSeparator" w:id="0">
    <w:p w:rsidR="000812CB" w:rsidRDefault="000812CB" w:rsidP="0008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CB" w:rsidRDefault="00081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A27"/>
    <w:multiLevelType w:val="hybridMultilevel"/>
    <w:tmpl w:val="E688B71A"/>
    <w:lvl w:ilvl="0" w:tplc="153C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0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A8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24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A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6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C4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167044"/>
    <w:multiLevelType w:val="hybridMultilevel"/>
    <w:tmpl w:val="50621444"/>
    <w:lvl w:ilvl="0" w:tplc="D1600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2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0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E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83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0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C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E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23694F"/>
    <w:multiLevelType w:val="hybridMultilevel"/>
    <w:tmpl w:val="A034518C"/>
    <w:lvl w:ilvl="0" w:tplc="D438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C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2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5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82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4B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0B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0D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1E00F3"/>
    <w:multiLevelType w:val="hybridMultilevel"/>
    <w:tmpl w:val="660C3280"/>
    <w:lvl w:ilvl="0" w:tplc="B164C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8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D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8A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A8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E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43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09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591C2B"/>
    <w:multiLevelType w:val="hybridMultilevel"/>
    <w:tmpl w:val="8FA404BA"/>
    <w:lvl w:ilvl="0" w:tplc="C984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AB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8B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4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CA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02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EC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C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0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75C19"/>
    <w:multiLevelType w:val="hybridMultilevel"/>
    <w:tmpl w:val="C750E7BA"/>
    <w:lvl w:ilvl="0" w:tplc="8070D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E8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2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2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0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28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0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D61B05"/>
    <w:multiLevelType w:val="hybridMultilevel"/>
    <w:tmpl w:val="7EE0DDA0"/>
    <w:lvl w:ilvl="0" w:tplc="F504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F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01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A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47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0D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21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C0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3"/>
    <w:rsid w:val="00071AB1"/>
    <w:rsid w:val="0007694C"/>
    <w:rsid w:val="000812CB"/>
    <w:rsid w:val="000F3824"/>
    <w:rsid w:val="0011430B"/>
    <w:rsid w:val="001E03A5"/>
    <w:rsid w:val="001E673C"/>
    <w:rsid w:val="002539AE"/>
    <w:rsid w:val="00294776"/>
    <w:rsid w:val="00313BDF"/>
    <w:rsid w:val="00343BA6"/>
    <w:rsid w:val="00365165"/>
    <w:rsid w:val="00405E23"/>
    <w:rsid w:val="0041460A"/>
    <w:rsid w:val="00442ECA"/>
    <w:rsid w:val="004561BC"/>
    <w:rsid w:val="004B12A0"/>
    <w:rsid w:val="004E39C5"/>
    <w:rsid w:val="0050319C"/>
    <w:rsid w:val="005105D1"/>
    <w:rsid w:val="005B321F"/>
    <w:rsid w:val="006843FD"/>
    <w:rsid w:val="006E3A28"/>
    <w:rsid w:val="006F314A"/>
    <w:rsid w:val="00772CD7"/>
    <w:rsid w:val="007B049E"/>
    <w:rsid w:val="008A6F18"/>
    <w:rsid w:val="008C2D83"/>
    <w:rsid w:val="00901293"/>
    <w:rsid w:val="00945818"/>
    <w:rsid w:val="00951E17"/>
    <w:rsid w:val="00993EB6"/>
    <w:rsid w:val="009F0CAE"/>
    <w:rsid w:val="00A4651F"/>
    <w:rsid w:val="00A46B9E"/>
    <w:rsid w:val="00A67FFD"/>
    <w:rsid w:val="00A86B1E"/>
    <w:rsid w:val="00AB5FB9"/>
    <w:rsid w:val="00AF3722"/>
    <w:rsid w:val="00B326A6"/>
    <w:rsid w:val="00CB225C"/>
    <w:rsid w:val="00D04FF2"/>
    <w:rsid w:val="00D06554"/>
    <w:rsid w:val="00D10D23"/>
    <w:rsid w:val="00D130A4"/>
    <w:rsid w:val="00DF1728"/>
    <w:rsid w:val="00E10ACF"/>
    <w:rsid w:val="00E74F83"/>
    <w:rsid w:val="00E75C25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C25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C25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C25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C25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25"/>
    <w:rPr>
      <w:rFonts w:ascii="Tahoma" w:hAnsi="Tahoma" w:cs="Tahoma"/>
      <w:sz w:val="16"/>
      <w:szCs w:val="26"/>
    </w:rPr>
  </w:style>
  <w:style w:type="table" w:styleId="TableGrid">
    <w:name w:val="Table Grid"/>
    <w:basedOn w:val="TableNormal"/>
    <w:uiPriority w:val="59"/>
    <w:rsid w:val="009F0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CB"/>
  </w:style>
  <w:style w:type="paragraph" w:styleId="Footer">
    <w:name w:val="footer"/>
    <w:basedOn w:val="Normal"/>
    <w:link w:val="FooterChar"/>
    <w:uiPriority w:val="99"/>
    <w:unhideWhenUsed/>
    <w:rsid w:val="0008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C25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C25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C25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C25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25"/>
    <w:rPr>
      <w:rFonts w:ascii="Tahoma" w:hAnsi="Tahoma" w:cs="Tahoma"/>
      <w:sz w:val="16"/>
      <w:szCs w:val="26"/>
    </w:rPr>
  </w:style>
  <w:style w:type="table" w:styleId="TableGrid">
    <w:name w:val="Table Grid"/>
    <w:basedOn w:val="TableNormal"/>
    <w:uiPriority w:val="59"/>
    <w:rsid w:val="009F0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CB"/>
  </w:style>
  <w:style w:type="paragraph" w:styleId="Footer">
    <w:name w:val="footer"/>
    <w:basedOn w:val="Normal"/>
    <w:link w:val="FooterChar"/>
    <w:uiPriority w:val="99"/>
    <w:unhideWhenUsed/>
    <w:rsid w:val="0008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ABF6-BD87-40A1-BDD3-776B9E82FA0D}"/>
</file>

<file path=customXml/itemProps2.xml><?xml version="1.0" encoding="utf-8"?>
<ds:datastoreItem xmlns:ds="http://schemas.openxmlformats.org/officeDocument/2006/customXml" ds:itemID="{2457310D-AE49-4A28-B08C-D4783C1E1183}"/>
</file>

<file path=customXml/itemProps3.xml><?xml version="1.0" encoding="utf-8"?>
<ds:datastoreItem xmlns:ds="http://schemas.openxmlformats.org/officeDocument/2006/customXml" ds:itemID="{625DF4F7-DEF4-4E89-85D1-00F4D03CCEF3}"/>
</file>

<file path=customXml/itemProps4.xml><?xml version="1.0" encoding="utf-8"?>
<ds:datastoreItem xmlns:ds="http://schemas.openxmlformats.org/officeDocument/2006/customXml" ds:itemID="{09F4E466-CE24-4D61-8A25-9BE81C44559F}"/>
</file>

<file path=docProps/app.xml><?xml version="1.0" encoding="utf-8"?>
<Properties xmlns="http://schemas.openxmlformats.org/officeDocument/2006/extended-properties" xmlns:vt="http://schemas.openxmlformats.org/officeDocument/2006/docPropsVTypes">
  <Template>9D0CE783</Template>
  <TotalTime>0</TotalTime>
  <Pages>2</Pages>
  <Words>435</Words>
  <Characters>2384</Characters>
  <Application>Microsoft Office Word</Application>
  <DocSecurity>0</DocSecurity>
  <Lines>66</Lines>
  <Paragraphs>33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2016-06-10T00:22:00Z</dcterms:created>
  <dcterms:modified xsi:type="dcterms:W3CDTF">2016-06-10T00:22:00Z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e7cff150-4242-4a3f-b65a-7f54f8c8b53d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1041000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