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59146A" w:rsidP="005B5769">
      <w:pPr>
        <w:pStyle w:val="ListBullet"/>
        <w:tabs>
          <w:tab w:val="clear" w:pos="284"/>
        </w:tabs>
      </w:pPr>
      <w:bookmarkStart w:id="0" w:name="_GoBack"/>
      <w:bookmarkEnd w:id="0"/>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D7713F" w:rsidRPr="00D7713F" w:rsidRDefault="00A56F14" w:rsidP="002A51CA">
      <w:pPr>
        <w:pStyle w:val="Title"/>
        <w:spacing w:after="120" w:line="600" w:lineRule="exact"/>
        <w:rPr>
          <w:spacing w:val="-20"/>
          <w:sz w:val="60"/>
          <w:szCs w:val="60"/>
        </w:rPr>
      </w:pPr>
      <w:r w:rsidRPr="00D7713F">
        <w:rPr>
          <w:noProof/>
          <w:spacing w:val="-20"/>
          <w:sz w:val="60"/>
          <w:szCs w:val="60"/>
          <w:lang w:val="en-AU" w:eastAsia="en-AU"/>
        </w:rPr>
        <w:drawing>
          <wp:anchor distT="0" distB="0" distL="114300" distR="114300" simplePos="0" relativeHeight="251664384" behindDoc="1" locked="1" layoutInCell="1" allowOverlap="1" wp14:anchorId="46FEF9E0" wp14:editId="3EC4F139">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D7713F">
        <w:rPr>
          <w:noProof/>
          <w:spacing w:val="-20"/>
          <w:sz w:val="60"/>
          <w:szCs w:val="60"/>
          <w:lang w:val="en-AU" w:eastAsia="en-AU"/>
        </w:rPr>
        <w:drawing>
          <wp:anchor distT="0" distB="0" distL="114300" distR="114300" simplePos="0" relativeHeight="251663360" behindDoc="1" locked="1" layoutInCell="1" allowOverlap="1" wp14:anchorId="2466F24C" wp14:editId="1C6A183E">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D7713F">
        <w:rPr>
          <w:spacing w:val="-20"/>
          <w:sz w:val="60"/>
          <w:szCs w:val="60"/>
        </w:rPr>
        <w:t xml:space="preserve">Aid Program Performance Report </w:t>
      </w:r>
    </w:p>
    <w:p w:rsidR="00C6626C" w:rsidRPr="00D7713F" w:rsidRDefault="00C6626C" w:rsidP="002A51CA">
      <w:pPr>
        <w:pStyle w:val="Title"/>
        <w:spacing w:after="120" w:line="600" w:lineRule="exact"/>
        <w:rPr>
          <w:spacing w:val="-20"/>
          <w:sz w:val="60"/>
          <w:szCs w:val="60"/>
        </w:rPr>
      </w:pPr>
      <w:r w:rsidRPr="00D7713F">
        <w:rPr>
          <w:spacing w:val="-20"/>
          <w:sz w:val="60"/>
          <w:szCs w:val="60"/>
        </w:rPr>
        <w:t>201</w:t>
      </w:r>
      <w:r w:rsidR="00D7713F">
        <w:rPr>
          <w:spacing w:val="-20"/>
          <w:sz w:val="60"/>
          <w:szCs w:val="60"/>
        </w:rPr>
        <w:t>8-19</w:t>
      </w:r>
    </w:p>
    <w:p w:rsidR="00C6626C" w:rsidRDefault="0097700F" w:rsidP="00A56F14">
      <w:r>
        <w:rPr>
          <w:sz w:val="40"/>
        </w:rPr>
        <w:t xml:space="preserve">Cambodia </w:t>
      </w:r>
    </w:p>
    <w:p w:rsidR="00C6626C" w:rsidRPr="002A51CA" w:rsidRDefault="00C6626C" w:rsidP="00A56F14">
      <w:pPr>
        <w:rPr>
          <w:sz w:val="24"/>
        </w:rPr>
      </w:pPr>
      <w:r w:rsidRPr="002A51CA">
        <w:rPr>
          <w:sz w:val="24"/>
        </w:rPr>
        <w:t>September 201</w:t>
      </w:r>
      <w:r w:rsidR="00D7713F">
        <w:rPr>
          <w:sz w:val="24"/>
        </w:rPr>
        <w:t>9</w:t>
      </w:r>
    </w:p>
    <w:p w:rsidR="00C6626C" w:rsidRDefault="00C6626C"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rsidR="00D7713F" w:rsidRPr="00BB648A" w:rsidRDefault="0097700F" w:rsidP="00D7713F">
      <w:pPr>
        <w:pStyle w:val="Title"/>
        <w:spacing w:before="120" w:after="240" w:line="300" w:lineRule="exact"/>
        <w:contextualSpacing w:val="0"/>
        <w:rPr>
          <w:szCs w:val="38"/>
        </w:rPr>
      </w:pPr>
      <w:r w:rsidRPr="0097700F">
        <w:rPr>
          <w:szCs w:val="38"/>
        </w:rPr>
        <w:lastRenderedPageBreak/>
        <w:t>CAMBODIA</w:t>
      </w:r>
      <w:r w:rsidR="00D7713F" w:rsidRPr="0097700F">
        <w:rPr>
          <w:szCs w:val="38"/>
        </w:rPr>
        <w:t xml:space="preserve"> </w:t>
      </w:r>
      <w:r w:rsidR="00D7713F" w:rsidRPr="00BB648A">
        <w:rPr>
          <w:szCs w:val="38"/>
        </w:rPr>
        <w:t>Aid Program Performance Information 201</w:t>
      </w:r>
      <w:r w:rsidR="00F46D79">
        <w:rPr>
          <w:szCs w:val="38"/>
        </w:rPr>
        <w:t>8-19</w:t>
      </w:r>
    </w:p>
    <w:p w:rsidR="00C6626C" w:rsidRPr="00C61187" w:rsidRDefault="00C6626C" w:rsidP="00D7713F">
      <w:pPr>
        <w:pStyle w:val="ListBullet"/>
        <w:tabs>
          <w:tab w:val="clear" w:pos="284"/>
        </w:tabs>
        <w:spacing w:before="360" w:line="300" w:lineRule="exact"/>
        <w:rPr>
          <w:kern w:val="28"/>
        </w:rPr>
      </w:pPr>
      <w:r w:rsidRPr="002A51CA">
        <w:rPr>
          <w:rFonts w:asciiTheme="majorHAnsi" w:eastAsiaTheme="majorEastAsia" w:hAnsiTheme="majorHAnsi" w:cstheme="majorBidi"/>
          <w:caps/>
          <w:color w:val="495965" w:themeColor="text2"/>
          <w:sz w:val="38"/>
          <w:szCs w:val="26"/>
          <w:lang w:val="en-GB" w:eastAsia="en-US"/>
        </w:rPr>
        <w:t>Key Messages</w:t>
      </w:r>
    </w:p>
    <w:p w:rsidR="001C7BD6" w:rsidRDefault="00D7713F" w:rsidP="001E1679">
      <w:pPr>
        <w:spacing w:after="120"/>
        <w:rPr>
          <w:rFonts w:cstheme="minorHAnsi"/>
          <w:color w:val="auto"/>
        </w:rPr>
      </w:pPr>
      <w:r w:rsidRPr="001A7556">
        <w:rPr>
          <w:rFonts w:cstheme="minorHAnsi"/>
          <w:color w:val="auto"/>
        </w:rPr>
        <w:t xml:space="preserve">This report summarises the performance of Australia’s aid program in </w:t>
      </w:r>
      <w:r w:rsidR="00EC07BA" w:rsidRPr="001A7556">
        <w:rPr>
          <w:rFonts w:cstheme="minorHAnsi"/>
          <w:color w:val="auto"/>
        </w:rPr>
        <w:t xml:space="preserve">Cambodia </w:t>
      </w:r>
      <w:r w:rsidRPr="001A7556">
        <w:rPr>
          <w:rFonts w:cstheme="minorHAnsi"/>
          <w:color w:val="auto"/>
        </w:rPr>
        <w:t xml:space="preserve">from July 2018 to June 2019 against the </w:t>
      </w:r>
      <w:r w:rsidR="00EC07BA" w:rsidRPr="001A7556">
        <w:rPr>
          <w:rFonts w:cstheme="minorHAnsi"/>
          <w:color w:val="auto"/>
        </w:rPr>
        <w:t>Cambodia</w:t>
      </w:r>
      <w:r w:rsidRPr="001A7556">
        <w:rPr>
          <w:rFonts w:cstheme="minorHAnsi"/>
          <w:color w:val="auto"/>
        </w:rPr>
        <w:t xml:space="preserve"> Aid Investment Plan (AIP) </w:t>
      </w:r>
      <w:r w:rsidR="00CC7C6C" w:rsidRPr="001A7556">
        <w:rPr>
          <w:rFonts w:cstheme="minorHAnsi"/>
          <w:color w:val="auto"/>
        </w:rPr>
        <w:t>2015-2019</w:t>
      </w:r>
      <w:r w:rsidR="00480159" w:rsidRPr="001A7556">
        <w:rPr>
          <w:rFonts w:cstheme="minorHAnsi"/>
          <w:color w:val="auto"/>
        </w:rPr>
        <w:t>.</w:t>
      </w:r>
    </w:p>
    <w:p w:rsidR="001E22D4" w:rsidRPr="00BD3A24" w:rsidRDefault="009B2E1B" w:rsidP="007B7991">
      <w:pPr>
        <w:rPr>
          <w:rFonts w:cstheme="minorHAnsi"/>
          <w:color w:val="auto"/>
        </w:rPr>
      </w:pPr>
      <w:r>
        <w:rPr>
          <w:rFonts w:cstheme="minorHAnsi"/>
          <w:color w:val="auto"/>
        </w:rPr>
        <w:t xml:space="preserve">Australia remained an effective </w:t>
      </w:r>
      <w:r w:rsidRPr="00A8320B">
        <w:rPr>
          <w:rFonts w:cstheme="minorHAnsi"/>
          <w:color w:val="auto"/>
        </w:rPr>
        <w:t>and valued partner in address</w:t>
      </w:r>
      <w:r w:rsidR="00D6620A">
        <w:rPr>
          <w:rFonts w:cstheme="minorHAnsi"/>
          <w:color w:val="auto"/>
        </w:rPr>
        <w:t>ing</w:t>
      </w:r>
      <w:r w:rsidRPr="00A8320B">
        <w:rPr>
          <w:rFonts w:cstheme="minorHAnsi"/>
          <w:color w:val="auto"/>
        </w:rPr>
        <w:t xml:space="preserve"> development challenges</w:t>
      </w:r>
      <w:r w:rsidR="00D6620A">
        <w:rPr>
          <w:rFonts w:cstheme="minorHAnsi"/>
          <w:color w:val="auto"/>
        </w:rPr>
        <w:t xml:space="preserve"> affecting the people of Cambodia</w:t>
      </w:r>
      <w:r w:rsidRPr="00A8320B">
        <w:rPr>
          <w:rFonts w:cstheme="minorHAnsi"/>
          <w:color w:val="auto"/>
        </w:rPr>
        <w:t xml:space="preserve">. </w:t>
      </w:r>
      <w:r w:rsidR="001E22D4" w:rsidRPr="00A8320B">
        <w:rPr>
          <w:rFonts w:cstheme="minorHAnsi"/>
          <w:color w:val="auto"/>
        </w:rPr>
        <w:t xml:space="preserve">The Australian Government provided </w:t>
      </w:r>
      <w:r w:rsidR="00C517C7">
        <w:rPr>
          <w:rFonts w:cstheme="minorHAnsi"/>
          <w:color w:val="auto"/>
        </w:rPr>
        <w:t xml:space="preserve">an </w:t>
      </w:r>
      <w:r w:rsidR="00C517C7" w:rsidRPr="00C517C7">
        <w:rPr>
          <w:rFonts w:cstheme="minorHAnsi"/>
          <w:color w:val="auto"/>
        </w:rPr>
        <w:t xml:space="preserve">estimated </w:t>
      </w:r>
      <w:r w:rsidR="001E22D4" w:rsidRPr="00C517C7">
        <w:rPr>
          <w:rFonts w:cstheme="minorHAnsi"/>
          <w:color w:val="auto"/>
        </w:rPr>
        <w:t>$</w:t>
      </w:r>
      <w:r w:rsidR="00A8320B" w:rsidRPr="00C517C7">
        <w:rPr>
          <w:rFonts w:cstheme="minorHAnsi"/>
          <w:color w:val="auto"/>
        </w:rPr>
        <w:t>79.</w:t>
      </w:r>
      <w:r w:rsidR="00C517C7" w:rsidRPr="00C517C7">
        <w:rPr>
          <w:rFonts w:cstheme="minorHAnsi"/>
          <w:color w:val="auto"/>
        </w:rPr>
        <w:t>3</w:t>
      </w:r>
      <w:r w:rsidR="001E22D4" w:rsidRPr="00C517C7">
        <w:rPr>
          <w:rFonts w:cstheme="minorHAnsi"/>
          <w:color w:val="auto"/>
        </w:rPr>
        <w:t xml:space="preserve"> </w:t>
      </w:r>
      <w:r w:rsidR="00A8320B" w:rsidRPr="00C517C7">
        <w:rPr>
          <w:rFonts w:cstheme="minorHAnsi"/>
          <w:color w:val="auto"/>
        </w:rPr>
        <w:t xml:space="preserve">million </w:t>
      </w:r>
      <w:r w:rsidR="001E22D4" w:rsidRPr="00C517C7">
        <w:rPr>
          <w:rFonts w:cstheme="minorHAnsi"/>
          <w:color w:val="auto"/>
        </w:rPr>
        <w:t xml:space="preserve">in 2018-19 to </w:t>
      </w:r>
      <w:r w:rsidR="00E26D57" w:rsidRPr="00C517C7">
        <w:rPr>
          <w:rFonts w:cstheme="minorHAnsi"/>
          <w:color w:val="auto"/>
        </w:rPr>
        <w:t>help improve the lives of Cambodians</w:t>
      </w:r>
      <w:r w:rsidR="00101C91" w:rsidRPr="00C517C7">
        <w:rPr>
          <w:rFonts w:cstheme="minorHAnsi"/>
          <w:color w:val="auto"/>
        </w:rPr>
        <w:t>, through</w:t>
      </w:r>
      <w:r w:rsidR="001E22D4" w:rsidRPr="00C517C7">
        <w:rPr>
          <w:rFonts w:cstheme="minorHAnsi"/>
          <w:color w:val="auto"/>
        </w:rPr>
        <w:t xml:space="preserve"> </w:t>
      </w:r>
      <w:r w:rsidR="00101C91" w:rsidRPr="00C517C7">
        <w:rPr>
          <w:rFonts w:cstheme="minorHAnsi"/>
          <w:color w:val="auto"/>
        </w:rPr>
        <w:t>support</w:t>
      </w:r>
      <w:r w:rsidR="00E26D57" w:rsidRPr="00C517C7">
        <w:rPr>
          <w:rFonts w:cstheme="minorHAnsi"/>
          <w:color w:val="auto"/>
        </w:rPr>
        <w:t xml:space="preserve"> to reduce poverty </w:t>
      </w:r>
      <w:r w:rsidR="00101C91" w:rsidRPr="00C517C7">
        <w:rPr>
          <w:rFonts w:cstheme="minorHAnsi"/>
          <w:color w:val="auto"/>
        </w:rPr>
        <w:t xml:space="preserve">and </w:t>
      </w:r>
      <w:r w:rsidR="00E26D57" w:rsidRPr="00C517C7">
        <w:rPr>
          <w:rFonts w:cstheme="minorHAnsi"/>
          <w:color w:val="auto"/>
        </w:rPr>
        <w:t xml:space="preserve">address </w:t>
      </w:r>
      <w:r w:rsidR="00101C91" w:rsidRPr="00C517C7">
        <w:rPr>
          <w:rFonts w:cstheme="minorHAnsi"/>
          <w:color w:val="auto"/>
        </w:rPr>
        <w:t>the</w:t>
      </w:r>
      <w:r w:rsidR="00101C91" w:rsidRPr="00101C91">
        <w:rPr>
          <w:rFonts w:cstheme="minorHAnsi"/>
          <w:color w:val="auto"/>
        </w:rPr>
        <w:t xml:space="preserve"> constraints to economic growth. </w:t>
      </w:r>
      <w:r w:rsidR="001E22D4">
        <w:rPr>
          <w:rFonts w:cstheme="minorHAnsi"/>
          <w:color w:val="auto"/>
        </w:rPr>
        <w:t xml:space="preserve">Good </w:t>
      </w:r>
      <w:r w:rsidR="00BD3A24">
        <w:rPr>
          <w:rFonts w:cstheme="minorHAnsi"/>
          <w:color w:val="auto"/>
        </w:rPr>
        <w:t>progress was achieved towards the</w:t>
      </w:r>
      <w:r w:rsidR="00DF7E34">
        <w:rPr>
          <w:rFonts w:cstheme="minorHAnsi"/>
          <w:color w:val="auto"/>
        </w:rPr>
        <w:t xml:space="preserve"> AIP</w:t>
      </w:r>
      <w:r w:rsidR="00BD3A24">
        <w:rPr>
          <w:rFonts w:cstheme="minorHAnsi"/>
          <w:color w:val="auto"/>
        </w:rPr>
        <w:t xml:space="preserve"> </w:t>
      </w:r>
      <w:r w:rsidR="001E22D4">
        <w:rPr>
          <w:rFonts w:cstheme="minorHAnsi"/>
          <w:color w:val="auto"/>
        </w:rPr>
        <w:t xml:space="preserve">objectives of improving access to essential infrastructure, increasing agricultural </w:t>
      </w:r>
      <w:r w:rsidR="00BD3A24">
        <w:rPr>
          <w:rFonts w:cstheme="minorHAnsi"/>
          <w:color w:val="auto"/>
        </w:rPr>
        <w:t>productivity and farmer incomes, and</w:t>
      </w:r>
      <w:r w:rsidR="001E22D4">
        <w:rPr>
          <w:rFonts w:cstheme="minorHAnsi"/>
          <w:color w:val="auto"/>
        </w:rPr>
        <w:t xml:space="preserve"> better health and education. </w:t>
      </w:r>
      <w:r w:rsidR="00A00864">
        <w:rPr>
          <w:rFonts w:cstheme="minorHAnsi"/>
          <w:color w:val="auto"/>
        </w:rPr>
        <w:t>Many program targets were exceeded.</w:t>
      </w:r>
      <w:r w:rsidR="001E22D4">
        <w:rPr>
          <w:rFonts w:cstheme="minorHAnsi"/>
          <w:color w:val="auto"/>
        </w:rPr>
        <w:t xml:space="preserve"> </w:t>
      </w:r>
    </w:p>
    <w:p w:rsidR="00BD3A24" w:rsidRPr="00BD3A24" w:rsidRDefault="00BD3A24" w:rsidP="00BD3A24">
      <w:pPr>
        <w:rPr>
          <w:rFonts w:cstheme="minorHAnsi"/>
          <w:color w:val="auto"/>
        </w:rPr>
      </w:pPr>
      <w:r w:rsidRPr="00BD3A24">
        <w:rPr>
          <w:rFonts w:cstheme="minorHAnsi"/>
          <w:color w:val="auto"/>
        </w:rPr>
        <w:t>High</w:t>
      </w:r>
      <w:r>
        <w:rPr>
          <w:rFonts w:cstheme="minorHAnsi"/>
          <w:color w:val="auto"/>
        </w:rPr>
        <w:t>light results delivered in 2018-19 with Australian support include:</w:t>
      </w:r>
    </w:p>
    <w:p w:rsidR="00836E24" w:rsidRPr="001A7556" w:rsidRDefault="00836E24" w:rsidP="00836E24">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Over 2.8 million health services were provided free to</w:t>
      </w:r>
      <w:r w:rsidRPr="001A7556">
        <w:rPr>
          <w:rFonts w:asciiTheme="minorHAnsi" w:hAnsiTheme="minorHAnsi" w:cstheme="minorHAnsi"/>
          <w:sz w:val="22"/>
          <w:szCs w:val="22"/>
        </w:rPr>
        <w:t xml:space="preserve"> poor Cambodians</w:t>
      </w:r>
    </w:p>
    <w:p w:rsidR="00BD3A24" w:rsidRDefault="00836E24" w:rsidP="00836E24">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 xml:space="preserve">New private </w:t>
      </w:r>
      <w:r w:rsidR="00D6620A">
        <w:rPr>
          <w:rFonts w:asciiTheme="minorHAnsi" w:hAnsiTheme="minorHAnsi" w:cstheme="minorHAnsi"/>
          <w:sz w:val="22"/>
          <w:szCs w:val="22"/>
        </w:rPr>
        <w:t xml:space="preserve">water and </w:t>
      </w:r>
      <w:r>
        <w:rPr>
          <w:rFonts w:asciiTheme="minorHAnsi" w:hAnsiTheme="minorHAnsi" w:cstheme="minorHAnsi"/>
          <w:sz w:val="22"/>
          <w:szCs w:val="22"/>
        </w:rPr>
        <w:t xml:space="preserve">electricity networks were established to benefit </w:t>
      </w:r>
      <w:r w:rsidR="00BD3A24">
        <w:rPr>
          <w:rFonts w:asciiTheme="minorHAnsi" w:hAnsiTheme="minorHAnsi" w:cstheme="minorHAnsi"/>
          <w:sz w:val="22"/>
          <w:szCs w:val="22"/>
        </w:rPr>
        <w:t xml:space="preserve">382,500 </w:t>
      </w:r>
      <w:r>
        <w:rPr>
          <w:rFonts w:asciiTheme="minorHAnsi" w:hAnsiTheme="minorHAnsi" w:cstheme="minorHAnsi"/>
          <w:sz w:val="22"/>
          <w:szCs w:val="22"/>
        </w:rPr>
        <w:t>Cambodians</w:t>
      </w:r>
    </w:p>
    <w:p w:rsidR="00BD3A24" w:rsidRDefault="00BD3A24" w:rsidP="00836E24">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12.47 square kilometres of land w</w:t>
      </w:r>
      <w:r w:rsidR="00101C91">
        <w:rPr>
          <w:rFonts w:asciiTheme="minorHAnsi" w:hAnsiTheme="minorHAnsi" w:cstheme="minorHAnsi"/>
          <w:sz w:val="22"/>
          <w:szCs w:val="22"/>
        </w:rPr>
        <w:t>ere cleared of landmines</w:t>
      </w:r>
      <w:r w:rsidR="00833F36" w:rsidRPr="00833F36">
        <w:rPr>
          <w:rFonts w:asciiTheme="minorHAnsi" w:hAnsiTheme="minorHAnsi" w:cstheme="minorHAnsi"/>
          <w:sz w:val="22"/>
          <w:szCs w:val="22"/>
        </w:rPr>
        <w:t xml:space="preserve"> </w:t>
      </w:r>
      <w:r w:rsidR="00833F36">
        <w:rPr>
          <w:rFonts w:asciiTheme="minorHAnsi" w:hAnsiTheme="minorHAnsi" w:cstheme="minorHAnsi"/>
          <w:sz w:val="22"/>
          <w:szCs w:val="22"/>
        </w:rPr>
        <w:t>and released for productive use</w:t>
      </w:r>
    </w:p>
    <w:p w:rsidR="00836E24" w:rsidRDefault="00836E24" w:rsidP="00836E24">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Over 25,000 households improved their farming practices</w:t>
      </w:r>
    </w:p>
    <w:p w:rsidR="00BD3A24" w:rsidRDefault="00BD3A24" w:rsidP="00836E24">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 xml:space="preserve">123,796 tonnes of additional </w:t>
      </w:r>
      <w:r w:rsidR="00836E24">
        <w:rPr>
          <w:rFonts w:asciiTheme="minorHAnsi" w:hAnsiTheme="minorHAnsi" w:cstheme="minorHAnsi"/>
          <w:sz w:val="22"/>
          <w:szCs w:val="22"/>
        </w:rPr>
        <w:t xml:space="preserve">paddy </w:t>
      </w:r>
      <w:r w:rsidR="00D6620A">
        <w:rPr>
          <w:rFonts w:asciiTheme="minorHAnsi" w:hAnsiTheme="minorHAnsi" w:cstheme="minorHAnsi"/>
          <w:sz w:val="22"/>
          <w:szCs w:val="22"/>
        </w:rPr>
        <w:t xml:space="preserve">rice </w:t>
      </w:r>
      <w:r w:rsidR="00836E24">
        <w:rPr>
          <w:rFonts w:asciiTheme="minorHAnsi" w:hAnsiTheme="minorHAnsi" w:cstheme="minorHAnsi"/>
          <w:sz w:val="22"/>
          <w:szCs w:val="22"/>
        </w:rPr>
        <w:t>were produced</w:t>
      </w:r>
    </w:p>
    <w:p w:rsidR="00911C2B" w:rsidRDefault="00911C2B" w:rsidP="00836E24">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 xml:space="preserve">Women </w:t>
      </w:r>
      <w:r w:rsidR="00111F5A">
        <w:rPr>
          <w:rFonts w:asciiTheme="minorHAnsi" w:hAnsiTheme="minorHAnsi" w:cstheme="minorHAnsi"/>
          <w:sz w:val="22"/>
          <w:szCs w:val="22"/>
        </w:rPr>
        <w:t>comprised 32 percent of the unskilled</w:t>
      </w:r>
      <w:r>
        <w:rPr>
          <w:rFonts w:asciiTheme="minorHAnsi" w:hAnsiTheme="minorHAnsi" w:cstheme="minorHAnsi"/>
          <w:sz w:val="22"/>
          <w:szCs w:val="22"/>
        </w:rPr>
        <w:t xml:space="preserve"> </w:t>
      </w:r>
      <w:r w:rsidR="00AE756E">
        <w:rPr>
          <w:rFonts w:asciiTheme="minorHAnsi" w:hAnsiTheme="minorHAnsi" w:cstheme="minorHAnsi"/>
          <w:sz w:val="22"/>
          <w:szCs w:val="22"/>
        </w:rPr>
        <w:t>road construction</w:t>
      </w:r>
      <w:r>
        <w:rPr>
          <w:rFonts w:asciiTheme="minorHAnsi" w:hAnsiTheme="minorHAnsi" w:cstheme="minorHAnsi"/>
          <w:sz w:val="22"/>
          <w:szCs w:val="22"/>
        </w:rPr>
        <w:t xml:space="preserve"> labour force </w:t>
      </w:r>
    </w:p>
    <w:p w:rsidR="00836E24" w:rsidRDefault="00836E24" w:rsidP="00836E24">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48 students (including 23 women) were awarded Australia Awards scholarships</w:t>
      </w:r>
    </w:p>
    <w:p w:rsidR="00836E24" w:rsidRPr="001A7556" w:rsidRDefault="00D6620A" w:rsidP="00836E24">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 xml:space="preserve">Approximately </w:t>
      </w:r>
      <w:r w:rsidR="00836E24">
        <w:rPr>
          <w:rFonts w:asciiTheme="minorHAnsi" w:hAnsiTheme="minorHAnsi" w:cstheme="minorHAnsi"/>
          <w:sz w:val="22"/>
          <w:szCs w:val="22"/>
        </w:rPr>
        <w:t>$</w:t>
      </w:r>
      <w:r>
        <w:rPr>
          <w:rFonts w:asciiTheme="minorHAnsi" w:hAnsiTheme="minorHAnsi" w:cstheme="minorHAnsi"/>
          <w:sz w:val="22"/>
          <w:szCs w:val="22"/>
        </w:rPr>
        <w:t>13</w:t>
      </w:r>
      <w:r w:rsidR="00836E24">
        <w:rPr>
          <w:rFonts w:asciiTheme="minorHAnsi" w:hAnsiTheme="minorHAnsi" w:cstheme="minorHAnsi"/>
          <w:sz w:val="22"/>
          <w:szCs w:val="22"/>
        </w:rPr>
        <w:t xml:space="preserve"> million in private investment was leveraged for development purposes</w:t>
      </w:r>
      <w:r w:rsidR="00E26D57">
        <w:rPr>
          <w:rFonts w:asciiTheme="minorHAnsi" w:hAnsiTheme="minorHAnsi" w:cstheme="minorHAnsi"/>
          <w:sz w:val="22"/>
          <w:szCs w:val="22"/>
        </w:rPr>
        <w:t xml:space="preserve">. </w:t>
      </w:r>
      <w:r w:rsidR="00836E24">
        <w:rPr>
          <w:rFonts w:asciiTheme="minorHAnsi" w:hAnsiTheme="minorHAnsi" w:cstheme="minorHAnsi"/>
          <w:sz w:val="22"/>
          <w:szCs w:val="22"/>
        </w:rPr>
        <w:t xml:space="preserve"> </w:t>
      </w:r>
    </w:p>
    <w:p w:rsidR="00A42FF5" w:rsidRPr="00A42FF5" w:rsidRDefault="00A42FF5" w:rsidP="00A42FF5">
      <w:pPr>
        <w:rPr>
          <w:rFonts w:cstheme="minorHAnsi"/>
          <w:color w:val="auto"/>
        </w:rPr>
      </w:pPr>
      <w:r w:rsidRPr="00A42FF5">
        <w:rPr>
          <w:rFonts w:cstheme="minorHAnsi"/>
          <w:color w:val="auto"/>
        </w:rPr>
        <w:t>Australia continued its longstanding and widely recognised commitment to the promotion of gender equality in Cambodia</w:t>
      </w:r>
      <w:r w:rsidR="00D83992">
        <w:rPr>
          <w:rFonts w:cstheme="minorHAnsi"/>
          <w:color w:val="auto"/>
        </w:rPr>
        <w:t>. This included</w:t>
      </w:r>
      <w:r w:rsidRPr="00A42FF5">
        <w:rPr>
          <w:rFonts w:cstheme="minorHAnsi"/>
          <w:color w:val="auto"/>
        </w:rPr>
        <w:t xml:space="preserve"> support </w:t>
      </w:r>
      <w:r w:rsidR="00E26D57">
        <w:rPr>
          <w:rFonts w:cstheme="minorHAnsi"/>
          <w:color w:val="auto"/>
        </w:rPr>
        <w:t xml:space="preserve">targeting </w:t>
      </w:r>
      <w:r w:rsidRPr="00A42FF5">
        <w:rPr>
          <w:rFonts w:cstheme="minorHAnsi"/>
          <w:color w:val="auto"/>
        </w:rPr>
        <w:t xml:space="preserve">gender-based violence, women in leadership, and </w:t>
      </w:r>
      <w:r>
        <w:rPr>
          <w:rFonts w:cstheme="minorHAnsi"/>
          <w:color w:val="auto"/>
        </w:rPr>
        <w:t>sexual and reproductive and maternal health services</w:t>
      </w:r>
      <w:r w:rsidRPr="00A42FF5">
        <w:rPr>
          <w:rFonts w:cstheme="minorHAnsi"/>
          <w:color w:val="auto"/>
        </w:rPr>
        <w:t xml:space="preserve">. </w:t>
      </w:r>
    </w:p>
    <w:p w:rsidR="00591108" w:rsidRDefault="00591108" w:rsidP="002A5FCB">
      <w:pPr>
        <w:rPr>
          <w:rFonts w:cstheme="minorHAnsi"/>
          <w:color w:val="auto"/>
        </w:rPr>
      </w:pPr>
      <w:r>
        <w:rPr>
          <w:rFonts w:cstheme="minorHAnsi"/>
          <w:color w:val="auto"/>
        </w:rPr>
        <w:t xml:space="preserve">With the </w:t>
      </w:r>
      <w:r w:rsidR="00E26D57">
        <w:rPr>
          <w:rFonts w:cstheme="minorHAnsi"/>
          <w:color w:val="auto"/>
        </w:rPr>
        <w:t xml:space="preserve">2019 </w:t>
      </w:r>
      <w:r>
        <w:rPr>
          <w:rFonts w:cstheme="minorHAnsi"/>
          <w:color w:val="auto"/>
        </w:rPr>
        <w:t>launch of the Australia-Cambodia Cooperation for Equitable Sustainable S</w:t>
      </w:r>
      <w:r w:rsidR="00E26D57">
        <w:rPr>
          <w:rFonts w:cstheme="minorHAnsi"/>
          <w:color w:val="auto"/>
        </w:rPr>
        <w:t>ervices (ACCESS)</w:t>
      </w:r>
      <w:r w:rsidR="00D83992">
        <w:rPr>
          <w:rFonts w:cstheme="minorHAnsi"/>
          <w:color w:val="auto"/>
        </w:rPr>
        <w:t xml:space="preserve"> program</w:t>
      </w:r>
      <w:r>
        <w:rPr>
          <w:rFonts w:cstheme="minorHAnsi"/>
          <w:color w:val="auto"/>
        </w:rPr>
        <w:t>, Australia</w:t>
      </w:r>
      <w:r w:rsidR="00034F35">
        <w:rPr>
          <w:rFonts w:cstheme="minorHAnsi"/>
          <w:color w:val="auto"/>
        </w:rPr>
        <w:t xml:space="preserve"> strengthened</w:t>
      </w:r>
      <w:r>
        <w:rPr>
          <w:rFonts w:cstheme="minorHAnsi"/>
          <w:color w:val="auto"/>
        </w:rPr>
        <w:t xml:space="preserve"> support </w:t>
      </w:r>
      <w:r w:rsidR="00034F35">
        <w:rPr>
          <w:rFonts w:cstheme="minorHAnsi"/>
          <w:color w:val="auto"/>
        </w:rPr>
        <w:t xml:space="preserve">for </w:t>
      </w:r>
      <w:r w:rsidRPr="00591108">
        <w:rPr>
          <w:rFonts w:cstheme="minorHAnsi"/>
          <w:color w:val="auto"/>
        </w:rPr>
        <w:t>the sustainability, quality and inclusiveness of services for persons with disabilities and for women affected by violence</w:t>
      </w:r>
      <w:r>
        <w:rPr>
          <w:rFonts w:cstheme="minorHAnsi"/>
          <w:color w:val="auto"/>
        </w:rPr>
        <w:t>.</w:t>
      </w:r>
    </w:p>
    <w:p w:rsidR="00D060C1" w:rsidRPr="005107A0" w:rsidRDefault="00D060C1" w:rsidP="00D060C1">
      <w:pPr>
        <w:rPr>
          <w:rFonts w:cstheme="minorHAnsi"/>
          <w:color w:val="auto"/>
        </w:rPr>
      </w:pPr>
      <w:r w:rsidRPr="005107A0">
        <w:rPr>
          <w:rFonts w:cstheme="minorHAnsi"/>
          <w:color w:val="auto"/>
        </w:rPr>
        <w:t xml:space="preserve">Australia's aid </w:t>
      </w:r>
      <w:r w:rsidRPr="00754473">
        <w:rPr>
          <w:rFonts w:cstheme="minorHAnsi"/>
          <w:color w:val="auto"/>
        </w:rPr>
        <w:t xml:space="preserve">investments </w:t>
      </w:r>
      <w:r w:rsidR="00CD0021" w:rsidRPr="00754473">
        <w:rPr>
          <w:rFonts w:cstheme="minorHAnsi"/>
          <w:color w:val="auto"/>
        </w:rPr>
        <w:t>also supported</w:t>
      </w:r>
      <w:r w:rsidRPr="00754473">
        <w:rPr>
          <w:rFonts w:cstheme="minorHAnsi"/>
          <w:color w:val="auto"/>
        </w:rPr>
        <w:t xml:space="preserve"> </w:t>
      </w:r>
      <w:r w:rsidR="007E2C45" w:rsidRPr="00754473">
        <w:rPr>
          <w:rFonts w:cstheme="minorHAnsi"/>
          <w:color w:val="auto"/>
        </w:rPr>
        <w:t xml:space="preserve">more </w:t>
      </w:r>
      <w:r w:rsidRPr="00754473">
        <w:rPr>
          <w:rFonts w:cstheme="minorHAnsi"/>
          <w:color w:val="auto"/>
        </w:rPr>
        <w:t>effective governance practices within Cambodian institutions</w:t>
      </w:r>
      <w:r w:rsidR="005107A0" w:rsidRPr="00754473">
        <w:rPr>
          <w:rFonts w:cstheme="minorHAnsi"/>
          <w:color w:val="auto"/>
        </w:rPr>
        <w:t>, leading to important reforms in government processes</w:t>
      </w:r>
      <w:r w:rsidR="007E2C45" w:rsidRPr="00754473">
        <w:rPr>
          <w:rFonts w:cstheme="minorHAnsi"/>
          <w:color w:val="auto"/>
        </w:rPr>
        <w:t xml:space="preserve">. This </w:t>
      </w:r>
      <w:r w:rsidR="00CD0021" w:rsidRPr="00754473">
        <w:rPr>
          <w:rFonts w:cstheme="minorHAnsi"/>
          <w:color w:val="auto"/>
        </w:rPr>
        <w:t xml:space="preserve">included </w:t>
      </w:r>
      <w:r w:rsidR="005107A0" w:rsidRPr="00754473">
        <w:rPr>
          <w:rFonts w:cstheme="minorHAnsi"/>
          <w:color w:val="auto"/>
        </w:rPr>
        <w:t>measures</w:t>
      </w:r>
      <w:r w:rsidR="005107A0">
        <w:rPr>
          <w:rFonts w:cstheme="minorHAnsi"/>
          <w:color w:val="auto"/>
        </w:rPr>
        <w:t xml:space="preserve"> to prevent </w:t>
      </w:r>
      <w:r w:rsidR="00F306C8" w:rsidRPr="005107A0">
        <w:rPr>
          <w:rFonts w:cstheme="minorHAnsi"/>
          <w:color w:val="auto"/>
        </w:rPr>
        <w:t xml:space="preserve">fraud in </w:t>
      </w:r>
      <w:r w:rsidR="00034F35">
        <w:rPr>
          <w:rFonts w:cstheme="minorHAnsi"/>
          <w:color w:val="auto"/>
        </w:rPr>
        <w:t>public spending</w:t>
      </w:r>
      <w:r w:rsidR="005107A0" w:rsidRPr="005107A0">
        <w:rPr>
          <w:rFonts w:cstheme="minorHAnsi"/>
          <w:color w:val="auto"/>
        </w:rPr>
        <w:t xml:space="preserve"> and health financing reforms that benefit poor Cambodians. </w:t>
      </w:r>
      <w:r w:rsidR="00F306C8" w:rsidRPr="005107A0">
        <w:rPr>
          <w:rFonts w:cstheme="minorHAnsi"/>
          <w:color w:val="auto"/>
        </w:rPr>
        <w:t xml:space="preserve"> </w:t>
      </w:r>
    </w:p>
    <w:p w:rsidR="005107A0" w:rsidRDefault="005107A0" w:rsidP="005107A0">
      <w:pPr>
        <w:rPr>
          <w:rFonts w:cstheme="minorHAnsi"/>
          <w:color w:val="auto"/>
        </w:rPr>
      </w:pPr>
      <w:r>
        <w:rPr>
          <w:rFonts w:cstheme="minorHAnsi"/>
          <w:color w:val="auto"/>
        </w:rPr>
        <w:t>Australia’s support remained relevant to the Cambodian context. While Cambodia continued to benefit from strong economic growth</w:t>
      </w:r>
      <w:r w:rsidRPr="00591108">
        <w:rPr>
          <w:rFonts w:cstheme="minorHAnsi"/>
          <w:color w:val="auto"/>
        </w:rPr>
        <w:t xml:space="preserve"> </w:t>
      </w:r>
      <w:r>
        <w:rPr>
          <w:rFonts w:cstheme="minorHAnsi"/>
          <w:color w:val="auto"/>
        </w:rPr>
        <w:t>and falling levels of poverty, a</w:t>
      </w:r>
      <w:r w:rsidRPr="00591108">
        <w:rPr>
          <w:rFonts w:cstheme="minorHAnsi"/>
          <w:color w:val="auto"/>
        </w:rPr>
        <w:t xml:space="preserve">bout 4.5 million </w:t>
      </w:r>
      <w:r>
        <w:rPr>
          <w:rFonts w:cstheme="minorHAnsi"/>
          <w:color w:val="auto"/>
        </w:rPr>
        <w:t>Cambodians remained near-poor</w:t>
      </w:r>
      <w:r w:rsidRPr="00591108">
        <w:rPr>
          <w:rFonts w:cstheme="minorHAnsi"/>
          <w:color w:val="auto"/>
        </w:rPr>
        <w:t xml:space="preserve"> and vulnerable to falling back into poverty. </w:t>
      </w:r>
    </w:p>
    <w:p w:rsidR="00F913C1" w:rsidRDefault="00F913C1" w:rsidP="000A453A">
      <w:r w:rsidRPr="00F913C1">
        <w:rPr>
          <w:color w:val="auto"/>
        </w:rPr>
        <w:t xml:space="preserve">In light of Cambodia's recent graduation to lower-middle income status, Australia </w:t>
      </w:r>
      <w:r w:rsidR="00034F35">
        <w:rPr>
          <w:color w:val="auto"/>
        </w:rPr>
        <w:t>commenced</w:t>
      </w:r>
      <w:r w:rsidR="00034F35" w:rsidRPr="00F913C1">
        <w:rPr>
          <w:color w:val="auto"/>
        </w:rPr>
        <w:t xml:space="preserve"> </w:t>
      </w:r>
      <w:r w:rsidRPr="00F913C1">
        <w:rPr>
          <w:color w:val="auto"/>
        </w:rPr>
        <w:t>transition</w:t>
      </w:r>
      <w:r w:rsidR="00034F35">
        <w:rPr>
          <w:color w:val="auto"/>
        </w:rPr>
        <w:t>ing</w:t>
      </w:r>
      <w:r w:rsidRPr="00F913C1">
        <w:rPr>
          <w:color w:val="auto"/>
        </w:rPr>
        <w:t xml:space="preserve"> out of direct construction of infrastructure and delivery of services.</w:t>
      </w:r>
      <w:r>
        <w:rPr>
          <w:rFonts w:cstheme="minorHAnsi"/>
          <w:color w:val="auto"/>
        </w:rPr>
        <w:t xml:space="preserve"> </w:t>
      </w:r>
      <w:r w:rsidRPr="00D45974">
        <w:rPr>
          <w:rFonts w:cstheme="minorHAnsi"/>
          <w:color w:val="auto"/>
        </w:rPr>
        <w:t xml:space="preserve">Our development cooperation program is </w:t>
      </w:r>
      <w:r>
        <w:rPr>
          <w:rFonts w:cstheme="minorHAnsi"/>
          <w:color w:val="auto"/>
        </w:rPr>
        <w:t xml:space="preserve">instead </w:t>
      </w:r>
      <w:r w:rsidRPr="00D45974">
        <w:rPr>
          <w:rFonts w:cstheme="minorHAnsi"/>
          <w:color w:val="auto"/>
        </w:rPr>
        <w:t xml:space="preserve">increasingly focusing on </w:t>
      </w:r>
      <w:r w:rsidR="00D83992">
        <w:rPr>
          <w:rFonts w:cstheme="minorHAnsi"/>
          <w:color w:val="auto"/>
        </w:rPr>
        <w:t xml:space="preserve">supporting </w:t>
      </w:r>
      <w:r w:rsidRPr="00D45974">
        <w:rPr>
          <w:rFonts w:cstheme="minorHAnsi"/>
          <w:color w:val="auto"/>
        </w:rPr>
        <w:t>policy settings</w:t>
      </w:r>
      <w:r w:rsidR="001D2ECD">
        <w:rPr>
          <w:rFonts w:cstheme="minorHAnsi"/>
          <w:color w:val="auto"/>
        </w:rPr>
        <w:t>, technical capabilities and systems</w:t>
      </w:r>
      <w:r w:rsidRPr="00D45974">
        <w:rPr>
          <w:rFonts w:cstheme="minorHAnsi"/>
          <w:color w:val="auto"/>
        </w:rPr>
        <w:t xml:space="preserve"> </w:t>
      </w:r>
      <w:r w:rsidR="00D83992">
        <w:rPr>
          <w:rFonts w:cstheme="minorHAnsi"/>
          <w:color w:val="auto"/>
        </w:rPr>
        <w:t>that</w:t>
      </w:r>
      <w:r w:rsidRPr="00D45974">
        <w:rPr>
          <w:rFonts w:cstheme="minorHAnsi"/>
          <w:color w:val="auto"/>
        </w:rPr>
        <w:t xml:space="preserve"> advance development outcomes for the Cambodian people.</w:t>
      </w:r>
      <w:r>
        <w:rPr>
          <w:rFonts w:cstheme="minorHAnsi"/>
          <w:color w:val="auto"/>
        </w:rPr>
        <w:t xml:space="preserve"> </w:t>
      </w:r>
      <w:r w:rsidR="004046AE">
        <w:rPr>
          <w:rFonts w:cstheme="minorHAnsi"/>
          <w:color w:val="auto"/>
        </w:rPr>
        <w:t>Our</w:t>
      </w:r>
      <w:r w:rsidR="00591108" w:rsidRPr="00591108">
        <w:rPr>
          <w:rFonts w:cstheme="minorHAnsi"/>
          <w:color w:val="auto"/>
        </w:rPr>
        <w:t xml:space="preserve"> new</w:t>
      </w:r>
      <w:r w:rsidR="00A42FF5">
        <w:rPr>
          <w:rFonts w:cstheme="minorHAnsi"/>
          <w:color w:val="auto"/>
        </w:rPr>
        <w:t xml:space="preserve"> Aid Investment Plan </w:t>
      </w:r>
      <w:r w:rsidR="001D2ECD">
        <w:rPr>
          <w:rFonts w:cstheme="minorHAnsi"/>
          <w:color w:val="auto"/>
        </w:rPr>
        <w:t xml:space="preserve">(AIP) </w:t>
      </w:r>
      <w:r w:rsidR="007E2C45">
        <w:rPr>
          <w:rFonts w:cstheme="minorHAnsi"/>
          <w:color w:val="auto"/>
        </w:rPr>
        <w:t>for 2020-2</w:t>
      </w:r>
      <w:r w:rsidR="004046AE">
        <w:rPr>
          <w:rFonts w:cstheme="minorHAnsi"/>
          <w:color w:val="auto"/>
        </w:rPr>
        <w:t>4</w:t>
      </w:r>
      <w:r w:rsidR="00A42FF5">
        <w:rPr>
          <w:rFonts w:cstheme="minorHAnsi"/>
          <w:color w:val="auto"/>
        </w:rPr>
        <w:t xml:space="preserve"> </w:t>
      </w:r>
      <w:r>
        <w:rPr>
          <w:rFonts w:cstheme="minorHAnsi"/>
          <w:color w:val="auto"/>
        </w:rPr>
        <w:t xml:space="preserve">will </w:t>
      </w:r>
      <w:r w:rsidR="004046AE">
        <w:rPr>
          <w:rFonts w:cstheme="minorHAnsi"/>
          <w:color w:val="auto"/>
        </w:rPr>
        <w:t xml:space="preserve">continue to </w:t>
      </w:r>
      <w:r>
        <w:rPr>
          <w:rFonts w:cstheme="minorHAnsi"/>
          <w:color w:val="auto"/>
        </w:rPr>
        <w:t xml:space="preserve">guide </w:t>
      </w:r>
      <w:r w:rsidR="004046AE">
        <w:rPr>
          <w:rFonts w:cstheme="minorHAnsi"/>
          <w:color w:val="auto"/>
        </w:rPr>
        <w:t>this</w:t>
      </w:r>
      <w:r>
        <w:rPr>
          <w:rFonts w:cstheme="minorHAnsi"/>
          <w:color w:val="auto"/>
        </w:rPr>
        <w:t xml:space="preserve"> reshaping of </w:t>
      </w:r>
      <w:r w:rsidR="004046AE">
        <w:rPr>
          <w:rFonts w:cstheme="minorHAnsi"/>
          <w:color w:val="auto"/>
        </w:rPr>
        <w:t xml:space="preserve">Australia’s </w:t>
      </w:r>
      <w:r w:rsidR="001846A8">
        <w:rPr>
          <w:rFonts w:cstheme="minorHAnsi"/>
          <w:color w:val="auto"/>
        </w:rPr>
        <w:t xml:space="preserve">strategic </w:t>
      </w:r>
      <w:r w:rsidR="004046AE">
        <w:rPr>
          <w:rFonts w:cstheme="minorHAnsi"/>
          <w:color w:val="auto"/>
        </w:rPr>
        <w:t xml:space="preserve">development </w:t>
      </w:r>
      <w:r w:rsidR="001846A8">
        <w:rPr>
          <w:rFonts w:cstheme="minorHAnsi"/>
          <w:color w:val="auto"/>
        </w:rPr>
        <w:t>focus</w:t>
      </w:r>
      <w:r w:rsidR="004046AE">
        <w:rPr>
          <w:rFonts w:cstheme="minorHAnsi"/>
          <w:color w:val="auto"/>
        </w:rPr>
        <w:t xml:space="preserve"> in Cambodia</w:t>
      </w:r>
      <w:r w:rsidRPr="00F913C1">
        <w:rPr>
          <w:color w:val="auto"/>
        </w:rPr>
        <w:t>.</w:t>
      </w:r>
      <w:r w:rsidR="001846A8" w:rsidRPr="00F913C1">
        <w:rPr>
          <w:color w:val="auto"/>
        </w:rPr>
        <w:t xml:space="preserve"> </w:t>
      </w:r>
    </w:p>
    <w:p w:rsidR="00F913C1" w:rsidRPr="00C61187" w:rsidRDefault="00F913C1" w:rsidP="00F913C1">
      <w:pPr>
        <w:pStyle w:val="ListBullet"/>
        <w:tabs>
          <w:tab w:val="clear" w:pos="284"/>
        </w:tabs>
        <w:spacing w:before="360" w:line="300" w:lineRule="exact"/>
        <w:rPr>
          <w:kern w:val="28"/>
        </w:rPr>
      </w:pPr>
      <w:r>
        <w:rPr>
          <w:rFonts w:asciiTheme="majorHAnsi" w:eastAsiaTheme="majorEastAsia" w:hAnsiTheme="majorHAnsi" w:cstheme="majorBidi"/>
          <w:caps/>
          <w:color w:val="495965" w:themeColor="text2"/>
          <w:sz w:val="38"/>
          <w:szCs w:val="26"/>
          <w:lang w:val="en-GB" w:eastAsia="en-US"/>
        </w:rPr>
        <w:t xml:space="preserve">Context </w:t>
      </w:r>
    </w:p>
    <w:p w:rsidR="00D060C1" w:rsidRDefault="00F7691B" w:rsidP="001846A8">
      <w:pPr>
        <w:rPr>
          <w:rFonts w:cstheme="minorHAnsi"/>
          <w:color w:val="auto"/>
        </w:rPr>
      </w:pPr>
      <w:r>
        <w:rPr>
          <w:rFonts w:cstheme="minorHAnsi"/>
          <w:color w:val="auto"/>
        </w:rPr>
        <w:t xml:space="preserve">Over 2018-19, </w:t>
      </w:r>
      <w:r w:rsidR="00D060C1">
        <w:rPr>
          <w:rFonts w:cstheme="minorHAnsi"/>
          <w:color w:val="auto"/>
        </w:rPr>
        <w:t xml:space="preserve">Australian development assistance to Cambodia </w:t>
      </w:r>
      <w:r>
        <w:rPr>
          <w:rFonts w:cstheme="minorHAnsi"/>
          <w:color w:val="auto"/>
        </w:rPr>
        <w:t>wa</w:t>
      </w:r>
      <w:r w:rsidR="00D060C1">
        <w:rPr>
          <w:rFonts w:cstheme="minorHAnsi"/>
          <w:color w:val="auto"/>
        </w:rPr>
        <w:t xml:space="preserve">s delivered in a context of economic growth and </w:t>
      </w:r>
      <w:r w:rsidR="00CD0021">
        <w:rPr>
          <w:rFonts w:cstheme="minorHAnsi"/>
          <w:color w:val="auto"/>
        </w:rPr>
        <w:t xml:space="preserve">improvements in some </w:t>
      </w:r>
      <w:r w:rsidR="00D060C1">
        <w:rPr>
          <w:rFonts w:cstheme="minorHAnsi"/>
          <w:color w:val="auto"/>
        </w:rPr>
        <w:t>a</w:t>
      </w:r>
      <w:r w:rsidR="00CD0021">
        <w:rPr>
          <w:rFonts w:cstheme="minorHAnsi"/>
          <w:color w:val="auto"/>
        </w:rPr>
        <w:t>spects of human development</w:t>
      </w:r>
      <w:r w:rsidR="00D060C1">
        <w:rPr>
          <w:rFonts w:cstheme="minorHAnsi"/>
          <w:color w:val="auto"/>
        </w:rPr>
        <w:t xml:space="preserve">, </w:t>
      </w:r>
      <w:r w:rsidR="00CD0021">
        <w:rPr>
          <w:rFonts w:cstheme="minorHAnsi"/>
          <w:color w:val="auto"/>
        </w:rPr>
        <w:t xml:space="preserve">but with </w:t>
      </w:r>
      <w:r w:rsidR="00754473">
        <w:rPr>
          <w:rFonts w:cstheme="minorHAnsi"/>
          <w:color w:val="auto"/>
        </w:rPr>
        <w:t xml:space="preserve">persistent </w:t>
      </w:r>
      <w:r w:rsidR="00D060C1">
        <w:rPr>
          <w:rFonts w:cstheme="minorHAnsi"/>
          <w:color w:val="auto"/>
        </w:rPr>
        <w:t xml:space="preserve">vulnerabilities and inequalities. </w:t>
      </w:r>
    </w:p>
    <w:p w:rsidR="007467CA" w:rsidRPr="00885F12" w:rsidRDefault="00D060C1" w:rsidP="00885F12">
      <w:pPr>
        <w:suppressAutoHyphens w:val="0"/>
        <w:spacing w:before="0" w:after="0" w:line="240" w:lineRule="auto"/>
        <w:rPr>
          <w:rFonts w:ascii="Times New Roman" w:hAnsi="Times New Roman" w:cs="Times New Roman"/>
          <w:color w:val="auto"/>
          <w:sz w:val="24"/>
          <w:szCs w:val="24"/>
          <w:lang w:val="en-AU" w:eastAsia="en-AU"/>
        </w:rPr>
      </w:pPr>
      <w:r>
        <w:rPr>
          <w:rFonts w:cstheme="minorHAnsi"/>
          <w:color w:val="auto"/>
        </w:rPr>
        <w:t>Estimates</w:t>
      </w:r>
      <w:r w:rsidRPr="00D060C1">
        <w:rPr>
          <w:rFonts w:cstheme="minorHAnsi"/>
          <w:color w:val="auto"/>
        </w:rPr>
        <w:t xml:space="preserve"> for Cambodia show</w:t>
      </w:r>
      <w:r w:rsidR="00F7691B">
        <w:rPr>
          <w:rFonts w:cstheme="minorHAnsi"/>
          <w:color w:val="auto"/>
        </w:rPr>
        <w:t>ed</w:t>
      </w:r>
      <w:r w:rsidRPr="00D060C1">
        <w:rPr>
          <w:rFonts w:cstheme="minorHAnsi"/>
          <w:color w:val="auto"/>
        </w:rPr>
        <w:t xml:space="preserve"> real </w:t>
      </w:r>
      <w:r w:rsidR="00535334">
        <w:rPr>
          <w:rFonts w:cstheme="minorHAnsi"/>
          <w:color w:val="auto"/>
        </w:rPr>
        <w:t xml:space="preserve">GDP </w:t>
      </w:r>
      <w:r w:rsidRPr="00D060C1">
        <w:rPr>
          <w:rFonts w:cstheme="minorHAnsi"/>
          <w:color w:val="auto"/>
        </w:rPr>
        <w:t>growth a</w:t>
      </w:r>
      <w:r>
        <w:rPr>
          <w:rFonts w:cstheme="minorHAnsi"/>
          <w:color w:val="auto"/>
        </w:rPr>
        <w:t>chieved a four-year high of 7.5 per cent</w:t>
      </w:r>
      <w:r w:rsidRPr="00D060C1">
        <w:rPr>
          <w:rFonts w:cstheme="minorHAnsi"/>
          <w:color w:val="auto"/>
        </w:rPr>
        <w:t xml:space="preserve"> in 2018</w:t>
      </w:r>
      <w:r>
        <w:rPr>
          <w:rFonts w:cstheme="minorHAnsi"/>
          <w:color w:val="auto"/>
        </w:rPr>
        <w:t>, up from 7 per cent in 2017</w:t>
      </w:r>
      <w:r w:rsidR="00885F12">
        <w:rPr>
          <w:rFonts w:cstheme="minorHAnsi"/>
          <w:color w:val="auto"/>
        </w:rPr>
        <w:t>, making Cambodia the fastest growing economy in East Asia</w:t>
      </w:r>
      <w:r w:rsidR="00546FEC">
        <w:rPr>
          <w:rFonts w:cstheme="minorHAnsi"/>
          <w:color w:val="auto"/>
        </w:rPr>
        <w:t>, according to the World Bank.</w:t>
      </w:r>
      <w:r w:rsidR="00885F12" w:rsidRPr="00885F12">
        <w:rPr>
          <w:rFonts w:cstheme="minorHAnsi"/>
          <w:color w:val="auto"/>
        </w:rPr>
        <w:t xml:space="preserve"> </w:t>
      </w:r>
      <w:r w:rsidR="00AE1F8D">
        <w:rPr>
          <w:rFonts w:cstheme="minorHAnsi"/>
          <w:color w:val="auto"/>
        </w:rPr>
        <w:t>P</w:t>
      </w:r>
      <w:r w:rsidR="00535334">
        <w:rPr>
          <w:rFonts w:cstheme="minorHAnsi"/>
          <w:color w:val="auto"/>
        </w:rPr>
        <w:t>er capita reached an estimated USD1</w:t>
      </w:r>
      <w:r w:rsidR="007467CA">
        <w:rPr>
          <w:rFonts w:cstheme="minorHAnsi"/>
          <w:color w:val="auto"/>
        </w:rPr>
        <w:t>,</w:t>
      </w:r>
      <w:r w:rsidR="00535334">
        <w:rPr>
          <w:rFonts w:cstheme="minorHAnsi"/>
          <w:color w:val="auto"/>
        </w:rPr>
        <w:t>476.80 in 2018 and is forecast to reach USD1</w:t>
      </w:r>
      <w:r w:rsidR="007467CA">
        <w:rPr>
          <w:rFonts w:cstheme="minorHAnsi"/>
          <w:color w:val="auto"/>
        </w:rPr>
        <w:t>,</w:t>
      </w:r>
      <w:r w:rsidR="00535334">
        <w:rPr>
          <w:rFonts w:cstheme="minorHAnsi"/>
          <w:color w:val="auto"/>
        </w:rPr>
        <w:t xml:space="preserve">640.30 in 2019. </w:t>
      </w:r>
      <w:r w:rsidR="00DA5EAD">
        <w:rPr>
          <w:rFonts w:cstheme="minorHAnsi"/>
          <w:color w:val="auto"/>
        </w:rPr>
        <w:lastRenderedPageBreak/>
        <w:t>Deman</w:t>
      </w:r>
      <w:r w:rsidR="00574A30">
        <w:rPr>
          <w:rFonts w:cstheme="minorHAnsi"/>
          <w:color w:val="auto"/>
        </w:rPr>
        <w:t>d for exports strengthened and Foreign Direct I</w:t>
      </w:r>
      <w:r>
        <w:rPr>
          <w:rFonts w:cstheme="minorHAnsi"/>
          <w:color w:val="auto"/>
        </w:rPr>
        <w:t xml:space="preserve">nvestment </w:t>
      </w:r>
      <w:r w:rsidR="00574A30">
        <w:rPr>
          <w:rFonts w:cstheme="minorHAnsi"/>
          <w:color w:val="auto"/>
        </w:rPr>
        <w:t xml:space="preserve">(FDI) </w:t>
      </w:r>
      <w:r>
        <w:rPr>
          <w:rFonts w:cstheme="minorHAnsi"/>
          <w:color w:val="auto"/>
        </w:rPr>
        <w:t>was at a record high at</w:t>
      </w:r>
      <w:r w:rsidR="00535334">
        <w:rPr>
          <w:rFonts w:cstheme="minorHAnsi"/>
          <w:color w:val="auto"/>
        </w:rPr>
        <w:t xml:space="preserve"> an estimated</w:t>
      </w:r>
      <w:r w:rsidR="00DA5EAD">
        <w:rPr>
          <w:rFonts w:cstheme="minorHAnsi"/>
          <w:color w:val="auto"/>
        </w:rPr>
        <w:t xml:space="preserve"> 13.4 per cent of GDP in 2018</w:t>
      </w:r>
      <w:r>
        <w:rPr>
          <w:rFonts w:cstheme="minorHAnsi"/>
          <w:color w:val="auto"/>
        </w:rPr>
        <w:t>.</w:t>
      </w:r>
      <w:r w:rsidR="002E3C15">
        <w:rPr>
          <w:rStyle w:val="FootnoteReference"/>
          <w:rFonts w:cstheme="minorHAnsi"/>
          <w:color w:val="auto"/>
        </w:rPr>
        <w:footnoteReference w:id="2"/>
      </w:r>
    </w:p>
    <w:p w:rsidR="00574A30" w:rsidRDefault="00695AC4" w:rsidP="00574A30">
      <w:pPr>
        <w:rPr>
          <w:rFonts w:cstheme="minorHAnsi"/>
          <w:color w:val="auto"/>
        </w:rPr>
      </w:pPr>
      <w:r>
        <w:rPr>
          <w:rFonts w:cstheme="minorHAnsi"/>
          <w:color w:val="auto"/>
        </w:rPr>
        <w:t xml:space="preserve">However, substantial risks remain to continued economic growth. </w:t>
      </w:r>
      <w:r w:rsidR="00574A30">
        <w:rPr>
          <w:rFonts w:cstheme="minorHAnsi"/>
          <w:color w:val="auto"/>
        </w:rPr>
        <w:t xml:space="preserve">Real GDP growth and </w:t>
      </w:r>
      <w:r w:rsidR="00E13736">
        <w:rPr>
          <w:rFonts w:cstheme="minorHAnsi"/>
          <w:color w:val="auto"/>
        </w:rPr>
        <w:t>FDI</w:t>
      </w:r>
      <w:r w:rsidR="00574A30">
        <w:rPr>
          <w:rFonts w:cstheme="minorHAnsi"/>
          <w:color w:val="auto"/>
        </w:rPr>
        <w:t xml:space="preserve"> are forecast to decline in 2019. Vulnerabilities include concentration of FDI flows, both in terms of source and sectors, and trade tensions. The European Union </w:t>
      </w:r>
      <w:r w:rsidR="005C1796">
        <w:rPr>
          <w:rFonts w:cstheme="minorHAnsi"/>
          <w:color w:val="auto"/>
        </w:rPr>
        <w:t>launched</w:t>
      </w:r>
      <w:r w:rsidR="00574A30">
        <w:rPr>
          <w:rFonts w:cstheme="minorHAnsi"/>
          <w:color w:val="auto"/>
        </w:rPr>
        <w:t xml:space="preserve"> </w:t>
      </w:r>
      <w:r w:rsidR="00574A30" w:rsidRPr="00574A30">
        <w:rPr>
          <w:rFonts w:cstheme="minorHAnsi"/>
          <w:color w:val="auto"/>
        </w:rPr>
        <w:t>a process that could lead to the suspension of Cambodia’s preferential access to the EU market</w:t>
      </w:r>
      <w:r w:rsidR="00574A30">
        <w:rPr>
          <w:rFonts w:cstheme="minorHAnsi"/>
          <w:color w:val="auto"/>
        </w:rPr>
        <w:t xml:space="preserve">. </w:t>
      </w:r>
      <w:r w:rsidR="00475C3E">
        <w:rPr>
          <w:rFonts w:cstheme="minorHAnsi"/>
          <w:color w:val="auto"/>
        </w:rPr>
        <w:t xml:space="preserve">The governance environment remained challenging. </w:t>
      </w:r>
      <w:r w:rsidR="005B6464">
        <w:rPr>
          <w:rFonts w:cstheme="minorHAnsi"/>
          <w:color w:val="auto"/>
        </w:rPr>
        <w:t xml:space="preserve">Cambodia was grey-listed by the </w:t>
      </w:r>
      <w:r w:rsidR="00E502B6">
        <w:rPr>
          <w:rFonts w:cstheme="minorHAnsi"/>
          <w:color w:val="auto"/>
        </w:rPr>
        <w:t xml:space="preserve">inter-governmental </w:t>
      </w:r>
      <w:r w:rsidR="005B6464">
        <w:rPr>
          <w:rFonts w:cstheme="minorHAnsi"/>
          <w:color w:val="auto"/>
        </w:rPr>
        <w:t>Financial Action Task Force for deficiencies in its anti-money laundering and countering financing</w:t>
      </w:r>
      <w:r w:rsidR="00E502B6">
        <w:rPr>
          <w:rFonts w:cstheme="minorHAnsi"/>
          <w:color w:val="auto"/>
        </w:rPr>
        <w:t xml:space="preserve"> of terrorism systems. The grey-listing increases</w:t>
      </w:r>
      <w:r w:rsidR="00316A61">
        <w:rPr>
          <w:rFonts w:cstheme="minorHAnsi"/>
          <w:color w:val="auto"/>
        </w:rPr>
        <w:t xml:space="preserve"> risks</w:t>
      </w:r>
      <w:r w:rsidR="00AD16E0">
        <w:rPr>
          <w:rFonts w:cstheme="minorHAnsi"/>
          <w:color w:val="auto"/>
        </w:rPr>
        <w:t xml:space="preserve"> associated with</w:t>
      </w:r>
      <w:r w:rsidR="00316A61">
        <w:rPr>
          <w:rFonts w:cstheme="minorHAnsi"/>
          <w:color w:val="auto"/>
        </w:rPr>
        <w:t xml:space="preserve"> Cambodia </w:t>
      </w:r>
      <w:r w:rsidR="00AD16E0">
        <w:rPr>
          <w:rFonts w:cstheme="minorHAnsi"/>
          <w:color w:val="auto"/>
        </w:rPr>
        <w:t>having diminished</w:t>
      </w:r>
      <w:r w:rsidR="00316A61">
        <w:rPr>
          <w:rFonts w:cstheme="minorHAnsi"/>
          <w:color w:val="auto"/>
        </w:rPr>
        <w:t xml:space="preserve"> access to the international banking system.</w:t>
      </w:r>
      <w:r w:rsidR="0082660A">
        <w:rPr>
          <w:rFonts w:cstheme="minorHAnsi"/>
          <w:color w:val="auto"/>
        </w:rPr>
        <w:t xml:space="preserve"> </w:t>
      </w:r>
    </w:p>
    <w:p w:rsidR="00F15D27" w:rsidRPr="00657E26" w:rsidRDefault="00F64D9C" w:rsidP="00F15D27">
      <w:pPr>
        <w:rPr>
          <w:rFonts w:cstheme="minorHAnsi"/>
          <w:color w:val="auto"/>
        </w:rPr>
      </w:pPr>
      <w:r>
        <w:rPr>
          <w:rFonts w:cstheme="minorHAnsi"/>
          <w:color w:val="auto"/>
        </w:rPr>
        <w:t xml:space="preserve">Poverty continued to </w:t>
      </w:r>
      <w:r w:rsidRPr="003B4C0E">
        <w:rPr>
          <w:rFonts w:cstheme="minorHAnsi"/>
          <w:color w:val="auto"/>
        </w:rPr>
        <w:t>fall over 2018-19. However,</w:t>
      </w:r>
      <w:r w:rsidR="00E502B6">
        <w:rPr>
          <w:rFonts w:cstheme="minorHAnsi"/>
          <w:color w:val="auto"/>
        </w:rPr>
        <w:t xml:space="preserve"> this was at a slowing pace</w:t>
      </w:r>
      <w:r w:rsidR="00E13736" w:rsidRPr="003B4C0E">
        <w:rPr>
          <w:rFonts w:cstheme="minorHAnsi"/>
          <w:color w:val="auto"/>
        </w:rPr>
        <w:t xml:space="preserve"> and</w:t>
      </w:r>
      <w:r w:rsidR="00E502B6">
        <w:rPr>
          <w:rFonts w:cstheme="minorHAnsi"/>
          <w:color w:val="auto"/>
        </w:rPr>
        <w:t>,</w:t>
      </w:r>
      <w:r w:rsidRPr="003B4C0E">
        <w:rPr>
          <w:rFonts w:cstheme="minorHAnsi"/>
          <w:color w:val="auto"/>
        </w:rPr>
        <w:t xml:space="preserve"> </w:t>
      </w:r>
      <w:r w:rsidR="001D2ECD" w:rsidRPr="003B4C0E">
        <w:rPr>
          <w:rFonts w:cstheme="minorHAnsi"/>
          <w:color w:val="auto"/>
        </w:rPr>
        <w:t>according to the World Bank</w:t>
      </w:r>
      <w:r w:rsidR="002B1981" w:rsidRPr="003B4C0E">
        <w:rPr>
          <w:rFonts w:cstheme="minorHAnsi"/>
          <w:color w:val="auto"/>
        </w:rPr>
        <w:t xml:space="preserve">, in addition to the </w:t>
      </w:r>
      <w:r w:rsidR="003B4C0E" w:rsidRPr="00D658F6">
        <w:rPr>
          <w:rFonts w:cstheme="minorHAnsi"/>
          <w:color w:val="auto"/>
        </w:rPr>
        <w:t>13.5</w:t>
      </w:r>
      <w:r w:rsidR="002B1981" w:rsidRPr="003B4C0E">
        <w:rPr>
          <w:rFonts w:cstheme="minorHAnsi"/>
          <w:color w:val="auto"/>
        </w:rPr>
        <w:t xml:space="preserve"> per</w:t>
      </w:r>
      <w:r w:rsidR="002B1981">
        <w:rPr>
          <w:rFonts w:cstheme="minorHAnsi"/>
          <w:color w:val="auto"/>
        </w:rPr>
        <w:t xml:space="preserve"> cent of the population still living in poverty,</w:t>
      </w:r>
      <w:r w:rsidR="001D2ECD">
        <w:rPr>
          <w:rFonts w:cstheme="minorHAnsi"/>
          <w:color w:val="auto"/>
        </w:rPr>
        <w:t xml:space="preserve"> </w:t>
      </w:r>
      <w:r>
        <w:rPr>
          <w:rFonts w:cstheme="minorHAnsi"/>
          <w:color w:val="auto"/>
        </w:rPr>
        <w:t>about</w:t>
      </w:r>
      <w:r w:rsidRPr="00F64D9C">
        <w:rPr>
          <w:rFonts w:cstheme="minorHAnsi"/>
          <w:color w:val="auto"/>
        </w:rPr>
        <w:t xml:space="preserve"> </w:t>
      </w:r>
      <w:r w:rsidR="001D2ECD">
        <w:rPr>
          <w:rFonts w:cstheme="minorHAnsi"/>
          <w:color w:val="auto"/>
        </w:rPr>
        <w:t>3</w:t>
      </w:r>
      <w:r w:rsidR="001A6490" w:rsidRPr="00F64D9C">
        <w:rPr>
          <w:rFonts w:cstheme="minorHAnsi"/>
          <w:color w:val="auto"/>
        </w:rPr>
        <w:t>0</w:t>
      </w:r>
      <w:r w:rsidRPr="00F64D9C">
        <w:rPr>
          <w:rFonts w:cstheme="minorHAnsi"/>
          <w:color w:val="auto"/>
        </w:rPr>
        <w:t xml:space="preserve"> per cent of the population remain</w:t>
      </w:r>
      <w:r w:rsidR="000A345A">
        <w:rPr>
          <w:rFonts w:cstheme="minorHAnsi"/>
          <w:color w:val="auto"/>
        </w:rPr>
        <w:t>ed</w:t>
      </w:r>
      <w:r w:rsidRPr="00F64D9C">
        <w:rPr>
          <w:rFonts w:cstheme="minorHAnsi"/>
          <w:color w:val="auto"/>
        </w:rPr>
        <w:t xml:space="preserve"> ‘near </w:t>
      </w:r>
      <w:r>
        <w:rPr>
          <w:rFonts w:cstheme="minorHAnsi"/>
          <w:color w:val="auto"/>
        </w:rPr>
        <w:t xml:space="preserve">poor’ and vulnerable to shocks </w:t>
      </w:r>
      <w:r w:rsidRPr="00F64D9C">
        <w:rPr>
          <w:rFonts w:cstheme="minorHAnsi"/>
          <w:color w:val="auto"/>
        </w:rPr>
        <w:t>which could drive households back into poverty.</w:t>
      </w:r>
      <w:r>
        <w:rPr>
          <w:rFonts w:cstheme="minorHAnsi"/>
          <w:color w:val="auto"/>
        </w:rPr>
        <w:t xml:space="preserve"> </w:t>
      </w:r>
      <w:r w:rsidR="009358C6">
        <w:rPr>
          <w:rFonts w:cstheme="minorHAnsi"/>
          <w:color w:val="auto"/>
        </w:rPr>
        <w:t>Cambodia ha</w:t>
      </w:r>
      <w:r w:rsidR="000A345A">
        <w:rPr>
          <w:rFonts w:cstheme="minorHAnsi"/>
          <w:color w:val="auto"/>
        </w:rPr>
        <w:t>d</w:t>
      </w:r>
      <w:r w:rsidR="00947449">
        <w:rPr>
          <w:rFonts w:cstheme="minorHAnsi"/>
          <w:color w:val="auto"/>
        </w:rPr>
        <w:t xml:space="preserve"> </w:t>
      </w:r>
      <w:r w:rsidR="004D60E3">
        <w:rPr>
          <w:rFonts w:cstheme="minorHAnsi"/>
          <w:color w:val="auto"/>
        </w:rPr>
        <w:t xml:space="preserve">a Human Development Index </w:t>
      </w:r>
      <w:r w:rsidR="009358C6">
        <w:rPr>
          <w:rFonts w:cstheme="minorHAnsi"/>
          <w:color w:val="auto"/>
        </w:rPr>
        <w:t xml:space="preserve">ranking </w:t>
      </w:r>
      <w:r w:rsidR="00030ECA">
        <w:rPr>
          <w:rFonts w:cstheme="minorHAnsi"/>
          <w:color w:val="auto"/>
        </w:rPr>
        <w:t xml:space="preserve">(based on assessment of a population’s life expectancy, average years of education and GNI per capita) </w:t>
      </w:r>
      <w:r w:rsidR="009358C6">
        <w:rPr>
          <w:rFonts w:cstheme="minorHAnsi"/>
          <w:color w:val="auto"/>
        </w:rPr>
        <w:t xml:space="preserve">of </w:t>
      </w:r>
      <w:r w:rsidR="00192DE1">
        <w:rPr>
          <w:rFonts w:cstheme="minorHAnsi"/>
          <w:color w:val="auto"/>
        </w:rPr>
        <w:t>0.582 (2017)</w:t>
      </w:r>
      <w:r w:rsidR="009358C6">
        <w:rPr>
          <w:rFonts w:cstheme="minorHAnsi"/>
          <w:color w:val="auto"/>
        </w:rPr>
        <w:t>, placing it at 146 out of 189</w:t>
      </w:r>
      <w:r w:rsidR="00192DE1">
        <w:rPr>
          <w:rFonts w:cstheme="minorHAnsi"/>
          <w:color w:val="auto"/>
        </w:rPr>
        <w:t xml:space="preserve"> countries. </w:t>
      </w:r>
      <w:r w:rsidR="00030ECA">
        <w:rPr>
          <w:rFonts w:cstheme="minorHAnsi"/>
          <w:color w:val="auto"/>
        </w:rPr>
        <w:t>While human development in Cambodia continue</w:t>
      </w:r>
      <w:r w:rsidR="000A345A">
        <w:rPr>
          <w:rFonts w:cstheme="minorHAnsi"/>
          <w:color w:val="auto"/>
        </w:rPr>
        <w:t>d</w:t>
      </w:r>
      <w:r w:rsidR="00030ECA">
        <w:rPr>
          <w:rFonts w:cstheme="minorHAnsi"/>
          <w:color w:val="auto"/>
        </w:rPr>
        <w:t xml:space="preserve"> to improve, this ranking remain</w:t>
      </w:r>
      <w:r w:rsidR="000A345A">
        <w:rPr>
          <w:rFonts w:cstheme="minorHAnsi"/>
          <w:color w:val="auto"/>
        </w:rPr>
        <w:t>ed</w:t>
      </w:r>
      <w:r w:rsidR="00030ECA">
        <w:rPr>
          <w:rFonts w:cstheme="minorHAnsi"/>
          <w:color w:val="auto"/>
        </w:rPr>
        <w:t xml:space="preserve"> the second lowest in Southeast Asia.</w:t>
      </w:r>
      <w:r w:rsidR="00925382">
        <w:rPr>
          <w:rFonts w:cstheme="minorHAnsi"/>
          <w:color w:val="auto"/>
        </w:rPr>
        <w:t xml:space="preserve"> </w:t>
      </w:r>
      <w:r w:rsidR="00AE3BEB">
        <w:rPr>
          <w:rFonts w:cstheme="minorHAnsi"/>
          <w:color w:val="auto"/>
        </w:rPr>
        <w:t>The World Bank has assessed</w:t>
      </w:r>
      <w:r>
        <w:rPr>
          <w:rFonts w:cstheme="minorHAnsi"/>
          <w:color w:val="auto"/>
        </w:rPr>
        <w:t xml:space="preserve"> that weaknesses</w:t>
      </w:r>
      <w:r w:rsidRPr="00F64D9C">
        <w:rPr>
          <w:rFonts w:cstheme="minorHAnsi"/>
          <w:color w:val="auto"/>
        </w:rPr>
        <w:t xml:space="preserve"> in </w:t>
      </w:r>
      <w:r>
        <w:rPr>
          <w:rFonts w:cstheme="minorHAnsi"/>
          <w:color w:val="auto"/>
        </w:rPr>
        <w:t xml:space="preserve">areas of </w:t>
      </w:r>
      <w:r w:rsidR="00E21A31">
        <w:rPr>
          <w:rFonts w:cstheme="minorHAnsi"/>
          <w:color w:val="auto"/>
        </w:rPr>
        <w:t>human development</w:t>
      </w:r>
      <w:r w:rsidRPr="00F64D9C">
        <w:rPr>
          <w:rFonts w:cstheme="minorHAnsi"/>
          <w:color w:val="auto"/>
        </w:rPr>
        <w:t xml:space="preserve"> w</w:t>
      </w:r>
      <w:r w:rsidR="004D60E3">
        <w:rPr>
          <w:rFonts w:cstheme="minorHAnsi"/>
          <w:color w:val="auto"/>
        </w:rPr>
        <w:t>ill</w:t>
      </w:r>
      <w:r w:rsidRPr="00F64D9C">
        <w:rPr>
          <w:rFonts w:cstheme="minorHAnsi"/>
          <w:color w:val="auto"/>
        </w:rPr>
        <w:t xml:space="preserve"> constrain the productivity of the future labour force.</w:t>
      </w:r>
      <w:r w:rsidR="00AE3BEB">
        <w:rPr>
          <w:rFonts w:cstheme="minorHAnsi"/>
          <w:color w:val="auto"/>
        </w:rPr>
        <w:t xml:space="preserve"> Cambodia’s Human Capital Index</w:t>
      </w:r>
      <w:r w:rsidR="00CA1AEA">
        <w:rPr>
          <w:rFonts w:cstheme="minorHAnsi"/>
          <w:color w:val="auto"/>
        </w:rPr>
        <w:t xml:space="preserve"> suggests that on average, a</w:t>
      </w:r>
      <w:r w:rsidR="004D60E3">
        <w:rPr>
          <w:rFonts w:cstheme="minorHAnsi"/>
          <w:color w:val="auto"/>
        </w:rPr>
        <w:t xml:space="preserve"> </w:t>
      </w:r>
      <w:r w:rsidRPr="00F64D9C">
        <w:rPr>
          <w:rFonts w:cstheme="minorHAnsi"/>
          <w:color w:val="auto"/>
        </w:rPr>
        <w:t xml:space="preserve">Cambodian child born today will be </w:t>
      </w:r>
      <w:r>
        <w:rPr>
          <w:rFonts w:cstheme="minorHAnsi"/>
          <w:color w:val="auto"/>
        </w:rPr>
        <w:t xml:space="preserve">only </w:t>
      </w:r>
      <w:r w:rsidRPr="00F64D9C">
        <w:rPr>
          <w:rFonts w:cstheme="minorHAnsi"/>
          <w:color w:val="auto"/>
        </w:rPr>
        <w:t>49 per</w:t>
      </w:r>
      <w:r w:rsidR="00A63876">
        <w:rPr>
          <w:rFonts w:cstheme="minorHAnsi"/>
          <w:color w:val="auto"/>
        </w:rPr>
        <w:t xml:space="preserve"> </w:t>
      </w:r>
      <w:r w:rsidRPr="00F64D9C">
        <w:rPr>
          <w:rFonts w:cstheme="minorHAnsi"/>
          <w:color w:val="auto"/>
        </w:rPr>
        <w:t xml:space="preserve">cent as productive when </w:t>
      </w:r>
      <w:r w:rsidR="009176DF">
        <w:rPr>
          <w:rFonts w:cstheme="minorHAnsi"/>
          <w:color w:val="auto"/>
        </w:rPr>
        <w:t xml:space="preserve">fully </w:t>
      </w:r>
      <w:r>
        <w:rPr>
          <w:rFonts w:cstheme="minorHAnsi"/>
          <w:color w:val="auto"/>
        </w:rPr>
        <w:t xml:space="preserve">grown </w:t>
      </w:r>
      <w:r w:rsidR="00AE3BEB">
        <w:rPr>
          <w:rFonts w:cstheme="minorHAnsi"/>
          <w:color w:val="auto"/>
        </w:rPr>
        <w:t>compared</w:t>
      </w:r>
      <w:r>
        <w:rPr>
          <w:rFonts w:cstheme="minorHAnsi"/>
          <w:color w:val="auto"/>
        </w:rPr>
        <w:t xml:space="preserve"> to the level</w:t>
      </w:r>
      <w:r w:rsidRPr="00F64D9C">
        <w:rPr>
          <w:rFonts w:cstheme="minorHAnsi"/>
          <w:color w:val="auto"/>
        </w:rPr>
        <w:t xml:space="preserve"> </w:t>
      </w:r>
      <w:r w:rsidR="00AE3BEB">
        <w:rPr>
          <w:rFonts w:cstheme="minorHAnsi"/>
          <w:color w:val="auto"/>
        </w:rPr>
        <w:t xml:space="preserve">possible </w:t>
      </w:r>
      <w:r w:rsidRPr="00F64D9C">
        <w:rPr>
          <w:rFonts w:cstheme="minorHAnsi"/>
          <w:color w:val="auto"/>
        </w:rPr>
        <w:t>if complete education, good health, and a well-nourished childhood</w:t>
      </w:r>
      <w:r w:rsidR="00AE3BEB">
        <w:rPr>
          <w:rFonts w:cstheme="minorHAnsi"/>
          <w:color w:val="auto"/>
        </w:rPr>
        <w:t xml:space="preserve"> were </w:t>
      </w:r>
      <w:r w:rsidR="00AE3BEB" w:rsidRPr="00657E26">
        <w:rPr>
          <w:rFonts w:cstheme="minorHAnsi"/>
          <w:color w:val="auto"/>
        </w:rPr>
        <w:t>attained</w:t>
      </w:r>
      <w:r w:rsidRPr="00657E26">
        <w:rPr>
          <w:rFonts w:cstheme="minorHAnsi"/>
          <w:color w:val="auto"/>
        </w:rPr>
        <w:t xml:space="preserve">. </w:t>
      </w:r>
    </w:p>
    <w:p w:rsidR="00F15D27" w:rsidRPr="009C42BB" w:rsidRDefault="00F15D27" w:rsidP="00F15D27">
      <w:pPr>
        <w:pStyle w:val="TableParagraph"/>
        <w:spacing w:before="120" w:after="120"/>
        <w:rPr>
          <w:rFonts w:asciiTheme="minorHAnsi" w:eastAsiaTheme="minorHAnsi" w:hAnsiTheme="minorHAnsi" w:cstheme="minorHAnsi"/>
          <w:lang w:val="en-GB"/>
        </w:rPr>
      </w:pPr>
      <w:r w:rsidRPr="00394FEC">
        <w:rPr>
          <w:rFonts w:asciiTheme="minorHAnsi" w:eastAsiaTheme="minorHAnsi" w:hAnsiTheme="minorHAnsi" w:cstheme="minorHAnsi"/>
          <w:lang w:val="en-GB"/>
        </w:rPr>
        <w:t>Cambodia's infrastructure</w:t>
      </w:r>
      <w:r w:rsidR="000A345A">
        <w:rPr>
          <w:rFonts w:asciiTheme="minorHAnsi" w:eastAsiaTheme="minorHAnsi" w:hAnsiTheme="minorHAnsi" w:cstheme="minorHAnsi"/>
          <w:lang w:val="en-GB"/>
        </w:rPr>
        <w:t xml:space="preserve"> </w:t>
      </w:r>
      <w:r w:rsidR="00274942">
        <w:rPr>
          <w:rFonts w:asciiTheme="minorHAnsi" w:eastAsiaTheme="minorHAnsi" w:hAnsiTheme="minorHAnsi" w:cstheme="minorHAnsi"/>
          <w:lang w:val="en-GB"/>
        </w:rPr>
        <w:t>remained</w:t>
      </w:r>
      <w:r w:rsidRPr="00394FEC">
        <w:rPr>
          <w:rFonts w:asciiTheme="minorHAnsi" w:eastAsiaTheme="minorHAnsi" w:hAnsiTheme="minorHAnsi" w:cstheme="minorHAnsi"/>
          <w:lang w:val="en-GB"/>
        </w:rPr>
        <w:t xml:space="preserve"> underdeveloped and underfunded, particularly in rural areas</w:t>
      </w:r>
      <w:r w:rsidR="00386D22" w:rsidRPr="00394FEC">
        <w:rPr>
          <w:rFonts w:asciiTheme="minorHAnsi" w:eastAsiaTheme="minorHAnsi" w:hAnsiTheme="minorHAnsi" w:cstheme="minorHAnsi"/>
          <w:lang w:val="en-GB"/>
        </w:rPr>
        <w:t>, although greater investment over the last decade has expanded access to electricity and improved the road network</w:t>
      </w:r>
      <w:r w:rsidR="00034F35" w:rsidRPr="00394FEC">
        <w:rPr>
          <w:rFonts w:asciiTheme="minorHAnsi" w:eastAsiaTheme="minorHAnsi" w:hAnsiTheme="minorHAnsi" w:cstheme="minorHAnsi"/>
          <w:lang w:val="en-GB"/>
        </w:rPr>
        <w:t xml:space="preserve">. </w:t>
      </w:r>
      <w:r w:rsidR="00434858">
        <w:rPr>
          <w:rFonts w:asciiTheme="minorHAnsi" w:eastAsiaTheme="minorHAnsi" w:hAnsiTheme="minorHAnsi" w:cstheme="minorHAnsi"/>
          <w:lang w:val="en-GB"/>
        </w:rPr>
        <w:t>Access to piped water remain</w:t>
      </w:r>
      <w:r w:rsidR="000A345A">
        <w:rPr>
          <w:rFonts w:asciiTheme="minorHAnsi" w:eastAsiaTheme="minorHAnsi" w:hAnsiTheme="minorHAnsi" w:cstheme="minorHAnsi"/>
          <w:lang w:val="en-GB"/>
        </w:rPr>
        <w:t>ed</w:t>
      </w:r>
      <w:r w:rsidR="00434858">
        <w:rPr>
          <w:rFonts w:asciiTheme="minorHAnsi" w:eastAsiaTheme="minorHAnsi" w:hAnsiTheme="minorHAnsi" w:cstheme="minorHAnsi"/>
          <w:lang w:val="en-GB"/>
        </w:rPr>
        <w:t xml:space="preserve"> a major challenge, with only 26.1</w:t>
      </w:r>
      <w:r w:rsidR="007E6E7B">
        <w:rPr>
          <w:rFonts w:asciiTheme="minorHAnsi" w:eastAsiaTheme="minorHAnsi" w:hAnsiTheme="minorHAnsi" w:cstheme="minorHAnsi"/>
          <w:lang w:val="en-GB"/>
        </w:rPr>
        <w:t xml:space="preserve"> per cent</w:t>
      </w:r>
      <w:r w:rsidR="00434858">
        <w:rPr>
          <w:rFonts w:asciiTheme="minorHAnsi" w:eastAsiaTheme="minorHAnsi" w:hAnsiTheme="minorHAnsi" w:cstheme="minorHAnsi"/>
          <w:lang w:val="en-GB"/>
        </w:rPr>
        <w:t xml:space="preserve"> of the population having a connection in 2017</w:t>
      </w:r>
      <w:r w:rsidR="007E6E7B">
        <w:rPr>
          <w:rFonts w:asciiTheme="minorHAnsi" w:eastAsiaTheme="minorHAnsi" w:hAnsiTheme="minorHAnsi" w:cstheme="minorHAnsi"/>
          <w:lang w:val="en-GB"/>
        </w:rPr>
        <w:t xml:space="preserve"> (and only 10.9 per cent in rural areas)</w:t>
      </w:r>
      <w:r w:rsidR="00434858">
        <w:rPr>
          <w:rFonts w:asciiTheme="minorHAnsi" w:eastAsiaTheme="minorHAnsi" w:hAnsiTheme="minorHAnsi" w:cstheme="minorHAnsi"/>
          <w:lang w:val="en-GB"/>
        </w:rPr>
        <w:t xml:space="preserve">. </w:t>
      </w:r>
      <w:r w:rsidRPr="00394FEC">
        <w:rPr>
          <w:rFonts w:asciiTheme="minorHAnsi" w:eastAsiaTheme="minorHAnsi" w:hAnsiTheme="minorHAnsi" w:cstheme="minorHAnsi"/>
          <w:lang w:val="en-GB"/>
        </w:rPr>
        <w:t>Cambodia is increasingly looking to the private sector to help fund, build, operate and maintain key utilities and other infrastructure services, including electricity and water infrastructure. Rapid, well-planned</w:t>
      </w:r>
      <w:r w:rsidR="00386D22" w:rsidRPr="00394FEC">
        <w:rPr>
          <w:rFonts w:asciiTheme="minorHAnsi" w:eastAsiaTheme="minorHAnsi" w:hAnsiTheme="minorHAnsi" w:cstheme="minorHAnsi"/>
          <w:lang w:val="en-GB"/>
        </w:rPr>
        <w:t xml:space="preserve"> </w:t>
      </w:r>
      <w:r w:rsidRPr="00394FEC">
        <w:rPr>
          <w:rFonts w:asciiTheme="minorHAnsi" w:eastAsiaTheme="minorHAnsi" w:hAnsiTheme="minorHAnsi" w:cstheme="minorHAnsi"/>
          <w:lang w:val="en-GB"/>
        </w:rPr>
        <w:t xml:space="preserve">and high quality infrastructure expansion </w:t>
      </w:r>
      <w:r w:rsidR="002F64DD" w:rsidRPr="00394FEC">
        <w:rPr>
          <w:rFonts w:asciiTheme="minorHAnsi" w:eastAsiaTheme="minorHAnsi" w:hAnsiTheme="minorHAnsi" w:cstheme="minorHAnsi"/>
          <w:lang w:val="en-GB"/>
        </w:rPr>
        <w:t xml:space="preserve">– </w:t>
      </w:r>
      <w:r w:rsidR="00657E26" w:rsidRPr="00394FEC">
        <w:rPr>
          <w:rFonts w:asciiTheme="minorHAnsi" w:eastAsiaTheme="minorHAnsi" w:hAnsiTheme="minorHAnsi" w:cstheme="minorHAnsi"/>
          <w:lang w:val="en-GB"/>
        </w:rPr>
        <w:t>along with</w:t>
      </w:r>
      <w:r w:rsidR="002F64DD" w:rsidRPr="00394FEC">
        <w:rPr>
          <w:rFonts w:asciiTheme="minorHAnsi" w:eastAsiaTheme="minorHAnsi" w:hAnsiTheme="minorHAnsi" w:cstheme="minorHAnsi"/>
          <w:lang w:val="en-GB"/>
        </w:rPr>
        <w:t xml:space="preserve"> investment in </w:t>
      </w:r>
      <w:r w:rsidR="00657E26" w:rsidRPr="00394FEC">
        <w:rPr>
          <w:rFonts w:asciiTheme="minorHAnsi" w:eastAsiaTheme="minorHAnsi" w:hAnsiTheme="minorHAnsi" w:cstheme="minorHAnsi"/>
          <w:lang w:val="en-GB"/>
        </w:rPr>
        <w:t xml:space="preserve">systems for </w:t>
      </w:r>
      <w:r w:rsidR="002F64DD" w:rsidRPr="00394FEC">
        <w:rPr>
          <w:rFonts w:asciiTheme="minorHAnsi" w:eastAsiaTheme="minorHAnsi" w:hAnsiTheme="minorHAnsi" w:cstheme="minorHAnsi"/>
          <w:lang w:val="en-GB"/>
        </w:rPr>
        <w:t>operation and maintenance</w:t>
      </w:r>
      <w:r w:rsidR="00034F35" w:rsidRPr="00394FEC">
        <w:rPr>
          <w:rFonts w:asciiTheme="minorHAnsi" w:eastAsiaTheme="minorHAnsi" w:hAnsiTheme="minorHAnsi" w:cstheme="minorHAnsi"/>
          <w:lang w:val="en-GB"/>
        </w:rPr>
        <w:t xml:space="preserve"> </w:t>
      </w:r>
      <w:r w:rsidR="002F64DD" w:rsidRPr="00394FEC">
        <w:rPr>
          <w:rFonts w:asciiTheme="minorHAnsi" w:eastAsiaTheme="minorHAnsi" w:hAnsiTheme="minorHAnsi" w:cstheme="minorHAnsi"/>
          <w:lang w:val="en-GB"/>
        </w:rPr>
        <w:t>–</w:t>
      </w:r>
      <w:r w:rsidRPr="00394FEC">
        <w:rPr>
          <w:rFonts w:asciiTheme="minorHAnsi" w:eastAsiaTheme="minorHAnsi" w:hAnsiTheme="minorHAnsi" w:cstheme="minorHAnsi"/>
          <w:lang w:val="en-GB"/>
        </w:rPr>
        <w:t xml:space="preserve"> is needed to </w:t>
      </w:r>
      <w:r w:rsidR="00657E26" w:rsidRPr="00394FEC">
        <w:rPr>
          <w:rFonts w:asciiTheme="minorHAnsi" w:eastAsiaTheme="minorHAnsi" w:hAnsiTheme="minorHAnsi" w:cstheme="minorHAnsi"/>
          <w:lang w:val="en-GB"/>
        </w:rPr>
        <w:t xml:space="preserve">equitably </w:t>
      </w:r>
      <w:r w:rsidRPr="00394FEC">
        <w:rPr>
          <w:rFonts w:asciiTheme="minorHAnsi" w:eastAsiaTheme="minorHAnsi" w:hAnsiTheme="minorHAnsi" w:cstheme="minorHAnsi"/>
          <w:lang w:val="en-GB"/>
        </w:rPr>
        <w:t xml:space="preserve">drive </w:t>
      </w:r>
      <w:r w:rsidR="00E13736" w:rsidRPr="00394FEC">
        <w:rPr>
          <w:rFonts w:asciiTheme="minorHAnsi" w:eastAsiaTheme="minorHAnsi" w:hAnsiTheme="minorHAnsi" w:cstheme="minorHAnsi"/>
          <w:lang w:val="en-GB"/>
        </w:rPr>
        <w:t>improvements in basic living standards</w:t>
      </w:r>
      <w:r w:rsidR="00E21A31" w:rsidRPr="00394FEC">
        <w:rPr>
          <w:rFonts w:asciiTheme="minorHAnsi" w:eastAsiaTheme="minorHAnsi" w:hAnsiTheme="minorHAnsi" w:cstheme="minorHAnsi"/>
          <w:lang w:val="en-GB"/>
        </w:rPr>
        <w:t xml:space="preserve"> across Cambodia</w:t>
      </w:r>
      <w:r w:rsidR="00E13736" w:rsidRPr="00394FEC">
        <w:rPr>
          <w:rFonts w:asciiTheme="minorHAnsi" w:eastAsiaTheme="minorHAnsi" w:hAnsiTheme="minorHAnsi" w:cstheme="minorHAnsi"/>
          <w:lang w:val="en-GB"/>
        </w:rPr>
        <w:t>.</w:t>
      </w:r>
      <w:r w:rsidR="00E13736">
        <w:rPr>
          <w:rFonts w:asciiTheme="minorHAnsi" w:eastAsiaTheme="minorHAnsi" w:hAnsiTheme="minorHAnsi" w:cstheme="minorHAnsi"/>
          <w:lang w:val="en-GB"/>
        </w:rPr>
        <w:t xml:space="preserve"> </w:t>
      </w:r>
    </w:p>
    <w:p w:rsidR="00F15D27" w:rsidRPr="00F15D27" w:rsidRDefault="00FF35CA" w:rsidP="003C13C8">
      <w:pPr>
        <w:pStyle w:val="BodyText"/>
        <w:suppressAutoHyphens/>
        <w:spacing w:before="120" w:after="60" w:line="260" w:lineRule="atLeast"/>
        <w:rPr>
          <w:rFonts w:asciiTheme="minorHAnsi" w:eastAsiaTheme="minorHAnsi" w:hAnsiTheme="minorHAnsi" w:cstheme="minorHAnsi"/>
          <w:sz w:val="22"/>
          <w:szCs w:val="22"/>
          <w:lang w:val="en-GB" w:eastAsia="en-US"/>
        </w:rPr>
      </w:pPr>
      <w:r w:rsidRPr="009C42BB">
        <w:rPr>
          <w:rFonts w:asciiTheme="minorHAnsi" w:eastAsiaTheme="minorHAnsi" w:hAnsiTheme="minorHAnsi" w:cstheme="minorHAnsi"/>
          <w:sz w:val="22"/>
          <w:szCs w:val="22"/>
          <w:lang w:val="en-GB" w:eastAsia="en-US"/>
        </w:rPr>
        <w:t>Agricultural growth and rural resilience continued to be important to broader economic growth and stability</w:t>
      </w:r>
      <w:r w:rsidR="001518A5">
        <w:rPr>
          <w:rFonts w:asciiTheme="minorHAnsi" w:eastAsiaTheme="minorHAnsi" w:hAnsiTheme="minorHAnsi" w:cstheme="minorHAnsi"/>
          <w:sz w:val="22"/>
          <w:szCs w:val="22"/>
          <w:lang w:val="en-GB" w:eastAsia="en-US"/>
        </w:rPr>
        <w:t>, and poverty reduction</w:t>
      </w:r>
      <w:r w:rsidRPr="009C42BB">
        <w:rPr>
          <w:rFonts w:asciiTheme="minorHAnsi" w:eastAsiaTheme="minorHAnsi" w:hAnsiTheme="minorHAnsi" w:cstheme="minorHAnsi"/>
          <w:sz w:val="22"/>
          <w:szCs w:val="22"/>
          <w:lang w:val="en-GB" w:eastAsia="en-US"/>
        </w:rPr>
        <w:t>. </w:t>
      </w:r>
      <w:r w:rsidR="00E21A31">
        <w:rPr>
          <w:rFonts w:asciiTheme="minorHAnsi" w:eastAsiaTheme="minorHAnsi" w:hAnsiTheme="minorHAnsi" w:cstheme="minorHAnsi"/>
          <w:sz w:val="22"/>
          <w:szCs w:val="22"/>
          <w:lang w:val="en-GB" w:eastAsia="en-US"/>
        </w:rPr>
        <w:t xml:space="preserve">Improvements in agricultural yield and farmer incomes </w:t>
      </w:r>
      <w:r w:rsidR="000A345A">
        <w:rPr>
          <w:rFonts w:asciiTheme="minorHAnsi" w:eastAsiaTheme="minorHAnsi" w:hAnsiTheme="minorHAnsi" w:cstheme="minorHAnsi"/>
          <w:sz w:val="22"/>
          <w:szCs w:val="22"/>
          <w:lang w:val="en-GB" w:eastAsia="en-US"/>
        </w:rPr>
        <w:t>we</w:t>
      </w:r>
      <w:r w:rsidR="00E21A31">
        <w:rPr>
          <w:rFonts w:asciiTheme="minorHAnsi" w:eastAsiaTheme="minorHAnsi" w:hAnsiTheme="minorHAnsi" w:cstheme="minorHAnsi"/>
          <w:sz w:val="22"/>
          <w:szCs w:val="22"/>
          <w:lang w:val="en-GB" w:eastAsia="en-US"/>
        </w:rPr>
        <w:t xml:space="preserve">re </w:t>
      </w:r>
      <w:r w:rsidR="00E21A31" w:rsidRPr="00C0102F">
        <w:rPr>
          <w:rFonts w:asciiTheme="minorHAnsi" w:eastAsiaTheme="minorHAnsi" w:hAnsiTheme="minorHAnsi" w:cstheme="minorHAnsi"/>
          <w:sz w:val="22"/>
          <w:szCs w:val="22"/>
          <w:lang w:val="en-GB" w:eastAsia="en-US"/>
        </w:rPr>
        <w:t>particularly important for the poor, the majority of whom live in rural areas and work in agriculture.</w:t>
      </w:r>
      <w:r w:rsidR="00E21A31">
        <w:rPr>
          <w:rFonts w:asciiTheme="minorHAnsi" w:eastAsiaTheme="minorHAnsi" w:hAnsiTheme="minorHAnsi" w:cstheme="minorHAnsi"/>
          <w:sz w:val="22"/>
          <w:szCs w:val="22"/>
          <w:lang w:val="en-GB" w:eastAsia="en-US"/>
        </w:rPr>
        <w:t xml:space="preserve"> While </w:t>
      </w:r>
      <w:r w:rsidR="00F15D27" w:rsidRPr="00F15D27">
        <w:rPr>
          <w:rFonts w:asciiTheme="minorHAnsi" w:eastAsiaTheme="minorHAnsi" w:hAnsiTheme="minorHAnsi" w:cstheme="minorHAnsi"/>
          <w:sz w:val="22"/>
          <w:szCs w:val="22"/>
          <w:lang w:val="en-GB" w:eastAsia="en-US"/>
        </w:rPr>
        <w:t>Cambodia has become a major rice exporter</w:t>
      </w:r>
      <w:r w:rsidR="00E21A31">
        <w:rPr>
          <w:rFonts w:asciiTheme="minorHAnsi" w:eastAsiaTheme="minorHAnsi" w:hAnsiTheme="minorHAnsi" w:cstheme="minorHAnsi"/>
          <w:sz w:val="22"/>
          <w:szCs w:val="22"/>
          <w:lang w:val="en-GB" w:eastAsia="en-US"/>
        </w:rPr>
        <w:t xml:space="preserve">, </w:t>
      </w:r>
      <w:r w:rsidR="00F15D27" w:rsidRPr="00F15D27">
        <w:rPr>
          <w:rFonts w:asciiTheme="minorHAnsi" w:eastAsiaTheme="minorHAnsi" w:hAnsiTheme="minorHAnsi" w:cstheme="minorHAnsi"/>
          <w:sz w:val="22"/>
          <w:szCs w:val="22"/>
          <w:lang w:val="en-GB" w:eastAsia="en-US"/>
        </w:rPr>
        <w:t xml:space="preserve">the agricultural sector has only taken initial steps towards modernisation, and </w:t>
      </w:r>
      <w:r w:rsidR="005C1796">
        <w:rPr>
          <w:rFonts w:asciiTheme="minorHAnsi" w:eastAsiaTheme="minorHAnsi" w:hAnsiTheme="minorHAnsi" w:cstheme="minorHAnsi"/>
          <w:sz w:val="22"/>
          <w:szCs w:val="22"/>
          <w:lang w:val="en-GB" w:eastAsia="en-US"/>
        </w:rPr>
        <w:t xml:space="preserve">has </w:t>
      </w:r>
      <w:r w:rsidR="00F15D27" w:rsidRPr="00F15D27">
        <w:rPr>
          <w:rFonts w:asciiTheme="minorHAnsi" w:eastAsiaTheme="minorHAnsi" w:hAnsiTheme="minorHAnsi" w:cstheme="minorHAnsi"/>
          <w:sz w:val="22"/>
          <w:szCs w:val="22"/>
          <w:lang w:val="en-GB" w:eastAsia="en-US"/>
        </w:rPr>
        <w:t>remain</w:t>
      </w:r>
      <w:r w:rsidR="000A345A">
        <w:rPr>
          <w:rFonts w:asciiTheme="minorHAnsi" w:eastAsiaTheme="minorHAnsi" w:hAnsiTheme="minorHAnsi" w:cstheme="minorHAnsi"/>
          <w:sz w:val="22"/>
          <w:szCs w:val="22"/>
          <w:lang w:val="en-GB" w:eastAsia="en-US"/>
        </w:rPr>
        <w:t>ed</w:t>
      </w:r>
      <w:r w:rsidR="00F15D27" w:rsidRPr="00F15D27">
        <w:rPr>
          <w:rFonts w:asciiTheme="minorHAnsi" w:eastAsiaTheme="minorHAnsi" w:hAnsiTheme="minorHAnsi" w:cstheme="minorHAnsi"/>
          <w:sz w:val="22"/>
          <w:szCs w:val="22"/>
          <w:lang w:val="en-GB" w:eastAsia="en-US"/>
        </w:rPr>
        <w:t xml:space="preserve"> largely undiversified.</w:t>
      </w:r>
      <w:r w:rsidR="00C0102F">
        <w:rPr>
          <w:rFonts w:asciiTheme="minorHAnsi" w:eastAsiaTheme="minorHAnsi" w:hAnsiTheme="minorHAnsi" w:cstheme="minorHAnsi"/>
          <w:sz w:val="22"/>
          <w:szCs w:val="22"/>
          <w:lang w:val="en-GB" w:eastAsia="en-US"/>
        </w:rPr>
        <w:t xml:space="preserve"> </w:t>
      </w:r>
      <w:r w:rsidR="00236023" w:rsidRPr="00236023">
        <w:rPr>
          <w:rFonts w:asciiTheme="minorHAnsi" w:eastAsiaTheme="minorHAnsi" w:hAnsiTheme="minorHAnsi" w:cstheme="minorHAnsi"/>
          <w:sz w:val="22"/>
          <w:szCs w:val="22"/>
          <w:lang w:val="en-GB" w:eastAsia="en-US"/>
        </w:rPr>
        <w:t xml:space="preserve">Rural labour shortages, </w:t>
      </w:r>
      <w:r w:rsidR="009A62B1">
        <w:rPr>
          <w:rFonts w:asciiTheme="minorHAnsi" w:eastAsiaTheme="minorHAnsi" w:hAnsiTheme="minorHAnsi" w:cstheme="minorHAnsi"/>
          <w:sz w:val="22"/>
          <w:szCs w:val="22"/>
          <w:lang w:val="en-GB" w:eastAsia="en-US"/>
        </w:rPr>
        <w:t xml:space="preserve">the consequent imperative to mechanise, and </w:t>
      </w:r>
      <w:r w:rsidR="00236023" w:rsidRPr="00236023">
        <w:rPr>
          <w:rFonts w:asciiTheme="minorHAnsi" w:eastAsiaTheme="minorHAnsi" w:hAnsiTheme="minorHAnsi" w:cstheme="minorHAnsi"/>
          <w:sz w:val="22"/>
          <w:szCs w:val="22"/>
          <w:lang w:val="en-GB" w:eastAsia="en-US"/>
        </w:rPr>
        <w:t>climate change</w:t>
      </w:r>
      <w:r w:rsidR="009A62B1">
        <w:rPr>
          <w:rFonts w:asciiTheme="minorHAnsi" w:eastAsiaTheme="minorHAnsi" w:hAnsiTheme="minorHAnsi" w:cstheme="minorHAnsi"/>
          <w:sz w:val="22"/>
          <w:szCs w:val="22"/>
          <w:lang w:val="en-GB" w:eastAsia="en-US"/>
        </w:rPr>
        <w:t xml:space="preserve"> </w:t>
      </w:r>
      <w:r w:rsidR="00274942">
        <w:rPr>
          <w:rFonts w:asciiTheme="minorHAnsi" w:eastAsiaTheme="minorHAnsi" w:hAnsiTheme="minorHAnsi" w:cstheme="minorHAnsi"/>
          <w:sz w:val="22"/>
          <w:szCs w:val="22"/>
          <w:lang w:val="en-GB" w:eastAsia="en-US"/>
        </w:rPr>
        <w:t>a</w:t>
      </w:r>
      <w:r w:rsidR="00236023" w:rsidRPr="00236023">
        <w:rPr>
          <w:rFonts w:asciiTheme="minorHAnsi" w:eastAsiaTheme="minorHAnsi" w:hAnsiTheme="minorHAnsi" w:cstheme="minorHAnsi"/>
          <w:sz w:val="22"/>
          <w:szCs w:val="22"/>
          <w:lang w:val="en-GB" w:eastAsia="en-US"/>
        </w:rPr>
        <w:t>re among the challenges for the sector.</w:t>
      </w:r>
      <w:r w:rsidR="00236023">
        <w:rPr>
          <w:rFonts w:cstheme="minorHAnsi"/>
        </w:rPr>
        <w:t xml:space="preserve"> </w:t>
      </w:r>
    </w:p>
    <w:p w:rsidR="00480159" w:rsidRPr="003C13C8" w:rsidRDefault="00460D26" w:rsidP="003C13C8">
      <w:pPr>
        <w:rPr>
          <w:rFonts w:cstheme="minorHAnsi"/>
          <w:color w:val="auto"/>
        </w:rPr>
      </w:pPr>
      <w:r w:rsidRPr="0023766B">
        <w:rPr>
          <w:rFonts w:cstheme="minorHAnsi"/>
          <w:color w:val="auto"/>
        </w:rPr>
        <w:t xml:space="preserve">Accessibility of some basic services, such as health care, </w:t>
      </w:r>
      <w:r w:rsidR="005C1796">
        <w:rPr>
          <w:rFonts w:cstheme="minorHAnsi"/>
          <w:color w:val="auto"/>
        </w:rPr>
        <w:t xml:space="preserve">has </w:t>
      </w:r>
      <w:r w:rsidRPr="0023766B">
        <w:rPr>
          <w:rFonts w:cstheme="minorHAnsi"/>
          <w:color w:val="auto"/>
        </w:rPr>
        <w:t>remain</w:t>
      </w:r>
      <w:r w:rsidR="00F7691B" w:rsidRPr="0023766B">
        <w:rPr>
          <w:rFonts w:cstheme="minorHAnsi"/>
          <w:color w:val="auto"/>
        </w:rPr>
        <w:t>ed</w:t>
      </w:r>
      <w:r w:rsidRPr="0023766B">
        <w:rPr>
          <w:rFonts w:cstheme="minorHAnsi"/>
          <w:color w:val="auto"/>
        </w:rPr>
        <w:t xml:space="preserve"> a challenge. </w:t>
      </w:r>
      <w:r w:rsidR="003C13C8" w:rsidRPr="003C13C8">
        <w:rPr>
          <w:rFonts w:cstheme="minorHAnsi"/>
          <w:color w:val="auto"/>
        </w:rPr>
        <w:t>Cambodia</w:t>
      </w:r>
      <w:r w:rsidR="00494434">
        <w:rPr>
          <w:rFonts w:cstheme="minorHAnsi"/>
          <w:color w:val="auto"/>
        </w:rPr>
        <w:t xml:space="preserve">’s health system is a </w:t>
      </w:r>
      <w:r w:rsidR="005F37A2">
        <w:rPr>
          <w:rFonts w:cstheme="minorHAnsi"/>
          <w:color w:val="auto"/>
        </w:rPr>
        <w:t>mix of public and private health care providers</w:t>
      </w:r>
      <w:r w:rsidR="003C13C8" w:rsidRPr="003C13C8">
        <w:rPr>
          <w:rFonts w:cstheme="minorHAnsi"/>
          <w:color w:val="auto"/>
        </w:rPr>
        <w:t xml:space="preserve">. Public health facilities – mainly health centres </w:t>
      </w:r>
      <w:r w:rsidR="00BE46F0" w:rsidRPr="003C13C8">
        <w:rPr>
          <w:rFonts w:cstheme="minorHAnsi"/>
          <w:color w:val="auto"/>
        </w:rPr>
        <w:t>–</w:t>
      </w:r>
      <w:r w:rsidR="003C13C8" w:rsidRPr="003C13C8">
        <w:rPr>
          <w:rFonts w:cstheme="minorHAnsi"/>
          <w:color w:val="auto"/>
        </w:rPr>
        <w:t xml:space="preserve"> play a </w:t>
      </w:r>
      <w:r w:rsidR="004346F9">
        <w:rPr>
          <w:rFonts w:cstheme="minorHAnsi"/>
          <w:color w:val="auto"/>
        </w:rPr>
        <w:t>key</w:t>
      </w:r>
      <w:r w:rsidR="003C13C8" w:rsidRPr="003C13C8">
        <w:rPr>
          <w:rFonts w:cstheme="minorHAnsi"/>
          <w:color w:val="auto"/>
        </w:rPr>
        <w:t xml:space="preserve"> role in delivering preventive, maternal and child health care</w:t>
      </w:r>
      <w:r w:rsidR="00287150">
        <w:rPr>
          <w:rFonts w:cstheme="minorHAnsi"/>
          <w:color w:val="auto"/>
        </w:rPr>
        <w:t>.</w:t>
      </w:r>
      <w:r w:rsidR="00651FE9">
        <w:rPr>
          <w:rFonts w:cstheme="minorHAnsi"/>
          <w:color w:val="auto"/>
        </w:rPr>
        <w:t xml:space="preserve"> P</w:t>
      </w:r>
      <w:r w:rsidR="003C13C8" w:rsidRPr="003C13C8">
        <w:rPr>
          <w:rFonts w:cstheme="minorHAnsi"/>
          <w:color w:val="auto"/>
        </w:rPr>
        <w:t>rivate providers</w:t>
      </w:r>
      <w:r w:rsidR="00651FE9">
        <w:rPr>
          <w:rFonts w:cstheme="minorHAnsi"/>
          <w:color w:val="auto"/>
        </w:rPr>
        <w:t xml:space="preserve"> </w:t>
      </w:r>
      <w:r w:rsidR="003C13C8" w:rsidRPr="003C13C8">
        <w:rPr>
          <w:rFonts w:cstheme="minorHAnsi"/>
          <w:color w:val="auto"/>
        </w:rPr>
        <w:t xml:space="preserve">are responsible for a large share of outpatient care. Since 2004, </w:t>
      </w:r>
      <w:r w:rsidR="004346F9">
        <w:rPr>
          <w:rFonts w:cstheme="minorHAnsi"/>
          <w:color w:val="auto"/>
        </w:rPr>
        <w:t>reforms in health fina</w:t>
      </w:r>
      <w:r w:rsidR="00651FE9">
        <w:rPr>
          <w:rFonts w:cstheme="minorHAnsi"/>
          <w:color w:val="auto"/>
        </w:rPr>
        <w:t>ncing and service delivery have</w:t>
      </w:r>
      <w:r w:rsidR="003C13C8" w:rsidRPr="003C13C8">
        <w:rPr>
          <w:rFonts w:cstheme="minorHAnsi"/>
          <w:color w:val="auto"/>
        </w:rPr>
        <w:t xml:space="preserve"> seen reductions in financial burden, catastrophic expenditure incidence and impoverishments related to healthcare. </w:t>
      </w:r>
      <w:r w:rsidRPr="003C13C8">
        <w:rPr>
          <w:rFonts w:cstheme="minorHAnsi"/>
          <w:color w:val="auto"/>
        </w:rPr>
        <w:t>However, Cambodia’s</w:t>
      </w:r>
      <w:r w:rsidR="00480159" w:rsidRPr="003C13C8">
        <w:rPr>
          <w:rFonts w:cstheme="minorHAnsi"/>
          <w:color w:val="auto"/>
        </w:rPr>
        <w:t xml:space="preserve"> out-of-pocket health </w:t>
      </w:r>
      <w:r w:rsidRPr="003C13C8">
        <w:rPr>
          <w:rFonts w:cstheme="minorHAnsi"/>
          <w:color w:val="auto"/>
        </w:rPr>
        <w:t xml:space="preserve">costs </w:t>
      </w:r>
      <w:r w:rsidR="00274942" w:rsidRPr="003C13C8">
        <w:rPr>
          <w:rFonts w:cstheme="minorHAnsi"/>
          <w:color w:val="auto"/>
        </w:rPr>
        <w:t>are</w:t>
      </w:r>
      <w:r w:rsidRPr="003C13C8">
        <w:rPr>
          <w:rFonts w:cstheme="minorHAnsi"/>
          <w:color w:val="auto"/>
        </w:rPr>
        <w:t xml:space="preserve"> among some of the highest in the</w:t>
      </w:r>
      <w:r w:rsidR="00480159" w:rsidRPr="003C13C8">
        <w:rPr>
          <w:rFonts w:cstheme="minorHAnsi"/>
          <w:color w:val="auto"/>
        </w:rPr>
        <w:t xml:space="preserve"> world</w:t>
      </w:r>
      <w:r w:rsidR="00E07DC9" w:rsidRPr="003C13C8">
        <w:rPr>
          <w:rFonts w:cstheme="minorHAnsi"/>
          <w:color w:val="auto"/>
        </w:rPr>
        <w:t>, and are a contributor to continuing poverty</w:t>
      </w:r>
      <w:r w:rsidRPr="003C13C8">
        <w:rPr>
          <w:rFonts w:cstheme="minorHAnsi"/>
          <w:color w:val="auto"/>
        </w:rPr>
        <w:t xml:space="preserve">. </w:t>
      </w:r>
    </w:p>
    <w:p w:rsidR="003E0760" w:rsidRPr="00132E6C" w:rsidRDefault="00585A59" w:rsidP="00132E6C">
      <w:pPr>
        <w:rPr>
          <w:rFonts w:cstheme="minorHAnsi"/>
          <w:color w:val="auto"/>
        </w:rPr>
      </w:pPr>
      <w:r w:rsidRPr="00132E6C">
        <w:rPr>
          <w:rFonts w:cstheme="minorHAnsi"/>
          <w:color w:val="auto"/>
        </w:rPr>
        <w:t xml:space="preserve">The Cambodian Government </w:t>
      </w:r>
      <w:r w:rsidR="00287150">
        <w:rPr>
          <w:rFonts w:cstheme="minorHAnsi"/>
          <w:color w:val="auto"/>
        </w:rPr>
        <w:t>took action to address</w:t>
      </w:r>
      <w:r w:rsidR="00F7691B">
        <w:rPr>
          <w:rFonts w:cstheme="minorHAnsi"/>
          <w:color w:val="auto"/>
        </w:rPr>
        <w:t xml:space="preserve"> some of Cambodia’s</w:t>
      </w:r>
      <w:r w:rsidRPr="00132E6C">
        <w:rPr>
          <w:rFonts w:cstheme="minorHAnsi"/>
          <w:color w:val="auto"/>
        </w:rPr>
        <w:t xml:space="preserve"> gender equality challenges, and trends and trajectories </w:t>
      </w:r>
      <w:r w:rsidR="00274942">
        <w:rPr>
          <w:rFonts w:cstheme="minorHAnsi"/>
          <w:color w:val="auto"/>
        </w:rPr>
        <w:t>we</w:t>
      </w:r>
      <w:r w:rsidRPr="00132E6C">
        <w:rPr>
          <w:rFonts w:cstheme="minorHAnsi"/>
          <w:color w:val="auto"/>
        </w:rPr>
        <w:t xml:space="preserve">re </w:t>
      </w:r>
      <w:r w:rsidR="005C1796">
        <w:rPr>
          <w:rFonts w:cstheme="minorHAnsi"/>
          <w:color w:val="auto"/>
        </w:rPr>
        <w:t xml:space="preserve">more </w:t>
      </w:r>
      <w:r w:rsidRPr="00132E6C">
        <w:rPr>
          <w:rFonts w:cstheme="minorHAnsi"/>
          <w:color w:val="auto"/>
        </w:rPr>
        <w:t xml:space="preserve">positive. </w:t>
      </w:r>
      <w:r>
        <w:rPr>
          <w:rFonts w:cstheme="minorHAnsi"/>
          <w:color w:val="auto"/>
        </w:rPr>
        <w:t>However, C</w:t>
      </w:r>
      <w:r w:rsidR="003E0760" w:rsidRPr="003E0760">
        <w:rPr>
          <w:rFonts w:cstheme="minorHAnsi"/>
          <w:color w:val="auto"/>
        </w:rPr>
        <w:t>ambodia continue</w:t>
      </w:r>
      <w:r w:rsidR="00F7691B">
        <w:rPr>
          <w:rFonts w:cstheme="minorHAnsi"/>
          <w:color w:val="auto"/>
        </w:rPr>
        <w:t xml:space="preserve">d </w:t>
      </w:r>
      <w:r w:rsidR="003E0760" w:rsidRPr="003E0760">
        <w:rPr>
          <w:rFonts w:cstheme="minorHAnsi"/>
          <w:color w:val="auto"/>
        </w:rPr>
        <w:t>to experience significant gender inequalities. Cambodia ha</w:t>
      </w:r>
      <w:r w:rsidR="00274942">
        <w:rPr>
          <w:rFonts w:cstheme="minorHAnsi"/>
          <w:color w:val="auto"/>
        </w:rPr>
        <w:t>d</w:t>
      </w:r>
      <w:r w:rsidR="003E0760" w:rsidRPr="003E0760">
        <w:rPr>
          <w:rFonts w:cstheme="minorHAnsi"/>
          <w:color w:val="auto"/>
        </w:rPr>
        <w:t xml:space="preserve"> a Gender Inequality Index ranking of 116 out of 160 countries (UNDP 2017 index).</w:t>
      </w:r>
      <w:r w:rsidR="00132E6C" w:rsidRPr="00132E6C">
        <w:rPr>
          <w:rFonts w:cstheme="minorHAnsi"/>
          <w:color w:val="auto"/>
        </w:rPr>
        <w:t xml:space="preserve"> The participation of women in public decision</w:t>
      </w:r>
      <w:r w:rsidR="004046AE">
        <w:rPr>
          <w:rFonts w:cstheme="minorHAnsi"/>
          <w:color w:val="auto"/>
        </w:rPr>
        <w:t>-</w:t>
      </w:r>
      <w:r w:rsidR="00132E6C" w:rsidRPr="00132E6C">
        <w:rPr>
          <w:rFonts w:cstheme="minorHAnsi"/>
          <w:color w:val="auto"/>
        </w:rPr>
        <w:t>making at national and sub-national levels remain</w:t>
      </w:r>
      <w:r w:rsidR="00F7691B">
        <w:rPr>
          <w:rFonts w:cstheme="minorHAnsi"/>
          <w:color w:val="auto"/>
        </w:rPr>
        <w:t>ed</w:t>
      </w:r>
      <w:r w:rsidR="00132E6C" w:rsidRPr="00132E6C">
        <w:rPr>
          <w:rFonts w:cstheme="minorHAnsi"/>
          <w:color w:val="auto"/>
        </w:rPr>
        <w:t xml:space="preserve"> low. Of Cambodia’s 27-member Council of Ministers (Cabinet), only three members </w:t>
      </w:r>
      <w:r w:rsidR="00274942">
        <w:rPr>
          <w:rFonts w:cstheme="minorHAnsi"/>
          <w:color w:val="auto"/>
        </w:rPr>
        <w:t>we</w:t>
      </w:r>
      <w:r w:rsidR="00132E6C" w:rsidRPr="00132E6C">
        <w:rPr>
          <w:rFonts w:cstheme="minorHAnsi"/>
          <w:color w:val="auto"/>
        </w:rPr>
        <w:t>re women. A</w:t>
      </w:r>
      <w:r w:rsidR="00E21A31">
        <w:rPr>
          <w:rFonts w:cstheme="minorHAnsi"/>
          <w:color w:val="auto"/>
        </w:rPr>
        <w:t>ccording to the UNDP, a</w:t>
      </w:r>
      <w:r w:rsidR="00132E6C" w:rsidRPr="00132E6C">
        <w:rPr>
          <w:rFonts w:cstheme="minorHAnsi"/>
          <w:color w:val="auto"/>
        </w:rPr>
        <w:t>s at 2018, women only comprise</w:t>
      </w:r>
      <w:r w:rsidR="00F7691B">
        <w:rPr>
          <w:rFonts w:cstheme="minorHAnsi"/>
          <w:color w:val="auto"/>
        </w:rPr>
        <w:t>d</w:t>
      </w:r>
      <w:r w:rsidR="00132E6C" w:rsidRPr="00132E6C">
        <w:rPr>
          <w:rFonts w:cstheme="minorHAnsi"/>
          <w:color w:val="auto"/>
        </w:rPr>
        <w:t xml:space="preserve"> 20 per cent of members of the National Assembly, 10.3 per </w:t>
      </w:r>
      <w:r w:rsidR="00132E6C" w:rsidRPr="00132E6C">
        <w:rPr>
          <w:rFonts w:cstheme="minorHAnsi"/>
          <w:color w:val="auto"/>
        </w:rPr>
        <w:lastRenderedPageBreak/>
        <w:t xml:space="preserve">cent of ministers, 15.8 per cent of secretaries of state, </w:t>
      </w:r>
      <w:r w:rsidR="006B5E6F">
        <w:rPr>
          <w:rFonts w:cstheme="minorHAnsi"/>
          <w:color w:val="auto"/>
        </w:rPr>
        <w:t>four</w:t>
      </w:r>
      <w:r w:rsidR="006B5E6F" w:rsidRPr="00132E6C">
        <w:rPr>
          <w:rFonts w:cstheme="minorHAnsi"/>
          <w:color w:val="auto"/>
        </w:rPr>
        <w:t xml:space="preserve"> </w:t>
      </w:r>
      <w:r w:rsidR="00132E6C" w:rsidRPr="00132E6C">
        <w:rPr>
          <w:rFonts w:cstheme="minorHAnsi"/>
          <w:color w:val="auto"/>
        </w:rPr>
        <w:t>per cent of provincial governors and 14 per cent of commune council members.</w:t>
      </w:r>
    </w:p>
    <w:p w:rsidR="003E0760" w:rsidRPr="00132E6C" w:rsidRDefault="003529A3" w:rsidP="003E0760">
      <w:pPr>
        <w:spacing w:after="120" w:line="259" w:lineRule="auto"/>
        <w:rPr>
          <w:rFonts w:cstheme="minorHAnsi"/>
          <w:color w:val="auto"/>
        </w:rPr>
      </w:pPr>
      <w:r>
        <w:rPr>
          <w:rFonts w:cstheme="minorHAnsi"/>
          <w:color w:val="auto"/>
        </w:rPr>
        <w:t xml:space="preserve">This </w:t>
      </w:r>
      <w:r w:rsidR="009176DF">
        <w:rPr>
          <w:rFonts w:cstheme="minorHAnsi"/>
          <w:color w:val="auto"/>
        </w:rPr>
        <w:t xml:space="preserve">gender </w:t>
      </w:r>
      <w:r>
        <w:rPr>
          <w:rFonts w:cstheme="minorHAnsi"/>
          <w:color w:val="auto"/>
        </w:rPr>
        <w:t>inequality extend</w:t>
      </w:r>
      <w:r w:rsidR="00274942">
        <w:rPr>
          <w:rFonts w:cstheme="minorHAnsi"/>
          <w:color w:val="auto"/>
        </w:rPr>
        <w:t>ed</w:t>
      </w:r>
      <w:r>
        <w:rPr>
          <w:rFonts w:cstheme="minorHAnsi"/>
          <w:color w:val="auto"/>
        </w:rPr>
        <w:t xml:space="preserve"> to the private sector. </w:t>
      </w:r>
      <w:r w:rsidR="00F1542C" w:rsidRPr="00F1542C">
        <w:rPr>
          <w:rFonts w:cstheme="minorHAnsi"/>
          <w:color w:val="auto"/>
        </w:rPr>
        <w:t>Women d</w:t>
      </w:r>
      <w:r w:rsidR="00274942">
        <w:rPr>
          <w:rFonts w:cstheme="minorHAnsi"/>
          <w:color w:val="auto"/>
        </w:rPr>
        <w:t>id</w:t>
      </w:r>
      <w:r w:rsidR="00F1542C" w:rsidRPr="00F1542C">
        <w:rPr>
          <w:rFonts w:cstheme="minorHAnsi"/>
          <w:color w:val="auto"/>
        </w:rPr>
        <w:t xml:space="preserve"> not occupy many leadership positions, and </w:t>
      </w:r>
      <w:r w:rsidR="00274942">
        <w:rPr>
          <w:rFonts w:cstheme="minorHAnsi"/>
          <w:color w:val="auto"/>
        </w:rPr>
        <w:t>we</w:t>
      </w:r>
      <w:r w:rsidR="00F1542C" w:rsidRPr="00F1542C">
        <w:rPr>
          <w:rFonts w:cstheme="minorHAnsi"/>
          <w:color w:val="auto"/>
        </w:rPr>
        <w:t xml:space="preserve">re usually employed in lower productivity sectors. </w:t>
      </w:r>
      <w:r w:rsidR="00554B72">
        <w:rPr>
          <w:rFonts w:cstheme="minorHAnsi"/>
          <w:color w:val="auto"/>
        </w:rPr>
        <w:t>According to gender analysis by the Asian Development Bank</w:t>
      </w:r>
      <w:r w:rsidR="0090384A">
        <w:rPr>
          <w:rFonts w:cstheme="minorHAnsi"/>
          <w:color w:val="auto"/>
        </w:rPr>
        <w:t xml:space="preserve"> (ADB)</w:t>
      </w:r>
      <w:r w:rsidR="00554B72">
        <w:rPr>
          <w:rFonts w:cstheme="minorHAnsi"/>
          <w:color w:val="auto"/>
        </w:rPr>
        <w:t>, Cambodian b</w:t>
      </w:r>
      <w:r w:rsidR="000A453A" w:rsidRPr="00E646D5">
        <w:rPr>
          <w:rFonts w:cstheme="minorHAnsi"/>
          <w:color w:val="auto"/>
        </w:rPr>
        <w:t xml:space="preserve">usinesses owned by women are smaller and less profitable than those </w:t>
      </w:r>
      <w:r w:rsidR="00554B72" w:rsidRPr="00554B72">
        <w:rPr>
          <w:rFonts w:cstheme="minorHAnsi"/>
          <w:color w:val="auto"/>
        </w:rPr>
        <w:t>owne</w:t>
      </w:r>
      <w:r w:rsidR="00554B72">
        <w:rPr>
          <w:rFonts w:cstheme="minorHAnsi"/>
          <w:color w:val="auto"/>
        </w:rPr>
        <w:t>d</w:t>
      </w:r>
      <w:r w:rsidR="000A453A" w:rsidRPr="00E646D5">
        <w:rPr>
          <w:rFonts w:cstheme="minorHAnsi"/>
          <w:color w:val="auto"/>
        </w:rPr>
        <w:t xml:space="preserve"> by men</w:t>
      </w:r>
      <w:r w:rsidR="003E0760" w:rsidRPr="00132E6C">
        <w:rPr>
          <w:rFonts w:cstheme="minorHAnsi"/>
          <w:color w:val="auto"/>
        </w:rPr>
        <w:t>, and women still tend to be employed in lower leve</w:t>
      </w:r>
      <w:r w:rsidR="00132E6C" w:rsidRPr="00132E6C">
        <w:rPr>
          <w:rFonts w:cstheme="minorHAnsi"/>
          <w:color w:val="auto"/>
        </w:rPr>
        <w:t xml:space="preserve">l or unskilled roles, </w:t>
      </w:r>
      <w:r w:rsidR="003E0760" w:rsidRPr="00132E6C">
        <w:rPr>
          <w:rFonts w:cstheme="minorHAnsi"/>
          <w:color w:val="auto"/>
        </w:rPr>
        <w:t xml:space="preserve">reflecting inequality in educational attainment. </w:t>
      </w:r>
    </w:p>
    <w:p w:rsidR="00585A59" w:rsidRPr="00132E6C" w:rsidRDefault="00585A59" w:rsidP="00585A59">
      <w:pPr>
        <w:rPr>
          <w:rFonts w:cstheme="minorHAnsi"/>
          <w:color w:val="auto"/>
        </w:rPr>
      </w:pPr>
      <w:r w:rsidRPr="00132E6C">
        <w:rPr>
          <w:rFonts w:cstheme="minorHAnsi"/>
          <w:color w:val="auto"/>
        </w:rPr>
        <w:t>Cambodia perform</w:t>
      </w:r>
      <w:r w:rsidR="00274942">
        <w:rPr>
          <w:rFonts w:cstheme="minorHAnsi"/>
          <w:color w:val="auto"/>
        </w:rPr>
        <w:t>ed</w:t>
      </w:r>
      <w:r w:rsidRPr="00132E6C">
        <w:rPr>
          <w:rFonts w:cstheme="minorHAnsi"/>
          <w:color w:val="auto"/>
        </w:rPr>
        <w:t xml:space="preserve"> well on some measures of gender equality</w:t>
      </w:r>
      <w:r w:rsidR="00F7691B">
        <w:rPr>
          <w:rFonts w:cstheme="minorHAnsi"/>
          <w:color w:val="auto"/>
        </w:rPr>
        <w:t>. This include</w:t>
      </w:r>
      <w:r w:rsidR="00274942">
        <w:rPr>
          <w:rFonts w:cstheme="minorHAnsi"/>
          <w:color w:val="auto"/>
        </w:rPr>
        <w:t>d</w:t>
      </w:r>
      <w:r w:rsidRPr="00132E6C">
        <w:rPr>
          <w:rFonts w:cstheme="minorHAnsi"/>
          <w:color w:val="auto"/>
        </w:rPr>
        <w:t xml:space="preserve"> women’s participation in the labour force, which was </w:t>
      </w:r>
      <w:r w:rsidR="00F7691B">
        <w:rPr>
          <w:rFonts w:cstheme="minorHAnsi"/>
          <w:color w:val="auto"/>
        </w:rPr>
        <w:t xml:space="preserve">the highest in the region at </w:t>
      </w:r>
      <w:r w:rsidRPr="00132E6C">
        <w:rPr>
          <w:rFonts w:cstheme="minorHAnsi"/>
          <w:color w:val="auto"/>
        </w:rPr>
        <w:t>83.4 per cent in 2018</w:t>
      </w:r>
      <w:r w:rsidR="00F7691B">
        <w:rPr>
          <w:rFonts w:cstheme="minorHAnsi"/>
          <w:color w:val="auto"/>
        </w:rPr>
        <w:t xml:space="preserve">. </w:t>
      </w:r>
      <w:r w:rsidR="000A453A">
        <w:rPr>
          <w:rFonts w:cstheme="minorHAnsi"/>
          <w:color w:val="auto"/>
        </w:rPr>
        <w:t>Two-thirds</w:t>
      </w:r>
      <w:r w:rsidR="000A453A" w:rsidRPr="00132E6C">
        <w:rPr>
          <w:rFonts w:cstheme="minorHAnsi"/>
          <w:color w:val="auto"/>
        </w:rPr>
        <w:t xml:space="preserve"> </w:t>
      </w:r>
      <w:r w:rsidRPr="00132E6C">
        <w:rPr>
          <w:rFonts w:cstheme="minorHAnsi"/>
          <w:color w:val="auto"/>
        </w:rPr>
        <w:t xml:space="preserve">of all businesses </w:t>
      </w:r>
      <w:r w:rsidR="00274942">
        <w:rPr>
          <w:rFonts w:cstheme="minorHAnsi"/>
          <w:color w:val="auto"/>
        </w:rPr>
        <w:t>we</w:t>
      </w:r>
      <w:r w:rsidRPr="00132E6C">
        <w:rPr>
          <w:rFonts w:cstheme="minorHAnsi"/>
          <w:color w:val="auto"/>
        </w:rPr>
        <w:t xml:space="preserve">re owned by women. </w:t>
      </w:r>
      <w:r w:rsidRPr="00F1542C">
        <w:rPr>
          <w:rFonts w:cstheme="minorHAnsi"/>
          <w:color w:val="auto"/>
        </w:rPr>
        <w:t xml:space="preserve">However, about </w:t>
      </w:r>
      <w:r w:rsidR="00554B72">
        <w:rPr>
          <w:rFonts w:cstheme="minorHAnsi"/>
          <w:color w:val="auto"/>
        </w:rPr>
        <w:t>70</w:t>
      </w:r>
      <w:r w:rsidRPr="00F1542C">
        <w:rPr>
          <w:rFonts w:cstheme="minorHAnsi"/>
          <w:color w:val="auto"/>
        </w:rPr>
        <w:t xml:space="preserve"> per</w:t>
      </w:r>
      <w:r w:rsidR="00554B72">
        <w:rPr>
          <w:rFonts w:cstheme="minorHAnsi"/>
          <w:color w:val="auto"/>
        </w:rPr>
        <w:t xml:space="preserve"> </w:t>
      </w:r>
      <w:r w:rsidRPr="00F1542C">
        <w:rPr>
          <w:rFonts w:cstheme="minorHAnsi"/>
          <w:color w:val="auto"/>
        </w:rPr>
        <w:t xml:space="preserve">cent of </w:t>
      </w:r>
      <w:r w:rsidR="00554B72">
        <w:rPr>
          <w:rFonts w:cstheme="minorHAnsi"/>
          <w:color w:val="auto"/>
        </w:rPr>
        <w:t xml:space="preserve">employed </w:t>
      </w:r>
      <w:r w:rsidRPr="00F1542C">
        <w:rPr>
          <w:rFonts w:cstheme="minorHAnsi"/>
          <w:color w:val="auto"/>
        </w:rPr>
        <w:t>women remain</w:t>
      </w:r>
      <w:r w:rsidR="00274942">
        <w:rPr>
          <w:rFonts w:cstheme="minorHAnsi"/>
          <w:color w:val="auto"/>
        </w:rPr>
        <w:t>ed</w:t>
      </w:r>
      <w:r w:rsidRPr="00F1542C">
        <w:rPr>
          <w:rFonts w:cstheme="minorHAnsi"/>
          <w:color w:val="auto"/>
        </w:rPr>
        <w:t xml:space="preserve"> in vulnerable employment.</w:t>
      </w:r>
    </w:p>
    <w:p w:rsidR="003E0760" w:rsidRDefault="003E0760" w:rsidP="003E0760">
      <w:pPr>
        <w:rPr>
          <w:rFonts w:cstheme="minorHAnsi"/>
          <w:color w:val="auto"/>
        </w:rPr>
      </w:pPr>
      <w:r w:rsidRPr="00132E6C">
        <w:rPr>
          <w:rFonts w:cstheme="minorHAnsi"/>
          <w:color w:val="auto"/>
        </w:rPr>
        <w:t xml:space="preserve">Violence against women and girls in Cambodia </w:t>
      </w:r>
      <w:r w:rsidR="00274942">
        <w:rPr>
          <w:rFonts w:cstheme="minorHAnsi"/>
          <w:color w:val="auto"/>
        </w:rPr>
        <w:t>wa</w:t>
      </w:r>
      <w:r w:rsidRPr="00132E6C">
        <w:rPr>
          <w:rFonts w:cstheme="minorHAnsi"/>
          <w:color w:val="auto"/>
        </w:rPr>
        <w:t xml:space="preserve">s wide-spread, systemic, and </w:t>
      </w:r>
      <w:r w:rsidR="00FF7904">
        <w:rPr>
          <w:rFonts w:cstheme="minorHAnsi"/>
          <w:color w:val="auto"/>
        </w:rPr>
        <w:t>likely to be</w:t>
      </w:r>
      <w:r w:rsidRPr="00132E6C">
        <w:rPr>
          <w:rFonts w:cstheme="minorHAnsi"/>
          <w:color w:val="auto"/>
        </w:rPr>
        <w:t xml:space="preserve"> highly under reported.</w:t>
      </w:r>
      <w:r w:rsidR="00FF7904">
        <w:rPr>
          <w:rFonts w:cstheme="minorHAnsi"/>
          <w:color w:val="auto"/>
        </w:rPr>
        <w:t xml:space="preserve"> </w:t>
      </w:r>
      <w:r w:rsidR="00FF7904" w:rsidRPr="00FF7904">
        <w:rPr>
          <w:rFonts w:cstheme="minorHAnsi"/>
          <w:color w:val="auto"/>
        </w:rPr>
        <w:t xml:space="preserve">Rates of violence against women in Cambodia </w:t>
      </w:r>
      <w:r w:rsidR="00274942">
        <w:rPr>
          <w:rFonts w:cstheme="minorHAnsi"/>
          <w:color w:val="auto"/>
        </w:rPr>
        <w:t>we</w:t>
      </w:r>
      <w:r w:rsidR="00FF7904" w:rsidRPr="00FF7904">
        <w:rPr>
          <w:rFonts w:cstheme="minorHAnsi"/>
          <w:color w:val="auto"/>
        </w:rPr>
        <w:t>re amongst the highest in the region</w:t>
      </w:r>
      <w:r w:rsidR="00FF7904">
        <w:rPr>
          <w:rFonts w:cstheme="minorHAnsi"/>
          <w:color w:val="auto"/>
        </w:rPr>
        <w:t>.</w:t>
      </w:r>
    </w:p>
    <w:p w:rsidR="00585A59" w:rsidRPr="00476D84" w:rsidRDefault="00FF7904" w:rsidP="00476D84">
      <w:pPr>
        <w:pStyle w:val="BodyText"/>
        <w:suppressAutoHyphens/>
        <w:spacing w:before="120" w:after="60" w:line="260" w:lineRule="atLeast"/>
        <w:rPr>
          <w:rFonts w:asciiTheme="minorHAnsi" w:eastAsiaTheme="minorHAnsi" w:hAnsiTheme="minorHAnsi" w:cstheme="minorHAnsi"/>
          <w:sz w:val="22"/>
          <w:szCs w:val="22"/>
          <w:lang w:val="en-GB" w:eastAsia="en-US"/>
        </w:rPr>
      </w:pPr>
      <w:r w:rsidRPr="00FF7904">
        <w:rPr>
          <w:rFonts w:asciiTheme="minorHAnsi" w:eastAsiaTheme="minorHAnsi" w:hAnsiTheme="minorHAnsi" w:cstheme="minorHAnsi"/>
          <w:sz w:val="22"/>
          <w:szCs w:val="22"/>
          <w:lang w:val="en-GB" w:eastAsia="en-US"/>
        </w:rPr>
        <w:t xml:space="preserve">Cambodia </w:t>
      </w:r>
      <w:r w:rsidR="00274942">
        <w:rPr>
          <w:rFonts w:asciiTheme="minorHAnsi" w:eastAsiaTheme="minorHAnsi" w:hAnsiTheme="minorHAnsi" w:cstheme="minorHAnsi"/>
          <w:sz w:val="22"/>
          <w:szCs w:val="22"/>
          <w:lang w:val="en-GB" w:eastAsia="en-US"/>
        </w:rPr>
        <w:t>i</w:t>
      </w:r>
      <w:r w:rsidRPr="00FF7904">
        <w:rPr>
          <w:rFonts w:asciiTheme="minorHAnsi" w:eastAsiaTheme="minorHAnsi" w:hAnsiTheme="minorHAnsi" w:cstheme="minorHAnsi"/>
          <w:sz w:val="22"/>
          <w:szCs w:val="22"/>
          <w:lang w:val="en-GB" w:eastAsia="en-US"/>
        </w:rPr>
        <w:t xml:space="preserve">s subject to a number of risk factors which can lead to a high prevalence of disability. </w:t>
      </w:r>
      <w:r w:rsidR="00476D84">
        <w:rPr>
          <w:rFonts w:asciiTheme="minorHAnsi" w:eastAsiaTheme="minorHAnsi" w:hAnsiTheme="minorHAnsi" w:cstheme="minorHAnsi"/>
          <w:sz w:val="22"/>
          <w:szCs w:val="22"/>
          <w:lang w:val="en-GB" w:eastAsia="en-US"/>
        </w:rPr>
        <w:t>L</w:t>
      </w:r>
      <w:r w:rsidR="00476D84" w:rsidRPr="00FF7904">
        <w:rPr>
          <w:rFonts w:asciiTheme="minorHAnsi" w:eastAsiaTheme="minorHAnsi" w:hAnsiTheme="minorHAnsi" w:cstheme="minorHAnsi"/>
          <w:sz w:val="22"/>
          <w:szCs w:val="22"/>
          <w:lang w:val="en-GB" w:eastAsia="en-US"/>
        </w:rPr>
        <w:t xml:space="preserve">andmines and unexploded ordinance </w:t>
      </w:r>
      <w:r w:rsidR="00476D84">
        <w:rPr>
          <w:rFonts w:asciiTheme="minorHAnsi" w:eastAsiaTheme="minorHAnsi" w:hAnsiTheme="minorHAnsi" w:cstheme="minorHAnsi"/>
          <w:sz w:val="22"/>
          <w:szCs w:val="22"/>
          <w:lang w:val="en-GB" w:eastAsia="en-US"/>
        </w:rPr>
        <w:t xml:space="preserve">are </w:t>
      </w:r>
      <w:r w:rsidR="00476D84" w:rsidRPr="00FF7904">
        <w:rPr>
          <w:rFonts w:asciiTheme="minorHAnsi" w:eastAsiaTheme="minorHAnsi" w:hAnsiTheme="minorHAnsi" w:cstheme="minorHAnsi"/>
          <w:sz w:val="22"/>
          <w:szCs w:val="22"/>
          <w:lang w:val="en-GB" w:eastAsia="en-US"/>
        </w:rPr>
        <w:t>a leading historical cause of disability</w:t>
      </w:r>
      <w:r w:rsidR="00476D84">
        <w:rPr>
          <w:rFonts w:asciiTheme="minorHAnsi" w:eastAsiaTheme="minorHAnsi" w:hAnsiTheme="minorHAnsi" w:cstheme="minorHAnsi"/>
          <w:sz w:val="22"/>
          <w:szCs w:val="22"/>
          <w:lang w:val="en-GB" w:eastAsia="en-US"/>
        </w:rPr>
        <w:t xml:space="preserve">, although risk is reducing. </w:t>
      </w:r>
      <w:r w:rsidR="00585A59" w:rsidRPr="00476D84">
        <w:rPr>
          <w:rFonts w:asciiTheme="minorHAnsi" w:eastAsiaTheme="minorHAnsi" w:hAnsiTheme="minorHAnsi" w:cstheme="minorHAnsi"/>
          <w:sz w:val="22"/>
          <w:szCs w:val="22"/>
          <w:lang w:val="en-GB" w:eastAsia="en-US"/>
        </w:rPr>
        <w:t>Approximately 9.5 per cent of Cambodians over five years of age report</w:t>
      </w:r>
      <w:r w:rsidR="00274942">
        <w:rPr>
          <w:rFonts w:asciiTheme="minorHAnsi" w:eastAsiaTheme="minorHAnsi" w:hAnsiTheme="minorHAnsi" w:cstheme="minorHAnsi"/>
          <w:sz w:val="22"/>
          <w:szCs w:val="22"/>
          <w:lang w:val="en-GB" w:eastAsia="en-US"/>
        </w:rPr>
        <w:t>ed</w:t>
      </w:r>
      <w:r w:rsidR="00585A59" w:rsidRPr="00476D84">
        <w:rPr>
          <w:rFonts w:asciiTheme="minorHAnsi" w:eastAsiaTheme="minorHAnsi" w:hAnsiTheme="minorHAnsi" w:cstheme="minorHAnsi"/>
          <w:sz w:val="22"/>
          <w:szCs w:val="22"/>
          <w:lang w:val="en-GB" w:eastAsia="en-US"/>
        </w:rPr>
        <w:t xml:space="preserve"> some form of disability. </w:t>
      </w:r>
    </w:p>
    <w:p w:rsidR="003D5774" w:rsidRDefault="00B05B8A" w:rsidP="003D5774">
      <w:pPr>
        <w:spacing w:after="120" w:line="259" w:lineRule="auto"/>
        <w:rPr>
          <w:rFonts w:cstheme="minorHAnsi"/>
          <w:color w:val="auto"/>
        </w:rPr>
      </w:pPr>
      <w:r>
        <w:rPr>
          <w:rFonts w:cstheme="minorHAnsi"/>
          <w:color w:val="auto"/>
        </w:rPr>
        <w:t>Cambodia’s institutions need to evolve to deal with the technological, geopolitical, economic and environmental changes underway across Southeast Asia.</w:t>
      </w:r>
      <w:r w:rsidR="003D5774">
        <w:rPr>
          <w:rFonts w:cstheme="minorHAnsi"/>
          <w:color w:val="auto"/>
        </w:rPr>
        <w:t xml:space="preserve"> To leverage the </w:t>
      </w:r>
      <w:r w:rsidR="009055CE">
        <w:rPr>
          <w:rFonts w:cstheme="minorHAnsi"/>
          <w:color w:val="auto"/>
        </w:rPr>
        <w:t>benefits</w:t>
      </w:r>
      <w:r w:rsidR="003D5774">
        <w:rPr>
          <w:rFonts w:cstheme="minorHAnsi"/>
          <w:color w:val="auto"/>
        </w:rPr>
        <w:t xml:space="preserve"> arising from </w:t>
      </w:r>
      <w:r>
        <w:rPr>
          <w:rFonts w:cstheme="minorHAnsi"/>
          <w:color w:val="auto"/>
        </w:rPr>
        <w:t xml:space="preserve">some of the </w:t>
      </w:r>
      <w:r w:rsidR="003D5774">
        <w:rPr>
          <w:rFonts w:cstheme="minorHAnsi"/>
          <w:color w:val="auto"/>
        </w:rPr>
        <w:t>broad</w:t>
      </w:r>
      <w:r w:rsidR="00E21A31">
        <w:rPr>
          <w:rFonts w:cstheme="minorHAnsi"/>
          <w:color w:val="auto"/>
        </w:rPr>
        <w:t xml:space="preserve"> </w:t>
      </w:r>
      <w:r w:rsidR="003D5774">
        <w:rPr>
          <w:rFonts w:cstheme="minorHAnsi"/>
          <w:color w:val="auto"/>
        </w:rPr>
        <w:t xml:space="preserve">regional shifts, Cambodia has a need for increasingly sophisticated institutions. This includes in </w:t>
      </w:r>
      <w:r w:rsidR="003D5774" w:rsidRPr="003D5774">
        <w:rPr>
          <w:rFonts w:cstheme="minorHAnsi"/>
          <w:color w:val="auto"/>
        </w:rPr>
        <w:t>areas such as infrastructure, agriculture, health, education, law and order, and social protection.</w:t>
      </w:r>
    </w:p>
    <w:p w:rsidR="00E21A31" w:rsidRDefault="000032D7" w:rsidP="003D5774">
      <w:pPr>
        <w:spacing w:after="120" w:line="259" w:lineRule="auto"/>
        <w:rPr>
          <w:rFonts w:cstheme="minorHAnsi"/>
          <w:color w:val="auto"/>
        </w:rPr>
      </w:pPr>
      <w:r>
        <w:rPr>
          <w:rFonts w:cstheme="minorHAnsi"/>
          <w:color w:val="auto"/>
        </w:rPr>
        <w:t>Concerns about p</w:t>
      </w:r>
      <w:r w:rsidR="005C3826">
        <w:rPr>
          <w:rFonts w:cstheme="minorHAnsi"/>
          <w:color w:val="auto"/>
        </w:rPr>
        <w:t>olitical and human rights issues remained over 2018-19. Restrictions on freedom of expression and the media</w:t>
      </w:r>
      <w:r w:rsidR="009176DF">
        <w:rPr>
          <w:rFonts w:cstheme="minorHAnsi"/>
          <w:color w:val="auto"/>
        </w:rPr>
        <w:t xml:space="preserve"> continued</w:t>
      </w:r>
      <w:r w:rsidR="005C3826">
        <w:rPr>
          <w:rFonts w:cstheme="minorHAnsi"/>
          <w:color w:val="auto"/>
        </w:rPr>
        <w:t xml:space="preserve">, and </w:t>
      </w:r>
      <w:r w:rsidR="009176DF">
        <w:rPr>
          <w:rFonts w:cstheme="minorHAnsi"/>
          <w:color w:val="auto"/>
        </w:rPr>
        <w:t>the space for p</w:t>
      </w:r>
      <w:r w:rsidR="005C3826">
        <w:rPr>
          <w:rFonts w:cstheme="minorHAnsi"/>
          <w:color w:val="auto"/>
        </w:rPr>
        <w:t xml:space="preserve">olitical opposition </w:t>
      </w:r>
      <w:r w:rsidR="009176DF">
        <w:rPr>
          <w:rFonts w:cstheme="minorHAnsi"/>
          <w:color w:val="auto"/>
        </w:rPr>
        <w:t>remained narrow</w:t>
      </w:r>
      <w:r w:rsidR="005C3826">
        <w:rPr>
          <w:rFonts w:cstheme="minorHAnsi"/>
          <w:color w:val="auto"/>
        </w:rPr>
        <w:t xml:space="preserve">. </w:t>
      </w:r>
    </w:p>
    <w:p w:rsidR="00F02F42" w:rsidRDefault="00132E6C" w:rsidP="00F02F42">
      <w:pPr>
        <w:spacing w:after="120" w:line="259" w:lineRule="auto"/>
        <w:rPr>
          <w:rFonts w:cstheme="minorHAnsi"/>
          <w:color w:val="auto"/>
        </w:rPr>
      </w:pPr>
      <w:r w:rsidRPr="00A263C6">
        <w:rPr>
          <w:rFonts w:cstheme="minorHAnsi"/>
          <w:color w:val="auto"/>
        </w:rPr>
        <w:t>Offic</w:t>
      </w:r>
      <w:r>
        <w:rPr>
          <w:rFonts w:cstheme="minorHAnsi"/>
          <w:color w:val="auto"/>
        </w:rPr>
        <w:t>i</w:t>
      </w:r>
      <w:r w:rsidRPr="00A263C6">
        <w:rPr>
          <w:rFonts w:cstheme="minorHAnsi"/>
          <w:color w:val="auto"/>
        </w:rPr>
        <w:t xml:space="preserve">al Development Assistance (ODA) </w:t>
      </w:r>
      <w:r w:rsidR="00B77B41">
        <w:rPr>
          <w:rFonts w:cstheme="minorHAnsi"/>
          <w:color w:val="auto"/>
        </w:rPr>
        <w:t>reduced</w:t>
      </w:r>
      <w:r w:rsidR="00F02F42">
        <w:rPr>
          <w:rFonts w:cstheme="minorHAnsi"/>
          <w:color w:val="auto"/>
        </w:rPr>
        <w:t xml:space="preserve"> as a proportion of </w:t>
      </w:r>
      <w:r w:rsidR="002F64DD">
        <w:rPr>
          <w:rFonts w:cstheme="minorHAnsi"/>
          <w:color w:val="auto"/>
        </w:rPr>
        <w:t>overall public expenditure in Cambodia</w:t>
      </w:r>
      <w:r w:rsidR="00F02F42">
        <w:rPr>
          <w:rFonts w:cstheme="minorHAnsi"/>
          <w:color w:val="auto"/>
        </w:rPr>
        <w:t xml:space="preserve">. </w:t>
      </w:r>
      <w:r w:rsidR="001D2ECD">
        <w:rPr>
          <w:rFonts w:cstheme="minorHAnsi"/>
          <w:color w:val="auto"/>
        </w:rPr>
        <w:t xml:space="preserve">Public </w:t>
      </w:r>
      <w:r w:rsidR="001D2ECD" w:rsidRPr="00C84BB2">
        <w:rPr>
          <w:rFonts w:cstheme="minorHAnsi"/>
          <w:color w:val="auto"/>
        </w:rPr>
        <w:t>financial management r</w:t>
      </w:r>
      <w:r w:rsidR="00E21A31" w:rsidRPr="00C84BB2">
        <w:rPr>
          <w:rFonts w:cstheme="minorHAnsi"/>
          <w:color w:val="auto"/>
        </w:rPr>
        <w:t xml:space="preserve">eform </w:t>
      </w:r>
      <w:r w:rsidRPr="00C84BB2">
        <w:rPr>
          <w:rFonts w:cstheme="minorHAnsi"/>
          <w:color w:val="auto"/>
        </w:rPr>
        <w:t xml:space="preserve">has </w:t>
      </w:r>
      <w:r w:rsidR="001D2ECD" w:rsidRPr="00C84BB2">
        <w:rPr>
          <w:rFonts w:cstheme="minorHAnsi"/>
          <w:color w:val="auto"/>
        </w:rPr>
        <w:t xml:space="preserve">helped </w:t>
      </w:r>
      <w:r w:rsidR="00DB7BED" w:rsidRPr="00C84BB2">
        <w:rPr>
          <w:rFonts w:cstheme="minorHAnsi"/>
          <w:color w:val="auto"/>
        </w:rPr>
        <w:t xml:space="preserve">significantly increase </w:t>
      </w:r>
      <w:r w:rsidR="00434858">
        <w:rPr>
          <w:rFonts w:cstheme="minorHAnsi"/>
          <w:color w:val="auto"/>
        </w:rPr>
        <w:t>taxation</w:t>
      </w:r>
      <w:r w:rsidR="00434858" w:rsidRPr="00C84BB2">
        <w:rPr>
          <w:rFonts w:cstheme="minorHAnsi"/>
          <w:color w:val="auto"/>
        </w:rPr>
        <w:t xml:space="preserve"> </w:t>
      </w:r>
      <w:r w:rsidR="00DB7BED" w:rsidRPr="00C84BB2">
        <w:rPr>
          <w:rFonts w:cstheme="minorHAnsi"/>
          <w:color w:val="auto"/>
        </w:rPr>
        <w:t>revenue</w:t>
      </w:r>
      <w:r w:rsidR="00A263C6" w:rsidRPr="00C84BB2">
        <w:rPr>
          <w:rFonts w:cstheme="minorHAnsi"/>
          <w:color w:val="auto"/>
        </w:rPr>
        <w:t>, which reached a</w:t>
      </w:r>
      <w:r w:rsidR="00DA5EAD" w:rsidRPr="00C84BB2">
        <w:rPr>
          <w:rFonts w:cstheme="minorHAnsi"/>
          <w:color w:val="auto"/>
        </w:rPr>
        <w:t xml:space="preserve"> record high of </w:t>
      </w:r>
      <w:r w:rsidR="00C84BB2" w:rsidRPr="009D0984">
        <w:rPr>
          <w:rFonts w:cstheme="minorHAnsi"/>
          <w:color w:val="auto"/>
        </w:rPr>
        <w:t>1</w:t>
      </w:r>
      <w:r w:rsidR="00434858">
        <w:rPr>
          <w:rFonts w:cstheme="minorHAnsi"/>
          <w:color w:val="auto"/>
        </w:rPr>
        <w:t>7</w:t>
      </w:r>
      <w:r w:rsidR="00C84BB2" w:rsidRPr="009D0984">
        <w:rPr>
          <w:rFonts w:cstheme="minorHAnsi"/>
          <w:color w:val="auto"/>
        </w:rPr>
        <w:t>.</w:t>
      </w:r>
      <w:r w:rsidR="00A70627">
        <w:rPr>
          <w:rFonts w:cstheme="minorHAnsi"/>
          <w:color w:val="auto"/>
        </w:rPr>
        <w:t>5</w:t>
      </w:r>
      <w:r w:rsidR="00DA5EAD" w:rsidRPr="00C84BB2">
        <w:rPr>
          <w:rFonts w:cstheme="minorHAnsi"/>
          <w:color w:val="auto"/>
        </w:rPr>
        <w:t xml:space="preserve"> per cent of GDP in 2018</w:t>
      </w:r>
      <w:r w:rsidR="00A70627">
        <w:rPr>
          <w:rFonts w:cstheme="minorHAnsi"/>
          <w:color w:val="auto"/>
        </w:rPr>
        <w:t xml:space="preserve"> (an increase of 1.4 percentage points from the previous year)</w:t>
      </w:r>
      <w:r w:rsidRPr="00C84BB2">
        <w:rPr>
          <w:rFonts w:cstheme="minorHAnsi"/>
          <w:color w:val="auto"/>
        </w:rPr>
        <w:t xml:space="preserve">. </w:t>
      </w:r>
      <w:r w:rsidR="00FA3550" w:rsidRPr="00C84BB2">
        <w:rPr>
          <w:rFonts w:cstheme="minorHAnsi"/>
          <w:color w:val="auto"/>
        </w:rPr>
        <w:t>T</w:t>
      </w:r>
      <w:r w:rsidRPr="00C84BB2">
        <w:rPr>
          <w:rFonts w:cstheme="minorHAnsi"/>
          <w:color w:val="auto"/>
        </w:rPr>
        <w:t>he</w:t>
      </w:r>
      <w:r w:rsidR="00A263C6">
        <w:rPr>
          <w:rFonts w:cstheme="minorHAnsi"/>
          <w:color w:val="auto"/>
        </w:rPr>
        <w:t xml:space="preserve"> UNDP projects that ODA</w:t>
      </w:r>
      <w:r w:rsidR="00A263C6" w:rsidRPr="00A263C6">
        <w:rPr>
          <w:rFonts w:cstheme="minorHAnsi"/>
          <w:color w:val="auto"/>
        </w:rPr>
        <w:t xml:space="preserve"> </w:t>
      </w:r>
      <w:r w:rsidR="00A263C6">
        <w:rPr>
          <w:rFonts w:cstheme="minorHAnsi"/>
          <w:color w:val="auto"/>
        </w:rPr>
        <w:t xml:space="preserve">will represent </w:t>
      </w:r>
      <w:r w:rsidR="00A263C6" w:rsidRPr="00A263C6">
        <w:rPr>
          <w:rFonts w:cstheme="minorHAnsi"/>
          <w:color w:val="auto"/>
        </w:rPr>
        <w:t>just five per cent of Cambodia’s GDP in 2020, or less than ten per cent of total public expenditure.</w:t>
      </w:r>
      <w:r w:rsidR="00F02F42">
        <w:rPr>
          <w:rFonts w:cstheme="minorHAnsi"/>
          <w:color w:val="auto"/>
        </w:rPr>
        <w:t xml:space="preserve"> The </w:t>
      </w:r>
      <w:r w:rsidR="001D2ECD">
        <w:rPr>
          <w:rFonts w:cstheme="minorHAnsi"/>
          <w:color w:val="auto"/>
        </w:rPr>
        <w:t xml:space="preserve">relative </w:t>
      </w:r>
      <w:r w:rsidR="00F02F42">
        <w:rPr>
          <w:rFonts w:cstheme="minorHAnsi"/>
          <w:color w:val="auto"/>
        </w:rPr>
        <w:t>decline in ODA coincides with an</w:t>
      </w:r>
      <w:r w:rsidR="00F22FD5">
        <w:rPr>
          <w:rFonts w:cstheme="minorHAnsi"/>
          <w:color w:val="auto"/>
        </w:rPr>
        <w:t xml:space="preserve"> </w:t>
      </w:r>
      <w:r w:rsidR="00F02F42" w:rsidRPr="00BB4594">
        <w:rPr>
          <w:rFonts w:cstheme="minorHAnsi"/>
          <w:color w:val="auto"/>
        </w:rPr>
        <w:t xml:space="preserve">important shift toward </w:t>
      </w:r>
      <w:r w:rsidR="00F02F42">
        <w:rPr>
          <w:rFonts w:cstheme="minorHAnsi"/>
          <w:color w:val="auto"/>
        </w:rPr>
        <w:t xml:space="preserve">greater </w:t>
      </w:r>
      <w:r w:rsidR="00F02F42" w:rsidRPr="00BB4594">
        <w:rPr>
          <w:rFonts w:cstheme="minorHAnsi"/>
          <w:color w:val="auto"/>
        </w:rPr>
        <w:t xml:space="preserve">national responsibility for </w:t>
      </w:r>
      <w:r w:rsidR="00F02F42">
        <w:rPr>
          <w:rFonts w:cstheme="minorHAnsi"/>
          <w:color w:val="auto"/>
        </w:rPr>
        <w:t xml:space="preserve">many </w:t>
      </w:r>
      <w:r w:rsidR="00F02F42" w:rsidRPr="00BB4594">
        <w:rPr>
          <w:rFonts w:cstheme="minorHAnsi"/>
          <w:color w:val="auto"/>
        </w:rPr>
        <w:t>basic</w:t>
      </w:r>
      <w:r w:rsidR="00F02F42">
        <w:rPr>
          <w:rFonts w:cstheme="minorHAnsi"/>
          <w:color w:val="auto"/>
        </w:rPr>
        <w:t xml:space="preserve"> services. </w:t>
      </w:r>
    </w:p>
    <w:p w:rsidR="00394FEC" w:rsidRPr="00C110D8" w:rsidRDefault="00394FEC" w:rsidP="00394FEC">
      <w:pPr>
        <w:spacing w:after="120" w:line="259" w:lineRule="auto"/>
        <w:rPr>
          <w:b/>
        </w:rPr>
      </w:pPr>
      <w:r w:rsidRPr="00C110D8">
        <w:rPr>
          <w:b/>
        </w:rPr>
        <w:t xml:space="preserve">Australia’s </w:t>
      </w:r>
      <w:r w:rsidR="002B1981">
        <w:rPr>
          <w:b/>
        </w:rPr>
        <w:t xml:space="preserve">development cooperation </w:t>
      </w:r>
      <w:r w:rsidRPr="00C110D8">
        <w:rPr>
          <w:b/>
        </w:rPr>
        <w:t>program in Cambodia</w:t>
      </w:r>
    </w:p>
    <w:p w:rsidR="00E57611" w:rsidRDefault="00E57611" w:rsidP="00776D5E">
      <w:pPr>
        <w:spacing w:after="120" w:line="259" w:lineRule="auto"/>
        <w:rPr>
          <w:rFonts w:cstheme="minorHAnsi"/>
          <w:color w:val="auto"/>
        </w:rPr>
      </w:pPr>
      <w:r>
        <w:rPr>
          <w:rFonts w:cstheme="minorHAnsi"/>
          <w:color w:val="auto"/>
        </w:rPr>
        <w:t xml:space="preserve">In this context, </w:t>
      </w:r>
      <w:r w:rsidR="00776D5E" w:rsidRPr="00776D5E">
        <w:rPr>
          <w:rFonts w:cstheme="minorHAnsi"/>
          <w:color w:val="auto"/>
        </w:rPr>
        <w:t xml:space="preserve">Australia’s development </w:t>
      </w:r>
      <w:r w:rsidR="00776D5E">
        <w:rPr>
          <w:rFonts w:cstheme="minorHAnsi"/>
          <w:color w:val="auto"/>
        </w:rPr>
        <w:t>assistance</w:t>
      </w:r>
      <w:r>
        <w:rPr>
          <w:rFonts w:cstheme="minorHAnsi"/>
          <w:color w:val="auto"/>
        </w:rPr>
        <w:t xml:space="preserve"> objectives</w:t>
      </w:r>
      <w:r w:rsidR="00776D5E">
        <w:rPr>
          <w:rFonts w:cstheme="minorHAnsi"/>
          <w:color w:val="auto"/>
        </w:rPr>
        <w:t xml:space="preserve"> remained </w:t>
      </w:r>
      <w:r w:rsidR="000032D7">
        <w:rPr>
          <w:rFonts w:cstheme="minorHAnsi"/>
          <w:color w:val="auto"/>
        </w:rPr>
        <w:t xml:space="preserve">highly </w:t>
      </w:r>
      <w:r w:rsidR="00776D5E">
        <w:rPr>
          <w:rFonts w:cstheme="minorHAnsi"/>
          <w:color w:val="auto"/>
        </w:rPr>
        <w:t>relevant to helping Cambodia address</w:t>
      </w:r>
      <w:r w:rsidR="00E13736">
        <w:rPr>
          <w:rFonts w:cstheme="minorHAnsi"/>
          <w:color w:val="auto"/>
        </w:rPr>
        <w:t xml:space="preserve"> some of its key</w:t>
      </w:r>
      <w:r w:rsidR="00776D5E">
        <w:rPr>
          <w:rFonts w:cstheme="minorHAnsi"/>
          <w:color w:val="auto"/>
        </w:rPr>
        <w:t xml:space="preserve"> challenges and </w:t>
      </w:r>
      <w:r w:rsidR="00E13736">
        <w:rPr>
          <w:rFonts w:cstheme="minorHAnsi"/>
          <w:color w:val="auto"/>
        </w:rPr>
        <w:t>take advantage of</w:t>
      </w:r>
      <w:r w:rsidR="00776D5E">
        <w:rPr>
          <w:rFonts w:cstheme="minorHAnsi"/>
          <w:color w:val="auto"/>
        </w:rPr>
        <w:t xml:space="preserve"> </w:t>
      </w:r>
      <w:r w:rsidR="000032D7">
        <w:rPr>
          <w:rFonts w:cstheme="minorHAnsi"/>
          <w:color w:val="auto"/>
        </w:rPr>
        <w:t xml:space="preserve">emerging </w:t>
      </w:r>
      <w:r w:rsidR="002A5F33">
        <w:rPr>
          <w:rFonts w:cstheme="minorHAnsi"/>
          <w:color w:val="auto"/>
        </w:rPr>
        <w:t>opportunities. Improving</w:t>
      </w:r>
      <w:r w:rsidR="00776D5E">
        <w:rPr>
          <w:rFonts w:cstheme="minorHAnsi"/>
          <w:color w:val="auto"/>
        </w:rPr>
        <w:t xml:space="preserve"> local level</w:t>
      </w:r>
      <w:r w:rsidR="00776D5E" w:rsidRPr="00776D5E">
        <w:rPr>
          <w:rFonts w:cstheme="minorHAnsi"/>
          <w:color w:val="auto"/>
        </w:rPr>
        <w:t xml:space="preserve"> infrastructure, increas</w:t>
      </w:r>
      <w:r w:rsidR="002A5F33">
        <w:rPr>
          <w:rFonts w:cstheme="minorHAnsi"/>
          <w:color w:val="auto"/>
        </w:rPr>
        <w:t xml:space="preserve">ing </w:t>
      </w:r>
      <w:r w:rsidR="00776D5E" w:rsidRPr="00776D5E">
        <w:rPr>
          <w:rFonts w:cstheme="minorHAnsi"/>
          <w:color w:val="auto"/>
        </w:rPr>
        <w:t>agricultural productivity,</w:t>
      </w:r>
      <w:r w:rsidR="002A5F33">
        <w:rPr>
          <w:rFonts w:cstheme="minorHAnsi"/>
          <w:color w:val="auto"/>
        </w:rPr>
        <w:t xml:space="preserve"> </w:t>
      </w:r>
      <w:r w:rsidR="00776D5E" w:rsidRPr="00776D5E">
        <w:rPr>
          <w:rFonts w:cstheme="minorHAnsi"/>
          <w:color w:val="auto"/>
        </w:rPr>
        <w:t>deliver</w:t>
      </w:r>
      <w:r w:rsidR="002A5F33">
        <w:rPr>
          <w:rFonts w:cstheme="minorHAnsi"/>
          <w:color w:val="auto"/>
        </w:rPr>
        <w:t>y of</w:t>
      </w:r>
      <w:r w:rsidR="00776D5E" w:rsidRPr="00776D5E">
        <w:rPr>
          <w:rFonts w:cstheme="minorHAnsi"/>
          <w:color w:val="auto"/>
        </w:rPr>
        <w:t xml:space="preserve"> better quality health </w:t>
      </w:r>
      <w:r w:rsidR="009C4778">
        <w:rPr>
          <w:rFonts w:cstheme="minorHAnsi"/>
          <w:color w:val="auto"/>
        </w:rPr>
        <w:t xml:space="preserve">services </w:t>
      </w:r>
      <w:r w:rsidR="00776D5E" w:rsidRPr="00776D5E">
        <w:rPr>
          <w:rFonts w:cstheme="minorHAnsi"/>
          <w:color w:val="auto"/>
        </w:rPr>
        <w:t>and</w:t>
      </w:r>
      <w:r w:rsidR="009C4778">
        <w:rPr>
          <w:rFonts w:cstheme="minorHAnsi"/>
          <w:color w:val="auto"/>
        </w:rPr>
        <w:t xml:space="preserve"> postgraduate </w:t>
      </w:r>
      <w:r w:rsidR="00776D5E" w:rsidRPr="00776D5E">
        <w:rPr>
          <w:rFonts w:cstheme="minorHAnsi"/>
          <w:color w:val="auto"/>
        </w:rPr>
        <w:t xml:space="preserve">education </w:t>
      </w:r>
      <w:r w:rsidR="009C4778">
        <w:rPr>
          <w:rFonts w:cstheme="minorHAnsi"/>
          <w:color w:val="auto"/>
        </w:rPr>
        <w:t>opportunities,</w:t>
      </w:r>
      <w:r w:rsidR="00776D5E" w:rsidRPr="00776D5E">
        <w:rPr>
          <w:rFonts w:cstheme="minorHAnsi"/>
          <w:color w:val="auto"/>
        </w:rPr>
        <w:t xml:space="preserve"> and </w:t>
      </w:r>
      <w:r w:rsidR="002A5F33">
        <w:rPr>
          <w:rFonts w:cstheme="minorHAnsi"/>
          <w:color w:val="auto"/>
        </w:rPr>
        <w:t xml:space="preserve">progress in </w:t>
      </w:r>
      <w:r w:rsidR="00776D5E" w:rsidRPr="00776D5E">
        <w:rPr>
          <w:rFonts w:cstheme="minorHAnsi"/>
          <w:color w:val="auto"/>
        </w:rPr>
        <w:t>address</w:t>
      </w:r>
      <w:r w:rsidR="002A5F33">
        <w:rPr>
          <w:rFonts w:cstheme="minorHAnsi"/>
          <w:color w:val="auto"/>
        </w:rPr>
        <w:t>ing</w:t>
      </w:r>
      <w:r w:rsidR="00776D5E" w:rsidRPr="00776D5E">
        <w:rPr>
          <w:rFonts w:cstheme="minorHAnsi"/>
          <w:color w:val="auto"/>
        </w:rPr>
        <w:t xml:space="preserve"> persistent gender inequalities</w:t>
      </w:r>
      <w:r w:rsidR="00392773">
        <w:rPr>
          <w:rFonts w:cstheme="minorHAnsi"/>
          <w:color w:val="auto"/>
        </w:rPr>
        <w:t xml:space="preserve"> all remain </w:t>
      </w:r>
      <w:r w:rsidR="002A5F33">
        <w:rPr>
          <w:rFonts w:cstheme="minorHAnsi"/>
          <w:color w:val="auto"/>
        </w:rPr>
        <w:t>critical to both economic growth and poverty reduction</w:t>
      </w:r>
      <w:r w:rsidR="00776D5E" w:rsidRPr="00776D5E">
        <w:rPr>
          <w:rFonts w:cstheme="minorHAnsi"/>
          <w:color w:val="auto"/>
        </w:rPr>
        <w:t>.</w:t>
      </w:r>
    </w:p>
    <w:p w:rsidR="00A02623" w:rsidRDefault="00776D5E" w:rsidP="00A02623">
      <w:pPr>
        <w:spacing w:after="120" w:line="259" w:lineRule="auto"/>
        <w:rPr>
          <w:rFonts w:cstheme="minorHAnsi"/>
          <w:color w:val="auto"/>
        </w:rPr>
      </w:pPr>
      <w:r w:rsidRPr="00776D5E">
        <w:rPr>
          <w:rFonts w:cstheme="minorHAnsi"/>
          <w:color w:val="auto"/>
        </w:rPr>
        <w:t>Outcomes in these areas also complement</w:t>
      </w:r>
      <w:r w:rsidR="00E12985">
        <w:rPr>
          <w:rFonts w:cstheme="minorHAnsi"/>
          <w:color w:val="auto"/>
        </w:rPr>
        <w:t>ed</w:t>
      </w:r>
      <w:r w:rsidRPr="00776D5E">
        <w:rPr>
          <w:rFonts w:cstheme="minorHAnsi"/>
          <w:color w:val="auto"/>
        </w:rPr>
        <w:t xml:space="preserve"> other objectives of the Australian Government. As the Cambodian economy grows, the opportunities for business linkages and expanded bilateral trade </w:t>
      </w:r>
      <w:r w:rsidR="00E57611">
        <w:rPr>
          <w:rFonts w:cstheme="minorHAnsi"/>
          <w:color w:val="auto"/>
        </w:rPr>
        <w:t>also increase</w:t>
      </w:r>
      <w:r w:rsidRPr="00776D5E">
        <w:rPr>
          <w:rFonts w:cstheme="minorHAnsi"/>
          <w:color w:val="auto"/>
        </w:rPr>
        <w:t xml:space="preserve">. </w:t>
      </w:r>
      <w:r w:rsidR="009C4778">
        <w:rPr>
          <w:rFonts w:cstheme="minorHAnsi"/>
          <w:color w:val="auto"/>
        </w:rPr>
        <w:t xml:space="preserve">Stronger institutions mean greater capacity to address transnational issues that matter to both Cambodia and Australia.  </w:t>
      </w:r>
      <w:r w:rsidR="007A0425">
        <w:rPr>
          <w:rFonts w:cstheme="minorHAnsi"/>
          <w:color w:val="auto"/>
        </w:rPr>
        <w:t xml:space="preserve">Continued progress in Cambodia’s development also </w:t>
      </w:r>
      <w:r w:rsidR="009C4778">
        <w:rPr>
          <w:rFonts w:cstheme="minorHAnsi"/>
          <w:color w:val="auto"/>
        </w:rPr>
        <w:t xml:space="preserve">promotes stability and </w:t>
      </w:r>
      <w:r w:rsidR="00743573">
        <w:rPr>
          <w:rFonts w:cstheme="minorHAnsi"/>
          <w:color w:val="auto"/>
        </w:rPr>
        <w:t xml:space="preserve">prosperity across </w:t>
      </w:r>
      <w:r w:rsidR="007A0425">
        <w:rPr>
          <w:rFonts w:cstheme="minorHAnsi"/>
          <w:color w:val="auto"/>
        </w:rPr>
        <w:t xml:space="preserve">the region. </w:t>
      </w:r>
    </w:p>
    <w:p w:rsidR="00A02623" w:rsidRPr="00C2366C" w:rsidRDefault="00A02623" w:rsidP="00A02623">
      <w:pPr>
        <w:spacing w:after="120" w:line="259" w:lineRule="auto"/>
        <w:rPr>
          <w:rFonts w:cstheme="minorHAnsi"/>
          <w:color w:val="auto"/>
        </w:rPr>
      </w:pPr>
      <w:r w:rsidRPr="00C2366C">
        <w:rPr>
          <w:rFonts w:cstheme="minorHAnsi"/>
          <w:color w:val="auto"/>
        </w:rPr>
        <w:t>Australia</w:t>
      </w:r>
      <w:r w:rsidR="00E12985">
        <w:rPr>
          <w:rFonts w:cstheme="minorHAnsi"/>
          <w:color w:val="auto"/>
        </w:rPr>
        <w:t xml:space="preserve"> remained</w:t>
      </w:r>
      <w:r w:rsidRPr="00C2366C">
        <w:rPr>
          <w:rFonts w:cstheme="minorHAnsi"/>
          <w:color w:val="auto"/>
        </w:rPr>
        <w:t xml:space="preserve"> well positioned to support Cambodian efforts to </w:t>
      </w:r>
      <w:r w:rsidR="00392773">
        <w:rPr>
          <w:rFonts w:cstheme="minorHAnsi"/>
          <w:color w:val="auto"/>
        </w:rPr>
        <w:t>maximise the benefits</w:t>
      </w:r>
      <w:r w:rsidRPr="00C2366C">
        <w:rPr>
          <w:rFonts w:cstheme="minorHAnsi"/>
          <w:color w:val="auto"/>
        </w:rPr>
        <w:t xml:space="preserve"> and reduce the risks associated with the changes occurring in </w:t>
      </w:r>
      <w:r w:rsidR="009055CE">
        <w:rPr>
          <w:rFonts w:cstheme="minorHAnsi"/>
          <w:color w:val="auto"/>
        </w:rPr>
        <w:t>the</w:t>
      </w:r>
      <w:r w:rsidRPr="00C2366C">
        <w:rPr>
          <w:rFonts w:cstheme="minorHAnsi"/>
          <w:color w:val="auto"/>
        </w:rPr>
        <w:t xml:space="preserve"> region. Australia has a long and respected legacy in Cambodia. Consistent feedback suggests that </w:t>
      </w:r>
      <w:r w:rsidR="000032D7">
        <w:rPr>
          <w:rFonts w:cstheme="minorHAnsi"/>
          <w:color w:val="auto"/>
        </w:rPr>
        <w:t xml:space="preserve">our assistance is seen and valued as </w:t>
      </w:r>
      <w:r w:rsidRPr="00C2366C">
        <w:rPr>
          <w:rFonts w:cstheme="minorHAnsi"/>
          <w:color w:val="auto"/>
        </w:rPr>
        <w:t>principled, nimble, solution-focused development cooperation.</w:t>
      </w:r>
      <w:r w:rsidRPr="00A02623">
        <w:rPr>
          <w:rFonts w:cstheme="minorHAnsi"/>
          <w:color w:val="auto"/>
        </w:rPr>
        <w:t xml:space="preserve"> </w:t>
      </w:r>
      <w:r w:rsidRPr="00C2366C">
        <w:rPr>
          <w:rFonts w:cstheme="minorHAnsi"/>
          <w:color w:val="auto"/>
        </w:rPr>
        <w:t xml:space="preserve">Australia is </w:t>
      </w:r>
      <w:r>
        <w:rPr>
          <w:rFonts w:cstheme="minorHAnsi"/>
          <w:color w:val="auto"/>
        </w:rPr>
        <w:t xml:space="preserve">also </w:t>
      </w:r>
      <w:r w:rsidRPr="00C2366C">
        <w:rPr>
          <w:rFonts w:cstheme="minorHAnsi"/>
          <w:color w:val="auto"/>
        </w:rPr>
        <w:t>recognised as a leader in promoting gender equality in Cambodia, owing to the active roles we play on the issue across our development cooperation, political, economic and public diplomacy engagement.</w:t>
      </w:r>
    </w:p>
    <w:p w:rsidR="00FF6018" w:rsidRDefault="00FF6018" w:rsidP="00FF6018">
      <w:pPr>
        <w:spacing w:after="120" w:line="259" w:lineRule="auto"/>
        <w:rPr>
          <w:rFonts w:cstheme="minorHAnsi"/>
          <w:color w:val="auto"/>
        </w:rPr>
      </w:pPr>
      <w:r>
        <w:rPr>
          <w:rFonts w:cstheme="minorHAnsi"/>
          <w:color w:val="auto"/>
        </w:rPr>
        <w:lastRenderedPageBreak/>
        <w:t>In 2018, Australia ranked as the seventh largest bilateral donor (including the EU) to Cambodia, down from fifth in 2017</w:t>
      </w:r>
      <w:r w:rsidR="00F7691B">
        <w:rPr>
          <w:rFonts w:cstheme="minorHAnsi"/>
          <w:color w:val="auto"/>
        </w:rPr>
        <w:t>.</w:t>
      </w:r>
      <w:r>
        <w:rPr>
          <w:rFonts w:cstheme="minorHAnsi"/>
          <w:color w:val="auto"/>
        </w:rPr>
        <w:t xml:space="preserve"> Australian assistance represented about 4.1 per cent of total ODA to Cambodia, according to Council for the Development of Cambodia figures. </w:t>
      </w:r>
    </w:p>
    <w:p w:rsidR="00E13736" w:rsidRDefault="00E12985" w:rsidP="00E12985">
      <w:pPr>
        <w:spacing w:after="120" w:line="259" w:lineRule="auto"/>
        <w:rPr>
          <w:rFonts w:cstheme="minorHAnsi"/>
          <w:color w:val="auto"/>
        </w:rPr>
      </w:pPr>
      <w:r>
        <w:rPr>
          <w:rFonts w:cstheme="minorHAnsi"/>
          <w:color w:val="auto"/>
        </w:rPr>
        <w:t xml:space="preserve">Australia’s development cooperation program was carefully targeted, reflecting its size and </w:t>
      </w:r>
      <w:r w:rsidR="000032D7">
        <w:rPr>
          <w:rFonts w:cstheme="minorHAnsi"/>
          <w:color w:val="auto"/>
        </w:rPr>
        <w:t xml:space="preserve">the </w:t>
      </w:r>
      <w:r>
        <w:rPr>
          <w:rFonts w:cstheme="minorHAnsi"/>
          <w:color w:val="auto"/>
        </w:rPr>
        <w:t xml:space="preserve">reducing proportion of total </w:t>
      </w:r>
      <w:r w:rsidR="009C4778">
        <w:rPr>
          <w:rFonts w:cstheme="minorHAnsi"/>
          <w:color w:val="auto"/>
        </w:rPr>
        <w:t xml:space="preserve">ODA to </w:t>
      </w:r>
      <w:r>
        <w:rPr>
          <w:rFonts w:cstheme="minorHAnsi"/>
          <w:color w:val="auto"/>
        </w:rPr>
        <w:t xml:space="preserve">GDP. </w:t>
      </w:r>
      <w:r w:rsidRPr="00E12985">
        <w:rPr>
          <w:rFonts w:cstheme="minorHAnsi"/>
          <w:color w:val="auto"/>
        </w:rPr>
        <w:t xml:space="preserve">Support focussed on areas where we </w:t>
      </w:r>
      <w:r w:rsidR="009B56EE">
        <w:rPr>
          <w:rFonts w:cstheme="minorHAnsi"/>
          <w:color w:val="auto"/>
        </w:rPr>
        <w:t xml:space="preserve">could </w:t>
      </w:r>
      <w:r w:rsidR="000032D7">
        <w:rPr>
          <w:rFonts w:cstheme="minorHAnsi"/>
          <w:color w:val="auto"/>
        </w:rPr>
        <w:t xml:space="preserve">benefit the Cambodian people, and </w:t>
      </w:r>
      <w:r w:rsidR="009B56EE">
        <w:rPr>
          <w:rFonts w:cstheme="minorHAnsi"/>
          <w:color w:val="auto"/>
        </w:rPr>
        <w:t>achieve</w:t>
      </w:r>
      <w:r w:rsidRPr="00E12985">
        <w:rPr>
          <w:rFonts w:cstheme="minorHAnsi"/>
          <w:color w:val="auto"/>
        </w:rPr>
        <w:t xml:space="preserve"> greatest impact, use the most effective partners, and complement the work of other donors.</w:t>
      </w:r>
      <w:r w:rsidR="009B56EE">
        <w:rPr>
          <w:rFonts w:cstheme="minorHAnsi"/>
          <w:color w:val="auto"/>
        </w:rPr>
        <w:t xml:space="preserve"> We continued to work more closely with the private sector, through innovative approaches to delivering development assistance that leveraged private sector financing to drive growth and poverty reduction. </w:t>
      </w:r>
    </w:p>
    <w:p w:rsidR="00E12985" w:rsidRDefault="004C2BB4" w:rsidP="00E12985">
      <w:pPr>
        <w:spacing w:after="120" w:line="259" w:lineRule="auto"/>
        <w:rPr>
          <w:rFonts w:cstheme="minorHAnsi"/>
          <w:color w:val="auto"/>
        </w:rPr>
      </w:pPr>
      <w:r>
        <w:rPr>
          <w:rFonts w:cstheme="minorHAnsi"/>
          <w:color w:val="auto"/>
        </w:rPr>
        <w:t>The program continued to be further consolidated, with fewer investments</w:t>
      </w:r>
      <w:r w:rsidR="007A0425">
        <w:rPr>
          <w:rFonts w:cstheme="minorHAnsi"/>
          <w:color w:val="auto"/>
        </w:rPr>
        <w:t>, to maximise effectiveness and efficiency</w:t>
      </w:r>
      <w:r>
        <w:rPr>
          <w:rFonts w:cstheme="minorHAnsi"/>
          <w:color w:val="auto"/>
        </w:rPr>
        <w:t xml:space="preserve">. </w:t>
      </w:r>
      <w:r w:rsidR="00DE495D">
        <w:rPr>
          <w:rFonts w:cstheme="minorHAnsi"/>
          <w:color w:val="auto"/>
        </w:rPr>
        <w:t xml:space="preserve">We </w:t>
      </w:r>
      <w:r w:rsidR="00C06582">
        <w:rPr>
          <w:rFonts w:cstheme="minorHAnsi"/>
          <w:color w:val="auto"/>
        </w:rPr>
        <w:t xml:space="preserve">also continued to increase its focus on strengthening institutions, policies and governance, and decrease focus on support for direct services delivery. </w:t>
      </w:r>
    </w:p>
    <w:p w:rsidR="007A0425" w:rsidRDefault="0007742C" w:rsidP="00E12985">
      <w:pPr>
        <w:spacing w:after="120" w:line="259" w:lineRule="auto"/>
        <w:rPr>
          <w:rFonts w:cstheme="minorHAnsi"/>
          <w:color w:val="auto"/>
        </w:rPr>
      </w:pPr>
      <w:r>
        <w:rPr>
          <w:rFonts w:cstheme="minorHAnsi"/>
          <w:color w:val="auto"/>
        </w:rPr>
        <w:t xml:space="preserve">When finalised, </w:t>
      </w:r>
      <w:r w:rsidR="00BA71DB">
        <w:rPr>
          <w:rFonts w:cstheme="minorHAnsi"/>
          <w:color w:val="auto"/>
        </w:rPr>
        <w:t xml:space="preserve">it is expected that </w:t>
      </w:r>
      <w:r>
        <w:rPr>
          <w:rFonts w:cstheme="minorHAnsi"/>
          <w:color w:val="auto"/>
        </w:rPr>
        <w:t xml:space="preserve">the new </w:t>
      </w:r>
      <w:r w:rsidR="00BC0B92">
        <w:rPr>
          <w:rFonts w:cstheme="minorHAnsi"/>
          <w:color w:val="auto"/>
        </w:rPr>
        <w:t>Aid Investment Plan (</w:t>
      </w:r>
      <w:r w:rsidR="009055CE">
        <w:rPr>
          <w:rFonts w:cstheme="minorHAnsi"/>
          <w:color w:val="auto"/>
        </w:rPr>
        <w:t>AIP</w:t>
      </w:r>
      <w:r w:rsidR="00BC0B92">
        <w:rPr>
          <w:rFonts w:cstheme="minorHAnsi"/>
          <w:color w:val="auto"/>
        </w:rPr>
        <w:t xml:space="preserve">) for Cambodia </w:t>
      </w:r>
      <w:r>
        <w:rPr>
          <w:rFonts w:cstheme="minorHAnsi"/>
          <w:color w:val="auto"/>
        </w:rPr>
        <w:t xml:space="preserve">will </w:t>
      </w:r>
      <w:r w:rsidR="00C06582">
        <w:rPr>
          <w:rFonts w:cstheme="minorHAnsi"/>
          <w:color w:val="auto"/>
        </w:rPr>
        <w:t>continue this shift, and work in partnership with Cambodia to</w:t>
      </w:r>
      <w:r w:rsidR="00BA71DB">
        <w:rPr>
          <w:rFonts w:cstheme="minorHAnsi"/>
          <w:color w:val="auto"/>
        </w:rPr>
        <w:t xml:space="preserve"> re-align development cooperation efforts</w:t>
      </w:r>
      <w:r w:rsidR="00C06582">
        <w:rPr>
          <w:rFonts w:cstheme="minorHAnsi"/>
          <w:color w:val="auto"/>
        </w:rPr>
        <w:t xml:space="preserve"> to</w:t>
      </w:r>
      <w:r w:rsidR="00BA71DB">
        <w:rPr>
          <w:rFonts w:cstheme="minorHAnsi"/>
          <w:color w:val="auto"/>
        </w:rPr>
        <w:t xml:space="preserve"> help achieve more sustainable and inclusive public services, a more resilient economy, and strengthened </w:t>
      </w:r>
      <w:r w:rsidR="009055CE">
        <w:rPr>
          <w:rFonts w:cstheme="minorHAnsi"/>
          <w:color w:val="auto"/>
        </w:rPr>
        <w:t xml:space="preserve">processes for </w:t>
      </w:r>
      <w:r w:rsidR="00BA71DB">
        <w:rPr>
          <w:rFonts w:cstheme="minorHAnsi"/>
          <w:color w:val="auto"/>
        </w:rPr>
        <w:t xml:space="preserve">public policy </w:t>
      </w:r>
      <w:r w:rsidR="009055CE">
        <w:rPr>
          <w:rFonts w:cstheme="minorHAnsi"/>
          <w:color w:val="auto"/>
        </w:rPr>
        <w:t xml:space="preserve">development and implementation. The new AIP will take the complex context of Cambodia into account in order to ensure future development cooperation remains relevant and </w:t>
      </w:r>
      <w:r w:rsidR="00DD552D">
        <w:rPr>
          <w:rFonts w:cstheme="minorHAnsi"/>
          <w:color w:val="auto"/>
        </w:rPr>
        <w:t xml:space="preserve">is </w:t>
      </w:r>
      <w:r w:rsidR="009055CE">
        <w:rPr>
          <w:rFonts w:cstheme="minorHAnsi"/>
          <w:color w:val="auto"/>
        </w:rPr>
        <w:t>effective</w:t>
      </w:r>
      <w:r w:rsidR="00DD552D">
        <w:rPr>
          <w:rFonts w:cstheme="minorHAnsi"/>
          <w:color w:val="auto"/>
        </w:rPr>
        <w:t xml:space="preserve"> in benefiting the Cambodian people</w:t>
      </w:r>
      <w:r w:rsidR="009055CE">
        <w:rPr>
          <w:rFonts w:cstheme="minorHAnsi"/>
          <w:color w:val="auto"/>
        </w:rPr>
        <w:t xml:space="preserve">. </w:t>
      </w:r>
      <w:r w:rsidR="00BA71DB">
        <w:rPr>
          <w:rFonts w:cstheme="minorHAnsi"/>
          <w:color w:val="auto"/>
        </w:rPr>
        <w:t xml:space="preserve"> </w:t>
      </w:r>
      <w:r w:rsidR="00C06582">
        <w:rPr>
          <w:rFonts w:cstheme="minorHAnsi"/>
          <w:color w:val="auto"/>
        </w:rPr>
        <w:t xml:space="preserve"> </w:t>
      </w:r>
    </w:p>
    <w:p w:rsidR="00C6626C" w:rsidRPr="0097700F" w:rsidRDefault="000C43A8" w:rsidP="00781461">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r w:rsidR="00C6626C" w:rsidRPr="002A51CA">
        <w:rPr>
          <w:rFonts w:asciiTheme="majorHAnsi" w:eastAsiaTheme="majorEastAsia" w:hAnsiTheme="majorHAnsi" w:cstheme="majorBidi"/>
          <w:caps/>
          <w:sz w:val="38"/>
          <w:szCs w:val="26"/>
        </w:rPr>
        <w:lastRenderedPageBreak/>
        <w:t>Expenditure</w:t>
      </w:r>
    </w:p>
    <w:p w:rsidR="00D40AEB"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D961BD">
        <w:rPr>
          <w:b/>
          <w:noProof/>
          <w:sz w:val="24"/>
        </w:rPr>
        <w:t>1</w:t>
      </w:r>
      <w:r w:rsidRPr="008C2F58">
        <w:rPr>
          <w:b/>
          <w:noProof/>
          <w:sz w:val="24"/>
        </w:rPr>
        <w:fldChar w:fldCharType="end"/>
      </w:r>
      <w:r w:rsidRPr="008C2F58">
        <w:rPr>
          <w:b/>
          <w:sz w:val="24"/>
        </w:rPr>
        <w:t xml:space="preserve"> Total ODA Expenditure in FY 201</w:t>
      </w:r>
      <w:r w:rsidR="00F46D79">
        <w:rPr>
          <w:b/>
          <w:sz w:val="24"/>
        </w:rPr>
        <w:t>8-19</w:t>
      </w:r>
    </w:p>
    <w:tbl>
      <w:tblPr>
        <w:tblStyle w:val="TableGrid"/>
        <w:tblW w:w="9639" w:type="dxa"/>
        <w:tblLook w:val="04A0" w:firstRow="1" w:lastRow="0" w:firstColumn="1" w:lastColumn="0" w:noHBand="0" w:noVBand="1"/>
      </w:tblPr>
      <w:tblGrid>
        <w:gridCol w:w="6374"/>
        <w:gridCol w:w="1423"/>
        <w:gridCol w:w="1842"/>
      </w:tblGrid>
      <w:tr w:rsidR="00184818" w:rsidTr="003E2BE7">
        <w:tc>
          <w:tcPr>
            <w:tcW w:w="6374" w:type="dxa"/>
          </w:tcPr>
          <w:p w:rsidR="00184818" w:rsidRDefault="00184818" w:rsidP="00355959">
            <w:pPr>
              <w:spacing w:before="60"/>
              <w:rPr>
                <w:b/>
                <w:sz w:val="24"/>
              </w:rPr>
            </w:pPr>
            <w:r w:rsidRPr="00BE6C6D">
              <w:rPr>
                <w:sz w:val="20"/>
              </w:rPr>
              <w:t>Objective</w:t>
            </w:r>
          </w:p>
        </w:tc>
        <w:tc>
          <w:tcPr>
            <w:tcW w:w="1423" w:type="dxa"/>
          </w:tcPr>
          <w:p w:rsidR="00184818" w:rsidRDefault="00184818" w:rsidP="00355959">
            <w:pPr>
              <w:spacing w:before="60"/>
              <w:jc w:val="center"/>
              <w:rPr>
                <w:b/>
                <w:sz w:val="24"/>
              </w:rPr>
            </w:pPr>
            <w:r w:rsidRPr="00BE6C6D">
              <w:rPr>
                <w:sz w:val="20"/>
              </w:rPr>
              <w:t>A$ million</w:t>
            </w:r>
          </w:p>
        </w:tc>
        <w:tc>
          <w:tcPr>
            <w:tcW w:w="1842" w:type="dxa"/>
          </w:tcPr>
          <w:p w:rsidR="00184818" w:rsidRDefault="00184818" w:rsidP="00355959">
            <w:pPr>
              <w:spacing w:before="60"/>
              <w:ind w:right="-546"/>
              <w:jc w:val="center"/>
              <w:rPr>
                <w:b/>
                <w:sz w:val="24"/>
              </w:rPr>
            </w:pPr>
            <w:r w:rsidRPr="00BE6C6D">
              <w:rPr>
                <w:sz w:val="20"/>
              </w:rPr>
              <w:t>% of total ODA</w:t>
            </w:r>
          </w:p>
        </w:tc>
      </w:tr>
      <w:tr w:rsidR="00184818" w:rsidTr="003E2BE7">
        <w:tc>
          <w:tcPr>
            <w:tcW w:w="6374" w:type="dxa"/>
          </w:tcPr>
          <w:p w:rsidR="00184818" w:rsidRPr="00EC07BA" w:rsidRDefault="00184818" w:rsidP="00355959">
            <w:pPr>
              <w:spacing w:before="60"/>
              <w:rPr>
                <w:sz w:val="20"/>
              </w:rPr>
            </w:pPr>
            <w:r w:rsidRPr="00BE6C6D">
              <w:rPr>
                <w:sz w:val="20"/>
              </w:rPr>
              <w:t>Objective 1</w:t>
            </w:r>
            <w:r w:rsidR="00EC07BA" w:rsidRPr="00EC07BA">
              <w:rPr>
                <w:sz w:val="20"/>
              </w:rPr>
              <w:t xml:space="preserve"> Improving access to essential infrastructure</w:t>
            </w:r>
          </w:p>
        </w:tc>
        <w:tc>
          <w:tcPr>
            <w:tcW w:w="1423" w:type="dxa"/>
          </w:tcPr>
          <w:p w:rsidR="00CE7394" w:rsidRPr="00E16F2B" w:rsidRDefault="0045301C" w:rsidP="00CE7394">
            <w:pPr>
              <w:suppressAutoHyphens w:val="0"/>
              <w:spacing w:before="0" w:after="0" w:line="240" w:lineRule="auto"/>
              <w:rPr>
                <w:b/>
                <w:sz w:val="24"/>
              </w:rPr>
            </w:pPr>
            <w:r>
              <w:rPr>
                <w:b/>
                <w:sz w:val="24"/>
              </w:rPr>
              <w:t>12.5</w:t>
            </w:r>
          </w:p>
          <w:p w:rsidR="00184818" w:rsidRDefault="00184818" w:rsidP="00355959">
            <w:pPr>
              <w:spacing w:before="60"/>
              <w:rPr>
                <w:b/>
                <w:sz w:val="24"/>
              </w:rPr>
            </w:pPr>
          </w:p>
        </w:tc>
        <w:tc>
          <w:tcPr>
            <w:tcW w:w="1842" w:type="dxa"/>
          </w:tcPr>
          <w:p w:rsidR="00184818" w:rsidRDefault="00AB10E8" w:rsidP="0045301C">
            <w:pPr>
              <w:spacing w:before="60"/>
              <w:rPr>
                <w:b/>
                <w:sz w:val="24"/>
              </w:rPr>
            </w:pPr>
            <w:r>
              <w:rPr>
                <w:b/>
                <w:sz w:val="24"/>
              </w:rPr>
              <w:t>15</w:t>
            </w:r>
            <w:r w:rsidR="00476C4A">
              <w:rPr>
                <w:b/>
                <w:sz w:val="24"/>
              </w:rPr>
              <w:t>.8</w:t>
            </w:r>
          </w:p>
        </w:tc>
      </w:tr>
      <w:tr w:rsidR="00184818" w:rsidTr="003E2BE7">
        <w:tc>
          <w:tcPr>
            <w:tcW w:w="6374" w:type="dxa"/>
          </w:tcPr>
          <w:p w:rsidR="00184818" w:rsidRPr="00EC07BA" w:rsidRDefault="00184818" w:rsidP="00355959">
            <w:pPr>
              <w:spacing w:before="60"/>
              <w:rPr>
                <w:sz w:val="20"/>
              </w:rPr>
            </w:pPr>
            <w:r w:rsidRPr="00BE6C6D">
              <w:rPr>
                <w:sz w:val="20"/>
              </w:rPr>
              <w:t>Objective 2</w:t>
            </w:r>
            <w:r w:rsidR="00EC07BA" w:rsidRPr="00EC07BA">
              <w:rPr>
                <w:sz w:val="20"/>
              </w:rPr>
              <w:t xml:space="preserve"> Increasing agricultural productivity and farmer incomes</w:t>
            </w:r>
          </w:p>
        </w:tc>
        <w:tc>
          <w:tcPr>
            <w:tcW w:w="1423" w:type="dxa"/>
          </w:tcPr>
          <w:p w:rsidR="00CE7394" w:rsidRPr="00E16F2B" w:rsidRDefault="0045301C" w:rsidP="00CE7394">
            <w:pPr>
              <w:suppressAutoHyphens w:val="0"/>
              <w:spacing w:before="0" w:after="0" w:line="240" w:lineRule="auto"/>
              <w:rPr>
                <w:b/>
                <w:sz w:val="24"/>
              </w:rPr>
            </w:pPr>
            <w:r>
              <w:rPr>
                <w:b/>
                <w:sz w:val="24"/>
              </w:rPr>
              <w:t>15.3</w:t>
            </w:r>
          </w:p>
          <w:p w:rsidR="00184818" w:rsidRDefault="00184818" w:rsidP="00355959">
            <w:pPr>
              <w:spacing w:before="60"/>
              <w:rPr>
                <w:b/>
                <w:sz w:val="24"/>
              </w:rPr>
            </w:pPr>
          </w:p>
        </w:tc>
        <w:tc>
          <w:tcPr>
            <w:tcW w:w="1842" w:type="dxa"/>
          </w:tcPr>
          <w:p w:rsidR="00184818" w:rsidRDefault="00AB10E8" w:rsidP="00476C4A">
            <w:pPr>
              <w:spacing w:before="60"/>
              <w:rPr>
                <w:b/>
                <w:sz w:val="24"/>
              </w:rPr>
            </w:pPr>
            <w:r>
              <w:rPr>
                <w:b/>
                <w:sz w:val="24"/>
              </w:rPr>
              <w:t>1</w:t>
            </w:r>
            <w:r w:rsidR="00476C4A">
              <w:rPr>
                <w:b/>
                <w:sz w:val="24"/>
              </w:rPr>
              <w:t>9.3</w:t>
            </w:r>
          </w:p>
        </w:tc>
      </w:tr>
      <w:tr w:rsidR="00184818" w:rsidTr="003E2BE7">
        <w:tc>
          <w:tcPr>
            <w:tcW w:w="6374" w:type="dxa"/>
          </w:tcPr>
          <w:p w:rsidR="00184818" w:rsidRPr="00EC07BA" w:rsidRDefault="00184818" w:rsidP="00355959">
            <w:pPr>
              <w:spacing w:before="60"/>
              <w:rPr>
                <w:sz w:val="20"/>
              </w:rPr>
            </w:pPr>
            <w:r w:rsidRPr="00BE6C6D">
              <w:rPr>
                <w:sz w:val="20"/>
              </w:rPr>
              <w:t>Objective 3</w:t>
            </w:r>
            <w:r w:rsidR="00EC07BA" w:rsidRPr="00EC07BA">
              <w:rPr>
                <w:sz w:val="20"/>
              </w:rPr>
              <w:t xml:space="preserve"> Better health and education</w:t>
            </w:r>
          </w:p>
        </w:tc>
        <w:tc>
          <w:tcPr>
            <w:tcW w:w="1423" w:type="dxa"/>
          </w:tcPr>
          <w:p w:rsidR="00184818" w:rsidRDefault="0045301C" w:rsidP="00355959">
            <w:pPr>
              <w:spacing w:before="60"/>
              <w:rPr>
                <w:b/>
                <w:sz w:val="24"/>
              </w:rPr>
            </w:pPr>
            <w:r>
              <w:rPr>
                <w:b/>
                <w:sz w:val="24"/>
              </w:rPr>
              <w:t>19.4</w:t>
            </w:r>
          </w:p>
        </w:tc>
        <w:tc>
          <w:tcPr>
            <w:tcW w:w="1842" w:type="dxa"/>
          </w:tcPr>
          <w:p w:rsidR="00184818" w:rsidRDefault="0045301C" w:rsidP="00476C4A">
            <w:pPr>
              <w:spacing w:before="60"/>
              <w:rPr>
                <w:b/>
                <w:sz w:val="24"/>
              </w:rPr>
            </w:pPr>
            <w:r>
              <w:rPr>
                <w:b/>
                <w:sz w:val="24"/>
              </w:rPr>
              <w:t>2</w:t>
            </w:r>
            <w:r w:rsidR="00476C4A">
              <w:rPr>
                <w:b/>
                <w:sz w:val="24"/>
              </w:rPr>
              <w:t>4.5</w:t>
            </w:r>
          </w:p>
        </w:tc>
      </w:tr>
      <w:tr w:rsidR="00A42A06" w:rsidTr="003E2BE7">
        <w:tc>
          <w:tcPr>
            <w:tcW w:w="6374" w:type="dxa"/>
          </w:tcPr>
          <w:p w:rsidR="00A42A06" w:rsidRPr="00BE6C6D" w:rsidRDefault="00A42A06" w:rsidP="00AB10E8">
            <w:pPr>
              <w:spacing w:before="60"/>
              <w:rPr>
                <w:sz w:val="20"/>
              </w:rPr>
            </w:pPr>
            <w:r>
              <w:rPr>
                <w:sz w:val="20"/>
              </w:rPr>
              <w:t>Cross-cutting</w:t>
            </w:r>
            <w:r w:rsidR="00CE7394">
              <w:rPr>
                <w:sz w:val="20"/>
              </w:rPr>
              <w:t xml:space="preserve"> </w:t>
            </w:r>
          </w:p>
        </w:tc>
        <w:tc>
          <w:tcPr>
            <w:tcW w:w="1423" w:type="dxa"/>
          </w:tcPr>
          <w:p w:rsidR="00CE7394" w:rsidRPr="00E16F2B" w:rsidRDefault="00E16F2B" w:rsidP="00CE7394">
            <w:pPr>
              <w:suppressAutoHyphens w:val="0"/>
              <w:spacing w:before="0" w:after="0" w:line="240" w:lineRule="auto"/>
              <w:rPr>
                <w:b/>
                <w:sz w:val="24"/>
              </w:rPr>
            </w:pPr>
            <w:r>
              <w:rPr>
                <w:b/>
                <w:sz w:val="24"/>
              </w:rPr>
              <w:t xml:space="preserve"> </w:t>
            </w:r>
            <w:r w:rsidR="0045301C">
              <w:rPr>
                <w:b/>
                <w:sz w:val="24"/>
              </w:rPr>
              <w:t>8.9</w:t>
            </w:r>
          </w:p>
          <w:p w:rsidR="00A42A06" w:rsidRDefault="00A42A06" w:rsidP="00355959">
            <w:pPr>
              <w:spacing w:before="60"/>
              <w:rPr>
                <w:b/>
                <w:sz w:val="24"/>
              </w:rPr>
            </w:pPr>
          </w:p>
        </w:tc>
        <w:tc>
          <w:tcPr>
            <w:tcW w:w="1842" w:type="dxa"/>
          </w:tcPr>
          <w:p w:rsidR="00A42A06" w:rsidRDefault="0045301C" w:rsidP="00355959">
            <w:pPr>
              <w:spacing w:before="60"/>
              <w:rPr>
                <w:b/>
                <w:sz w:val="24"/>
              </w:rPr>
            </w:pPr>
            <w:r>
              <w:rPr>
                <w:b/>
                <w:sz w:val="24"/>
              </w:rPr>
              <w:t>11</w:t>
            </w:r>
            <w:r w:rsidR="00476C4A">
              <w:rPr>
                <w:b/>
                <w:sz w:val="24"/>
              </w:rPr>
              <w:t>.2</w:t>
            </w:r>
          </w:p>
        </w:tc>
      </w:tr>
      <w:tr w:rsidR="00184818" w:rsidTr="003E2BE7">
        <w:tc>
          <w:tcPr>
            <w:tcW w:w="6374" w:type="dxa"/>
          </w:tcPr>
          <w:p w:rsidR="00184818" w:rsidRDefault="00184818" w:rsidP="00355959">
            <w:pPr>
              <w:spacing w:before="60"/>
              <w:rPr>
                <w:b/>
                <w:sz w:val="24"/>
              </w:rPr>
            </w:pPr>
            <w:r w:rsidRPr="00BE6C6D">
              <w:rPr>
                <w:sz w:val="20"/>
              </w:rPr>
              <w:t>Sub-Total Bilateral</w:t>
            </w:r>
          </w:p>
        </w:tc>
        <w:tc>
          <w:tcPr>
            <w:tcW w:w="1423" w:type="dxa"/>
          </w:tcPr>
          <w:p w:rsidR="00184818" w:rsidRPr="00E16F2B" w:rsidRDefault="0045301C" w:rsidP="00355959">
            <w:pPr>
              <w:spacing w:before="60"/>
              <w:rPr>
                <w:b/>
                <w:i/>
                <w:sz w:val="24"/>
              </w:rPr>
            </w:pPr>
            <w:r>
              <w:rPr>
                <w:b/>
                <w:i/>
                <w:sz w:val="24"/>
              </w:rPr>
              <w:t>55.8</w:t>
            </w:r>
            <w:r w:rsidR="00AB10E8" w:rsidRPr="00E16F2B">
              <w:rPr>
                <w:b/>
                <w:i/>
                <w:sz w:val="24"/>
              </w:rPr>
              <w:t xml:space="preserve"> </w:t>
            </w:r>
          </w:p>
        </w:tc>
        <w:tc>
          <w:tcPr>
            <w:tcW w:w="1842" w:type="dxa"/>
          </w:tcPr>
          <w:p w:rsidR="00184818" w:rsidRPr="00E16F2B" w:rsidRDefault="00476C4A" w:rsidP="00476C4A">
            <w:pPr>
              <w:spacing w:before="60"/>
              <w:rPr>
                <w:b/>
                <w:i/>
                <w:sz w:val="24"/>
              </w:rPr>
            </w:pPr>
            <w:r>
              <w:rPr>
                <w:b/>
                <w:i/>
                <w:sz w:val="24"/>
              </w:rPr>
              <w:t>70.7</w:t>
            </w:r>
          </w:p>
        </w:tc>
      </w:tr>
      <w:tr w:rsidR="00184818" w:rsidTr="003E2BE7">
        <w:tc>
          <w:tcPr>
            <w:tcW w:w="6374" w:type="dxa"/>
          </w:tcPr>
          <w:p w:rsidR="00184818" w:rsidRDefault="00184818" w:rsidP="00355959">
            <w:pPr>
              <w:spacing w:before="60"/>
              <w:rPr>
                <w:b/>
                <w:sz w:val="24"/>
              </w:rPr>
            </w:pPr>
            <w:r w:rsidRPr="00BE6C6D">
              <w:rPr>
                <w:sz w:val="20"/>
              </w:rPr>
              <w:t>Regional and Global</w:t>
            </w:r>
          </w:p>
        </w:tc>
        <w:tc>
          <w:tcPr>
            <w:tcW w:w="1423" w:type="dxa"/>
          </w:tcPr>
          <w:p w:rsidR="00184818" w:rsidRPr="00476C4A" w:rsidRDefault="0097700F" w:rsidP="00355959">
            <w:pPr>
              <w:spacing w:before="60"/>
              <w:rPr>
                <w:b/>
                <w:sz w:val="24"/>
              </w:rPr>
            </w:pPr>
            <w:r w:rsidRPr="00476C4A">
              <w:rPr>
                <w:b/>
                <w:sz w:val="24"/>
              </w:rPr>
              <w:t>20.6</w:t>
            </w:r>
          </w:p>
        </w:tc>
        <w:tc>
          <w:tcPr>
            <w:tcW w:w="1842" w:type="dxa"/>
          </w:tcPr>
          <w:p w:rsidR="00184818" w:rsidRPr="00476C4A" w:rsidRDefault="00E16F2B" w:rsidP="00476C4A">
            <w:pPr>
              <w:spacing w:before="60"/>
              <w:rPr>
                <w:b/>
                <w:sz w:val="24"/>
              </w:rPr>
            </w:pPr>
            <w:r w:rsidRPr="00476C4A">
              <w:rPr>
                <w:b/>
                <w:sz w:val="24"/>
              </w:rPr>
              <w:t>26.</w:t>
            </w:r>
            <w:r w:rsidR="00476C4A" w:rsidRPr="00476C4A">
              <w:rPr>
                <w:b/>
                <w:sz w:val="24"/>
              </w:rPr>
              <w:t>0</w:t>
            </w:r>
          </w:p>
        </w:tc>
      </w:tr>
      <w:tr w:rsidR="00184818" w:rsidTr="003E2BE7">
        <w:tc>
          <w:tcPr>
            <w:tcW w:w="6374" w:type="dxa"/>
          </w:tcPr>
          <w:p w:rsidR="00184818" w:rsidRDefault="00184818" w:rsidP="00355959">
            <w:pPr>
              <w:spacing w:before="60"/>
              <w:rPr>
                <w:b/>
                <w:sz w:val="24"/>
              </w:rPr>
            </w:pPr>
            <w:r w:rsidRPr="00BE6C6D">
              <w:rPr>
                <w:sz w:val="20"/>
              </w:rPr>
              <w:t>Other Government Departments</w:t>
            </w:r>
          </w:p>
        </w:tc>
        <w:tc>
          <w:tcPr>
            <w:tcW w:w="1423" w:type="dxa"/>
          </w:tcPr>
          <w:p w:rsidR="00184818" w:rsidRPr="00476C4A" w:rsidRDefault="00E16F2B" w:rsidP="00355959">
            <w:pPr>
              <w:spacing w:before="60"/>
              <w:rPr>
                <w:b/>
                <w:sz w:val="24"/>
              </w:rPr>
            </w:pPr>
            <w:r w:rsidRPr="00476C4A">
              <w:rPr>
                <w:b/>
                <w:sz w:val="24"/>
              </w:rPr>
              <w:t xml:space="preserve"> </w:t>
            </w:r>
            <w:r w:rsidR="0097700F" w:rsidRPr="00476C4A">
              <w:rPr>
                <w:b/>
                <w:sz w:val="24"/>
              </w:rPr>
              <w:t>2.9</w:t>
            </w:r>
          </w:p>
        </w:tc>
        <w:tc>
          <w:tcPr>
            <w:tcW w:w="1842" w:type="dxa"/>
          </w:tcPr>
          <w:p w:rsidR="00184818" w:rsidRPr="00476C4A" w:rsidRDefault="00E16F2B" w:rsidP="00476C4A">
            <w:pPr>
              <w:spacing w:before="60"/>
              <w:rPr>
                <w:b/>
                <w:sz w:val="24"/>
              </w:rPr>
            </w:pPr>
            <w:r w:rsidRPr="00476C4A">
              <w:rPr>
                <w:b/>
                <w:sz w:val="24"/>
              </w:rPr>
              <w:t xml:space="preserve"> </w:t>
            </w:r>
            <w:r w:rsidR="00476C4A" w:rsidRPr="00476C4A">
              <w:rPr>
                <w:b/>
                <w:sz w:val="24"/>
              </w:rPr>
              <w:t>3</w:t>
            </w:r>
            <w:r w:rsidRPr="00476C4A">
              <w:rPr>
                <w:b/>
                <w:sz w:val="24"/>
              </w:rPr>
              <w:t>.7</w:t>
            </w:r>
          </w:p>
        </w:tc>
      </w:tr>
      <w:tr w:rsidR="00184818" w:rsidTr="003E2BE7">
        <w:tc>
          <w:tcPr>
            <w:tcW w:w="6374" w:type="dxa"/>
          </w:tcPr>
          <w:p w:rsidR="00184818" w:rsidRDefault="00184818" w:rsidP="00355959">
            <w:pPr>
              <w:spacing w:before="60"/>
              <w:rPr>
                <w:b/>
                <w:sz w:val="24"/>
              </w:rPr>
            </w:pPr>
            <w:r w:rsidRPr="00BE6C6D">
              <w:rPr>
                <w:sz w:val="20"/>
              </w:rPr>
              <w:t>Total ODA Expenditure</w:t>
            </w:r>
          </w:p>
        </w:tc>
        <w:tc>
          <w:tcPr>
            <w:tcW w:w="1423" w:type="dxa"/>
          </w:tcPr>
          <w:p w:rsidR="00184818" w:rsidRPr="00476C4A" w:rsidRDefault="00476C4A" w:rsidP="00681C0D">
            <w:pPr>
              <w:spacing w:before="60"/>
              <w:rPr>
                <w:b/>
                <w:sz w:val="24"/>
              </w:rPr>
            </w:pPr>
            <w:r w:rsidRPr="00476C4A">
              <w:rPr>
                <w:b/>
                <w:sz w:val="24"/>
              </w:rPr>
              <w:t>79.3</w:t>
            </w:r>
          </w:p>
        </w:tc>
        <w:tc>
          <w:tcPr>
            <w:tcW w:w="1842" w:type="dxa"/>
          </w:tcPr>
          <w:p w:rsidR="00184818" w:rsidRPr="00476C4A" w:rsidRDefault="00184818" w:rsidP="00355959">
            <w:pPr>
              <w:spacing w:before="60"/>
              <w:rPr>
                <w:b/>
                <w:sz w:val="24"/>
              </w:rPr>
            </w:pPr>
          </w:p>
        </w:tc>
      </w:tr>
    </w:tbl>
    <w:p w:rsidR="002A51CA" w:rsidRDefault="002A51CA" w:rsidP="00355959">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rsidR="00D46523" w:rsidRPr="00D46523" w:rsidRDefault="00D46523" w:rsidP="00D46523">
      <w:pPr>
        <w:spacing w:before="240"/>
        <w:rPr>
          <w:rFonts w:cstheme="minorHAnsi"/>
          <w:color w:val="auto"/>
        </w:rPr>
      </w:pPr>
      <w:r w:rsidRPr="00D46523">
        <w:rPr>
          <w:rFonts w:cstheme="minorHAnsi"/>
          <w:color w:val="auto"/>
        </w:rPr>
        <w:t>The pe</w:t>
      </w:r>
      <w:r>
        <w:rPr>
          <w:rFonts w:cstheme="minorHAnsi"/>
          <w:color w:val="auto"/>
        </w:rPr>
        <w:t xml:space="preserve">rformance of Australia’s development program in Cambodia is measured against the objectives of the Cambodia Aid Investment Plan, and its benchmarks and </w:t>
      </w:r>
      <w:r w:rsidR="0071209D">
        <w:rPr>
          <w:rFonts w:cstheme="minorHAnsi"/>
          <w:color w:val="auto"/>
        </w:rPr>
        <w:t>Performance Assessment F</w:t>
      </w:r>
      <w:r>
        <w:rPr>
          <w:rFonts w:cstheme="minorHAnsi"/>
          <w:color w:val="auto"/>
        </w:rPr>
        <w:t>ramework</w:t>
      </w:r>
      <w:r w:rsidR="0071209D">
        <w:rPr>
          <w:rFonts w:cstheme="minorHAnsi"/>
          <w:color w:val="auto"/>
        </w:rPr>
        <w:t xml:space="preserve"> (PAF)</w:t>
      </w:r>
      <w:r>
        <w:rPr>
          <w:rFonts w:cstheme="minorHAnsi"/>
          <w:color w:val="auto"/>
        </w:rPr>
        <w:t xml:space="preserve">. Australia’s investments continued to meet expectations, and </w:t>
      </w:r>
      <w:r w:rsidR="00D90E32">
        <w:rPr>
          <w:rFonts w:cstheme="minorHAnsi"/>
          <w:color w:val="auto"/>
        </w:rPr>
        <w:t>wer</w:t>
      </w:r>
      <w:r>
        <w:rPr>
          <w:rFonts w:cstheme="minorHAnsi"/>
          <w:color w:val="auto"/>
        </w:rPr>
        <w:t>e</w:t>
      </w:r>
      <w:r w:rsidR="009B5669">
        <w:rPr>
          <w:rFonts w:cstheme="minorHAnsi"/>
          <w:color w:val="auto"/>
        </w:rPr>
        <w:t xml:space="preserve"> all</w:t>
      </w:r>
      <w:r>
        <w:rPr>
          <w:rFonts w:cstheme="minorHAnsi"/>
          <w:color w:val="auto"/>
        </w:rPr>
        <w:t xml:space="preserve"> assesse</w:t>
      </w:r>
      <w:r w:rsidR="00D90E32">
        <w:rPr>
          <w:rFonts w:cstheme="minorHAnsi"/>
          <w:color w:val="auto"/>
        </w:rPr>
        <w:t xml:space="preserve">d </w:t>
      </w:r>
      <w:r w:rsidR="0046301A">
        <w:rPr>
          <w:rFonts w:cstheme="minorHAnsi"/>
          <w:color w:val="auto"/>
        </w:rPr>
        <w:t xml:space="preserve">as </w:t>
      </w:r>
      <w:r w:rsidR="00D90E32">
        <w:rPr>
          <w:rFonts w:cstheme="minorHAnsi"/>
          <w:color w:val="auto"/>
        </w:rPr>
        <w:t>maintain</w:t>
      </w:r>
      <w:r w:rsidR="0046301A">
        <w:rPr>
          <w:rFonts w:cstheme="minorHAnsi"/>
          <w:color w:val="auto"/>
        </w:rPr>
        <w:t>ing</w:t>
      </w:r>
      <w:r w:rsidR="00D90E32">
        <w:rPr>
          <w:rFonts w:cstheme="minorHAnsi"/>
          <w:color w:val="auto"/>
        </w:rPr>
        <w:t xml:space="preserve"> their</w:t>
      </w:r>
      <w:r>
        <w:rPr>
          <w:rFonts w:cstheme="minorHAnsi"/>
          <w:color w:val="auto"/>
        </w:rPr>
        <w:t xml:space="preserve"> green rating. </w:t>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D961BD">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4"/>
        <w:gridCol w:w="1436"/>
        <w:gridCol w:w="1439"/>
      </w:tblGrid>
      <w:tr w:rsidR="00355959" w:rsidRPr="00812509" w:rsidTr="003E2BE7">
        <w:trPr>
          <w:cnfStyle w:val="000000010000" w:firstRow="0" w:lastRow="0" w:firstColumn="0" w:lastColumn="0" w:oddVBand="0" w:evenVBand="0" w:oddHBand="0" w:evenHBand="1" w:firstRowFirstColumn="0" w:firstRowLastColumn="0" w:lastRowFirstColumn="0" w:lastRowLastColumn="0"/>
          <w:trHeight w:val="651"/>
        </w:trPr>
        <w:tc>
          <w:tcPr>
            <w:tcW w:w="66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ColumnHeading"/>
            </w:pPr>
            <w:r w:rsidRPr="00812509">
              <w:rPr>
                <w:noProof/>
              </w:rPr>
              <w:drawing>
                <wp:anchor distT="0" distB="0" distL="114300" distR="114300" simplePos="0" relativeHeight="251681792" behindDoc="0" locked="0" layoutInCell="1" allowOverlap="1" wp14:anchorId="2D30B2B4" wp14:editId="4044755D">
                  <wp:simplePos x="0" y="0"/>
                  <wp:positionH relativeFrom="column">
                    <wp:posOffset>0</wp:posOffset>
                  </wp:positionH>
                  <wp:positionV relativeFrom="paragraph">
                    <wp:posOffset>0</wp:posOffset>
                  </wp:positionV>
                  <wp:extent cx="1857375" cy="228600"/>
                  <wp:effectExtent l="0" t="0" r="9525" b="0"/>
                  <wp:wrapNone/>
                  <wp:docPr id="35" name="Picture 3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ColumnHeading"/>
            </w:pPr>
            <w:r w:rsidRPr="00812509">
              <w:t>Previous Rating</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ColumnHeading"/>
            </w:pPr>
            <w:r w:rsidRPr="00812509">
              <w:t>Current Rating</w:t>
            </w:r>
          </w:p>
        </w:tc>
      </w:tr>
      <w:tr w:rsidR="00355959" w:rsidRPr="00812509" w:rsidTr="0097700F">
        <w:trPr>
          <w:cnfStyle w:val="000000010000" w:firstRow="0" w:lastRow="0" w:firstColumn="0" w:lastColumn="0" w:oddVBand="0" w:evenVBand="0" w:oddHBand="0" w:evenHBand="1" w:firstRowFirstColumn="0" w:firstRowLastColumn="0" w:lastRowFirstColumn="0" w:lastRowLastColumn="0"/>
        </w:trPr>
        <w:tc>
          <w:tcPr>
            <w:tcW w:w="66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EC07BA">
            <w:pPr>
              <w:pStyle w:val="TableTextEntries"/>
              <w:rPr>
                <w:rFonts w:asciiTheme="minorHAnsi" w:hAnsiTheme="minorHAnsi"/>
              </w:rPr>
            </w:pPr>
            <w:r w:rsidRPr="00812509">
              <w:rPr>
                <w:rFonts w:asciiTheme="minorHAnsi" w:hAnsiTheme="minorHAnsi"/>
              </w:rPr>
              <w:t>Objective 1</w:t>
            </w:r>
            <w:r w:rsidR="00EC07BA" w:rsidRPr="00EC07BA">
              <w:rPr>
                <w:rFonts w:asciiTheme="majorHAnsi" w:eastAsiaTheme="majorEastAsia" w:hAnsiTheme="majorHAnsi" w:cstheme="majorBidi"/>
                <w:caps/>
                <w:sz w:val="32"/>
                <w:szCs w:val="32"/>
              </w:rPr>
              <w:t xml:space="preserve"> </w:t>
            </w:r>
            <w:r w:rsidR="00EC07BA" w:rsidRPr="00EC07BA">
              <w:rPr>
                <w:rFonts w:asciiTheme="minorHAnsi" w:hAnsiTheme="minorHAnsi"/>
              </w:rPr>
              <w:t>Improving access to essential infrastructure</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FB64D" w:themeFill="accent3" w:themeFillShade="BF"/>
            <w:noWrap/>
          </w:tcPr>
          <w:p w:rsidR="00355959" w:rsidRPr="00812509" w:rsidRDefault="0097700F" w:rsidP="00D05246">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r w:rsidR="00355959" w:rsidRPr="00812509" w:rsidTr="0097700F">
        <w:trPr>
          <w:cnfStyle w:val="000000010000" w:firstRow="0" w:lastRow="0" w:firstColumn="0" w:lastColumn="0" w:oddVBand="0" w:evenVBand="0" w:oddHBand="0" w:evenHBand="1" w:firstRowFirstColumn="0" w:firstRowLastColumn="0" w:lastRowFirstColumn="0" w:lastRowLastColumn="0"/>
        </w:trPr>
        <w:tc>
          <w:tcPr>
            <w:tcW w:w="66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Entries"/>
              <w:rPr>
                <w:rFonts w:asciiTheme="minorHAnsi" w:hAnsiTheme="minorHAnsi"/>
              </w:rPr>
            </w:pPr>
            <w:r w:rsidRPr="00812509">
              <w:rPr>
                <w:rFonts w:asciiTheme="minorHAnsi" w:hAnsiTheme="minorHAnsi"/>
              </w:rPr>
              <w:t>Objective 2</w:t>
            </w:r>
            <w:r w:rsidR="00EC07BA" w:rsidRPr="00EC07BA">
              <w:rPr>
                <w:rFonts w:asciiTheme="minorHAnsi" w:hAnsiTheme="minorHAnsi"/>
              </w:rPr>
              <w:t xml:space="preserve"> Increasing agricultural productivity and farmer incomes</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FB64D" w:themeFill="accent3" w:themeFillShade="BF"/>
            <w:noWrap/>
          </w:tcPr>
          <w:p w:rsidR="00355959" w:rsidRPr="00812509" w:rsidRDefault="0097700F" w:rsidP="00D05246">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355959" w:rsidRPr="00812509" w:rsidTr="0097700F">
        <w:trPr>
          <w:cnfStyle w:val="000000010000" w:firstRow="0" w:lastRow="0" w:firstColumn="0" w:lastColumn="0" w:oddVBand="0" w:evenVBand="0" w:oddHBand="0" w:evenHBand="1" w:firstRowFirstColumn="0" w:firstRowLastColumn="0" w:lastRowFirstColumn="0" w:lastRowLastColumn="0"/>
        </w:trPr>
        <w:tc>
          <w:tcPr>
            <w:tcW w:w="66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355959" w:rsidRPr="00812509" w:rsidRDefault="00355959" w:rsidP="00D05246">
            <w:pPr>
              <w:pStyle w:val="TableTextEntries"/>
              <w:rPr>
                <w:rFonts w:asciiTheme="minorHAnsi" w:hAnsiTheme="minorHAnsi"/>
              </w:rPr>
            </w:pPr>
            <w:r w:rsidRPr="00812509">
              <w:rPr>
                <w:rFonts w:asciiTheme="minorHAnsi" w:hAnsiTheme="minorHAnsi"/>
              </w:rPr>
              <w:t>Objective 3</w:t>
            </w:r>
            <w:r w:rsidR="00EC07BA" w:rsidRPr="00EC07BA">
              <w:rPr>
                <w:rFonts w:asciiTheme="majorHAnsi" w:eastAsiaTheme="majorEastAsia" w:hAnsiTheme="majorHAnsi" w:cstheme="majorBidi"/>
                <w:caps/>
                <w:sz w:val="32"/>
                <w:szCs w:val="32"/>
              </w:rPr>
              <w:t xml:space="preserve"> </w:t>
            </w:r>
            <w:r w:rsidR="00EC07BA" w:rsidRPr="00EC07BA">
              <w:rPr>
                <w:rFonts w:asciiTheme="minorHAnsi" w:hAnsiTheme="minorHAnsi"/>
              </w:rPr>
              <w:t>Better health and education</w:t>
            </w:r>
          </w:p>
        </w:tc>
        <w:tc>
          <w:tcPr>
            <w:tcW w:w="13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FB64D" w:themeFill="accent3" w:themeFillShade="BF"/>
            <w:noWrap/>
          </w:tcPr>
          <w:p w:rsidR="00355959" w:rsidRPr="00812509" w:rsidRDefault="0097700F" w:rsidP="00D05246">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13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FB64D" w:themeFill="accent3" w:themeFillShade="BF"/>
            <w:noWrap/>
          </w:tcPr>
          <w:p w:rsidR="00355959" w:rsidRPr="00812509" w:rsidRDefault="0097700F" w:rsidP="00D05246">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bl>
    <w:p w:rsidR="00355959" w:rsidRPr="00812509" w:rsidRDefault="00355959" w:rsidP="00355959">
      <w:pPr>
        <w:pStyle w:val="Note"/>
        <w:rPr>
          <w:rFonts w:asciiTheme="minorHAnsi" w:hAnsiTheme="minorHAnsi"/>
          <w:sz w:val="16"/>
        </w:rPr>
      </w:pPr>
      <w:r w:rsidRPr="00812509">
        <w:rPr>
          <w:rFonts w:asciiTheme="minorHAnsi" w:hAnsiTheme="minorHAnsi"/>
          <w:sz w:val="16"/>
        </w:rPr>
        <w:t xml:space="preserve">Note: </w:t>
      </w:r>
    </w:p>
    <w:p w:rsidR="00355959" w:rsidRPr="00812509" w:rsidRDefault="00355959" w:rsidP="0035595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355959" w:rsidRPr="00812509" w:rsidRDefault="00355959" w:rsidP="0035595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355959" w:rsidRDefault="00355959" w:rsidP="0035595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EC2788" w:rsidRDefault="00EC2788">
      <w:pPr>
        <w:suppressAutoHyphens w:val="0"/>
        <w:spacing w:before="0" w:after="120" w:line="440" w:lineRule="atLeast"/>
        <w:rPr>
          <w:rFonts w:asciiTheme="majorHAnsi" w:eastAsiaTheme="majorEastAsia" w:hAnsiTheme="majorHAnsi" w:cstheme="majorBidi"/>
          <w:caps/>
          <w:sz w:val="32"/>
          <w:szCs w:val="32"/>
        </w:rPr>
      </w:pPr>
      <w:r>
        <w:rPr>
          <w:rFonts w:asciiTheme="majorHAnsi" w:eastAsiaTheme="majorEastAsia" w:hAnsiTheme="majorHAnsi" w:cstheme="majorBidi"/>
          <w:caps/>
          <w:sz w:val="32"/>
          <w:szCs w:val="32"/>
        </w:rPr>
        <w:br w:type="page"/>
      </w:r>
    </w:p>
    <w:p w:rsidR="0072170F" w:rsidRPr="00877607" w:rsidRDefault="0072170F" w:rsidP="00CC7C6C">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lastRenderedPageBreak/>
        <w:t>Objective 1</w:t>
      </w:r>
      <w:r w:rsidR="00EC07BA">
        <w:rPr>
          <w:rFonts w:asciiTheme="majorHAnsi" w:eastAsiaTheme="majorEastAsia" w:hAnsiTheme="majorHAnsi" w:cstheme="majorBidi"/>
          <w:caps/>
          <w:sz w:val="32"/>
          <w:szCs w:val="32"/>
        </w:rPr>
        <w:t>, Improving access to essential infrastructure</w:t>
      </w:r>
      <w:r>
        <w:rPr>
          <w:rFonts w:asciiTheme="majorHAnsi" w:eastAsiaTheme="majorEastAsia" w:hAnsiTheme="majorHAnsi" w:cstheme="majorBidi"/>
          <w:caps/>
          <w:sz w:val="32"/>
          <w:szCs w:val="32"/>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6948"/>
        <w:gridCol w:w="665"/>
        <w:gridCol w:w="665"/>
        <w:gridCol w:w="665"/>
      </w:tblGrid>
      <w:tr w:rsidR="0072170F" w:rsidRPr="00695730" w:rsidTr="00D05246">
        <w:tc>
          <w:tcPr>
            <w:tcW w:w="2016" w:type="dxa"/>
          </w:tcPr>
          <w:p w:rsidR="0072170F" w:rsidRPr="00695730" w:rsidRDefault="0072170F" w:rsidP="00D05246">
            <w:pPr>
              <w:suppressAutoHyphens w:val="0"/>
              <w:spacing w:before="80" w:after="80" w:line="240" w:lineRule="auto"/>
              <w:jc w:val="center"/>
              <w:rPr>
                <w:rFonts w:asciiTheme="majorHAnsi" w:eastAsiaTheme="majorEastAsia" w:hAnsiTheme="majorHAnsi" w:cstheme="majorBidi"/>
                <w:caps/>
                <w:sz w:val="38"/>
                <w:szCs w:val="26"/>
              </w:rPr>
            </w:pPr>
          </w:p>
        </w:tc>
        <w:tc>
          <w:tcPr>
            <w:tcW w:w="19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179"/>
              <w:gridCol w:w="1179"/>
              <w:gridCol w:w="1179"/>
              <w:gridCol w:w="1179"/>
            </w:tblGrid>
            <w:tr w:rsidR="00BE28D8" w:rsidRPr="005C221E" w:rsidTr="00BE28D8">
              <w:tc>
                <w:tcPr>
                  <w:tcW w:w="2016" w:type="dxa"/>
                </w:tcPr>
                <w:p w:rsidR="00BE28D8" w:rsidRPr="005C221E" w:rsidRDefault="00BE28D8" w:rsidP="00BE28D8">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highlight w:val="yellow"/>
                      <w:lang w:val="en-GB" w:eastAsia="en-US"/>
                    </w:rPr>
                  </w:pPr>
                  <w:r w:rsidRPr="005C221E">
                    <w:rPr>
                      <w:rFonts w:asciiTheme="majorHAnsi" w:eastAsiaTheme="majorEastAsia" w:hAnsiTheme="majorHAnsi" w:cstheme="majorBidi"/>
                      <w:caps/>
                      <w:noProof/>
                      <w:color w:val="495965" w:themeColor="text2"/>
                      <w:sz w:val="38"/>
                      <w:szCs w:val="26"/>
                      <w:highlight w:val="yellow"/>
                    </w:rPr>
                    <w:drawing>
                      <wp:inline distT="0" distB="0" distL="0" distR="0" wp14:anchorId="1D573FB0" wp14:editId="373300AE">
                        <wp:extent cx="1137600" cy="720000"/>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BE28D8" w:rsidRPr="005C221E" w:rsidRDefault="00BE28D8" w:rsidP="00BE28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highlight w:val="yellow"/>
                      <w:lang w:val="en-GB" w:eastAsia="en-US"/>
                    </w:rPr>
                  </w:pPr>
                  <w:r>
                    <w:rPr>
                      <w:noProof/>
                    </w:rPr>
                    <w:drawing>
                      <wp:inline distT="0" distB="0" distL="0" distR="0" wp14:anchorId="3AADE076" wp14:editId="3B88F31F">
                        <wp:extent cx="612000" cy="61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BE28D8" w:rsidRPr="005C221E" w:rsidRDefault="00BE28D8" w:rsidP="00BE28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highlight w:val="yellow"/>
                      <w:lang w:val="en-GB" w:eastAsia="en-US"/>
                    </w:rPr>
                  </w:pPr>
                  <w:r>
                    <w:rPr>
                      <w:noProof/>
                    </w:rPr>
                    <w:drawing>
                      <wp:inline distT="0" distB="0" distL="0" distR="0" wp14:anchorId="0FE3C774" wp14:editId="306762CA">
                        <wp:extent cx="612000" cy="612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BE28D8" w:rsidRPr="005C221E" w:rsidRDefault="00BE28D8" w:rsidP="00BE28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highlight w:val="yellow"/>
                      <w:lang w:val="en-GB" w:eastAsia="en-US"/>
                    </w:rPr>
                  </w:pPr>
                  <w:r>
                    <w:rPr>
                      <w:noProof/>
                    </w:rPr>
                    <w:drawing>
                      <wp:inline distT="0" distB="0" distL="0" distR="0" wp14:anchorId="0945BB53" wp14:editId="53300DC2">
                        <wp:extent cx="612000" cy="61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BE28D8" w:rsidRPr="005C221E" w:rsidRDefault="00BE28D8" w:rsidP="00BE28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highlight w:val="yellow"/>
                      <w:lang w:val="en-GB" w:eastAsia="en-US"/>
                    </w:rPr>
                  </w:pPr>
                  <w:r>
                    <w:rPr>
                      <w:noProof/>
                    </w:rPr>
                    <w:drawing>
                      <wp:inline distT="0" distB="0" distL="0" distR="0" wp14:anchorId="758CA490" wp14:editId="2F922764">
                        <wp:extent cx="612000" cy="61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p>
        </w:tc>
        <w:tc>
          <w:tcPr>
            <w:tcW w:w="1906" w:type="dxa"/>
          </w:tcPr>
          <w:p w:rsidR="0072170F" w:rsidRPr="00695730" w:rsidRDefault="0072170F" w:rsidP="00D05246">
            <w:pPr>
              <w:suppressAutoHyphens w:val="0"/>
              <w:spacing w:before="160" w:after="80" w:line="240" w:lineRule="auto"/>
              <w:jc w:val="center"/>
              <w:rPr>
                <w:rFonts w:asciiTheme="majorHAnsi" w:eastAsiaTheme="majorEastAsia" w:hAnsiTheme="majorHAnsi" w:cstheme="majorBidi"/>
                <w:caps/>
                <w:sz w:val="38"/>
                <w:szCs w:val="26"/>
              </w:rPr>
            </w:pPr>
          </w:p>
        </w:tc>
      </w:tr>
    </w:tbl>
    <w:p w:rsidR="0097700F" w:rsidRDefault="0097700F" w:rsidP="0097700F">
      <w:pPr>
        <w:spacing w:after="120" w:line="259" w:lineRule="auto"/>
        <w:rPr>
          <w:rFonts w:cstheme="minorHAnsi"/>
          <w:color w:val="auto"/>
        </w:rPr>
      </w:pPr>
      <w:r w:rsidRPr="00370983">
        <w:rPr>
          <w:rFonts w:cstheme="minorHAnsi"/>
          <w:color w:val="auto"/>
        </w:rPr>
        <w:t xml:space="preserve">Overall progress against the objective </w:t>
      </w:r>
      <w:r w:rsidR="00370983" w:rsidRPr="00370983">
        <w:rPr>
          <w:rFonts w:cstheme="minorHAnsi"/>
          <w:color w:val="auto"/>
        </w:rPr>
        <w:t xml:space="preserve">of improving access to essential infrastructure </w:t>
      </w:r>
      <w:r w:rsidRPr="00370983">
        <w:rPr>
          <w:rFonts w:cstheme="minorHAnsi"/>
          <w:color w:val="auto"/>
        </w:rPr>
        <w:t>was strong</w:t>
      </w:r>
      <w:r w:rsidR="002D0AD6">
        <w:rPr>
          <w:rFonts w:cstheme="minorHAnsi"/>
          <w:color w:val="auto"/>
        </w:rPr>
        <w:t xml:space="preserve">. This was </w:t>
      </w:r>
      <w:r w:rsidR="000D7957">
        <w:rPr>
          <w:rFonts w:cstheme="minorHAnsi"/>
          <w:color w:val="auto"/>
        </w:rPr>
        <w:t xml:space="preserve">particularly through the </w:t>
      </w:r>
      <w:r w:rsidR="00D53549" w:rsidRPr="000D7957">
        <w:rPr>
          <w:rFonts w:cstheme="minorHAnsi"/>
          <w:color w:val="auto"/>
        </w:rPr>
        <w:t>Investing in Infrastructure program</w:t>
      </w:r>
      <w:r w:rsidR="00D53549">
        <w:rPr>
          <w:rFonts w:cstheme="minorHAnsi"/>
          <w:color w:val="auto"/>
        </w:rPr>
        <w:t xml:space="preserve"> (3i)</w:t>
      </w:r>
      <w:r w:rsidR="002D0AD6">
        <w:rPr>
          <w:rFonts w:cstheme="minorHAnsi"/>
          <w:color w:val="auto"/>
        </w:rPr>
        <w:t xml:space="preserve"> which exceeded its target number of contracts signed</w:t>
      </w:r>
      <w:r w:rsidR="005610D5">
        <w:rPr>
          <w:rFonts w:cstheme="minorHAnsi"/>
          <w:color w:val="auto"/>
        </w:rPr>
        <w:t>,</w:t>
      </w:r>
      <w:r w:rsidR="00D53549">
        <w:rPr>
          <w:rFonts w:cstheme="minorHAnsi"/>
          <w:color w:val="auto"/>
        </w:rPr>
        <w:t xml:space="preserve"> </w:t>
      </w:r>
      <w:r w:rsidRPr="00370983">
        <w:rPr>
          <w:rFonts w:cstheme="minorHAnsi"/>
          <w:color w:val="auto"/>
        </w:rPr>
        <w:t xml:space="preserve">resulting in a green rating for 2018-19. </w:t>
      </w:r>
    </w:p>
    <w:p w:rsidR="00315B0C" w:rsidRDefault="00B85B9B" w:rsidP="000D7957">
      <w:pPr>
        <w:rPr>
          <w:rFonts w:cstheme="minorHAnsi"/>
          <w:color w:val="auto"/>
        </w:rPr>
      </w:pPr>
      <w:r>
        <w:rPr>
          <w:rFonts w:cstheme="minorHAnsi"/>
          <w:color w:val="auto"/>
        </w:rPr>
        <w:t xml:space="preserve">The Government of Cambodia mainly relies on private investment to expand electricity and piped water services to peri-urban and rural areas. In some areas, the payback period is too long to attract private investment. The </w:t>
      </w:r>
      <w:r w:rsidR="000D7957" w:rsidRPr="000D7957">
        <w:rPr>
          <w:rFonts w:cstheme="minorHAnsi"/>
          <w:color w:val="auto"/>
        </w:rPr>
        <w:t xml:space="preserve">3i </w:t>
      </w:r>
      <w:r w:rsidR="00D53549">
        <w:rPr>
          <w:rFonts w:cstheme="minorHAnsi"/>
          <w:color w:val="auto"/>
        </w:rPr>
        <w:t xml:space="preserve">program </w:t>
      </w:r>
      <w:r w:rsidR="0046301A">
        <w:rPr>
          <w:rFonts w:cstheme="minorHAnsi"/>
          <w:color w:val="auto"/>
        </w:rPr>
        <w:t>(</w:t>
      </w:r>
      <w:r w:rsidR="0046301A" w:rsidRPr="0046301A">
        <w:rPr>
          <w:rFonts w:cstheme="minorHAnsi"/>
          <w:color w:val="auto"/>
        </w:rPr>
        <w:t>$45.4 million, 2015-20</w:t>
      </w:r>
      <w:r w:rsidR="000D7957" w:rsidRPr="000D7957">
        <w:rPr>
          <w:rFonts w:cstheme="minorHAnsi"/>
          <w:color w:val="auto"/>
        </w:rPr>
        <w:t>) continued to</w:t>
      </w:r>
      <w:r w:rsidR="00315B0C" w:rsidRPr="000D7957">
        <w:rPr>
          <w:rFonts w:cstheme="minorHAnsi"/>
          <w:color w:val="auto"/>
        </w:rPr>
        <w:t xml:space="preserve"> </w:t>
      </w:r>
      <w:r>
        <w:rPr>
          <w:rFonts w:cstheme="minorHAnsi"/>
          <w:color w:val="auto"/>
        </w:rPr>
        <w:t>stimulate</w:t>
      </w:r>
      <w:r w:rsidRPr="000D7957">
        <w:rPr>
          <w:rFonts w:cstheme="minorHAnsi"/>
          <w:color w:val="auto"/>
        </w:rPr>
        <w:t xml:space="preserve"> </w:t>
      </w:r>
      <w:r w:rsidR="000D7957" w:rsidRPr="000D7957">
        <w:rPr>
          <w:rFonts w:cstheme="minorHAnsi"/>
          <w:color w:val="auto"/>
        </w:rPr>
        <w:t xml:space="preserve">considerable </w:t>
      </w:r>
      <w:r w:rsidR="00315B0C" w:rsidRPr="000D7957">
        <w:rPr>
          <w:rFonts w:cstheme="minorHAnsi"/>
          <w:color w:val="auto"/>
        </w:rPr>
        <w:t xml:space="preserve">private investment into </w:t>
      </w:r>
      <w:r w:rsidR="000D7957">
        <w:rPr>
          <w:rFonts w:cstheme="minorHAnsi"/>
          <w:color w:val="auto"/>
        </w:rPr>
        <w:t>small-scale</w:t>
      </w:r>
      <w:r w:rsidRPr="00B85B9B">
        <w:rPr>
          <w:rFonts w:cstheme="minorHAnsi"/>
          <w:color w:val="auto"/>
        </w:rPr>
        <w:t xml:space="preserve"> </w:t>
      </w:r>
      <w:r>
        <w:rPr>
          <w:rFonts w:cstheme="minorHAnsi"/>
          <w:color w:val="auto"/>
        </w:rPr>
        <w:t>infrastructure</w:t>
      </w:r>
      <w:r w:rsidRPr="000D7957">
        <w:rPr>
          <w:rFonts w:cstheme="minorHAnsi"/>
          <w:color w:val="auto"/>
        </w:rPr>
        <w:t xml:space="preserve"> </w:t>
      </w:r>
      <w:r>
        <w:rPr>
          <w:rFonts w:cstheme="minorHAnsi"/>
          <w:color w:val="auto"/>
        </w:rPr>
        <w:t>by providing gap financing to reduce the payback period to an acceptable level</w:t>
      </w:r>
      <w:r w:rsidR="00633038">
        <w:rPr>
          <w:rFonts w:cstheme="minorHAnsi"/>
          <w:color w:val="auto"/>
        </w:rPr>
        <w:t>.</w:t>
      </w:r>
      <w:r w:rsidR="000D7957">
        <w:rPr>
          <w:rFonts w:cstheme="minorHAnsi"/>
          <w:color w:val="auto"/>
        </w:rPr>
        <w:t xml:space="preserve"> </w:t>
      </w:r>
      <w:r w:rsidR="000D7957" w:rsidRPr="000D7957">
        <w:rPr>
          <w:rFonts w:cstheme="minorHAnsi"/>
          <w:color w:val="auto"/>
        </w:rPr>
        <w:t xml:space="preserve">This </w:t>
      </w:r>
      <w:r w:rsidR="000D7957">
        <w:rPr>
          <w:rFonts w:cstheme="minorHAnsi"/>
          <w:color w:val="auto"/>
        </w:rPr>
        <w:t>accelerated</w:t>
      </w:r>
      <w:r w:rsidR="000D7957" w:rsidRPr="000D7957">
        <w:rPr>
          <w:rFonts w:cstheme="minorHAnsi"/>
          <w:color w:val="auto"/>
        </w:rPr>
        <w:t xml:space="preserve"> access to piped, treated water and reliable electricity, </w:t>
      </w:r>
      <w:r w:rsidR="000D7957">
        <w:rPr>
          <w:rFonts w:cstheme="minorHAnsi"/>
          <w:color w:val="auto"/>
        </w:rPr>
        <w:t>which will also</w:t>
      </w:r>
      <w:r w:rsidR="000D7957" w:rsidRPr="000D7957">
        <w:rPr>
          <w:rFonts w:cstheme="minorHAnsi"/>
          <w:color w:val="auto"/>
        </w:rPr>
        <w:t xml:space="preserve"> unlock opportunities for economic growth and trade.</w:t>
      </w:r>
    </w:p>
    <w:p w:rsidR="0071209D" w:rsidRPr="0071209D" w:rsidRDefault="0071209D" w:rsidP="0071209D">
      <w:pPr>
        <w:rPr>
          <w:color w:val="0070C0"/>
          <w:lang w:val="en-AU"/>
        </w:rPr>
      </w:pPr>
      <w:r w:rsidRPr="0071209D">
        <w:rPr>
          <w:rFonts w:cstheme="minorHAnsi"/>
          <w:color w:val="auto"/>
        </w:rPr>
        <w:t>36 contracts for co-investment in new private electricity and water networks were signed by 3i during 2018. This exceeded the target of 30 contracts. These contracts are expected to benefit approximately 382,500 people</w:t>
      </w:r>
      <w:r w:rsidR="00A63876">
        <w:rPr>
          <w:rFonts w:cstheme="minorHAnsi"/>
          <w:color w:val="auto"/>
        </w:rPr>
        <w:t>. This is</w:t>
      </w:r>
      <w:r w:rsidR="003553CF">
        <w:rPr>
          <w:rFonts w:cstheme="minorHAnsi"/>
          <w:color w:val="auto"/>
        </w:rPr>
        <w:t xml:space="preserve"> somewhat </w:t>
      </w:r>
      <w:r w:rsidRPr="0071209D">
        <w:rPr>
          <w:rFonts w:cstheme="minorHAnsi"/>
          <w:color w:val="auto"/>
        </w:rPr>
        <w:t>lower than the target of 441,531 people due to the smaller size of the actual contracts when compared to their projected size.</w:t>
      </w:r>
    </w:p>
    <w:p w:rsidR="00D53549" w:rsidRDefault="00D53549" w:rsidP="00E921CF">
      <w:pPr>
        <w:rPr>
          <w:rFonts w:cstheme="minorHAnsi"/>
          <w:color w:val="auto"/>
        </w:rPr>
      </w:pPr>
      <w:r w:rsidRPr="00D53549">
        <w:rPr>
          <w:rFonts w:cstheme="minorHAnsi"/>
          <w:color w:val="auto"/>
        </w:rPr>
        <w:t xml:space="preserve">Over 80 contracts with SMEs are now in place to connect households and businesses to piped water and electricity. </w:t>
      </w:r>
      <w:r w:rsidR="0071209D">
        <w:rPr>
          <w:rFonts w:cstheme="minorHAnsi"/>
          <w:color w:val="auto"/>
        </w:rPr>
        <w:t>T</w:t>
      </w:r>
      <w:r w:rsidRPr="00D53549">
        <w:rPr>
          <w:rFonts w:cstheme="minorHAnsi"/>
          <w:color w:val="auto"/>
        </w:rPr>
        <w:t xml:space="preserve">he program </w:t>
      </w:r>
      <w:r w:rsidR="0071209D">
        <w:rPr>
          <w:rFonts w:cstheme="minorHAnsi"/>
          <w:color w:val="auto"/>
        </w:rPr>
        <w:t xml:space="preserve">has </w:t>
      </w:r>
      <w:r w:rsidRPr="00D53549">
        <w:rPr>
          <w:rFonts w:cstheme="minorHAnsi"/>
          <w:color w:val="auto"/>
        </w:rPr>
        <w:t>provided access to power or</w:t>
      </w:r>
      <w:r w:rsidR="000F7379">
        <w:rPr>
          <w:rFonts w:cstheme="minorHAnsi"/>
          <w:color w:val="auto"/>
        </w:rPr>
        <w:t xml:space="preserve"> water to 85,000 households</w:t>
      </w:r>
      <w:r w:rsidRPr="00D53549">
        <w:rPr>
          <w:rFonts w:cstheme="minorHAnsi"/>
          <w:color w:val="auto"/>
        </w:rPr>
        <w:t xml:space="preserve">. 3i has now brokered construction contracts to deliver piped water and electricity connections to approximately one million rural Cambodians in total. </w:t>
      </w:r>
      <w:r w:rsidR="004B7A61" w:rsidRPr="00D53549">
        <w:rPr>
          <w:rFonts w:cstheme="minorHAnsi"/>
          <w:color w:val="auto"/>
        </w:rPr>
        <w:t xml:space="preserve">These contracts leverage $33 million of private sector investment, through DFAT investments totalling $19 million to date. </w:t>
      </w:r>
      <w:r w:rsidRPr="00D53549">
        <w:rPr>
          <w:rFonts w:cstheme="minorHAnsi"/>
          <w:color w:val="auto"/>
        </w:rPr>
        <w:t xml:space="preserve">Now most contracts are signed, </w:t>
      </w:r>
      <w:r>
        <w:rPr>
          <w:rFonts w:cstheme="minorHAnsi"/>
          <w:color w:val="auto"/>
        </w:rPr>
        <w:t xml:space="preserve">the </w:t>
      </w:r>
      <w:r w:rsidRPr="00D53549">
        <w:rPr>
          <w:rFonts w:cstheme="minorHAnsi"/>
          <w:color w:val="auto"/>
        </w:rPr>
        <w:t>focus will be on ensuring connections roll</w:t>
      </w:r>
      <w:r w:rsidR="00DE495D">
        <w:rPr>
          <w:rFonts w:cstheme="minorHAnsi"/>
          <w:color w:val="auto"/>
        </w:rPr>
        <w:t xml:space="preserve"> </w:t>
      </w:r>
      <w:r w:rsidRPr="00D53549">
        <w:rPr>
          <w:rFonts w:cstheme="minorHAnsi"/>
          <w:color w:val="auto"/>
        </w:rPr>
        <w:t>out as planned.</w:t>
      </w:r>
      <w:r w:rsidR="004B7A61">
        <w:rPr>
          <w:rFonts w:cstheme="minorHAnsi"/>
          <w:color w:val="auto"/>
        </w:rPr>
        <w:t xml:space="preserve"> </w:t>
      </w:r>
    </w:p>
    <w:p w:rsidR="00E921CF" w:rsidRPr="00E921CF" w:rsidRDefault="00E921CF" w:rsidP="00E921CF">
      <w:pPr>
        <w:rPr>
          <w:rFonts w:cstheme="minorHAnsi"/>
          <w:color w:val="auto"/>
        </w:rPr>
      </w:pPr>
      <w:r w:rsidRPr="00E921CF">
        <w:rPr>
          <w:rFonts w:cstheme="minorHAnsi"/>
          <w:color w:val="auto"/>
        </w:rPr>
        <w:t>3</w:t>
      </w:r>
      <w:r w:rsidR="003553CF">
        <w:rPr>
          <w:rFonts w:cstheme="minorHAnsi"/>
          <w:color w:val="auto"/>
        </w:rPr>
        <w:t>i</w:t>
      </w:r>
      <w:r w:rsidRPr="00E921CF">
        <w:rPr>
          <w:rFonts w:cstheme="minorHAnsi"/>
          <w:color w:val="auto"/>
        </w:rPr>
        <w:t xml:space="preserve"> has sought to improve gender equality, with practical measures such as adjusting contracts to be signed by both business partners (husband and wife) in 2018. In </w:t>
      </w:r>
      <w:r w:rsidR="00300E0B">
        <w:rPr>
          <w:rFonts w:cstheme="minorHAnsi"/>
          <w:color w:val="auto"/>
        </w:rPr>
        <w:t>March</w:t>
      </w:r>
      <w:r w:rsidRPr="00E921CF">
        <w:rPr>
          <w:rFonts w:cstheme="minorHAnsi"/>
          <w:color w:val="auto"/>
        </w:rPr>
        <w:t xml:space="preserve"> 2019, 3i conduct</w:t>
      </w:r>
      <w:r w:rsidR="00300E0B">
        <w:rPr>
          <w:rFonts w:cstheme="minorHAnsi"/>
          <w:color w:val="auto"/>
        </w:rPr>
        <w:t>ed</w:t>
      </w:r>
      <w:r w:rsidRPr="00E921CF">
        <w:rPr>
          <w:rFonts w:cstheme="minorHAnsi"/>
          <w:color w:val="auto"/>
        </w:rPr>
        <w:t xml:space="preserve"> a </w:t>
      </w:r>
      <w:r w:rsidR="00A63876">
        <w:rPr>
          <w:rFonts w:cstheme="minorHAnsi"/>
          <w:color w:val="auto"/>
        </w:rPr>
        <w:t>small</w:t>
      </w:r>
      <w:r w:rsidR="00E17D64">
        <w:rPr>
          <w:rFonts w:cstheme="minorHAnsi"/>
          <w:color w:val="auto"/>
        </w:rPr>
        <w:t xml:space="preserve"> qualitative</w:t>
      </w:r>
      <w:r w:rsidR="00A63876">
        <w:rPr>
          <w:rFonts w:cstheme="minorHAnsi"/>
          <w:color w:val="auto"/>
        </w:rPr>
        <w:t xml:space="preserve"> </w:t>
      </w:r>
      <w:r w:rsidRPr="00E921CF">
        <w:rPr>
          <w:rFonts w:cstheme="minorHAnsi"/>
          <w:color w:val="auto"/>
        </w:rPr>
        <w:t xml:space="preserve">study to </w:t>
      </w:r>
      <w:r w:rsidR="00E17D64">
        <w:rPr>
          <w:rFonts w:cstheme="minorHAnsi"/>
          <w:color w:val="auto"/>
        </w:rPr>
        <w:t xml:space="preserve">help </w:t>
      </w:r>
      <w:r w:rsidRPr="00E921CF">
        <w:rPr>
          <w:rFonts w:cstheme="minorHAnsi"/>
          <w:color w:val="auto"/>
        </w:rPr>
        <w:t xml:space="preserve">identify barriers for female-headed households in accessing water/ energy connections. </w:t>
      </w:r>
      <w:r w:rsidR="00300E0B">
        <w:rPr>
          <w:rFonts w:cstheme="minorHAnsi"/>
          <w:color w:val="auto"/>
        </w:rPr>
        <w:t xml:space="preserve">The study </w:t>
      </w:r>
      <w:r w:rsidR="00E17D64">
        <w:rPr>
          <w:rFonts w:cstheme="minorHAnsi"/>
          <w:color w:val="auto"/>
        </w:rPr>
        <w:t xml:space="preserve">indicated (albeit with a small sample size) that </w:t>
      </w:r>
      <w:r w:rsidR="00300E0B">
        <w:rPr>
          <w:rFonts w:cstheme="minorHAnsi"/>
          <w:color w:val="auto"/>
        </w:rPr>
        <w:t xml:space="preserve">3i’s subsidy program had a </w:t>
      </w:r>
      <w:r w:rsidR="00E17D64">
        <w:rPr>
          <w:rFonts w:cstheme="minorHAnsi"/>
          <w:color w:val="auto"/>
        </w:rPr>
        <w:t xml:space="preserve">positive </w:t>
      </w:r>
      <w:r w:rsidR="00300E0B">
        <w:rPr>
          <w:rFonts w:cstheme="minorHAnsi"/>
          <w:color w:val="auto"/>
        </w:rPr>
        <w:t xml:space="preserve">impact on improving female-headed </w:t>
      </w:r>
      <w:r w:rsidR="00041900">
        <w:rPr>
          <w:rFonts w:cstheme="minorHAnsi"/>
          <w:color w:val="auto"/>
        </w:rPr>
        <w:t>households’</w:t>
      </w:r>
      <w:r w:rsidR="00300E0B">
        <w:rPr>
          <w:rFonts w:cstheme="minorHAnsi"/>
          <w:color w:val="auto"/>
        </w:rPr>
        <w:t xml:space="preserve"> access to water and electricity connections.</w:t>
      </w:r>
      <w:r w:rsidR="00E17D64">
        <w:rPr>
          <w:rFonts w:cstheme="minorHAnsi"/>
          <w:color w:val="auto"/>
        </w:rPr>
        <w:t xml:space="preserve"> </w:t>
      </w:r>
    </w:p>
    <w:p w:rsidR="00D82A17" w:rsidRDefault="0097700F" w:rsidP="004B7A61">
      <w:pPr>
        <w:spacing w:after="120" w:line="259" w:lineRule="auto"/>
        <w:rPr>
          <w:rFonts w:cstheme="minorHAnsi"/>
          <w:color w:val="auto"/>
        </w:rPr>
      </w:pPr>
      <w:r w:rsidRPr="004B7A61">
        <w:rPr>
          <w:rFonts w:cstheme="minorHAnsi"/>
          <w:color w:val="auto"/>
        </w:rPr>
        <w:t>Following th</w:t>
      </w:r>
      <w:r w:rsidR="004B7A61" w:rsidRPr="004B7A61">
        <w:rPr>
          <w:rFonts w:cstheme="minorHAnsi"/>
          <w:color w:val="auto"/>
        </w:rPr>
        <w:t>e</w:t>
      </w:r>
      <w:r w:rsidRPr="004B7A61">
        <w:rPr>
          <w:rFonts w:cstheme="minorHAnsi"/>
          <w:color w:val="auto"/>
        </w:rPr>
        <w:t xml:space="preserve"> strong success </w:t>
      </w:r>
      <w:r w:rsidR="004B7A61" w:rsidRPr="004B7A61">
        <w:rPr>
          <w:rFonts w:cstheme="minorHAnsi"/>
          <w:color w:val="auto"/>
        </w:rPr>
        <w:t xml:space="preserve">in </w:t>
      </w:r>
      <w:r w:rsidRPr="004B7A61">
        <w:rPr>
          <w:rFonts w:cstheme="minorHAnsi"/>
          <w:color w:val="auto"/>
        </w:rPr>
        <w:t xml:space="preserve">increasing access to household utilities, </w:t>
      </w:r>
      <w:r w:rsidR="003553CF">
        <w:rPr>
          <w:rFonts w:cstheme="minorHAnsi"/>
          <w:color w:val="auto"/>
        </w:rPr>
        <w:t>Australia is</w:t>
      </w:r>
      <w:r w:rsidRPr="004B7A61">
        <w:rPr>
          <w:rFonts w:cstheme="minorHAnsi"/>
          <w:color w:val="auto"/>
        </w:rPr>
        <w:t xml:space="preserve"> now broadening </w:t>
      </w:r>
      <w:r w:rsidR="003553CF">
        <w:rPr>
          <w:rFonts w:cstheme="minorHAnsi"/>
          <w:color w:val="auto"/>
        </w:rPr>
        <w:t xml:space="preserve">our </w:t>
      </w:r>
      <w:r w:rsidRPr="004B7A61">
        <w:rPr>
          <w:rFonts w:cstheme="minorHAnsi"/>
          <w:color w:val="auto"/>
        </w:rPr>
        <w:t xml:space="preserve">engagement, working in policy areas and promoting partnerships to improve </w:t>
      </w:r>
      <w:r w:rsidR="003553CF">
        <w:rPr>
          <w:rFonts w:cstheme="minorHAnsi"/>
          <w:color w:val="auto"/>
        </w:rPr>
        <w:t xml:space="preserve">the </w:t>
      </w:r>
      <w:r w:rsidRPr="004B7A61">
        <w:rPr>
          <w:rFonts w:cstheme="minorHAnsi"/>
          <w:color w:val="auto"/>
        </w:rPr>
        <w:t xml:space="preserve">quality of infrastructure country-wide. </w:t>
      </w:r>
      <w:r w:rsidR="00B85B9B">
        <w:rPr>
          <w:rFonts w:cstheme="minorHAnsi"/>
          <w:color w:val="auto"/>
        </w:rPr>
        <w:t>In 2019, 3i engaged the Australian Water Association to commence a two year program of activities to strengthen the performance of the Cambodian water sector. This will include twinning activities between Australian and Cambodian water utilities to strengthen operations and efficiency, introduction of leading Australian water technology, and support to make the Cambodian Water Association a more effective voice on key policy issues.</w:t>
      </w:r>
    </w:p>
    <w:p w:rsidR="00E744C3" w:rsidRDefault="0097700F" w:rsidP="00E744C3">
      <w:pPr>
        <w:spacing w:after="120" w:line="259" w:lineRule="auto"/>
        <w:rPr>
          <w:rFonts w:cstheme="minorHAnsi"/>
          <w:color w:val="auto"/>
        </w:rPr>
      </w:pPr>
      <w:r w:rsidRPr="004B7A61">
        <w:rPr>
          <w:rFonts w:cstheme="minorHAnsi"/>
          <w:color w:val="auto"/>
        </w:rPr>
        <w:t xml:space="preserve">In 2018, 3i </w:t>
      </w:r>
      <w:r w:rsidR="00BF5399">
        <w:rPr>
          <w:rFonts w:cstheme="minorHAnsi"/>
          <w:color w:val="auto"/>
        </w:rPr>
        <w:t xml:space="preserve">also </w:t>
      </w:r>
      <w:r w:rsidRPr="004B7A61">
        <w:rPr>
          <w:rFonts w:cstheme="minorHAnsi"/>
          <w:color w:val="auto"/>
        </w:rPr>
        <w:t xml:space="preserve">started work </w:t>
      </w:r>
      <w:r w:rsidR="00687BBB">
        <w:rPr>
          <w:rFonts w:cstheme="minorHAnsi"/>
          <w:color w:val="auto"/>
        </w:rPr>
        <w:t>to support Cambodia to expand the share of</w:t>
      </w:r>
      <w:r w:rsidR="00BF5399">
        <w:rPr>
          <w:rFonts w:cstheme="minorHAnsi"/>
          <w:color w:val="auto"/>
        </w:rPr>
        <w:t xml:space="preserve"> </w:t>
      </w:r>
      <w:r w:rsidRPr="004B7A61">
        <w:rPr>
          <w:rFonts w:cstheme="minorHAnsi"/>
          <w:color w:val="auto"/>
        </w:rPr>
        <w:t>renewable</w:t>
      </w:r>
      <w:r w:rsidR="00687BBB">
        <w:rPr>
          <w:rFonts w:cstheme="minorHAnsi"/>
          <w:color w:val="auto"/>
        </w:rPr>
        <w:t xml:space="preserve">s in Cambodia’s energy mix. The </w:t>
      </w:r>
      <w:r w:rsidR="006728DA">
        <w:rPr>
          <w:rFonts w:cstheme="minorHAnsi"/>
          <w:color w:val="auto"/>
        </w:rPr>
        <w:t>Cambodian Government</w:t>
      </w:r>
      <w:r w:rsidR="00B85B9B">
        <w:rPr>
          <w:rFonts w:cstheme="minorHAnsi"/>
          <w:color w:val="auto"/>
        </w:rPr>
        <w:t xml:space="preserve"> is increasingly recognising the useful role that renewables can play, given their complementarity with existing power sources (hydro) and continually falling costs. 3i </w:t>
      </w:r>
      <w:r w:rsidR="006564B7">
        <w:rPr>
          <w:rFonts w:cstheme="minorHAnsi"/>
          <w:color w:val="auto"/>
        </w:rPr>
        <w:t>commenced</w:t>
      </w:r>
      <w:r w:rsidR="00B85B9B">
        <w:rPr>
          <w:rFonts w:cstheme="minorHAnsi"/>
          <w:color w:val="auto"/>
        </w:rPr>
        <w:t xml:space="preserve"> helping to provide the evidence base for this shift, supporting the newly formed </w:t>
      </w:r>
      <w:r w:rsidR="00B85B9B" w:rsidRPr="004B7A61">
        <w:rPr>
          <w:rFonts w:cstheme="minorHAnsi"/>
          <w:color w:val="auto"/>
        </w:rPr>
        <w:t xml:space="preserve">inter-agency Technical Working Group </w:t>
      </w:r>
      <w:r w:rsidR="00B85B9B">
        <w:rPr>
          <w:rFonts w:cstheme="minorHAnsi"/>
          <w:color w:val="auto"/>
        </w:rPr>
        <w:t xml:space="preserve">(TWG) </w:t>
      </w:r>
      <w:r w:rsidR="00B85B9B" w:rsidRPr="004B7A61">
        <w:rPr>
          <w:rFonts w:cstheme="minorHAnsi"/>
          <w:color w:val="auto"/>
        </w:rPr>
        <w:t>on Renewable</w:t>
      </w:r>
      <w:r w:rsidR="00B85B9B">
        <w:rPr>
          <w:rFonts w:cstheme="minorHAnsi"/>
          <w:color w:val="auto"/>
        </w:rPr>
        <w:t xml:space="preserve"> Energy. With 3i’s support, the TWG is conducting studies on the potential of different sources (solar, wind, waste to energy) and </w:t>
      </w:r>
      <w:r w:rsidR="00B85B9B" w:rsidRPr="004B7A61">
        <w:rPr>
          <w:rFonts w:cstheme="minorHAnsi"/>
          <w:color w:val="auto"/>
        </w:rPr>
        <w:t>develop</w:t>
      </w:r>
      <w:r w:rsidR="00B85B9B">
        <w:rPr>
          <w:rFonts w:cstheme="minorHAnsi"/>
          <w:color w:val="auto"/>
        </w:rPr>
        <w:t>ing</w:t>
      </w:r>
      <w:r w:rsidR="00B85B9B" w:rsidRPr="004B7A61">
        <w:rPr>
          <w:rFonts w:cstheme="minorHAnsi"/>
          <w:color w:val="auto"/>
        </w:rPr>
        <w:t xml:space="preserve"> a </w:t>
      </w:r>
      <w:r w:rsidR="00B85B9B">
        <w:rPr>
          <w:rFonts w:cstheme="minorHAnsi"/>
          <w:color w:val="auto"/>
        </w:rPr>
        <w:t>renewable energy master plan</w:t>
      </w:r>
      <w:r w:rsidR="00AE1F8D">
        <w:rPr>
          <w:rFonts w:cstheme="minorHAnsi"/>
          <w:color w:val="auto"/>
        </w:rPr>
        <w:t>,</w:t>
      </w:r>
      <w:r w:rsidR="00B85B9B">
        <w:rPr>
          <w:rFonts w:cstheme="minorHAnsi"/>
          <w:color w:val="auto"/>
        </w:rPr>
        <w:t xml:space="preserve"> which will guide investment decisions in coming years. This complements Australia’s funding for the </w:t>
      </w:r>
      <w:r w:rsidR="0090384A">
        <w:rPr>
          <w:rFonts w:cstheme="minorHAnsi"/>
          <w:color w:val="auto"/>
        </w:rPr>
        <w:t xml:space="preserve">ADB </w:t>
      </w:r>
      <w:r w:rsidR="00B85B9B">
        <w:rPr>
          <w:rFonts w:cstheme="minorHAnsi"/>
          <w:color w:val="auto"/>
        </w:rPr>
        <w:t>(through the regional program) to develop an overall energy master plan, supporting robust and efficient decision-making o</w:t>
      </w:r>
      <w:r w:rsidR="006564B7">
        <w:rPr>
          <w:rFonts w:cstheme="minorHAnsi"/>
          <w:color w:val="auto"/>
        </w:rPr>
        <w:t xml:space="preserve">n investments over coming years. This will help increase </w:t>
      </w:r>
      <w:r w:rsidR="00B85B9B">
        <w:rPr>
          <w:rFonts w:cstheme="minorHAnsi"/>
          <w:color w:val="auto"/>
        </w:rPr>
        <w:t>technical viability, and reduc</w:t>
      </w:r>
      <w:r w:rsidR="006564B7">
        <w:rPr>
          <w:rFonts w:cstheme="minorHAnsi"/>
          <w:color w:val="auto"/>
        </w:rPr>
        <w:t xml:space="preserve">e </w:t>
      </w:r>
      <w:r w:rsidR="00B85B9B">
        <w:rPr>
          <w:rFonts w:cstheme="minorHAnsi"/>
          <w:color w:val="auto"/>
        </w:rPr>
        <w:t>the risk of investment choices that could have problematic financial, social and environmental consequences</w:t>
      </w:r>
      <w:r w:rsidR="00392565">
        <w:rPr>
          <w:rFonts w:cstheme="minorHAnsi"/>
          <w:color w:val="auto"/>
        </w:rPr>
        <w:t xml:space="preserve">. </w:t>
      </w:r>
    </w:p>
    <w:p w:rsidR="0097700F" w:rsidRPr="004B7A61" w:rsidRDefault="000F7379" w:rsidP="004B7A61">
      <w:pPr>
        <w:spacing w:after="120" w:line="259" w:lineRule="auto"/>
        <w:rPr>
          <w:rFonts w:cstheme="minorHAnsi"/>
          <w:color w:val="auto"/>
        </w:rPr>
      </w:pPr>
      <w:r>
        <w:rPr>
          <w:rFonts w:cstheme="minorHAnsi"/>
          <w:color w:val="auto"/>
        </w:rPr>
        <w:lastRenderedPageBreak/>
        <w:t xml:space="preserve"> </w:t>
      </w:r>
    </w:p>
    <w:p w:rsidR="0097700F" w:rsidRPr="004B7A61" w:rsidRDefault="000F7379" w:rsidP="004B7A61">
      <w:pPr>
        <w:spacing w:after="120" w:line="259" w:lineRule="auto"/>
        <w:rPr>
          <w:rFonts w:cstheme="minorHAnsi"/>
          <w:color w:val="auto"/>
        </w:rPr>
      </w:pPr>
      <w:r>
        <w:rPr>
          <w:rFonts w:cstheme="minorHAnsi"/>
          <w:color w:val="auto"/>
        </w:rPr>
        <w:t xml:space="preserve">DFAT </w:t>
      </w:r>
      <w:r w:rsidR="00B77B41">
        <w:rPr>
          <w:rFonts w:cstheme="minorHAnsi"/>
          <w:color w:val="auto"/>
        </w:rPr>
        <w:t>began</w:t>
      </w:r>
      <w:r w:rsidR="0097700F" w:rsidRPr="004B7A61">
        <w:rPr>
          <w:rFonts w:cstheme="minorHAnsi"/>
          <w:color w:val="auto"/>
        </w:rPr>
        <w:t xml:space="preserve"> to document the successful 3i methodology for other development partners and the </w:t>
      </w:r>
      <w:r w:rsidR="006728DA">
        <w:rPr>
          <w:rFonts w:cstheme="minorHAnsi"/>
          <w:color w:val="auto"/>
        </w:rPr>
        <w:t>Cambodian Government</w:t>
      </w:r>
      <w:r w:rsidR="0097700F" w:rsidRPr="004B7A61">
        <w:rPr>
          <w:rFonts w:cstheme="minorHAnsi"/>
          <w:color w:val="auto"/>
        </w:rPr>
        <w:t xml:space="preserve">, as a template for </w:t>
      </w:r>
      <w:r w:rsidR="00392565">
        <w:rPr>
          <w:rFonts w:cstheme="minorHAnsi"/>
          <w:color w:val="auto"/>
        </w:rPr>
        <w:t>mobilising private capital that could be adopted in</w:t>
      </w:r>
      <w:r w:rsidR="0097700F" w:rsidRPr="004B7A61">
        <w:rPr>
          <w:rFonts w:cstheme="minorHAnsi"/>
          <w:color w:val="auto"/>
        </w:rPr>
        <w:t xml:space="preserve"> other areas or sectors. </w:t>
      </w:r>
      <w:r w:rsidR="00B85B9B">
        <w:rPr>
          <w:rFonts w:cstheme="minorHAnsi"/>
          <w:color w:val="auto"/>
        </w:rPr>
        <w:t>3i also recruited a senior infrastructure advisor (due to start in October</w:t>
      </w:r>
      <w:r w:rsidR="003B164C">
        <w:rPr>
          <w:rFonts w:cstheme="minorHAnsi"/>
          <w:color w:val="auto"/>
        </w:rPr>
        <w:t xml:space="preserve"> 2019</w:t>
      </w:r>
      <w:r w:rsidR="00B85B9B">
        <w:rPr>
          <w:rFonts w:cstheme="minorHAnsi"/>
          <w:color w:val="auto"/>
        </w:rPr>
        <w:t xml:space="preserve">) who will work with DFAT to identify further opportunities to support strengthened infrastructure policy and practice.  </w:t>
      </w:r>
      <w:r w:rsidR="00B85B9B" w:rsidRPr="004B7A61">
        <w:rPr>
          <w:rFonts w:cstheme="minorHAnsi"/>
          <w:color w:val="auto"/>
        </w:rPr>
        <w:t xml:space="preserve"> </w:t>
      </w:r>
    </w:p>
    <w:p w:rsidR="009E15DB" w:rsidRDefault="0091447D" w:rsidP="00E921CF">
      <w:pPr>
        <w:spacing w:after="120" w:line="259" w:lineRule="auto"/>
        <w:rPr>
          <w:rFonts w:cstheme="minorHAnsi"/>
          <w:color w:val="auto"/>
        </w:rPr>
      </w:pPr>
      <w:r w:rsidRPr="0091447D">
        <w:rPr>
          <w:rFonts w:cstheme="minorHAnsi"/>
          <w:color w:val="auto"/>
        </w:rPr>
        <w:t xml:space="preserve">The </w:t>
      </w:r>
      <w:r w:rsidR="000F7379">
        <w:rPr>
          <w:rFonts w:cstheme="minorHAnsi"/>
          <w:color w:val="auto"/>
        </w:rPr>
        <w:t xml:space="preserve">other investment under </w:t>
      </w:r>
      <w:r w:rsidR="003553CF">
        <w:rPr>
          <w:rFonts w:cstheme="minorHAnsi"/>
          <w:color w:val="auto"/>
        </w:rPr>
        <w:t>O</w:t>
      </w:r>
      <w:r w:rsidR="000F7379">
        <w:rPr>
          <w:rFonts w:cstheme="minorHAnsi"/>
          <w:color w:val="auto"/>
        </w:rPr>
        <w:t xml:space="preserve">bjective </w:t>
      </w:r>
      <w:r w:rsidR="003553CF">
        <w:rPr>
          <w:rFonts w:cstheme="minorHAnsi"/>
          <w:color w:val="auto"/>
        </w:rPr>
        <w:t>1</w:t>
      </w:r>
      <w:r w:rsidR="000F7379">
        <w:rPr>
          <w:rFonts w:cstheme="minorHAnsi"/>
          <w:color w:val="auto"/>
        </w:rPr>
        <w:t xml:space="preserve">, the </w:t>
      </w:r>
      <w:r w:rsidRPr="0091447D">
        <w:rPr>
          <w:rFonts w:cstheme="minorHAnsi"/>
          <w:color w:val="auto"/>
        </w:rPr>
        <w:t>Rural Roads Improvement Program Phase II (</w:t>
      </w:r>
      <w:r w:rsidR="000D7957" w:rsidRPr="0091447D">
        <w:rPr>
          <w:rFonts w:cstheme="minorHAnsi"/>
          <w:color w:val="auto"/>
        </w:rPr>
        <w:t>RRIP 2</w:t>
      </w:r>
      <w:r w:rsidRPr="0091447D">
        <w:rPr>
          <w:rFonts w:cstheme="minorHAnsi"/>
          <w:color w:val="auto"/>
        </w:rPr>
        <w:t>, $22.6 million, 2015-2020)</w:t>
      </w:r>
      <w:r w:rsidR="00A63876">
        <w:rPr>
          <w:rFonts w:cstheme="minorHAnsi"/>
          <w:color w:val="auto"/>
        </w:rPr>
        <w:t>,</w:t>
      </w:r>
      <w:r w:rsidR="000D7957" w:rsidRPr="0091447D">
        <w:rPr>
          <w:rFonts w:cstheme="minorHAnsi"/>
          <w:color w:val="auto"/>
        </w:rPr>
        <w:t xml:space="preserve"> </w:t>
      </w:r>
      <w:r w:rsidR="000F7379">
        <w:rPr>
          <w:rFonts w:cstheme="minorHAnsi"/>
          <w:color w:val="auto"/>
        </w:rPr>
        <w:t xml:space="preserve">also </w:t>
      </w:r>
      <w:r w:rsidR="004E1430">
        <w:rPr>
          <w:rFonts w:cstheme="minorHAnsi"/>
          <w:color w:val="auto"/>
        </w:rPr>
        <w:t xml:space="preserve">made positive progress overall. 518 kilometres of </w:t>
      </w:r>
      <w:r w:rsidR="001F0479">
        <w:rPr>
          <w:rFonts w:cstheme="minorHAnsi"/>
          <w:color w:val="auto"/>
        </w:rPr>
        <w:t>quality rural roads are now completed, providing rural communities with better access to markets and services</w:t>
      </w:r>
      <w:r w:rsidR="006C6A05">
        <w:rPr>
          <w:rFonts w:cstheme="minorHAnsi"/>
          <w:color w:val="auto"/>
        </w:rPr>
        <w:t>, and reducing the time burden for rural women</w:t>
      </w:r>
      <w:r w:rsidR="001F0479">
        <w:rPr>
          <w:rFonts w:cstheme="minorHAnsi"/>
          <w:color w:val="auto"/>
        </w:rPr>
        <w:t>.</w:t>
      </w:r>
      <w:r w:rsidR="0082660A">
        <w:rPr>
          <w:rFonts w:cstheme="minorHAnsi"/>
          <w:color w:val="auto"/>
        </w:rPr>
        <w:t xml:space="preserve"> This is about 57 per cent of the program goal of 1,200 kilometres by 2020.</w:t>
      </w:r>
      <w:r w:rsidR="001F0479">
        <w:rPr>
          <w:rFonts w:cstheme="minorHAnsi"/>
          <w:color w:val="auto"/>
        </w:rPr>
        <w:t xml:space="preserve"> </w:t>
      </w:r>
      <w:r w:rsidR="00D9013E" w:rsidRPr="001F0479">
        <w:rPr>
          <w:rFonts w:cstheme="minorHAnsi"/>
          <w:color w:val="auto"/>
        </w:rPr>
        <w:t>The project continued to implement road safety initiatives to improve safety standards across Cambodia</w:t>
      </w:r>
      <w:r w:rsidR="000F7379">
        <w:rPr>
          <w:rFonts w:cstheme="minorHAnsi"/>
          <w:color w:val="auto"/>
        </w:rPr>
        <w:t>, and</w:t>
      </w:r>
      <w:r w:rsidR="00D9013E">
        <w:rPr>
          <w:rFonts w:cstheme="minorHAnsi"/>
          <w:color w:val="auto"/>
        </w:rPr>
        <w:t xml:space="preserve"> had</w:t>
      </w:r>
      <w:r w:rsidR="00D9013E" w:rsidRPr="009E15DB">
        <w:rPr>
          <w:rFonts w:cstheme="minorHAnsi"/>
          <w:color w:val="auto"/>
        </w:rPr>
        <w:t xml:space="preserve"> an important role in promoting behavioural change among drivers to reduce road accidents.</w:t>
      </w:r>
    </w:p>
    <w:p w:rsidR="00D9013E" w:rsidRDefault="00E921CF" w:rsidP="00D9013E">
      <w:pPr>
        <w:spacing w:after="120" w:line="259" w:lineRule="auto"/>
        <w:rPr>
          <w:rFonts w:ascii="Times New Roman" w:hAnsi="Times New Roman" w:cs="Times New Roman"/>
          <w:sz w:val="18"/>
          <w:szCs w:val="18"/>
          <w:lang w:val="en-AU"/>
        </w:rPr>
      </w:pPr>
      <w:r w:rsidRPr="00D9013E">
        <w:rPr>
          <w:rFonts w:cstheme="minorHAnsi"/>
          <w:color w:val="auto"/>
        </w:rPr>
        <w:t>Two review missions conducted in 2018</w:t>
      </w:r>
      <w:r w:rsidR="009E15DB" w:rsidRPr="00D9013E">
        <w:rPr>
          <w:rFonts w:cstheme="minorHAnsi"/>
          <w:color w:val="auto"/>
        </w:rPr>
        <w:t xml:space="preserve"> </w:t>
      </w:r>
      <w:r w:rsidR="00300E0B">
        <w:rPr>
          <w:rFonts w:cstheme="minorHAnsi"/>
          <w:color w:val="auto"/>
        </w:rPr>
        <w:t xml:space="preserve">and a further review mission in June 2019 </w:t>
      </w:r>
      <w:r w:rsidR="009E15DB" w:rsidRPr="00D9013E">
        <w:rPr>
          <w:rFonts w:cstheme="minorHAnsi"/>
          <w:color w:val="auto"/>
        </w:rPr>
        <w:t xml:space="preserve">observed that </w:t>
      </w:r>
      <w:r w:rsidR="00903349">
        <w:rPr>
          <w:rFonts w:cstheme="minorHAnsi"/>
          <w:color w:val="auto"/>
        </w:rPr>
        <w:t xml:space="preserve">while there </w:t>
      </w:r>
      <w:r w:rsidR="00A63876">
        <w:rPr>
          <w:rFonts w:cstheme="minorHAnsi"/>
          <w:color w:val="auto"/>
        </w:rPr>
        <w:t>were</w:t>
      </w:r>
      <w:r w:rsidR="00903349">
        <w:rPr>
          <w:rFonts w:cstheme="minorHAnsi"/>
          <w:color w:val="auto"/>
        </w:rPr>
        <w:t xml:space="preserve"> significant delays in the implementation of one </w:t>
      </w:r>
      <w:r w:rsidR="000518E0">
        <w:rPr>
          <w:rFonts w:cstheme="minorHAnsi"/>
          <w:color w:val="auto"/>
        </w:rPr>
        <w:t xml:space="preserve">road development </w:t>
      </w:r>
      <w:r w:rsidR="00903349">
        <w:rPr>
          <w:rFonts w:cstheme="minorHAnsi"/>
          <w:color w:val="auto"/>
        </w:rPr>
        <w:t>package,</w:t>
      </w:r>
      <w:r w:rsidR="009E15DB" w:rsidRPr="00D9013E">
        <w:rPr>
          <w:rFonts w:cstheme="minorHAnsi"/>
          <w:color w:val="auto"/>
        </w:rPr>
        <w:t xml:space="preserve"> overall progress of </w:t>
      </w:r>
      <w:r w:rsidR="00903349">
        <w:rPr>
          <w:rFonts w:cstheme="minorHAnsi"/>
          <w:color w:val="auto"/>
        </w:rPr>
        <w:t xml:space="preserve">RRIP-II </w:t>
      </w:r>
      <w:r w:rsidR="009E15DB" w:rsidRPr="00D9013E">
        <w:rPr>
          <w:rFonts w:cstheme="minorHAnsi"/>
          <w:color w:val="auto"/>
        </w:rPr>
        <w:t>was on track</w:t>
      </w:r>
      <w:r w:rsidR="00903349">
        <w:rPr>
          <w:rFonts w:cstheme="minorHAnsi"/>
          <w:color w:val="auto"/>
        </w:rPr>
        <w:t>. Total</w:t>
      </w:r>
      <w:r w:rsidR="009E15DB" w:rsidRPr="00D9013E">
        <w:rPr>
          <w:rFonts w:cstheme="minorHAnsi"/>
          <w:color w:val="auto"/>
        </w:rPr>
        <w:t xml:space="preserve"> slippage </w:t>
      </w:r>
      <w:r w:rsidR="00903349">
        <w:rPr>
          <w:rFonts w:cstheme="minorHAnsi"/>
          <w:color w:val="auto"/>
        </w:rPr>
        <w:t xml:space="preserve">in RRIP-II </w:t>
      </w:r>
      <w:r w:rsidR="00A63876">
        <w:rPr>
          <w:rFonts w:cstheme="minorHAnsi"/>
          <w:color w:val="auto"/>
        </w:rPr>
        <w:t>wa</w:t>
      </w:r>
      <w:r w:rsidR="000518E0">
        <w:rPr>
          <w:rFonts w:cstheme="minorHAnsi"/>
          <w:color w:val="auto"/>
        </w:rPr>
        <w:t>s</w:t>
      </w:r>
      <w:r w:rsidR="00903349">
        <w:rPr>
          <w:rFonts w:cstheme="minorHAnsi"/>
          <w:color w:val="auto"/>
        </w:rPr>
        <w:t xml:space="preserve"> </w:t>
      </w:r>
      <w:r w:rsidR="00D9013E" w:rsidRPr="00D9013E">
        <w:rPr>
          <w:rFonts w:cstheme="minorHAnsi"/>
          <w:color w:val="auto"/>
        </w:rPr>
        <w:t>about five per cent</w:t>
      </w:r>
      <w:r w:rsidR="00300E0B">
        <w:rPr>
          <w:rFonts w:cstheme="minorHAnsi"/>
          <w:color w:val="auto"/>
        </w:rPr>
        <w:t xml:space="preserve"> (within the acceptable range)</w:t>
      </w:r>
      <w:r w:rsidR="00D9013E" w:rsidRPr="00D9013E">
        <w:rPr>
          <w:rFonts w:cstheme="minorHAnsi"/>
          <w:color w:val="auto"/>
        </w:rPr>
        <w:t xml:space="preserve">. </w:t>
      </w:r>
      <w:r w:rsidR="00A63876">
        <w:rPr>
          <w:rFonts w:cstheme="minorHAnsi"/>
          <w:color w:val="auto"/>
        </w:rPr>
        <w:t xml:space="preserve">DFAT </w:t>
      </w:r>
      <w:r w:rsidR="00903349">
        <w:rPr>
          <w:rFonts w:cstheme="minorHAnsi"/>
          <w:color w:val="auto"/>
        </w:rPr>
        <w:t xml:space="preserve">is working closely with development partners </w:t>
      </w:r>
      <w:r w:rsidR="000518E0">
        <w:rPr>
          <w:rFonts w:cstheme="minorHAnsi"/>
          <w:color w:val="auto"/>
        </w:rPr>
        <w:t xml:space="preserve">to strengthen oversight of the delayed package to mitigate further </w:t>
      </w:r>
      <w:r w:rsidR="008A4836">
        <w:rPr>
          <w:rFonts w:cstheme="minorHAnsi"/>
          <w:color w:val="auto"/>
        </w:rPr>
        <w:t>slippage</w:t>
      </w:r>
      <w:r w:rsidR="000518E0">
        <w:rPr>
          <w:rFonts w:cstheme="minorHAnsi"/>
          <w:color w:val="auto"/>
        </w:rPr>
        <w:t xml:space="preserve"> due to </w:t>
      </w:r>
      <w:r w:rsidR="00A63876">
        <w:rPr>
          <w:rFonts w:cstheme="minorHAnsi"/>
          <w:color w:val="auto"/>
        </w:rPr>
        <w:t xml:space="preserve">flooding and </w:t>
      </w:r>
      <w:r w:rsidR="000518E0">
        <w:rPr>
          <w:rFonts w:cstheme="minorHAnsi"/>
          <w:color w:val="auto"/>
        </w:rPr>
        <w:t>the</w:t>
      </w:r>
      <w:r w:rsidR="00D9013E" w:rsidRPr="00D9013E">
        <w:rPr>
          <w:rFonts w:cstheme="minorHAnsi"/>
          <w:color w:val="auto"/>
        </w:rPr>
        <w:t xml:space="preserve"> </w:t>
      </w:r>
      <w:r w:rsidR="009E15DB" w:rsidRPr="00D9013E">
        <w:rPr>
          <w:rFonts w:cstheme="minorHAnsi"/>
          <w:color w:val="auto"/>
        </w:rPr>
        <w:t>slow mobilisation of workers and equipment</w:t>
      </w:r>
      <w:r w:rsidR="00A63876">
        <w:rPr>
          <w:rFonts w:cstheme="minorHAnsi"/>
          <w:color w:val="auto"/>
        </w:rPr>
        <w:t>.</w:t>
      </w:r>
    </w:p>
    <w:p w:rsidR="00E61BEB" w:rsidRDefault="00E61BEB" w:rsidP="006E194B">
      <w:pPr>
        <w:spacing w:after="120" w:line="259" w:lineRule="auto"/>
        <w:rPr>
          <w:rFonts w:cstheme="minorHAnsi"/>
          <w:color w:val="auto"/>
        </w:rPr>
      </w:pPr>
      <w:r>
        <w:rPr>
          <w:rFonts w:cstheme="minorHAnsi"/>
          <w:color w:val="auto"/>
        </w:rPr>
        <w:t>Support for rural road asset management aimed to help strengthen the case for increased road maintenance budgeting</w:t>
      </w:r>
      <w:r w:rsidR="00505591">
        <w:rPr>
          <w:rFonts w:cstheme="minorHAnsi"/>
          <w:color w:val="auto"/>
        </w:rPr>
        <w:t xml:space="preserve"> by the Cambodian Government</w:t>
      </w:r>
      <w:r>
        <w:rPr>
          <w:rFonts w:cstheme="minorHAnsi"/>
          <w:color w:val="auto"/>
        </w:rPr>
        <w:t xml:space="preserve">. The road maintenance budget </w:t>
      </w:r>
      <w:r w:rsidR="00505591">
        <w:rPr>
          <w:rFonts w:cstheme="minorHAnsi"/>
          <w:color w:val="auto"/>
        </w:rPr>
        <w:t>did continue to increase</w:t>
      </w:r>
      <w:r>
        <w:rPr>
          <w:rFonts w:cstheme="minorHAnsi"/>
          <w:color w:val="auto"/>
        </w:rPr>
        <w:t xml:space="preserve">, and in 2018 was almost double the 2013 level. However, this is still inadequate in relation to need. </w:t>
      </w:r>
    </w:p>
    <w:p w:rsidR="0091447D" w:rsidRDefault="006E194B" w:rsidP="006E194B">
      <w:pPr>
        <w:spacing w:after="120" w:line="259" w:lineRule="auto"/>
        <w:rPr>
          <w:rFonts w:cstheme="minorHAnsi"/>
          <w:color w:val="auto"/>
        </w:rPr>
      </w:pPr>
      <w:r w:rsidRPr="00D9013E">
        <w:rPr>
          <w:rFonts w:cstheme="minorHAnsi"/>
          <w:color w:val="auto"/>
        </w:rPr>
        <w:t xml:space="preserve">Gender mainstreaming and </w:t>
      </w:r>
      <w:r w:rsidR="00D9013E" w:rsidRPr="00D9013E">
        <w:rPr>
          <w:rFonts w:cstheme="minorHAnsi"/>
          <w:color w:val="auto"/>
        </w:rPr>
        <w:t>social and environmental</w:t>
      </w:r>
      <w:r w:rsidRPr="00D9013E">
        <w:rPr>
          <w:rFonts w:cstheme="minorHAnsi"/>
          <w:color w:val="auto"/>
        </w:rPr>
        <w:t xml:space="preserve"> safeguard components </w:t>
      </w:r>
      <w:r w:rsidR="006564B7">
        <w:rPr>
          <w:rFonts w:cstheme="minorHAnsi"/>
          <w:color w:val="auto"/>
        </w:rPr>
        <w:t xml:space="preserve">of RRIP 2 </w:t>
      </w:r>
      <w:r w:rsidRPr="00D9013E">
        <w:rPr>
          <w:rFonts w:cstheme="minorHAnsi"/>
          <w:color w:val="auto"/>
        </w:rPr>
        <w:t xml:space="preserve">performed well, exceeding their targets. </w:t>
      </w:r>
      <w:r w:rsidR="00F913B1" w:rsidRPr="00D9013E">
        <w:rPr>
          <w:rFonts w:cstheme="minorHAnsi"/>
          <w:color w:val="auto"/>
        </w:rPr>
        <w:t>Gender mainstreaming training to contractors and communities played a significant role in increasing women’s participation in road construction</w:t>
      </w:r>
      <w:r w:rsidR="00F913B1">
        <w:rPr>
          <w:rFonts w:cstheme="minorHAnsi"/>
          <w:color w:val="auto"/>
        </w:rPr>
        <w:t xml:space="preserve"> over 2018-19</w:t>
      </w:r>
      <w:r w:rsidR="00F913B1" w:rsidRPr="00D9013E">
        <w:rPr>
          <w:rFonts w:cstheme="minorHAnsi"/>
          <w:color w:val="auto"/>
        </w:rPr>
        <w:t>.</w:t>
      </w:r>
      <w:r w:rsidR="00F913B1">
        <w:rPr>
          <w:rFonts w:cstheme="minorHAnsi"/>
          <w:color w:val="auto"/>
        </w:rPr>
        <w:t xml:space="preserve"> </w:t>
      </w:r>
      <w:r w:rsidRPr="00D9013E">
        <w:rPr>
          <w:rFonts w:cstheme="minorHAnsi"/>
          <w:color w:val="auto"/>
        </w:rPr>
        <w:t>Employed unskilled female labourers were 28 per</w:t>
      </w:r>
      <w:r w:rsidR="00A63876">
        <w:rPr>
          <w:rFonts w:cstheme="minorHAnsi"/>
          <w:color w:val="auto"/>
        </w:rPr>
        <w:t xml:space="preserve"> </w:t>
      </w:r>
      <w:r w:rsidRPr="00D9013E">
        <w:rPr>
          <w:rFonts w:cstheme="minorHAnsi"/>
          <w:color w:val="auto"/>
        </w:rPr>
        <w:t>cent of the total,</w:t>
      </w:r>
      <w:r w:rsidR="00D9013E" w:rsidRPr="00D9013E">
        <w:rPr>
          <w:rFonts w:cstheme="minorHAnsi"/>
          <w:color w:val="auto"/>
        </w:rPr>
        <w:t xml:space="preserve"> </w:t>
      </w:r>
      <w:r w:rsidRPr="00D9013E">
        <w:rPr>
          <w:rFonts w:cstheme="minorHAnsi"/>
          <w:color w:val="auto"/>
        </w:rPr>
        <w:t>above the targeted 20 per</w:t>
      </w:r>
      <w:r w:rsidR="00A63876">
        <w:rPr>
          <w:rFonts w:cstheme="minorHAnsi"/>
          <w:color w:val="auto"/>
        </w:rPr>
        <w:t xml:space="preserve"> </w:t>
      </w:r>
      <w:r w:rsidRPr="00D9013E">
        <w:rPr>
          <w:rFonts w:cstheme="minorHAnsi"/>
          <w:color w:val="auto"/>
        </w:rPr>
        <w:t xml:space="preserve">cent. </w:t>
      </w:r>
    </w:p>
    <w:p w:rsidR="00C221D6" w:rsidRDefault="004B7A61" w:rsidP="00C221D6">
      <w:pPr>
        <w:spacing w:after="120" w:line="259" w:lineRule="auto"/>
        <w:rPr>
          <w:rFonts w:cstheme="minorHAnsi"/>
          <w:color w:val="auto"/>
        </w:rPr>
      </w:pPr>
      <w:r w:rsidRPr="00372A91">
        <w:rPr>
          <w:rFonts w:cstheme="minorHAnsi"/>
          <w:color w:val="auto"/>
        </w:rPr>
        <w:t xml:space="preserve">Infrastructure </w:t>
      </w:r>
      <w:r w:rsidR="003F01CE">
        <w:rPr>
          <w:rFonts w:cstheme="minorHAnsi"/>
          <w:color w:val="auto"/>
        </w:rPr>
        <w:t xml:space="preserve">will continue to remain </w:t>
      </w:r>
      <w:r w:rsidRPr="00372A91">
        <w:rPr>
          <w:rFonts w:cstheme="minorHAnsi"/>
          <w:color w:val="auto"/>
        </w:rPr>
        <w:t xml:space="preserve">a high priority for Cambodia as a key enabler of economic development. Energy stability and efficiency has emerged as a </w:t>
      </w:r>
      <w:r w:rsidR="003F01CE">
        <w:rPr>
          <w:rFonts w:cstheme="minorHAnsi"/>
          <w:color w:val="auto"/>
        </w:rPr>
        <w:t>particular priority. The Cambodian G</w:t>
      </w:r>
      <w:r w:rsidRPr="00372A91">
        <w:rPr>
          <w:rFonts w:cstheme="minorHAnsi"/>
          <w:color w:val="auto"/>
        </w:rPr>
        <w:t>overnment has access to concessional finance</w:t>
      </w:r>
      <w:r w:rsidR="00372A91" w:rsidRPr="00372A91">
        <w:rPr>
          <w:rFonts w:cstheme="minorHAnsi"/>
          <w:color w:val="auto"/>
        </w:rPr>
        <w:t>,</w:t>
      </w:r>
      <w:r w:rsidRPr="00372A91">
        <w:rPr>
          <w:rFonts w:cstheme="minorHAnsi"/>
          <w:color w:val="auto"/>
        </w:rPr>
        <w:t xml:space="preserve"> but </w:t>
      </w:r>
      <w:r w:rsidR="003F01CE">
        <w:rPr>
          <w:rFonts w:cstheme="minorHAnsi"/>
          <w:color w:val="auto"/>
        </w:rPr>
        <w:t xml:space="preserve">could benefit from support to ensure this financing can be used to achieve </w:t>
      </w:r>
      <w:r w:rsidR="00C221D6">
        <w:rPr>
          <w:rFonts w:cstheme="minorHAnsi"/>
          <w:color w:val="auto"/>
        </w:rPr>
        <w:t xml:space="preserve">optimal outcomes. To assist in meeting this need, Australia will prioritise development cooperation towards more resilient infrastructure in coming years. This will be through support in areas such as </w:t>
      </w:r>
      <w:r w:rsidR="00C221D6" w:rsidRPr="00372A91">
        <w:rPr>
          <w:rFonts w:cstheme="minorHAnsi"/>
          <w:color w:val="auto"/>
        </w:rPr>
        <w:t xml:space="preserve">institutional capacity building, policy development and </w:t>
      </w:r>
      <w:r w:rsidR="00C221D6">
        <w:rPr>
          <w:rFonts w:cstheme="minorHAnsi"/>
          <w:color w:val="auto"/>
        </w:rPr>
        <w:t>analysis, as</w:t>
      </w:r>
      <w:r w:rsidR="00C221D6" w:rsidRPr="00372A91">
        <w:rPr>
          <w:rFonts w:cstheme="minorHAnsi"/>
          <w:color w:val="auto"/>
        </w:rPr>
        <w:t xml:space="preserve"> required.</w:t>
      </w:r>
    </w:p>
    <w:p w:rsidR="0072170F" w:rsidRDefault="0072170F" w:rsidP="0072170F">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2</w:t>
      </w:r>
      <w:r w:rsidRPr="00EC07BA">
        <w:rPr>
          <w:rFonts w:asciiTheme="majorHAnsi" w:eastAsiaTheme="majorEastAsia" w:hAnsiTheme="majorHAnsi" w:cstheme="majorBidi"/>
          <w:caps/>
          <w:sz w:val="32"/>
          <w:szCs w:val="32"/>
        </w:rPr>
        <w:t xml:space="preserve">, </w:t>
      </w:r>
      <w:r w:rsidR="00EC07BA" w:rsidRPr="00EC07BA">
        <w:rPr>
          <w:rFonts w:asciiTheme="majorHAnsi" w:eastAsiaTheme="majorEastAsia" w:hAnsiTheme="majorHAnsi" w:cstheme="majorBidi"/>
          <w:caps/>
          <w:sz w:val="32"/>
          <w:szCs w:val="32"/>
        </w:rPr>
        <w:t>Increasing agricultural productivity and farmer incomes</w:t>
      </w:r>
    </w:p>
    <w:p w:rsidR="00D3177A" w:rsidRPr="00EC07BA" w:rsidRDefault="00D3177A" w:rsidP="0072170F">
      <w:pPr>
        <w:spacing w:before="240"/>
        <w:rPr>
          <w:rFonts w:asciiTheme="majorHAnsi" w:eastAsiaTheme="majorEastAsia" w:hAnsiTheme="majorHAnsi" w:cstheme="majorBidi"/>
          <w:caps/>
          <w:sz w:val="32"/>
          <w:szCs w:val="32"/>
        </w:rPr>
      </w:pPr>
      <w:r w:rsidRPr="00280CC1">
        <w:rPr>
          <w:rFonts w:asciiTheme="majorHAnsi" w:eastAsiaTheme="majorEastAsia" w:hAnsiTheme="majorHAnsi" w:cstheme="majorBidi"/>
          <w:caps/>
          <w:noProof/>
          <w:sz w:val="38"/>
          <w:szCs w:val="26"/>
          <w:lang w:val="en-AU" w:eastAsia="en-AU"/>
        </w:rPr>
        <w:drawing>
          <wp:inline distT="0" distB="0" distL="0" distR="0" wp14:anchorId="14FE0391" wp14:editId="6FDB9C27">
            <wp:extent cx="1137600" cy="720000"/>
            <wp:effectExtent l="0" t="0" r="5715" b="4445"/>
            <wp:docPr id="14" name="Picture 14" title="Sustainable developmetn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asciiTheme="majorHAnsi" w:eastAsiaTheme="majorEastAsia" w:hAnsiTheme="majorHAnsi" w:cstheme="majorBidi"/>
          <w:caps/>
          <w:sz w:val="32"/>
          <w:szCs w:val="32"/>
        </w:rPr>
        <w:tab/>
      </w:r>
      <w:r w:rsidRPr="00280CC1">
        <w:rPr>
          <w:noProof/>
          <w:lang w:val="en-AU" w:eastAsia="en-AU"/>
        </w:rPr>
        <w:drawing>
          <wp:inline distT="0" distB="0" distL="0" distR="0" wp14:anchorId="57027323" wp14:editId="1407E002">
            <wp:extent cx="612000" cy="612000"/>
            <wp:effectExtent l="0" t="0" r="0" b="0"/>
            <wp:docPr id="58" name="Picture 58" title="2: zero h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sz w:val="32"/>
          <w:szCs w:val="32"/>
        </w:rPr>
        <w:tab/>
      </w:r>
      <w:r>
        <w:rPr>
          <w:noProof/>
          <w:lang w:val="en-AU" w:eastAsia="en-AU"/>
        </w:rPr>
        <w:drawing>
          <wp:inline distT="0" distB="0" distL="0" distR="0" wp14:anchorId="0D295B7C" wp14:editId="06A764B7">
            <wp:extent cx="612000" cy="612000"/>
            <wp:effectExtent l="0" t="0" r="0" b="0"/>
            <wp:docPr id="23" name="Picture 23" title="13: climate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rsidR="00282E5A" w:rsidRPr="009973F1" w:rsidRDefault="0097700F" w:rsidP="0097700F">
      <w:pPr>
        <w:spacing w:after="120" w:line="259" w:lineRule="auto"/>
        <w:rPr>
          <w:rFonts w:cstheme="minorHAnsi"/>
          <w:color w:val="auto"/>
        </w:rPr>
      </w:pPr>
      <w:r w:rsidRPr="009973F1">
        <w:rPr>
          <w:rFonts w:cstheme="minorHAnsi"/>
          <w:color w:val="auto"/>
        </w:rPr>
        <w:t xml:space="preserve">Progress against this objective remains green </w:t>
      </w:r>
      <w:r w:rsidR="007E3C7B" w:rsidRPr="009973F1">
        <w:rPr>
          <w:rFonts w:cstheme="minorHAnsi"/>
          <w:color w:val="auto"/>
        </w:rPr>
        <w:t xml:space="preserve">as </w:t>
      </w:r>
      <w:r w:rsidR="00122F56" w:rsidRPr="009973F1">
        <w:rPr>
          <w:rFonts w:cstheme="minorHAnsi"/>
          <w:color w:val="auto"/>
        </w:rPr>
        <w:t xml:space="preserve">good progress continued to be made </w:t>
      </w:r>
      <w:r w:rsidR="005864F1">
        <w:rPr>
          <w:rFonts w:cstheme="minorHAnsi"/>
          <w:color w:val="auto"/>
        </w:rPr>
        <w:t xml:space="preserve">in </w:t>
      </w:r>
      <w:r w:rsidR="00122F56" w:rsidRPr="009973F1">
        <w:rPr>
          <w:rFonts w:cstheme="minorHAnsi"/>
          <w:color w:val="auto"/>
        </w:rPr>
        <w:t>increasing agricultural productivity and farmer incomes in 2018-19</w:t>
      </w:r>
      <w:r w:rsidR="003B1E82">
        <w:rPr>
          <w:rFonts w:cstheme="minorHAnsi"/>
          <w:color w:val="auto"/>
        </w:rPr>
        <w:t>, and benchmarks and targets were exceeded</w:t>
      </w:r>
      <w:r w:rsidRPr="009973F1">
        <w:rPr>
          <w:rFonts w:cstheme="minorHAnsi"/>
          <w:color w:val="auto"/>
        </w:rPr>
        <w:t>.</w:t>
      </w:r>
      <w:r w:rsidR="007E3C7B" w:rsidRPr="009973F1">
        <w:rPr>
          <w:rFonts w:cstheme="minorHAnsi"/>
          <w:color w:val="auto"/>
        </w:rPr>
        <w:t xml:space="preserve"> </w:t>
      </w:r>
    </w:p>
    <w:p w:rsidR="00282E5A" w:rsidRDefault="00122F56" w:rsidP="00B74BA1">
      <w:pPr>
        <w:spacing w:after="120" w:line="259" w:lineRule="auto"/>
        <w:rPr>
          <w:rFonts w:cstheme="minorHAnsi"/>
          <w:color w:val="auto"/>
        </w:rPr>
      </w:pPr>
      <w:r w:rsidRPr="009973F1">
        <w:rPr>
          <w:rFonts w:cstheme="minorHAnsi"/>
          <w:color w:val="auto"/>
        </w:rPr>
        <w:t xml:space="preserve">The </w:t>
      </w:r>
      <w:r w:rsidR="00315B0C" w:rsidRPr="009973F1">
        <w:rPr>
          <w:rFonts w:cstheme="minorHAnsi"/>
          <w:color w:val="auto"/>
        </w:rPr>
        <w:t xml:space="preserve">Cambodia Agricultural Value Chain Project </w:t>
      </w:r>
      <w:r w:rsidR="00912BD0">
        <w:rPr>
          <w:rFonts w:cstheme="minorHAnsi"/>
          <w:color w:val="auto"/>
        </w:rPr>
        <w:t xml:space="preserve">Phase II </w:t>
      </w:r>
      <w:r w:rsidR="00315B0C" w:rsidRPr="009973F1">
        <w:rPr>
          <w:rFonts w:cstheme="minorHAnsi"/>
          <w:color w:val="auto"/>
        </w:rPr>
        <w:t>(CAVAC</w:t>
      </w:r>
      <w:r w:rsidRPr="009973F1">
        <w:rPr>
          <w:rFonts w:cstheme="minorHAnsi"/>
          <w:color w:val="auto"/>
        </w:rPr>
        <w:t>, $84.2 million, 2016-21)</w:t>
      </w:r>
      <w:r w:rsidR="00315B0C" w:rsidRPr="009973F1">
        <w:rPr>
          <w:rFonts w:cstheme="minorHAnsi"/>
          <w:color w:val="auto"/>
        </w:rPr>
        <w:t xml:space="preserve"> </w:t>
      </w:r>
      <w:r w:rsidR="00B74BA1">
        <w:rPr>
          <w:rFonts w:cstheme="minorHAnsi"/>
          <w:color w:val="auto"/>
        </w:rPr>
        <w:t>remained</w:t>
      </w:r>
      <w:r w:rsidR="009973F1">
        <w:rPr>
          <w:rFonts w:cstheme="minorHAnsi"/>
          <w:color w:val="auto"/>
        </w:rPr>
        <w:t xml:space="preserve"> the largest program contributing towards this objective. </w:t>
      </w:r>
      <w:r w:rsidR="00282E5A">
        <w:rPr>
          <w:rFonts w:cstheme="minorHAnsi"/>
          <w:color w:val="auto"/>
        </w:rPr>
        <w:t xml:space="preserve">The </w:t>
      </w:r>
      <w:r w:rsidR="00282E5A" w:rsidRPr="006F5F89">
        <w:rPr>
          <w:rFonts w:cstheme="minorHAnsi"/>
          <w:color w:val="auto"/>
        </w:rPr>
        <w:t xml:space="preserve">CAVAC </w:t>
      </w:r>
      <w:r w:rsidR="00282E5A">
        <w:rPr>
          <w:rFonts w:cstheme="minorHAnsi"/>
          <w:color w:val="auto"/>
        </w:rPr>
        <w:t xml:space="preserve">program </w:t>
      </w:r>
      <w:r w:rsidR="00282E5A" w:rsidRPr="006F5F89">
        <w:rPr>
          <w:rFonts w:cstheme="minorHAnsi"/>
          <w:color w:val="auto"/>
        </w:rPr>
        <w:t>underwent significant changes over 2018-19, including a reduced budget, change in program leadership,</w:t>
      </w:r>
      <w:r w:rsidR="00282E5A">
        <w:rPr>
          <w:rFonts w:cstheme="minorHAnsi"/>
          <w:color w:val="auto"/>
        </w:rPr>
        <w:t xml:space="preserve"> and a</w:t>
      </w:r>
      <w:r w:rsidR="00282E5A" w:rsidRPr="006F5F89">
        <w:rPr>
          <w:rFonts w:cstheme="minorHAnsi"/>
          <w:color w:val="auto"/>
        </w:rPr>
        <w:t xml:space="preserve"> shifting </w:t>
      </w:r>
      <w:r w:rsidR="00282E5A" w:rsidRPr="00494434">
        <w:rPr>
          <w:rFonts w:cstheme="minorHAnsi"/>
          <w:color w:val="auto"/>
        </w:rPr>
        <w:t>emphasis of DFAT priorities, with an increased focus on policy engagement</w:t>
      </w:r>
      <w:r w:rsidR="00AA1932" w:rsidRPr="00494434">
        <w:rPr>
          <w:rFonts w:cstheme="minorHAnsi"/>
          <w:color w:val="auto"/>
        </w:rPr>
        <w:t xml:space="preserve"> in</w:t>
      </w:r>
      <w:r w:rsidR="00FF35CA" w:rsidRPr="00494434">
        <w:rPr>
          <w:rFonts w:cstheme="minorHAnsi"/>
          <w:color w:val="auto"/>
        </w:rPr>
        <w:t>-</w:t>
      </w:r>
      <w:r w:rsidR="00AA1932" w:rsidRPr="00494434">
        <w:rPr>
          <w:rFonts w:cstheme="minorHAnsi"/>
          <w:color w:val="auto"/>
        </w:rPr>
        <w:t xml:space="preserve">line with </w:t>
      </w:r>
      <w:r w:rsidR="00BC0B92" w:rsidRPr="00494434">
        <w:rPr>
          <w:rFonts w:cstheme="minorHAnsi"/>
          <w:color w:val="auto"/>
        </w:rPr>
        <w:t xml:space="preserve">broader development </w:t>
      </w:r>
      <w:r w:rsidR="00494434" w:rsidRPr="00494434">
        <w:rPr>
          <w:rFonts w:cstheme="minorHAnsi"/>
          <w:color w:val="auto"/>
        </w:rPr>
        <w:t xml:space="preserve">objectives </w:t>
      </w:r>
      <w:r w:rsidR="00BC0B92" w:rsidRPr="00494434">
        <w:rPr>
          <w:rFonts w:cstheme="minorHAnsi"/>
          <w:color w:val="auto"/>
        </w:rPr>
        <w:t xml:space="preserve">for </w:t>
      </w:r>
      <w:r w:rsidR="00AA1932" w:rsidRPr="00494434">
        <w:rPr>
          <w:rFonts w:cstheme="minorHAnsi"/>
          <w:color w:val="auto"/>
        </w:rPr>
        <w:t xml:space="preserve">Southeast Asia. </w:t>
      </w:r>
      <w:r w:rsidR="00B85B9B" w:rsidRPr="00494434">
        <w:rPr>
          <w:rFonts w:cstheme="minorHAnsi"/>
          <w:color w:val="auto"/>
        </w:rPr>
        <w:t>While navigating these changes</w:t>
      </w:r>
      <w:r w:rsidR="00282E5A" w:rsidRPr="00494434">
        <w:rPr>
          <w:rFonts w:cstheme="minorHAnsi"/>
          <w:color w:val="auto"/>
        </w:rPr>
        <w:t>, the program made substantial progress towards</w:t>
      </w:r>
      <w:r w:rsidR="00282E5A">
        <w:rPr>
          <w:rFonts w:cstheme="minorHAnsi"/>
          <w:color w:val="auto"/>
        </w:rPr>
        <w:t xml:space="preserve"> its objectives. </w:t>
      </w:r>
    </w:p>
    <w:p w:rsidR="00B85B9B" w:rsidRDefault="00B85B9B" w:rsidP="00B85B9B">
      <w:pPr>
        <w:spacing w:after="120" w:line="259" w:lineRule="auto"/>
        <w:rPr>
          <w:rFonts w:cstheme="minorHAnsi"/>
          <w:color w:val="auto"/>
        </w:rPr>
      </w:pPr>
      <w:r>
        <w:rPr>
          <w:rFonts w:cstheme="minorHAnsi"/>
          <w:color w:val="auto"/>
        </w:rPr>
        <w:lastRenderedPageBreak/>
        <w:t xml:space="preserve">CAVAC contributed to increased agricultural productivity through a range of activities. Working with </w:t>
      </w:r>
      <w:r w:rsidR="008D2EDD">
        <w:rPr>
          <w:rFonts w:cstheme="minorHAnsi"/>
          <w:color w:val="auto"/>
        </w:rPr>
        <w:t xml:space="preserve">both public and </w:t>
      </w:r>
      <w:r w:rsidR="00DE495D">
        <w:rPr>
          <w:rFonts w:cstheme="minorHAnsi"/>
          <w:color w:val="auto"/>
        </w:rPr>
        <w:t xml:space="preserve">private </w:t>
      </w:r>
      <w:r>
        <w:rPr>
          <w:rFonts w:cstheme="minorHAnsi"/>
          <w:color w:val="auto"/>
        </w:rPr>
        <w:t xml:space="preserve">sector partners, CAVAC was able to support </w:t>
      </w:r>
      <w:r w:rsidR="008D2EDD">
        <w:rPr>
          <w:rFonts w:cstheme="minorHAnsi"/>
          <w:color w:val="auto"/>
        </w:rPr>
        <w:t xml:space="preserve">52,387 farming households </w:t>
      </w:r>
      <w:r>
        <w:rPr>
          <w:rFonts w:cstheme="minorHAnsi"/>
          <w:color w:val="auto"/>
        </w:rPr>
        <w:t xml:space="preserve">to improve their farming practices in 2018-19. This included working with companies to market more appropriate agricultural inputs, as well as mechanisation to reduce labour requirements and improve the efficiency of input use. Work with the Cambodian Government to develop </w:t>
      </w:r>
      <w:r w:rsidR="002D0AD6">
        <w:rPr>
          <w:rFonts w:cstheme="minorHAnsi"/>
          <w:color w:val="auto"/>
        </w:rPr>
        <w:t xml:space="preserve">and implement </w:t>
      </w:r>
      <w:r>
        <w:rPr>
          <w:rFonts w:cstheme="minorHAnsi"/>
          <w:color w:val="auto"/>
        </w:rPr>
        <w:t xml:space="preserve">a new </w:t>
      </w:r>
      <w:r w:rsidR="00DE495D">
        <w:rPr>
          <w:rFonts w:cstheme="minorHAnsi"/>
          <w:color w:val="auto"/>
        </w:rPr>
        <w:t>p</w:t>
      </w:r>
      <w:r>
        <w:rPr>
          <w:rFonts w:cstheme="minorHAnsi"/>
          <w:color w:val="auto"/>
        </w:rPr>
        <w:t>esticides regulation and inde</w:t>
      </w:r>
      <w:r w:rsidR="0090384A">
        <w:rPr>
          <w:rFonts w:cstheme="minorHAnsi"/>
          <w:color w:val="auto"/>
        </w:rPr>
        <w:t>x wa</w:t>
      </w:r>
      <w:r>
        <w:rPr>
          <w:rFonts w:cstheme="minorHAnsi"/>
          <w:color w:val="auto"/>
        </w:rPr>
        <w:t xml:space="preserve">s also important for the entire agricultural sector – </w:t>
      </w:r>
      <w:r w:rsidR="0019152C">
        <w:rPr>
          <w:rFonts w:cstheme="minorHAnsi"/>
          <w:color w:val="auto"/>
        </w:rPr>
        <w:t xml:space="preserve">supporting more </w:t>
      </w:r>
      <w:r>
        <w:rPr>
          <w:rFonts w:cstheme="minorHAnsi"/>
          <w:color w:val="auto"/>
        </w:rPr>
        <w:t>targeted use of pesticides, increasing effectiveness and reducing volume</w:t>
      </w:r>
      <w:r w:rsidR="002C705C">
        <w:rPr>
          <w:rFonts w:cstheme="minorHAnsi"/>
          <w:color w:val="auto"/>
        </w:rPr>
        <w:t>. These practices also reduce</w:t>
      </w:r>
      <w:r>
        <w:rPr>
          <w:rFonts w:cstheme="minorHAnsi"/>
          <w:color w:val="auto"/>
        </w:rPr>
        <w:t xml:space="preserve"> environmental impacts. </w:t>
      </w:r>
    </w:p>
    <w:p w:rsidR="00B85B9B" w:rsidRDefault="008D2EDD" w:rsidP="00B85B9B">
      <w:pPr>
        <w:spacing w:after="120" w:line="259" w:lineRule="auto"/>
        <w:rPr>
          <w:color w:val="auto"/>
        </w:rPr>
      </w:pPr>
      <w:r>
        <w:rPr>
          <w:rFonts w:cstheme="minorHAnsi"/>
          <w:color w:val="auto"/>
        </w:rPr>
        <w:t>S</w:t>
      </w:r>
      <w:r w:rsidR="00B85B9B">
        <w:rPr>
          <w:rFonts w:cstheme="minorHAnsi"/>
          <w:color w:val="auto"/>
        </w:rPr>
        <w:t>trong progress was made on irrigation activities with a</w:t>
      </w:r>
      <w:r w:rsidR="00B85B9B" w:rsidRPr="00B74BA1">
        <w:rPr>
          <w:rFonts w:cstheme="minorHAnsi"/>
          <w:color w:val="auto"/>
        </w:rPr>
        <w:t>ll</w:t>
      </w:r>
      <w:r w:rsidR="0090384A">
        <w:rPr>
          <w:rFonts w:cstheme="minorHAnsi"/>
          <w:color w:val="auto"/>
        </w:rPr>
        <w:t xml:space="preserve"> ten</w:t>
      </w:r>
      <w:r w:rsidR="00B85B9B" w:rsidRPr="00B74BA1">
        <w:rPr>
          <w:rFonts w:cstheme="minorHAnsi"/>
          <w:color w:val="auto"/>
        </w:rPr>
        <w:t xml:space="preserve"> irrigation schemes completed</w:t>
      </w:r>
      <w:r>
        <w:rPr>
          <w:rFonts w:cstheme="minorHAnsi"/>
          <w:color w:val="auto"/>
        </w:rPr>
        <w:t xml:space="preserve"> by mid-2019</w:t>
      </w:r>
      <w:r w:rsidR="00B85B9B" w:rsidRPr="00B74BA1">
        <w:rPr>
          <w:rFonts w:cstheme="minorHAnsi"/>
          <w:color w:val="auto"/>
        </w:rPr>
        <w:t xml:space="preserve">, </w:t>
      </w:r>
      <w:r w:rsidR="00B85B9B">
        <w:rPr>
          <w:rFonts w:cstheme="minorHAnsi"/>
          <w:color w:val="auto"/>
        </w:rPr>
        <w:t>a major milestone. A</w:t>
      </w:r>
      <w:r w:rsidR="00B85B9B" w:rsidRPr="00B74BA1">
        <w:rPr>
          <w:rFonts w:cstheme="minorHAnsi"/>
          <w:color w:val="auto"/>
        </w:rPr>
        <w:t xml:space="preserve">n estimated </w:t>
      </w:r>
      <w:r w:rsidR="00082252">
        <w:rPr>
          <w:rFonts w:cstheme="minorHAnsi"/>
          <w:color w:val="auto"/>
        </w:rPr>
        <w:t>10,313</w:t>
      </w:r>
      <w:r w:rsidR="00B85B9B" w:rsidRPr="00B74BA1">
        <w:rPr>
          <w:rFonts w:cstheme="minorHAnsi"/>
          <w:color w:val="auto"/>
        </w:rPr>
        <w:t xml:space="preserve"> farming households gain</w:t>
      </w:r>
      <w:r w:rsidR="00B85B9B">
        <w:rPr>
          <w:rFonts w:cstheme="minorHAnsi"/>
          <w:color w:val="auto"/>
        </w:rPr>
        <w:t>ed</w:t>
      </w:r>
      <w:r w:rsidR="00B85B9B" w:rsidRPr="00B74BA1">
        <w:rPr>
          <w:rFonts w:cstheme="minorHAnsi"/>
          <w:color w:val="auto"/>
        </w:rPr>
        <w:t xml:space="preserve"> access to year-round irrigation</w:t>
      </w:r>
      <w:r w:rsidR="00B85B9B">
        <w:rPr>
          <w:rFonts w:cstheme="minorHAnsi"/>
          <w:color w:val="auto"/>
        </w:rPr>
        <w:t xml:space="preserve">. Additional paddy production as a result of DFAT-supported </w:t>
      </w:r>
      <w:r w:rsidR="00B85B9B" w:rsidRPr="00FC263D">
        <w:rPr>
          <w:rFonts w:cstheme="minorHAnsi"/>
          <w:color w:val="auto"/>
        </w:rPr>
        <w:t>irrigation schemes reached 123,796 additional tonnes in 2018, well exceeding the AIP benchmark of 30,000 tonnes.</w:t>
      </w:r>
      <w:r w:rsidR="00B85B9B" w:rsidRPr="00C110D8">
        <w:rPr>
          <w:color w:val="auto"/>
        </w:rPr>
        <w:t xml:space="preserve"> </w:t>
      </w:r>
      <w:r w:rsidR="00CA3902" w:rsidRPr="00C110D8">
        <w:rPr>
          <w:color w:val="auto"/>
        </w:rPr>
        <w:t>A</w:t>
      </w:r>
      <w:r w:rsidR="00B85B9B" w:rsidRPr="00C110D8">
        <w:rPr>
          <w:color w:val="auto"/>
        </w:rPr>
        <w:t xml:space="preserve"> 2019 impact evaluation of three selected schemes completed under CAVAC’s first phase showed a 333 per cent increase in production and 290 per cent increase in incomes for farmers accessing water from CAVAC schemes, providing evidence for the substantial impact </w:t>
      </w:r>
      <w:r w:rsidR="00F92427">
        <w:rPr>
          <w:color w:val="auto"/>
        </w:rPr>
        <w:t>of these investments</w:t>
      </w:r>
      <w:r w:rsidR="00F92427" w:rsidRPr="00C110D8">
        <w:rPr>
          <w:color w:val="auto"/>
        </w:rPr>
        <w:t xml:space="preserve"> </w:t>
      </w:r>
      <w:r w:rsidR="00B85B9B" w:rsidRPr="00C110D8">
        <w:rPr>
          <w:color w:val="auto"/>
        </w:rPr>
        <w:t>on economic development and poverty reduction</w:t>
      </w:r>
      <w:r w:rsidR="00F92427">
        <w:rPr>
          <w:color w:val="auto"/>
        </w:rPr>
        <w:t>.</w:t>
      </w:r>
      <w:r w:rsidR="00B85B9B" w:rsidRPr="00C110D8">
        <w:rPr>
          <w:color w:val="auto"/>
        </w:rPr>
        <w:t xml:space="preserve">  </w:t>
      </w:r>
    </w:p>
    <w:p w:rsidR="00B85B9B" w:rsidRDefault="00B85B9B" w:rsidP="00B85B9B">
      <w:pPr>
        <w:spacing w:after="120" w:line="259" w:lineRule="auto"/>
        <w:rPr>
          <w:rFonts w:cstheme="minorHAnsi"/>
          <w:color w:val="auto"/>
        </w:rPr>
      </w:pPr>
      <w:r>
        <w:rPr>
          <w:rFonts w:cstheme="minorHAnsi"/>
          <w:color w:val="auto"/>
        </w:rPr>
        <w:t>CAVAC is now recognised as having considerable technical expertise and credibility on designing and delivering successful and sustainable irrigation schemes in Cambodia</w:t>
      </w:r>
      <w:r w:rsidR="002C705C">
        <w:rPr>
          <w:rFonts w:cstheme="minorHAnsi"/>
          <w:color w:val="auto"/>
        </w:rPr>
        <w:t>,</w:t>
      </w:r>
      <w:r>
        <w:rPr>
          <w:rFonts w:cstheme="minorHAnsi"/>
          <w:color w:val="auto"/>
        </w:rPr>
        <w:t xml:space="preserve"> whereas many other irrigation investments in </w:t>
      </w:r>
      <w:r w:rsidR="00F92427">
        <w:rPr>
          <w:rFonts w:cstheme="minorHAnsi"/>
          <w:color w:val="auto"/>
        </w:rPr>
        <w:t xml:space="preserve">the past </w:t>
      </w:r>
      <w:r>
        <w:rPr>
          <w:rFonts w:cstheme="minorHAnsi"/>
          <w:color w:val="auto"/>
        </w:rPr>
        <w:t xml:space="preserve">have been less effective. The program is now shifting to a partnership model to achieve a larger, sector-wide impact. </w:t>
      </w:r>
      <w:r w:rsidR="00AD033E">
        <w:rPr>
          <w:rFonts w:cstheme="minorHAnsi"/>
          <w:color w:val="auto"/>
        </w:rPr>
        <w:t>As a start</w:t>
      </w:r>
      <w:r>
        <w:rPr>
          <w:rFonts w:cstheme="minorHAnsi"/>
          <w:color w:val="auto"/>
        </w:rPr>
        <w:t>, the program is partnering with the ADB on a large loan (USD130 million), providing technical support with the design and the operations and maintenance components. With a relatively small investment, Australia will be able to contribute to the delivery of quality infrastructure at a large scale</w:t>
      </w:r>
      <w:r w:rsidR="00FF35CA">
        <w:rPr>
          <w:rFonts w:cstheme="minorHAnsi"/>
          <w:color w:val="auto"/>
        </w:rPr>
        <w:t xml:space="preserve">, </w:t>
      </w:r>
      <w:r>
        <w:rPr>
          <w:rFonts w:cstheme="minorHAnsi"/>
          <w:color w:val="auto"/>
        </w:rPr>
        <w:t xml:space="preserve">with significant economic returns. If this approach </w:t>
      </w:r>
      <w:r w:rsidR="002C705C">
        <w:rPr>
          <w:rFonts w:cstheme="minorHAnsi"/>
          <w:color w:val="auto"/>
        </w:rPr>
        <w:t xml:space="preserve">of </w:t>
      </w:r>
      <w:r>
        <w:rPr>
          <w:rFonts w:cstheme="minorHAnsi"/>
          <w:color w:val="auto"/>
        </w:rPr>
        <w:t xml:space="preserve">transitioning CAVAC to </w:t>
      </w:r>
      <w:r w:rsidR="002C705C">
        <w:rPr>
          <w:rFonts w:cstheme="minorHAnsi"/>
          <w:color w:val="auto"/>
        </w:rPr>
        <w:t xml:space="preserve">become </w:t>
      </w:r>
      <w:r>
        <w:rPr>
          <w:rFonts w:cstheme="minorHAnsi"/>
          <w:color w:val="auto"/>
        </w:rPr>
        <w:t xml:space="preserve">a provider of quality technical expertise </w:t>
      </w:r>
      <w:r w:rsidR="002C705C">
        <w:rPr>
          <w:rFonts w:cstheme="minorHAnsi"/>
          <w:color w:val="auto"/>
        </w:rPr>
        <w:t>is found to be effective</w:t>
      </w:r>
      <w:r w:rsidR="009C42BB">
        <w:rPr>
          <w:rFonts w:cstheme="minorHAnsi"/>
          <w:color w:val="auto"/>
        </w:rPr>
        <w:t xml:space="preserve"> and continues to be in demand</w:t>
      </w:r>
      <w:r w:rsidR="002C705C">
        <w:rPr>
          <w:rFonts w:cstheme="minorHAnsi"/>
          <w:color w:val="auto"/>
        </w:rPr>
        <w:t xml:space="preserve">, </w:t>
      </w:r>
      <w:r>
        <w:rPr>
          <w:rFonts w:cstheme="minorHAnsi"/>
          <w:color w:val="auto"/>
        </w:rPr>
        <w:t>we will look to replicate it with other partners and drive improvement</w:t>
      </w:r>
      <w:r w:rsidR="002C705C">
        <w:rPr>
          <w:rFonts w:cstheme="minorHAnsi"/>
          <w:color w:val="auto"/>
        </w:rPr>
        <w:t>s</w:t>
      </w:r>
      <w:r>
        <w:rPr>
          <w:rFonts w:cstheme="minorHAnsi"/>
          <w:color w:val="auto"/>
        </w:rPr>
        <w:t xml:space="preserve"> in irrigation infrastructure standards more broadly in Cambodia.</w:t>
      </w:r>
    </w:p>
    <w:p w:rsidR="00B85B9B" w:rsidRPr="00B74BA1" w:rsidRDefault="00B85B9B" w:rsidP="00B85B9B">
      <w:pPr>
        <w:spacing w:after="120" w:line="259" w:lineRule="auto"/>
        <w:rPr>
          <w:rFonts w:cstheme="minorHAnsi"/>
          <w:color w:val="auto"/>
        </w:rPr>
      </w:pPr>
      <w:r>
        <w:rPr>
          <w:rFonts w:cstheme="minorHAnsi"/>
          <w:color w:val="auto"/>
        </w:rPr>
        <w:t xml:space="preserve">With large volumes of </w:t>
      </w:r>
      <w:r w:rsidRPr="00B74BA1">
        <w:rPr>
          <w:rFonts w:cstheme="minorHAnsi"/>
          <w:color w:val="auto"/>
        </w:rPr>
        <w:t>Chinese investment</w:t>
      </w:r>
      <w:r>
        <w:rPr>
          <w:rFonts w:cstheme="minorHAnsi"/>
          <w:color w:val="auto"/>
        </w:rPr>
        <w:t xml:space="preserve"> also</w:t>
      </w:r>
      <w:r w:rsidRPr="00B74BA1">
        <w:rPr>
          <w:rFonts w:cstheme="minorHAnsi"/>
          <w:color w:val="auto"/>
        </w:rPr>
        <w:t xml:space="preserve"> enter</w:t>
      </w:r>
      <w:r>
        <w:rPr>
          <w:rFonts w:cstheme="minorHAnsi"/>
          <w:color w:val="auto"/>
        </w:rPr>
        <w:t>ing</w:t>
      </w:r>
      <w:r w:rsidRPr="00B74BA1">
        <w:rPr>
          <w:rFonts w:cstheme="minorHAnsi"/>
          <w:color w:val="auto"/>
        </w:rPr>
        <w:t xml:space="preserve"> the irrigation sector, CAVAC has commenced working with Australian, Cambodian and Chinese </w:t>
      </w:r>
      <w:r>
        <w:rPr>
          <w:rFonts w:cstheme="minorHAnsi"/>
          <w:color w:val="auto"/>
        </w:rPr>
        <w:t>academic partners</w:t>
      </w:r>
      <w:r w:rsidRPr="00B74BA1">
        <w:rPr>
          <w:rFonts w:cstheme="minorHAnsi"/>
          <w:color w:val="auto"/>
        </w:rPr>
        <w:t xml:space="preserve"> to help ensure this investment can lead to </w:t>
      </w:r>
      <w:r w:rsidR="00AD033E">
        <w:rPr>
          <w:rFonts w:cstheme="minorHAnsi"/>
          <w:color w:val="auto"/>
        </w:rPr>
        <w:t xml:space="preserve">more </w:t>
      </w:r>
      <w:r w:rsidRPr="00B74BA1">
        <w:rPr>
          <w:rFonts w:cstheme="minorHAnsi"/>
          <w:color w:val="auto"/>
        </w:rPr>
        <w:t xml:space="preserve">sustainable impacts. </w:t>
      </w:r>
      <w:r>
        <w:rPr>
          <w:rFonts w:cstheme="minorHAnsi"/>
          <w:color w:val="auto"/>
        </w:rPr>
        <w:t>O</w:t>
      </w:r>
      <w:r w:rsidRPr="00B74BA1">
        <w:rPr>
          <w:rFonts w:cstheme="minorHAnsi"/>
          <w:color w:val="auto"/>
        </w:rPr>
        <w:t>ver the next year</w:t>
      </w:r>
      <w:r>
        <w:rPr>
          <w:rFonts w:cstheme="minorHAnsi"/>
          <w:color w:val="auto"/>
        </w:rPr>
        <w:t>,</w:t>
      </w:r>
      <w:r w:rsidRPr="00B74BA1">
        <w:rPr>
          <w:rFonts w:cstheme="minorHAnsi"/>
          <w:color w:val="auto"/>
        </w:rPr>
        <w:t xml:space="preserve"> </w:t>
      </w:r>
      <w:r>
        <w:rPr>
          <w:rFonts w:cstheme="minorHAnsi"/>
          <w:color w:val="auto"/>
        </w:rPr>
        <w:t>DFAT will assess</w:t>
      </w:r>
      <w:r w:rsidRPr="00B74BA1">
        <w:rPr>
          <w:rFonts w:cstheme="minorHAnsi"/>
          <w:color w:val="auto"/>
        </w:rPr>
        <w:t xml:space="preserve"> </w:t>
      </w:r>
      <w:r>
        <w:rPr>
          <w:rFonts w:cstheme="minorHAnsi"/>
          <w:color w:val="auto"/>
        </w:rPr>
        <w:t xml:space="preserve">potential </w:t>
      </w:r>
      <w:r w:rsidRPr="00B74BA1">
        <w:rPr>
          <w:rFonts w:cstheme="minorHAnsi"/>
          <w:color w:val="auto"/>
        </w:rPr>
        <w:t xml:space="preserve">opportunities </w:t>
      </w:r>
      <w:r>
        <w:rPr>
          <w:rFonts w:cstheme="minorHAnsi"/>
          <w:color w:val="auto"/>
        </w:rPr>
        <w:t>for more intensive</w:t>
      </w:r>
      <w:r w:rsidRPr="00B74BA1">
        <w:rPr>
          <w:rFonts w:cstheme="minorHAnsi"/>
          <w:color w:val="auto"/>
        </w:rPr>
        <w:t xml:space="preserve"> trilateral cooperation</w:t>
      </w:r>
      <w:r>
        <w:rPr>
          <w:rFonts w:cstheme="minorHAnsi"/>
          <w:color w:val="auto"/>
        </w:rPr>
        <w:t xml:space="preserve"> with government and private sector actors</w:t>
      </w:r>
      <w:r w:rsidR="002C705C">
        <w:rPr>
          <w:rFonts w:cstheme="minorHAnsi"/>
          <w:color w:val="auto"/>
        </w:rPr>
        <w:t xml:space="preserve"> in Australia, Cambodia and China</w:t>
      </w:r>
      <w:r>
        <w:rPr>
          <w:rFonts w:cstheme="minorHAnsi"/>
          <w:color w:val="auto"/>
        </w:rPr>
        <w:t xml:space="preserve">, building on an earlier trilateral exchange in 2013-14. </w:t>
      </w:r>
    </w:p>
    <w:p w:rsidR="00B85B9B" w:rsidRDefault="00B85B9B" w:rsidP="00B85B9B">
      <w:pPr>
        <w:spacing w:after="120" w:line="259" w:lineRule="auto"/>
        <w:rPr>
          <w:rFonts w:cstheme="minorHAnsi"/>
          <w:color w:val="auto"/>
        </w:rPr>
      </w:pPr>
      <w:r>
        <w:rPr>
          <w:rFonts w:cstheme="minorHAnsi"/>
          <w:color w:val="auto"/>
        </w:rPr>
        <w:t>CAVAC</w:t>
      </w:r>
      <w:r w:rsidRPr="00912BD0">
        <w:rPr>
          <w:rFonts w:cstheme="minorHAnsi"/>
          <w:color w:val="auto"/>
        </w:rPr>
        <w:t xml:space="preserve"> </w:t>
      </w:r>
      <w:r>
        <w:rPr>
          <w:rFonts w:cstheme="minorHAnsi"/>
          <w:color w:val="auto"/>
        </w:rPr>
        <w:t>also worked</w:t>
      </w:r>
      <w:r w:rsidRPr="00912BD0">
        <w:rPr>
          <w:rFonts w:cstheme="minorHAnsi"/>
          <w:color w:val="auto"/>
        </w:rPr>
        <w:t xml:space="preserve"> to improve Cambodia’s rice export competitiveness and to diversify export markets. Four new </w:t>
      </w:r>
      <w:r>
        <w:rPr>
          <w:rFonts w:cstheme="minorHAnsi"/>
          <w:color w:val="auto"/>
        </w:rPr>
        <w:t xml:space="preserve">rice </w:t>
      </w:r>
      <w:r w:rsidRPr="00912BD0">
        <w:rPr>
          <w:rFonts w:cstheme="minorHAnsi"/>
          <w:color w:val="auto"/>
        </w:rPr>
        <w:t xml:space="preserve">varieties </w:t>
      </w:r>
      <w:r>
        <w:rPr>
          <w:rFonts w:cstheme="minorHAnsi"/>
          <w:color w:val="auto"/>
        </w:rPr>
        <w:t>were</w:t>
      </w:r>
      <w:r w:rsidRPr="00912BD0">
        <w:rPr>
          <w:rFonts w:cstheme="minorHAnsi"/>
          <w:color w:val="auto"/>
        </w:rPr>
        <w:t xml:space="preserve"> introduced </w:t>
      </w:r>
      <w:r>
        <w:rPr>
          <w:rFonts w:cstheme="minorHAnsi"/>
          <w:color w:val="auto"/>
        </w:rPr>
        <w:t xml:space="preserve">(out of a program target of five) </w:t>
      </w:r>
      <w:r w:rsidRPr="00912BD0">
        <w:rPr>
          <w:rFonts w:cstheme="minorHAnsi"/>
          <w:color w:val="auto"/>
        </w:rPr>
        <w:t>to improve yields, increase resilience</w:t>
      </w:r>
      <w:r>
        <w:rPr>
          <w:rFonts w:cstheme="minorHAnsi"/>
          <w:color w:val="auto"/>
        </w:rPr>
        <w:t xml:space="preserve"> (including to climate change)</w:t>
      </w:r>
      <w:r w:rsidRPr="00912BD0">
        <w:rPr>
          <w:rFonts w:cstheme="minorHAnsi"/>
          <w:color w:val="auto"/>
        </w:rPr>
        <w:t xml:space="preserve">, reduce the water required, and enable multiple crop cycles each year. There </w:t>
      </w:r>
      <w:r>
        <w:rPr>
          <w:rFonts w:cstheme="minorHAnsi"/>
          <w:color w:val="auto"/>
        </w:rPr>
        <w:t>was</w:t>
      </w:r>
      <w:r w:rsidRPr="00912BD0">
        <w:rPr>
          <w:rFonts w:cstheme="minorHAnsi"/>
          <w:color w:val="auto"/>
        </w:rPr>
        <w:t xml:space="preserve"> also a focus on diversifying crops, </w:t>
      </w:r>
      <w:r>
        <w:rPr>
          <w:rFonts w:cstheme="minorHAnsi"/>
          <w:color w:val="auto"/>
        </w:rPr>
        <w:t xml:space="preserve">such as </w:t>
      </w:r>
      <w:r w:rsidRPr="00912BD0">
        <w:rPr>
          <w:rFonts w:cstheme="minorHAnsi"/>
          <w:color w:val="auto"/>
        </w:rPr>
        <w:t>cassava, m</w:t>
      </w:r>
      <w:r>
        <w:rPr>
          <w:rFonts w:cstheme="minorHAnsi"/>
          <w:color w:val="auto"/>
        </w:rPr>
        <w:t>aize and</w:t>
      </w:r>
      <w:r w:rsidRPr="00912BD0">
        <w:rPr>
          <w:rFonts w:cstheme="minorHAnsi"/>
          <w:color w:val="auto"/>
        </w:rPr>
        <w:t xml:space="preserve"> chili</w:t>
      </w:r>
      <w:r w:rsidR="00BC0F32">
        <w:rPr>
          <w:rFonts w:cstheme="minorHAnsi"/>
          <w:color w:val="auto"/>
        </w:rPr>
        <w:t>,</w:t>
      </w:r>
      <w:r w:rsidR="0019152C">
        <w:rPr>
          <w:rFonts w:cstheme="minorHAnsi"/>
          <w:color w:val="auto"/>
        </w:rPr>
        <w:t xml:space="preserve"> reflecting opportunities in the growing urban</w:t>
      </w:r>
      <w:r w:rsidR="0048150B">
        <w:rPr>
          <w:rFonts w:cstheme="minorHAnsi"/>
          <w:color w:val="auto"/>
        </w:rPr>
        <w:t>, industrial and livestock-feed</w:t>
      </w:r>
      <w:r w:rsidR="0019152C">
        <w:rPr>
          <w:rFonts w:cstheme="minorHAnsi"/>
          <w:color w:val="auto"/>
        </w:rPr>
        <w:t xml:space="preserve"> market</w:t>
      </w:r>
      <w:r w:rsidR="0048150B">
        <w:rPr>
          <w:rFonts w:cstheme="minorHAnsi"/>
          <w:color w:val="auto"/>
        </w:rPr>
        <w:t>s</w:t>
      </w:r>
      <w:r w:rsidRPr="00912BD0">
        <w:rPr>
          <w:rFonts w:cstheme="minorHAnsi"/>
          <w:color w:val="auto"/>
        </w:rPr>
        <w:t>.</w:t>
      </w:r>
      <w:r w:rsidR="005D5275" w:rsidRPr="00111F5A">
        <w:rPr>
          <w:rFonts w:cstheme="minorHAnsi"/>
          <w:color w:val="auto"/>
        </w:rPr>
        <w:t xml:space="preserve"> </w:t>
      </w:r>
      <w:r>
        <w:rPr>
          <w:rFonts w:cstheme="minorHAnsi"/>
          <w:color w:val="auto"/>
        </w:rPr>
        <w:t>CAVAC remained well-supported by the Cambodian Government, and p</w:t>
      </w:r>
      <w:r w:rsidRPr="00912BD0">
        <w:rPr>
          <w:rFonts w:cstheme="minorHAnsi"/>
          <w:color w:val="auto"/>
        </w:rPr>
        <w:t>olicy engagement was broadened throughout 2018-19.</w:t>
      </w:r>
      <w:r>
        <w:rPr>
          <w:rFonts w:cstheme="minorHAnsi"/>
          <w:color w:val="auto"/>
        </w:rPr>
        <w:t xml:space="preserve"> </w:t>
      </w:r>
      <w:r w:rsidR="00C93694" w:rsidRPr="00597F61">
        <w:rPr>
          <w:rFonts w:cstheme="minorHAnsi"/>
          <w:color w:val="auto"/>
        </w:rPr>
        <w:t xml:space="preserve">A mid-term review of CAVAC recognised that </w:t>
      </w:r>
      <w:r w:rsidR="00C93694">
        <w:rPr>
          <w:rFonts w:cstheme="minorHAnsi"/>
          <w:color w:val="auto"/>
        </w:rPr>
        <w:t>the program</w:t>
      </w:r>
      <w:r w:rsidR="00C93694" w:rsidRPr="00597F61">
        <w:rPr>
          <w:rFonts w:cstheme="minorHAnsi"/>
          <w:color w:val="auto"/>
        </w:rPr>
        <w:t xml:space="preserve"> played a role in shifting government attitudes to the role of the private sector.</w:t>
      </w:r>
      <w:r w:rsidR="00C93694">
        <w:rPr>
          <w:color w:val="1F497D"/>
        </w:rPr>
        <w:t> </w:t>
      </w:r>
      <w:r>
        <w:rPr>
          <w:rFonts w:cstheme="minorHAnsi"/>
          <w:color w:val="auto"/>
        </w:rPr>
        <w:t xml:space="preserve">CAVAC </w:t>
      </w:r>
      <w:r w:rsidR="00C93694">
        <w:rPr>
          <w:rFonts w:cstheme="minorHAnsi"/>
          <w:color w:val="auto"/>
        </w:rPr>
        <w:t xml:space="preserve">also </w:t>
      </w:r>
      <w:r>
        <w:rPr>
          <w:rFonts w:cstheme="minorHAnsi"/>
          <w:color w:val="auto"/>
        </w:rPr>
        <w:t xml:space="preserve">assisted the Cambodian Government with the development of its Trade Integration Strategy, and engaged a trade </w:t>
      </w:r>
      <w:r w:rsidRPr="00912BD0">
        <w:rPr>
          <w:rFonts w:cstheme="minorHAnsi"/>
          <w:color w:val="auto"/>
        </w:rPr>
        <w:t>policy adviser</w:t>
      </w:r>
      <w:r>
        <w:rPr>
          <w:rFonts w:cstheme="minorHAnsi"/>
          <w:color w:val="auto"/>
        </w:rPr>
        <w:t xml:space="preserve"> </w:t>
      </w:r>
      <w:r w:rsidRPr="00912BD0">
        <w:rPr>
          <w:rFonts w:cstheme="minorHAnsi"/>
          <w:color w:val="auto"/>
        </w:rPr>
        <w:t>to explore</w:t>
      </w:r>
      <w:r>
        <w:rPr>
          <w:rFonts w:cstheme="minorHAnsi"/>
          <w:color w:val="auto"/>
        </w:rPr>
        <w:t xml:space="preserve"> further</w:t>
      </w:r>
      <w:r w:rsidRPr="00912BD0">
        <w:rPr>
          <w:rFonts w:cstheme="minorHAnsi"/>
          <w:color w:val="auto"/>
        </w:rPr>
        <w:t xml:space="preserve"> opportunities to enhance trade competitiveness</w:t>
      </w:r>
      <w:r w:rsidR="005E03AA">
        <w:rPr>
          <w:rFonts w:cstheme="minorHAnsi"/>
          <w:color w:val="auto"/>
        </w:rPr>
        <w:t xml:space="preserve">. This </w:t>
      </w:r>
      <w:r>
        <w:rPr>
          <w:rFonts w:cstheme="minorHAnsi"/>
          <w:color w:val="auto"/>
        </w:rPr>
        <w:t xml:space="preserve">be </w:t>
      </w:r>
      <w:r w:rsidR="005E03AA">
        <w:rPr>
          <w:rFonts w:cstheme="minorHAnsi"/>
          <w:color w:val="auto"/>
        </w:rPr>
        <w:t xml:space="preserve">progressed in 2019-20. </w:t>
      </w:r>
    </w:p>
    <w:p w:rsidR="001B1950" w:rsidRPr="00135F7B" w:rsidRDefault="001B1950" w:rsidP="001B1950">
      <w:pPr>
        <w:spacing w:after="120" w:line="259" w:lineRule="auto"/>
        <w:rPr>
          <w:rFonts w:cstheme="minorHAnsi"/>
          <w:color w:val="auto"/>
        </w:rPr>
      </w:pPr>
      <w:r w:rsidRPr="001B1950">
        <w:rPr>
          <w:rFonts w:cstheme="minorHAnsi"/>
          <w:color w:val="auto"/>
        </w:rPr>
        <w:t xml:space="preserve">In 2018-19, CAVAC carried out a number of activities promoting gender equality and </w:t>
      </w:r>
      <w:r w:rsidR="000C44CC">
        <w:rPr>
          <w:rFonts w:cstheme="minorHAnsi"/>
          <w:color w:val="auto"/>
        </w:rPr>
        <w:t>w</w:t>
      </w:r>
      <w:r w:rsidRPr="001B1950">
        <w:rPr>
          <w:rFonts w:cstheme="minorHAnsi"/>
          <w:color w:val="auto"/>
        </w:rPr>
        <w:t xml:space="preserve">omen’s </w:t>
      </w:r>
      <w:r w:rsidR="000C44CC">
        <w:rPr>
          <w:rFonts w:cstheme="minorHAnsi"/>
          <w:color w:val="auto"/>
        </w:rPr>
        <w:t>e</w:t>
      </w:r>
      <w:r w:rsidRPr="001B1950">
        <w:rPr>
          <w:rFonts w:cstheme="minorHAnsi"/>
          <w:color w:val="auto"/>
        </w:rPr>
        <w:t xml:space="preserve">conomic </w:t>
      </w:r>
      <w:r w:rsidR="000C44CC">
        <w:rPr>
          <w:rFonts w:cstheme="minorHAnsi"/>
          <w:color w:val="auto"/>
        </w:rPr>
        <w:t>e</w:t>
      </w:r>
      <w:r w:rsidRPr="001B1950">
        <w:rPr>
          <w:rFonts w:cstheme="minorHAnsi"/>
          <w:color w:val="auto"/>
        </w:rPr>
        <w:t>mpowerment in the agriculture and water sector. This included study tours</w:t>
      </w:r>
      <w:r w:rsidR="00135F7B">
        <w:rPr>
          <w:rFonts w:cstheme="minorHAnsi"/>
          <w:color w:val="auto"/>
        </w:rPr>
        <w:t xml:space="preserve"> </w:t>
      </w:r>
      <w:r w:rsidR="00135F7B" w:rsidRPr="001B1950">
        <w:rPr>
          <w:rFonts w:cstheme="minorHAnsi"/>
          <w:color w:val="auto"/>
        </w:rPr>
        <w:t xml:space="preserve">for women farmer </w:t>
      </w:r>
      <w:r w:rsidR="00135F7B" w:rsidRPr="00135F7B">
        <w:rPr>
          <w:rFonts w:cstheme="minorHAnsi"/>
          <w:color w:val="auto"/>
        </w:rPr>
        <w:t>champions</w:t>
      </w:r>
      <w:r w:rsidR="00135F7B" w:rsidRPr="00D658F6">
        <w:rPr>
          <w:rFonts w:cstheme="minorHAnsi"/>
          <w:color w:val="auto"/>
        </w:rPr>
        <w:t xml:space="preserve"> to learn from Thailand’s agricultural cooperatives</w:t>
      </w:r>
      <w:r w:rsidRPr="00135F7B">
        <w:rPr>
          <w:rFonts w:cstheme="minorHAnsi"/>
          <w:color w:val="auto"/>
        </w:rPr>
        <w:t xml:space="preserve">, and capacity building for government staff in gender mainstreaming. CAVAC will assess changes as a result </w:t>
      </w:r>
      <w:r w:rsidR="00F92427">
        <w:rPr>
          <w:rFonts w:cstheme="minorHAnsi"/>
          <w:color w:val="auto"/>
        </w:rPr>
        <w:t xml:space="preserve">of these activities </w:t>
      </w:r>
      <w:r w:rsidRPr="00135F7B">
        <w:rPr>
          <w:rFonts w:cstheme="minorHAnsi"/>
          <w:color w:val="auto"/>
        </w:rPr>
        <w:t>in 2019</w:t>
      </w:r>
      <w:r w:rsidR="006728DA" w:rsidRPr="00135F7B">
        <w:rPr>
          <w:rFonts w:cstheme="minorHAnsi"/>
          <w:color w:val="auto"/>
        </w:rPr>
        <w:t>-20</w:t>
      </w:r>
      <w:r w:rsidRPr="00135F7B">
        <w:rPr>
          <w:rFonts w:cstheme="minorHAnsi"/>
          <w:color w:val="auto"/>
        </w:rPr>
        <w:t>.</w:t>
      </w:r>
    </w:p>
    <w:p w:rsidR="00897F86" w:rsidRDefault="00241E17" w:rsidP="00897F86">
      <w:pPr>
        <w:spacing w:after="120" w:line="259" w:lineRule="auto"/>
        <w:rPr>
          <w:rFonts w:cstheme="minorHAnsi"/>
          <w:color w:val="auto"/>
        </w:rPr>
      </w:pPr>
      <w:r>
        <w:rPr>
          <w:rFonts w:cstheme="minorHAnsi"/>
          <w:color w:val="auto"/>
        </w:rPr>
        <w:t xml:space="preserve">DFAT </w:t>
      </w:r>
      <w:r w:rsidR="001B1950" w:rsidRPr="00135F7B">
        <w:rPr>
          <w:rFonts w:cstheme="minorHAnsi"/>
          <w:color w:val="auto"/>
        </w:rPr>
        <w:t xml:space="preserve">assessed that the program’s impact on gender equality </w:t>
      </w:r>
      <w:r w:rsidR="008A7467" w:rsidRPr="00135F7B">
        <w:rPr>
          <w:rFonts w:cstheme="minorHAnsi"/>
          <w:color w:val="auto"/>
        </w:rPr>
        <w:t xml:space="preserve">should </w:t>
      </w:r>
      <w:r w:rsidR="001B1950" w:rsidRPr="00135F7B">
        <w:rPr>
          <w:rFonts w:cstheme="minorHAnsi"/>
          <w:color w:val="auto"/>
        </w:rPr>
        <w:t xml:space="preserve">be </w:t>
      </w:r>
      <w:r w:rsidR="000C44CC" w:rsidRPr="00135F7B">
        <w:rPr>
          <w:rFonts w:cstheme="minorHAnsi"/>
          <w:color w:val="auto"/>
        </w:rPr>
        <w:t xml:space="preserve">strengthened. In response, </w:t>
      </w:r>
      <w:r w:rsidR="006F5F89" w:rsidRPr="00135F7B">
        <w:rPr>
          <w:rFonts w:cstheme="minorHAnsi"/>
          <w:color w:val="auto"/>
        </w:rPr>
        <w:t xml:space="preserve">CAVAC </w:t>
      </w:r>
      <w:r w:rsidR="001B1950" w:rsidRPr="00135F7B">
        <w:rPr>
          <w:rFonts w:cstheme="minorHAnsi"/>
          <w:color w:val="auto"/>
        </w:rPr>
        <w:t xml:space="preserve">has increased </w:t>
      </w:r>
      <w:r w:rsidR="006F5F89" w:rsidRPr="00135F7B">
        <w:rPr>
          <w:rFonts w:cstheme="minorHAnsi"/>
          <w:color w:val="auto"/>
        </w:rPr>
        <w:t>its efforts to support gender equality through its activities</w:t>
      </w:r>
      <w:r w:rsidR="000C44CC" w:rsidRPr="00135F7B">
        <w:rPr>
          <w:rFonts w:cstheme="minorHAnsi"/>
          <w:color w:val="auto"/>
        </w:rPr>
        <w:t xml:space="preserve"> in 2018-19</w:t>
      </w:r>
      <w:r w:rsidR="006F5F89" w:rsidRPr="00135F7B">
        <w:rPr>
          <w:rFonts w:cstheme="minorHAnsi"/>
          <w:color w:val="auto"/>
        </w:rPr>
        <w:t xml:space="preserve">. </w:t>
      </w:r>
      <w:r w:rsidR="00771E26" w:rsidRPr="00135F7B">
        <w:rPr>
          <w:rFonts w:cstheme="minorHAnsi"/>
          <w:color w:val="auto"/>
        </w:rPr>
        <w:t>The program</w:t>
      </w:r>
      <w:r w:rsidR="000B70B5" w:rsidRPr="00135F7B">
        <w:rPr>
          <w:rFonts w:cstheme="minorHAnsi"/>
          <w:color w:val="auto"/>
        </w:rPr>
        <w:t xml:space="preserve"> engaged a women’s</w:t>
      </w:r>
      <w:r w:rsidR="000B70B5" w:rsidRPr="00771E26">
        <w:rPr>
          <w:rFonts w:cstheme="minorHAnsi"/>
          <w:color w:val="auto"/>
        </w:rPr>
        <w:t xml:space="preserve"> economic empowerment speciali</w:t>
      </w:r>
      <w:r w:rsidR="000C44CC">
        <w:rPr>
          <w:rFonts w:cstheme="minorHAnsi"/>
          <w:color w:val="auto"/>
        </w:rPr>
        <w:t>st to provide strategic advice o</w:t>
      </w:r>
      <w:r w:rsidR="000B70B5" w:rsidRPr="00771E26">
        <w:rPr>
          <w:rFonts w:cstheme="minorHAnsi"/>
          <w:color w:val="auto"/>
        </w:rPr>
        <w:t xml:space="preserve">n </w:t>
      </w:r>
      <w:r w:rsidR="001B1950" w:rsidRPr="001B1950">
        <w:rPr>
          <w:rFonts w:cstheme="minorHAnsi"/>
          <w:color w:val="auto"/>
        </w:rPr>
        <w:t xml:space="preserve">approaches the program can </w:t>
      </w:r>
      <w:r w:rsidR="001B1950" w:rsidRPr="001B1950">
        <w:rPr>
          <w:rFonts w:cstheme="minorHAnsi"/>
          <w:color w:val="auto"/>
        </w:rPr>
        <w:lastRenderedPageBreak/>
        <w:t xml:space="preserve">apply to integrate gender objectives more effectively into activities. </w:t>
      </w:r>
      <w:r w:rsidR="006F5F89">
        <w:rPr>
          <w:rFonts w:cstheme="minorHAnsi"/>
          <w:color w:val="auto"/>
        </w:rPr>
        <w:t xml:space="preserve">This </w:t>
      </w:r>
      <w:r w:rsidR="00771E26">
        <w:rPr>
          <w:rFonts w:cstheme="minorHAnsi"/>
          <w:color w:val="auto"/>
        </w:rPr>
        <w:t xml:space="preserve">work </w:t>
      </w:r>
      <w:r w:rsidR="000B70B5">
        <w:rPr>
          <w:rFonts w:cstheme="minorHAnsi"/>
          <w:color w:val="auto"/>
        </w:rPr>
        <w:t>will draw on</w:t>
      </w:r>
      <w:r w:rsidR="006F5F89">
        <w:rPr>
          <w:rFonts w:cstheme="minorHAnsi"/>
          <w:color w:val="auto"/>
        </w:rPr>
        <w:t xml:space="preserve"> </w:t>
      </w:r>
      <w:r w:rsidR="001B1950">
        <w:rPr>
          <w:rFonts w:cstheme="minorHAnsi"/>
          <w:color w:val="auto"/>
        </w:rPr>
        <w:t>gender impact</w:t>
      </w:r>
      <w:r w:rsidR="00771E26">
        <w:rPr>
          <w:rFonts w:cstheme="minorHAnsi"/>
          <w:color w:val="auto"/>
        </w:rPr>
        <w:t xml:space="preserve"> </w:t>
      </w:r>
      <w:r w:rsidR="006F5F89">
        <w:rPr>
          <w:rFonts w:cstheme="minorHAnsi"/>
          <w:color w:val="auto"/>
        </w:rPr>
        <w:t xml:space="preserve">studies </w:t>
      </w:r>
      <w:r w:rsidR="000B70B5">
        <w:rPr>
          <w:rFonts w:cstheme="minorHAnsi"/>
          <w:color w:val="auto"/>
        </w:rPr>
        <w:t>conducted through CAVAC throughout 2018-19</w:t>
      </w:r>
      <w:r w:rsidR="001B1950">
        <w:rPr>
          <w:rFonts w:cstheme="minorHAnsi"/>
          <w:color w:val="auto"/>
        </w:rPr>
        <w:t>.</w:t>
      </w:r>
    </w:p>
    <w:p w:rsidR="009973F1" w:rsidRDefault="00B74BA1" w:rsidP="008E1FAB">
      <w:pPr>
        <w:spacing w:after="120" w:line="259" w:lineRule="auto"/>
        <w:rPr>
          <w:rFonts w:cstheme="minorHAnsi"/>
          <w:color w:val="auto"/>
        </w:rPr>
      </w:pPr>
      <w:r w:rsidRPr="00B74BA1">
        <w:rPr>
          <w:rFonts w:cstheme="minorHAnsi"/>
          <w:color w:val="auto"/>
        </w:rPr>
        <w:t xml:space="preserve">The CAVAC program is on </w:t>
      </w:r>
      <w:r w:rsidRPr="00754473">
        <w:rPr>
          <w:rFonts w:cstheme="minorHAnsi"/>
          <w:color w:val="auto"/>
        </w:rPr>
        <w:t xml:space="preserve">track </w:t>
      </w:r>
      <w:r w:rsidR="00CA6E60" w:rsidRPr="00754473">
        <w:rPr>
          <w:rFonts w:cstheme="minorHAnsi"/>
          <w:color w:val="auto"/>
        </w:rPr>
        <w:t xml:space="preserve">to </w:t>
      </w:r>
      <w:r w:rsidRPr="00754473">
        <w:rPr>
          <w:rFonts w:cstheme="minorHAnsi"/>
          <w:color w:val="auto"/>
        </w:rPr>
        <w:t>achieve</w:t>
      </w:r>
      <w:r w:rsidRPr="00B74BA1">
        <w:rPr>
          <w:rFonts w:cstheme="minorHAnsi"/>
          <w:color w:val="auto"/>
        </w:rPr>
        <w:t xml:space="preserve"> its end of program objectives. </w:t>
      </w:r>
      <w:r w:rsidR="0013554A">
        <w:rPr>
          <w:rFonts w:cstheme="minorHAnsi"/>
          <w:color w:val="auto"/>
        </w:rPr>
        <w:t xml:space="preserve">After </w:t>
      </w:r>
      <w:r w:rsidRPr="00B74BA1">
        <w:rPr>
          <w:rFonts w:cstheme="minorHAnsi"/>
          <w:color w:val="auto"/>
        </w:rPr>
        <w:t>DFAT invested significant effort into refor</w:t>
      </w:r>
      <w:r w:rsidR="0013554A">
        <w:rPr>
          <w:rFonts w:cstheme="minorHAnsi"/>
          <w:color w:val="auto"/>
        </w:rPr>
        <w:t>ming the program over 2018-19, i</w:t>
      </w:r>
      <w:r w:rsidRPr="00B74BA1">
        <w:rPr>
          <w:rFonts w:cstheme="minorHAnsi"/>
          <w:color w:val="auto"/>
        </w:rPr>
        <w:t>t is now embarking on a more coherent and coordinated approach to achieving improvem</w:t>
      </w:r>
      <w:r w:rsidR="0013554A">
        <w:rPr>
          <w:rFonts w:cstheme="minorHAnsi"/>
          <w:color w:val="auto"/>
        </w:rPr>
        <w:t xml:space="preserve">ents in the agriculture sector. This is </w:t>
      </w:r>
      <w:r w:rsidRPr="00B74BA1">
        <w:rPr>
          <w:rFonts w:cstheme="minorHAnsi"/>
          <w:color w:val="auto"/>
        </w:rPr>
        <w:t xml:space="preserve">while being more responsive to Australian policy priorities and the changing Cambodian context, </w:t>
      </w:r>
      <w:r w:rsidR="008A7467" w:rsidRPr="00B74BA1">
        <w:rPr>
          <w:rFonts w:cstheme="minorHAnsi"/>
          <w:color w:val="auto"/>
        </w:rPr>
        <w:t xml:space="preserve">such as </w:t>
      </w:r>
      <w:r w:rsidR="008A7467">
        <w:rPr>
          <w:rFonts w:cstheme="minorHAnsi"/>
          <w:color w:val="auto"/>
        </w:rPr>
        <w:t>growing foreign direct investment,</w:t>
      </w:r>
      <w:r w:rsidR="008A7467" w:rsidRPr="00B74BA1">
        <w:rPr>
          <w:rFonts w:cstheme="minorHAnsi"/>
          <w:color w:val="auto"/>
        </w:rPr>
        <w:t xml:space="preserve"> </w:t>
      </w:r>
      <w:r w:rsidRPr="00B74BA1">
        <w:rPr>
          <w:rFonts w:cstheme="minorHAnsi"/>
          <w:color w:val="auto"/>
        </w:rPr>
        <w:t>rural labour shortages, climate change, and mechanisation.</w:t>
      </w:r>
      <w:r w:rsidR="00FF35CA">
        <w:rPr>
          <w:rFonts w:cstheme="minorHAnsi"/>
          <w:color w:val="auto"/>
        </w:rPr>
        <w:t xml:space="preserve"> </w:t>
      </w:r>
    </w:p>
    <w:p w:rsidR="006F5F8D" w:rsidRDefault="00317D14" w:rsidP="00111F5A">
      <w:pPr>
        <w:rPr>
          <w:rFonts w:cstheme="minorHAnsi"/>
          <w:color w:val="auto"/>
        </w:rPr>
      </w:pPr>
      <w:r>
        <w:rPr>
          <w:rFonts w:cstheme="minorHAnsi"/>
          <w:color w:val="auto"/>
        </w:rPr>
        <w:t>CAVAC is actively engaged with t</w:t>
      </w:r>
      <w:r w:rsidR="006F5F8D" w:rsidRPr="00B74BA1">
        <w:rPr>
          <w:rFonts w:cstheme="minorHAnsi"/>
          <w:color w:val="auto"/>
        </w:rPr>
        <w:t>he Australian Centre for International Agricultural Research</w:t>
      </w:r>
      <w:r w:rsidR="00AB29E2">
        <w:rPr>
          <w:rFonts w:cstheme="minorHAnsi"/>
          <w:color w:val="auto"/>
        </w:rPr>
        <w:t xml:space="preserve"> (ACIAR)</w:t>
      </w:r>
      <w:r>
        <w:rPr>
          <w:rFonts w:cstheme="minorHAnsi"/>
          <w:color w:val="auto"/>
        </w:rPr>
        <w:t>, which has a program of support for Cambodia’s agriculture sector</w:t>
      </w:r>
      <w:r w:rsidR="00AB29E2">
        <w:rPr>
          <w:rFonts w:cstheme="minorHAnsi"/>
          <w:color w:val="auto"/>
        </w:rPr>
        <w:t xml:space="preserve"> (</w:t>
      </w:r>
      <w:r w:rsidR="006F5F8D" w:rsidRPr="00B74BA1">
        <w:rPr>
          <w:rFonts w:cstheme="minorHAnsi"/>
          <w:color w:val="auto"/>
        </w:rPr>
        <w:t>$2.6 million in 2018-1</w:t>
      </w:r>
      <w:r>
        <w:rPr>
          <w:rFonts w:cstheme="minorHAnsi"/>
          <w:color w:val="auto"/>
        </w:rPr>
        <w:t xml:space="preserve">9). </w:t>
      </w:r>
      <w:r w:rsidR="00D7493A">
        <w:rPr>
          <w:rFonts w:cstheme="minorHAnsi"/>
          <w:color w:val="auto"/>
        </w:rPr>
        <w:t xml:space="preserve">In 2018-19, </w:t>
      </w:r>
      <w:r>
        <w:rPr>
          <w:rFonts w:cstheme="minorHAnsi"/>
          <w:color w:val="auto"/>
        </w:rPr>
        <w:t xml:space="preserve">ACIAR </w:t>
      </w:r>
      <w:r w:rsidR="006F5F8D" w:rsidRPr="00B74BA1">
        <w:rPr>
          <w:rFonts w:cstheme="minorHAnsi"/>
          <w:color w:val="auto"/>
        </w:rPr>
        <w:t xml:space="preserve">continued to work collaboratively with Cambodian research partners on sustainable intensification and diversification of agriculture, livestock and aquaculture. </w:t>
      </w:r>
      <w:r w:rsidR="008A7467">
        <w:rPr>
          <w:rFonts w:cstheme="minorHAnsi"/>
          <w:color w:val="auto"/>
        </w:rPr>
        <w:t xml:space="preserve">CAVAC worked to disseminate </w:t>
      </w:r>
      <w:r w:rsidR="008A7467" w:rsidRPr="00B74BA1">
        <w:rPr>
          <w:rFonts w:cstheme="minorHAnsi"/>
          <w:color w:val="auto"/>
        </w:rPr>
        <w:t>technological innovations</w:t>
      </w:r>
      <w:r w:rsidR="008A7467">
        <w:rPr>
          <w:rFonts w:cstheme="minorHAnsi"/>
          <w:color w:val="auto"/>
        </w:rPr>
        <w:t xml:space="preserve"> identified by ACIAR</w:t>
      </w:r>
      <w:r w:rsidR="006F5F8D" w:rsidRPr="00B74BA1">
        <w:rPr>
          <w:rFonts w:cstheme="minorHAnsi"/>
          <w:color w:val="auto"/>
        </w:rPr>
        <w:t xml:space="preserve">. </w:t>
      </w:r>
      <w:r w:rsidR="004B6661" w:rsidRPr="004B6661">
        <w:rPr>
          <w:rFonts w:cstheme="minorHAnsi"/>
          <w:color w:val="auto"/>
        </w:rPr>
        <w:t>These technologies contribute to markedly lower input requirements, including reduced labour.</w:t>
      </w:r>
      <w:r w:rsidR="00AB29E2">
        <w:rPr>
          <w:rFonts w:cstheme="minorHAnsi"/>
          <w:color w:val="auto"/>
        </w:rPr>
        <w:t xml:space="preserve"> As a result, </w:t>
      </w:r>
      <w:r w:rsidR="006F5F8D" w:rsidRPr="00B74BA1">
        <w:rPr>
          <w:rFonts w:cstheme="minorHAnsi"/>
          <w:color w:val="auto"/>
        </w:rPr>
        <w:t xml:space="preserve">drill seeders were purchased by the Battambang Province Agricultural Cooperative and farmers and </w:t>
      </w:r>
      <w:r w:rsidR="00135F7B">
        <w:rPr>
          <w:rFonts w:cstheme="minorHAnsi"/>
          <w:color w:val="auto"/>
        </w:rPr>
        <w:t>used to plan</w:t>
      </w:r>
      <w:r w:rsidR="00F92427">
        <w:rPr>
          <w:rFonts w:cstheme="minorHAnsi"/>
          <w:color w:val="auto"/>
        </w:rPr>
        <w:t>t</w:t>
      </w:r>
      <w:r w:rsidR="00135F7B">
        <w:rPr>
          <w:rFonts w:cstheme="minorHAnsi"/>
          <w:color w:val="auto"/>
        </w:rPr>
        <w:t xml:space="preserve"> more than</w:t>
      </w:r>
      <w:r w:rsidR="006F5F8D" w:rsidRPr="00B74BA1">
        <w:rPr>
          <w:rFonts w:cstheme="minorHAnsi"/>
          <w:color w:val="auto"/>
        </w:rPr>
        <w:t xml:space="preserve"> 200 hectares. Field demonstrations of the Cambodian-invented Eli seeder</w:t>
      </w:r>
      <w:r w:rsidR="002C705C">
        <w:rPr>
          <w:rFonts w:cstheme="minorHAnsi"/>
          <w:color w:val="auto"/>
        </w:rPr>
        <w:t>,</w:t>
      </w:r>
      <w:r w:rsidR="006F5F8D" w:rsidRPr="00B74BA1">
        <w:rPr>
          <w:rFonts w:cstheme="minorHAnsi"/>
          <w:color w:val="auto"/>
        </w:rPr>
        <w:t xml:space="preserve"> </w:t>
      </w:r>
      <w:r w:rsidR="006728DA">
        <w:rPr>
          <w:rFonts w:cstheme="minorHAnsi"/>
          <w:color w:val="auto"/>
        </w:rPr>
        <w:t xml:space="preserve">which </w:t>
      </w:r>
      <w:r w:rsidR="002C705C">
        <w:rPr>
          <w:rFonts w:cstheme="minorHAnsi"/>
          <w:color w:val="auto"/>
        </w:rPr>
        <w:t xml:space="preserve">in 2018 </w:t>
      </w:r>
      <w:r w:rsidR="006728DA">
        <w:rPr>
          <w:rFonts w:cstheme="minorHAnsi"/>
          <w:color w:val="auto"/>
        </w:rPr>
        <w:t>won the prestigious Patents for Humanity Award from the US Government</w:t>
      </w:r>
      <w:r w:rsidR="002C705C">
        <w:rPr>
          <w:rFonts w:cstheme="minorHAnsi"/>
          <w:color w:val="auto"/>
        </w:rPr>
        <w:t>,</w:t>
      </w:r>
      <w:r w:rsidR="006728DA">
        <w:rPr>
          <w:rFonts w:cstheme="minorHAnsi"/>
          <w:color w:val="auto"/>
        </w:rPr>
        <w:t xml:space="preserve"> </w:t>
      </w:r>
      <w:r w:rsidR="006F5F8D" w:rsidRPr="00B74BA1">
        <w:rPr>
          <w:rFonts w:cstheme="minorHAnsi"/>
          <w:color w:val="auto"/>
        </w:rPr>
        <w:t>have led to over 100 Eli seeders being sold</w:t>
      </w:r>
      <w:r w:rsidR="002C705C">
        <w:rPr>
          <w:rFonts w:cstheme="minorHAnsi"/>
          <w:color w:val="auto"/>
        </w:rPr>
        <w:t xml:space="preserve"> in Cambodia</w:t>
      </w:r>
      <w:r w:rsidR="006F5F8D" w:rsidRPr="00B74BA1">
        <w:rPr>
          <w:rFonts w:cstheme="minorHAnsi"/>
          <w:color w:val="auto"/>
        </w:rPr>
        <w:t xml:space="preserve">. </w:t>
      </w:r>
      <w:r w:rsidR="00241E17" w:rsidRPr="004B6661">
        <w:rPr>
          <w:rFonts w:cstheme="minorHAnsi"/>
          <w:color w:val="auto"/>
        </w:rPr>
        <w:t xml:space="preserve">The Eli Seeder reduces seed volumes by up to 80 per cent. </w:t>
      </w:r>
      <w:r w:rsidR="00CA6E60">
        <w:rPr>
          <w:rFonts w:cstheme="minorHAnsi"/>
          <w:color w:val="auto"/>
        </w:rPr>
        <w:t>O</w:t>
      </w:r>
      <w:r w:rsidR="006F5F8D" w:rsidRPr="00B74BA1">
        <w:rPr>
          <w:rFonts w:cstheme="minorHAnsi"/>
          <w:color w:val="auto"/>
        </w:rPr>
        <w:t>ver 100 hectares have been planted by mechanised drum seeders.</w:t>
      </w:r>
      <w:r w:rsidR="004B6661" w:rsidRPr="004B6661">
        <w:rPr>
          <w:rFonts w:cstheme="minorHAnsi"/>
          <w:color w:val="auto"/>
        </w:rPr>
        <w:t xml:space="preserve"> </w:t>
      </w:r>
      <w:r w:rsidR="006F5F8D" w:rsidRPr="00B74BA1">
        <w:rPr>
          <w:rFonts w:cstheme="minorHAnsi"/>
          <w:color w:val="auto"/>
        </w:rPr>
        <w:t xml:space="preserve">Furthermore, a weed identification app </w:t>
      </w:r>
      <w:r w:rsidR="00241E17">
        <w:rPr>
          <w:rFonts w:cstheme="minorHAnsi"/>
          <w:color w:val="auto"/>
        </w:rPr>
        <w:t>and</w:t>
      </w:r>
      <w:r w:rsidR="006F5F8D" w:rsidRPr="00B74BA1">
        <w:rPr>
          <w:rFonts w:cstheme="minorHAnsi"/>
          <w:color w:val="auto"/>
        </w:rPr>
        <w:t xml:space="preserve"> a mung</w:t>
      </w:r>
      <w:r w:rsidR="002E3C15">
        <w:rPr>
          <w:rFonts w:cstheme="minorHAnsi"/>
          <w:color w:val="auto"/>
        </w:rPr>
        <w:t xml:space="preserve"> </w:t>
      </w:r>
      <w:r w:rsidR="006F5F8D" w:rsidRPr="00B74BA1">
        <w:rPr>
          <w:rFonts w:cstheme="minorHAnsi"/>
          <w:color w:val="auto"/>
        </w:rPr>
        <w:t>bean pest identification app were developed and are now available to smallholders in Khmer.</w:t>
      </w:r>
    </w:p>
    <w:p w:rsidR="00B9117E" w:rsidRDefault="00B9117E" w:rsidP="00926064">
      <w:pPr>
        <w:spacing w:after="120" w:line="259" w:lineRule="auto"/>
        <w:rPr>
          <w:rFonts w:cstheme="minorHAnsi"/>
          <w:color w:val="auto"/>
        </w:rPr>
      </w:pPr>
      <w:r>
        <w:rPr>
          <w:rFonts w:cstheme="minorHAnsi"/>
          <w:color w:val="auto"/>
        </w:rPr>
        <w:t xml:space="preserve">Australia also helped </w:t>
      </w:r>
      <w:r w:rsidR="007E2756">
        <w:rPr>
          <w:rFonts w:cstheme="minorHAnsi"/>
          <w:color w:val="auto"/>
        </w:rPr>
        <w:t>farmers in Cambodia</w:t>
      </w:r>
      <w:r>
        <w:rPr>
          <w:rFonts w:cstheme="minorHAnsi"/>
          <w:color w:val="auto"/>
        </w:rPr>
        <w:t xml:space="preserve"> to</w:t>
      </w:r>
      <w:r w:rsidR="007E2756">
        <w:rPr>
          <w:rFonts w:cstheme="minorHAnsi"/>
          <w:color w:val="auto"/>
        </w:rPr>
        <w:t xml:space="preserve"> boost their </w:t>
      </w:r>
      <w:r>
        <w:rPr>
          <w:rFonts w:cstheme="minorHAnsi"/>
          <w:color w:val="auto"/>
        </w:rPr>
        <w:t>incomes through support for NGO activities under the</w:t>
      </w:r>
      <w:r w:rsidRPr="00AB36A5">
        <w:rPr>
          <w:rFonts w:cstheme="minorHAnsi"/>
          <w:color w:val="auto"/>
        </w:rPr>
        <w:t xml:space="preserve"> Australian NGO Cooperation Program</w:t>
      </w:r>
      <w:r>
        <w:rPr>
          <w:rFonts w:cstheme="minorHAnsi"/>
          <w:color w:val="auto"/>
        </w:rPr>
        <w:t xml:space="preserve">. </w:t>
      </w:r>
      <w:r w:rsidR="00111F5A">
        <w:rPr>
          <w:rFonts w:cstheme="minorHAnsi"/>
          <w:color w:val="auto"/>
        </w:rPr>
        <w:t>This include</w:t>
      </w:r>
      <w:r>
        <w:rPr>
          <w:rFonts w:cstheme="minorHAnsi"/>
          <w:color w:val="auto"/>
        </w:rPr>
        <w:t>d</w:t>
      </w:r>
      <w:r w:rsidR="007E2756">
        <w:rPr>
          <w:rFonts w:cstheme="minorHAnsi"/>
          <w:color w:val="auto"/>
        </w:rPr>
        <w:t xml:space="preserve"> </w:t>
      </w:r>
      <w:r w:rsidR="008E1FAB">
        <w:rPr>
          <w:rFonts w:cstheme="minorHAnsi"/>
          <w:color w:val="auto"/>
        </w:rPr>
        <w:t xml:space="preserve">helping </w:t>
      </w:r>
      <w:r w:rsidR="00111F5A">
        <w:rPr>
          <w:rFonts w:cstheme="minorHAnsi"/>
          <w:color w:val="auto"/>
        </w:rPr>
        <w:t>farmers</w:t>
      </w:r>
      <w:r w:rsidR="008E1FAB">
        <w:rPr>
          <w:rFonts w:cstheme="minorHAnsi"/>
          <w:color w:val="auto"/>
        </w:rPr>
        <w:t xml:space="preserve"> connect with new product supply opportunities</w:t>
      </w:r>
      <w:r w:rsidR="007E2756" w:rsidRPr="00111F5A">
        <w:rPr>
          <w:rFonts w:cstheme="minorHAnsi"/>
          <w:color w:val="auto"/>
        </w:rPr>
        <w:t>, for example through organic vegetable production</w:t>
      </w:r>
      <w:r w:rsidR="007E2756">
        <w:rPr>
          <w:rFonts w:cstheme="minorHAnsi"/>
          <w:color w:val="auto"/>
        </w:rPr>
        <w:t xml:space="preserve">. </w:t>
      </w:r>
    </w:p>
    <w:p w:rsidR="00926064" w:rsidRPr="00926064" w:rsidRDefault="00926064" w:rsidP="00926064">
      <w:pPr>
        <w:spacing w:after="120" w:line="259" w:lineRule="auto"/>
        <w:rPr>
          <w:rFonts w:cstheme="minorHAnsi"/>
          <w:color w:val="auto"/>
        </w:rPr>
      </w:pPr>
      <w:r>
        <w:rPr>
          <w:rFonts w:cstheme="minorHAnsi"/>
          <w:color w:val="auto"/>
        </w:rPr>
        <w:t xml:space="preserve">The Clearing for Results </w:t>
      </w:r>
      <w:r w:rsidR="003E1031">
        <w:rPr>
          <w:rFonts w:cstheme="minorHAnsi"/>
          <w:color w:val="auto"/>
        </w:rPr>
        <w:t xml:space="preserve">Phase </w:t>
      </w:r>
      <w:r>
        <w:rPr>
          <w:rFonts w:cstheme="minorHAnsi"/>
          <w:color w:val="auto"/>
        </w:rPr>
        <w:t>III program ($9 million, 2016-19) contributed to increasing agricultural productivity by clearing landmines</w:t>
      </w:r>
      <w:r w:rsidR="003E1031">
        <w:rPr>
          <w:rFonts w:cstheme="minorHAnsi"/>
          <w:color w:val="auto"/>
        </w:rPr>
        <w:t xml:space="preserve"> and other unexploded remnants of war.</w:t>
      </w:r>
      <w:r>
        <w:rPr>
          <w:rFonts w:cstheme="minorHAnsi"/>
          <w:color w:val="auto"/>
        </w:rPr>
        <w:t xml:space="preserve"> </w:t>
      </w:r>
      <w:r w:rsidR="003E1031" w:rsidRPr="00502757">
        <w:rPr>
          <w:rFonts w:cstheme="minorHAnsi"/>
          <w:color w:val="auto"/>
        </w:rPr>
        <w:t>Most cleared land is now used for agriculture, including cash and seasonal crops such as cassava</w:t>
      </w:r>
      <w:r w:rsidR="008D6269">
        <w:rPr>
          <w:rFonts w:cstheme="minorHAnsi"/>
          <w:color w:val="auto"/>
        </w:rPr>
        <w:t>, corn</w:t>
      </w:r>
      <w:r w:rsidR="003E1031" w:rsidRPr="00502757">
        <w:rPr>
          <w:rFonts w:cstheme="minorHAnsi"/>
          <w:color w:val="auto"/>
        </w:rPr>
        <w:t xml:space="preserve"> and potato.</w:t>
      </w:r>
      <w:r w:rsidR="003E1031" w:rsidRPr="003E1031">
        <w:rPr>
          <w:rFonts w:cstheme="minorHAnsi"/>
          <w:color w:val="auto"/>
        </w:rPr>
        <w:t xml:space="preserve"> </w:t>
      </w:r>
    </w:p>
    <w:p w:rsidR="00044078" w:rsidRDefault="0097700F" w:rsidP="00926064">
      <w:pPr>
        <w:spacing w:after="120" w:line="259" w:lineRule="auto"/>
        <w:rPr>
          <w:rFonts w:cstheme="minorHAnsi"/>
          <w:color w:val="auto"/>
        </w:rPr>
      </w:pPr>
      <w:r w:rsidRPr="00502757">
        <w:rPr>
          <w:rFonts w:cstheme="minorHAnsi"/>
          <w:color w:val="auto"/>
        </w:rPr>
        <w:t xml:space="preserve">2018-19 was a strong year </w:t>
      </w:r>
      <w:r w:rsidR="00284ED0">
        <w:rPr>
          <w:rFonts w:cstheme="minorHAnsi"/>
          <w:color w:val="auto"/>
        </w:rPr>
        <w:t xml:space="preserve">for </w:t>
      </w:r>
      <w:r w:rsidRPr="00502757">
        <w:rPr>
          <w:rFonts w:cstheme="minorHAnsi"/>
          <w:color w:val="auto"/>
        </w:rPr>
        <w:t>Clea</w:t>
      </w:r>
      <w:r w:rsidR="00284ED0">
        <w:rPr>
          <w:rFonts w:cstheme="minorHAnsi"/>
          <w:color w:val="auto"/>
        </w:rPr>
        <w:t>ring for Results</w:t>
      </w:r>
      <w:r w:rsidR="003B1E82">
        <w:rPr>
          <w:rFonts w:cstheme="minorHAnsi"/>
          <w:color w:val="auto"/>
        </w:rPr>
        <w:t>. The landmine clearing benchmark target</w:t>
      </w:r>
      <w:r w:rsidRPr="00502757">
        <w:rPr>
          <w:rFonts w:cstheme="minorHAnsi"/>
          <w:color w:val="auto"/>
        </w:rPr>
        <w:t xml:space="preserve"> </w:t>
      </w:r>
      <w:r w:rsidR="003B1E82">
        <w:rPr>
          <w:rFonts w:cstheme="minorHAnsi"/>
          <w:color w:val="auto"/>
        </w:rPr>
        <w:t>of 6.67km</w:t>
      </w:r>
      <w:r w:rsidR="003B1E82" w:rsidRPr="005455D5">
        <w:rPr>
          <w:color w:val="auto"/>
          <w:vertAlign w:val="superscript"/>
        </w:rPr>
        <w:t>2</w:t>
      </w:r>
      <w:r w:rsidR="003B1E82">
        <w:rPr>
          <w:rFonts w:cstheme="minorHAnsi"/>
          <w:color w:val="auto"/>
        </w:rPr>
        <w:t xml:space="preserve"> </w:t>
      </w:r>
      <w:r w:rsidRPr="00502757">
        <w:rPr>
          <w:rFonts w:cstheme="minorHAnsi"/>
          <w:color w:val="auto"/>
        </w:rPr>
        <w:t>w</w:t>
      </w:r>
      <w:r w:rsidR="003B1E82">
        <w:rPr>
          <w:rFonts w:cstheme="minorHAnsi"/>
          <w:color w:val="auto"/>
        </w:rPr>
        <w:t>as easily</w:t>
      </w:r>
      <w:r w:rsidRPr="00502757">
        <w:rPr>
          <w:rFonts w:cstheme="minorHAnsi"/>
          <w:color w:val="auto"/>
        </w:rPr>
        <w:t xml:space="preserve"> exceeded</w:t>
      </w:r>
      <w:r w:rsidR="003B1E82">
        <w:rPr>
          <w:rFonts w:cstheme="minorHAnsi"/>
          <w:color w:val="auto"/>
        </w:rPr>
        <w:t>,</w:t>
      </w:r>
      <w:r w:rsidRPr="00502757">
        <w:rPr>
          <w:rFonts w:cstheme="minorHAnsi"/>
          <w:color w:val="auto"/>
        </w:rPr>
        <w:t xml:space="preserve"> with 12.47km</w:t>
      </w:r>
      <w:r w:rsidRPr="001D2ECD">
        <w:rPr>
          <w:rFonts w:cstheme="minorHAnsi"/>
          <w:color w:val="auto"/>
          <w:vertAlign w:val="superscript"/>
        </w:rPr>
        <w:t>2</w:t>
      </w:r>
      <w:r w:rsidRPr="00502757">
        <w:rPr>
          <w:rFonts w:cstheme="minorHAnsi"/>
          <w:color w:val="auto"/>
        </w:rPr>
        <w:t xml:space="preserve"> </w:t>
      </w:r>
      <w:r w:rsidR="00502757" w:rsidRPr="00502757">
        <w:rPr>
          <w:rFonts w:cstheme="minorHAnsi"/>
          <w:color w:val="auto"/>
        </w:rPr>
        <w:t xml:space="preserve">of land </w:t>
      </w:r>
      <w:r w:rsidRPr="00502757">
        <w:rPr>
          <w:rFonts w:cstheme="minorHAnsi"/>
          <w:color w:val="auto"/>
        </w:rPr>
        <w:t>cleared</w:t>
      </w:r>
      <w:r w:rsidR="003E1031">
        <w:rPr>
          <w:rFonts w:cstheme="minorHAnsi"/>
          <w:color w:val="auto"/>
        </w:rPr>
        <w:t xml:space="preserve"> in the provinces of Pailin, Battambang and Banteay Meanchey</w:t>
      </w:r>
      <w:r w:rsidRPr="00502757">
        <w:rPr>
          <w:rFonts w:cstheme="minorHAnsi"/>
          <w:color w:val="auto"/>
        </w:rPr>
        <w:t xml:space="preserve">. </w:t>
      </w:r>
      <w:r w:rsidR="00F5366A">
        <w:rPr>
          <w:rFonts w:cstheme="minorHAnsi"/>
          <w:color w:val="auto"/>
        </w:rPr>
        <w:t>11,689 households (</w:t>
      </w:r>
      <w:r w:rsidR="00F5366A" w:rsidRPr="00F5366A">
        <w:rPr>
          <w:rFonts w:cstheme="minorHAnsi"/>
          <w:color w:val="auto"/>
        </w:rPr>
        <w:t xml:space="preserve">59,141 people of which 30,003 </w:t>
      </w:r>
      <w:r w:rsidR="003E1031">
        <w:rPr>
          <w:rFonts w:cstheme="minorHAnsi"/>
          <w:color w:val="auto"/>
        </w:rPr>
        <w:t xml:space="preserve">are </w:t>
      </w:r>
      <w:r w:rsidR="00D7493A">
        <w:rPr>
          <w:rFonts w:cstheme="minorHAnsi"/>
          <w:color w:val="auto"/>
        </w:rPr>
        <w:t>female</w:t>
      </w:r>
      <w:r w:rsidR="00F5366A" w:rsidRPr="00F5366A">
        <w:rPr>
          <w:rFonts w:cstheme="minorHAnsi"/>
          <w:color w:val="auto"/>
        </w:rPr>
        <w:t xml:space="preserve"> and 976 people with</w:t>
      </w:r>
      <w:r w:rsidR="003E1031">
        <w:rPr>
          <w:rFonts w:cstheme="minorHAnsi"/>
          <w:color w:val="auto"/>
        </w:rPr>
        <w:t xml:space="preserve"> a</w:t>
      </w:r>
      <w:r w:rsidR="00F5366A" w:rsidRPr="00F5366A">
        <w:rPr>
          <w:rFonts w:cstheme="minorHAnsi"/>
          <w:color w:val="auto"/>
        </w:rPr>
        <w:t xml:space="preserve"> disabilit</w:t>
      </w:r>
      <w:r w:rsidR="003E1031">
        <w:rPr>
          <w:rFonts w:cstheme="minorHAnsi"/>
          <w:color w:val="auto"/>
        </w:rPr>
        <w:t>y</w:t>
      </w:r>
      <w:r w:rsidR="00F5366A" w:rsidRPr="00F5366A">
        <w:rPr>
          <w:rFonts w:cstheme="minorHAnsi"/>
          <w:color w:val="auto"/>
        </w:rPr>
        <w:t>) have benefitted from safe access to the land.</w:t>
      </w:r>
      <w:r w:rsidR="00F5366A" w:rsidRPr="00044078">
        <w:rPr>
          <w:rFonts w:cstheme="minorHAnsi"/>
          <w:color w:val="auto"/>
        </w:rPr>
        <w:t xml:space="preserve"> </w:t>
      </w:r>
      <w:r w:rsidR="003E1031">
        <w:rPr>
          <w:rFonts w:cstheme="minorHAnsi"/>
          <w:color w:val="auto"/>
        </w:rPr>
        <w:t xml:space="preserve">This </w:t>
      </w:r>
      <w:r w:rsidR="003E1031" w:rsidRPr="00926064">
        <w:rPr>
          <w:rFonts w:cstheme="minorHAnsi"/>
          <w:color w:val="auto"/>
        </w:rPr>
        <w:t xml:space="preserve">is part of Australia’s ongoing support </w:t>
      </w:r>
      <w:r w:rsidR="003E1031">
        <w:rPr>
          <w:rFonts w:cstheme="minorHAnsi"/>
          <w:color w:val="auto"/>
        </w:rPr>
        <w:t xml:space="preserve">assisting </w:t>
      </w:r>
      <w:r w:rsidR="003E1031" w:rsidRPr="00926064">
        <w:rPr>
          <w:rFonts w:cstheme="minorHAnsi"/>
          <w:color w:val="auto"/>
        </w:rPr>
        <w:t>Cambodia to recover from conflict.</w:t>
      </w:r>
    </w:p>
    <w:p w:rsidR="0097700F" w:rsidRPr="00502757" w:rsidRDefault="00044078" w:rsidP="00926064">
      <w:pPr>
        <w:spacing w:after="120" w:line="259" w:lineRule="auto"/>
        <w:rPr>
          <w:rFonts w:cstheme="minorHAnsi"/>
          <w:color w:val="auto"/>
        </w:rPr>
      </w:pPr>
      <w:r w:rsidRPr="00044078">
        <w:rPr>
          <w:rFonts w:cstheme="minorHAnsi"/>
          <w:color w:val="auto"/>
        </w:rPr>
        <w:t xml:space="preserve">The </w:t>
      </w:r>
      <w:r w:rsidR="00D7493A">
        <w:rPr>
          <w:rFonts w:cstheme="minorHAnsi"/>
          <w:color w:val="auto"/>
        </w:rPr>
        <w:t xml:space="preserve">Clearing for Results </w:t>
      </w:r>
      <w:r>
        <w:rPr>
          <w:rFonts w:cstheme="minorHAnsi"/>
          <w:color w:val="auto"/>
        </w:rPr>
        <w:t xml:space="preserve">program continued to emphasise the importance of women participants in mine action. The </w:t>
      </w:r>
      <w:r w:rsidRPr="00044078">
        <w:rPr>
          <w:rFonts w:cstheme="minorHAnsi"/>
          <w:color w:val="auto"/>
        </w:rPr>
        <w:t xml:space="preserve">proportion of female deminers working on the project increased, from 15.5 per cent in 2017 to 22 per cent in 2018 (413 female </w:t>
      </w:r>
      <w:r>
        <w:rPr>
          <w:rFonts w:cstheme="minorHAnsi"/>
          <w:color w:val="auto"/>
        </w:rPr>
        <w:t>deminers out of 1,875 in total).</w:t>
      </w:r>
      <w:r w:rsidR="003E1031">
        <w:rPr>
          <w:rFonts w:cstheme="minorHAnsi"/>
          <w:color w:val="auto"/>
        </w:rPr>
        <w:t xml:space="preserve"> </w:t>
      </w:r>
      <w:r w:rsidR="001D2ECD">
        <w:rPr>
          <w:rFonts w:cstheme="minorHAnsi"/>
          <w:color w:val="auto"/>
        </w:rPr>
        <w:t xml:space="preserve">The beneficiaries included female-headed households who were able to increase their incomes </w:t>
      </w:r>
      <w:r w:rsidR="0021236A">
        <w:rPr>
          <w:rFonts w:cstheme="minorHAnsi"/>
          <w:color w:val="auto"/>
        </w:rPr>
        <w:t xml:space="preserve">to support their families </w:t>
      </w:r>
      <w:r w:rsidR="001D2ECD">
        <w:rPr>
          <w:rFonts w:cstheme="minorHAnsi"/>
          <w:color w:val="auto"/>
        </w:rPr>
        <w:t>through expanding cultivation on cleared land.</w:t>
      </w:r>
    </w:p>
    <w:p w:rsidR="0097700F" w:rsidRPr="00502757" w:rsidRDefault="008A7467" w:rsidP="008D6269">
      <w:pPr>
        <w:spacing w:after="120" w:line="259" w:lineRule="auto"/>
        <w:rPr>
          <w:rFonts w:cstheme="minorHAnsi"/>
          <w:color w:val="auto"/>
        </w:rPr>
      </w:pPr>
      <w:r>
        <w:rPr>
          <w:rFonts w:cstheme="minorHAnsi"/>
          <w:color w:val="auto"/>
        </w:rPr>
        <w:t>The UNDP’s technical assistance supported the</w:t>
      </w:r>
      <w:r w:rsidDel="008A7467">
        <w:rPr>
          <w:rFonts w:cstheme="minorHAnsi"/>
          <w:color w:val="auto"/>
        </w:rPr>
        <w:t xml:space="preserve"> </w:t>
      </w:r>
      <w:r w:rsidR="0097700F" w:rsidRPr="00502757">
        <w:rPr>
          <w:rFonts w:cstheme="minorHAnsi"/>
          <w:color w:val="auto"/>
        </w:rPr>
        <w:t>C</w:t>
      </w:r>
      <w:r w:rsidR="00502757" w:rsidRPr="00502757">
        <w:rPr>
          <w:rFonts w:cstheme="minorHAnsi"/>
          <w:color w:val="auto"/>
        </w:rPr>
        <w:t>ambodian Mine Action an</w:t>
      </w:r>
      <w:r w:rsidR="00284ED0">
        <w:rPr>
          <w:rFonts w:cstheme="minorHAnsi"/>
          <w:color w:val="auto"/>
        </w:rPr>
        <w:t>d Victim Assistance Authority</w:t>
      </w:r>
      <w:r w:rsidR="00F92427">
        <w:rPr>
          <w:rFonts w:cstheme="minorHAnsi"/>
          <w:color w:val="auto"/>
        </w:rPr>
        <w:t xml:space="preserve"> (CMAA)</w:t>
      </w:r>
      <w:r w:rsidR="00284ED0">
        <w:rPr>
          <w:rFonts w:cstheme="minorHAnsi"/>
          <w:color w:val="auto"/>
        </w:rPr>
        <w:t xml:space="preserve"> </w:t>
      </w:r>
      <w:r>
        <w:rPr>
          <w:rFonts w:cstheme="minorHAnsi"/>
          <w:color w:val="auto"/>
        </w:rPr>
        <w:t xml:space="preserve">to </w:t>
      </w:r>
      <w:r w:rsidR="006728DA">
        <w:rPr>
          <w:rFonts w:cstheme="minorHAnsi"/>
          <w:color w:val="auto"/>
        </w:rPr>
        <w:t>implement</w:t>
      </w:r>
      <w:r w:rsidR="00502757" w:rsidRPr="00502757">
        <w:rPr>
          <w:rFonts w:cstheme="minorHAnsi"/>
          <w:color w:val="auto"/>
        </w:rPr>
        <w:t xml:space="preserve"> the </w:t>
      </w:r>
      <w:r w:rsidR="0097700F" w:rsidRPr="00502757">
        <w:rPr>
          <w:rFonts w:cstheme="minorHAnsi"/>
          <w:color w:val="auto"/>
        </w:rPr>
        <w:t xml:space="preserve">National Mine Action Strategy </w:t>
      </w:r>
      <w:r w:rsidR="0008484C">
        <w:rPr>
          <w:rFonts w:cstheme="minorHAnsi"/>
          <w:color w:val="auto"/>
        </w:rPr>
        <w:t>(2018-2025)</w:t>
      </w:r>
      <w:r w:rsidR="0097700F" w:rsidRPr="00502757">
        <w:rPr>
          <w:rFonts w:cstheme="minorHAnsi"/>
          <w:color w:val="auto"/>
        </w:rPr>
        <w:t xml:space="preserve"> </w:t>
      </w:r>
      <w:r w:rsidR="00F5366A">
        <w:rPr>
          <w:rFonts w:cstheme="minorHAnsi"/>
          <w:color w:val="auto"/>
        </w:rPr>
        <w:t>and</w:t>
      </w:r>
      <w:r w:rsidR="0008484C">
        <w:rPr>
          <w:rFonts w:cstheme="minorHAnsi"/>
          <w:color w:val="auto"/>
        </w:rPr>
        <w:t xml:space="preserve"> </w:t>
      </w:r>
      <w:r w:rsidR="006728DA">
        <w:rPr>
          <w:rFonts w:cstheme="minorHAnsi"/>
          <w:color w:val="auto"/>
        </w:rPr>
        <w:t>develop</w:t>
      </w:r>
      <w:r>
        <w:rPr>
          <w:rFonts w:cstheme="minorHAnsi"/>
          <w:color w:val="auto"/>
        </w:rPr>
        <w:t xml:space="preserve"> a</w:t>
      </w:r>
      <w:r w:rsidR="006728DA">
        <w:rPr>
          <w:rFonts w:cstheme="minorHAnsi"/>
          <w:color w:val="auto"/>
        </w:rPr>
        <w:t xml:space="preserve"> </w:t>
      </w:r>
      <w:r w:rsidR="0097700F" w:rsidRPr="00502757">
        <w:rPr>
          <w:rFonts w:cstheme="minorHAnsi"/>
          <w:color w:val="auto"/>
        </w:rPr>
        <w:t>Performance Monitoring System</w:t>
      </w:r>
      <w:r>
        <w:rPr>
          <w:rFonts w:cstheme="minorHAnsi"/>
          <w:color w:val="auto"/>
        </w:rPr>
        <w:t>, which includ</w:t>
      </w:r>
      <w:r w:rsidR="00F92427">
        <w:rPr>
          <w:rFonts w:cstheme="minorHAnsi"/>
          <w:color w:val="auto"/>
        </w:rPr>
        <w:t>ed</w:t>
      </w:r>
      <w:r>
        <w:rPr>
          <w:rFonts w:cstheme="minorHAnsi"/>
          <w:color w:val="auto"/>
        </w:rPr>
        <w:t xml:space="preserve"> an improved central database that the CMAA can use to direct mine clearance resources to priority areas (towards the goal of making Cambodia mine-free)</w:t>
      </w:r>
      <w:r w:rsidR="0097700F" w:rsidRPr="00502757">
        <w:rPr>
          <w:rFonts w:cstheme="minorHAnsi"/>
          <w:color w:val="auto"/>
        </w:rPr>
        <w:t xml:space="preserve">. </w:t>
      </w:r>
      <w:r w:rsidR="008D6269">
        <w:rPr>
          <w:rFonts w:cstheme="minorHAnsi"/>
          <w:color w:val="auto"/>
        </w:rPr>
        <w:t xml:space="preserve">The </w:t>
      </w:r>
      <w:r w:rsidR="006728DA">
        <w:rPr>
          <w:rFonts w:cstheme="minorHAnsi"/>
          <w:color w:val="auto"/>
        </w:rPr>
        <w:t>Cambodian Government</w:t>
      </w:r>
      <w:r w:rsidR="008D6269">
        <w:rPr>
          <w:rFonts w:cstheme="minorHAnsi"/>
          <w:color w:val="auto"/>
        </w:rPr>
        <w:t xml:space="preserve"> also developed a second extension request under Article 5 of the Anti-Personnel Mine Ban Convention for clearance by 2025, with support from the project. </w:t>
      </w:r>
      <w:r w:rsidR="00D7493A">
        <w:rPr>
          <w:rFonts w:cstheme="minorHAnsi"/>
          <w:color w:val="auto"/>
        </w:rPr>
        <w:t>T</w:t>
      </w:r>
      <w:r w:rsidR="003E1031">
        <w:rPr>
          <w:rFonts w:cstheme="minorHAnsi"/>
          <w:color w:val="auto"/>
        </w:rPr>
        <w:t xml:space="preserve">he </w:t>
      </w:r>
      <w:r w:rsidR="006728DA">
        <w:rPr>
          <w:rFonts w:cstheme="minorHAnsi"/>
          <w:color w:val="auto"/>
        </w:rPr>
        <w:t>Cambodian Government</w:t>
      </w:r>
      <w:r w:rsidR="003E1031">
        <w:rPr>
          <w:rFonts w:cstheme="minorHAnsi"/>
          <w:color w:val="auto"/>
        </w:rPr>
        <w:t>’s</w:t>
      </w:r>
      <w:r w:rsidR="00502757" w:rsidRPr="00502757">
        <w:rPr>
          <w:rFonts w:cstheme="minorHAnsi"/>
          <w:color w:val="auto"/>
        </w:rPr>
        <w:t xml:space="preserve"> </w:t>
      </w:r>
      <w:r w:rsidR="00465CCD">
        <w:rPr>
          <w:rFonts w:cstheme="minorHAnsi"/>
          <w:color w:val="auto"/>
        </w:rPr>
        <w:t>agreement</w:t>
      </w:r>
      <w:r w:rsidR="00D7493A">
        <w:rPr>
          <w:rFonts w:cstheme="minorHAnsi"/>
          <w:color w:val="auto"/>
        </w:rPr>
        <w:t xml:space="preserve"> to contribute ten</w:t>
      </w:r>
      <w:r w:rsidR="0097700F" w:rsidRPr="00502757">
        <w:rPr>
          <w:rFonts w:cstheme="minorHAnsi"/>
          <w:color w:val="auto"/>
        </w:rPr>
        <w:t xml:space="preserve"> per cent of </w:t>
      </w:r>
      <w:r w:rsidR="003E1031">
        <w:rPr>
          <w:rFonts w:cstheme="minorHAnsi"/>
          <w:color w:val="auto"/>
        </w:rPr>
        <w:t>the</w:t>
      </w:r>
      <w:r w:rsidR="001D2ECD" w:rsidRPr="001D2ECD">
        <w:rPr>
          <w:rFonts w:cstheme="minorHAnsi"/>
          <w:color w:val="auto"/>
        </w:rPr>
        <w:t xml:space="preserve"> </w:t>
      </w:r>
      <w:r w:rsidR="001D2ECD" w:rsidRPr="00502757">
        <w:rPr>
          <w:rFonts w:cstheme="minorHAnsi"/>
          <w:color w:val="auto"/>
        </w:rPr>
        <w:t>cost</w:t>
      </w:r>
      <w:r w:rsidR="001D2ECD">
        <w:rPr>
          <w:rFonts w:cstheme="minorHAnsi"/>
          <w:color w:val="auto"/>
        </w:rPr>
        <w:t xml:space="preserve"> of the Clearing for Results project</w:t>
      </w:r>
      <w:r w:rsidR="00D7493A">
        <w:rPr>
          <w:rFonts w:cstheme="minorHAnsi"/>
          <w:color w:val="auto"/>
        </w:rPr>
        <w:t xml:space="preserve"> was</w:t>
      </w:r>
      <w:r w:rsidR="00D7493A" w:rsidRPr="00502757">
        <w:rPr>
          <w:rFonts w:cstheme="minorHAnsi"/>
          <w:color w:val="auto"/>
        </w:rPr>
        <w:t xml:space="preserve"> significant </w:t>
      </w:r>
      <w:r w:rsidR="00D7493A">
        <w:rPr>
          <w:rFonts w:cstheme="minorHAnsi"/>
          <w:color w:val="auto"/>
        </w:rPr>
        <w:t xml:space="preserve">development in terms of increasing national responsibility. </w:t>
      </w:r>
    </w:p>
    <w:p w:rsidR="0097700F" w:rsidRPr="00EC07BA" w:rsidRDefault="00EC07BA" w:rsidP="00EC07BA">
      <w:pPr>
        <w:spacing w:before="240"/>
        <w:rPr>
          <w:rFonts w:asciiTheme="majorHAnsi" w:eastAsiaTheme="majorEastAsia" w:hAnsiTheme="majorHAnsi" w:cstheme="majorBidi"/>
          <w:caps/>
          <w:sz w:val="32"/>
          <w:szCs w:val="32"/>
        </w:rPr>
      </w:pPr>
      <w:r>
        <w:rPr>
          <w:rFonts w:asciiTheme="majorHAnsi" w:eastAsiaTheme="majorEastAsia" w:hAnsiTheme="majorHAnsi" w:cstheme="majorBidi"/>
          <w:caps/>
          <w:sz w:val="32"/>
          <w:szCs w:val="32"/>
        </w:rPr>
        <w:t>Objective 3</w:t>
      </w:r>
      <w:r w:rsidRPr="00EC07BA">
        <w:rPr>
          <w:rFonts w:asciiTheme="majorHAnsi" w:eastAsiaTheme="majorEastAsia" w:hAnsiTheme="majorHAnsi" w:cstheme="majorBidi"/>
          <w:caps/>
          <w:sz w:val="32"/>
          <w:szCs w:val="32"/>
        </w:rPr>
        <w:t xml:space="preserve">, </w:t>
      </w:r>
      <w:r w:rsidR="0097700F" w:rsidRPr="00EC07BA">
        <w:rPr>
          <w:rFonts w:asciiTheme="majorHAnsi" w:eastAsiaTheme="majorEastAsia" w:hAnsiTheme="majorHAnsi" w:cstheme="majorBidi"/>
          <w:caps/>
          <w:sz w:val="32"/>
          <w:szCs w:val="32"/>
        </w:rPr>
        <w:t xml:space="preserve">Better health and education </w:t>
      </w:r>
    </w:p>
    <w:p w:rsidR="00D3177A" w:rsidRDefault="00D3177A" w:rsidP="0097700F">
      <w:pPr>
        <w:spacing w:after="120" w:line="259" w:lineRule="auto"/>
      </w:pPr>
      <w:r w:rsidRPr="00280CC1">
        <w:rPr>
          <w:rFonts w:asciiTheme="majorHAnsi" w:eastAsiaTheme="majorEastAsia" w:hAnsiTheme="majorHAnsi" w:cstheme="majorBidi"/>
          <w:caps/>
          <w:noProof/>
          <w:sz w:val="38"/>
          <w:szCs w:val="26"/>
          <w:lang w:val="en-AU" w:eastAsia="en-AU"/>
        </w:rPr>
        <w:lastRenderedPageBreak/>
        <w:drawing>
          <wp:inline distT="0" distB="0" distL="0" distR="0" wp14:anchorId="5ECF6A97" wp14:editId="5638FFD7">
            <wp:extent cx="1137600" cy="720000"/>
            <wp:effectExtent l="0" t="0" r="5715" b="4445"/>
            <wp:docPr id="15" name="Picture 15" title="Sustainable developmetn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tab/>
      </w:r>
      <w:r>
        <w:rPr>
          <w:noProof/>
          <w:lang w:val="en-AU" w:eastAsia="en-AU"/>
        </w:rPr>
        <w:drawing>
          <wp:inline distT="0" distB="0" distL="0" distR="0" wp14:anchorId="63BBC4E7" wp14:editId="357DBE0A">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tab/>
      </w:r>
      <w:r>
        <w:rPr>
          <w:noProof/>
          <w:lang w:val="en-AU" w:eastAsia="en-AU"/>
        </w:rPr>
        <w:drawing>
          <wp:inline distT="0" distB="0" distL="0" distR="0" wp14:anchorId="33F06398" wp14:editId="28298F85">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tab/>
      </w:r>
      <w:r>
        <w:rPr>
          <w:noProof/>
          <w:lang w:val="en-AU" w:eastAsia="en-AU"/>
        </w:rPr>
        <w:drawing>
          <wp:inline distT="0" distB="0" distL="0" distR="0" wp14:anchorId="5D7397DD" wp14:editId="3695DC1E">
            <wp:extent cx="612000" cy="612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rsidR="0097700F" w:rsidRPr="006C7C30" w:rsidRDefault="0097700F" w:rsidP="0097700F">
      <w:pPr>
        <w:spacing w:after="120" w:line="259" w:lineRule="auto"/>
        <w:rPr>
          <w:rFonts w:cstheme="minorHAnsi"/>
          <w:color w:val="auto"/>
        </w:rPr>
      </w:pPr>
      <w:r w:rsidRPr="006C7C30">
        <w:rPr>
          <w:rFonts w:cstheme="minorHAnsi"/>
          <w:color w:val="auto"/>
        </w:rPr>
        <w:t>The health and education portfolio activities continue</w:t>
      </w:r>
      <w:r w:rsidR="00D7493A">
        <w:rPr>
          <w:rFonts w:cstheme="minorHAnsi"/>
          <w:color w:val="auto"/>
        </w:rPr>
        <w:t>d</w:t>
      </w:r>
      <w:r w:rsidRPr="006C7C30">
        <w:rPr>
          <w:rFonts w:cstheme="minorHAnsi"/>
          <w:color w:val="auto"/>
        </w:rPr>
        <w:t xml:space="preserve"> to perform well and progress against this objective is </w:t>
      </w:r>
      <w:r w:rsidR="006C7C30" w:rsidRPr="006C7C30">
        <w:rPr>
          <w:rFonts w:cstheme="minorHAnsi"/>
          <w:color w:val="auto"/>
        </w:rPr>
        <w:t xml:space="preserve">rated </w:t>
      </w:r>
      <w:r w:rsidRPr="006C7C30">
        <w:rPr>
          <w:rFonts w:cstheme="minorHAnsi"/>
          <w:color w:val="auto"/>
        </w:rPr>
        <w:t>green for 2018-19.</w:t>
      </w:r>
      <w:r w:rsidR="00BB4594">
        <w:rPr>
          <w:rFonts w:cstheme="minorHAnsi"/>
          <w:color w:val="auto"/>
        </w:rPr>
        <w:t xml:space="preserve"> </w:t>
      </w:r>
      <w:r w:rsidR="00F749B6">
        <w:rPr>
          <w:rFonts w:cstheme="minorHAnsi"/>
          <w:color w:val="auto"/>
        </w:rPr>
        <w:t xml:space="preserve">Programs of support have achieved their </w:t>
      </w:r>
      <w:r w:rsidR="00F749B6" w:rsidRPr="00AE2709">
        <w:rPr>
          <w:rFonts w:cstheme="minorHAnsi"/>
          <w:color w:val="auto"/>
        </w:rPr>
        <w:t xml:space="preserve">major outputs and targets for 2018-19 and are largely on track to achieve their outcomes. </w:t>
      </w:r>
    </w:p>
    <w:p w:rsidR="0052005B" w:rsidRPr="0052005B" w:rsidRDefault="0052005B" w:rsidP="00140940">
      <w:pPr>
        <w:spacing w:after="120" w:line="259" w:lineRule="auto"/>
        <w:rPr>
          <w:rFonts w:cstheme="minorHAnsi"/>
          <w:i/>
          <w:color w:val="auto"/>
        </w:rPr>
      </w:pPr>
      <w:r w:rsidRPr="0052005B">
        <w:rPr>
          <w:rFonts w:cstheme="minorHAnsi"/>
          <w:i/>
          <w:color w:val="auto"/>
        </w:rPr>
        <w:t>Health</w:t>
      </w:r>
    </w:p>
    <w:p w:rsidR="00315B0C" w:rsidRDefault="00D7493A" w:rsidP="00140940">
      <w:pPr>
        <w:spacing w:after="120" w:line="259" w:lineRule="auto"/>
        <w:rPr>
          <w:rFonts w:cstheme="minorHAnsi"/>
          <w:color w:val="auto"/>
        </w:rPr>
      </w:pPr>
      <w:r>
        <w:rPr>
          <w:rFonts w:cstheme="minorHAnsi"/>
          <w:color w:val="auto"/>
        </w:rPr>
        <w:t xml:space="preserve">Australia </w:t>
      </w:r>
      <w:r w:rsidR="001339D2" w:rsidRPr="00BB4594">
        <w:rPr>
          <w:rFonts w:cstheme="minorHAnsi"/>
          <w:color w:val="auto"/>
        </w:rPr>
        <w:t>continu</w:t>
      </w:r>
      <w:r>
        <w:rPr>
          <w:rFonts w:cstheme="minorHAnsi"/>
          <w:color w:val="auto"/>
        </w:rPr>
        <w:t>ed</w:t>
      </w:r>
      <w:r w:rsidR="001339D2" w:rsidRPr="00BB4594">
        <w:rPr>
          <w:rFonts w:cstheme="minorHAnsi"/>
          <w:color w:val="auto"/>
        </w:rPr>
        <w:t xml:space="preserve"> its long-standing engagement in the health sector in Cambodia through the Health Equity and Quality Improvement Project </w:t>
      </w:r>
      <w:r w:rsidR="00C02422">
        <w:rPr>
          <w:rFonts w:cstheme="minorHAnsi"/>
          <w:color w:val="auto"/>
        </w:rPr>
        <w:t>(</w:t>
      </w:r>
      <w:r w:rsidR="00F02F42">
        <w:rPr>
          <w:rFonts w:cstheme="minorHAnsi"/>
          <w:color w:val="auto"/>
        </w:rPr>
        <w:t>H-EQIP, $50 million, 2016-21). H-EQIP is</w:t>
      </w:r>
      <w:r w:rsidR="001339D2" w:rsidRPr="00BB4594">
        <w:rPr>
          <w:rFonts w:cstheme="minorHAnsi"/>
          <w:color w:val="auto"/>
        </w:rPr>
        <w:t xml:space="preserve"> </w:t>
      </w:r>
      <w:r w:rsidR="003166C9">
        <w:rPr>
          <w:rFonts w:cstheme="minorHAnsi"/>
          <w:color w:val="auto"/>
        </w:rPr>
        <w:t xml:space="preserve">a </w:t>
      </w:r>
      <w:r w:rsidR="00140940" w:rsidRPr="00BB4594">
        <w:rPr>
          <w:rFonts w:cstheme="minorHAnsi"/>
          <w:color w:val="auto"/>
        </w:rPr>
        <w:t xml:space="preserve">World Bank-led multi donor </w:t>
      </w:r>
      <w:r w:rsidR="00315B0C" w:rsidRPr="00BB4594">
        <w:rPr>
          <w:rFonts w:cstheme="minorHAnsi"/>
          <w:color w:val="auto"/>
        </w:rPr>
        <w:t>health financing program assist</w:t>
      </w:r>
      <w:r w:rsidR="00090A15">
        <w:rPr>
          <w:rFonts w:cstheme="minorHAnsi"/>
          <w:color w:val="auto"/>
        </w:rPr>
        <w:t>ing</w:t>
      </w:r>
      <w:r w:rsidR="00315B0C" w:rsidRPr="00BB4594">
        <w:rPr>
          <w:rFonts w:cstheme="minorHAnsi"/>
          <w:color w:val="auto"/>
        </w:rPr>
        <w:t xml:space="preserve"> the Cambodian Government </w:t>
      </w:r>
      <w:r w:rsidR="00090A15">
        <w:rPr>
          <w:rFonts w:cstheme="minorHAnsi"/>
          <w:color w:val="auto"/>
        </w:rPr>
        <w:t xml:space="preserve">to </w:t>
      </w:r>
      <w:r w:rsidR="00315B0C" w:rsidRPr="00BB4594">
        <w:rPr>
          <w:rFonts w:cstheme="minorHAnsi"/>
          <w:color w:val="auto"/>
        </w:rPr>
        <w:t xml:space="preserve">deliver </w:t>
      </w:r>
      <w:r w:rsidR="00287150">
        <w:rPr>
          <w:rFonts w:cstheme="minorHAnsi"/>
          <w:color w:val="auto"/>
        </w:rPr>
        <w:t>subsidised</w:t>
      </w:r>
      <w:r w:rsidR="00287150" w:rsidRPr="00BB4594">
        <w:rPr>
          <w:rFonts w:cstheme="minorHAnsi"/>
          <w:color w:val="auto"/>
        </w:rPr>
        <w:t xml:space="preserve"> </w:t>
      </w:r>
      <w:r w:rsidR="00315B0C" w:rsidRPr="00BB4594">
        <w:rPr>
          <w:rFonts w:cstheme="minorHAnsi"/>
          <w:color w:val="auto"/>
        </w:rPr>
        <w:t xml:space="preserve">health care to the poorest households and </w:t>
      </w:r>
      <w:r w:rsidR="00287150">
        <w:rPr>
          <w:rFonts w:cstheme="minorHAnsi"/>
          <w:color w:val="auto"/>
        </w:rPr>
        <w:t>improve the quality of services at</w:t>
      </w:r>
      <w:r w:rsidR="00315B0C" w:rsidRPr="00BB4594">
        <w:rPr>
          <w:rFonts w:cstheme="minorHAnsi"/>
          <w:color w:val="auto"/>
        </w:rPr>
        <w:t xml:space="preserve"> local healthcare providers</w:t>
      </w:r>
      <w:r w:rsidR="001339D2" w:rsidRPr="00BB4594">
        <w:rPr>
          <w:rFonts w:cstheme="minorHAnsi"/>
          <w:color w:val="auto"/>
        </w:rPr>
        <w:t xml:space="preserve">. </w:t>
      </w:r>
      <w:r w:rsidR="00315B0C" w:rsidRPr="00BB4594">
        <w:rPr>
          <w:rFonts w:cstheme="minorHAnsi"/>
          <w:color w:val="auto"/>
        </w:rPr>
        <w:t xml:space="preserve"> </w:t>
      </w:r>
    </w:p>
    <w:p w:rsidR="0097700F" w:rsidRDefault="0097700F" w:rsidP="00BB4594">
      <w:pPr>
        <w:spacing w:after="120" w:line="259" w:lineRule="auto"/>
        <w:rPr>
          <w:rFonts w:cstheme="minorHAnsi"/>
          <w:color w:val="auto"/>
        </w:rPr>
      </w:pPr>
      <w:r w:rsidRPr="00BB4594">
        <w:rPr>
          <w:rFonts w:cstheme="minorHAnsi"/>
          <w:color w:val="auto"/>
        </w:rPr>
        <w:t>I</w:t>
      </w:r>
      <w:r w:rsidR="00BB00F4">
        <w:rPr>
          <w:rFonts w:cstheme="minorHAnsi"/>
          <w:color w:val="auto"/>
        </w:rPr>
        <w:t>n 2018-19, i</w:t>
      </w:r>
      <w:r w:rsidRPr="00BB4594">
        <w:rPr>
          <w:rFonts w:cstheme="minorHAnsi"/>
          <w:color w:val="auto"/>
        </w:rPr>
        <w:t xml:space="preserve">nstitutional reforms </w:t>
      </w:r>
      <w:r w:rsidR="00BB00F4">
        <w:rPr>
          <w:rFonts w:cstheme="minorHAnsi"/>
          <w:color w:val="auto"/>
        </w:rPr>
        <w:t>we</w:t>
      </w:r>
      <w:r w:rsidRPr="00BB4594">
        <w:rPr>
          <w:rFonts w:cstheme="minorHAnsi"/>
          <w:color w:val="auto"/>
        </w:rPr>
        <w:t xml:space="preserve">re in place, and there </w:t>
      </w:r>
      <w:r w:rsidR="00BB00F4">
        <w:rPr>
          <w:rFonts w:cstheme="minorHAnsi"/>
          <w:color w:val="auto"/>
        </w:rPr>
        <w:t>we</w:t>
      </w:r>
      <w:r w:rsidRPr="00BB4594">
        <w:rPr>
          <w:rFonts w:cstheme="minorHAnsi"/>
          <w:color w:val="auto"/>
        </w:rPr>
        <w:t xml:space="preserve">re some </w:t>
      </w:r>
      <w:r w:rsidR="00826B5E">
        <w:rPr>
          <w:rFonts w:cstheme="minorHAnsi"/>
          <w:color w:val="auto"/>
        </w:rPr>
        <w:t xml:space="preserve">early signs of positive results. </w:t>
      </w:r>
      <w:r w:rsidRPr="00BB4594">
        <w:rPr>
          <w:rFonts w:cstheme="minorHAnsi"/>
          <w:color w:val="auto"/>
        </w:rPr>
        <w:t xml:space="preserve">The new Payment Certification Agency </w:t>
      </w:r>
      <w:r w:rsidR="00BB4594">
        <w:rPr>
          <w:rFonts w:cstheme="minorHAnsi"/>
          <w:color w:val="auto"/>
        </w:rPr>
        <w:t xml:space="preserve">(PCA) </w:t>
      </w:r>
      <w:r w:rsidRPr="00BB4594">
        <w:rPr>
          <w:rFonts w:cstheme="minorHAnsi"/>
          <w:color w:val="auto"/>
        </w:rPr>
        <w:t>enabled the government to take over ‘check and balance’ functions previously funded and operated by international partners. This include</w:t>
      </w:r>
      <w:r w:rsidR="00BB00F4">
        <w:rPr>
          <w:rFonts w:cstheme="minorHAnsi"/>
          <w:color w:val="auto"/>
        </w:rPr>
        <w:t>s</w:t>
      </w:r>
      <w:r w:rsidRPr="00BB4594">
        <w:rPr>
          <w:rFonts w:cstheme="minorHAnsi"/>
          <w:color w:val="auto"/>
        </w:rPr>
        <w:t xml:space="preserve"> managing a locally-</w:t>
      </w:r>
      <w:r w:rsidR="00CA6E60">
        <w:rPr>
          <w:rFonts w:cstheme="minorHAnsi"/>
          <w:color w:val="auto"/>
        </w:rPr>
        <w:t>developed</w:t>
      </w:r>
      <w:r w:rsidR="00CA6E60" w:rsidRPr="00BB4594">
        <w:rPr>
          <w:rFonts w:cstheme="minorHAnsi"/>
          <w:color w:val="auto"/>
        </w:rPr>
        <w:t xml:space="preserve"> </w:t>
      </w:r>
      <w:r w:rsidRPr="00BB4594">
        <w:rPr>
          <w:rFonts w:cstheme="minorHAnsi"/>
          <w:color w:val="auto"/>
        </w:rPr>
        <w:t xml:space="preserve">electronic </w:t>
      </w:r>
      <w:r w:rsidR="003166C9">
        <w:rPr>
          <w:rFonts w:cstheme="minorHAnsi"/>
          <w:color w:val="auto"/>
        </w:rPr>
        <w:t>P</w:t>
      </w:r>
      <w:r w:rsidRPr="00BB4594">
        <w:rPr>
          <w:rFonts w:cstheme="minorHAnsi"/>
          <w:color w:val="auto"/>
        </w:rPr>
        <w:t>atient</w:t>
      </w:r>
      <w:r w:rsidR="00774B39">
        <w:rPr>
          <w:rFonts w:cstheme="minorHAnsi"/>
          <w:color w:val="auto"/>
        </w:rPr>
        <w:t xml:space="preserve"> </w:t>
      </w:r>
      <w:r w:rsidR="003166C9">
        <w:rPr>
          <w:rFonts w:cstheme="minorHAnsi"/>
          <w:color w:val="auto"/>
        </w:rPr>
        <w:t>M</w:t>
      </w:r>
      <w:r w:rsidRPr="00BB4594">
        <w:rPr>
          <w:rFonts w:cstheme="minorHAnsi"/>
          <w:color w:val="auto"/>
        </w:rPr>
        <w:t xml:space="preserve">anagement </w:t>
      </w:r>
      <w:r w:rsidR="003166C9">
        <w:rPr>
          <w:rFonts w:cstheme="minorHAnsi"/>
          <w:color w:val="auto"/>
        </w:rPr>
        <w:t>and R</w:t>
      </w:r>
      <w:r w:rsidR="003166C9" w:rsidRPr="00BB4594">
        <w:rPr>
          <w:rFonts w:cstheme="minorHAnsi"/>
          <w:color w:val="auto"/>
        </w:rPr>
        <w:t xml:space="preserve">ecords </w:t>
      </w:r>
      <w:r w:rsidR="003166C9">
        <w:rPr>
          <w:rFonts w:cstheme="minorHAnsi"/>
          <w:color w:val="auto"/>
        </w:rPr>
        <w:t>S</w:t>
      </w:r>
      <w:r w:rsidRPr="00BB4594">
        <w:rPr>
          <w:rFonts w:cstheme="minorHAnsi"/>
          <w:color w:val="auto"/>
        </w:rPr>
        <w:t>ystem</w:t>
      </w:r>
      <w:r w:rsidR="00774B39">
        <w:rPr>
          <w:rFonts w:cstheme="minorHAnsi"/>
          <w:color w:val="auto"/>
        </w:rPr>
        <w:t xml:space="preserve"> </w:t>
      </w:r>
      <w:r w:rsidRPr="00BB4594">
        <w:rPr>
          <w:rFonts w:cstheme="minorHAnsi"/>
          <w:color w:val="auto"/>
        </w:rPr>
        <w:t xml:space="preserve">and verifying payments to </w:t>
      </w:r>
      <w:r w:rsidR="00287150">
        <w:rPr>
          <w:rFonts w:cstheme="minorHAnsi"/>
          <w:color w:val="auto"/>
        </w:rPr>
        <w:t xml:space="preserve">the </w:t>
      </w:r>
      <w:r w:rsidRPr="00BB4594">
        <w:rPr>
          <w:rFonts w:cstheme="minorHAnsi"/>
          <w:color w:val="auto"/>
        </w:rPr>
        <w:t>1,300 health facilities</w:t>
      </w:r>
      <w:r w:rsidR="00287150">
        <w:rPr>
          <w:rFonts w:cstheme="minorHAnsi"/>
          <w:color w:val="auto"/>
        </w:rPr>
        <w:t xml:space="preserve"> nation-wide</w:t>
      </w:r>
      <w:r w:rsidRPr="00BB4594">
        <w:rPr>
          <w:rFonts w:cstheme="minorHAnsi"/>
          <w:color w:val="auto"/>
        </w:rPr>
        <w:t xml:space="preserve"> to reimburse the cost of providing services to approximately 2.</w:t>
      </w:r>
      <w:r w:rsidR="00090A15">
        <w:rPr>
          <w:rFonts w:cstheme="minorHAnsi"/>
          <w:color w:val="auto"/>
        </w:rPr>
        <w:t>4</w:t>
      </w:r>
      <w:r w:rsidRPr="00BB4594">
        <w:rPr>
          <w:rFonts w:cstheme="minorHAnsi"/>
          <w:color w:val="auto"/>
        </w:rPr>
        <w:t xml:space="preserve"> million poor Cambodians</w:t>
      </w:r>
      <w:r w:rsidR="00E32530">
        <w:rPr>
          <w:rFonts w:cstheme="minorHAnsi"/>
          <w:color w:val="auto"/>
        </w:rPr>
        <w:t xml:space="preserve"> (more than 15 percent of the population)</w:t>
      </w:r>
      <w:r w:rsidRPr="00BB4594">
        <w:rPr>
          <w:rFonts w:cstheme="minorHAnsi"/>
          <w:color w:val="auto"/>
        </w:rPr>
        <w:t>. It also independently verifies performance-bas</w:t>
      </w:r>
      <w:r w:rsidR="00BB4594">
        <w:rPr>
          <w:rFonts w:cstheme="minorHAnsi"/>
          <w:color w:val="auto"/>
        </w:rPr>
        <w:t>ed payments paid directly from the Ministry of Economy and Finance</w:t>
      </w:r>
      <w:r w:rsidRPr="00BB4594">
        <w:rPr>
          <w:rFonts w:cstheme="minorHAnsi"/>
          <w:color w:val="auto"/>
        </w:rPr>
        <w:t xml:space="preserve"> to health facilities via commercial banks nation-wide</w:t>
      </w:r>
      <w:r w:rsidR="00BB4594">
        <w:rPr>
          <w:rFonts w:cstheme="minorHAnsi"/>
          <w:color w:val="auto"/>
        </w:rPr>
        <w:t xml:space="preserve">. This </w:t>
      </w:r>
      <w:r w:rsidR="00826B5E">
        <w:rPr>
          <w:rFonts w:cstheme="minorHAnsi"/>
          <w:color w:val="auto"/>
        </w:rPr>
        <w:t>has reduced</w:t>
      </w:r>
      <w:r w:rsidR="00BB4594">
        <w:rPr>
          <w:rFonts w:cstheme="minorHAnsi"/>
          <w:color w:val="auto"/>
        </w:rPr>
        <w:t xml:space="preserve"> opportunities for leakage</w:t>
      </w:r>
      <w:r w:rsidR="00774B39">
        <w:rPr>
          <w:rFonts w:cstheme="minorHAnsi"/>
          <w:color w:val="auto"/>
        </w:rPr>
        <w:t xml:space="preserve"> and</w:t>
      </w:r>
      <w:r w:rsidR="00090A15">
        <w:rPr>
          <w:rFonts w:cstheme="minorHAnsi"/>
          <w:color w:val="auto"/>
        </w:rPr>
        <w:t xml:space="preserve"> improved efficiency and funding flows</w:t>
      </w:r>
      <w:r w:rsidRPr="00BB4594">
        <w:rPr>
          <w:rFonts w:cstheme="minorHAnsi"/>
          <w:color w:val="auto"/>
        </w:rPr>
        <w:t>.</w:t>
      </w:r>
    </w:p>
    <w:p w:rsidR="00F02F42" w:rsidRPr="00BB4594" w:rsidRDefault="00F02F42" w:rsidP="00F02F42">
      <w:pPr>
        <w:spacing w:after="120" w:line="259" w:lineRule="auto"/>
        <w:rPr>
          <w:rFonts w:cstheme="minorHAnsi"/>
          <w:color w:val="auto"/>
        </w:rPr>
      </w:pPr>
      <w:r w:rsidRPr="00BB4594">
        <w:rPr>
          <w:rFonts w:cstheme="minorHAnsi"/>
          <w:color w:val="auto"/>
        </w:rPr>
        <w:t xml:space="preserve">H-EQIP has established itself as a platform for driving quality improvement reform across the health sector and beyond. The PCA is now being </w:t>
      </w:r>
      <w:r>
        <w:rPr>
          <w:rFonts w:cstheme="minorHAnsi"/>
          <w:color w:val="auto"/>
        </w:rPr>
        <w:t xml:space="preserve">used to help meet a </w:t>
      </w:r>
      <w:r w:rsidR="006728DA">
        <w:rPr>
          <w:rFonts w:cstheme="minorHAnsi"/>
          <w:color w:val="auto"/>
        </w:rPr>
        <w:t xml:space="preserve">Cambodian </w:t>
      </w:r>
      <w:r>
        <w:rPr>
          <w:rFonts w:cstheme="minorHAnsi"/>
          <w:color w:val="auto"/>
        </w:rPr>
        <w:t>Government</w:t>
      </w:r>
      <w:r w:rsidRPr="00BB4594">
        <w:rPr>
          <w:rFonts w:cstheme="minorHAnsi"/>
          <w:color w:val="auto"/>
        </w:rPr>
        <w:t xml:space="preserve"> promise to provide cash transfers to pregnant w</w:t>
      </w:r>
      <w:r>
        <w:rPr>
          <w:rFonts w:cstheme="minorHAnsi"/>
          <w:color w:val="auto"/>
        </w:rPr>
        <w:t>omen</w:t>
      </w:r>
      <w:r w:rsidR="00B72799">
        <w:rPr>
          <w:rFonts w:cstheme="minorHAnsi"/>
          <w:color w:val="auto"/>
        </w:rPr>
        <w:t xml:space="preserve"> and children under </w:t>
      </w:r>
      <w:r w:rsidR="00774B39">
        <w:rPr>
          <w:rFonts w:cstheme="minorHAnsi"/>
          <w:color w:val="auto"/>
        </w:rPr>
        <w:t>two</w:t>
      </w:r>
      <w:r w:rsidR="00B72799">
        <w:rPr>
          <w:rFonts w:cstheme="minorHAnsi"/>
          <w:color w:val="auto"/>
        </w:rPr>
        <w:t xml:space="preserve"> years </w:t>
      </w:r>
      <w:r w:rsidR="00774B39">
        <w:rPr>
          <w:rFonts w:cstheme="minorHAnsi"/>
          <w:color w:val="auto"/>
        </w:rPr>
        <w:t>of age</w:t>
      </w:r>
      <w:r>
        <w:rPr>
          <w:rFonts w:cstheme="minorHAnsi"/>
          <w:color w:val="auto"/>
        </w:rPr>
        <w:t>, and discussions are under</w:t>
      </w:r>
      <w:r w:rsidRPr="00BB4594">
        <w:rPr>
          <w:rFonts w:cstheme="minorHAnsi"/>
          <w:color w:val="auto"/>
        </w:rPr>
        <w:t xml:space="preserve">way </w:t>
      </w:r>
      <w:r w:rsidR="00A33818">
        <w:rPr>
          <w:rFonts w:cstheme="minorHAnsi"/>
          <w:color w:val="auto"/>
        </w:rPr>
        <w:t>to determine</w:t>
      </w:r>
      <w:r w:rsidR="00A33818" w:rsidRPr="00BB4594">
        <w:rPr>
          <w:rFonts w:cstheme="minorHAnsi"/>
          <w:color w:val="auto"/>
        </w:rPr>
        <w:t xml:space="preserve"> </w:t>
      </w:r>
      <w:r w:rsidRPr="00BB4594">
        <w:rPr>
          <w:rFonts w:cstheme="minorHAnsi"/>
          <w:color w:val="auto"/>
        </w:rPr>
        <w:t>whether it</w:t>
      </w:r>
      <w:r w:rsidR="00774B39">
        <w:rPr>
          <w:rFonts w:cstheme="minorHAnsi"/>
          <w:color w:val="auto"/>
        </w:rPr>
        <w:t xml:space="preserve"> </w:t>
      </w:r>
      <w:r>
        <w:rPr>
          <w:rFonts w:cstheme="minorHAnsi"/>
          <w:color w:val="auto"/>
        </w:rPr>
        <w:t>could</w:t>
      </w:r>
      <w:r w:rsidRPr="00BB4594">
        <w:rPr>
          <w:rFonts w:cstheme="minorHAnsi"/>
          <w:color w:val="auto"/>
        </w:rPr>
        <w:t xml:space="preserve"> become a key institution in the implementation of the National Social Protection Policy.</w:t>
      </w:r>
      <w:r w:rsidR="00E07DC9" w:rsidRPr="00E07DC9">
        <w:rPr>
          <w:rFonts w:cstheme="minorHAnsi"/>
          <w:color w:val="auto"/>
        </w:rPr>
        <w:t xml:space="preserve"> </w:t>
      </w:r>
    </w:p>
    <w:p w:rsidR="00476C02" w:rsidRPr="006E372F" w:rsidRDefault="00F02F42" w:rsidP="00476C02">
      <w:pPr>
        <w:rPr>
          <w:rFonts w:cstheme="minorHAnsi"/>
          <w:color w:val="auto"/>
        </w:rPr>
      </w:pPr>
      <w:r>
        <w:rPr>
          <w:rFonts w:cstheme="minorHAnsi"/>
          <w:color w:val="auto"/>
        </w:rPr>
        <w:t xml:space="preserve">H-EQIP contributes to the </w:t>
      </w:r>
      <w:r w:rsidRPr="006E372F">
        <w:rPr>
          <w:rFonts w:cstheme="minorHAnsi"/>
          <w:color w:val="auto"/>
        </w:rPr>
        <w:t>Health Equity Fund</w:t>
      </w:r>
      <w:r>
        <w:rPr>
          <w:rFonts w:cstheme="minorHAnsi"/>
          <w:color w:val="auto"/>
        </w:rPr>
        <w:t>, which</w:t>
      </w:r>
      <w:r w:rsidRPr="006E372F">
        <w:rPr>
          <w:rFonts w:cstheme="minorHAnsi"/>
          <w:color w:val="auto"/>
        </w:rPr>
        <w:t xml:space="preserve"> </w:t>
      </w:r>
      <w:r>
        <w:rPr>
          <w:rFonts w:cstheme="minorHAnsi"/>
          <w:color w:val="auto"/>
        </w:rPr>
        <w:t>pays</w:t>
      </w:r>
      <w:r w:rsidRPr="00BB4594">
        <w:rPr>
          <w:rFonts w:cstheme="minorHAnsi"/>
          <w:color w:val="auto"/>
        </w:rPr>
        <w:t xml:space="preserve"> for healthcare and related costs for poor Cambodians</w:t>
      </w:r>
      <w:r>
        <w:rPr>
          <w:rFonts w:cstheme="minorHAnsi"/>
          <w:color w:val="auto"/>
        </w:rPr>
        <w:t>.</w:t>
      </w:r>
      <w:r w:rsidRPr="006E372F">
        <w:rPr>
          <w:rFonts w:cstheme="minorHAnsi"/>
          <w:color w:val="auto"/>
        </w:rPr>
        <w:t xml:space="preserve"> </w:t>
      </w:r>
      <w:r>
        <w:rPr>
          <w:rFonts w:cstheme="minorHAnsi"/>
          <w:color w:val="auto"/>
        </w:rPr>
        <w:t>The</w:t>
      </w:r>
      <w:r w:rsidR="00476C02" w:rsidRPr="006E372F">
        <w:rPr>
          <w:rFonts w:cstheme="minorHAnsi"/>
          <w:color w:val="auto"/>
        </w:rPr>
        <w:t xml:space="preserve"> </w:t>
      </w:r>
      <w:r w:rsidR="001812A5">
        <w:rPr>
          <w:rFonts w:cstheme="minorHAnsi"/>
          <w:color w:val="auto"/>
        </w:rPr>
        <w:t>combined</w:t>
      </w:r>
      <w:r w:rsidR="00476C02" w:rsidRPr="006E372F">
        <w:rPr>
          <w:rFonts w:cstheme="minorHAnsi"/>
          <w:color w:val="auto"/>
        </w:rPr>
        <w:t xml:space="preserve"> number of </w:t>
      </w:r>
      <w:r w:rsidR="00DE06F7">
        <w:rPr>
          <w:rFonts w:cstheme="minorHAnsi"/>
          <w:color w:val="auto"/>
        </w:rPr>
        <w:t xml:space="preserve">inpatient and </w:t>
      </w:r>
      <w:r w:rsidR="00476C02" w:rsidRPr="006E372F">
        <w:rPr>
          <w:rFonts w:cstheme="minorHAnsi"/>
          <w:color w:val="auto"/>
        </w:rPr>
        <w:t>outpatient services provided through the</w:t>
      </w:r>
      <w:r w:rsidRPr="006E372F">
        <w:rPr>
          <w:rFonts w:cstheme="minorHAnsi"/>
          <w:color w:val="auto"/>
        </w:rPr>
        <w:t xml:space="preserve"> </w:t>
      </w:r>
      <w:r>
        <w:rPr>
          <w:rFonts w:cstheme="minorHAnsi"/>
          <w:color w:val="auto"/>
        </w:rPr>
        <w:t>Health Equity Fund increased</w:t>
      </w:r>
      <w:r w:rsidR="00476C02" w:rsidRPr="006E372F">
        <w:rPr>
          <w:rFonts w:cstheme="minorHAnsi"/>
          <w:color w:val="auto"/>
        </w:rPr>
        <w:t xml:space="preserve"> from 2.66 million cases in 2017 to 2.8</w:t>
      </w:r>
      <w:r w:rsidR="009D4E16">
        <w:rPr>
          <w:rFonts w:cstheme="minorHAnsi"/>
          <w:color w:val="auto"/>
        </w:rPr>
        <w:t>1</w:t>
      </w:r>
      <w:r w:rsidR="00476C02" w:rsidRPr="006E372F">
        <w:rPr>
          <w:rFonts w:cstheme="minorHAnsi"/>
          <w:color w:val="auto"/>
        </w:rPr>
        <w:t xml:space="preserve"> million cases in 2018, </w:t>
      </w:r>
      <w:r>
        <w:rPr>
          <w:rFonts w:cstheme="minorHAnsi"/>
          <w:color w:val="auto"/>
        </w:rPr>
        <w:t xml:space="preserve">achieving the target. </w:t>
      </w:r>
      <w:r w:rsidR="00476C02" w:rsidRPr="006E372F">
        <w:rPr>
          <w:rFonts w:cstheme="minorHAnsi"/>
          <w:color w:val="auto"/>
        </w:rPr>
        <w:t xml:space="preserve">  </w:t>
      </w:r>
    </w:p>
    <w:p w:rsidR="0097700F" w:rsidRPr="00BB4594" w:rsidRDefault="0097700F" w:rsidP="00BB4594">
      <w:pPr>
        <w:spacing w:after="120" w:line="259" w:lineRule="auto"/>
        <w:rPr>
          <w:rFonts w:cstheme="minorHAnsi"/>
          <w:color w:val="auto"/>
        </w:rPr>
      </w:pPr>
      <w:r w:rsidRPr="00BB4594">
        <w:rPr>
          <w:rFonts w:cstheme="minorHAnsi"/>
          <w:color w:val="auto"/>
        </w:rPr>
        <w:t>Early data suggests that H-EQIP reforms are delivering improvements for Cambodians. The average quality score achieved by targeted health centres increased from 45 per cent</w:t>
      </w:r>
      <w:r w:rsidR="00476C02">
        <w:rPr>
          <w:rFonts w:cstheme="minorHAnsi"/>
          <w:color w:val="auto"/>
        </w:rPr>
        <w:t xml:space="preserve"> in 2017 </w:t>
      </w:r>
      <w:r w:rsidR="00F749B6">
        <w:rPr>
          <w:rFonts w:cstheme="minorHAnsi"/>
          <w:color w:val="auto"/>
        </w:rPr>
        <w:t xml:space="preserve">(up from 11 per cent at baseline) </w:t>
      </w:r>
      <w:r w:rsidR="00476C02">
        <w:rPr>
          <w:rFonts w:cstheme="minorHAnsi"/>
          <w:color w:val="auto"/>
        </w:rPr>
        <w:t xml:space="preserve">to 76 per cent in 2019. With </w:t>
      </w:r>
      <w:r w:rsidR="00476C02" w:rsidRPr="00476C02">
        <w:rPr>
          <w:rFonts w:cstheme="minorHAnsi"/>
          <w:color w:val="auto"/>
        </w:rPr>
        <w:t xml:space="preserve">88 per cent of </w:t>
      </w:r>
      <w:r w:rsidR="00A174E8">
        <w:rPr>
          <w:rFonts w:cstheme="minorHAnsi"/>
          <w:color w:val="auto"/>
        </w:rPr>
        <w:t>assessed</w:t>
      </w:r>
      <w:r w:rsidR="00476C02" w:rsidRPr="00476C02">
        <w:rPr>
          <w:rFonts w:cstheme="minorHAnsi"/>
          <w:color w:val="auto"/>
        </w:rPr>
        <w:t xml:space="preserve"> health facilities exceeding a 60 per cent score on </w:t>
      </w:r>
      <w:r w:rsidR="00A33818">
        <w:rPr>
          <w:rFonts w:cstheme="minorHAnsi"/>
          <w:color w:val="auto"/>
        </w:rPr>
        <w:t xml:space="preserve">the </w:t>
      </w:r>
      <w:r w:rsidR="00476C02" w:rsidRPr="00476C02">
        <w:rPr>
          <w:rFonts w:cstheme="minorHAnsi"/>
          <w:color w:val="auto"/>
        </w:rPr>
        <w:t>quality assessment, the benchmark target of 30 per</w:t>
      </w:r>
      <w:r w:rsidR="00A63876">
        <w:rPr>
          <w:rFonts w:cstheme="minorHAnsi"/>
          <w:color w:val="auto"/>
        </w:rPr>
        <w:t xml:space="preserve"> </w:t>
      </w:r>
      <w:r w:rsidR="00476C02" w:rsidRPr="00476C02">
        <w:rPr>
          <w:rFonts w:cstheme="minorHAnsi"/>
          <w:color w:val="auto"/>
        </w:rPr>
        <w:t>cent was significantly exceeded.</w:t>
      </w:r>
      <w:r w:rsidR="00476C02">
        <w:rPr>
          <w:color w:val="0070C0"/>
        </w:rPr>
        <w:t xml:space="preserve"> </w:t>
      </w:r>
      <w:r w:rsidR="00476C02">
        <w:rPr>
          <w:rFonts w:cstheme="minorHAnsi"/>
          <w:color w:val="auto"/>
        </w:rPr>
        <w:t>The</w:t>
      </w:r>
      <w:r w:rsidRPr="00BB4594">
        <w:rPr>
          <w:rFonts w:cstheme="minorHAnsi"/>
          <w:color w:val="auto"/>
        </w:rPr>
        <w:t xml:space="preserve"> use of public health services </w:t>
      </w:r>
      <w:r w:rsidR="000C02A4">
        <w:rPr>
          <w:rFonts w:cstheme="minorHAnsi"/>
          <w:color w:val="auto"/>
        </w:rPr>
        <w:t>has started to</w:t>
      </w:r>
      <w:r w:rsidRPr="00BB4594">
        <w:rPr>
          <w:rFonts w:cstheme="minorHAnsi"/>
          <w:color w:val="auto"/>
        </w:rPr>
        <w:t xml:space="preserve"> increase. There are also positive signs that the proportion of households experiencing impoverishing health expenditure is declining. </w:t>
      </w:r>
    </w:p>
    <w:p w:rsidR="00786C6B" w:rsidRPr="00BB4594" w:rsidRDefault="0097700F" w:rsidP="00BB4594">
      <w:pPr>
        <w:spacing w:after="120" w:line="259" w:lineRule="auto"/>
        <w:rPr>
          <w:rFonts w:cstheme="minorHAnsi"/>
          <w:color w:val="auto"/>
        </w:rPr>
      </w:pPr>
      <w:r w:rsidRPr="00BB4594">
        <w:rPr>
          <w:rFonts w:cstheme="minorHAnsi"/>
          <w:color w:val="auto"/>
        </w:rPr>
        <w:t xml:space="preserve">The </w:t>
      </w:r>
      <w:r w:rsidR="006728DA">
        <w:rPr>
          <w:rFonts w:cstheme="minorHAnsi"/>
          <w:color w:val="auto"/>
        </w:rPr>
        <w:t>Cambodian Government</w:t>
      </w:r>
      <w:r w:rsidRPr="00BB4594">
        <w:rPr>
          <w:rFonts w:cstheme="minorHAnsi"/>
          <w:color w:val="auto"/>
        </w:rPr>
        <w:t xml:space="preserve"> </w:t>
      </w:r>
      <w:r w:rsidR="00287150">
        <w:rPr>
          <w:rFonts w:cstheme="minorHAnsi"/>
          <w:color w:val="auto"/>
        </w:rPr>
        <w:t>is</w:t>
      </w:r>
      <w:r w:rsidR="00287150" w:rsidRPr="00BB4594">
        <w:rPr>
          <w:rFonts w:cstheme="minorHAnsi"/>
          <w:color w:val="auto"/>
        </w:rPr>
        <w:t xml:space="preserve"> </w:t>
      </w:r>
      <w:r w:rsidRPr="00BB4594">
        <w:rPr>
          <w:rFonts w:cstheme="minorHAnsi"/>
          <w:color w:val="auto"/>
        </w:rPr>
        <w:t xml:space="preserve">paying for an increasing proportion of H-EQIP costs. Under the </w:t>
      </w:r>
      <w:r w:rsidR="00F02F42">
        <w:rPr>
          <w:rFonts w:cstheme="minorHAnsi"/>
          <w:color w:val="auto"/>
        </w:rPr>
        <w:t xml:space="preserve">H-EQIP </w:t>
      </w:r>
      <w:r w:rsidRPr="00BB4594">
        <w:rPr>
          <w:rFonts w:cstheme="minorHAnsi"/>
          <w:color w:val="auto"/>
        </w:rPr>
        <w:t xml:space="preserve">agreement, donors and the </w:t>
      </w:r>
      <w:r w:rsidR="006728DA">
        <w:rPr>
          <w:rFonts w:cstheme="minorHAnsi"/>
          <w:color w:val="auto"/>
        </w:rPr>
        <w:t>Cambodian Government</w:t>
      </w:r>
      <w:r w:rsidRPr="00BB4594">
        <w:rPr>
          <w:rFonts w:cstheme="minorHAnsi"/>
          <w:color w:val="auto"/>
        </w:rPr>
        <w:t xml:space="preserve"> initially each contributed</w:t>
      </w:r>
      <w:r w:rsidR="00F02F42">
        <w:rPr>
          <w:rFonts w:cstheme="minorHAnsi"/>
          <w:color w:val="auto"/>
        </w:rPr>
        <w:t xml:space="preserve"> half of the Health Equity Fund.</w:t>
      </w:r>
      <w:r w:rsidRPr="00BB4594">
        <w:rPr>
          <w:rFonts w:cstheme="minorHAnsi"/>
          <w:color w:val="auto"/>
        </w:rPr>
        <w:t xml:space="preserve"> In 2018, the donor maximum threshold was reached for the first time an</w:t>
      </w:r>
      <w:r w:rsidR="00BB4594">
        <w:rPr>
          <w:rFonts w:cstheme="minorHAnsi"/>
          <w:color w:val="auto"/>
        </w:rPr>
        <w:t xml:space="preserve">d the </w:t>
      </w:r>
      <w:r w:rsidR="00DD43A6">
        <w:rPr>
          <w:rFonts w:cstheme="minorHAnsi"/>
          <w:color w:val="auto"/>
        </w:rPr>
        <w:t>Cambodian G</w:t>
      </w:r>
      <w:r w:rsidR="00BB4594">
        <w:rPr>
          <w:rFonts w:cstheme="minorHAnsi"/>
          <w:color w:val="auto"/>
        </w:rPr>
        <w:t>overnment contributed 59 per cent of costs (the Health Equity Fund</w:t>
      </w:r>
      <w:r w:rsidRPr="00BB4594">
        <w:rPr>
          <w:rFonts w:cstheme="minorHAnsi"/>
          <w:color w:val="auto"/>
        </w:rPr>
        <w:t xml:space="preserve"> paid out $14,665,901 in 2018). This proportion </w:t>
      </w:r>
      <w:r w:rsidR="00E32530">
        <w:rPr>
          <w:rFonts w:cstheme="minorHAnsi"/>
          <w:color w:val="auto"/>
        </w:rPr>
        <w:t>is likely to</w:t>
      </w:r>
      <w:r w:rsidR="00E32530" w:rsidRPr="00BB4594">
        <w:rPr>
          <w:rFonts w:cstheme="minorHAnsi"/>
          <w:color w:val="auto"/>
        </w:rPr>
        <w:t xml:space="preserve"> </w:t>
      </w:r>
      <w:r w:rsidRPr="00BB4594">
        <w:rPr>
          <w:rFonts w:cstheme="minorHAnsi"/>
          <w:color w:val="auto"/>
        </w:rPr>
        <w:t>continue to increase in future years</w:t>
      </w:r>
      <w:r w:rsidR="00E32530">
        <w:rPr>
          <w:rFonts w:cstheme="minorHAnsi"/>
          <w:color w:val="auto"/>
        </w:rPr>
        <w:t xml:space="preserve">. Meanwhile, community expectations for public health services continue to grow. </w:t>
      </w:r>
      <w:r w:rsidRPr="00BB4594">
        <w:rPr>
          <w:rFonts w:cstheme="minorHAnsi"/>
          <w:color w:val="auto"/>
        </w:rPr>
        <w:t xml:space="preserve"> </w:t>
      </w:r>
    </w:p>
    <w:p w:rsidR="0097700F" w:rsidRDefault="0097700F" w:rsidP="00BB4594">
      <w:pPr>
        <w:spacing w:after="120" w:line="259" w:lineRule="auto"/>
        <w:rPr>
          <w:rFonts w:cstheme="minorHAnsi"/>
          <w:color w:val="auto"/>
        </w:rPr>
      </w:pPr>
      <w:r w:rsidRPr="00BB4594">
        <w:rPr>
          <w:rFonts w:cstheme="minorHAnsi"/>
          <w:color w:val="auto"/>
        </w:rPr>
        <w:t>Despite the promising indicators, there are challenges to manage, including ongoing monitoring of fiduciary risks, risks to the autonomy and sustainability of the PCA, and ensuring the systems better meet the needs of women, indigenous groups and people with disabilities.</w:t>
      </w:r>
    </w:p>
    <w:p w:rsidR="00826B5E" w:rsidRPr="00BB4594" w:rsidRDefault="00466258" w:rsidP="00BB4594">
      <w:pPr>
        <w:spacing w:after="120" w:line="259" w:lineRule="auto"/>
        <w:rPr>
          <w:rFonts w:cstheme="minorHAnsi"/>
          <w:color w:val="auto"/>
        </w:rPr>
      </w:pPr>
      <w:r>
        <w:rPr>
          <w:rFonts w:cstheme="minorHAnsi"/>
          <w:color w:val="auto"/>
        </w:rPr>
        <w:lastRenderedPageBreak/>
        <w:t>The</w:t>
      </w:r>
      <w:r w:rsidR="00826B5E">
        <w:rPr>
          <w:rFonts w:cstheme="minorHAnsi"/>
          <w:color w:val="auto"/>
        </w:rPr>
        <w:t xml:space="preserve"> </w:t>
      </w:r>
      <w:r w:rsidR="00826B5E" w:rsidRPr="00BB4594">
        <w:rPr>
          <w:rFonts w:cstheme="minorHAnsi"/>
          <w:color w:val="auto"/>
        </w:rPr>
        <w:t xml:space="preserve">focus </w:t>
      </w:r>
      <w:r w:rsidR="00826B5E">
        <w:rPr>
          <w:rFonts w:cstheme="minorHAnsi"/>
          <w:color w:val="auto"/>
        </w:rPr>
        <w:t>over 2019-20</w:t>
      </w:r>
      <w:r w:rsidR="00826B5E" w:rsidRPr="00BB4594">
        <w:rPr>
          <w:rFonts w:cstheme="minorHAnsi"/>
          <w:color w:val="auto"/>
        </w:rPr>
        <w:t xml:space="preserve"> will be on ensuring the reforms result in improved services, the sustainability of the key reforms</w:t>
      </w:r>
      <w:r w:rsidR="00C7722C">
        <w:rPr>
          <w:rFonts w:cstheme="minorHAnsi"/>
          <w:color w:val="auto"/>
        </w:rPr>
        <w:t>,</w:t>
      </w:r>
      <w:r w:rsidR="00826B5E" w:rsidRPr="00BB4594">
        <w:rPr>
          <w:rFonts w:cstheme="minorHAnsi"/>
          <w:color w:val="auto"/>
        </w:rPr>
        <w:t xml:space="preserve"> and ensuring evidence from H-EQIP inform</w:t>
      </w:r>
      <w:r w:rsidR="00C7722C">
        <w:rPr>
          <w:rFonts w:cstheme="minorHAnsi"/>
          <w:color w:val="auto"/>
        </w:rPr>
        <w:t>s</w:t>
      </w:r>
      <w:r w:rsidR="00826B5E" w:rsidRPr="00BB4594">
        <w:rPr>
          <w:rFonts w:cstheme="minorHAnsi"/>
          <w:color w:val="auto"/>
        </w:rPr>
        <w:t xml:space="preserve"> relevant </w:t>
      </w:r>
      <w:r w:rsidR="006728DA">
        <w:rPr>
          <w:rFonts w:cstheme="minorHAnsi"/>
          <w:color w:val="auto"/>
        </w:rPr>
        <w:t>Cambodian Government</w:t>
      </w:r>
      <w:r w:rsidR="00826B5E" w:rsidRPr="00BB4594">
        <w:rPr>
          <w:rFonts w:cstheme="minorHAnsi"/>
          <w:color w:val="auto"/>
        </w:rPr>
        <w:t xml:space="preserve"> policy decisions.   </w:t>
      </w:r>
    </w:p>
    <w:p w:rsidR="0097700F" w:rsidRPr="00BB4594" w:rsidRDefault="0040249C" w:rsidP="00BB4594">
      <w:pPr>
        <w:spacing w:after="120" w:line="259" w:lineRule="auto"/>
        <w:rPr>
          <w:rFonts w:cstheme="minorHAnsi"/>
          <w:color w:val="auto"/>
        </w:rPr>
      </w:pPr>
      <w:r>
        <w:rPr>
          <w:rFonts w:cstheme="minorHAnsi"/>
          <w:color w:val="auto"/>
        </w:rPr>
        <w:t xml:space="preserve">While most targets were met, </w:t>
      </w:r>
      <w:r w:rsidR="00FC5933">
        <w:rPr>
          <w:rFonts w:cstheme="minorHAnsi"/>
          <w:color w:val="auto"/>
        </w:rPr>
        <w:t>the</w:t>
      </w:r>
      <w:r w:rsidR="00FC5933" w:rsidRPr="00BB4594">
        <w:rPr>
          <w:rFonts w:cstheme="minorHAnsi"/>
          <w:color w:val="auto"/>
        </w:rPr>
        <w:t xml:space="preserve"> </w:t>
      </w:r>
      <w:r w:rsidR="0097700F" w:rsidRPr="00BB4594">
        <w:rPr>
          <w:rFonts w:cstheme="minorHAnsi"/>
          <w:color w:val="auto"/>
        </w:rPr>
        <w:t>indicator</w:t>
      </w:r>
      <w:r w:rsidR="00FC5933" w:rsidRPr="00BB4594">
        <w:rPr>
          <w:rFonts w:cstheme="minorHAnsi"/>
          <w:color w:val="auto"/>
        </w:rPr>
        <w:t xml:space="preserve"> included in </w:t>
      </w:r>
      <w:r w:rsidR="00FC5933">
        <w:rPr>
          <w:rFonts w:cstheme="minorHAnsi"/>
          <w:color w:val="auto"/>
        </w:rPr>
        <w:t>the</w:t>
      </w:r>
      <w:r w:rsidR="00FC5933" w:rsidRPr="00BB4594">
        <w:rPr>
          <w:rFonts w:cstheme="minorHAnsi"/>
          <w:color w:val="auto"/>
        </w:rPr>
        <w:t xml:space="preserve"> 2018 PAF</w:t>
      </w:r>
      <w:r w:rsidR="0097700F" w:rsidRPr="00BB4594">
        <w:rPr>
          <w:rFonts w:cstheme="minorHAnsi"/>
          <w:color w:val="auto"/>
        </w:rPr>
        <w:t xml:space="preserve"> on contraceptive use in Cambodia </w:t>
      </w:r>
      <w:r w:rsidR="00C7722C">
        <w:rPr>
          <w:rFonts w:cstheme="minorHAnsi"/>
          <w:color w:val="auto"/>
        </w:rPr>
        <w:t>has declined</w:t>
      </w:r>
      <w:r w:rsidR="00BB4594">
        <w:rPr>
          <w:rFonts w:cstheme="minorHAnsi"/>
          <w:color w:val="auto"/>
        </w:rPr>
        <w:t xml:space="preserve"> to 22 per cent against a target of 43 per</w:t>
      </w:r>
      <w:r>
        <w:rPr>
          <w:rFonts w:cstheme="minorHAnsi"/>
          <w:color w:val="auto"/>
        </w:rPr>
        <w:t xml:space="preserve"> </w:t>
      </w:r>
      <w:r w:rsidR="00BB4594">
        <w:rPr>
          <w:rFonts w:cstheme="minorHAnsi"/>
          <w:color w:val="auto"/>
        </w:rPr>
        <w:t>cent</w:t>
      </w:r>
      <w:r w:rsidR="0097700F" w:rsidRPr="00BB4594">
        <w:rPr>
          <w:rFonts w:cstheme="minorHAnsi"/>
          <w:color w:val="auto"/>
        </w:rPr>
        <w:t>.</w:t>
      </w:r>
      <w:r w:rsidR="000F145A">
        <w:rPr>
          <w:rFonts w:cstheme="minorHAnsi"/>
          <w:color w:val="auto"/>
        </w:rPr>
        <w:t xml:space="preserve"> </w:t>
      </w:r>
      <w:r w:rsidR="00877BA1">
        <w:rPr>
          <w:rFonts w:cstheme="minorHAnsi"/>
          <w:color w:val="auto"/>
        </w:rPr>
        <w:t xml:space="preserve">This is a national indicator reported by the Cambodian Ministry of Health based on data from public health facilities only. The Ministry of Health notes that the decline is likely due to an increase in access to services through private providers rather than public providers, for example by garment factory workers.   </w:t>
      </w:r>
      <w:r w:rsidR="0097700F" w:rsidRPr="00BB4594">
        <w:rPr>
          <w:rFonts w:cstheme="minorHAnsi"/>
          <w:color w:val="auto"/>
        </w:rPr>
        <w:t>The result for births attended by a skilled b</w:t>
      </w:r>
      <w:r w:rsidR="00856C12">
        <w:rPr>
          <w:rFonts w:cstheme="minorHAnsi"/>
          <w:color w:val="auto"/>
        </w:rPr>
        <w:t>ir</w:t>
      </w:r>
      <w:r w:rsidR="0097700F" w:rsidRPr="00BB4594">
        <w:rPr>
          <w:rFonts w:cstheme="minorHAnsi"/>
          <w:color w:val="auto"/>
        </w:rPr>
        <w:t>th attendant was only slightly below the target of 89</w:t>
      </w:r>
      <w:r w:rsidR="00BB4594">
        <w:rPr>
          <w:rFonts w:cstheme="minorHAnsi"/>
          <w:color w:val="auto"/>
        </w:rPr>
        <w:t xml:space="preserve"> per cent</w:t>
      </w:r>
      <w:r w:rsidR="0097700F" w:rsidRPr="00BB4594">
        <w:rPr>
          <w:rFonts w:cstheme="minorHAnsi"/>
          <w:color w:val="auto"/>
        </w:rPr>
        <w:t xml:space="preserve">. </w:t>
      </w:r>
    </w:p>
    <w:p w:rsidR="0097700F" w:rsidRPr="00BB4594" w:rsidRDefault="00C7722C" w:rsidP="00BB4594">
      <w:pPr>
        <w:spacing w:after="120" w:line="259" w:lineRule="auto"/>
        <w:rPr>
          <w:rFonts w:cstheme="minorHAnsi"/>
          <w:color w:val="auto"/>
        </w:rPr>
      </w:pPr>
      <w:r>
        <w:rPr>
          <w:rFonts w:cstheme="minorHAnsi"/>
          <w:color w:val="auto"/>
        </w:rPr>
        <w:t>Sexual and reproductive health</w:t>
      </w:r>
      <w:r w:rsidRPr="00BB4594">
        <w:rPr>
          <w:rFonts w:cstheme="minorHAnsi"/>
          <w:color w:val="auto"/>
        </w:rPr>
        <w:t xml:space="preserve"> </w:t>
      </w:r>
      <w:r>
        <w:rPr>
          <w:rFonts w:cstheme="minorHAnsi"/>
          <w:color w:val="auto"/>
        </w:rPr>
        <w:t>were</w:t>
      </w:r>
      <w:r w:rsidRPr="00BB4594">
        <w:rPr>
          <w:rFonts w:cstheme="minorHAnsi"/>
          <w:color w:val="auto"/>
        </w:rPr>
        <w:t xml:space="preserve"> </w:t>
      </w:r>
      <w:r w:rsidR="0097700F" w:rsidRPr="00BB4594">
        <w:rPr>
          <w:rFonts w:cstheme="minorHAnsi"/>
          <w:color w:val="auto"/>
        </w:rPr>
        <w:t>area</w:t>
      </w:r>
      <w:r>
        <w:rPr>
          <w:rFonts w:cstheme="minorHAnsi"/>
          <w:color w:val="auto"/>
        </w:rPr>
        <w:t>s</w:t>
      </w:r>
      <w:r w:rsidR="0097700F" w:rsidRPr="00BB4594">
        <w:rPr>
          <w:rFonts w:cstheme="minorHAnsi"/>
          <w:color w:val="auto"/>
        </w:rPr>
        <w:t xml:space="preserve"> in which Australia invested significant resources through the Partnering to Save Lives </w:t>
      </w:r>
      <w:r w:rsidR="00A13476">
        <w:rPr>
          <w:rFonts w:cstheme="minorHAnsi"/>
          <w:color w:val="auto"/>
        </w:rPr>
        <w:t xml:space="preserve">(PSL) </w:t>
      </w:r>
      <w:r w:rsidR="0097700F" w:rsidRPr="00BB4594">
        <w:rPr>
          <w:rFonts w:cstheme="minorHAnsi"/>
          <w:color w:val="auto"/>
        </w:rPr>
        <w:t>Program</w:t>
      </w:r>
      <w:r>
        <w:rPr>
          <w:rFonts w:cstheme="minorHAnsi"/>
          <w:color w:val="auto"/>
        </w:rPr>
        <w:t>.  PSL</w:t>
      </w:r>
      <w:r w:rsidR="0097700F" w:rsidRPr="00BB4594">
        <w:rPr>
          <w:rFonts w:cstheme="minorHAnsi"/>
          <w:color w:val="auto"/>
        </w:rPr>
        <w:t xml:space="preserve"> concluded in 2018</w:t>
      </w:r>
      <w:r>
        <w:rPr>
          <w:rFonts w:cstheme="minorHAnsi"/>
          <w:color w:val="auto"/>
        </w:rPr>
        <w:t xml:space="preserve"> and had </w:t>
      </w:r>
      <w:r w:rsidR="0097700F" w:rsidRPr="00BB4594">
        <w:rPr>
          <w:rFonts w:cstheme="minorHAnsi"/>
          <w:color w:val="auto"/>
        </w:rPr>
        <w:t xml:space="preserve">specifically promoted the delivery of babies with skilled birth attendants in the four North-East provinces. The endline survey showed that the </w:t>
      </w:r>
      <w:r>
        <w:rPr>
          <w:rFonts w:cstheme="minorHAnsi"/>
          <w:color w:val="auto"/>
        </w:rPr>
        <w:t>proportion</w:t>
      </w:r>
      <w:r w:rsidRPr="00BB4594">
        <w:rPr>
          <w:rFonts w:cstheme="minorHAnsi"/>
          <w:color w:val="auto"/>
        </w:rPr>
        <w:t xml:space="preserve"> </w:t>
      </w:r>
      <w:r w:rsidR="0097700F" w:rsidRPr="00BB4594">
        <w:rPr>
          <w:rFonts w:cstheme="minorHAnsi"/>
          <w:color w:val="auto"/>
        </w:rPr>
        <w:t xml:space="preserve">of pregnant women who gave birth in a health facility in </w:t>
      </w:r>
      <w:r>
        <w:rPr>
          <w:rFonts w:cstheme="minorHAnsi"/>
          <w:color w:val="auto"/>
        </w:rPr>
        <w:t>those</w:t>
      </w:r>
      <w:r w:rsidRPr="00BB4594">
        <w:rPr>
          <w:rFonts w:cstheme="minorHAnsi"/>
          <w:color w:val="auto"/>
        </w:rPr>
        <w:t xml:space="preserve"> </w:t>
      </w:r>
      <w:r w:rsidR="00BB4594">
        <w:rPr>
          <w:rFonts w:cstheme="minorHAnsi"/>
          <w:color w:val="auto"/>
        </w:rPr>
        <w:t>provinces increased from 50 per cent</w:t>
      </w:r>
      <w:r w:rsidR="0097700F" w:rsidRPr="00BB4594">
        <w:rPr>
          <w:rFonts w:cstheme="minorHAnsi"/>
          <w:color w:val="auto"/>
        </w:rPr>
        <w:t xml:space="preserve"> in 2014 </w:t>
      </w:r>
      <w:r w:rsidR="00BB4594">
        <w:rPr>
          <w:rFonts w:cstheme="minorHAnsi"/>
          <w:color w:val="auto"/>
        </w:rPr>
        <w:t>to 79 per cent</w:t>
      </w:r>
      <w:r w:rsidR="0097700F" w:rsidRPr="00BB4594">
        <w:rPr>
          <w:rFonts w:cstheme="minorHAnsi"/>
          <w:color w:val="auto"/>
        </w:rPr>
        <w:t xml:space="preserve"> in 2018. </w:t>
      </w:r>
      <w:r w:rsidR="00874ADE" w:rsidRPr="006A535C">
        <w:rPr>
          <w:rFonts w:cstheme="minorHAnsi"/>
          <w:color w:val="auto"/>
        </w:rPr>
        <w:t xml:space="preserve">PSL </w:t>
      </w:r>
      <w:r w:rsidR="00874ADE">
        <w:rPr>
          <w:rFonts w:cstheme="minorHAnsi"/>
          <w:color w:val="auto"/>
        </w:rPr>
        <w:t>also empowered</w:t>
      </w:r>
      <w:r w:rsidR="00874ADE" w:rsidRPr="006A535C">
        <w:rPr>
          <w:rFonts w:cstheme="minorHAnsi"/>
          <w:color w:val="auto"/>
        </w:rPr>
        <w:t xml:space="preserve"> women to discuss family planning with their </w:t>
      </w:r>
      <w:r w:rsidR="00874ADE">
        <w:rPr>
          <w:rFonts w:cstheme="minorHAnsi"/>
          <w:color w:val="auto"/>
        </w:rPr>
        <w:t>partners. For example, garment factory workers reported increased confidence in discussing</w:t>
      </w:r>
      <w:r w:rsidR="00874ADE" w:rsidRPr="00256F3A">
        <w:rPr>
          <w:rFonts w:cstheme="minorHAnsi"/>
          <w:color w:val="auto"/>
        </w:rPr>
        <w:t xml:space="preserve"> contraception with</w:t>
      </w:r>
      <w:r w:rsidR="00874ADE">
        <w:rPr>
          <w:rFonts w:cstheme="minorHAnsi"/>
          <w:color w:val="auto"/>
        </w:rPr>
        <w:t xml:space="preserve"> their</w:t>
      </w:r>
      <w:r w:rsidR="00874ADE" w:rsidRPr="00256F3A">
        <w:rPr>
          <w:rFonts w:cstheme="minorHAnsi"/>
          <w:color w:val="auto"/>
        </w:rPr>
        <w:t xml:space="preserve"> partners </w:t>
      </w:r>
      <w:r w:rsidR="00874ADE">
        <w:rPr>
          <w:rFonts w:cstheme="minorHAnsi"/>
          <w:color w:val="auto"/>
        </w:rPr>
        <w:t>(24 per cent at baseline to 50 per cent at endline).</w:t>
      </w:r>
    </w:p>
    <w:p w:rsidR="0097700F" w:rsidRPr="00BB4594" w:rsidRDefault="0097700F" w:rsidP="00BB4594">
      <w:pPr>
        <w:spacing w:after="120" w:line="259" w:lineRule="auto"/>
        <w:rPr>
          <w:rFonts w:cstheme="minorHAnsi"/>
          <w:color w:val="auto"/>
        </w:rPr>
      </w:pPr>
      <w:r w:rsidRPr="00BB4594">
        <w:rPr>
          <w:rFonts w:cstheme="minorHAnsi"/>
          <w:color w:val="auto"/>
        </w:rPr>
        <w:t xml:space="preserve">PSL complemented and extended H-EQIP in these provinces and left a legacy of improved policies and practices for Cambodia. For example, technical input was provided for the </w:t>
      </w:r>
      <w:r w:rsidR="0079484C">
        <w:rPr>
          <w:rFonts w:cstheme="minorHAnsi"/>
          <w:color w:val="auto"/>
        </w:rPr>
        <w:t xml:space="preserve">development of the </w:t>
      </w:r>
      <w:r w:rsidRPr="00BB4594">
        <w:rPr>
          <w:rFonts w:cstheme="minorHAnsi"/>
          <w:color w:val="auto"/>
        </w:rPr>
        <w:t>Guidelines for the Establishment of Enterprise Infirmaries, which will improve the healthcare services available to the estimated 600,000 garment factory workers in Camb</w:t>
      </w:r>
      <w:r w:rsidR="00BB4594">
        <w:rPr>
          <w:rFonts w:cstheme="minorHAnsi"/>
          <w:color w:val="auto"/>
        </w:rPr>
        <w:t>odia, of which approximately 85 per cent</w:t>
      </w:r>
      <w:r w:rsidRPr="00BB4594">
        <w:rPr>
          <w:rFonts w:cstheme="minorHAnsi"/>
          <w:color w:val="auto"/>
        </w:rPr>
        <w:t xml:space="preserve"> are women.</w:t>
      </w:r>
    </w:p>
    <w:p w:rsidR="0097700F" w:rsidRPr="0052005B" w:rsidRDefault="0097700F" w:rsidP="0052005B">
      <w:pPr>
        <w:spacing w:after="120" w:line="259" w:lineRule="auto"/>
        <w:rPr>
          <w:rFonts w:cstheme="minorHAnsi"/>
          <w:color w:val="auto"/>
        </w:rPr>
      </w:pPr>
      <w:r w:rsidRPr="0052005B">
        <w:rPr>
          <w:rFonts w:cstheme="minorHAnsi"/>
          <w:color w:val="auto"/>
        </w:rPr>
        <w:t xml:space="preserve">Australia (with co-funding from Germany) is supporting the Cambodian Ministry of Planning to ensure accurate data is available to support poverty alleviation interventions through the Identification of Poor Households (IDPoor) Program. IDPoor is increasingly </w:t>
      </w:r>
      <w:r w:rsidR="0079484C">
        <w:rPr>
          <w:rFonts w:cstheme="minorHAnsi"/>
          <w:color w:val="auto"/>
        </w:rPr>
        <w:t>being</w:t>
      </w:r>
      <w:r w:rsidRPr="0052005B">
        <w:rPr>
          <w:rFonts w:cstheme="minorHAnsi"/>
          <w:color w:val="auto"/>
        </w:rPr>
        <w:t xml:space="preserve"> used by a range of Cambodian Government agencies </w:t>
      </w:r>
      <w:r w:rsidR="00877BA1">
        <w:rPr>
          <w:rFonts w:cstheme="minorHAnsi"/>
          <w:color w:val="auto"/>
        </w:rPr>
        <w:t xml:space="preserve">and not-for-profit organisations </w:t>
      </w:r>
      <w:r w:rsidRPr="0052005B">
        <w:rPr>
          <w:rFonts w:cstheme="minorHAnsi"/>
          <w:color w:val="auto"/>
        </w:rPr>
        <w:t xml:space="preserve">to introduce means tested social benefits. Australia also </w:t>
      </w:r>
      <w:r w:rsidR="00A13476">
        <w:rPr>
          <w:rFonts w:cstheme="minorHAnsi"/>
          <w:color w:val="auto"/>
        </w:rPr>
        <w:t>used</w:t>
      </w:r>
      <w:r w:rsidRPr="0052005B">
        <w:rPr>
          <w:rFonts w:cstheme="minorHAnsi"/>
          <w:color w:val="auto"/>
        </w:rPr>
        <w:t xml:space="preserve"> the IDPoor database to increase subsidies for companies delivering water connections and electricity connections to poor households.</w:t>
      </w:r>
    </w:p>
    <w:p w:rsidR="0097700F" w:rsidRPr="0052005B" w:rsidRDefault="0097700F" w:rsidP="0052005B">
      <w:pPr>
        <w:spacing w:after="120" w:line="259" w:lineRule="auto"/>
        <w:rPr>
          <w:rFonts w:cstheme="minorHAnsi"/>
          <w:color w:val="auto"/>
        </w:rPr>
      </w:pPr>
      <w:r w:rsidRPr="0052005B">
        <w:rPr>
          <w:rFonts w:cstheme="minorHAnsi"/>
          <w:color w:val="auto"/>
        </w:rPr>
        <w:t>I</w:t>
      </w:r>
      <w:r w:rsidR="0052005B" w:rsidRPr="0052005B">
        <w:rPr>
          <w:rFonts w:cstheme="minorHAnsi"/>
          <w:color w:val="auto"/>
        </w:rPr>
        <w:t>n 2018-</w:t>
      </w:r>
      <w:r w:rsidRPr="0052005B">
        <w:rPr>
          <w:rFonts w:cstheme="minorHAnsi"/>
          <w:color w:val="auto"/>
        </w:rPr>
        <w:t>19, the On-demand IDPoor was piloted in three provinces to identify additional poor households</w:t>
      </w:r>
      <w:r w:rsidR="00DD43A6">
        <w:rPr>
          <w:rFonts w:cstheme="minorHAnsi"/>
          <w:color w:val="auto"/>
        </w:rPr>
        <w:t xml:space="preserve"> between the formal enrolment periods</w:t>
      </w:r>
      <w:r w:rsidRPr="0052005B">
        <w:rPr>
          <w:rFonts w:cstheme="minorHAnsi"/>
          <w:color w:val="auto"/>
        </w:rPr>
        <w:t xml:space="preserve">. On-demand identification was found to be an </w:t>
      </w:r>
      <w:r w:rsidR="00877BA1">
        <w:rPr>
          <w:rFonts w:cstheme="minorHAnsi"/>
          <w:color w:val="auto"/>
        </w:rPr>
        <w:t>effective</w:t>
      </w:r>
      <w:r w:rsidRPr="0052005B">
        <w:rPr>
          <w:rFonts w:cstheme="minorHAnsi"/>
          <w:color w:val="auto"/>
        </w:rPr>
        <w:t xml:space="preserve"> tool </w:t>
      </w:r>
      <w:r w:rsidR="00877BA1">
        <w:rPr>
          <w:rFonts w:cstheme="minorHAnsi"/>
          <w:color w:val="auto"/>
        </w:rPr>
        <w:t>for</w:t>
      </w:r>
      <w:r w:rsidRPr="0052005B">
        <w:rPr>
          <w:rFonts w:cstheme="minorHAnsi"/>
          <w:color w:val="auto"/>
        </w:rPr>
        <w:t xml:space="preserve"> identify</w:t>
      </w:r>
      <w:r w:rsidR="00877BA1">
        <w:rPr>
          <w:rFonts w:cstheme="minorHAnsi"/>
          <w:color w:val="auto"/>
        </w:rPr>
        <w:t>ing</w:t>
      </w:r>
      <w:r w:rsidRPr="0052005B">
        <w:rPr>
          <w:rFonts w:cstheme="minorHAnsi"/>
          <w:color w:val="auto"/>
        </w:rPr>
        <w:t xml:space="preserve"> househo</w:t>
      </w:r>
      <w:r w:rsidR="000C02A4">
        <w:rPr>
          <w:rFonts w:cstheme="minorHAnsi"/>
          <w:color w:val="auto"/>
        </w:rPr>
        <w:t>lds which</w:t>
      </w:r>
      <w:r w:rsidR="00A13476">
        <w:rPr>
          <w:rFonts w:cstheme="minorHAnsi"/>
          <w:color w:val="auto"/>
        </w:rPr>
        <w:t xml:space="preserve"> </w:t>
      </w:r>
      <w:r w:rsidR="0079484C">
        <w:rPr>
          <w:rFonts w:cstheme="minorHAnsi"/>
          <w:color w:val="auto"/>
        </w:rPr>
        <w:t xml:space="preserve">had either </w:t>
      </w:r>
      <w:r w:rsidR="00A13476">
        <w:rPr>
          <w:rFonts w:cstheme="minorHAnsi"/>
          <w:color w:val="auto"/>
        </w:rPr>
        <w:t>slipped into poverty in</w:t>
      </w:r>
      <w:r w:rsidR="00F92427">
        <w:rPr>
          <w:rFonts w:cstheme="minorHAnsi"/>
          <w:color w:val="auto"/>
        </w:rPr>
        <w:t xml:space="preserve"> </w:t>
      </w:r>
      <w:r w:rsidRPr="0052005B">
        <w:rPr>
          <w:rFonts w:cstheme="minorHAnsi"/>
          <w:color w:val="auto"/>
        </w:rPr>
        <w:t xml:space="preserve">between two IDPoor rounds or </w:t>
      </w:r>
      <w:r w:rsidR="0097365E">
        <w:rPr>
          <w:rFonts w:cstheme="minorHAnsi"/>
          <w:color w:val="auto"/>
        </w:rPr>
        <w:t>were</w:t>
      </w:r>
      <w:r w:rsidRPr="0052005B">
        <w:rPr>
          <w:rFonts w:cstheme="minorHAnsi"/>
          <w:color w:val="auto"/>
        </w:rPr>
        <w:t xml:space="preserve"> missed by the regular procedure</w:t>
      </w:r>
      <w:r w:rsidR="000C02A4">
        <w:rPr>
          <w:rFonts w:cstheme="minorHAnsi"/>
          <w:color w:val="auto"/>
        </w:rPr>
        <w:t xml:space="preserve">. It </w:t>
      </w:r>
      <w:r w:rsidR="0052005B" w:rsidRPr="0052005B">
        <w:rPr>
          <w:rFonts w:cstheme="minorHAnsi"/>
          <w:color w:val="auto"/>
        </w:rPr>
        <w:t xml:space="preserve">is now being adopted </w:t>
      </w:r>
      <w:r w:rsidR="00874ADE">
        <w:rPr>
          <w:rFonts w:cstheme="minorHAnsi"/>
          <w:color w:val="auto"/>
        </w:rPr>
        <w:t xml:space="preserve">and rolled out across Cambodia </w:t>
      </w:r>
      <w:r w:rsidR="0052005B" w:rsidRPr="0052005B">
        <w:rPr>
          <w:rFonts w:cstheme="minorHAnsi"/>
          <w:color w:val="auto"/>
        </w:rPr>
        <w:t>by the Ministry of Planning</w:t>
      </w:r>
      <w:r w:rsidRPr="0052005B">
        <w:rPr>
          <w:rFonts w:cstheme="minorHAnsi"/>
          <w:color w:val="auto"/>
        </w:rPr>
        <w:t xml:space="preserve">. </w:t>
      </w:r>
      <w:r w:rsidR="00877BA1">
        <w:rPr>
          <w:rFonts w:cstheme="minorHAnsi"/>
          <w:color w:val="auto"/>
        </w:rPr>
        <w:t>T</w:t>
      </w:r>
      <w:r w:rsidRPr="0052005B">
        <w:rPr>
          <w:rFonts w:cstheme="minorHAnsi"/>
          <w:color w:val="auto"/>
        </w:rPr>
        <w:t xml:space="preserve">he </w:t>
      </w:r>
      <w:r w:rsidR="00DD43A6">
        <w:rPr>
          <w:rFonts w:cstheme="minorHAnsi"/>
          <w:color w:val="auto"/>
        </w:rPr>
        <w:t>Cambodian G</w:t>
      </w:r>
      <w:r w:rsidRPr="0052005B">
        <w:rPr>
          <w:rFonts w:cstheme="minorHAnsi"/>
          <w:color w:val="auto"/>
        </w:rPr>
        <w:t>overnment</w:t>
      </w:r>
      <w:r w:rsidR="00877BA1">
        <w:rPr>
          <w:rFonts w:cstheme="minorHAnsi"/>
          <w:color w:val="auto"/>
        </w:rPr>
        <w:t xml:space="preserve"> implements IDPoor and </w:t>
      </w:r>
      <w:r w:rsidRPr="0052005B">
        <w:rPr>
          <w:rFonts w:cstheme="minorHAnsi"/>
          <w:color w:val="auto"/>
        </w:rPr>
        <w:t>finance</w:t>
      </w:r>
      <w:r w:rsidR="00DD43A6">
        <w:rPr>
          <w:rFonts w:cstheme="minorHAnsi"/>
          <w:color w:val="auto"/>
        </w:rPr>
        <w:t>s</w:t>
      </w:r>
      <w:r w:rsidRPr="0052005B">
        <w:rPr>
          <w:rFonts w:cstheme="minorHAnsi"/>
          <w:color w:val="auto"/>
        </w:rPr>
        <w:t xml:space="preserve"> most operational aspects of the system, while donors focus </w:t>
      </w:r>
      <w:r w:rsidR="00877BA1">
        <w:rPr>
          <w:rFonts w:cstheme="minorHAnsi"/>
          <w:color w:val="auto"/>
        </w:rPr>
        <w:t xml:space="preserve">resources and technical support </w:t>
      </w:r>
      <w:r w:rsidRPr="0052005B">
        <w:rPr>
          <w:rFonts w:cstheme="minorHAnsi"/>
          <w:color w:val="auto"/>
        </w:rPr>
        <w:t>on piloting enhanced approaches.</w:t>
      </w:r>
    </w:p>
    <w:p w:rsidR="0052005B" w:rsidRDefault="0052005B" w:rsidP="0097700F">
      <w:pPr>
        <w:spacing w:after="120" w:line="259" w:lineRule="auto"/>
        <w:rPr>
          <w:rFonts w:cstheme="minorHAnsi"/>
          <w:i/>
          <w:color w:val="auto"/>
        </w:rPr>
      </w:pPr>
      <w:r w:rsidRPr="0052005B">
        <w:rPr>
          <w:rFonts w:cstheme="minorHAnsi"/>
          <w:i/>
          <w:color w:val="auto"/>
        </w:rPr>
        <w:t>Education</w:t>
      </w:r>
    </w:p>
    <w:p w:rsidR="00BA01B0" w:rsidRDefault="00BA01B0" w:rsidP="00BA01B0">
      <w:pPr>
        <w:spacing w:after="120" w:line="252" w:lineRule="auto"/>
        <w:rPr>
          <w:rFonts w:cstheme="minorHAnsi"/>
          <w:color w:val="auto"/>
        </w:rPr>
      </w:pPr>
      <w:r>
        <w:rPr>
          <w:rFonts w:cstheme="minorHAnsi"/>
          <w:color w:val="auto"/>
        </w:rPr>
        <w:t xml:space="preserve">In 2018-19, Australia </w:t>
      </w:r>
      <w:r w:rsidRPr="00BA01B0">
        <w:rPr>
          <w:rFonts w:cstheme="minorHAnsi"/>
          <w:color w:val="auto"/>
        </w:rPr>
        <w:t xml:space="preserve">Awards Cambodia offered 48 scholarships to Cambodians </w:t>
      </w:r>
      <w:r w:rsidR="00AC6BF6">
        <w:rPr>
          <w:rFonts w:cstheme="minorHAnsi"/>
          <w:color w:val="auto"/>
        </w:rPr>
        <w:t xml:space="preserve">(48 per cent to women) </w:t>
      </w:r>
      <w:r w:rsidRPr="00BA01B0">
        <w:rPr>
          <w:rFonts w:cstheme="minorHAnsi"/>
          <w:color w:val="auto"/>
        </w:rPr>
        <w:t>to study in fields vital for Cambodia’s development, complementing our broader foreign, trade and development</w:t>
      </w:r>
      <w:r w:rsidR="00860F9F">
        <w:rPr>
          <w:rFonts w:cstheme="minorHAnsi"/>
          <w:color w:val="auto"/>
        </w:rPr>
        <w:t xml:space="preserve"> goals</w:t>
      </w:r>
      <w:r w:rsidRPr="00BA01B0">
        <w:rPr>
          <w:rFonts w:cstheme="minorHAnsi"/>
          <w:color w:val="auto"/>
        </w:rPr>
        <w:t xml:space="preserve">. </w:t>
      </w:r>
      <w:r w:rsidRPr="009D0984">
        <w:rPr>
          <w:rFonts w:cstheme="minorHAnsi"/>
          <w:color w:val="auto"/>
        </w:rPr>
        <w:t xml:space="preserve">Forty-three scholarships were accepted, with 23 awarded to women. </w:t>
      </w:r>
      <w:r w:rsidR="00860F9F">
        <w:rPr>
          <w:rFonts w:cstheme="minorHAnsi"/>
          <w:color w:val="auto"/>
        </w:rPr>
        <w:t xml:space="preserve">The primary fields of study were </w:t>
      </w:r>
      <w:r w:rsidRPr="009D0984">
        <w:rPr>
          <w:rFonts w:cstheme="minorHAnsi"/>
          <w:color w:val="auto"/>
        </w:rPr>
        <w:t>eff</w:t>
      </w:r>
      <w:r w:rsidR="00860F9F">
        <w:rPr>
          <w:rFonts w:cstheme="minorHAnsi"/>
          <w:color w:val="auto"/>
        </w:rPr>
        <w:t>ective governance (31 per cent),</w:t>
      </w:r>
      <w:r w:rsidRPr="009D0984">
        <w:rPr>
          <w:rFonts w:cstheme="minorHAnsi"/>
          <w:color w:val="auto"/>
        </w:rPr>
        <w:t xml:space="preserve"> </w:t>
      </w:r>
      <w:r w:rsidR="00860F9F" w:rsidRPr="009D0984">
        <w:rPr>
          <w:rFonts w:cstheme="minorHAnsi"/>
          <w:color w:val="auto"/>
        </w:rPr>
        <w:t>trade facilitation</w:t>
      </w:r>
      <w:r w:rsidR="00860F9F">
        <w:rPr>
          <w:rFonts w:cstheme="minorHAnsi"/>
          <w:color w:val="auto"/>
        </w:rPr>
        <w:t xml:space="preserve"> and international competitiveness (18</w:t>
      </w:r>
      <w:r w:rsidR="00860F9F" w:rsidRPr="009D0984">
        <w:rPr>
          <w:rFonts w:cstheme="minorHAnsi"/>
          <w:color w:val="auto"/>
        </w:rPr>
        <w:t xml:space="preserve"> per cent)</w:t>
      </w:r>
      <w:r w:rsidR="00860F9F">
        <w:rPr>
          <w:rFonts w:cstheme="minorHAnsi"/>
          <w:color w:val="auto"/>
        </w:rPr>
        <w:t>,</w:t>
      </w:r>
      <w:r w:rsidR="00860F9F" w:rsidRPr="009D0984">
        <w:rPr>
          <w:rFonts w:cstheme="minorHAnsi"/>
          <w:color w:val="auto"/>
        </w:rPr>
        <w:t xml:space="preserve"> </w:t>
      </w:r>
      <w:r w:rsidRPr="009D0984">
        <w:rPr>
          <w:rFonts w:cstheme="minorHAnsi"/>
          <w:color w:val="auto"/>
        </w:rPr>
        <w:t>health (16 per cent); agriculture</w:t>
      </w:r>
      <w:r w:rsidR="00F92427">
        <w:rPr>
          <w:rFonts w:cstheme="minorHAnsi"/>
          <w:color w:val="auto"/>
        </w:rPr>
        <w:t xml:space="preserve"> (9</w:t>
      </w:r>
      <w:r w:rsidR="00860F9F" w:rsidRPr="00860F9F">
        <w:rPr>
          <w:rFonts w:cstheme="minorHAnsi"/>
          <w:color w:val="auto"/>
        </w:rPr>
        <w:t xml:space="preserve"> </w:t>
      </w:r>
      <w:r w:rsidR="00860F9F">
        <w:rPr>
          <w:rFonts w:cstheme="minorHAnsi"/>
          <w:color w:val="auto"/>
        </w:rPr>
        <w:t>per cent</w:t>
      </w:r>
      <w:r w:rsidR="00F92427">
        <w:rPr>
          <w:rFonts w:cstheme="minorHAnsi"/>
          <w:color w:val="auto"/>
        </w:rPr>
        <w:t>)</w:t>
      </w:r>
      <w:r w:rsidRPr="009D0984">
        <w:rPr>
          <w:rFonts w:cstheme="minorHAnsi"/>
          <w:color w:val="auto"/>
        </w:rPr>
        <w:t xml:space="preserve">; </w:t>
      </w:r>
      <w:r w:rsidR="00860F9F">
        <w:rPr>
          <w:rFonts w:cstheme="minorHAnsi"/>
          <w:color w:val="auto"/>
        </w:rPr>
        <w:t>gender and social inclusion (12</w:t>
      </w:r>
      <w:r w:rsidR="00860F9F" w:rsidRPr="00860F9F">
        <w:rPr>
          <w:rFonts w:cstheme="minorHAnsi"/>
          <w:color w:val="auto"/>
        </w:rPr>
        <w:t xml:space="preserve"> </w:t>
      </w:r>
      <w:r w:rsidR="00860F9F">
        <w:rPr>
          <w:rFonts w:cstheme="minorHAnsi"/>
          <w:color w:val="auto"/>
        </w:rPr>
        <w:t xml:space="preserve">per cent), and </w:t>
      </w:r>
      <w:r w:rsidRPr="009D0984">
        <w:rPr>
          <w:rFonts w:cstheme="minorHAnsi"/>
          <w:color w:val="auto"/>
        </w:rPr>
        <w:t>education</w:t>
      </w:r>
      <w:r w:rsidR="00F92427">
        <w:rPr>
          <w:rFonts w:cstheme="minorHAnsi"/>
          <w:color w:val="auto"/>
        </w:rPr>
        <w:t xml:space="preserve"> (5</w:t>
      </w:r>
      <w:r w:rsidR="00860F9F" w:rsidRPr="00860F9F">
        <w:rPr>
          <w:rFonts w:cstheme="minorHAnsi"/>
          <w:color w:val="auto"/>
        </w:rPr>
        <w:t xml:space="preserve"> </w:t>
      </w:r>
      <w:r w:rsidR="00860F9F">
        <w:rPr>
          <w:rFonts w:cstheme="minorHAnsi"/>
          <w:color w:val="auto"/>
        </w:rPr>
        <w:t>per cent</w:t>
      </w:r>
      <w:r w:rsidR="00F92427">
        <w:rPr>
          <w:rFonts w:cstheme="minorHAnsi"/>
          <w:color w:val="auto"/>
        </w:rPr>
        <w:t>)</w:t>
      </w:r>
      <w:r w:rsidR="00860F9F">
        <w:rPr>
          <w:rFonts w:cstheme="minorHAnsi"/>
          <w:color w:val="auto"/>
        </w:rPr>
        <w:t>.</w:t>
      </w:r>
    </w:p>
    <w:p w:rsidR="00897218" w:rsidRPr="00FC0469" w:rsidRDefault="00897218" w:rsidP="00897218">
      <w:pPr>
        <w:spacing w:after="120" w:line="252" w:lineRule="auto"/>
        <w:rPr>
          <w:rFonts w:cstheme="minorHAnsi"/>
          <w:color w:val="auto"/>
        </w:rPr>
      </w:pPr>
      <w:r w:rsidRPr="00111F5A">
        <w:rPr>
          <w:rFonts w:cstheme="minorHAnsi"/>
          <w:color w:val="auto"/>
        </w:rPr>
        <w:t>Nearly all Cambodian Australia Award recipients were satisfied with the support provided by the Australian Government.</w:t>
      </w:r>
      <w:r w:rsidRPr="008E1FAB">
        <w:rPr>
          <w:rFonts w:cstheme="minorHAnsi"/>
          <w:color w:val="auto"/>
        </w:rPr>
        <w:t xml:space="preserve"> On-award surveys showed that o</w:t>
      </w:r>
      <w:r w:rsidRPr="00111F5A">
        <w:rPr>
          <w:rFonts w:cstheme="minorHAnsi"/>
          <w:color w:val="auto"/>
        </w:rPr>
        <w:t>f new arrivals in Australia from Cambodia, 100 per cent were satisfied with their preparation for coming to Australia (compared to 96 per cent across all new arrivals), and 97 per cent were satisfied with entitlements and assistance received (compared to 92 per cent across all new arrivals).</w:t>
      </w:r>
    </w:p>
    <w:p w:rsidR="005610D5" w:rsidRDefault="00BA01B0" w:rsidP="00BA01B0">
      <w:pPr>
        <w:spacing w:after="120" w:line="252" w:lineRule="auto"/>
        <w:rPr>
          <w:rFonts w:cstheme="minorHAnsi"/>
          <w:color w:val="auto"/>
        </w:rPr>
      </w:pPr>
      <w:r>
        <w:rPr>
          <w:rFonts w:cstheme="minorHAnsi"/>
          <w:color w:val="auto"/>
        </w:rPr>
        <w:t xml:space="preserve">In 2018-19, </w:t>
      </w:r>
      <w:r w:rsidRPr="00994EDC">
        <w:rPr>
          <w:rFonts w:cstheme="minorHAnsi"/>
          <w:color w:val="auto"/>
        </w:rPr>
        <w:t xml:space="preserve">Australia Awards Cambodia introduced a suite of new modalities to support </w:t>
      </w:r>
      <w:r>
        <w:rPr>
          <w:rFonts w:cstheme="minorHAnsi"/>
          <w:color w:val="auto"/>
        </w:rPr>
        <w:t xml:space="preserve">Australia’s </w:t>
      </w:r>
      <w:r w:rsidR="00F92427" w:rsidRPr="00994EDC">
        <w:rPr>
          <w:rFonts w:cstheme="minorHAnsi"/>
          <w:color w:val="auto"/>
        </w:rPr>
        <w:t>development</w:t>
      </w:r>
      <w:r w:rsidR="00F92427">
        <w:rPr>
          <w:rFonts w:cstheme="minorHAnsi"/>
          <w:color w:val="auto"/>
        </w:rPr>
        <w:t xml:space="preserve"> and</w:t>
      </w:r>
      <w:r w:rsidR="00F92427" w:rsidRPr="00994EDC">
        <w:rPr>
          <w:rFonts w:cstheme="minorHAnsi"/>
          <w:color w:val="auto"/>
        </w:rPr>
        <w:t xml:space="preserve"> </w:t>
      </w:r>
      <w:r w:rsidRPr="00994EDC">
        <w:rPr>
          <w:rFonts w:cstheme="minorHAnsi"/>
          <w:color w:val="auto"/>
        </w:rPr>
        <w:t>strategic priorities</w:t>
      </w:r>
      <w:r>
        <w:rPr>
          <w:rFonts w:cstheme="minorHAnsi"/>
          <w:color w:val="auto"/>
        </w:rPr>
        <w:t xml:space="preserve"> in Cambodia. </w:t>
      </w:r>
      <w:r w:rsidRPr="00FC0469">
        <w:rPr>
          <w:rFonts w:cstheme="minorHAnsi"/>
          <w:color w:val="auto"/>
        </w:rPr>
        <w:t>This include</w:t>
      </w:r>
      <w:r>
        <w:rPr>
          <w:rFonts w:cstheme="minorHAnsi"/>
          <w:color w:val="auto"/>
        </w:rPr>
        <w:t>d</w:t>
      </w:r>
      <w:r w:rsidRPr="00FC0469">
        <w:rPr>
          <w:rFonts w:cstheme="minorHAnsi"/>
          <w:color w:val="auto"/>
        </w:rPr>
        <w:t xml:space="preserve"> alumni engagement</w:t>
      </w:r>
      <w:r>
        <w:rPr>
          <w:rFonts w:cstheme="minorHAnsi"/>
          <w:color w:val="auto"/>
        </w:rPr>
        <w:t xml:space="preserve"> activities</w:t>
      </w:r>
      <w:r w:rsidRPr="00FC0469">
        <w:rPr>
          <w:rFonts w:cstheme="minorHAnsi"/>
          <w:color w:val="auto"/>
        </w:rPr>
        <w:t>, short courses</w:t>
      </w:r>
      <w:r>
        <w:rPr>
          <w:rFonts w:cstheme="minorHAnsi"/>
          <w:color w:val="auto"/>
        </w:rPr>
        <w:t xml:space="preserve"> </w:t>
      </w:r>
      <w:r>
        <w:rPr>
          <w:rFonts w:cstheme="minorHAnsi"/>
          <w:color w:val="auto"/>
        </w:rPr>
        <w:lastRenderedPageBreak/>
        <w:t>(Short Term Awards)</w:t>
      </w:r>
      <w:r w:rsidRPr="00FC0469">
        <w:rPr>
          <w:rFonts w:cstheme="minorHAnsi"/>
          <w:color w:val="auto"/>
        </w:rPr>
        <w:t xml:space="preserve"> that respond to specific </w:t>
      </w:r>
      <w:r>
        <w:rPr>
          <w:rFonts w:cstheme="minorHAnsi"/>
          <w:color w:val="auto"/>
        </w:rPr>
        <w:t>development</w:t>
      </w:r>
      <w:r w:rsidRPr="00FC0469">
        <w:rPr>
          <w:rFonts w:cstheme="minorHAnsi"/>
          <w:color w:val="auto"/>
        </w:rPr>
        <w:t xml:space="preserve"> needs</w:t>
      </w:r>
      <w:r>
        <w:rPr>
          <w:rFonts w:cstheme="minorHAnsi"/>
          <w:color w:val="auto"/>
        </w:rPr>
        <w:t>,</w:t>
      </w:r>
      <w:r w:rsidRPr="00FC0469">
        <w:rPr>
          <w:rFonts w:cstheme="minorHAnsi"/>
          <w:color w:val="auto"/>
        </w:rPr>
        <w:t xml:space="preserve"> and</w:t>
      </w:r>
      <w:r>
        <w:rPr>
          <w:rFonts w:cstheme="minorHAnsi"/>
          <w:color w:val="auto"/>
        </w:rPr>
        <w:t xml:space="preserve"> on-awards engagement that</w:t>
      </w:r>
      <w:r w:rsidRPr="00FC0469">
        <w:rPr>
          <w:rFonts w:cstheme="minorHAnsi"/>
          <w:color w:val="auto"/>
        </w:rPr>
        <w:t xml:space="preserve"> </w:t>
      </w:r>
      <w:r>
        <w:rPr>
          <w:rFonts w:cstheme="minorHAnsi"/>
          <w:color w:val="auto"/>
        </w:rPr>
        <w:t xml:space="preserve">builds </w:t>
      </w:r>
      <w:r w:rsidRPr="00FC0469">
        <w:rPr>
          <w:rFonts w:cstheme="minorHAnsi"/>
          <w:color w:val="auto"/>
        </w:rPr>
        <w:t xml:space="preserve">the leadership skills and networks of scholars while they are undertaking </w:t>
      </w:r>
      <w:r>
        <w:rPr>
          <w:rFonts w:cstheme="minorHAnsi"/>
          <w:color w:val="auto"/>
        </w:rPr>
        <w:t>study in</w:t>
      </w:r>
      <w:r w:rsidRPr="00FC0469">
        <w:rPr>
          <w:rFonts w:cstheme="minorHAnsi"/>
          <w:color w:val="auto"/>
        </w:rPr>
        <w:t xml:space="preserve"> Australia.</w:t>
      </w:r>
      <w:r w:rsidR="005610D5">
        <w:rPr>
          <w:rFonts w:cstheme="minorHAnsi"/>
          <w:color w:val="auto"/>
        </w:rPr>
        <w:t xml:space="preserve"> </w:t>
      </w:r>
    </w:p>
    <w:p w:rsidR="00BA01B0" w:rsidRPr="00FC0469" w:rsidRDefault="00BA01B0" w:rsidP="00BA01B0">
      <w:pPr>
        <w:spacing w:after="120" w:line="252" w:lineRule="auto"/>
        <w:rPr>
          <w:rFonts w:cstheme="minorHAnsi"/>
          <w:color w:val="auto"/>
        </w:rPr>
      </w:pPr>
      <w:r>
        <w:rPr>
          <w:rFonts w:cstheme="minorHAnsi"/>
          <w:color w:val="auto"/>
        </w:rPr>
        <w:t>In 2019, Australia Awards Cambodia launched</w:t>
      </w:r>
      <w:r w:rsidR="000C02A4">
        <w:rPr>
          <w:rFonts w:cstheme="minorHAnsi"/>
          <w:color w:val="auto"/>
        </w:rPr>
        <w:t xml:space="preserve"> its</w:t>
      </w:r>
      <w:r>
        <w:rPr>
          <w:rFonts w:cstheme="minorHAnsi"/>
          <w:color w:val="auto"/>
        </w:rPr>
        <w:t xml:space="preserve"> first Australia Awards short course. Fifteen senior officials from Cambodia’s economic minist</w:t>
      </w:r>
      <w:r w:rsidR="00F92427">
        <w:rPr>
          <w:rFonts w:cstheme="minorHAnsi"/>
          <w:color w:val="auto"/>
        </w:rPr>
        <w:t>ries</w:t>
      </w:r>
      <w:r>
        <w:rPr>
          <w:rFonts w:cstheme="minorHAnsi"/>
          <w:color w:val="auto"/>
        </w:rPr>
        <w:t xml:space="preserve"> attended the trade and development short course,</w:t>
      </w:r>
      <w:r w:rsidRPr="00B21D2C">
        <w:rPr>
          <w:rFonts w:cstheme="minorHAnsi"/>
          <w:color w:val="auto"/>
        </w:rPr>
        <w:t xml:space="preserve"> to </w:t>
      </w:r>
      <w:r>
        <w:rPr>
          <w:rFonts w:cstheme="minorHAnsi"/>
          <w:color w:val="auto"/>
        </w:rPr>
        <w:t xml:space="preserve">complement </w:t>
      </w:r>
      <w:r w:rsidRPr="00B21D2C">
        <w:rPr>
          <w:rFonts w:cstheme="minorHAnsi"/>
          <w:color w:val="auto"/>
        </w:rPr>
        <w:t>DFAT’s broader focus on supporting Cambodia’s prosperity</w:t>
      </w:r>
      <w:r w:rsidR="002C705C">
        <w:rPr>
          <w:rFonts w:cstheme="minorHAnsi"/>
          <w:color w:val="auto"/>
        </w:rPr>
        <w:t xml:space="preserve"> and commitment to rules-based trade and investment</w:t>
      </w:r>
      <w:r>
        <w:rPr>
          <w:rFonts w:cstheme="minorHAnsi"/>
          <w:color w:val="auto"/>
        </w:rPr>
        <w:t>. Taking place in</w:t>
      </w:r>
      <w:r w:rsidRPr="00FC0469">
        <w:rPr>
          <w:rFonts w:cstheme="minorHAnsi"/>
          <w:color w:val="auto"/>
        </w:rPr>
        <w:t xml:space="preserve"> Australia</w:t>
      </w:r>
      <w:r>
        <w:rPr>
          <w:rFonts w:cstheme="minorHAnsi"/>
          <w:color w:val="auto"/>
        </w:rPr>
        <w:t xml:space="preserve"> and Cambodia</w:t>
      </w:r>
      <w:r w:rsidRPr="00FC0469">
        <w:rPr>
          <w:rFonts w:cstheme="minorHAnsi"/>
          <w:color w:val="auto"/>
        </w:rPr>
        <w:t xml:space="preserve"> over three months</w:t>
      </w:r>
      <w:r>
        <w:rPr>
          <w:rFonts w:cstheme="minorHAnsi"/>
          <w:color w:val="auto"/>
        </w:rPr>
        <w:t>, the course</w:t>
      </w:r>
      <w:r w:rsidRPr="00FC0469">
        <w:rPr>
          <w:rFonts w:cstheme="minorHAnsi"/>
          <w:color w:val="auto"/>
        </w:rPr>
        <w:t xml:space="preserve"> focused on trade policy and the importance of an open and rules-based trading system to foster sustainable economic growth in Cambodia and across Southeast Asia.</w:t>
      </w:r>
      <w:r w:rsidRPr="00B21D2C">
        <w:rPr>
          <w:rFonts w:cstheme="minorHAnsi"/>
          <w:color w:val="auto"/>
        </w:rPr>
        <w:t xml:space="preserve"> The course also deepened DFAT’s links with the Ministry of Economy and Finance and the Ministry of Commerce</w:t>
      </w:r>
      <w:r>
        <w:rPr>
          <w:rFonts w:cstheme="minorHAnsi"/>
          <w:color w:val="auto"/>
        </w:rPr>
        <w:t>.</w:t>
      </w:r>
    </w:p>
    <w:p w:rsidR="00BA01B0" w:rsidRPr="00A30476" w:rsidRDefault="00BA01B0" w:rsidP="00BA01B0">
      <w:pPr>
        <w:spacing w:after="120" w:line="252" w:lineRule="auto"/>
        <w:rPr>
          <w:rFonts w:cstheme="minorHAnsi"/>
          <w:color w:val="auto"/>
          <w:lang w:val="en-AU"/>
        </w:rPr>
      </w:pPr>
      <w:r>
        <w:rPr>
          <w:rFonts w:cstheme="minorHAnsi"/>
          <w:color w:val="auto"/>
        </w:rPr>
        <w:t>In 2019, Australia Awards Cambodia launched</w:t>
      </w:r>
      <w:r w:rsidRPr="00DE2AB3">
        <w:rPr>
          <w:rFonts w:cstheme="minorHAnsi"/>
          <w:color w:val="auto"/>
        </w:rPr>
        <w:t xml:space="preserve"> a Regional Women’s Leadership Initiative</w:t>
      </w:r>
      <w:r w:rsidRPr="00A30476">
        <w:rPr>
          <w:rFonts w:ascii="Arial" w:eastAsia="Times New Roman" w:hAnsi="Arial" w:cs="NimbusSanNov"/>
          <w:color w:val="000000"/>
          <w:szCs w:val="24"/>
          <w:lang w:val="en-AU"/>
        </w:rPr>
        <w:t xml:space="preserve"> </w:t>
      </w:r>
      <w:r w:rsidRPr="00A30476">
        <w:rPr>
          <w:rFonts w:cstheme="minorHAnsi"/>
          <w:color w:val="auto"/>
          <w:lang w:val="en-AU"/>
        </w:rPr>
        <w:t xml:space="preserve">to improve gender equality and enhance integration across </w:t>
      </w:r>
      <w:r>
        <w:rPr>
          <w:rFonts w:cstheme="minorHAnsi"/>
          <w:color w:val="auto"/>
          <w:lang w:val="en-AU"/>
        </w:rPr>
        <w:t>Southeast Asia, in</w:t>
      </w:r>
      <w:r w:rsidRPr="00A30476">
        <w:rPr>
          <w:rFonts w:cstheme="minorHAnsi"/>
          <w:color w:val="auto"/>
        </w:rPr>
        <w:t xml:space="preserve"> line with the program’s </w:t>
      </w:r>
      <w:r>
        <w:rPr>
          <w:rFonts w:cstheme="minorHAnsi"/>
          <w:color w:val="auto"/>
        </w:rPr>
        <w:t xml:space="preserve">long-standing </w:t>
      </w:r>
      <w:r w:rsidRPr="00A30476">
        <w:rPr>
          <w:rFonts w:cstheme="minorHAnsi"/>
          <w:color w:val="auto"/>
        </w:rPr>
        <w:t>commitment to promot</w:t>
      </w:r>
      <w:r>
        <w:rPr>
          <w:rFonts w:cstheme="minorHAnsi"/>
          <w:color w:val="auto"/>
        </w:rPr>
        <w:t>e</w:t>
      </w:r>
      <w:r w:rsidRPr="00A30476">
        <w:rPr>
          <w:rFonts w:cstheme="minorHAnsi"/>
          <w:color w:val="auto"/>
        </w:rPr>
        <w:t xml:space="preserve"> gender equality</w:t>
      </w:r>
      <w:r w:rsidRPr="00A30476">
        <w:rPr>
          <w:rFonts w:cstheme="minorHAnsi"/>
          <w:color w:val="auto"/>
          <w:lang w:val="en-AU"/>
        </w:rPr>
        <w:t>.</w:t>
      </w:r>
      <w:r>
        <w:rPr>
          <w:rFonts w:cstheme="minorHAnsi"/>
          <w:color w:val="auto"/>
          <w:lang w:val="en-AU"/>
        </w:rPr>
        <w:t xml:space="preserve"> </w:t>
      </w:r>
      <w:r w:rsidRPr="00A30476">
        <w:rPr>
          <w:rFonts w:cstheme="minorHAnsi"/>
          <w:color w:val="auto"/>
          <w:lang w:val="en-AU"/>
        </w:rPr>
        <w:t xml:space="preserve">More than seventy influential Australia Awards women alumni </w:t>
      </w:r>
      <w:r>
        <w:rPr>
          <w:rFonts w:cstheme="minorHAnsi"/>
          <w:color w:val="auto"/>
          <w:lang w:val="en-AU"/>
        </w:rPr>
        <w:t xml:space="preserve">participated, including </w:t>
      </w:r>
      <w:r w:rsidRPr="00A30476">
        <w:rPr>
          <w:rFonts w:cstheme="minorHAnsi"/>
          <w:color w:val="auto"/>
          <w:lang w:val="en-AU"/>
        </w:rPr>
        <w:t>from Cambodia, Indonesia, Laos, Myanmar, the Philippines and Vietnam to build networks and strengthen their leadership capacity.</w:t>
      </w:r>
    </w:p>
    <w:p w:rsidR="00BA01B0" w:rsidRPr="00A30476" w:rsidRDefault="00BA01B0" w:rsidP="00BA01B0">
      <w:pPr>
        <w:spacing w:after="120" w:line="252" w:lineRule="auto"/>
        <w:rPr>
          <w:rFonts w:cstheme="minorHAnsi"/>
          <w:color w:val="auto"/>
          <w:lang w:val="en-AU"/>
        </w:rPr>
      </w:pPr>
      <w:r>
        <w:rPr>
          <w:rFonts w:cstheme="minorHAnsi"/>
          <w:color w:val="auto"/>
        </w:rPr>
        <w:t>Soon after, the program</w:t>
      </w:r>
      <w:r w:rsidRPr="00DE2AB3">
        <w:rPr>
          <w:rFonts w:cstheme="minorHAnsi"/>
          <w:color w:val="auto"/>
        </w:rPr>
        <w:t xml:space="preserve"> </w:t>
      </w:r>
      <w:r>
        <w:rPr>
          <w:rFonts w:cstheme="minorHAnsi"/>
          <w:color w:val="auto"/>
        </w:rPr>
        <w:t xml:space="preserve">piloted </w:t>
      </w:r>
      <w:r w:rsidRPr="00DE2AB3">
        <w:rPr>
          <w:rFonts w:cstheme="minorHAnsi"/>
          <w:color w:val="auto"/>
        </w:rPr>
        <w:t>a new Women in Leadership engagement activity</w:t>
      </w:r>
      <w:r w:rsidR="00173118">
        <w:rPr>
          <w:rFonts w:cstheme="minorHAnsi"/>
          <w:color w:val="auto"/>
        </w:rPr>
        <w:t xml:space="preserve"> for students</w:t>
      </w:r>
      <w:r w:rsidR="00494434">
        <w:rPr>
          <w:rFonts w:cstheme="minorHAnsi"/>
          <w:color w:val="auto"/>
        </w:rPr>
        <w:t xml:space="preserve"> while in Australia</w:t>
      </w:r>
      <w:r w:rsidRPr="00DE2AB3">
        <w:rPr>
          <w:rFonts w:cstheme="minorHAnsi"/>
          <w:color w:val="auto"/>
        </w:rPr>
        <w:t xml:space="preserve">, demonstrating </w:t>
      </w:r>
      <w:r>
        <w:rPr>
          <w:rFonts w:cstheme="minorHAnsi"/>
          <w:color w:val="auto"/>
        </w:rPr>
        <w:t xml:space="preserve">further </w:t>
      </w:r>
      <w:r w:rsidRPr="00DE2AB3">
        <w:rPr>
          <w:rFonts w:cstheme="minorHAnsi"/>
          <w:color w:val="auto"/>
        </w:rPr>
        <w:t xml:space="preserve">commitment to gender equality. </w:t>
      </w:r>
      <w:r>
        <w:rPr>
          <w:rFonts w:cstheme="minorHAnsi"/>
          <w:color w:val="auto"/>
        </w:rPr>
        <w:t>This activity provided participants with the tools and</w:t>
      </w:r>
      <w:r w:rsidRPr="001F05AA">
        <w:rPr>
          <w:rFonts w:cstheme="minorHAnsi"/>
          <w:color w:val="auto"/>
        </w:rPr>
        <w:t xml:space="preserve"> knowledge to help them navigate barriers that might</w:t>
      </w:r>
      <w:r>
        <w:rPr>
          <w:rFonts w:cstheme="minorHAnsi"/>
          <w:color w:val="auto"/>
        </w:rPr>
        <w:t xml:space="preserve"> impede pathways to leadership.</w:t>
      </w:r>
    </w:p>
    <w:p w:rsidR="00BA01B0" w:rsidRPr="00FC0469" w:rsidRDefault="00BA01B0" w:rsidP="00BA01B0">
      <w:pPr>
        <w:spacing w:after="120" w:line="252" w:lineRule="auto"/>
        <w:rPr>
          <w:rFonts w:cstheme="minorHAnsi"/>
          <w:color w:val="auto"/>
        </w:rPr>
      </w:pPr>
      <w:r>
        <w:rPr>
          <w:rFonts w:cstheme="minorHAnsi"/>
          <w:color w:val="auto"/>
        </w:rPr>
        <w:t xml:space="preserve">In 2019-20, </w:t>
      </w:r>
      <w:r w:rsidRPr="008241B3">
        <w:rPr>
          <w:rFonts w:cstheme="minorHAnsi"/>
          <w:color w:val="auto"/>
        </w:rPr>
        <w:t xml:space="preserve">Australia Awards Cambodia will continue to implement strategies to boost </w:t>
      </w:r>
      <w:r>
        <w:rPr>
          <w:rFonts w:cstheme="minorHAnsi"/>
          <w:color w:val="auto"/>
        </w:rPr>
        <w:t xml:space="preserve">the number of scholarship </w:t>
      </w:r>
      <w:r w:rsidRPr="008241B3">
        <w:rPr>
          <w:rFonts w:cstheme="minorHAnsi"/>
          <w:color w:val="auto"/>
        </w:rPr>
        <w:t xml:space="preserve">applications from </w:t>
      </w:r>
      <w:r>
        <w:rPr>
          <w:rFonts w:cstheme="minorHAnsi"/>
          <w:color w:val="auto"/>
        </w:rPr>
        <w:t>women and provide women with opportunities to build their leadership skills</w:t>
      </w:r>
      <w:r w:rsidRPr="008241B3">
        <w:rPr>
          <w:rFonts w:cstheme="minorHAnsi"/>
          <w:color w:val="auto"/>
        </w:rPr>
        <w:t>.</w:t>
      </w:r>
    </w:p>
    <w:p w:rsidR="00A13476" w:rsidRPr="00FC0469" w:rsidRDefault="00A13476" w:rsidP="00FC0469">
      <w:pPr>
        <w:spacing w:after="120" w:line="252" w:lineRule="auto"/>
        <w:rPr>
          <w:rFonts w:cstheme="minorHAnsi"/>
          <w:color w:val="auto"/>
        </w:rPr>
      </w:pPr>
    </w:p>
    <w:p w:rsidR="00D3177A" w:rsidRDefault="0097700F" w:rsidP="0097700F">
      <w:pPr>
        <w:spacing w:after="120" w:line="259" w:lineRule="auto"/>
        <w:ind w:right="-330"/>
        <w:rPr>
          <w:rFonts w:asciiTheme="majorHAnsi" w:eastAsiaTheme="majorEastAsia" w:hAnsiTheme="majorHAnsi" w:cstheme="majorBidi"/>
          <w:caps/>
          <w:sz w:val="32"/>
          <w:szCs w:val="32"/>
        </w:rPr>
      </w:pPr>
      <w:r w:rsidRPr="00D3177A">
        <w:rPr>
          <w:rFonts w:asciiTheme="majorHAnsi" w:eastAsiaTheme="majorEastAsia" w:hAnsiTheme="majorHAnsi" w:cstheme="majorBidi"/>
          <w:caps/>
          <w:sz w:val="32"/>
          <w:szCs w:val="32"/>
        </w:rPr>
        <w:t>Cross</w:t>
      </w:r>
      <w:r w:rsidR="00D3177A">
        <w:rPr>
          <w:rFonts w:asciiTheme="majorHAnsi" w:eastAsiaTheme="majorEastAsia" w:hAnsiTheme="majorHAnsi" w:cstheme="majorBidi"/>
          <w:caps/>
          <w:sz w:val="32"/>
          <w:szCs w:val="32"/>
        </w:rPr>
        <w:t>-cutting issues</w:t>
      </w:r>
    </w:p>
    <w:p w:rsidR="00D3177A" w:rsidRDefault="00D3177A" w:rsidP="0097700F">
      <w:pPr>
        <w:spacing w:after="120" w:line="259" w:lineRule="auto"/>
        <w:ind w:right="-330"/>
        <w:rPr>
          <w:rFonts w:asciiTheme="majorHAnsi" w:eastAsiaTheme="majorEastAsia" w:hAnsiTheme="majorHAnsi" w:cstheme="majorBidi"/>
          <w:caps/>
          <w:sz w:val="32"/>
          <w:szCs w:val="32"/>
        </w:rPr>
      </w:pPr>
      <w:r w:rsidRPr="00280CC1">
        <w:rPr>
          <w:rFonts w:asciiTheme="majorHAnsi" w:eastAsiaTheme="majorEastAsia" w:hAnsiTheme="majorHAnsi" w:cstheme="majorBidi"/>
          <w:caps/>
          <w:noProof/>
          <w:sz w:val="38"/>
          <w:szCs w:val="26"/>
          <w:lang w:val="en-AU" w:eastAsia="en-AU"/>
        </w:rPr>
        <w:drawing>
          <wp:inline distT="0" distB="0" distL="0" distR="0" wp14:anchorId="2E2A34C7" wp14:editId="243793E1">
            <wp:extent cx="1137600" cy="720000"/>
            <wp:effectExtent l="0" t="0" r="5715" b="4445"/>
            <wp:docPr id="59" name="Picture 59" title="Sustainable developmetn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asciiTheme="majorHAnsi" w:eastAsiaTheme="majorEastAsia" w:hAnsiTheme="majorHAnsi" w:cstheme="majorBidi"/>
          <w:caps/>
          <w:sz w:val="32"/>
          <w:szCs w:val="32"/>
        </w:rPr>
        <w:tab/>
      </w:r>
      <w:r>
        <w:rPr>
          <w:noProof/>
          <w:lang w:val="en-AU" w:eastAsia="en-AU"/>
        </w:rPr>
        <w:drawing>
          <wp:inline distT="0" distB="0" distL="0" distR="0" wp14:anchorId="0330F390" wp14:editId="07FC801B">
            <wp:extent cx="612000" cy="612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sz w:val="32"/>
          <w:szCs w:val="32"/>
        </w:rPr>
        <w:tab/>
      </w:r>
      <w:r>
        <w:rPr>
          <w:noProof/>
          <w:lang w:val="en-AU" w:eastAsia="en-AU"/>
        </w:rPr>
        <w:drawing>
          <wp:inline distT="0" distB="0" distL="0" distR="0" wp14:anchorId="7CCB4667" wp14:editId="1D58CFE7">
            <wp:extent cx="609600" cy="609600"/>
            <wp:effectExtent l="0" t="0" r="0" b="0"/>
            <wp:docPr id="63" name="Picture 6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Theme="majorHAnsi" w:eastAsiaTheme="majorEastAsia" w:hAnsiTheme="majorHAnsi" w:cstheme="majorBidi"/>
          <w:caps/>
          <w:sz w:val="32"/>
          <w:szCs w:val="32"/>
        </w:rPr>
        <w:tab/>
      </w:r>
      <w:r>
        <w:rPr>
          <w:noProof/>
          <w:lang w:val="en-AU" w:eastAsia="en-AU"/>
        </w:rPr>
        <w:drawing>
          <wp:inline distT="0" distB="0" distL="0" distR="0" wp14:anchorId="732C8A3C" wp14:editId="0EC01E47">
            <wp:extent cx="612000" cy="6120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sz w:val="32"/>
          <w:szCs w:val="32"/>
        </w:rPr>
        <w:tab/>
      </w:r>
      <w:r>
        <w:rPr>
          <w:noProof/>
          <w:lang w:val="en-AU" w:eastAsia="en-AU"/>
        </w:rPr>
        <w:drawing>
          <wp:inline distT="0" distB="0" distL="0" distR="0" wp14:anchorId="7B5654A5" wp14:editId="39FA2964">
            <wp:extent cx="608400" cy="612000"/>
            <wp:effectExtent l="0" t="0" r="127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p w:rsidR="0097700F" w:rsidRPr="00B44723" w:rsidRDefault="0097700F" w:rsidP="00B44723">
      <w:pPr>
        <w:spacing w:before="240" w:after="120" w:line="259" w:lineRule="auto"/>
        <w:ind w:right="-329"/>
        <w:rPr>
          <w:b/>
          <w:sz w:val="14"/>
        </w:rPr>
      </w:pPr>
      <w:r w:rsidRPr="00B44723">
        <w:rPr>
          <w:rFonts w:asciiTheme="majorHAnsi" w:eastAsiaTheme="majorEastAsia" w:hAnsiTheme="majorHAnsi" w:cstheme="majorBidi"/>
          <w:b/>
          <w:caps/>
          <w:sz w:val="24"/>
          <w:szCs w:val="32"/>
        </w:rPr>
        <w:t>Inclusive participation</w:t>
      </w:r>
      <w:r w:rsidR="00796054" w:rsidRPr="00B44723">
        <w:rPr>
          <w:rFonts w:asciiTheme="majorHAnsi" w:eastAsiaTheme="majorEastAsia" w:hAnsiTheme="majorHAnsi" w:cstheme="majorBidi"/>
          <w:b/>
          <w:caps/>
          <w:sz w:val="24"/>
          <w:szCs w:val="32"/>
        </w:rPr>
        <w:t>,</w:t>
      </w:r>
      <w:r w:rsidRPr="00B44723">
        <w:rPr>
          <w:rFonts w:asciiTheme="majorHAnsi" w:eastAsiaTheme="majorEastAsia" w:hAnsiTheme="majorHAnsi" w:cstheme="majorBidi"/>
          <w:b/>
          <w:caps/>
          <w:sz w:val="24"/>
          <w:szCs w:val="32"/>
        </w:rPr>
        <w:t xml:space="preserve"> governance</w:t>
      </w:r>
      <w:r w:rsidR="00796054" w:rsidRPr="00B44723">
        <w:rPr>
          <w:rFonts w:asciiTheme="majorHAnsi" w:eastAsiaTheme="majorEastAsia" w:hAnsiTheme="majorHAnsi" w:cstheme="majorBidi"/>
          <w:b/>
          <w:caps/>
          <w:sz w:val="24"/>
          <w:szCs w:val="32"/>
        </w:rPr>
        <w:t xml:space="preserve"> and JUstice </w:t>
      </w:r>
    </w:p>
    <w:p w:rsidR="0097700F" w:rsidRPr="008241B3" w:rsidRDefault="00FC384F" w:rsidP="008241B3">
      <w:pPr>
        <w:spacing w:after="120" w:line="252" w:lineRule="auto"/>
        <w:rPr>
          <w:rFonts w:cstheme="minorHAnsi"/>
          <w:color w:val="auto"/>
        </w:rPr>
      </w:pPr>
      <w:r w:rsidRPr="00B44723">
        <w:rPr>
          <w:rFonts w:cstheme="minorHAnsi"/>
          <w:color w:val="auto"/>
        </w:rPr>
        <w:t>Three</w:t>
      </w:r>
      <w:r w:rsidR="0097700F" w:rsidRPr="008241B3">
        <w:rPr>
          <w:rFonts w:cstheme="minorHAnsi"/>
          <w:color w:val="auto"/>
        </w:rPr>
        <w:t xml:space="preserve"> new initiatives carefully tailored to the Cambodian context were established </w:t>
      </w:r>
      <w:r w:rsidR="00381754">
        <w:rPr>
          <w:rFonts w:cstheme="minorHAnsi"/>
          <w:color w:val="auto"/>
        </w:rPr>
        <w:t>in 2018-19</w:t>
      </w:r>
      <w:r w:rsidR="0097700F" w:rsidRPr="008241B3">
        <w:rPr>
          <w:rFonts w:cstheme="minorHAnsi"/>
          <w:color w:val="auto"/>
        </w:rPr>
        <w:t xml:space="preserve">, creating a strong foundation for future years. Meanwhile, </w:t>
      </w:r>
      <w:r>
        <w:rPr>
          <w:rFonts w:cstheme="minorHAnsi"/>
          <w:color w:val="auto"/>
        </w:rPr>
        <w:t>several</w:t>
      </w:r>
      <w:r w:rsidRPr="008241B3">
        <w:rPr>
          <w:rFonts w:cstheme="minorHAnsi"/>
          <w:color w:val="auto"/>
        </w:rPr>
        <w:t xml:space="preserve"> </w:t>
      </w:r>
      <w:r w:rsidR="0097700F" w:rsidRPr="008241B3">
        <w:rPr>
          <w:rFonts w:cstheme="minorHAnsi"/>
          <w:color w:val="auto"/>
        </w:rPr>
        <w:t>project</w:t>
      </w:r>
      <w:r w:rsidR="00330106">
        <w:rPr>
          <w:rFonts w:cstheme="minorHAnsi"/>
          <w:color w:val="auto"/>
        </w:rPr>
        <w:t>s were</w:t>
      </w:r>
      <w:r w:rsidR="0097700F" w:rsidRPr="008241B3">
        <w:rPr>
          <w:rFonts w:cstheme="minorHAnsi"/>
          <w:color w:val="auto"/>
        </w:rPr>
        <w:t xml:space="preserve"> completed</w:t>
      </w:r>
      <w:r w:rsidR="00381754">
        <w:rPr>
          <w:rFonts w:cstheme="minorHAnsi"/>
          <w:color w:val="auto"/>
        </w:rPr>
        <w:t>,</w:t>
      </w:r>
      <w:r>
        <w:rPr>
          <w:rFonts w:cstheme="minorHAnsi"/>
          <w:color w:val="auto"/>
        </w:rPr>
        <w:t xml:space="preserve"> including the</w:t>
      </w:r>
      <w:r w:rsidR="00330106">
        <w:rPr>
          <w:rFonts w:cstheme="minorHAnsi"/>
          <w:color w:val="auto"/>
        </w:rPr>
        <w:t xml:space="preserve"> </w:t>
      </w:r>
      <w:r w:rsidR="0097700F" w:rsidRPr="008241B3">
        <w:rPr>
          <w:rFonts w:cstheme="minorHAnsi"/>
          <w:color w:val="auto"/>
        </w:rPr>
        <w:t>Community Policing Initiative and the Cambodia Communications Assistance Project.</w:t>
      </w:r>
      <w:r>
        <w:rPr>
          <w:rFonts w:cstheme="minorHAnsi"/>
          <w:color w:val="auto"/>
        </w:rPr>
        <w:t xml:space="preserve"> The completed projects achieved sustainable impacts for the people of Cambodia</w:t>
      </w:r>
      <w:r w:rsidR="00860F9F">
        <w:rPr>
          <w:rFonts w:cstheme="minorHAnsi"/>
          <w:color w:val="auto"/>
        </w:rPr>
        <w:t>.</w:t>
      </w:r>
    </w:p>
    <w:p w:rsidR="00FC384F" w:rsidRPr="00B44723" w:rsidRDefault="00FC384F" w:rsidP="00AD4253">
      <w:pPr>
        <w:spacing w:after="120" w:line="259" w:lineRule="auto"/>
        <w:rPr>
          <w:rFonts w:cstheme="minorHAnsi"/>
          <w:i/>
          <w:color w:val="auto"/>
        </w:rPr>
      </w:pPr>
      <w:r w:rsidRPr="00B44723">
        <w:rPr>
          <w:rFonts w:cstheme="minorHAnsi"/>
          <w:i/>
          <w:color w:val="auto"/>
        </w:rPr>
        <w:t>Inclusive Participation</w:t>
      </w:r>
    </w:p>
    <w:p w:rsidR="0097700F" w:rsidRPr="00AD4253" w:rsidRDefault="0097700F" w:rsidP="00AD4253">
      <w:pPr>
        <w:spacing w:after="120" w:line="259" w:lineRule="auto"/>
        <w:rPr>
          <w:rFonts w:cstheme="minorHAnsi"/>
          <w:color w:val="auto"/>
        </w:rPr>
      </w:pPr>
      <w:r w:rsidRPr="00AD4253">
        <w:rPr>
          <w:rFonts w:cstheme="minorHAnsi"/>
          <w:color w:val="auto"/>
        </w:rPr>
        <w:t xml:space="preserve">A major achievement </w:t>
      </w:r>
      <w:r w:rsidR="00330106">
        <w:rPr>
          <w:rFonts w:cstheme="minorHAnsi"/>
          <w:color w:val="auto"/>
        </w:rPr>
        <w:t>in 2018-19</w:t>
      </w:r>
      <w:r w:rsidRPr="00AD4253">
        <w:rPr>
          <w:rFonts w:cstheme="minorHAnsi"/>
          <w:color w:val="auto"/>
        </w:rPr>
        <w:t xml:space="preserve"> was the</w:t>
      </w:r>
      <w:r w:rsidR="00330106">
        <w:rPr>
          <w:rFonts w:cstheme="minorHAnsi"/>
          <w:color w:val="auto"/>
        </w:rPr>
        <w:t xml:space="preserve"> establishment of a new program, </w:t>
      </w:r>
      <w:r w:rsidRPr="00AD4253">
        <w:rPr>
          <w:rFonts w:cstheme="minorHAnsi"/>
          <w:color w:val="auto"/>
        </w:rPr>
        <w:t xml:space="preserve">Australia-Cambodia Cooperation for Equitable Sustainable </w:t>
      </w:r>
      <w:r w:rsidR="00FC384F">
        <w:rPr>
          <w:rFonts w:cstheme="minorHAnsi"/>
          <w:color w:val="auto"/>
        </w:rPr>
        <w:t xml:space="preserve">Services </w:t>
      </w:r>
      <w:r w:rsidRPr="00AD4253">
        <w:rPr>
          <w:rFonts w:cstheme="minorHAnsi"/>
          <w:color w:val="auto"/>
        </w:rPr>
        <w:t>(ACCESS</w:t>
      </w:r>
      <w:r w:rsidR="00AD4253" w:rsidRPr="00AD4253">
        <w:rPr>
          <w:rFonts w:cstheme="minorHAnsi"/>
          <w:color w:val="auto"/>
        </w:rPr>
        <w:t>, $15 million, 2018-22</w:t>
      </w:r>
      <w:r w:rsidR="00330106">
        <w:rPr>
          <w:rFonts w:cstheme="minorHAnsi"/>
          <w:color w:val="auto"/>
        </w:rPr>
        <w:t xml:space="preserve">). </w:t>
      </w:r>
      <w:r w:rsidRPr="00AD4253">
        <w:rPr>
          <w:rFonts w:cstheme="minorHAnsi"/>
          <w:color w:val="auto"/>
        </w:rPr>
        <w:t xml:space="preserve">ACCESS aims to improve the sustainability of quality, inclusive services for people with a disability and </w:t>
      </w:r>
      <w:r w:rsidR="00860F9F">
        <w:rPr>
          <w:rFonts w:cstheme="minorHAnsi"/>
          <w:color w:val="auto"/>
        </w:rPr>
        <w:t>women</w:t>
      </w:r>
      <w:r w:rsidR="00860F9F" w:rsidRPr="00AD4253">
        <w:rPr>
          <w:rFonts w:cstheme="minorHAnsi"/>
          <w:color w:val="auto"/>
        </w:rPr>
        <w:t xml:space="preserve"> </w:t>
      </w:r>
      <w:r w:rsidRPr="00AD4253">
        <w:rPr>
          <w:rFonts w:cstheme="minorHAnsi"/>
          <w:color w:val="auto"/>
        </w:rPr>
        <w:t xml:space="preserve">affected by violence. </w:t>
      </w:r>
    </w:p>
    <w:p w:rsidR="0097700F" w:rsidRPr="00AD4253" w:rsidRDefault="0097700F" w:rsidP="00AD4253">
      <w:pPr>
        <w:spacing w:after="120" w:line="259" w:lineRule="auto"/>
        <w:rPr>
          <w:rFonts w:cstheme="minorHAnsi"/>
          <w:color w:val="auto"/>
        </w:rPr>
      </w:pPr>
      <w:r w:rsidRPr="00AD4253">
        <w:rPr>
          <w:rFonts w:cstheme="minorHAnsi"/>
          <w:color w:val="auto"/>
        </w:rPr>
        <w:t xml:space="preserve">ACCESS represents a shift from past Australian support that directly funded services for Cambodians, to a greater focus on supporting stronger </w:t>
      </w:r>
      <w:r w:rsidR="00AD4253" w:rsidRPr="00AD4253">
        <w:rPr>
          <w:rFonts w:cstheme="minorHAnsi"/>
          <w:color w:val="auto"/>
        </w:rPr>
        <w:t>Cambodian Government</w:t>
      </w:r>
      <w:r w:rsidRPr="00AD4253">
        <w:rPr>
          <w:rFonts w:cstheme="minorHAnsi"/>
          <w:color w:val="auto"/>
        </w:rPr>
        <w:t xml:space="preserve"> policy</w:t>
      </w:r>
      <w:r w:rsidR="00586330">
        <w:rPr>
          <w:rFonts w:cstheme="minorHAnsi"/>
          <w:color w:val="auto"/>
        </w:rPr>
        <w:t xml:space="preserve"> implementation </w:t>
      </w:r>
      <w:r w:rsidRPr="00AD4253">
        <w:rPr>
          <w:rFonts w:cstheme="minorHAnsi"/>
          <w:color w:val="auto"/>
        </w:rPr>
        <w:t>and budget processes to ensure sustainable fina</w:t>
      </w:r>
      <w:r w:rsidR="00330106">
        <w:rPr>
          <w:rFonts w:cstheme="minorHAnsi"/>
          <w:color w:val="auto"/>
        </w:rPr>
        <w:t>ncing for these services longer-</w:t>
      </w:r>
      <w:r w:rsidRPr="00AD4253">
        <w:rPr>
          <w:rFonts w:cstheme="minorHAnsi"/>
          <w:color w:val="auto"/>
        </w:rPr>
        <w:t xml:space="preserve">term. ACCESS recognises Cambodia’s recent transition to (lower) middle-income status and increasing access to public and private sector funding. </w:t>
      </w:r>
    </w:p>
    <w:p w:rsidR="00AD4253" w:rsidRDefault="00330106" w:rsidP="00AD4253">
      <w:pPr>
        <w:spacing w:after="120" w:line="259" w:lineRule="auto"/>
        <w:rPr>
          <w:rFonts w:cstheme="minorHAnsi"/>
          <w:color w:val="auto"/>
        </w:rPr>
      </w:pPr>
      <w:r>
        <w:rPr>
          <w:rFonts w:cstheme="minorHAnsi"/>
          <w:color w:val="auto"/>
        </w:rPr>
        <w:t xml:space="preserve">The program </w:t>
      </w:r>
      <w:r w:rsidR="0097700F" w:rsidRPr="00AD4253">
        <w:rPr>
          <w:rFonts w:cstheme="minorHAnsi"/>
          <w:color w:val="auto"/>
        </w:rPr>
        <w:t xml:space="preserve">is already proving effective at bringing government policy makers (including </w:t>
      </w:r>
      <w:r w:rsidR="00860F9F">
        <w:rPr>
          <w:rFonts w:cstheme="minorHAnsi"/>
          <w:color w:val="auto"/>
        </w:rPr>
        <w:t xml:space="preserve">the </w:t>
      </w:r>
      <w:r w:rsidR="0097700F" w:rsidRPr="00AD4253">
        <w:rPr>
          <w:rFonts w:cstheme="minorHAnsi"/>
          <w:color w:val="auto"/>
        </w:rPr>
        <w:t xml:space="preserve">Ministry of Women’s Affairs, </w:t>
      </w:r>
      <w:r w:rsidR="00860F9F">
        <w:rPr>
          <w:rFonts w:cstheme="minorHAnsi"/>
          <w:color w:val="auto"/>
        </w:rPr>
        <w:t xml:space="preserve">the </w:t>
      </w:r>
      <w:r w:rsidR="0097700F" w:rsidRPr="00AD4253">
        <w:rPr>
          <w:rFonts w:cstheme="minorHAnsi"/>
          <w:color w:val="auto"/>
        </w:rPr>
        <w:t xml:space="preserve">Ministry of Social Affairs, </w:t>
      </w:r>
      <w:r w:rsidR="00860F9F">
        <w:rPr>
          <w:rFonts w:cstheme="minorHAnsi"/>
          <w:color w:val="auto"/>
        </w:rPr>
        <w:t xml:space="preserve">the </w:t>
      </w:r>
      <w:r w:rsidR="0097700F" w:rsidRPr="00AD4253">
        <w:rPr>
          <w:rFonts w:cstheme="minorHAnsi"/>
          <w:color w:val="auto"/>
        </w:rPr>
        <w:t>Veterans and Youth Rehabilitation, the Disability Action Council, and, importantly, the Ministry of Economy and Finance) together with UN agencies, non-government organisations and the private sector to plan and use resources more effectively</w:t>
      </w:r>
      <w:r w:rsidR="00FC384F">
        <w:rPr>
          <w:rFonts w:cstheme="minorHAnsi"/>
          <w:color w:val="auto"/>
        </w:rPr>
        <w:t>,</w:t>
      </w:r>
      <w:r w:rsidR="0097700F" w:rsidRPr="00AD4253">
        <w:rPr>
          <w:rFonts w:cstheme="minorHAnsi"/>
          <w:color w:val="auto"/>
        </w:rPr>
        <w:t xml:space="preserve"> and to sustainably improve services for persons with disabilities and women affected by GBV.</w:t>
      </w:r>
    </w:p>
    <w:p w:rsidR="0097700F" w:rsidRDefault="0097700F" w:rsidP="00AD4253">
      <w:pPr>
        <w:spacing w:after="120" w:line="259" w:lineRule="auto"/>
        <w:rPr>
          <w:rFonts w:cstheme="minorHAnsi"/>
          <w:color w:val="auto"/>
        </w:rPr>
      </w:pPr>
      <w:r w:rsidRPr="00AD4253">
        <w:rPr>
          <w:rFonts w:cstheme="minorHAnsi"/>
          <w:color w:val="auto"/>
        </w:rPr>
        <w:lastRenderedPageBreak/>
        <w:t xml:space="preserve">Planning is underway for collaborative government-CSO activities that will help implement the </w:t>
      </w:r>
      <w:r w:rsidR="00AD4253" w:rsidRPr="00AD4253">
        <w:rPr>
          <w:rFonts w:cstheme="minorHAnsi"/>
          <w:color w:val="auto"/>
        </w:rPr>
        <w:t>Cambodian Government’s</w:t>
      </w:r>
      <w:r w:rsidRPr="00AD4253">
        <w:rPr>
          <w:rFonts w:cstheme="minorHAnsi"/>
          <w:color w:val="auto"/>
        </w:rPr>
        <w:t xml:space="preserve"> commitments to international conventions relating to the rights of people with disabilities a</w:t>
      </w:r>
      <w:r w:rsidR="00AD4253">
        <w:rPr>
          <w:rFonts w:cstheme="minorHAnsi"/>
          <w:color w:val="auto"/>
        </w:rPr>
        <w:t xml:space="preserve">nd discrimination against women. </w:t>
      </w:r>
    </w:p>
    <w:p w:rsidR="000F40B5" w:rsidRPr="000F40B5" w:rsidRDefault="000F40B5" w:rsidP="000F40B5">
      <w:pPr>
        <w:spacing w:after="120" w:line="259" w:lineRule="auto"/>
        <w:rPr>
          <w:rFonts w:cstheme="minorHAnsi"/>
          <w:color w:val="auto"/>
        </w:rPr>
      </w:pPr>
      <w:r w:rsidRPr="000F40B5">
        <w:rPr>
          <w:rFonts w:cstheme="minorHAnsi"/>
          <w:color w:val="auto"/>
        </w:rPr>
        <w:t>ACCESS builds on Australia’s</w:t>
      </w:r>
      <w:r w:rsidR="00A8797F" w:rsidRPr="000F40B5">
        <w:rPr>
          <w:rFonts w:cstheme="minorHAnsi"/>
          <w:color w:val="auto"/>
        </w:rPr>
        <w:t xml:space="preserve"> longstanding and widely recognised commitment to the promotion of gender equality in Cambodia acro</w:t>
      </w:r>
      <w:r w:rsidRPr="000F40B5">
        <w:rPr>
          <w:rFonts w:cstheme="minorHAnsi"/>
          <w:color w:val="auto"/>
        </w:rPr>
        <w:t>ss the range of our engagements, in areas of development cooperation, foreign policy, economic coo</w:t>
      </w:r>
      <w:r w:rsidR="00330106">
        <w:rPr>
          <w:rFonts w:cstheme="minorHAnsi"/>
          <w:color w:val="auto"/>
        </w:rPr>
        <w:t>peration and public diplomacy. For example, p</w:t>
      </w:r>
      <w:r w:rsidRPr="000F40B5">
        <w:rPr>
          <w:rFonts w:cstheme="minorHAnsi"/>
          <w:color w:val="auto"/>
        </w:rPr>
        <w:t>romoting gender equality has been a focus of public diplomacy activities</w:t>
      </w:r>
      <w:r>
        <w:rPr>
          <w:rFonts w:cstheme="minorHAnsi"/>
          <w:color w:val="auto"/>
        </w:rPr>
        <w:t xml:space="preserve"> through</w:t>
      </w:r>
      <w:r w:rsidRPr="000F40B5">
        <w:rPr>
          <w:rFonts w:cstheme="minorHAnsi"/>
          <w:color w:val="auto"/>
        </w:rPr>
        <w:t xml:space="preserve"> events and social m</w:t>
      </w:r>
      <w:r>
        <w:rPr>
          <w:rFonts w:cstheme="minorHAnsi"/>
          <w:color w:val="auto"/>
        </w:rPr>
        <w:t>e</w:t>
      </w:r>
      <w:r w:rsidRPr="000F40B5">
        <w:rPr>
          <w:rFonts w:cstheme="minorHAnsi"/>
          <w:color w:val="auto"/>
        </w:rPr>
        <w:t xml:space="preserve">dia. About 20 per cent of the Australian Embassy in Cambodia’s social media messages are focused on gender equality. </w:t>
      </w:r>
    </w:p>
    <w:p w:rsidR="00330106" w:rsidRDefault="00330106" w:rsidP="00A47AA7">
      <w:pPr>
        <w:spacing w:after="120" w:line="259" w:lineRule="auto"/>
        <w:rPr>
          <w:rFonts w:cstheme="minorHAnsi"/>
          <w:color w:val="auto"/>
        </w:rPr>
      </w:pPr>
      <w:r>
        <w:rPr>
          <w:rFonts w:cstheme="minorHAnsi"/>
          <w:color w:val="auto"/>
        </w:rPr>
        <w:t>In 2019-20, w</w:t>
      </w:r>
      <w:r w:rsidRPr="00A47AA7">
        <w:rPr>
          <w:rFonts w:cstheme="minorHAnsi"/>
          <w:color w:val="auto"/>
        </w:rPr>
        <w:t>e will continue to explore opportunities to maintain and deepen our support for gender equality in Cambodia. This is likely to include support for the National Institute of Diplomacy and International Relations, Cambodia’s newly-established Diplomatic Academy equivalent, by providing leadership training for female diplomats.</w:t>
      </w:r>
      <w:r w:rsidR="005610D5">
        <w:rPr>
          <w:rFonts w:cstheme="minorHAnsi"/>
          <w:color w:val="auto"/>
        </w:rPr>
        <w:t xml:space="preserve"> Learnings from the ACCESS program will help guide efforts to address mainstreaming inclusion across other investments</w:t>
      </w:r>
      <w:r w:rsidR="00BC0F32">
        <w:rPr>
          <w:rFonts w:cstheme="minorHAnsi"/>
          <w:color w:val="auto"/>
        </w:rPr>
        <w:t xml:space="preserve"> further</w:t>
      </w:r>
      <w:r w:rsidR="005610D5">
        <w:rPr>
          <w:rFonts w:cstheme="minorHAnsi"/>
          <w:color w:val="auto"/>
        </w:rPr>
        <w:t xml:space="preserve">. </w:t>
      </w:r>
    </w:p>
    <w:p w:rsidR="00A47AA7" w:rsidRPr="00A47AA7" w:rsidRDefault="00A47AA7" w:rsidP="00A47AA7">
      <w:pPr>
        <w:spacing w:after="120" w:line="259" w:lineRule="auto"/>
        <w:rPr>
          <w:rFonts w:cstheme="minorHAnsi"/>
          <w:i/>
          <w:color w:val="auto"/>
        </w:rPr>
      </w:pPr>
      <w:r>
        <w:rPr>
          <w:rFonts w:cstheme="minorHAnsi"/>
          <w:i/>
          <w:color w:val="auto"/>
        </w:rPr>
        <w:t xml:space="preserve">Governance </w:t>
      </w:r>
    </w:p>
    <w:p w:rsidR="0079715F" w:rsidRDefault="00A47AA7" w:rsidP="000F40B5">
      <w:pPr>
        <w:spacing w:after="120" w:line="259" w:lineRule="auto"/>
        <w:rPr>
          <w:rFonts w:cstheme="minorHAnsi"/>
          <w:color w:val="auto"/>
        </w:rPr>
      </w:pPr>
      <w:r>
        <w:rPr>
          <w:rFonts w:cstheme="minorHAnsi"/>
          <w:color w:val="auto"/>
        </w:rPr>
        <w:t>Most of our development cooperation programs in Cambodia seek to improve governance</w:t>
      </w:r>
      <w:r w:rsidR="0079715F">
        <w:rPr>
          <w:rFonts w:cstheme="minorHAnsi"/>
          <w:color w:val="auto"/>
        </w:rPr>
        <w:t xml:space="preserve"> practices within Cambodian institutions</w:t>
      </w:r>
      <w:r>
        <w:rPr>
          <w:rFonts w:cstheme="minorHAnsi"/>
          <w:color w:val="auto"/>
        </w:rPr>
        <w:t xml:space="preserve"> in their respective areas of impact. </w:t>
      </w:r>
      <w:r w:rsidR="0079715F">
        <w:rPr>
          <w:rFonts w:cstheme="minorHAnsi"/>
          <w:color w:val="auto"/>
        </w:rPr>
        <w:t xml:space="preserve">In addition, a number of programs specifically target improved governance as a primary objective. </w:t>
      </w:r>
    </w:p>
    <w:p w:rsidR="0079715F" w:rsidRPr="0079715F" w:rsidRDefault="0079715F" w:rsidP="0079715F">
      <w:pPr>
        <w:spacing w:after="120" w:line="259" w:lineRule="auto"/>
        <w:rPr>
          <w:rFonts w:cstheme="minorHAnsi"/>
          <w:color w:val="auto"/>
        </w:rPr>
      </w:pPr>
      <w:r>
        <w:rPr>
          <w:rFonts w:cstheme="minorHAnsi"/>
          <w:color w:val="auto"/>
        </w:rPr>
        <w:t xml:space="preserve">The </w:t>
      </w:r>
      <w:r w:rsidR="00315B0C" w:rsidRPr="00A47AA7">
        <w:rPr>
          <w:rFonts w:cstheme="minorHAnsi"/>
          <w:color w:val="auto"/>
        </w:rPr>
        <w:t>Data and Dialogue for Development</w:t>
      </w:r>
      <w:r>
        <w:rPr>
          <w:rFonts w:cstheme="minorHAnsi"/>
          <w:color w:val="auto"/>
        </w:rPr>
        <w:t xml:space="preserve"> program </w:t>
      </w:r>
      <w:r w:rsidRPr="00A47AA7">
        <w:rPr>
          <w:rFonts w:cstheme="minorHAnsi"/>
          <w:color w:val="auto"/>
        </w:rPr>
        <w:t xml:space="preserve">($2.9 million, 2019‒22) </w:t>
      </w:r>
      <w:r>
        <w:rPr>
          <w:rFonts w:cstheme="minorHAnsi"/>
          <w:color w:val="auto"/>
        </w:rPr>
        <w:t>was established in 2019</w:t>
      </w:r>
      <w:r w:rsidR="00381754">
        <w:rPr>
          <w:rFonts w:cstheme="minorHAnsi"/>
          <w:color w:val="auto"/>
        </w:rPr>
        <w:t>. It is</w:t>
      </w:r>
      <w:r w:rsidR="00FC384F">
        <w:rPr>
          <w:rFonts w:cstheme="minorHAnsi"/>
          <w:color w:val="auto"/>
        </w:rPr>
        <w:t xml:space="preserve"> also known by its Khmer name, </w:t>
      </w:r>
      <w:r w:rsidR="00FC384F">
        <w:rPr>
          <w:rFonts w:cstheme="minorHAnsi"/>
          <w:i/>
          <w:color w:val="auto"/>
        </w:rPr>
        <w:t xml:space="preserve">Ponlok Chomnes </w:t>
      </w:r>
      <w:r w:rsidR="00FC384F">
        <w:rPr>
          <w:rFonts w:cstheme="minorHAnsi"/>
          <w:color w:val="auto"/>
        </w:rPr>
        <w:t>(Sprouting Knowledge)</w:t>
      </w:r>
      <w:r>
        <w:rPr>
          <w:rFonts w:cstheme="minorHAnsi"/>
          <w:color w:val="auto"/>
        </w:rPr>
        <w:t>.</w:t>
      </w:r>
      <w:r w:rsidR="00315B0C" w:rsidRPr="00A47AA7">
        <w:rPr>
          <w:rFonts w:cstheme="minorHAnsi"/>
          <w:color w:val="auto"/>
        </w:rPr>
        <w:t xml:space="preserve"> </w:t>
      </w:r>
      <w:r w:rsidRPr="0079715F">
        <w:rPr>
          <w:rFonts w:cstheme="minorHAnsi"/>
          <w:color w:val="auto"/>
        </w:rPr>
        <w:t>The project aims to strengthen the capacity of Cambodian knowledge sector institutions</w:t>
      </w:r>
      <w:r w:rsidR="00E85362">
        <w:rPr>
          <w:rFonts w:cstheme="minorHAnsi"/>
          <w:color w:val="auto"/>
        </w:rPr>
        <w:t>,</w:t>
      </w:r>
      <w:r w:rsidRPr="0079715F">
        <w:rPr>
          <w:rFonts w:cstheme="minorHAnsi"/>
          <w:color w:val="auto"/>
        </w:rPr>
        <w:t xml:space="preserve"> such as think tanks</w:t>
      </w:r>
      <w:r w:rsidR="00E85362">
        <w:rPr>
          <w:rFonts w:cstheme="minorHAnsi"/>
          <w:color w:val="auto"/>
        </w:rPr>
        <w:t>,</w:t>
      </w:r>
      <w:r w:rsidRPr="0079715F">
        <w:rPr>
          <w:rFonts w:cstheme="minorHAnsi"/>
          <w:color w:val="auto"/>
        </w:rPr>
        <w:t xml:space="preserve"> to undertake quality research that informs public policy analysis and dialogue. </w:t>
      </w:r>
      <w:r w:rsidR="0097700F" w:rsidRPr="0079715F">
        <w:rPr>
          <w:rFonts w:cstheme="minorHAnsi"/>
          <w:color w:val="auto"/>
        </w:rPr>
        <w:t xml:space="preserve">The initiative is implemented by the Asia Foundation and is the only significant donor-funded initiative dedicated to improving the quality of policy research and its uptake in Cambodia. </w:t>
      </w:r>
    </w:p>
    <w:p w:rsidR="0079715F" w:rsidRPr="0079715F" w:rsidRDefault="00332728" w:rsidP="0079715F">
      <w:pPr>
        <w:spacing w:after="120" w:line="259" w:lineRule="auto"/>
        <w:rPr>
          <w:rFonts w:cstheme="minorHAnsi"/>
          <w:color w:val="auto"/>
        </w:rPr>
      </w:pPr>
      <w:r>
        <w:rPr>
          <w:rFonts w:cstheme="minorHAnsi"/>
          <w:color w:val="auto"/>
        </w:rPr>
        <w:t>This initiative</w:t>
      </w:r>
      <w:r w:rsidRPr="0079715F">
        <w:rPr>
          <w:rFonts w:cstheme="minorHAnsi"/>
          <w:color w:val="auto"/>
        </w:rPr>
        <w:t xml:space="preserve"> </w:t>
      </w:r>
      <w:r w:rsidR="0097700F" w:rsidRPr="0079715F">
        <w:rPr>
          <w:rFonts w:cstheme="minorHAnsi"/>
          <w:color w:val="auto"/>
        </w:rPr>
        <w:t>leverages Australia’s reputation as a provider of quality education and research, and a country with good government systems for applying evidence and data in policymaking processes. This new area for d</w:t>
      </w:r>
      <w:r w:rsidR="0079715F" w:rsidRPr="0079715F">
        <w:rPr>
          <w:rFonts w:cstheme="minorHAnsi"/>
          <w:color w:val="auto"/>
        </w:rPr>
        <w:t xml:space="preserve">evelopment cooperation </w:t>
      </w:r>
      <w:r w:rsidR="0097700F" w:rsidRPr="0079715F">
        <w:rPr>
          <w:rFonts w:cstheme="minorHAnsi"/>
          <w:color w:val="auto"/>
        </w:rPr>
        <w:t xml:space="preserve">will be of increasing importance as Cambodia encounters more complex demands for evidence-informed policy. </w:t>
      </w:r>
    </w:p>
    <w:p w:rsidR="00313185" w:rsidRPr="00313185" w:rsidRDefault="00381754" w:rsidP="00313185">
      <w:pPr>
        <w:spacing w:after="120" w:line="259" w:lineRule="auto"/>
        <w:rPr>
          <w:rFonts w:cstheme="minorHAnsi"/>
          <w:color w:val="auto"/>
        </w:rPr>
      </w:pPr>
      <w:r>
        <w:rPr>
          <w:rFonts w:cstheme="minorHAnsi"/>
          <w:color w:val="auto"/>
        </w:rPr>
        <w:t>Stage three</w:t>
      </w:r>
      <w:r w:rsidR="001D2ECD">
        <w:rPr>
          <w:rFonts w:cstheme="minorHAnsi"/>
          <w:color w:val="auto"/>
        </w:rPr>
        <w:t xml:space="preserve"> of </w:t>
      </w:r>
      <w:r w:rsidR="003E064A">
        <w:rPr>
          <w:rFonts w:cstheme="minorHAnsi"/>
          <w:color w:val="auto"/>
        </w:rPr>
        <w:t>t</w:t>
      </w:r>
      <w:r w:rsidR="00313185" w:rsidRPr="00313185">
        <w:rPr>
          <w:rFonts w:cstheme="minorHAnsi"/>
          <w:color w:val="auto"/>
        </w:rPr>
        <w:t xml:space="preserve">he </w:t>
      </w:r>
      <w:r w:rsidR="00315B0C" w:rsidRPr="00313185">
        <w:rPr>
          <w:rFonts w:cstheme="minorHAnsi"/>
          <w:color w:val="auto"/>
        </w:rPr>
        <w:t>Public Financial Management Reform Project (PFM</w:t>
      </w:r>
      <w:r w:rsidR="00313185" w:rsidRPr="00313185">
        <w:rPr>
          <w:rFonts w:cstheme="minorHAnsi"/>
          <w:color w:val="auto"/>
        </w:rPr>
        <w:t xml:space="preserve"> Project, $2 million, 2019-22</w:t>
      </w:r>
      <w:r w:rsidR="00313185">
        <w:rPr>
          <w:rFonts w:cstheme="minorHAnsi"/>
          <w:color w:val="auto"/>
        </w:rPr>
        <w:t xml:space="preserve">) </w:t>
      </w:r>
      <w:r w:rsidR="003E064A">
        <w:rPr>
          <w:rFonts w:cstheme="minorHAnsi"/>
          <w:color w:val="auto"/>
        </w:rPr>
        <w:t>continued</w:t>
      </w:r>
      <w:r w:rsidR="00313185">
        <w:rPr>
          <w:rFonts w:cstheme="minorHAnsi"/>
          <w:color w:val="auto"/>
        </w:rPr>
        <w:t xml:space="preserve"> in 2019. It assists</w:t>
      </w:r>
      <w:r w:rsidR="00315B0C" w:rsidRPr="00313185">
        <w:rPr>
          <w:rFonts w:cstheme="minorHAnsi"/>
          <w:color w:val="auto"/>
        </w:rPr>
        <w:t xml:space="preserve"> the Ministry of Economy and Finance to adopt transparent, program-based budgeting</w:t>
      </w:r>
      <w:r w:rsidR="00313185">
        <w:rPr>
          <w:rFonts w:cstheme="minorHAnsi"/>
          <w:color w:val="auto"/>
        </w:rPr>
        <w:t>.</w:t>
      </w:r>
      <w:r w:rsidR="00313185" w:rsidRPr="00313185">
        <w:rPr>
          <w:rFonts w:cstheme="minorHAnsi"/>
          <w:color w:val="auto"/>
        </w:rPr>
        <w:t xml:space="preserve"> This </w:t>
      </w:r>
      <w:r w:rsidR="001D2ECD">
        <w:rPr>
          <w:rFonts w:cstheme="minorHAnsi"/>
          <w:color w:val="auto"/>
        </w:rPr>
        <w:t xml:space="preserve">ongoing central reform </w:t>
      </w:r>
      <w:r w:rsidR="00313185" w:rsidRPr="00313185">
        <w:rPr>
          <w:rFonts w:cstheme="minorHAnsi"/>
          <w:color w:val="auto"/>
        </w:rPr>
        <w:t xml:space="preserve">program </w:t>
      </w:r>
      <w:r w:rsidR="0060650F">
        <w:rPr>
          <w:rFonts w:cstheme="minorHAnsi"/>
          <w:color w:val="auto"/>
        </w:rPr>
        <w:t>has seen strong</w:t>
      </w:r>
      <w:r w:rsidR="00313185" w:rsidRPr="00313185">
        <w:rPr>
          <w:rFonts w:cstheme="minorHAnsi"/>
          <w:color w:val="auto"/>
        </w:rPr>
        <w:t xml:space="preserve"> results, </w:t>
      </w:r>
      <w:r w:rsidR="00332728">
        <w:rPr>
          <w:rFonts w:cstheme="minorHAnsi"/>
          <w:color w:val="auto"/>
        </w:rPr>
        <w:t xml:space="preserve">and builds on a previous phase that supported the </w:t>
      </w:r>
      <w:r w:rsidR="0060650F">
        <w:rPr>
          <w:rFonts w:cstheme="minorHAnsi"/>
          <w:color w:val="auto"/>
        </w:rPr>
        <w:t xml:space="preserve">introduction of </w:t>
      </w:r>
      <w:r w:rsidR="00313185" w:rsidRPr="00313185">
        <w:rPr>
          <w:rFonts w:cstheme="minorHAnsi"/>
          <w:color w:val="auto"/>
        </w:rPr>
        <w:t>cashless payroll processes to prevent fraud in the payment of civil servant salaries.</w:t>
      </w:r>
      <w:r w:rsidR="008F5810">
        <w:rPr>
          <w:rFonts w:cstheme="minorHAnsi"/>
          <w:color w:val="auto"/>
        </w:rPr>
        <w:t xml:space="preserve"> Strengthening public financial management across a range of sectors and ministries will continue be an important focus of the program moving forward. </w:t>
      </w:r>
    </w:p>
    <w:p w:rsidR="006E5F43" w:rsidRPr="006E5F43" w:rsidRDefault="00332728" w:rsidP="006E5F43">
      <w:pPr>
        <w:spacing w:after="120" w:line="259" w:lineRule="auto"/>
        <w:rPr>
          <w:rFonts w:cstheme="minorHAnsi"/>
          <w:color w:val="auto"/>
        </w:rPr>
      </w:pPr>
      <w:r>
        <w:rPr>
          <w:rFonts w:cstheme="minorHAnsi"/>
          <w:color w:val="auto"/>
        </w:rPr>
        <w:t>Local-level democratic</w:t>
      </w:r>
      <w:r w:rsidRPr="006E5F43">
        <w:rPr>
          <w:rFonts w:cstheme="minorHAnsi"/>
          <w:color w:val="auto"/>
        </w:rPr>
        <w:t xml:space="preserve"> </w:t>
      </w:r>
      <w:r w:rsidR="005565BA" w:rsidRPr="006E5F43">
        <w:rPr>
          <w:rFonts w:cstheme="minorHAnsi"/>
          <w:color w:val="auto"/>
        </w:rPr>
        <w:t>governance was improved through the Cambodia Communications Assistance Project Phase II (CCAP 2, $3.5 million, 2015-19)</w:t>
      </w:r>
      <w:r w:rsidR="00381754">
        <w:rPr>
          <w:rFonts w:cstheme="minorHAnsi"/>
          <w:color w:val="auto"/>
        </w:rPr>
        <w:t>,</w:t>
      </w:r>
      <w:r w:rsidR="005565BA" w:rsidRPr="006E5F43">
        <w:rPr>
          <w:rFonts w:cstheme="minorHAnsi"/>
          <w:color w:val="auto"/>
        </w:rPr>
        <w:t xml:space="preserve"> which was implemented by ABC International Development.</w:t>
      </w:r>
      <w:r w:rsidR="006E5F43" w:rsidRPr="006E5F43">
        <w:rPr>
          <w:rFonts w:cstheme="minorHAnsi"/>
          <w:color w:val="auto"/>
        </w:rPr>
        <w:t xml:space="preserve"> The project aimed to provide comprehensive training and mentorship to four Provincial Departments of Information (PDIs) and a community radio station. Over 3,000 programs of </w:t>
      </w:r>
      <w:r w:rsidR="006E5F43" w:rsidRPr="00E85362">
        <w:rPr>
          <w:rFonts w:cstheme="minorHAnsi"/>
          <w:i/>
          <w:color w:val="auto"/>
        </w:rPr>
        <w:t>Talkback</w:t>
      </w:r>
      <w:r w:rsidR="006E5F43" w:rsidRPr="006E5F43">
        <w:rPr>
          <w:rFonts w:cstheme="minorHAnsi"/>
          <w:color w:val="auto"/>
        </w:rPr>
        <w:t xml:space="preserve"> were produced. This was a daily one-hour live discussion about good governance, which featured local officials answering listener questions</w:t>
      </w:r>
      <w:r w:rsidR="0060650F">
        <w:rPr>
          <w:rFonts w:cstheme="minorHAnsi"/>
          <w:color w:val="auto"/>
        </w:rPr>
        <w:t>.</w:t>
      </w:r>
      <w:r w:rsidR="006E5F43" w:rsidRPr="006E5F43">
        <w:rPr>
          <w:rFonts w:cstheme="minorHAnsi"/>
          <w:color w:val="auto"/>
        </w:rPr>
        <w:t xml:space="preserve"> The weekly talkback radio program</w:t>
      </w:r>
      <w:r w:rsidR="00AE1F8D">
        <w:rPr>
          <w:rFonts w:cstheme="minorHAnsi"/>
          <w:color w:val="auto"/>
        </w:rPr>
        <w:t>,</w:t>
      </w:r>
      <w:r w:rsidR="00E85362">
        <w:rPr>
          <w:rFonts w:cstheme="minorHAnsi"/>
          <w:color w:val="auto"/>
        </w:rPr>
        <w:t xml:space="preserve"> which</w:t>
      </w:r>
      <w:r w:rsidR="006E5F43" w:rsidRPr="006E5F43">
        <w:rPr>
          <w:rFonts w:cstheme="minorHAnsi"/>
          <w:color w:val="auto"/>
        </w:rPr>
        <w:t xml:space="preserve"> focused on addressing GBV issues</w:t>
      </w:r>
      <w:r w:rsidR="00AE1F8D">
        <w:rPr>
          <w:rFonts w:cstheme="minorHAnsi"/>
          <w:color w:val="auto"/>
        </w:rPr>
        <w:t>,</w:t>
      </w:r>
      <w:r w:rsidR="006E5F43" w:rsidRPr="006E5F43">
        <w:rPr>
          <w:rFonts w:cstheme="minorHAnsi"/>
          <w:color w:val="auto"/>
        </w:rPr>
        <w:t xml:space="preserve"> produced </w:t>
      </w:r>
      <w:r w:rsidR="00E85362">
        <w:rPr>
          <w:rFonts w:cstheme="minorHAnsi"/>
          <w:color w:val="auto"/>
        </w:rPr>
        <w:t>over 66</w:t>
      </w:r>
      <w:r w:rsidR="006E5F43" w:rsidRPr="006E5F43">
        <w:rPr>
          <w:rFonts w:cstheme="minorHAnsi"/>
          <w:color w:val="auto"/>
        </w:rPr>
        <w:t>0 hours of broadcasts, taking 2,670 questions related to domestic violence (55 per cent from women).</w:t>
      </w:r>
    </w:p>
    <w:p w:rsidR="00A47AA7" w:rsidRPr="005565BA" w:rsidRDefault="005565BA" w:rsidP="00547F34">
      <w:pPr>
        <w:spacing w:after="120"/>
        <w:rPr>
          <w:rFonts w:cstheme="minorHAnsi"/>
          <w:color w:val="auto"/>
        </w:rPr>
      </w:pPr>
      <w:r w:rsidRPr="005565BA">
        <w:rPr>
          <w:rFonts w:cstheme="minorHAnsi"/>
          <w:color w:val="auto"/>
        </w:rPr>
        <w:t xml:space="preserve">The </w:t>
      </w:r>
      <w:r w:rsidR="006E5F43">
        <w:rPr>
          <w:rFonts w:cstheme="minorHAnsi"/>
          <w:color w:val="auto"/>
        </w:rPr>
        <w:t xml:space="preserve">radio </w:t>
      </w:r>
      <w:r w:rsidRPr="005565BA">
        <w:rPr>
          <w:rFonts w:cstheme="minorHAnsi"/>
          <w:color w:val="auto"/>
        </w:rPr>
        <w:t>talkback programs established</w:t>
      </w:r>
      <w:r w:rsidR="00E85362">
        <w:rPr>
          <w:rFonts w:cstheme="minorHAnsi"/>
          <w:color w:val="auto"/>
        </w:rPr>
        <w:t xml:space="preserve"> by CCAP 2</w:t>
      </w:r>
      <w:r w:rsidRPr="005565BA">
        <w:rPr>
          <w:rFonts w:cstheme="minorHAnsi"/>
          <w:color w:val="auto"/>
        </w:rPr>
        <w:t xml:space="preserve"> provide</w:t>
      </w:r>
      <w:r w:rsidR="006E5F43">
        <w:rPr>
          <w:rFonts w:cstheme="minorHAnsi"/>
          <w:color w:val="auto"/>
        </w:rPr>
        <w:t>d</w:t>
      </w:r>
      <w:r w:rsidRPr="005565BA">
        <w:rPr>
          <w:rFonts w:cstheme="minorHAnsi"/>
          <w:color w:val="auto"/>
        </w:rPr>
        <w:t xml:space="preserve"> a bridge between citizens and local government</w:t>
      </w:r>
      <w:r w:rsidR="006E5F43">
        <w:rPr>
          <w:rFonts w:cstheme="minorHAnsi"/>
          <w:color w:val="auto"/>
        </w:rPr>
        <w:t>, and improved accountability</w:t>
      </w:r>
      <w:r w:rsidRPr="005565BA">
        <w:rPr>
          <w:rFonts w:cstheme="minorHAnsi"/>
          <w:color w:val="auto"/>
        </w:rPr>
        <w:t>. The program met its objective in contributing to changes in listener attitudes and the responsiveness of local officials. The end-line research found that 65 per cent of listeners believe</w:t>
      </w:r>
      <w:r w:rsidR="00E85362">
        <w:rPr>
          <w:rFonts w:cstheme="minorHAnsi"/>
          <w:color w:val="auto"/>
        </w:rPr>
        <w:t>d</w:t>
      </w:r>
      <w:r w:rsidRPr="005565BA">
        <w:rPr>
          <w:rFonts w:cstheme="minorHAnsi"/>
          <w:color w:val="auto"/>
        </w:rPr>
        <w:t xml:space="preserve"> in the right to question local authorities about their performance, compared to 22 per cent of non-listeners. It also found that listeners possessed a higher knowledge of domestic violence issues, such </w:t>
      </w:r>
      <w:r w:rsidRPr="005565BA">
        <w:rPr>
          <w:rFonts w:cstheme="minorHAnsi"/>
          <w:color w:val="auto"/>
        </w:rPr>
        <w:lastRenderedPageBreak/>
        <w:t xml:space="preserve">as knowledge of the domestic violence reporting hotline (56 per cent of listeners compared </w:t>
      </w:r>
      <w:r w:rsidR="008F5B87">
        <w:rPr>
          <w:rFonts w:cstheme="minorHAnsi"/>
          <w:color w:val="auto"/>
        </w:rPr>
        <w:t xml:space="preserve">to </w:t>
      </w:r>
      <w:r w:rsidRPr="005565BA">
        <w:rPr>
          <w:rFonts w:cstheme="minorHAnsi"/>
          <w:color w:val="auto"/>
        </w:rPr>
        <w:t>39 per cent of non-listeners). Community attitudes also shifted. When surveyed in 2018, 66 per cent of people believed domestic violence was an important public issue, which was up from 49 per cent of people surveyed in the same area in 2015.</w:t>
      </w:r>
    </w:p>
    <w:p w:rsidR="00A47AA7" w:rsidRPr="005565BA" w:rsidRDefault="005565BA" w:rsidP="005565BA">
      <w:pPr>
        <w:spacing w:after="120" w:line="259" w:lineRule="auto"/>
        <w:rPr>
          <w:rFonts w:cstheme="minorHAnsi"/>
          <w:color w:val="auto"/>
        </w:rPr>
      </w:pPr>
      <w:r w:rsidRPr="005565BA">
        <w:rPr>
          <w:rFonts w:cstheme="minorHAnsi"/>
          <w:color w:val="auto"/>
        </w:rPr>
        <w:t>While t</w:t>
      </w:r>
      <w:r w:rsidR="00A47AA7" w:rsidRPr="005565BA">
        <w:rPr>
          <w:rFonts w:cstheme="minorHAnsi"/>
          <w:color w:val="auto"/>
        </w:rPr>
        <w:t>he main project activities of CCAP 2 concluded at the end of 2018</w:t>
      </w:r>
      <w:r w:rsidRPr="005565BA">
        <w:rPr>
          <w:rFonts w:cstheme="minorHAnsi"/>
          <w:color w:val="auto"/>
        </w:rPr>
        <w:t>, t</w:t>
      </w:r>
      <w:r w:rsidR="00A47AA7" w:rsidRPr="005565BA">
        <w:rPr>
          <w:rFonts w:cstheme="minorHAnsi"/>
          <w:color w:val="auto"/>
        </w:rPr>
        <w:t xml:space="preserve">he radio shows are still going </w:t>
      </w:r>
      <w:r w:rsidRPr="005565BA">
        <w:rPr>
          <w:rFonts w:cstheme="minorHAnsi"/>
          <w:color w:val="auto"/>
        </w:rPr>
        <w:t xml:space="preserve">to air daily and at good quality. </w:t>
      </w:r>
      <w:r w:rsidR="00A47AA7" w:rsidRPr="005565BA">
        <w:rPr>
          <w:rFonts w:cstheme="minorHAnsi"/>
          <w:color w:val="auto"/>
        </w:rPr>
        <w:t>The shows are also being uploaded to social media and with key officials, including deputy governors, answering questions.</w:t>
      </w:r>
      <w:r w:rsidRPr="005565BA">
        <w:rPr>
          <w:rFonts w:cstheme="minorHAnsi"/>
          <w:color w:val="auto"/>
        </w:rPr>
        <w:t xml:space="preserve"> </w:t>
      </w:r>
    </w:p>
    <w:p w:rsidR="00644FF2" w:rsidRPr="00547F34" w:rsidRDefault="00A47AA7" w:rsidP="00644FF2">
      <w:pPr>
        <w:spacing w:after="120" w:line="259" w:lineRule="auto"/>
        <w:rPr>
          <w:i/>
          <w:color w:val="auto"/>
        </w:rPr>
      </w:pPr>
      <w:r w:rsidRPr="00547F34">
        <w:rPr>
          <w:i/>
          <w:color w:val="auto"/>
        </w:rPr>
        <w:t xml:space="preserve">Justice </w:t>
      </w:r>
    </w:p>
    <w:p w:rsidR="005B7B72" w:rsidRDefault="00431536" w:rsidP="005B7B72">
      <w:pPr>
        <w:spacing w:after="120" w:line="259" w:lineRule="auto"/>
        <w:rPr>
          <w:rFonts w:cstheme="minorHAnsi"/>
          <w:color w:val="auto"/>
        </w:rPr>
      </w:pPr>
      <w:r w:rsidRPr="005B7B72">
        <w:rPr>
          <w:rFonts w:cstheme="minorHAnsi"/>
          <w:color w:val="auto"/>
        </w:rPr>
        <w:t xml:space="preserve">The Community Policing Initiative </w:t>
      </w:r>
      <w:r w:rsidR="005B7B72" w:rsidRPr="005B7B72">
        <w:rPr>
          <w:rFonts w:cstheme="minorHAnsi"/>
          <w:color w:val="auto"/>
        </w:rPr>
        <w:t xml:space="preserve">(CPI, $4.2 million, 2017-19) concluded in June 2019. </w:t>
      </w:r>
      <w:r w:rsidR="005B7B72">
        <w:rPr>
          <w:rFonts w:cstheme="minorHAnsi"/>
          <w:color w:val="auto"/>
        </w:rPr>
        <w:t xml:space="preserve">It achieved strong results. </w:t>
      </w:r>
      <w:r w:rsidR="005B7B72" w:rsidRPr="005B7B72">
        <w:rPr>
          <w:rFonts w:cstheme="minorHAnsi"/>
          <w:color w:val="auto"/>
        </w:rPr>
        <w:t xml:space="preserve">1,948 community police officers were trained through the program. A final survey indicated </w:t>
      </w:r>
      <w:r w:rsidR="00561A81">
        <w:rPr>
          <w:rFonts w:cstheme="minorHAnsi"/>
          <w:color w:val="auto"/>
        </w:rPr>
        <w:t xml:space="preserve">that </w:t>
      </w:r>
      <w:r w:rsidR="005B7B72" w:rsidRPr="005B7B72">
        <w:rPr>
          <w:rFonts w:cstheme="minorHAnsi"/>
          <w:color w:val="auto"/>
        </w:rPr>
        <w:t>good knowledge of community policing principles, including in relation to domestic violence, were held by 87 per cent of the officers</w:t>
      </w:r>
      <w:r w:rsidR="001D2ECD">
        <w:rPr>
          <w:rFonts w:cstheme="minorHAnsi"/>
          <w:color w:val="auto"/>
        </w:rPr>
        <w:t xml:space="preserve"> (this increased from 72 per cent at the start of the program)</w:t>
      </w:r>
      <w:r w:rsidR="005B7B72" w:rsidRPr="005B7B72">
        <w:rPr>
          <w:rFonts w:cstheme="minorHAnsi"/>
          <w:color w:val="auto"/>
        </w:rPr>
        <w:t xml:space="preserve">. </w:t>
      </w:r>
    </w:p>
    <w:p w:rsidR="00561A81" w:rsidRPr="00202FF5" w:rsidRDefault="00561A81" w:rsidP="00561A81">
      <w:pPr>
        <w:spacing w:after="120" w:line="259" w:lineRule="auto"/>
        <w:rPr>
          <w:rFonts w:cstheme="minorHAnsi"/>
          <w:color w:val="auto"/>
        </w:rPr>
      </w:pPr>
      <w:r w:rsidRPr="00202FF5">
        <w:rPr>
          <w:rFonts w:cstheme="minorHAnsi"/>
          <w:color w:val="auto"/>
        </w:rPr>
        <w:t xml:space="preserve">During 2018-19, CPI responded to </w:t>
      </w:r>
      <w:r>
        <w:rPr>
          <w:rFonts w:cstheme="minorHAnsi"/>
          <w:color w:val="auto"/>
        </w:rPr>
        <w:t>the growing issue</w:t>
      </w:r>
      <w:r w:rsidRPr="00202FF5">
        <w:rPr>
          <w:rFonts w:cstheme="minorHAnsi"/>
          <w:color w:val="auto"/>
        </w:rPr>
        <w:t xml:space="preserve"> of road safety, in addition to other priorities of preventing gender-based violence, drug use prevention, and theft. </w:t>
      </w:r>
      <w:r>
        <w:rPr>
          <w:rFonts w:cstheme="minorHAnsi"/>
          <w:color w:val="auto"/>
        </w:rPr>
        <w:t xml:space="preserve">Police are now </w:t>
      </w:r>
      <w:r w:rsidRPr="00202FF5">
        <w:rPr>
          <w:rFonts w:cstheme="minorHAnsi"/>
          <w:color w:val="auto"/>
        </w:rPr>
        <w:t xml:space="preserve">are engaging on preventive measures at community level for the first time, including through messaging at schools and community events. </w:t>
      </w:r>
    </w:p>
    <w:p w:rsidR="0097700F" w:rsidRPr="00202FF5" w:rsidRDefault="005B7B72" w:rsidP="005B7B72">
      <w:pPr>
        <w:spacing w:after="120" w:line="259" w:lineRule="auto"/>
        <w:rPr>
          <w:rFonts w:cstheme="minorHAnsi"/>
          <w:color w:val="auto"/>
        </w:rPr>
      </w:pPr>
      <w:r w:rsidRPr="00202FF5">
        <w:rPr>
          <w:rFonts w:cstheme="minorHAnsi"/>
          <w:color w:val="auto"/>
        </w:rPr>
        <w:t>The Cambodia</w:t>
      </w:r>
      <w:r w:rsidR="00332728">
        <w:rPr>
          <w:rFonts w:cstheme="minorHAnsi"/>
          <w:color w:val="auto"/>
        </w:rPr>
        <w:t>n</w:t>
      </w:r>
      <w:r w:rsidRPr="00202FF5">
        <w:rPr>
          <w:rFonts w:cstheme="minorHAnsi"/>
          <w:color w:val="auto"/>
        </w:rPr>
        <w:t xml:space="preserve"> National Police is continuing</w:t>
      </w:r>
      <w:r w:rsidR="0097700F" w:rsidRPr="00202FF5">
        <w:rPr>
          <w:rFonts w:cstheme="minorHAnsi"/>
          <w:color w:val="auto"/>
        </w:rPr>
        <w:t xml:space="preserve"> </w:t>
      </w:r>
      <w:r w:rsidRPr="00202FF5">
        <w:rPr>
          <w:rFonts w:cstheme="minorHAnsi"/>
          <w:color w:val="auto"/>
        </w:rPr>
        <w:t xml:space="preserve">the community policing approach, due </w:t>
      </w:r>
      <w:r w:rsidR="0097700F" w:rsidRPr="00202FF5">
        <w:rPr>
          <w:rFonts w:cstheme="minorHAnsi"/>
          <w:color w:val="auto"/>
        </w:rPr>
        <w:t>to sustainable systems embedded in the police department</w:t>
      </w:r>
      <w:r w:rsidRPr="00202FF5">
        <w:rPr>
          <w:rFonts w:cstheme="minorHAnsi"/>
          <w:color w:val="auto"/>
        </w:rPr>
        <w:t xml:space="preserve"> through CPI</w:t>
      </w:r>
      <w:r w:rsidR="0097700F" w:rsidRPr="00202FF5">
        <w:rPr>
          <w:rFonts w:cstheme="minorHAnsi"/>
          <w:color w:val="auto"/>
        </w:rPr>
        <w:t xml:space="preserve">. </w:t>
      </w:r>
      <w:r w:rsidRPr="00202FF5">
        <w:rPr>
          <w:rFonts w:cstheme="minorHAnsi"/>
          <w:color w:val="auto"/>
        </w:rPr>
        <w:t>The concept of community policing s</w:t>
      </w:r>
      <w:r w:rsidR="0097700F" w:rsidRPr="00202FF5">
        <w:rPr>
          <w:rFonts w:cstheme="minorHAnsi"/>
          <w:color w:val="auto"/>
        </w:rPr>
        <w:t>ecured strong commitment by</w:t>
      </w:r>
      <w:r w:rsidR="00561A81">
        <w:rPr>
          <w:rFonts w:cstheme="minorHAnsi"/>
          <w:color w:val="auto"/>
        </w:rPr>
        <w:t xml:space="preserve"> the</w:t>
      </w:r>
      <w:r w:rsidR="0097700F" w:rsidRPr="00202FF5">
        <w:rPr>
          <w:rFonts w:cstheme="minorHAnsi"/>
          <w:color w:val="auto"/>
        </w:rPr>
        <w:t xml:space="preserve"> Cambodia</w:t>
      </w:r>
      <w:r w:rsidR="003F3BD0">
        <w:rPr>
          <w:rFonts w:cstheme="minorHAnsi"/>
          <w:color w:val="auto"/>
        </w:rPr>
        <w:t>n</w:t>
      </w:r>
      <w:r w:rsidR="0097700F" w:rsidRPr="00202FF5">
        <w:rPr>
          <w:rFonts w:cstheme="minorHAnsi"/>
          <w:color w:val="auto"/>
        </w:rPr>
        <w:t xml:space="preserve"> National Police </w:t>
      </w:r>
      <w:r w:rsidRPr="00202FF5">
        <w:rPr>
          <w:rFonts w:cstheme="minorHAnsi"/>
          <w:color w:val="auto"/>
        </w:rPr>
        <w:t>and</w:t>
      </w:r>
      <w:r w:rsidR="0097700F" w:rsidRPr="00202FF5">
        <w:rPr>
          <w:rFonts w:cstheme="minorHAnsi"/>
          <w:color w:val="auto"/>
        </w:rPr>
        <w:t xml:space="preserve"> its implementation</w:t>
      </w:r>
      <w:r w:rsidR="003F3BD0">
        <w:rPr>
          <w:rFonts w:cstheme="minorHAnsi"/>
          <w:color w:val="auto"/>
        </w:rPr>
        <w:t xml:space="preserve"> is likely to be strengthened</w:t>
      </w:r>
      <w:r w:rsidR="0097700F" w:rsidRPr="00202FF5">
        <w:rPr>
          <w:rFonts w:cstheme="minorHAnsi"/>
          <w:color w:val="auto"/>
        </w:rPr>
        <w:t xml:space="preserve">, particularly in relation to combating gender-based violence. </w:t>
      </w:r>
    </w:p>
    <w:p w:rsidR="00644FF2" w:rsidRPr="00655412" w:rsidRDefault="00A47AA7" w:rsidP="00644FF2">
      <w:pPr>
        <w:spacing w:after="120" w:line="259" w:lineRule="auto"/>
        <w:rPr>
          <w:rFonts w:cstheme="minorHAnsi"/>
          <w:color w:val="auto"/>
        </w:rPr>
      </w:pPr>
      <w:r w:rsidRPr="00202FF5">
        <w:rPr>
          <w:rFonts w:cstheme="minorHAnsi"/>
          <w:color w:val="auto"/>
        </w:rPr>
        <w:t xml:space="preserve">Australia continued to support the Extraordinary Chambers in the Courts of Cambodia, which investigates and prosecutes senior leaders of the Khmer Rouge regime and those most responsible for atrocities committed between 1975 and 1979. </w:t>
      </w:r>
      <w:r w:rsidR="00561A81" w:rsidRPr="00202FF5">
        <w:rPr>
          <w:rFonts w:cstheme="minorHAnsi"/>
          <w:color w:val="auto"/>
        </w:rPr>
        <w:t>The Court also plays an important role in promoting national reconciliation in Cambodia, including by creating a detailed record of the Khmer Rouge’s crimes and through mechanisms to acknowledge the regime’s victims.</w:t>
      </w:r>
      <w:r w:rsidR="00561A81">
        <w:rPr>
          <w:rFonts w:cstheme="minorHAnsi"/>
          <w:color w:val="auto"/>
        </w:rPr>
        <w:t xml:space="preserve"> </w:t>
      </w:r>
      <w:r w:rsidRPr="00202FF5">
        <w:rPr>
          <w:rFonts w:cstheme="minorHAnsi"/>
          <w:color w:val="auto"/>
        </w:rPr>
        <w:t xml:space="preserve">A major milestone in November 2018 was the guilty verdicts for two individuals on charges of genocide and crimes against humanity. </w:t>
      </w:r>
    </w:p>
    <w:p w:rsidR="00A81AE8" w:rsidRPr="00A81AE8" w:rsidRDefault="008E7DCA" w:rsidP="00A81AE8">
      <w:pPr>
        <w:pStyle w:val="Heading2"/>
      </w:pPr>
      <w:r>
        <w:t>Australia’s GLOBAL AND REGIONAL aid programS in CAMBODIA</w:t>
      </w:r>
    </w:p>
    <w:p w:rsidR="008E7DCA" w:rsidRDefault="00786C6B" w:rsidP="00655412">
      <w:pPr>
        <w:pStyle w:val="ListBullet"/>
        <w:tabs>
          <w:tab w:val="clear" w:pos="284"/>
        </w:tabs>
        <w:spacing w:before="360" w:line="300" w:lineRule="exact"/>
        <w:rPr>
          <w:rFonts w:asciiTheme="minorHAnsi" w:eastAsiaTheme="minorHAnsi" w:hAnsiTheme="minorHAnsi" w:cstheme="minorHAnsi"/>
          <w:sz w:val="22"/>
          <w:szCs w:val="22"/>
          <w:lang w:val="en-GB" w:eastAsia="en-US"/>
        </w:rPr>
      </w:pPr>
      <w:r w:rsidRPr="00B607CC">
        <w:rPr>
          <w:rFonts w:asciiTheme="minorHAnsi" w:eastAsiaTheme="minorHAnsi" w:hAnsiTheme="minorHAnsi" w:cstheme="minorHAnsi"/>
          <w:sz w:val="22"/>
          <w:szCs w:val="22"/>
          <w:lang w:val="en-GB" w:eastAsia="en-US"/>
        </w:rPr>
        <w:t xml:space="preserve">In addition to the bilateral program, in 2018-19 Australia also delivered an estimated $23.5 million of Official Development Assistance in Cambodia through regional and global programs. This includes the Australian NGO Cooperation Program, the Australian Volunteers Program, </w:t>
      </w:r>
      <w:r w:rsidR="0060650F">
        <w:rPr>
          <w:rFonts w:asciiTheme="minorHAnsi" w:eastAsiaTheme="minorHAnsi" w:hAnsiTheme="minorHAnsi" w:cstheme="minorHAnsi"/>
          <w:sz w:val="22"/>
          <w:szCs w:val="22"/>
          <w:lang w:val="en-GB" w:eastAsia="en-US"/>
        </w:rPr>
        <w:t xml:space="preserve">the </w:t>
      </w:r>
      <w:r w:rsidRPr="00B607CC">
        <w:rPr>
          <w:rFonts w:asciiTheme="minorHAnsi" w:eastAsiaTheme="minorHAnsi" w:hAnsiTheme="minorHAnsi" w:cstheme="minorHAnsi"/>
          <w:sz w:val="22"/>
          <w:szCs w:val="22"/>
          <w:lang w:val="en-GB" w:eastAsia="en-US"/>
        </w:rPr>
        <w:t>Australian Centre for International Agricultural Research initiatives and a range of global and regional health investments</w:t>
      </w:r>
      <w:r w:rsidR="00123156">
        <w:rPr>
          <w:rFonts w:asciiTheme="minorHAnsi" w:eastAsiaTheme="minorHAnsi" w:hAnsiTheme="minorHAnsi" w:cstheme="minorHAnsi"/>
          <w:sz w:val="22"/>
          <w:szCs w:val="22"/>
          <w:lang w:val="en-GB" w:eastAsia="en-US"/>
        </w:rPr>
        <w:t>.</w:t>
      </w:r>
    </w:p>
    <w:p w:rsidR="00173118" w:rsidRPr="0052005B" w:rsidRDefault="000E1C8A" w:rsidP="00173118">
      <w:pPr>
        <w:spacing w:after="120" w:line="252" w:lineRule="auto"/>
        <w:rPr>
          <w:rFonts w:cstheme="minorHAnsi"/>
          <w:color w:val="auto"/>
        </w:rPr>
      </w:pPr>
      <w:r>
        <w:rPr>
          <w:rFonts w:cstheme="minorHAnsi"/>
          <w:color w:val="auto"/>
        </w:rPr>
        <w:t>DFAT’s</w:t>
      </w:r>
      <w:r w:rsidR="00173118" w:rsidRPr="0052005B">
        <w:rPr>
          <w:rFonts w:cstheme="minorHAnsi"/>
          <w:color w:val="auto"/>
        </w:rPr>
        <w:t xml:space="preserve"> regional and global investments</w:t>
      </w:r>
      <w:r>
        <w:rPr>
          <w:rFonts w:cstheme="minorHAnsi"/>
          <w:color w:val="auto"/>
        </w:rPr>
        <w:t xml:space="preserve"> in the health sector </w:t>
      </w:r>
      <w:r w:rsidR="00222B5D">
        <w:rPr>
          <w:rFonts w:cstheme="minorHAnsi"/>
          <w:color w:val="auto"/>
        </w:rPr>
        <w:t xml:space="preserve">benefiting </w:t>
      </w:r>
      <w:r>
        <w:rPr>
          <w:rFonts w:cstheme="minorHAnsi"/>
          <w:color w:val="auto"/>
        </w:rPr>
        <w:t>Cambodia</w:t>
      </w:r>
      <w:r w:rsidR="00173118" w:rsidRPr="0052005B">
        <w:rPr>
          <w:rFonts w:cstheme="minorHAnsi"/>
          <w:color w:val="auto"/>
        </w:rPr>
        <w:t xml:space="preserve"> </w:t>
      </w:r>
      <w:r w:rsidR="00222B5D" w:rsidRPr="0052005B">
        <w:rPr>
          <w:rFonts w:cstheme="minorHAnsi"/>
          <w:color w:val="auto"/>
        </w:rPr>
        <w:t>includ</w:t>
      </w:r>
      <w:r w:rsidR="00222B5D">
        <w:rPr>
          <w:rFonts w:cstheme="minorHAnsi"/>
          <w:color w:val="auto"/>
        </w:rPr>
        <w:t>ed</w:t>
      </w:r>
      <w:r w:rsidR="00222B5D" w:rsidRPr="0052005B">
        <w:rPr>
          <w:rFonts w:cstheme="minorHAnsi"/>
          <w:color w:val="auto"/>
        </w:rPr>
        <w:t xml:space="preserve"> </w:t>
      </w:r>
      <w:r w:rsidR="00173118" w:rsidRPr="0052005B">
        <w:rPr>
          <w:rFonts w:cstheme="minorHAnsi"/>
          <w:color w:val="auto"/>
        </w:rPr>
        <w:t>in Gavi, the Vaccine Alliance, the Global Fund to Fight AIDS, Tuberculosis and Malaria, and the World Bank Multi-Donor Trust Fund for Integrating Donor Financed Health Programs</w:t>
      </w:r>
      <w:r>
        <w:rPr>
          <w:rFonts w:cstheme="minorHAnsi"/>
          <w:color w:val="auto"/>
        </w:rPr>
        <w:t>. These</w:t>
      </w:r>
      <w:r w:rsidR="00173118" w:rsidRPr="0052005B">
        <w:rPr>
          <w:rFonts w:cstheme="minorHAnsi"/>
          <w:color w:val="auto"/>
        </w:rPr>
        <w:t xml:space="preserve"> are supporting and leveraging, where appropriate, the reforms being </w:t>
      </w:r>
      <w:r w:rsidR="00173118">
        <w:rPr>
          <w:rFonts w:cstheme="minorHAnsi"/>
          <w:color w:val="auto"/>
        </w:rPr>
        <w:t>implemented</w:t>
      </w:r>
      <w:r w:rsidR="00173118" w:rsidRPr="0052005B">
        <w:rPr>
          <w:rFonts w:cstheme="minorHAnsi"/>
          <w:color w:val="auto"/>
        </w:rPr>
        <w:t xml:space="preserve"> under H-EQIP</w:t>
      </w:r>
      <w:r>
        <w:rPr>
          <w:rFonts w:cstheme="minorHAnsi"/>
          <w:color w:val="auto"/>
        </w:rPr>
        <w:t>, maximising the impact of our investments</w:t>
      </w:r>
      <w:r w:rsidR="00173118" w:rsidRPr="0052005B">
        <w:rPr>
          <w:rFonts w:cstheme="minorHAnsi"/>
          <w:color w:val="auto"/>
        </w:rPr>
        <w:t>.</w:t>
      </w:r>
    </w:p>
    <w:p w:rsidR="00173118" w:rsidRPr="0052005B" w:rsidRDefault="00173118" w:rsidP="00173118">
      <w:pPr>
        <w:spacing w:after="120" w:line="252" w:lineRule="auto"/>
        <w:rPr>
          <w:rFonts w:cstheme="minorHAnsi"/>
          <w:color w:val="auto"/>
        </w:rPr>
      </w:pPr>
      <w:r w:rsidRPr="0052005B">
        <w:rPr>
          <w:rFonts w:cstheme="minorHAnsi"/>
          <w:color w:val="auto"/>
        </w:rPr>
        <w:t>Under a regional program, Australia, together with the World Bank, the Global Financing Facility in support of Every Woman Every Child, and Germany, is supporting the Cambodian Mi</w:t>
      </w:r>
      <w:r>
        <w:rPr>
          <w:rFonts w:cstheme="minorHAnsi"/>
          <w:color w:val="auto"/>
        </w:rPr>
        <w:t>nistries of Interior and Health</w:t>
      </w:r>
      <w:r w:rsidRPr="0052005B">
        <w:rPr>
          <w:rFonts w:cstheme="minorHAnsi"/>
          <w:color w:val="auto"/>
        </w:rPr>
        <w:t xml:space="preserve"> to implement a new USD53 million project targeting maternal and child health, immunisation and </w:t>
      </w:r>
      <w:r>
        <w:rPr>
          <w:rFonts w:cstheme="minorHAnsi"/>
          <w:color w:val="auto"/>
        </w:rPr>
        <w:t>nutrition.</w:t>
      </w:r>
      <w:r w:rsidRPr="0052005B">
        <w:rPr>
          <w:rFonts w:cstheme="minorHAnsi"/>
          <w:color w:val="auto"/>
        </w:rPr>
        <w:t xml:space="preserve"> The project (2019-2023) aims to improve the health of women and children in seven of the country’s most </w:t>
      </w:r>
      <w:r>
        <w:rPr>
          <w:rFonts w:cstheme="minorHAnsi"/>
          <w:color w:val="auto"/>
        </w:rPr>
        <w:t>in-need provinces. It builds on</w:t>
      </w:r>
      <w:r w:rsidRPr="0052005B">
        <w:rPr>
          <w:rFonts w:cstheme="minorHAnsi"/>
          <w:color w:val="auto"/>
        </w:rPr>
        <w:t xml:space="preserve"> many aspects of H-EQIP. </w:t>
      </w:r>
    </w:p>
    <w:p w:rsidR="00173118" w:rsidRDefault="00173118" w:rsidP="00173118">
      <w:pPr>
        <w:spacing w:after="120" w:line="259" w:lineRule="auto"/>
        <w:rPr>
          <w:rFonts w:cstheme="minorHAnsi"/>
          <w:color w:val="auto"/>
        </w:rPr>
      </w:pPr>
      <w:r>
        <w:rPr>
          <w:rFonts w:cstheme="minorHAnsi"/>
          <w:color w:val="auto"/>
        </w:rPr>
        <w:lastRenderedPageBreak/>
        <w:t xml:space="preserve">The </w:t>
      </w:r>
      <w:r w:rsidR="00706E93">
        <w:rPr>
          <w:rFonts w:cstheme="minorHAnsi"/>
          <w:color w:val="auto"/>
        </w:rPr>
        <w:t xml:space="preserve">Mekong </w:t>
      </w:r>
      <w:r>
        <w:rPr>
          <w:rFonts w:cstheme="minorHAnsi"/>
          <w:color w:val="auto"/>
        </w:rPr>
        <w:t>Women’s Empowerment Project (Empower, $10.3 million</w:t>
      </w:r>
      <w:r w:rsidR="00706E93">
        <w:rPr>
          <w:rFonts w:cstheme="minorHAnsi"/>
          <w:color w:val="auto"/>
        </w:rPr>
        <w:t xml:space="preserve">, </w:t>
      </w:r>
      <w:r>
        <w:rPr>
          <w:rFonts w:cstheme="minorHAnsi"/>
          <w:color w:val="auto"/>
        </w:rPr>
        <w:t xml:space="preserve">2018-22) continued to operate across the Mekong region, including in Cambodia. This program </w:t>
      </w:r>
      <w:r w:rsidRPr="00842E92">
        <w:rPr>
          <w:rFonts w:cstheme="minorHAnsi"/>
          <w:color w:val="auto"/>
        </w:rPr>
        <w:t xml:space="preserve">supports women and girls to realise their economic potential through improved utilisation of sexual and reproductive health and family planning (SRH/FP) services. </w:t>
      </w:r>
      <w:r>
        <w:rPr>
          <w:rFonts w:cstheme="minorHAnsi"/>
          <w:color w:val="auto"/>
        </w:rPr>
        <w:t xml:space="preserve">In 2018-19 in Cambodia, Empower reached about 95,000 community members with SRH/FP messages and services (exceeding the target of about 64,000), and supported over 3,000 SRH/FP client visits (exceeding the target of 1,755). </w:t>
      </w:r>
    </w:p>
    <w:p w:rsidR="00123156" w:rsidRDefault="000E1C8A" w:rsidP="00173118">
      <w:pPr>
        <w:autoSpaceDE w:val="0"/>
        <w:autoSpaceDN w:val="0"/>
        <w:adjustRightInd w:val="0"/>
        <w:spacing w:line="240" w:lineRule="auto"/>
        <w:rPr>
          <w:rFonts w:cstheme="minorHAnsi"/>
          <w:color w:val="auto"/>
        </w:rPr>
      </w:pPr>
      <w:r>
        <w:rPr>
          <w:rFonts w:cstheme="minorHAnsi"/>
          <w:color w:val="auto"/>
        </w:rPr>
        <w:t xml:space="preserve">Some gender </w:t>
      </w:r>
      <w:r w:rsidR="00173118">
        <w:rPr>
          <w:rFonts w:cstheme="minorHAnsi"/>
          <w:color w:val="auto"/>
        </w:rPr>
        <w:t>issues were also addressed through</w:t>
      </w:r>
      <w:r w:rsidR="00123156">
        <w:rPr>
          <w:rFonts w:cstheme="minorHAnsi"/>
          <w:color w:val="auto"/>
        </w:rPr>
        <w:t xml:space="preserve"> </w:t>
      </w:r>
      <w:r w:rsidRPr="000B135A">
        <w:rPr>
          <w:rFonts w:cstheme="minorHAnsi"/>
          <w:color w:val="auto"/>
        </w:rPr>
        <w:t xml:space="preserve">the Better </w:t>
      </w:r>
      <w:r>
        <w:rPr>
          <w:rFonts w:cstheme="minorHAnsi"/>
          <w:color w:val="auto"/>
        </w:rPr>
        <w:t>Work</w:t>
      </w:r>
      <w:r w:rsidRPr="000B135A">
        <w:rPr>
          <w:rFonts w:cstheme="minorHAnsi"/>
          <w:color w:val="auto"/>
        </w:rPr>
        <w:t xml:space="preserve"> program</w:t>
      </w:r>
      <w:r>
        <w:rPr>
          <w:rFonts w:cstheme="minorHAnsi"/>
          <w:color w:val="auto"/>
        </w:rPr>
        <w:t>, which is implemented by the ILO</w:t>
      </w:r>
      <w:r w:rsidRPr="000B135A">
        <w:rPr>
          <w:rFonts w:cstheme="minorHAnsi"/>
          <w:color w:val="auto"/>
        </w:rPr>
        <w:t xml:space="preserve"> in four countries, including Cambodia</w:t>
      </w:r>
      <w:r w:rsidR="00990BD6">
        <w:rPr>
          <w:rFonts w:cstheme="minorHAnsi"/>
          <w:color w:val="auto"/>
        </w:rPr>
        <w:t>, where it is known as Better Factories Cambodia</w:t>
      </w:r>
      <w:r>
        <w:rPr>
          <w:rFonts w:cstheme="minorHAnsi"/>
          <w:color w:val="auto"/>
        </w:rPr>
        <w:t>. The program is</w:t>
      </w:r>
      <w:r w:rsidRPr="000B135A">
        <w:rPr>
          <w:rFonts w:cstheme="minorHAnsi"/>
          <w:color w:val="auto"/>
        </w:rPr>
        <w:t xml:space="preserve"> improving working conditions and pay equity</w:t>
      </w:r>
      <w:r>
        <w:rPr>
          <w:rFonts w:cstheme="minorHAnsi"/>
          <w:color w:val="auto"/>
        </w:rPr>
        <w:t xml:space="preserve">, </w:t>
      </w:r>
      <w:r w:rsidR="00D961BD" w:rsidRPr="00D961BD">
        <w:rPr>
          <w:rFonts w:cstheme="minorHAnsi"/>
          <w:color w:val="auto"/>
        </w:rPr>
        <w:t xml:space="preserve">supporting </w:t>
      </w:r>
      <w:r w:rsidR="00D961BD">
        <w:rPr>
          <w:color w:val="auto"/>
        </w:rPr>
        <w:t>women’s leadership</w:t>
      </w:r>
      <w:r w:rsidR="00D961BD" w:rsidRPr="00D961BD">
        <w:rPr>
          <w:color w:val="auto"/>
        </w:rPr>
        <w:t xml:space="preserve"> </w:t>
      </w:r>
      <w:r w:rsidRPr="00D961BD">
        <w:rPr>
          <w:rFonts w:cstheme="minorHAnsi"/>
          <w:color w:val="auto"/>
        </w:rPr>
        <w:t xml:space="preserve">and reducing </w:t>
      </w:r>
      <w:r>
        <w:rPr>
          <w:rFonts w:cstheme="minorHAnsi"/>
          <w:color w:val="auto"/>
        </w:rPr>
        <w:t>sexual harassment</w:t>
      </w:r>
      <w:r w:rsidRPr="000B135A">
        <w:rPr>
          <w:rFonts w:cstheme="minorHAnsi"/>
          <w:color w:val="auto"/>
        </w:rPr>
        <w:t xml:space="preserve"> in the garment sector</w:t>
      </w:r>
      <w:r>
        <w:rPr>
          <w:rFonts w:cstheme="minorHAnsi"/>
          <w:color w:val="auto"/>
        </w:rPr>
        <w:t>, where the majority of workers are women</w:t>
      </w:r>
      <w:r w:rsidRPr="000B135A">
        <w:rPr>
          <w:rFonts w:cstheme="minorHAnsi"/>
          <w:color w:val="auto"/>
        </w:rPr>
        <w:t>. In Cambodia it</w:t>
      </w:r>
      <w:r w:rsidR="00D961BD">
        <w:rPr>
          <w:rFonts w:cstheme="minorHAnsi"/>
          <w:color w:val="auto"/>
        </w:rPr>
        <w:t xml:space="preserve"> currently</w:t>
      </w:r>
      <w:r w:rsidRPr="000B135A">
        <w:rPr>
          <w:rFonts w:cstheme="minorHAnsi"/>
          <w:color w:val="auto"/>
        </w:rPr>
        <w:t xml:space="preserve"> reache</w:t>
      </w:r>
      <w:r w:rsidR="00D961BD">
        <w:rPr>
          <w:rFonts w:cstheme="minorHAnsi"/>
          <w:color w:val="auto"/>
        </w:rPr>
        <w:t>s</w:t>
      </w:r>
      <w:r w:rsidRPr="000B135A">
        <w:rPr>
          <w:rFonts w:cstheme="minorHAnsi"/>
          <w:color w:val="auto"/>
        </w:rPr>
        <w:t xml:space="preserve"> over 550 factories and 6</w:t>
      </w:r>
      <w:r w:rsidR="00990BD6">
        <w:rPr>
          <w:rFonts w:cstheme="minorHAnsi"/>
          <w:color w:val="auto"/>
        </w:rPr>
        <w:t>15</w:t>
      </w:r>
      <w:r w:rsidRPr="000B135A">
        <w:rPr>
          <w:rFonts w:cstheme="minorHAnsi"/>
          <w:color w:val="auto"/>
        </w:rPr>
        <w:t>,000 workers.</w:t>
      </w:r>
      <w:r w:rsidR="00173118">
        <w:rPr>
          <w:rFonts w:cstheme="minorHAnsi"/>
          <w:color w:val="auto"/>
        </w:rPr>
        <w:t xml:space="preserve"> </w:t>
      </w:r>
      <w:r w:rsidR="00173118" w:rsidRPr="000B135A">
        <w:rPr>
          <w:rFonts w:cstheme="minorHAnsi"/>
          <w:color w:val="auto"/>
        </w:rPr>
        <w:t>DFAT is providing funding of US$</w:t>
      </w:r>
      <w:r w:rsidR="00990BD6">
        <w:rPr>
          <w:rFonts w:cstheme="minorHAnsi"/>
          <w:color w:val="auto"/>
        </w:rPr>
        <w:t>6</w:t>
      </w:r>
      <w:r w:rsidR="00990BD6" w:rsidRPr="000B135A">
        <w:rPr>
          <w:rFonts w:cstheme="minorHAnsi"/>
          <w:color w:val="auto"/>
        </w:rPr>
        <w:t xml:space="preserve"> </w:t>
      </w:r>
      <w:r w:rsidR="00173118" w:rsidRPr="000B135A">
        <w:rPr>
          <w:rFonts w:cstheme="minorHAnsi"/>
          <w:color w:val="auto"/>
        </w:rPr>
        <w:t xml:space="preserve">million from 2016 to </w:t>
      </w:r>
      <w:r w:rsidR="00990BD6" w:rsidRPr="000B135A">
        <w:rPr>
          <w:rFonts w:cstheme="minorHAnsi"/>
          <w:color w:val="auto"/>
        </w:rPr>
        <w:t>20</w:t>
      </w:r>
      <w:r w:rsidR="00990BD6">
        <w:rPr>
          <w:rFonts w:cstheme="minorHAnsi"/>
          <w:color w:val="auto"/>
        </w:rPr>
        <w:t>22</w:t>
      </w:r>
      <w:r>
        <w:rPr>
          <w:rFonts w:cstheme="minorHAnsi"/>
          <w:color w:val="auto"/>
        </w:rPr>
        <w:t>.</w:t>
      </w:r>
      <w:r w:rsidR="00173118" w:rsidRPr="000B135A">
        <w:rPr>
          <w:rFonts w:cstheme="minorHAnsi"/>
          <w:color w:val="auto"/>
        </w:rPr>
        <w:t xml:space="preserve"> </w:t>
      </w:r>
    </w:p>
    <w:p w:rsidR="00173118" w:rsidRPr="00123156" w:rsidRDefault="00123156" w:rsidP="00173118">
      <w:pPr>
        <w:autoSpaceDE w:val="0"/>
        <w:autoSpaceDN w:val="0"/>
        <w:adjustRightInd w:val="0"/>
        <w:spacing w:line="240" w:lineRule="auto"/>
        <w:rPr>
          <w:rFonts w:cstheme="minorHAnsi"/>
          <w:color w:val="auto"/>
        </w:rPr>
      </w:pPr>
      <w:r>
        <w:rPr>
          <w:rFonts w:cstheme="minorHAnsi"/>
          <w:color w:val="auto"/>
        </w:rPr>
        <w:t xml:space="preserve">Cambodia </w:t>
      </w:r>
      <w:r w:rsidR="000E1C8A">
        <w:rPr>
          <w:rFonts w:cstheme="minorHAnsi"/>
          <w:color w:val="auto"/>
        </w:rPr>
        <w:t xml:space="preserve">also </w:t>
      </w:r>
      <w:r>
        <w:rPr>
          <w:rFonts w:cstheme="minorHAnsi"/>
          <w:color w:val="auto"/>
        </w:rPr>
        <w:t xml:space="preserve">benefited from the </w:t>
      </w:r>
      <w:r w:rsidRPr="003B5513">
        <w:rPr>
          <w:rFonts w:cstheme="minorHAnsi"/>
          <w:color w:val="auto"/>
        </w:rPr>
        <w:t>ASEAN and Mekong Program</w:t>
      </w:r>
      <w:r w:rsidR="007F372B">
        <w:rPr>
          <w:rFonts w:cstheme="minorHAnsi"/>
          <w:color w:val="auto"/>
        </w:rPr>
        <w:t xml:space="preserve"> ($33.</w:t>
      </w:r>
      <w:r w:rsidR="00C13D13">
        <w:rPr>
          <w:rFonts w:cstheme="minorHAnsi"/>
          <w:color w:val="auto"/>
        </w:rPr>
        <w:t>3</w:t>
      </w:r>
      <w:r w:rsidR="007F372B">
        <w:rPr>
          <w:rFonts w:cstheme="minorHAnsi"/>
          <w:color w:val="auto"/>
        </w:rPr>
        <w:t xml:space="preserve"> million in 2018-19)</w:t>
      </w:r>
      <w:r>
        <w:rPr>
          <w:rFonts w:cstheme="minorHAnsi"/>
          <w:color w:val="auto"/>
        </w:rPr>
        <w:t>, which</w:t>
      </w:r>
      <w:r w:rsidRPr="003B5513">
        <w:rPr>
          <w:rFonts w:cstheme="minorHAnsi"/>
          <w:color w:val="auto"/>
        </w:rPr>
        <w:t xml:space="preserve"> </w:t>
      </w:r>
      <w:r>
        <w:rPr>
          <w:rFonts w:cstheme="minorHAnsi"/>
          <w:color w:val="auto"/>
        </w:rPr>
        <w:t xml:space="preserve">continued to support </w:t>
      </w:r>
      <w:r w:rsidRPr="003B5513">
        <w:rPr>
          <w:rFonts w:cstheme="minorHAnsi"/>
          <w:color w:val="auto"/>
        </w:rPr>
        <w:t>ASEAN to encourage economic growth and trade in the ASEAN Member States and r</w:t>
      </w:r>
      <w:r>
        <w:rPr>
          <w:rFonts w:cstheme="minorHAnsi"/>
          <w:color w:val="auto"/>
        </w:rPr>
        <w:t>espond to cross-border</w:t>
      </w:r>
      <w:r w:rsidRPr="003B5513">
        <w:rPr>
          <w:rFonts w:cstheme="minorHAnsi"/>
          <w:color w:val="auto"/>
        </w:rPr>
        <w:t xml:space="preserve"> regional challenges</w:t>
      </w:r>
      <w:r>
        <w:rPr>
          <w:rFonts w:cstheme="minorHAnsi"/>
          <w:color w:val="auto"/>
        </w:rPr>
        <w:t>,</w:t>
      </w:r>
      <w:r w:rsidRPr="003B5513">
        <w:rPr>
          <w:rFonts w:cstheme="minorHAnsi"/>
          <w:color w:val="auto"/>
        </w:rPr>
        <w:t xml:space="preserve"> such as combatting human trafficking and improving management of the Mekong’s water resources.</w:t>
      </w:r>
    </w:p>
    <w:p w:rsidR="00837FCD" w:rsidRPr="00A81AE8" w:rsidRDefault="00655412" w:rsidP="00837FCD">
      <w:pPr>
        <w:spacing w:after="120" w:line="259" w:lineRule="auto"/>
        <w:rPr>
          <w:b/>
        </w:rPr>
      </w:pPr>
      <w:r w:rsidRPr="00A81AE8">
        <w:rPr>
          <w:b/>
        </w:rPr>
        <w:t>Non Gove</w:t>
      </w:r>
      <w:r w:rsidR="00EF4F10">
        <w:rPr>
          <w:b/>
        </w:rPr>
        <w:t>rnment Organisation grants (NGO</w:t>
      </w:r>
      <w:r w:rsidRPr="00A81AE8">
        <w:rPr>
          <w:b/>
        </w:rPr>
        <w:t>s)</w:t>
      </w:r>
    </w:p>
    <w:p w:rsidR="00A81AE8" w:rsidRDefault="00A81AE8" w:rsidP="00A81AE8">
      <w:pPr>
        <w:pStyle w:val="BodyText"/>
        <w:spacing w:after="120"/>
        <w:rPr>
          <w:rFonts w:asciiTheme="minorHAnsi" w:eastAsiaTheme="minorHAnsi" w:hAnsiTheme="minorHAnsi" w:cstheme="minorHAnsi"/>
          <w:sz w:val="22"/>
          <w:szCs w:val="22"/>
          <w:lang w:val="en-GB" w:eastAsia="en-US"/>
        </w:rPr>
      </w:pPr>
      <w:r>
        <w:rPr>
          <w:rFonts w:asciiTheme="minorHAnsi" w:eastAsiaTheme="minorHAnsi" w:hAnsiTheme="minorHAnsi" w:cstheme="minorHAnsi"/>
          <w:sz w:val="22"/>
          <w:szCs w:val="22"/>
          <w:lang w:val="en-GB" w:eastAsia="en-US"/>
        </w:rPr>
        <w:t xml:space="preserve">NGOs, including Australian NGOs, have a very significant role in promoting development in Cambodia, and are important partners for the Australian Government. To support their work, the Australian Government provides grants to accredited Australian NGOs through the Australian NGO Cooperation Program (ANCP). </w:t>
      </w:r>
      <w:r w:rsidRPr="00655412">
        <w:rPr>
          <w:rFonts w:asciiTheme="minorHAnsi" w:eastAsiaTheme="minorHAnsi" w:hAnsiTheme="minorHAnsi" w:cstheme="minorHAnsi"/>
          <w:sz w:val="22"/>
          <w:szCs w:val="22"/>
          <w:lang w:val="en-GB" w:eastAsia="en-US"/>
        </w:rPr>
        <w:t>In 2018-19, 24 Australian NGOs deliver</w:t>
      </w:r>
      <w:r w:rsidR="00940BA3">
        <w:rPr>
          <w:rFonts w:asciiTheme="minorHAnsi" w:eastAsiaTheme="minorHAnsi" w:hAnsiTheme="minorHAnsi" w:cstheme="minorHAnsi"/>
          <w:sz w:val="22"/>
          <w:szCs w:val="22"/>
          <w:lang w:val="en-GB" w:eastAsia="en-US"/>
        </w:rPr>
        <w:t>ed</w:t>
      </w:r>
      <w:r w:rsidRPr="00655412">
        <w:rPr>
          <w:rFonts w:asciiTheme="minorHAnsi" w:eastAsiaTheme="minorHAnsi" w:hAnsiTheme="minorHAnsi" w:cstheme="minorHAnsi"/>
          <w:sz w:val="22"/>
          <w:szCs w:val="22"/>
          <w:lang w:val="en-GB" w:eastAsia="en-US"/>
        </w:rPr>
        <w:t xml:space="preserve"> 55 projects (including 12 regional projects) in Cambodia</w:t>
      </w:r>
      <w:r w:rsidR="00940BA3">
        <w:rPr>
          <w:rFonts w:asciiTheme="minorHAnsi" w:eastAsiaTheme="minorHAnsi" w:hAnsiTheme="minorHAnsi" w:cstheme="minorHAnsi"/>
          <w:sz w:val="22"/>
          <w:szCs w:val="22"/>
          <w:lang w:val="en-GB" w:eastAsia="en-US"/>
        </w:rPr>
        <w:t xml:space="preserve">, working in conjunction with local partner organisations. </w:t>
      </w:r>
      <w:r w:rsidRPr="00655412">
        <w:rPr>
          <w:rFonts w:asciiTheme="minorHAnsi" w:eastAsiaTheme="minorHAnsi" w:hAnsiTheme="minorHAnsi" w:cstheme="minorHAnsi"/>
          <w:sz w:val="22"/>
          <w:szCs w:val="22"/>
          <w:lang w:val="en-GB" w:eastAsia="en-US"/>
        </w:rPr>
        <w:t>$10.8 million of Australian Government funds</w:t>
      </w:r>
      <w:r w:rsidR="00940BA3">
        <w:rPr>
          <w:rFonts w:asciiTheme="minorHAnsi" w:eastAsiaTheme="minorHAnsi" w:hAnsiTheme="minorHAnsi" w:cstheme="minorHAnsi"/>
          <w:sz w:val="22"/>
          <w:szCs w:val="22"/>
          <w:lang w:val="en-GB" w:eastAsia="en-US"/>
        </w:rPr>
        <w:t xml:space="preserve"> were invested in </w:t>
      </w:r>
      <w:r w:rsidRPr="00655412">
        <w:rPr>
          <w:rFonts w:asciiTheme="minorHAnsi" w:eastAsiaTheme="minorHAnsi" w:hAnsiTheme="minorHAnsi" w:cstheme="minorHAnsi"/>
          <w:sz w:val="22"/>
          <w:szCs w:val="22"/>
          <w:lang w:val="en-GB" w:eastAsia="en-US"/>
        </w:rPr>
        <w:t>projects focus</w:t>
      </w:r>
      <w:r>
        <w:rPr>
          <w:rFonts w:asciiTheme="minorHAnsi" w:eastAsiaTheme="minorHAnsi" w:hAnsiTheme="minorHAnsi" w:cstheme="minorHAnsi"/>
          <w:sz w:val="22"/>
          <w:szCs w:val="22"/>
          <w:lang w:val="en-GB" w:eastAsia="en-US"/>
        </w:rPr>
        <w:t xml:space="preserve">ed </w:t>
      </w:r>
      <w:r w:rsidR="0060650F" w:rsidRPr="00655412">
        <w:rPr>
          <w:rFonts w:asciiTheme="minorHAnsi" w:eastAsiaTheme="minorHAnsi" w:hAnsiTheme="minorHAnsi" w:cstheme="minorHAnsi"/>
          <w:sz w:val="22"/>
          <w:szCs w:val="22"/>
          <w:lang w:val="en-GB" w:eastAsia="en-US"/>
        </w:rPr>
        <w:t>on child protection, livelihoods, education, eye health, food security, gender, human rights, health, maternal and child health and water sanitation and hygiene</w:t>
      </w:r>
      <w:r w:rsidRPr="00655412">
        <w:rPr>
          <w:rFonts w:asciiTheme="minorHAnsi" w:eastAsiaTheme="minorHAnsi" w:hAnsiTheme="minorHAnsi" w:cstheme="minorHAnsi"/>
          <w:sz w:val="22"/>
          <w:szCs w:val="22"/>
          <w:lang w:val="en-GB" w:eastAsia="en-US"/>
        </w:rPr>
        <w:t xml:space="preserve">. </w:t>
      </w:r>
    </w:p>
    <w:p w:rsidR="00A81AE8" w:rsidRPr="00655412" w:rsidRDefault="00A81AE8" w:rsidP="00A81AE8">
      <w:pPr>
        <w:pStyle w:val="BodyText"/>
        <w:spacing w:after="120"/>
        <w:rPr>
          <w:rFonts w:asciiTheme="minorHAnsi" w:eastAsiaTheme="minorHAnsi" w:hAnsiTheme="minorHAnsi" w:cstheme="minorHAnsi"/>
          <w:sz w:val="22"/>
          <w:szCs w:val="22"/>
          <w:lang w:val="en-GB" w:eastAsia="en-US"/>
        </w:rPr>
      </w:pPr>
      <w:r w:rsidRPr="00A81AE8">
        <w:rPr>
          <w:rFonts w:asciiTheme="minorHAnsi" w:eastAsiaTheme="minorHAnsi" w:hAnsiTheme="minorHAnsi" w:cstheme="minorHAnsi"/>
          <w:sz w:val="22"/>
          <w:szCs w:val="22"/>
          <w:lang w:val="en-GB" w:eastAsia="en-US"/>
        </w:rPr>
        <w:t>Inaugural Friendship Grant recipients were announced in November 2018</w:t>
      </w:r>
      <w:r>
        <w:rPr>
          <w:rFonts w:asciiTheme="minorHAnsi" w:eastAsiaTheme="minorHAnsi" w:hAnsiTheme="minorHAnsi" w:cstheme="minorHAnsi"/>
          <w:sz w:val="22"/>
          <w:szCs w:val="22"/>
          <w:lang w:val="en-GB" w:eastAsia="en-US"/>
        </w:rPr>
        <w:t xml:space="preserve">. Three Australian organisations were supported to implement projects </w:t>
      </w:r>
      <w:r w:rsidR="00381754">
        <w:rPr>
          <w:rFonts w:asciiTheme="minorHAnsi" w:eastAsiaTheme="minorHAnsi" w:hAnsiTheme="minorHAnsi" w:cstheme="minorHAnsi"/>
          <w:sz w:val="22"/>
          <w:szCs w:val="22"/>
          <w:lang w:val="en-GB" w:eastAsia="en-US"/>
        </w:rPr>
        <w:t xml:space="preserve">in Cambodia </w:t>
      </w:r>
      <w:r>
        <w:rPr>
          <w:rFonts w:asciiTheme="minorHAnsi" w:eastAsiaTheme="minorHAnsi" w:hAnsiTheme="minorHAnsi" w:cstheme="minorHAnsi"/>
          <w:sz w:val="22"/>
          <w:szCs w:val="22"/>
          <w:lang w:val="en-GB" w:eastAsia="en-US"/>
        </w:rPr>
        <w:t xml:space="preserve">in respective areas of rural livelihoods, youth leadership and access to education. </w:t>
      </w:r>
    </w:p>
    <w:p w:rsidR="0097700F" w:rsidRDefault="0097700F" w:rsidP="0097700F">
      <w:pPr>
        <w:spacing w:after="120" w:line="259" w:lineRule="auto"/>
      </w:pPr>
      <w:r>
        <w:rPr>
          <w:b/>
        </w:rPr>
        <w:t xml:space="preserve">Australian volunteers program </w:t>
      </w:r>
    </w:p>
    <w:p w:rsidR="003B5513" w:rsidRDefault="0097700F" w:rsidP="003B5513">
      <w:pPr>
        <w:spacing w:after="120" w:line="259" w:lineRule="auto"/>
        <w:rPr>
          <w:rFonts w:cstheme="minorHAnsi"/>
          <w:color w:val="auto"/>
        </w:rPr>
      </w:pPr>
      <w:r w:rsidRPr="00782FE6">
        <w:rPr>
          <w:rFonts w:cstheme="minorHAnsi"/>
          <w:color w:val="auto"/>
        </w:rPr>
        <w:t>In 2018-19, 70 Australians, including 38 women, were supported through the Australian volunteers program</w:t>
      </w:r>
      <w:r w:rsidR="00D35F96">
        <w:rPr>
          <w:rFonts w:cstheme="minorHAnsi"/>
          <w:color w:val="auto"/>
        </w:rPr>
        <w:t xml:space="preserve"> in Cambodia</w:t>
      </w:r>
      <w:r w:rsidR="00782FE6" w:rsidRPr="00782FE6">
        <w:rPr>
          <w:rFonts w:cstheme="minorHAnsi"/>
          <w:color w:val="auto"/>
        </w:rPr>
        <w:t>. The</w:t>
      </w:r>
      <w:r w:rsidR="00EF4F10">
        <w:rPr>
          <w:rFonts w:cstheme="minorHAnsi"/>
          <w:color w:val="auto"/>
        </w:rPr>
        <w:t>y</w:t>
      </w:r>
      <w:r w:rsidR="00782FE6" w:rsidRPr="00782FE6">
        <w:rPr>
          <w:rFonts w:cstheme="minorHAnsi"/>
          <w:color w:val="auto"/>
        </w:rPr>
        <w:t xml:space="preserve"> worked</w:t>
      </w:r>
      <w:r w:rsidRPr="00782FE6">
        <w:rPr>
          <w:rFonts w:cstheme="minorHAnsi"/>
          <w:color w:val="auto"/>
        </w:rPr>
        <w:t xml:space="preserve"> </w:t>
      </w:r>
      <w:r w:rsidR="007C1463" w:rsidRPr="00782FE6">
        <w:rPr>
          <w:rFonts w:cstheme="minorHAnsi"/>
          <w:color w:val="auto"/>
        </w:rPr>
        <w:t>with Government agencies,</w:t>
      </w:r>
      <w:r w:rsidRPr="00782FE6">
        <w:rPr>
          <w:rFonts w:cstheme="minorHAnsi"/>
          <w:color w:val="auto"/>
        </w:rPr>
        <w:t xml:space="preserve"> local and internation</w:t>
      </w:r>
      <w:r w:rsidR="00782FE6" w:rsidRPr="00782FE6">
        <w:rPr>
          <w:rFonts w:cstheme="minorHAnsi"/>
          <w:color w:val="auto"/>
        </w:rPr>
        <w:t>al non-government organisations, higher education institutions,</w:t>
      </w:r>
      <w:r w:rsidRPr="00782FE6">
        <w:rPr>
          <w:rFonts w:cstheme="minorHAnsi"/>
          <w:color w:val="auto"/>
        </w:rPr>
        <w:t xml:space="preserve"> and multilateral organisations. Australian volunteers worked with Cambodian counterparts to exchange their knowledge and skills in various areas, including c</w:t>
      </w:r>
      <w:r w:rsidR="00782FE6" w:rsidRPr="00782FE6">
        <w:rPr>
          <w:rFonts w:cstheme="minorHAnsi"/>
          <w:color w:val="auto"/>
        </w:rPr>
        <w:t>ommunity and social development, health,</w:t>
      </w:r>
      <w:r w:rsidRPr="00782FE6">
        <w:rPr>
          <w:rFonts w:cstheme="minorHAnsi"/>
          <w:color w:val="auto"/>
        </w:rPr>
        <w:t xml:space="preserve"> medi</w:t>
      </w:r>
      <w:r w:rsidR="00782FE6" w:rsidRPr="00782FE6">
        <w:rPr>
          <w:rFonts w:cstheme="minorHAnsi"/>
          <w:color w:val="auto"/>
        </w:rPr>
        <w:t>a, communications and marketing,</w:t>
      </w:r>
      <w:r w:rsidRPr="00782FE6">
        <w:rPr>
          <w:rFonts w:cstheme="minorHAnsi"/>
          <w:color w:val="auto"/>
        </w:rPr>
        <w:t xml:space="preserve"> management and human resources.</w:t>
      </w:r>
    </w:p>
    <w:p w:rsidR="002A51CA" w:rsidRDefault="002A51CA" w:rsidP="00CF62AE">
      <w:pPr>
        <w:pStyle w:val="Heading2"/>
        <w:spacing w:before="360" w:line="300" w:lineRule="exact"/>
      </w:pPr>
      <w:r>
        <w:t>Mutual obligations</w:t>
      </w:r>
    </w:p>
    <w:p w:rsidR="00773634" w:rsidRDefault="00537417" w:rsidP="008E7DCA">
      <w:pPr>
        <w:rPr>
          <w:rFonts w:cstheme="minorHAnsi"/>
          <w:color w:val="auto"/>
        </w:rPr>
      </w:pPr>
      <w:r w:rsidRPr="00F306C8">
        <w:rPr>
          <w:rFonts w:cstheme="minorHAnsi"/>
          <w:color w:val="auto"/>
        </w:rPr>
        <w:t>None of our development cooperation in Cambodia</w:t>
      </w:r>
      <w:r w:rsidR="00CC02F2">
        <w:rPr>
          <w:rFonts w:cstheme="minorHAnsi"/>
          <w:color w:val="auto"/>
        </w:rPr>
        <w:t xml:space="preserve"> was</w:t>
      </w:r>
      <w:r w:rsidRPr="00F306C8">
        <w:rPr>
          <w:rFonts w:cstheme="minorHAnsi"/>
          <w:color w:val="auto"/>
        </w:rPr>
        <w:t xml:space="preserve"> provided directly </w:t>
      </w:r>
      <w:r w:rsidR="003F3BD0">
        <w:rPr>
          <w:rFonts w:cstheme="minorHAnsi"/>
          <w:color w:val="auto"/>
        </w:rPr>
        <w:t>through</w:t>
      </w:r>
      <w:r w:rsidRPr="00F306C8">
        <w:rPr>
          <w:rFonts w:cstheme="minorHAnsi"/>
          <w:color w:val="auto"/>
        </w:rPr>
        <w:t xml:space="preserve"> </w:t>
      </w:r>
      <w:r w:rsidR="003F3BD0" w:rsidRPr="00F306C8">
        <w:rPr>
          <w:rFonts w:cstheme="minorHAnsi"/>
          <w:color w:val="auto"/>
        </w:rPr>
        <w:t>Cambodia</w:t>
      </w:r>
      <w:r w:rsidR="003F3BD0">
        <w:rPr>
          <w:rFonts w:cstheme="minorHAnsi"/>
          <w:color w:val="auto"/>
        </w:rPr>
        <w:t>n</w:t>
      </w:r>
      <w:r w:rsidR="003F3BD0" w:rsidRPr="00F306C8">
        <w:rPr>
          <w:rFonts w:cstheme="minorHAnsi"/>
          <w:color w:val="auto"/>
        </w:rPr>
        <w:t xml:space="preserve"> </w:t>
      </w:r>
      <w:r w:rsidRPr="00F306C8">
        <w:rPr>
          <w:rFonts w:cstheme="minorHAnsi"/>
          <w:color w:val="auto"/>
        </w:rPr>
        <w:t>Government</w:t>
      </w:r>
      <w:r w:rsidR="00F306C8" w:rsidRPr="00F306C8">
        <w:rPr>
          <w:rFonts w:cstheme="minorHAnsi"/>
          <w:color w:val="auto"/>
        </w:rPr>
        <w:t xml:space="preserve"> </w:t>
      </w:r>
      <w:r w:rsidR="003F3BD0">
        <w:rPr>
          <w:rFonts w:cstheme="minorHAnsi"/>
          <w:color w:val="auto"/>
        </w:rPr>
        <w:t>financial systems</w:t>
      </w:r>
      <w:r w:rsidR="00F306C8" w:rsidRPr="00F306C8">
        <w:rPr>
          <w:rFonts w:cstheme="minorHAnsi"/>
          <w:color w:val="auto"/>
        </w:rPr>
        <w:t xml:space="preserve">. However, our assistance </w:t>
      </w:r>
      <w:r w:rsidR="00CC02F2">
        <w:rPr>
          <w:rFonts w:cstheme="minorHAnsi"/>
          <w:color w:val="auto"/>
        </w:rPr>
        <w:t>was</w:t>
      </w:r>
      <w:r w:rsidR="00F306C8" w:rsidRPr="00F306C8">
        <w:rPr>
          <w:rFonts w:cstheme="minorHAnsi"/>
          <w:color w:val="auto"/>
        </w:rPr>
        <w:t xml:space="preserve"> developed </w:t>
      </w:r>
      <w:r w:rsidR="00F306C8">
        <w:rPr>
          <w:rFonts w:cstheme="minorHAnsi"/>
          <w:color w:val="auto"/>
        </w:rPr>
        <w:t xml:space="preserve">and implemented </w:t>
      </w:r>
      <w:r w:rsidR="00F306C8" w:rsidRPr="00F306C8">
        <w:rPr>
          <w:rFonts w:cstheme="minorHAnsi"/>
          <w:color w:val="auto"/>
        </w:rPr>
        <w:t xml:space="preserve">in close consultation. </w:t>
      </w:r>
    </w:p>
    <w:p w:rsidR="00CC02F2" w:rsidRDefault="00F306C8" w:rsidP="008E7DCA">
      <w:pPr>
        <w:rPr>
          <w:rFonts w:cstheme="minorHAnsi"/>
          <w:color w:val="auto"/>
        </w:rPr>
      </w:pPr>
      <w:r w:rsidRPr="00F306C8">
        <w:rPr>
          <w:rFonts w:cstheme="minorHAnsi"/>
          <w:color w:val="auto"/>
        </w:rPr>
        <w:t xml:space="preserve">Cambodia’s commitment to reform is critical to </w:t>
      </w:r>
      <w:r>
        <w:rPr>
          <w:rFonts w:cstheme="minorHAnsi"/>
          <w:color w:val="auto"/>
        </w:rPr>
        <w:t>most</w:t>
      </w:r>
      <w:r w:rsidRPr="00F306C8">
        <w:rPr>
          <w:rFonts w:cstheme="minorHAnsi"/>
          <w:color w:val="auto"/>
        </w:rPr>
        <w:t xml:space="preserve"> of Australia’s </w:t>
      </w:r>
      <w:r w:rsidR="009565EF">
        <w:rPr>
          <w:rFonts w:cstheme="minorHAnsi"/>
          <w:color w:val="auto"/>
        </w:rPr>
        <w:t>largest</w:t>
      </w:r>
      <w:r>
        <w:rPr>
          <w:rFonts w:cstheme="minorHAnsi"/>
          <w:color w:val="auto"/>
        </w:rPr>
        <w:t xml:space="preserve"> </w:t>
      </w:r>
      <w:r w:rsidRPr="00F306C8">
        <w:rPr>
          <w:rFonts w:cstheme="minorHAnsi"/>
          <w:color w:val="auto"/>
        </w:rPr>
        <w:t xml:space="preserve">investments in Cambodia and </w:t>
      </w:r>
      <w:r w:rsidR="00EF4F10">
        <w:rPr>
          <w:rFonts w:cstheme="minorHAnsi"/>
          <w:color w:val="auto"/>
        </w:rPr>
        <w:t xml:space="preserve">to </w:t>
      </w:r>
      <w:r w:rsidR="003F3BD0">
        <w:rPr>
          <w:rFonts w:cstheme="minorHAnsi"/>
          <w:color w:val="auto"/>
        </w:rPr>
        <w:t xml:space="preserve">the </w:t>
      </w:r>
      <w:r w:rsidRPr="00F306C8">
        <w:rPr>
          <w:rFonts w:cstheme="minorHAnsi"/>
          <w:color w:val="auto"/>
        </w:rPr>
        <w:t xml:space="preserve">achievement of AIP objectives. </w:t>
      </w:r>
      <w:r w:rsidR="00773634" w:rsidRPr="00773634">
        <w:rPr>
          <w:rFonts w:cstheme="minorHAnsi"/>
          <w:color w:val="auto"/>
        </w:rPr>
        <w:t>Over 2018-19</w:t>
      </w:r>
      <w:r w:rsidR="00D35F96">
        <w:rPr>
          <w:rFonts w:cstheme="minorHAnsi"/>
          <w:color w:val="auto"/>
        </w:rPr>
        <w:t>, the</w:t>
      </w:r>
      <w:r w:rsidR="00773634" w:rsidRPr="00773634">
        <w:rPr>
          <w:rFonts w:cstheme="minorHAnsi"/>
          <w:color w:val="auto"/>
        </w:rPr>
        <w:t xml:space="preserve"> Cambodian Government continued to commit to reforms in a range of areas. </w:t>
      </w:r>
      <w:r>
        <w:rPr>
          <w:rFonts w:cstheme="minorHAnsi"/>
          <w:color w:val="auto"/>
        </w:rPr>
        <w:t xml:space="preserve">A number of </w:t>
      </w:r>
      <w:r w:rsidR="009565EF">
        <w:rPr>
          <w:rFonts w:cstheme="minorHAnsi"/>
          <w:color w:val="auto"/>
        </w:rPr>
        <w:t xml:space="preserve">key results </w:t>
      </w:r>
      <w:r w:rsidR="00EF4F10">
        <w:rPr>
          <w:rFonts w:cstheme="minorHAnsi"/>
          <w:color w:val="auto"/>
        </w:rPr>
        <w:t>have demo</w:t>
      </w:r>
      <w:r w:rsidR="00066A79">
        <w:rPr>
          <w:rFonts w:cstheme="minorHAnsi"/>
          <w:color w:val="auto"/>
        </w:rPr>
        <w:t xml:space="preserve">nstrated the importance of this commitment to </w:t>
      </w:r>
      <w:r w:rsidR="0070665B">
        <w:rPr>
          <w:rFonts w:cstheme="minorHAnsi"/>
          <w:color w:val="auto"/>
        </w:rPr>
        <w:t>the outcomes of our development investments</w:t>
      </w:r>
      <w:r w:rsidR="00EF4F10">
        <w:rPr>
          <w:rFonts w:cstheme="minorHAnsi"/>
          <w:color w:val="auto"/>
        </w:rPr>
        <w:t>, including</w:t>
      </w:r>
      <w:r w:rsidR="003F3BD0">
        <w:rPr>
          <w:rFonts w:cstheme="minorHAnsi"/>
          <w:color w:val="auto"/>
        </w:rPr>
        <w:t>:</w:t>
      </w:r>
      <w:r w:rsidR="00EF4F10">
        <w:rPr>
          <w:rFonts w:cstheme="minorHAnsi"/>
          <w:color w:val="auto"/>
        </w:rPr>
        <w:t xml:space="preserve"> </w:t>
      </w:r>
    </w:p>
    <w:p w:rsidR="00F306C8" w:rsidRPr="00EF4F10" w:rsidRDefault="00EF4F10" w:rsidP="00B44723">
      <w:pPr>
        <w:pStyle w:val="ListParagraph"/>
        <w:numPr>
          <w:ilvl w:val="0"/>
          <w:numId w:val="47"/>
        </w:numPr>
        <w:spacing w:before="120" w:after="120"/>
        <w:ind w:left="714" w:hanging="357"/>
        <w:contextualSpacing w:val="0"/>
        <w:rPr>
          <w:rFonts w:asciiTheme="minorHAnsi" w:hAnsiTheme="minorHAnsi" w:cstheme="minorHAnsi"/>
          <w:sz w:val="22"/>
          <w:szCs w:val="22"/>
        </w:rPr>
      </w:pPr>
      <w:r w:rsidRPr="00EF4F10">
        <w:rPr>
          <w:rFonts w:asciiTheme="minorHAnsi" w:hAnsiTheme="minorHAnsi" w:cstheme="minorHAnsi"/>
          <w:sz w:val="22"/>
          <w:szCs w:val="22"/>
        </w:rPr>
        <w:t>I</w:t>
      </w:r>
      <w:r w:rsidR="009565EF" w:rsidRPr="00EF4F10">
        <w:rPr>
          <w:rFonts w:asciiTheme="minorHAnsi" w:hAnsiTheme="minorHAnsi" w:cstheme="minorHAnsi"/>
          <w:sz w:val="22"/>
          <w:szCs w:val="22"/>
        </w:rPr>
        <w:t xml:space="preserve">n the health sector, Cambodia’s willingness to adopt institutional reforms enabled the successes of H-EQIP, such as the establishment of the independent payment certification agency.   </w:t>
      </w:r>
    </w:p>
    <w:p w:rsidR="00CC02F2" w:rsidRPr="00EF4F10" w:rsidRDefault="00773634" w:rsidP="00B44723">
      <w:pPr>
        <w:pStyle w:val="ListParagraph"/>
        <w:numPr>
          <w:ilvl w:val="0"/>
          <w:numId w:val="47"/>
        </w:numPr>
        <w:spacing w:before="120" w:after="120"/>
        <w:ind w:left="714" w:hanging="357"/>
        <w:contextualSpacing w:val="0"/>
        <w:rPr>
          <w:rFonts w:asciiTheme="minorHAnsi" w:hAnsiTheme="minorHAnsi" w:cstheme="minorHAnsi"/>
          <w:sz w:val="22"/>
          <w:szCs w:val="22"/>
        </w:rPr>
      </w:pPr>
      <w:r w:rsidRPr="00EF4F10">
        <w:rPr>
          <w:rFonts w:asciiTheme="minorHAnsi" w:hAnsiTheme="minorHAnsi" w:cstheme="minorHAnsi"/>
          <w:sz w:val="22"/>
          <w:szCs w:val="22"/>
        </w:rPr>
        <w:lastRenderedPageBreak/>
        <w:t xml:space="preserve">The willingness of the </w:t>
      </w:r>
      <w:r w:rsidR="00CC02F2" w:rsidRPr="00EF4F10">
        <w:rPr>
          <w:rFonts w:asciiTheme="minorHAnsi" w:hAnsiTheme="minorHAnsi" w:cstheme="minorHAnsi"/>
          <w:sz w:val="22"/>
          <w:szCs w:val="22"/>
        </w:rPr>
        <w:t>Ministry of Economy and Finance to adopt</w:t>
      </w:r>
      <w:r w:rsidRPr="00EF4F10">
        <w:rPr>
          <w:rFonts w:asciiTheme="minorHAnsi" w:hAnsiTheme="minorHAnsi" w:cstheme="minorHAnsi"/>
          <w:sz w:val="22"/>
          <w:szCs w:val="22"/>
        </w:rPr>
        <w:t xml:space="preserve"> more</w:t>
      </w:r>
      <w:r w:rsidR="00CC02F2" w:rsidRPr="00EF4F10">
        <w:rPr>
          <w:rFonts w:asciiTheme="minorHAnsi" w:hAnsiTheme="minorHAnsi" w:cstheme="minorHAnsi"/>
          <w:sz w:val="22"/>
          <w:szCs w:val="22"/>
        </w:rPr>
        <w:t xml:space="preserve"> transparent, program-based budgeting</w:t>
      </w:r>
      <w:r w:rsidRPr="00EF4F10">
        <w:rPr>
          <w:rFonts w:asciiTheme="minorHAnsi" w:hAnsiTheme="minorHAnsi" w:cstheme="minorHAnsi"/>
          <w:sz w:val="22"/>
          <w:szCs w:val="22"/>
        </w:rPr>
        <w:t xml:space="preserve"> enabled the PFM Project to see results, </w:t>
      </w:r>
      <w:r w:rsidR="003F3BD0">
        <w:rPr>
          <w:rFonts w:asciiTheme="minorHAnsi" w:hAnsiTheme="minorHAnsi" w:cstheme="minorHAnsi"/>
          <w:sz w:val="22"/>
          <w:szCs w:val="22"/>
        </w:rPr>
        <w:t>building on previous PFM</w:t>
      </w:r>
      <w:r w:rsidR="003F3BD0" w:rsidRPr="00EF4F10">
        <w:rPr>
          <w:rFonts w:asciiTheme="minorHAnsi" w:hAnsiTheme="minorHAnsi" w:cstheme="minorHAnsi"/>
          <w:sz w:val="22"/>
          <w:szCs w:val="22"/>
        </w:rPr>
        <w:t xml:space="preserve"> </w:t>
      </w:r>
      <w:r w:rsidR="003708AA">
        <w:rPr>
          <w:rFonts w:asciiTheme="minorHAnsi" w:hAnsiTheme="minorHAnsi" w:cstheme="minorHAnsi"/>
          <w:sz w:val="22"/>
          <w:szCs w:val="22"/>
        </w:rPr>
        <w:t xml:space="preserve">results such as </w:t>
      </w:r>
      <w:r w:rsidR="00CC02F2" w:rsidRPr="00EF4F10">
        <w:rPr>
          <w:rFonts w:asciiTheme="minorHAnsi" w:hAnsiTheme="minorHAnsi" w:cstheme="minorHAnsi"/>
          <w:sz w:val="22"/>
          <w:szCs w:val="22"/>
        </w:rPr>
        <w:t>cashless payroll processes to prevent fraud in the payment of civil servant salaries.</w:t>
      </w:r>
    </w:p>
    <w:p w:rsidR="009565EF" w:rsidRPr="00EF4F10" w:rsidRDefault="009565EF" w:rsidP="00B44723">
      <w:pPr>
        <w:pStyle w:val="ListParagraph"/>
        <w:numPr>
          <w:ilvl w:val="0"/>
          <w:numId w:val="47"/>
        </w:numPr>
        <w:spacing w:before="120" w:after="120"/>
        <w:ind w:left="714" w:hanging="357"/>
        <w:contextualSpacing w:val="0"/>
        <w:rPr>
          <w:rFonts w:asciiTheme="minorHAnsi" w:hAnsiTheme="minorHAnsi" w:cstheme="minorHAnsi"/>
          <w:sz w:val="22"/>
          <w:szCs w:val="22"/>
        </w:rPr>
      </w:pPr>
      <w:r w:rsidRPr="00EF4F10">
        <w:rPr>
          <w:rFonts w:asciiTheme="minorHAnsi" w:hAnsiTheme="minorHAnsi" w:cstheme="minorHAnsi"/>
          <w:sz w:val="22"/>
          <w:szCs w:val="22"/>
        </w:rPr>
        <w:t>Cambodian Government policymakers acr</w:t>
      </w:r>
      <w:r w:rsidR="006E4580" w:rsidRPr="00EF4F10">
        <w:rPr>
          <w:rFonts w:asciiTheme="minorHAnsi" w:hAnsiTheme="minorHAnsi" w:cstheme="minorHAnsi"/>
          <w:sz w:val="22"/>
          <w:szCs w:val="22"/>
        </w:rPr>
        <w:t xml:space="preserve">oss a number of ministries </w:t>
      </w:r>
      <w:r w:rsidR="00940BA3">
        <w:rPr>
          <w:rFonts w:asciiTheme="minorHAnsi" w:hAnsiTheme="minorHAnsi" w:cstheme="minorHAnsi"/>
          <w:sz w:val="22"/>
          <w:szCs w:val="22"/>
        </w:rPr>
        <w:t xml:space="preserve">and departments </w:t>
      </w:r>
      <w:r w:rsidR="006E4580" w:rsidRPr="00EF4F10">
        <w:rPr>
          <w:rFonts w:asciiTheme="minorHAnsi" w:hAnsiTheme="minorHAnsi" w:cstheme="minorHAnsi"/>
          <w:sz w:val="22"/>
          <w:szCs w:val="22"/>
        </w:rPr>
        <w:t>(</w:t>
      </w:r>
      <w:r w:rsidR="00940BA3">
        <w:rPr>
          <w:rFonts w:asciiTheme="minorHAnsi" w:hAnsiTheme="minorHAnsi" w:cstheme="minorHAnsi"/>
          <w:sz w:val="22"/>
          <w:szCs w:val="22"/>
        </w:rPr>
        <w:t xml:space="preserve">representing </w:t>
      </w:r>
      <w:r w:rsidR="006E4580" w:rsidRPr="00EF4F10">
        <w:rPr>
          <w:rFonts w:asciiTheme="minorHAnsi" w:hAnsiTheme="minorHAnsi" w:cstheme="minorHAnsi"/>
          <w:sz w:val="22"/>
          <w:szCs w:val="22"/>
        </w:rPr>
        <w:t>Women’s Affairs</w:t>
      </w:r>
      <w:r w:rsidR="00940BA3">
        <w:rPr>
          <w:rFonts w:asciiTheme="minorHAnsi" w:hAnsiTheme="minorHAnsi" w:cstheme="minorHAnsi"/>
          <w:sz w:val="22"/>
          <w:szCs w:val="22"/>
        </w:rPr>
        <w:t>;</w:t>
      </w:r>
      <w:r w:rsidR="006E4580" w:rsidRPr="00EF4F10">
        <w:rPr>
          <w:rFonts w:asciiTheme="minorHAnsi" w:hAnsiTheme="minorHAnsi" w:cstheme="minorHAnsi"/>
          <w:sz w:val="22"/>
          <w:szCs w:val="22"/>
        </w:rPr>
        <w:t xml:space="preserve"> Social Affairs, Veterans,</w:t>
      </w:r>
      <w:r w:rsidR="00940BA3">
        <w:rPr>
          <w:rFonts w:asciiTheme="minorHAnsi" w:hAnsiTheme="minorHAnsi" w:cstheme="minorHAnsi"/>
          <w:sz w:val="22"/>
          <w:szCs w:val="22"/>
        </w:rPr>
        <w:t xml:space="preserve"> and</w:t>
      </w:r>
      <w:r w:rsidR="006E4580" w:rsidRPr="00EF4F10">
        <w:rPr>
          <w:rFonts w:asciiTheme="minorHAnsi" w:hAnsiTheme="minorHAnsi" w:cstheme="minorHAnsi"/>
          <w:sz w:val="22"/>
          <w:szCs w:val="22"/>
        </w:rPr>
        <w:t xml:space="preserve"> Youth Rehabilitation</w:t>
      </w:r>
      <w:r w:rsidR="00940BA3">
        <w:rPr>
          <w:rFonts w:asciiTheme="minorHAnsi" w:hAnsiTheme="minorHAnsi" w:cstheme="minorHAnsi"/>
          <w:sz w:val="22"/>
          <w:szCs w:val="22"/>
        </w:rPr>
        <w:t>;</w:t>
      </w:r>
      <w:r w:rsidR="006E4580" w:rsidRPr="00EF4F10">
        <w:rPr>
          <w:rFonts w:asciiTheme="minorHAnsi" w:hAnsiTheme="minorHAnsi" w:cstheme="minorHAnsi"/>
          <w:sz w:val="22"/>
          <w:szCs w:val="22"/>
        </w:rPr>
        <w:t xml:space="preserve"> Disability</w:t>
      </w:r>
      <w:r w:rsidR="00940BA3">
        <w:rPr>
          <w:rFonts w:asciiTheme="minorHAnsi" w:hAnsiTheme="minorHAnsi" w:cstheme="minorHAnsi"/>
          <w:sz w:val="22"/>
          <w:szCs w:val="22"/>
        </w:rPr>
        <w:t>;</w:t>
      </w:r>
      <w:r w:rsidR="006E4580" w:rsidRPr="00EF4F10">
        <w:rPr>
          <w:rFonts w:asciiTheme="minorHAnsi" w:hAnsiTheme="minorHAnsi" w:cstheme="minorHAnsi"/>
          <w:sz w:val="22"/>
          <w:szCs w:val="22"/>
        </w:rPr>
        <w:t xml:space="preserve"> and Economy and Finance) came together </w:t>
      </w:r>
      <w:r w:rsidR="00EF4F10">
        <w:rPr>
          <w:rFonts w:asciiTheme="minorHAnsi" w:hAnsiTheme="minorHAnsi" w:cstheme="minorHAnsi"/>
          <w:sz w:val="22"/>
          <w:szCs w:val="22"/>
        </w:rPr>
        <w:t xml:space="preserve">to </w:t>
      </w:r>
      <w:r w:rsidR="00940BA3">
        <w:rPr>
          <w:rFonts w:asciiTheme="minorHAnsi" w:hAnsiTheme="minorHAnsi" w:cstheme="minorHAnsi"/>
          <w:sz w:val="22"/>
          <w:szCs w:val="22"/>
        </w:rPr>
        <w:t xml:space="preserve">participate in </w:t>
      </w:r>
      <w:r w:rsidR="00EF4F10">
        <w:rPr>
          <w:rFonts w:asciiTheme="minorHAnsi" w:hAnsiTheme="minorHAnsi" w:cstheme="minorHAnsi"/>
          <w:sz w:val="22"/>
          <w:szCs w:val="22"/>
        </w:rPr>
        <w:t>the</w:t>
      </w:r>
      <w:r w:rsidR="0070665B">
        <w:rPr>
          <w:rFonts w:asciiTheme="minorHAnsi" w:hAnsiTheme="minorHAnsi" w:cstheme="minorHAnsi"/>
          <w:sz w:val="22"/>
          <w:szCs w:val="22"/>
        </w:rPr>
        <w:t xml:space="preserve"> launch</w:t>
      </w:r>
      <w:r w:rsidR="00EF4F10">
        <w:rPr>
          <w:rFonts w:asciiTheme="minorHAnsi" w:hAnsiTheme="minorHAnsi" w:cstheme="minorHAnsi"/>
          <w:sz w:val="22"/>
          <w:szCs w:val="22"/>
        </w:rPr>
        <w:t xml:space="preserve"> of </w:t>
      </w:r>
      <w:r w:rsidR="006E4580" w:rsidRPr="00EF4F10">
        <w:rPr>
          <w:rFonts w:asciiTheme="minorHAnsi" w:hAnsiTheme="minorHAnsi" w:cstheme="minorHAnsi"/>
          <w:sz w:val="22"/>
          <w:szCs w:val="22"/>
        </w:rPr>
        <w:t xml:space="preserve">ACCESS. </w:t>
      </w:r>
    </w:p>
    <w:p w:rsidR="00CC02F2" w:rsidRPr="00EF4F10" w:rsidRDefault="00CC02F2" w:rsidP="00B44723">
      <w:pPr>
        <w:pStyle w:val="ListParagraph"/>
        <w:numPr>
          <w:ilvl w:val="0"/>
          <w:numId w:val="47"/>
        </w:numPr>
        <w:spacing w:before="120" w:after="120"/>
        <w:ind w:left="714" w:hanging="357"/>
        <w:contextualSpacing w:val="0"/>
        <w:rPr>
          <w:rFonts w:asciiTheme="minorHAnsi" w:hAnsiTheme="minorHAnsi" w:cstheme="minorHAnsi"/>
          <w:sz w:val="22"/>
          <w:szCs w:val="22"/>
        </w:rPr>
      </w:pPr>
      <w:r w:rsidRPr="00EF4F10">
        <w:rPr>
          <w:rFonts w:asciiTheme="minorHAnsi" w:hAnsiTheme="minorHAnsi" w:cstheme="minorHAnsi"/>
          <w:sz w:val="22"/>
          <w:szCs w:val="22"/>
        </w:rPr>
        <w:t xml:space="preserve">Through engagement with the Cambodian Government, Australia was able to ensure the Australia Awards program both met Cambodia’s human resource needs and </w:t>
      </w:r>
      <w:r w:rsidR="00C31E55">
        <w:rPr>
          <w:rFonts w:asciiTheme="minorHAnsi" w:hAnsiTheme="minorHAnsi" w:cstheme="minorHAnsi"/>
          <w:sz w:val="22"/>
          <w:szCs w:val="22"/>
        </w:rPr>
        <w:t>wa</w:t>
      </w:r>
      <w:r w:rsidRPr="00EF4F10">
        <w:rPr>
          <w:rFonts w:asciiTheme="minorHAnsi" w:hAnsiTheme="minorHAnsi" w:cstheme="minorHAnsi"/>
          <w:sz w:val="22"/>
          <w:szCs w:val="22"/>
        </w:rPr>
        <w:t>s aligned with our AIP.</w:t>
      </w:r>
    </w:p>
    <w:p w:rsidR="0070665B" w:rsidRPr="0070665B" w:rsidRDefault="0070665B" w:rsidP="0070665B">
      <w:pPr>
        <w:rPr>
          <w:rFonts w:cstheme="minorHAnsi"/>
          <w:color w:val="auto"/>
        </w:rPr>
      </w:pPr>
      <w:r w:rsidRPr="0070665B">
        <w:rPr>
          <w:rFonts w:cstheme="minorHAnsi"/>
          <w:color w:val="auto"/>
        </w:rPr>
        <w:t xml:space="preserve">The Cambodian Government’s increasing responsibility for service delivery and performance is reflected in its increasing funding contributions to development activities. This includes in areas of </w:t>
      </w:r>
      <w:r w:rsidR="00D35F96">
        <w:rPr>
          <w:rFonts w:cstheme="minorHAnsi"/>
          <w:color w:val="auto"/>
        </w:rPr>
        <w:t>mine clearance</w:t>
      </w:r>
      <w:r w:rsidRPr="0070665B">
        <w:rPr>
          <w:rFonts w:cstheme="minorHAnsi"/>
          <w:color w:val="auto"/>
        </w:rPr>
        <w:t xml:space="preserve"> (</w:t>
      </w:r>
      <w:r w:rsidR="003F3BD0">
        <w:rPr>
          <w:rFonts w:cstheme="minorHAnsi"/>
          <w:color w:val="auto"/>
        </w:rPr>
        <w:t xml:space="preserve">pledging to </w:t>
      </w:r>
      <w:r w:rsidRPr="0070665B">
        <w:rPr>
          <w:rFonts w:cstheme="minorHAnsi"/>
          <w:color w:val="auto"/>
        </w:rPr>
        <w:t>contribut</w:t>
      </w:r>
      <w:r w:rsidR="003F3BD0">
        <w:rPr>
          <w:rFonts w:cstheme="minorHAnsi"/>
          <w:color w:val="auto"/>
        </w:rPr>
        <w:t>e</w:t>
      </w:r>
      <w:r w:rsidRPr="0070665B">
        <w:rPr>
          <w:rFonts w:cstheme="minorHAnsi"/>
          <w:color w:val="auto"/>
        </w:rPr>
        <w:t xml:space="preserve"> ten per cent of the project costs), IDPoor (financing most operational aspects), and increasingly of H-EQIP. </w:t>
      </w:r>
    </w:p>
    <w:p w:rsidR="006E4580" w:rsidRDefault="007F01BA" w:rsidP="006E4580">
      <w:pPr>
        <w:rPr>
          <w:rFonts w:cstheme="minorHAnsi"/>
          <w:color w:val="auto"/>
        </w:rPr>
      </w:pPr>
      <w:r>
        <w:rPr>
          <w:rFonts w:cstheme="minorHAnsi"/>
          <w:color w:val="auto"/>
        </w:rPr>
        <w:t xml:space="preserve">Australia’s increased focus on </w:t>
      </w:r>
      <w:r w:rsidR="004A608F">
        <w:rPr>
          <w:rFonts w:cstheme="minorHAnsi"/>
          <w:color w:val="auto"/>
        </w:rPr>
        <w:t xml:space="preserve">policy dialogue over 2018-19 </w:t>
      </w:r>
      <w:r>
        <w:rPr>
          <w:rFonts w:cstheme="minorHAnsi"/>
          <w:color w:val="auto"/>
        </w:rPr>
        <w:t xml:space="preserve">helped progress this engagement and </w:t>
      </w:r>
      <w:r w:rsidR="0070665B">
        <w:rPr>
          <w:rFonts w:cstheme="minorHAnsi"/>
          <w:color w:val="auto"/>
        </w:rPr>
        <w:t xml:space="preserve">corresponding </w:t>
      </w:r>
      <w:r w:rsidR="00F306C8" w:rsidRPr="006E4580">
        <w:rPr>
          <w:rFonts w:cstheme="minorHAnsi"/>
          <w:color w:val="auto"/>
        </w:rPr>
        <w:t xml:space="preserve">reforms. </w:t>
      </w:r>
      <w:r w:rsidR="00794017">
        <w:rPr>
          <w:rFonts w:cstheme="minorHAnsi"/>
          <w:color w:val="auto"/>
        </w:rPr>
        <w:t xml:space="preserve">Policy dialogue will be an even greater focus in 2019-20, and is expected to feature in the next AIP. </w:t>
      </w:r>
      <w:r w:rsidR="0070665B">
        <w:rPr>
          <w:rFonts w:cstheme="minorHAnsi"/>
          <w:color w:val="auto"/>
        </w:rPr>
        <w:t>Areas of focus will likely include</w:t>
      </w:r>
      <w:r w:rsidR="006E4580" w:rsidRPr="004B7A61">
        <w:rPr>
          <w:rFonts w:cstheme="minorHAnsi"/>
          <w:color w:val="auto"/>
        </w:rPr>
        <w:t xml:space="preserve"> infrastructure</w:t>
      </w:r>
      <w:r>
        <w:rPr>
          <w:rFonts w:cstheme="minorHAnsi"/>
          <w:color w:val="auto"/>
        </w:rPr>
        <w:t xml:space="preserve">, energy and </w:t>
      </w:r>
      <w:r w:rsidR="003708AA">
        <w:rPr>
          <w:rFonts w:cstheme="minorHAnsi"/>
          <w:color w:val="auto"/>
        </w:rPr>
        <w:t>public services</w:t>
      </w:r>
      <w:r>
        <w:rPr>
          <w:rFonts w:cstheme="minorHAnsi"/>
          <w:color w:val="auto"/>
        </w:rPr>
        <w:t xml:space="preserve">. </w:t>
      </w:r>
      <w:r w:rsidR="006E4580" w:rsidRPr="004B7A61">
        <w:rPr>
          <w:rFonts w:cstheme="minorHAnsi"/>
          <w:color w:val="auto"/>
        </w:rPr>
        <w:t xml:space="preserve"> </w:t>
      </w:r>
    </w:p>
    <w:p w:rsidR="002A51CA" w:rsidRPr="002A51CA" w:rsidRDefault="002A51CA" w:rsidP="00CF62AE">
      <w:pPr>
        <w:pStyle w:val="Heading2"/>
        <w:spacing w:before="360" w:line="300" w:lineRule="exact"/>
      </w:pPr>
      <w:r w:rsidRPr="002A51CA">
        <w:t xml:space="preserve">Program Quality and Partner Performance </w:t>
      </w:r>
    </w:p>
    <w:p w:rsidR="002A51CA" w:rsidRPr="00CF62AE" w:rsidRDefault="002A51CA" w:rsidP="002A51CA">
      <w:pPr>
        <w:rPr>
          <w:sz w:val="32"/>
          <w:szCs w:val="32"/>
          <w:lang w:eastAsia="zh-CN"/>
        </w:rPr>
      </w:pPr>
      <w:r w:rsidRPr="00CF62AE">
        <w:rPr>
          <w:sz w:val="32"/>
          <w:szCs w:val="32"/>
          <w:lang w:eastAsia="zh-CN"/>
        </w:rPr>
        <w:t>Overview</w:t>
      </w:r>
      <w:r w:rsidRPr="00CF62AE">
        <w:rPr>
          <w:sz w:val="32"/>
          <w:szCs w:val="32"/>
          <w:lang w:eastAsia="zh-CN"/>
        </w:rPr>
        <w:tab/>
      </w:r>
      <w:r w:rsidRPr="00CF62AE">
        <w:rPr>
          <w:sz w:val="32"/>
          <w:szCs w:val="32"/>
          <w:lang w:eastAsia="zh-CN"/>
        </w:rPr>
        <w:tab/>
      </w:r>
    </w:p>
    <w:p w:rsidR="00BB02A3" w:rsidRPr="00BB02A3" w:rsidRDefault="00BB02A3" w:rsidP="008E7DCA">
      <w:r w:rsidRPr="00BB02A3">
        <w:rPr>
          <w:rFonts w:cstheme="minorHAnsi"/>
          <w:color w:val="auto"/>
        </w:rPr>
        <w:t xml:space="preserve">The program maintained a good capacity to generate and use effective performance information. A </w:t>
      </w:r>
      <w:r w:rsidR="001D2ECD">
        <w:rPr>
          <w:rFonts w:cstheme="minorHAnsi"/>
          <w:color w:val="auto"/>
        </w:rPr>
        <w:t>revised</w:t>
      </w:r>
      <w:r w:rsidR="001D2ECD" w:rsidRPr="00BB02A3">
        <w:rPr>
          <w:rFonts w:cstheme="minorHAnsi"/>
          <w:color w:val="auto"/>
        </w:rPr>
        <w:t xml:space="preserve"> </w:t>
      </w:r>
      <w:r w:rsidR="001D2ECD">
        <w:rPr>
          <w:rFonts w:cstheme="minorHAnsi"/>
          <w:color w:val="auto"/>
        </w:rPr>
        <w:t>performance framework</w:t>
      </w:r>
      <w:r w:rsidR="001D2ECD" w:rsidRPr="00BB02A3">
        <w:rPr>
          <w:rFonts w:cstheme="minorHAnsi"/>
          <w:color w:val="auto"/>
        </w:rPr>
        <w:t xml:space="preserve"> </w:t>
      </w:r>
      <w:r w:rsidRPr="00BB02A3">
        <w:rPr>
          <w:rFonts w:cstheme="minorHAnsi"/>
          <w:color w:val="auto"/>
        </w:rPr>
        <w:t>will be developed alongside the new AIP in 2019-20. We have developed an interim PAF</w:t>
      </w:r>
      <w:r w:rsidR="00685867">
        <w:rPr>
          <w:rFonts w:cstheme="minorHAnsi"/>
          <w:color w:val="auto"/>
        </w:rPr>
        <w:t xml:space="preserve"> </w:t>
      </w:r>
      <w:r w:rsidR="001D2ECD">
        <w:rPr>
          <w:rFonts w:cstheme="minorHAnsi"/>
          <w:color w:val="auto"/>
        </w:rPr>
        <w:t>with</w:t>
      </w:r>
      <w:r w:rsidR="001D2ECD" w:rsidRPr="00BB02A3">
        <w:rPr>
          <w:rFonts w:cstheme="minorHAnsi"/>
          <w:color w:val="auto"/>
        </w:rPr>
        <w:t xml:space="preserve"> </w:t>
      </w:r>
      <w:r w:rsidR="001D2ECD">
        <w:rPr>
          <w:rFonts w:cstheme="minorHAnsi"/>
          <w:color w:val="auto"/>
        </w:rPr>
        <w:t>performance benchmarks drawn from existing investments</w:t>
      </w:r>
      <w:r w:rsidR="001D2ECD" w:rsidRPr="00BB02A3">
        <w:rPr>
          <w:rFonts w:cstheme="minorHAnsi"/>
          <w:color w:val="auto"/>
        </w:rPr>
        <w:t xml:space="preserve"> </w:t>
      </w:r>
      <w:r w:rsidR="009B0C0E">
        <w:rPr>
          <w:rFonts w:cstheme="minorHAnsi"/>
          <w:color w:val="auto"/>
        </w:rPr>
        <w:t>for 2019-20</w:t>
      </w:r>
      <w:r w:rsidRPr="00BB02A3">
        <w:rPr>
          <w:rFonts w:cstheme="minorHAnsi"/>
          <w:color w:val="auto"/>
        </w:rPr>
        <w:t xml:space="preserve"> (Annex F) while </w:t>
      </w:r>
      <w:r w:rsidR="00685867">
        <w:rPr>
          <w:rFonts w:cstheme="minorHAnsi"/>
          <w:color w:val="auto"/>
        </w:rPr>
        <w:t>the</w:t>
      </w:r>
      <w:r w:rsidRPr="00BB02A3">
        <w:rPr>
          <w:rFonts w:cstheme="minorHAnsi"/>
          <w:color w:val="auto"/>
        </w:rPr>
        <w:t xml:space="preserve"> new Aid Investment Plan is being formulated.</w:t>
      </w:r>
    </w:p>
    <w:p w:rsidR="00BB02A3" w:rsidRPr="00BB02A3" w:rsidRDefault="00BB02A3" w:rsidP="008E7DCA">
      <w:pPr>
        <w:rPr>
          <w:rFonts w:cstheme="minorHAnsi"/>
          <w:color w:val="auto"/>
        </w:rPr>
      </w:pPr>
      <w:r w:rsidRPr="00BB02A3">
        <w:rPr>
          <w:rFonts w:cstheme="minorHAnsi"/>
          <w:color w:val="auto"/>
        </w:rPr>
        <w:t xml:space="preserve">Progress continues to be made in the area of program consolidation, and the number of ongoing investments has decreased. </w:t>
      </w:r>
      <w:r>
        <w:rPr>
          <w:rFonts w:cstheme="minorHAnsi"/>
          <w:color w:val="auto"/>
        </w:rPr>
        <w:t xml:space="preserve">In 2018-19, the program had </w:t>
      </w:r>
      <w:r w:rsidR="00833F36">
        <w:rPr>
          <w:rFonts w:cstheme="minorHAnsi"/>
          <w:color w:val="auto"/>
        </w:rPr>
        <w:t xml:space="preserve">15 </w:t>
      </w:r>
      <w:r>
        <w:rPr>
          <w:rFonts w:cstheme="minorHAnsi"/>
          <w:color w:val="auto"/>
        </w:rPr>
        <w:t xml:space="preserve">investments, with </w:t>
      </w:r>
      <w:r w:rsidR="00833F36">
        <w:rPr>
          <w:rFonts w:cstheme="minorHAnsi"/>
          <w:color w:val="auto"/>
        </w:rPr>
        <w:t>22</w:t>
      </w:r>
      <w:r>
        <w:rPr>
          <w:rFonts w:cstheme="minorHAnsi"/>
          <w:color w:val="auto"/>
        </w:rPr>
        <w:t xml:space="preserve"> agreements. </w:t>
      </w:r>
      <w:r w:rsidR="004C021E">
        <w:rPr>
          <w:rFonts w:cstheme="minorHAnsi"/>
          <w:color w:val="auto"/>
        </w:rPr>
        <w:t xml:space="preserve">This compares to </w:t>
      </w:r>
      <w:r w:rsidR="00652FBB">
        <w:rPr>
          <w:rFonts w:cstheme="minorHAnsi"/>
          <w:color w:val="auto"/>
        </w:rPr>
        <w:t>26</w:t>
      </w:r>
      <w:r w:rsidR="004C021E">
        <w:rPr>
          <w:rFonts w:cstheme="minorHAnsi"/>
          <w:color w:val="auto"/>
        </w:rPr>
        <w:t xml:space="preserve"> investments and </w:t>
      </w:r>
      <w:r w:rsidR="00652FBB">
        <w:rPr>
          <w:rFonts w:cstheme="minorHAnsi"/>
          <w:color w:val="auto"/>
        </w:rPr>
        <w:t xml:space="preserve">53 </w:t>
      </w:r>
      <w:r w:rsidR="004C021E">
        <w:rPr>
          <w:rFonts w:cstheme="minorHAnsi"/>
          <w:color w:val="auto"/>
        </w:rPr>
        <w:t xml:space="preserve">agreements in 2015-16. </w:t>
      </w:r>
      <w:r w:rsidR="00685867">
        <w:rPr>
          <w:rFonts w:cstheme="minorHAnsi"/>
          <w:color w:val="auto"/>
        </w:rPr>
        <w:t>The</w:t>
      </w:r>
      <w:r w:rsidRPr="00BB02A3">
        <w:rPr>
          <w:rFonts w:cstheme="minorHAnsi"/>
          <w:color w:val="auto"/>
        </w:rPr>
        <w:t xml:space="preserve"> new AIP will </w:t>
      </w:r>
      <w:r w:rsidR="009B0C0E">
        <w:rPr>
          <w:rFonts w:cstheme="minorHAnsi"/>
          <w:color w:val="auto"/>
        </w:rPr>
        <w:t>consider</w:t>
      </w:r>
      <w:r w:rsidRPr="00BB02A3">
        <w:rPr>
          <w:rFonts w:cstheme="minorHAnsi"/>
          <w:color w:val="auto"/>
        </w:rPr>
        <w:t xml:space="preserve"> the </w:t>
      </w:r>
      <w:r w:rsidR="00685867">
        <w:rPr>
          <w:rFonts w:cstheme="minorHAnsi"/>
          <w:color w:val="auto"/>
        </w:rPr>
        <w:t>possibility</w:t>
      </w:r>
      <w:r w:rsidR="00685867" w:rsidRPr="00BB02A3">
        <w:rPr>
          <w:rFonts w:cstheme="minorHAnsi"/>
          <w:color w:val="auto"/>
        </w:rPr>
        <w:t xml:space="preserve"> </w:t>
      </w:r>
      <w:r w:rsidRPr="00BB02A3">
        <w:rPr>
          <w:rFonts w:cstheme="minorHAnsi"/>
          <w:color w:val="auto"/>
        </w:rPr>
        <w:t>of</w:t>
      </w:r>
      <w:r w:rsidR="00685867">
        <w:rPr>
          <w:rFonts w:cstheme="minorHAnsi"/>
          <w:color w:val="auto"/>
        </w:rPr>
        <w:t xml:space="preserve"> further</w:t>
      </w:r>
      <w:r w:rsidRPr="00BB02A3">
        <w:rPr>
          <w:rFonts w:cstheme="minorHAnsi"/>
          <w:color w:val="auto"/>
        </w:rPr>
        <w:t xml:space="preserve"> consolidation</w:t>
      </w:r>
      <w:r w:rsidR="004C021E">
        <w:rPr>
          <w:rFonts w:cstheme="minorHAnsi"/>
          <w:color w:val="auto"/>
        </w:rPr>
        <w:t>, to the extent possible</w:t>
      </w:r>
      <w:r w:rsidRPr="00BB02A3">
        <w:rPr>
          <w:rFonts w:cstheme="minorHAnsi"/>
          <w:color w:val="auto"/>
        </w:rPr>
        <w:t xml:space="preserve">. </w:t>
      </w:r>
    </w:p>
    <w:p w:rsidR="00BB02A3" w:rsidRPr="00BB02A3" w:rsidRDefault="00BB02A3" w:rsidP="00BB02A3">
      <w:pPr>
        <w:rPr>
          <w:rFonts w:cstheme="minorHAnsi"/>
          <w:color w:val="auto"/>
        </w:rPr>
      </w:pPr>
      <w:r w:rsidRPr="00BB02A3">
        <w:rPr>
          <w:rFonts w:cstheme="minorHAnsi"/>
          <w:color w:val="auto"/>
        </w:rPr>
        <w:t xml:space="preserve">Evaluations finalised over 2018-19 </w:t>
      </w:r>
      <w:r w:rsidR="00940BA3">
        <w:rPr>
          <w:rFonts w:cstheme="minorHAnsi"/>
          <w:color w:val="auto"/>
        </w:rPr>
        <w:t>were</w:t>
      </w:r>
      <w:r w:rsidR="00940BA3" w:rsidRPr="00BB02A3">
        <w:rPr>
          <w:rFonts w:cstheme="minorHAnsi"/>
          <w:color w:val="auto"/>
        </w:rPr>
        <w:t xml:space="preserve"> </w:t>
      </w:r>
      <w:r w:rsidRPr="00BB02A3">
        <w:rPr>
          <w:rFonts w:cstheme="minorHAnsi"/>
          <w:color w:val="auto"/>
        </w:rPr>
        <w:t>the mid-term review of the Cambodia Rural Roads Improvement Program Phase II</w:t>
      </w:r>
      <w:r w:rsidR="00940BA3">
        <w:rPr>
          <w:rFonts w:cstheme="minorHAnsi"/>
          <w:color w:val="auto"/>
        </w:rPr>
        <w:t xml:space="preserve"> and</w:t>
      </w:r>
      <w:r w:rsidRPr="00BB02A3">
        <w:rPr>
          <w:rFonts w:cstheme="minorHAnsi"/>
          <w:color w:val="auto"/>
        </w:rPr>
        <w:t xml:space="preserve"> the </w:t>
      </w:r>
      <w:r w:rsidR="00174107">
        <w:rPr>
          <w:rFonts w:cstheme="minorHAnsi"/>
          <w:color w:val="auto"/>
        </w:rPr>
        <w:t xml:space="preserve">final </w:t>
      </w:r>
      <w:r w:rsidR="00940BA3">
        <w:rPr>
          <w:rFonts w:cstheme="minorHAnsi"/>
          <w:color w:val="auto"/>
        </w:rPr>
        <w:t xml:space="preserve">evaluation </w:t>
      </w:r>
      <w:r w:rsidR="00174107">
        <w:rPr>
          <w:rFonts w:cstheme="minorHAnsi"/>
          <w:color w:val="auto"/>
        </w:rPr>
        <w:t xml:space="preserve">report of the </w:t>
      </w:r>
      <w:r w:rsidRPr="00BB02A3">
        <w:rPr>
          <w:rFonts w:cstheme="minorHAnsi"/>
          <w:color w:val="auto"/>
        </w:rPr>
        <w:t>Partnering to Save Lives program</w:t>
      </w:r>
      <w:r w:rsidR="00940BA3">
        <w:rPr>
          <w:rFonts w:cstheme="minorHAnsi"/>
          <w:color w:val="auto"/>
        </w:rPr>
        <w:t>. M</w:t>
      </w:r>
      <w:r w:rsidRPr="00BB02A3">
        <w:rPr>
          <w:rFonts w:cstheme="minorHAnsi"/>
          <w:color w:val="auto"/>
        </w:rPr>
        <w:t>id-term review</w:t>
      </w:r>
      <w:r w:rsidR="00940BA3">
        <w:rPr>
          <w:rFonts w:cstheme="minorHAnsi"/>
          <w:color w:val="auto"/>
        </w:rPr>
        <w:t>s</w:t>
      </w:r>
      <w:r w:rsidRPr="00BB02A3">
        <w:rPr>
          <w:rFonts w:cstheme="minorHAnsi"/>
          <w:color w:val="auto"/>
        </w:rPr>
        <w:t xml:space="preserve"> of CAVAC II</w:t>
      </w:r>
      <w:r w:rsidR="00940BA3">
        <w:rPr>
          <w:rFonts w:cstheme="minorHAnsi"/>
          <w:color w:val="auto"/>
        </w:rPr>
        <w:t xml:space="preserve"> and H-EQIP are in their final stages</w:t>
      </w:r>
      <w:r w:rsidRPr="00BB02A3">
        <w:rPr>
          <w:rFonts w:cstheme="minorHAnsi"/>
          <w:color w:val="auto"/>
        </w:rPr>
        <w:t xml:space="preserve">. </w:t>
      </w:r>
      <w:r w:rsidR="00174107">
        <w:rPr>
          <w:rFonts w:cstheme="minorHAnsi"/>
          <w:color w:val="auto"/>
        </w:rPr>
        <w:t>Where relevant, recommen</w:t>
      </w:r>
      <w:r w:rsidR="009B0C0E">
        <w:rPr>
          <w:rFonts w:cstheme="minorHAnsi"/>
          <w:color w:val="auto"/>
        </w:rPr>
        <w:t>dations are being</w:t>
      </w:r>
      <w:r w:rsidR="00174107">
        <w:rPr>
          <w:rFonts w:cstheme="minorHAnsi"/>
          <w:color w:val="auto"/>
        </w:rPr>
        <w:t xml:space="preserve"> incorporated into program implementation.  </w:t>
      </w:r>
    </w:p>
    <w:p w:rsidR="002A51CA" w:rsidRPr="00CC7C6C" w:rsidRDefault="00CC7C6C" w:rsidP="00BE6C6D">
      <w:pPr>
        <w:rPr>
          <w:color w:val="auto"/>
        </w:rPr>
      </w:pPr>
      <w:r w:rsidRPr="00CC7C6C">
        <w:rPr>
          <w:color w:val="auto"/>
        </w:rPr>
        <w:t>T</w:t>
      </w:r>
      <w:r w:rsidR="002A51CA" w:rsidRPr="00CC7C6C">
        <w:rPr>
          <w:color w:val="auto"/>
        </w:rPr>
        <w:t>he f</w:t>
      </w:r>
      <w:r w:rsidRPr="00CC7C6C">
        <w:rPr>
          <w:color w:val="auto"/>
        </w:rPr>
        <w:t xml:space="preserve">orward evaluation pipeline is in </w:t>
      </w:r>
      <w:r w:rsidR="002A51CA" w:rsidRPr="00CC7C6C">
        <w:rPr>
          <w:b/>
          <w:color w:val="auto"/>
        </w:rPr>
        <w:t>Annex C</w:t>
      </w:r>
      <w:r w:rsidR="002A51CA" w:rsidRPr="00CC7C6C">
        <w:rPr>
          <w:color w:val="auto"/>
        </w:rPr>
        <w:t xml:space="preserve">.  </w:t>
      </w:r>
    </w:p>
    <w:p w:rsidR="00600479" w:rsidRPr="00CF62AE" w:rsidRDefault="00600479" w:rsidP="00BE6C6D">
      <w:pPr>
        <w:rPr>
          <w:sz w:val="32"/>
          <w:szCs w:val="32"/>
          <w:lang w:eastAsia="zh-CN"/>
        </w:rPr>
      </w:pPr>
      <w:r w:rsidRPr="00CF62AE">
        <w:rPr>
          <w:sz w:val="32"/>
          <w:szCs w:val="32"/>
          <w:lang w:eastAsia="zh-CN"/>
        </w:rPr>
        <w:t>Aid Quality Checks (AQCs)</w:t>
      </w:r>
    </w:p>
    <w:p w:rsidR="00CC7C6C" w:rsidRPr="001B31FE" w:rsidRDefault="006B4B63" w:rsidP="00BE6C6D">
      <w:pPr>
        <w:rPr>
          <w:rFonts w:cstheme="minorHAnsi"/>
          <w:color w:val="auto"/>
        </w:rPr>
      </w:pPr>
      <w:r w:rsidRPr="001B31FE">
        <w:rPr>
          <w:rFonts w:cstheme="minorHAnsi"/>
          <w:color w:val="auto"/>
        </w:rPr>
        <w:t xml:space="preserve">In 2019, the Cambodia program completed </w:t>
      </w:r>
      <w:r w:rsidR="00940BA3">
        <w:rPr>
          <w:rFonts w:cstheme="minorHAnsi"/>
          <w:color w:val="auto"/>
        </w:rPr>
        <w:t>eleven</w:t>
      </w:r>
      <w:r w:rsidR="00940BA3" w:rsidRPr="001B31FE">
        <w:rPr>
          <w:rFonts w:cstheme="minorHAnsi"/>
          <w:color w:val="auto"/>
        </w:rPr>
        <w:t xml:space="preserve"> </w:t>
      </w:r>
      <w:r w:rsidRPr="001B31FE">
        <w:rPr>
          <w:rFonts w:cstheme="minorHAnsi"/>
          <w:color w:val="auto"/>
        </w:rPr>
        <w:t>AQCs, including three F</w:t>
      </w:r>
      <w:r w:rsidR="001B31FE" w:rsidRPr="001B31FE">
        <w:rPr>
          <w:rFonts w:cstheme="minorHAnsi"/>
          <w:color w:val="auto"/>
        </w:rPr>
        <w:t xml:space="preserve">inal </w:t>
      </w:r>
      <w:r w:rsidRPr="001B31FE">
        <w:rPr>
          <w:rFonts w:cstheme="minorHAnsi"/>
          <w:color w:val="auto"/>
        </w:rPr>
        <w:t>AQCs</w:t>
      </w:r>
      <w:r w:rsidR="001B31FE" w:rsidRPr="001B31FE">
        <w:rPr>
          <w:rFonts w:cstheme="minorHAnsi"/>
          <w:color w:val="auto"/>
        </w:rPr>
        <w:t xml:space="preserve"> (FAQCs)</w:t>
      </w:r>
      <w:r w:rsidRPr="001B31FE">
        <w:rPr>
          <w:rFonts w:cstheme="minorHAnsi"/>
          <w:color w:val="auto"/>
        </w:rPr>
        <w:t>.</w:t>
      </w:r>
      <w:r w:rsidR="000D7220">
        <w:rPr>
          <w:rFonts w:cstheme="minorHAnsi"/>
          <w:color w:val="auto"/>
        </w:rPr>
        <w:t xml:space="preserve"> </w:t>
      </w:r>
      <w:r w:rsidR="00685867">
        <w:rPr>
          <w:rFonts w:cstheme="minorHAnsi"/>
          <w:color w:val="auto"/>
        </w:rPr>
        <w:t xml:space="preserve">All investments were assessed </w:t>
      </w:r>
      <w:r w:rsidR="000D7220">
        <w:rPr>
          <w:rFonts w:cstheme="minorHAnsi"/>
          <w:color w:val="auto"/>
        </w:rPr>
        <w:t xml:space="preserve">against </w:t>
      </w:r>
      <w:r w:rsidR="00685867">
        <w:rPr>
          <w:rFonts w:cstheme="minorHAnsi"/>
          <w:color w:val="auto"/>
        </w:rPr>
        <w:t xml:space="preserve">the </w:t>
      </w:r>
      <w:r w:rsidR="000D7220">
        <w:rPr>
          <w:rFonts w:cstheme="minorHAnsi"/>
          <w:color w:val="auto"/>
        </w:rPr>
        <w:t>criteria of effectiveness, efficiency and gender equality</w:t>
      </w:r>
      <w:r w:rsidR="001D2ECD" w:rsidRPr="001D2ECD">
        <w:rPr>
          <w:rFonts w:cstheme="minorHAnsi"/>
          <w:color w:val="auto"/>
        </w:rPr>
        <w:t xml:space="preserve"> </w:t>
      </w:r>
      <w:r w:rsidR="001D2ECD">
        <w:rPr>
          <w:rFonts w:cstheme="minorHAnsi"/>
          <w:color w:val="auto"/>
        </w:rPr>
        <w:t>with additional criteria of relevance, monitoring and evaluation, and sustainability for FAQCs</w:t>
      </w:r>
      <w:r w:rsidR="00685867">
        <w:rPr>
          <w:rFonts w:cstheme="minorHAnsi"/>
          <w:color w:val="auto"/>
        </w:rPr>
        <w:t>.</w:t>
      </w:r>
      <w:r w:rsidRPr="001B31FE">
        <w:rPr>
          <w:rFonts w:cstheme="minorHAnsi"/>
          <w:color w:val="auto"/>
        </w:rPr>
        <w:t xml:space="preserve"> </w:t>
      </w:r>
      <w:r w:rsidR="000D7220">
        <w:rPr>
          <w:rFonts w:cstheme="minorHAnsi"/>
          <w:color w:val="auto"/>
        </w:rPr>
        <w:t>Agreed ratings</w:t>
      </w:r>
      <w:r w:rsidR="001B31FE" w:rsidRPr="001B31FE">
        <w:rPr>
          <w:rFonts w:cstheme="minorHAnsi"/>
          <w:color w:val="auto"/>
        </w:rPr>
        <w:t xml:space="preserve"> showed that </w:t>
      </w:r>
      <w:r w:rsidRPr="001B31FE">
        <w:rPr>
          <w:rFonts w:cstheme="minorHAnsi"/>
          <w:color w:val="auto"/>
        </w:rPr>
        <w:t xml:space="preserve">Cambodia </w:t>
      </w:r>
      <w:r w:rsidR="002A74D3" w:rsidRPr="001B31FE">
        <w:rPr>
          <w:rFonts w:cstheme="minorHAnsi"/>
          <w:color w:val="auto"/>
        </w:rPr>
        <w:t>remained</w:t>
      </w:r>
      <w:r w:rsidRPr="001B31FE">
        <w:rPr>
          <w:rFonts w:cstheme="minorHAnsi"/>
          <w:color w:val="auto"/>
        </w:rPr>
        <w:t xml:space="preserve"> a h</w:t>
      </w:r>
      <w:r w:rsidR="002A74D3" w:rsidRPr="001B31FE">
        <w:rPr>
          <w:rFonts w:cstheme="minorHAnsi"/>
          <w:color w:val="auto"/>
        </w:rPr>
        <w:t>igh performing portfolio</w:t>
      </w:r>
      <w:r w:rsidR="000D7220">
        <w:rPr>
          <w:rFonts w:cstheme="minorHAnsi"/>
          <w:color w:val="auto"/>
        </w:rPr>
        <w:t>. E</w:t>
      </w:r>
      <w:r w:rsidR="00DC4A38">
        <w:rPr>
          <w:rFonts w:cstheme="minorHAnsi"/>
          <w:color w:val="auto"/>
        </w:rPr>
        <w:t xml:space="preserve">very program assessed </w:t>
      </w:r>
      <w:r w:rsidR="000D7220">
        <w:rPr>
          <w:rFonts w:cstheme="minorHAnsi"/>
          <w:color w:val="auto"/>
        </w:rPr>
        <w:t xml:space="preserve">was </w:t>
      </w:r>
      <w:r w:rsidR="00DC4A38">
        <w:rPr>
          <w:rFonts w:cstheme="minorHAnsi"/>
          <w:color w:val="auto"/>
        </w:rPr>
        <w:t xml:space="preserve">found to be performing </w:t>
      </w:r>
      <w:r w:rsidR="000D7220">
        <w:rPr>
          <w:rFonts w:cstheme="minorHAnsi"/>
          <w:color w:val="auto"/>
        </w:rPr>
        <w:t>well overall</w:t>
      </w:r>
      <w:r w:rsidR="001B31FE" w:rsidRPr="001B31FE">
        <w:rPr>
          <w:rFonts w:cstheme="minorHAnsi"/>
          <w:color w:val="auto"/>
        </w:rPr>
        <w:t xml:space="preserve">. </w:t>
      </w:r>
      <w:r w:rsidRPr="001B31FE">
        <w:rPr>
          <w:rFonts w:cstheme="minorHAnsi"/>
          <w:color w:val="auto"/>
        </w:rPr>
        <w:t>Scores congregated at ‘4’s</w:t>
      </w:r>
      <w:r w:rsidR="00DC4A38">
        <w:rPr>
          <w:rFonts w:cstheme="minorHAnsi"/>
          <w:color w:val="auto"/>
        </w:rPr>
        <w:t xml:space="preserve"> (adequate)</w:t>
      </w:r>
      <w:r w:rsidRPr="001B31FE">
        <w:rPr>
          <w:rFonts w:cstheme="minorHAnsi"/>
          <w:color w:val="auto"/>
        </w:rPr>
        <w:t xml:space="preserve"> and ‘5’s </w:t>
      </w:r>
      <w:r w:rsidR="00DC4A38">
        <w:rPr>
          <w:rFonts w:cstheme="minorHAnsi"/>
          <w:color w:val="auto"/>
        </w:rPr>
        <w:t xml:space="preserve">(good). There were </w:t>
      </w:r>
      <w:r w:rsidRPr="001B31FE">
        <w:rPr>
          <w:rFonts w:cstheme="minorHAnsi"/>
          <w:color w:val="auto"/>
        </w:rPr>
        <w:t xml:space="preserve">no </w:t>
      </w:r>
      <w:r w:rsidR="00DC4A38">
        <w:rPr>
          <w:rFonts w:cstheme="minorHAnsi"/>
          <w:color w:val="auto"/>
        </w:rPr>
        <w:t>ratings of 6 (the highest score – very good), 1 (very poor) or 2 (poor). No investments were found to require improvement</w:t>
      </w:r>
      <w:r w:rsidR="002D0AD6">
        <w:rPr>
          <w:rFonts w:cstheme="minorHAnsi"/>
          <w:color w:val="auto"/>
        </w:rPr>
        <w:t xml:space="preserve"> due to low </w:t>
      </w:r>
      <w:r w:rsidR="009C42BB">
        <w:rPr>
          <w:rFonts w:cstheme="minorHAnsi"/>
          <w:color w:val="auto"/>
        </w:rPr>
        <w:t xml:space="preserve">AQC </w:t>
      </w:r>
      <w:r w:rsidR="002D0AD6">
        <w:rPr>
          <w:rFonts w:cstheme="minorHAnsi"/>
          <w:color w:val="auto"/>
        </w:rPr>
        <w:t>scores</w:t>
      </w:r>
      <w:r w:rsidR="00DC4A38">
        <w:rPr>
          <w:rFonts w:cstheme="minorHAnsi"/>
          <w:color w:val="auto"/>
        </w:rPr>
        <w:t xml:space="preserve">. </w:t>
      </w:r>
    </w:p>
    <w:p w:rsidR="002A51CA" w:rsidRPr="00CC7C6C" w:rsidRDefault="002A51CA" w:rsidP="00BE6C6D">
      <w:pPr>
        <w:rPr>
          <w:color w:val="auto"/>
        </w:rPr>
      </w:pPr>
      <w:r w:rsidRPr="00CC7C6C">
        <w:rPr>
          <w:color w:val="auto"/>
        </w:rPr>
        <w:t xml:space="preserve">A table of AQC ratings </w:t>
      </w:r>
      <w:r w:rsidR="00CC7C6C" w:rsidRPr="00CC7C6C">
        <w:rPr>
          <w:color w:val="auto"/>
        </w:rPr>
        <w:t>is</w:t>
      </w:r>
      <w:r w:rsidRPr="00CC7C6C">
        <w:rPr>
          <w:color w:val="auto"/>
        </w:rPr>
        <w:t xml:space="preserve"> included in </w:t>
      </w:r>
      <w:r w:rsidRPr="00CC7C6C">
        <w:rPr>
          <w:b/>
          <w:color w:val="auto"/>
        </w:rPr>
        <w:t>Annex D</w:t>
      </w:r>
      <w:r w:rsidRPr="00CC7C6C">
        <w:rPr>
          <w:color w:val="auto"/>
        </w:rPr>
        <w:t>.</w:t>
      </w:r>
    </w:p>
    <w:p w:rsidR="00600479" w:rsidRPr="00CF62AE" w:rsidRDefault="00600479" w:rsidP="00600479">
      <w:pPr>
        <w:rPr>
          <w:sz w:val="32"/>
          <w:szCs w:val="32"/>
          <w:lang w:eastAsia="zh-CN"/>
        </w:rPr>
      </w:pPr>
      <w:r w:rsidRPr="00CF62AE">
        <w:rPr>
          <w:sz w:val="32"/>
          <w:szCs w:val="32"/>
          <w:lang w:eastAsia="zh-CN"/>
        </w:rPr>
        <w:t>Performance of key delivery partners</w:t>
      </w:r>
    </w:p>
    <w:p w:rsidR="000C6736" w:rsidRDefault="0085294C" w:rsidP="000C6736">
      <w:pPr>
        <w:rPr>
          <w:color w:val="auto"/>
        </w:rPr>
      </w:pPr>
      <w:r>
        <w:rPr>
          <w:rFonts w:cstheme="minorHAnsi"/>
          <w:color w:val="auto"/>
        </w:rPr>
        <w:t>Australia’s development cooperation program in Cambodia continued to be implement</w:t>
      </w:r>
      <w:r w:rsidR="00685867">
        <w:rPr>
          <w:rFonts w:cstheme="minorHAnsi"/>
          <w:color w:val="auto"/>
        </w:rPr>
        <w:t>ed</w:t>
      </w:r>
      <w:r>
        <w:rPr>
          <w:rFonts w:cstheme="minorHAnsi"/>
          <w:color w:val="auto"/>
        </w:rPr>
        <w:t xml:space="preserve"> through a range of partners, including multilateral organisations, contractors and NGOs. </w:t>
      </w:r>
      <w:r w:rsidR="002A74D3">
        <w:rPr>
          <w:color w:val="auto"/>
        </w:rPr>
        <w:t xml:space="preserve">All partners </w:t>
      </w:r>
      <w:r w:rsidR="00D616F2">
        <w:rPr>
          <w:color w:val="auto"/>
        </w:rPr>
        <w:t>were found to perform at least adequately over</w:t>
      </w:r>
      <w:r w:rsidR="002A74D3">
        <w:rPr>
          <w:color w:val="auto"/>
        </w:rPr>
        <w:t xml:space="preserve"> 2018-19</w:t>
      </w:r>
      <w:r>
        <w:rPr>
          <w:color w:val="auto"/>
        </w:rPr>
        <w:t>, as assessed through the annual Partner Performance Assessments</w:t>
      </w:r>
      <w:r w:rsidR="00940BA3">
        <w:rPr>
          <w:color w:val="auto"/>
        </w:rPr>
        <w:t xml:space="preserve"> (PPAs)</w:t>
      </w:r>
      <w:r w:rsidR="002A74D3">
        <w:rPr>
          <w:color w:val="auto"/>
        </w:rPr>
        <w:t xml:space="preserve">. </w:t>
      </w:r>
      <w:r w:rsidR="00FC5933">
        <w:rPr>
          <w:color w:val="auto"/>
        </w:rPr>
        <w:t xml:space="preserve">Nine </w:t>
      </w:r>
      <w:r>
        <w:rPr>
          <w:color w:val="auto"/>
        </w:rPr>
        <w:t xml:space="preserve">PPAs were completed for the Cambodia program. </w:t>
      </w:r>
      <w:r w:rsidR="00D616F2" w:rsidRPr="00D616F2">
        <w:rPr>
          <w:color w:val="auto"/>
        </w:rPr>
        <w:t xml:space="preserve">The one partner assessed as performing less than </w:t>
      </w:r>
      <w:r w:rsidR="00D616F2" w:rsidRPr="00D616F2">
        <w:rPr>
          <w:color w:val="auto"/>
        </w:rPr>
        <w:lastRenderedPageBreak/>
        <w:t xml:space="preserve">adequately on three criteria in 2017-18 implemented </w:t>
      </w:r>
      <w:r w:rsidR="00685867">
        <w:rPr>
          <w:color w:val="auto"/>
        </w:rPr>
        <w:t>an agreed</w:t>
      </w:r>
      <w:r w:rsidR="00685867" w:rsidRPr="00D616F2">
        <w:rPr>
          <w:color w:val="auto"/>
        </w:rPr>
        <w:t xml:space="preserve"> </w:t>
      </w:r>
      <w:r w:rsidR="00D616F2" w:rsidRPr="00D616F2">
        <w:rPr>
          <w:color w:val="auto"/>
        </w:rPr>
        <w:t>improvement plan and lifted performance</w:t>
      </w:r>
      <w:r w:rsidR="001C202F">
        <w:rPr>
          <w:color w:val="auto"/>
        </w:rPr>
        <w:t xml:space="preserve"> satisfactorily</w:t>
      </w:r>
      <w:r w:rsidR="00D616F2" w:rsidRPr="00D616F2">
        <w:rPr>
          <w:color w:val="auto"/>
        </w:rPr>
        <w:t xml:space="preserve"> over 2018-19. </w:t>
      </w:r>
    </w:p>
    <w:p w:rsidR="002A74D3" w:rsidRPr="0085294C" w:rsidRDefault="000C6736" w:rsidP="00D616F2">
      <w:pPr>
        <w:rPr>
          <w:rFonts w:cstheme="minorHAnsi"/>
          <w:color w:val="auto"/>
        </w:rPr>
      </w:pPr>
      <w:r w:rsidRPr="000C6736">
        <w:rPr>
          <w:rFonts w:cstheme="minorHAnsi"/>
          <w:color w:val="auto"/>
        </w:rPr>
        <w:t>Multilateral organisations remained important partners for Australia, including for their ability to bring technical expertise and knowledge on global best practice</w:t>
      </w:r>
      <w:r>
        <w:rPr>
          <w:rFonts w:cstheme="minorHAnsi"/>
          <w:color w:val="auto"/>
        </w:rPr>
        <w:t xml:space="preserve">, to </w:t>
      </w:r>
      <w:r w:rsidRPr="000C6736">
        <w:rPr>
          <w:rFonts w:cstheme="minorHAnsi"/>
          <w:color w:val="auto"/>
        </w:rPr>
        <w:t xml:space="preserve">deliver value for money, </w:t>
      </w:r>
      <w:r>
        <w:rPr>
          <w:rFonts w:cstheme="minorHAnsi"/>
          <w:color w:val="auto"/>
        </w:rPr>
        <w:t>and to minimise</w:t>
      </w:r>
      <w:r w:rsidRPr="000C6736">
        <w:rPr>
          <w:rFonts w:cstheme="minorHAnsi"/>
          <w:color w:val="auto"/>
        </w:rPr>
        <w:t xml:space="preserve"> duplication and donor fragmentation. </w:t>
      </w:r>
      <w:r w:rsidR="00B43E51">
        <w:rPr>
          <w:rFonts w:cstheme="minorHAnsi"/>
          <w:color w:val="auto"/>
        </w:rPr>
        <w:t xml:space="preserve">The World Bank, in particular, engaged constructively with the Cambodian Ministry of Economy and Finance on </w:t>
      </w:r>
      <w:r w:rsidR="00586330">
        <w:rPr>
          <w:rFonts w:cstheme="minorHAnsi"/>
          <w:color w:val="auto"/>
        </w:rPr>
        <w:t xml:space="preserve">health financing, </w:t>
      </w:r>
      <w:r w:rsidR="00B43E51">
        <w:rPr>
          <w:rFonts w:cstheme="minorHAnsi"/>
          <w:color w:val="auto"/>
        </w:rPr>
        <w:t xml:space="preserve">public financial management and public administration reforms over </w:t>
      </w:r>
      <w:r w:rsidR="00B43E51">
        <w:rPr>
          <w:color w:val="auto"/>
        </w:rPr>
        <w:t>the reporting period.</w:t>
      </w:r>
    </w:p>
    <w:p w:rsidR="002A51CA" w:rsidRDefault="002A51CA" w:rsidP="00CF62AE">
      <w:pPr>
        <w:pStyle w:val="Heading2"/>
        <w:spacing w:before="360" w:line="300" w:lineRule="exact"/>
      </w:pPr>
      <w:r w:rsidRPr="002A51CA">
        <w:t>Risks</w:t>
      </w:r>
    </w:p>
    <w:p w:rsidR="0072176C" w:rsidRDefault="00F35C35" w:rsidP="00B44723">
      <w:pPr>
        <w:spacing w:after="120" w:line="280" w:lineRule="exact"/>
        <w:rPr>
          <w:color w:val="auto"/>
        </w:rPr>
      </w:pPr>
      <w:r w:rsidRPr="00F35C35">
        <w:rPr>
          <w:color w:val="auto"/>
        </w:rPr>
        <w:t>The</w:t>
      </w:r>
      <w:r w:rsidR="002A1757" w:rsidRPr="00F35C35">
        <w:rPr>
          <w:color w:val="auto"/>
        </w:rPr>
        <w:t xml:space="preserve"> overall risk profile for the </w:t>
      </w:r>
      <w:r w:rsidR="001513D7" w:rsidRPr="00F35C35">
        <w:rPr>
          <w:color w:val="auto"/>
        </w:rPr>
        <w:t>program</w:t>
      </w:r>
      <w:r w:rsidR="001513D7">
        <w:rPr>
          <w:color w:val="auto"/>
        </w:rPr>
        <w:t xml:space="preserve"> </w:t>
      </w:r>
      <w:r w:rsidR="006B13CB">
        <w:rPr>
          <w:color w:val="auto"/>
        </w:rPr>
        <w:t xml:space="preserve">increased </w:t>
      </w:r>
      <w:r w:rsidR="001D2ECD">
        <w:rPr>
          <w:color w:val="auto"/>
        </w:rPr>
        <w:t>during Cambodia’s election period in 2018</w:t>
      </w:r>
      <w:r w:rsidR="00754473">
        <w:rPr>
          <w:color w:val="auto"/>
        </w:rPr>
        <w:t>. In</w:t>
      </w:r>
      <w:r w:rsidR="006B13CB">
        <w:rPr>
          <w:color w:val="auto"/>
        </w:rPr>
        <w:t xml:space="preserve"> response, </w:t>
      </w:r>
      <w:r w:rsidR="001D2ECD">
        <w:rPr>
          <w:color w:val="auto"/>
        </w:rPr>
        <w:t xml:space="preserve">implementation plans for exposed investments </w:t>
      </w:r>
      <w:r w:rsidR="006B13CB">
        <w:rPr>
          <w:color w:val="auto"/>
        </w:rPr>
        <w:t xml:space="preserve">were adjusted </w:t>
      </w:r>
      <w:r w:rsidR="001D2ECD">
        <w:rPr>
          <w:color w:val="auto"/>
        </w:rPr>
        <w:t xml:space="preserve">and close monitoring </w:t>
      </w:r>
      <w:r w:rsidR="006B13CB">
        <w:rPr>
          <w:color w:val="auto"/>
        </w:rPr>
        <w:t xml:space="preserve">undertaken of </w:t>
      </w:r>
      <w:r w:rsidR="001D2ECD">
        <w:rPr>
          <w:color w:val="auto"/>
        </w:rPr>
        <w:t>the political situation in the country. Safeguard risks remained present throughout the year and steps were taken</w:t>
      </w:r>
      <w:r w:rsidR="00C31E55">
        <w:rPr>
          <w:color w:val="auto"/>
        </w:rPr>
        <w:t xml:space="preserve"> </w:t>
      </w:r>
      <w:r w:rsidR="001D2ECD">
        <w:rPr>
          <w:color w:val="auto"/>
        </w:rPr>
        <w:t xml:space="preserve">to ensure that risks </w:t>
      </w:r>
      <w:r w:rsidR="006B13CB">
        <w:rPr>
          <w:color w:val="auto"/>
        </w:rPr>
        <w:t xml:space="preserve">were closely monitored </w:t>
      </w:r>
      <w:r w:rsidR="001D2ECD">
        <w:rPr>
          <w:color w:val="auto"/>
        </w:rPr>
        <w:t xml:space="preserve">and </w:t>
      </w:r>
      <w:r w:rsidR="00C31E55">
        <w:rPr>
          <w:color w:val="auto"/>
        </w:rPr>
        <w:t>adequately</w:t>
      </w:r>
      <w:r w:rsidR="001D2ECD">
        <w:rPr>
          <w:color w:val="auto"/>
        </w:rPr>
        <w:t xml:space="preserve"> </w:t>
      </w:r>
      <w:r w:rsidR="006B13CB">
        <w:rPr>
          <w:color w:val="auto"/>
        </w:rPr>
        <w:t xml:space="preserve">preparations in place </w:t>
      </w:r>
      <w:r w:rsidR="001D2ECD">
        <w:rPr>
          <w:color w:val="auto"/>
        </w:rPr>
        <w:t>to respond to any issues identified</w:t>
      </w:r>
      <w:r w:rsidR="0072176C">
        <w:rPr>
          <w:color w:val="auto"/>
        </w:rPr>
        <w:t>.</w:t>
      </w:r>
      <w:r w:rsidR="00C31E55" w:rsidRPr="00C31E55">
        <w:rPr>
          <w:color w:val="auto"/>
        </w:rPr>
        <w:t xml:space="preserve"> </w:t>
      </w:r>
      <w:r w:rsidR="00C31E55">
        <w:rPr>
          <w:color w:val="auto"/>
        </w:rPr>
        <w:t xml:space="preserve">Steps included specific project assessments and training for partners. </w:t>
      </w:r>
    </w:p>
    <w:p w:rsidR="002A1757" w:rsidRPr="00F35C35" w:rsidRDefault="002952F4" w:rsidP="00B44723">
      <w:pPr>
        <w:spacing w:after="120" w:line="280" w:lineRule="exact"/>
        <w:rPr>
          <w:color w:val="auto"/>
        </w:rPr>
      </w:pPr>
      <w:r>
        <w:rPr>
          <w:color w:val="auto"/>
        </w:rPr>
        <w:t xml:space="preserve">The new AIP will bring a change in focus of efforts, and accompanying risks. Meeting </w:t>
      </w:r>
      <w:r w:rsidR="006B13CB">
        <w:rPr>
          <w:color w:val="auto"/>
        </w:rPr>
        <w:t xml:space="preserve">the </w:t>
      </w:r>
      <w:r>
        <w:rPr>
          <w:color w:val="auto"/>
        </w:rPr>
        <w:t xml:space="preserve">objectives of a new AIP will require continued commitment </w:t>
      </w:r>
      <w:r w:rsidR="006B13CB">
        <w:rPr>
          <w:color w:val="auto"/>
        </w:rPr>
        <w:t xml:space="preserve">from </w:t>
      </w:r>
      <w:r>
        <w:rPr>
          <w:color w:val="auto"/>
        </w:rPr>
        <w:t xml:space="preserve">Cambodia to reform and policy dialogue. </w:t>
      </w:r>
      <w:r w:rsidR="00F35C35">
        <w:rPr>
          <w:color w:val="auto"/>
        </w:rPr>
        <w:t xml:space="preserve">Resourcing </w:t>
      </w:r>
      <w:r>
        <w:rPr>
          <w:color w:val="auto"/>
        </w:rPr>
        <w:t>will continue to be</w:t>
      </w:r>
      <w:r w:rsidR="00F35C35">
        <w:rPr>
          <w:color w:val="auto"/>
        </w:rPr>
        <w:t xml:space="preserve"> a risk to effective program implementation, and to successfully shifting towards a greater focus on policy advocacy. </w:t>
      </w:r>
    </w:p>
    <w:p w:rsidR="002A51CA" w:rsidRDefault="002A51CA" w:rsidP="002A51CA">
      <w:pPr>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4"/>
        <w:gridCol w:w="2454"/>
        <w:gridCol w:w="2537"/>
        <w:gridCol w:w="1298"/>
        <w:gridCol w:w="1267"/>
      </w:tblGrid>
      <w:tr w:rsidR="00B138E2" w:rsidRPr="00C61187" w:rsidTr="00B85B9B">
        <w:tc>
          <w:tcPr>
            <w:tcW w:w="1884" w:type="dxa"/>
            <w:hideMark/>
          </w:tcPr>
          <w:p w:rsidR="00B138E2" w:rsidRPr="00BE6C6D" w:rsidRDefault="00B138E2" w:rsidP="00B85B9B">
            <w:pPr>
              <w:rPr>
                <w:rFonts w:asciiTheme="minorHAnsi" w:hAnsiTheme="minorHAnsi"/>
                <w:b/>
              </w:rPr>
            </w:pPr>
            <w:r w:rsidRPr="00BE6C6D">
              <w:rPr>
                <w:rFonts w:asciiTheme="minorHAnsi" w:hAnsiTheme="minorHAnsi"/>
                <w:b/>
              </w:rPr>
              <w:lastRenderedPageBreak/>
              <w:t>Key risks</w:t>
            </w:r>
            <w:r>
              <w:rPr>
                <w:rFonts w:asciiTheme="minorHAnsi" w:hAnsiTheme="minorHAnsi"/>
                <w:b/>
              </w:rPr>
              <w:t xml:space="preserve"> (emerging and ongoing)</w:t>
            </w:r>
          </w:p>
        </w:tc>
        <w:tc>
          <w:tcPr>
            <w:tcW w:w="2429" w:type="dxa"/>
          </w:tcPr>
          <w:p w:rsidR="00B138E2" w:rsidRPr="00BE6C6D" w:rsidRDefault="00B138E2" w:rsidP="00B85B9B">
            <w:pPr>
              <w:rPr>
                <w:rFonts w:asciiTheme="minorHAnsi" w:hAnsiTheme="minorHAnsi"/>
                <w:b/>
              </w:rPr>
            </w:pPr>
            <w:r w:rsidRPr="00BE6C6D">
              <w:rPr>
                <w:rFonts w:asciiTheme="minorHAnsi" w:hAnsiTheme="minorHAnsi"/>
                <w:b/>
              </w:rPr>
              <w:t>What actions were taken to manage the risks over the past year?</w:t>
            </w:r>
          </w:p>
        </w:tc>
        <w:tc>
          <w:tcPr>
            <w:tcW w:w="2512" w:type="dxa"/>
          </w:tcPr>
          <w:p w:rsidR="00B138E2" w:rsidRPr="00BE6C6D" w:rsidRDefault="00B138E2" w:rsidP="00B85B9B">
            <w:pPr>
              <w:rPr>
                <w:rFonts w:asciiTheme="minorHAnsi" w:hAnsiTheme="minorHAnsi"/>
                <w:b/>
              </w:rPr>
            </w:pPr>
            <w:r w:rsidRPr="00BE6C6D">
              <w:rPr>
                <w:rFonts w:asciiTheme="minorHAnsi" w:hAnsiTheme="minorHAnsi"/>
                <w:b/>
              </w:rPr>
              <w:t>What further actions will be taken to manage the risks in the coming year?</w:t>
            </w:r>
          </w:p>
        </w:tc>
        <w:tc>
          <w:tcPr>
            <w:tcW w:w="1271" w:type="dxa"/>
          </w:tcPr>
          <w:p w:rsidR="00B138E2" w:rsidRPr="00BE6C6D" w:rsidRDefault="00B138E2" w:rsidP="00B85B9B">
            <w:pPr>
              <w:rPr>
                <w:rFonts w:asciiTheme="minorHAnsi" w:hAnsiTheme="minorHAnsi"/>
                <w:b/>
              </w:rPr>
            </w:pPr>
            <w:r>
              <w:rPr>
                <w:rFonts w:asciiTheme="minorHAnsi" w:hAnsiTheme="minorHAnsi"/>
                <w:b/>
              </w:rPr>
              <w:t>P</w:t>
            </w:r>
            <w:r w:rsidRPr="00BE6C6D">
              <w:rPr>
                <w:rFonts w:asciiTheme="minorHAnsi" w:hAnsiTheme="minorHAnsi"/>
                <w:b/>
              </w:rPr>
              <w:t>rovide a Risk Rating (low, medium, high, very high)</w:t>
            </w:r>
          </w:p>
        </w:tc>
        <w:tc>
          <w:tcPr>
            <w:tcW w:w="1226" w:type="dxa"/>
          </w:tcPr>
          <w:p w:rsidR="00B138E2" w:rsidRPr="00BE6C6D" w:rsidRDefault="00B138E2" w:rsidP="00B85B9B">
            <w:pPr>
              <w:rPr>
                <w:b/>
              </w:rPr>
            </w:pPr>
            <w:r>
              <w:rPr>
                <w:b/>
              </w:rPr>
              <w:t>Are these same risks in in Post’s Risk Register (Yes/No)*</w:t>
            </w:r>
          </w:p>
        </w:tc>
      </w:tr>
      <w:tr w:rsidR="00B138E2" w:rsidRPr="00C61187" w:rsidTr="00B85B9B">
        <w:tc>
          <w:tcPr>
            <w:tcW w:w="1884" w:type="dxa"/>
            <w:hideMark/>
          </w:tcPr>
          <w:p w:rsidR="00B138E2" w:rsidRPr="00BE6C6D" w:rsidRDefault="00611265" w:rsidP="00611265">
            <w:pPr>
              <w:rPr>
                <w:rFonts w:asciiTheme="minorHAnsi" w:hAnsiTheme="minorHAnsi"/>
              </w:rPr>
            </w:pPr>
            <w:r>
              <w:t>T</w:t>
            </w:r>
            <w:r w:rsidR="00B138E2" w:rsidRPr="002463B5">
              <w:t>he political contex</w:t>
            </w:r>
            <w:r w:rsidR="00B138E2">
              <w:t>t adversely impacts on our bilateral relationship. This makes it difficult for Australia to advance or implement its development priority objectives</w:t>
            </w:r>
          </w:p>
        </w:tc>
        <w:tc>
          <w:tcPr>
            <w:tcW w:w="2429" w:type="dxa"/>
          </w:tcPr>
          <w:p w:rsidR="00B138E2" w:rsidRPr="00BE6C6D" w:rsidRDefault="00B138E2" w:rsidP="004D3ED1">
            <w:pPr>
              <w:rPr>
                <w:rFonts w:asciiTheme="minorHAnsi" w:hAnsiTheme="minorHAnsi"/>
              </w:rPr>
            </w:pPr>
            <w:r w:rsidRPr="002463B5">
              <w:t xml:space="preserve">We continued to monitor the political situation and made representations, as appropriate. We worked with implementing partners to develop strategies to continue delivering aid programs </w:t>
            </w:r>
            <w:r w:rsidR="00BF1EA4" w:rsidRPr="002463B5">
              <w:t xml:space="preserve">during </w:t>
            </w:r>
            <w:r w:rsidR="00BF1EA4">
              <w:t xml:space="preserve">and immediately after </w:t>
            </w:r>
            <w:r w:rsidR="004D3ED1">
              <w:t>the 2018 election</w:t>
            </w:r>
            <w:r w:rsidRPr="002463B5">
              <w:t xml:space="preserve"> period</w:t>
            </w:r>
            <w:r w:rsidR="005961E5">
              <w:t>.</w:t>
            </w:r>
          </w:p>
        </w:tc>
        <w:tc>
          <w:tcPr>
            <w:tcW w:w="2512" w:type="dxa"/>
          </w:tcPr>
          <w:p w:rsidR="00B138E2" w:rsidRPr="00BE6C6D" w:rsidRDefault="00B138E2" w:rsidP="00B85B9B">
            <w:pPr>
              <w:rPr>
                <w:rFonts w:asciiTheme="minorHAnsi" w:hAnsiTheme="minorHAnsi"/>
              </w:rPr>
            </w:pPr>
            <w:r w:rsidRPr="002463B5">
              <w:t>We will continue to monitor the political context, ensure good working relations and make representations, as appropriate. We will also</w:t>
            </w:r>
            <w:r>
              <w:t xml:space="preserve"> robustly monitor the implementation of the aid program and</w:t>
            </w:r>
            <w:r w:rsidRPr="002463B5">
              <w:t xml:space="preserve"> continue to work with partners to</w:t>
            </w:r>
            <w:r>
              <w:t xml:space="preserve"> </w:t>
            </w:r>
            <w:r w:rsidRPr="002463B5">
              <w:t xml:space="preserve">deliver aid programs. </w:t>
            </w:r>
            <w:r>
              <w:t xml:space="preserve"> </w:t>
            </w:r>
          </w:p>
        </w:tc>
        <w:tc>
          <w:tcPr>
            <w:tcW w:w="1271" w:type="dxa"/>
          </w:tcPr>
          <w:p w:rsidR="00B138E2" w:rsidRPr="00BE6C6D" w:rsidRDefault="00B138E2" w:rsidP="00B85B9B">
            <w:pPr>
              <w:rPr>
                <w:rFonts w:asciiTheme="minorHAnsi" w:hAnsiTheme="minorHAnsi"/>
              </w:rPr>
            </w:pPr>
            <w:r>
              <w:rPr>
                <w:rFonts w:asciiTheme="minorHAnsi" w:hAnsiTheme="minorHAnsi"/>
              </w:rPr>
              <w:t>High</w:t>
            </w:r>
          </w:p>
        </w:tc>
        <w:tc>
          <w:tcPr>
            <w:tcW w:w="1226" w:type="dxa"/>
          </w:tcPr>
          <w:p w:rsidR="00B138E2" w:rsidRPr="00BE6C6D" w:rsidRDefault="00B138E2" w:rsidP="00B85B9B">
            <w:r>
              <w:t>Yes</w:t>
            </w:r>
          </w:p>
        </w:tc>
      </w:tr>
      <w:tr w:rsidR="00B138E2" w:rsidRPr="00C61187" w:rsidTr="00B85B9B">
        <w:tc>
          <w:tcPr>
            <w:tcW w:w="1884" w:type="dxa"/>
            <w:hideMark/>
          </w:tcPr>
          <w:p w:rsidR="00B138E2" w:rsidRPr="00C61187" w:rsidRDefault="00B138E2" w:rsidP="00394FEC">
            <w:pPr>
              <w:rPr>
                <w:rFonts w:eastAsia="Times New Roman"/>
                <w:iCs/>
                <w:szCs w:val="17"/>
                <w:lang w:eastAsia="en-US"/>
              </w:rPr>
            </w:pPr>
            <w:r w:rsidRPr="002463B5">
              <w:t xml:space="preserve">Australia’s influence diminishes due to the relative size of its aid program compared to the growing contributions from emerging donors </w:t>
            </w:r>
          </w:p>
        </w:tc>
        <w:tc>
          <w:tcPr>
            <w:tcW w:w="2429" w:type="dxa"/>
          </w:tcPr>
          <w:p w:rsidR="00B138E2" w:rsidRPr="00B44723" w:rsidRDefault="00B138E2" w:rsidP="00B44723">
            <w:r w:rsidRPr="002463B5">
              <w:t xml:space="preserve">We continued to maintain ongoing engagement with the Cambodian Government in the delivery of our aid programs. This ensured our investments remained relevant to </w:t>
            </w:r>
            <w:r>
              <w:t>the Cambodia’s development needs</w:t>
            </w:r>
            <w:r w:rsidR="004D3ED1">
              <w:t>,</w:t>
            </w:r>
            <w:r>
              <w:t xml:space="preserve"> </w:t>
            </w:r>
            <w:r w:rsidRPr="002463B5">
              <w:t>maintain</w:t>
            </w:r>
            <w:r>
              <w:t>ing</w:t>
            </w:r>
            <w:r w:rsidRPr="002463B5">
              <w:t xml:space="preserve"> our reputation as an effective donor.</w:t>
            </w:r>
          </w:p>
        </w:tc>
        <w:tc>
          <w:tcPr>
            <w:tcW w:w="2512" w:type="dxa"/>
          </w:tcPr>
          <w:p w:rsidR="00B138E2" w:rsidRPr="00B44723" w:rsidRDefault="00B138E2" w:rsidP="00B44723">
            <w:r w:rsidRPr="002463B5">
              <w:t xml:space="preserve">We will continue to engage with Cambodian </w:t>
            </w:r>
            <w:r>
              <w:t>stakeholders</w:t>
            </w:r>
            <w:r w:rsidRPr="002463B5">
              <w:t xml:space="preserve"> in developing the new Aid Investment Plan to ensure our investments </w:t>
            </w:r>
            <w:r>
              <w:t>achieve maximum impact for the Cambodian people</w:t>
            </w:r>
            <w:r w:rsidR="00BF1EA4">
              <w:t xml:space="preserve"> and focus on areas where Australia can have the most impact for its funds</w:t>
            </w:r>
            <w:r w:rsidRPr="002463B5">
              <w:t xml:space="preserve">. </w:t>
            </w:r>
            <w:r>
              <w:t xml:space="preserve">We will </w:t>
            </w:r>
            <w:r w:rsidRPr="002463B5">
              <w:t xml:space="preserve">also continue to </w:t>
            </w:r>
            <w:r>
              <w:t xml:space="preserve">attempt to </w:t>
            </w:r>
            <w:r w:rsidRPr="002463B5">
              <w:t>engage with emerging donors.</w:t>
            </w:r>
          </w:p>
        </w:tc>
        <w:tc>
          <w:tcPr>
            <w:tcW w:w="1271" w:type="dxa"/>
          </w:tcPr>
          <w:p w:rsidR="00B138E2" w:rsidRPr="00C61187" w:rsidRDefault="00B138E2" w:rsidP="00B85B9B">
            <w:pPr>
              <w:keepLines/>
              <w:spacing w:before="40" w:after="40" w:line="200" w:lineRule="atLeast"/>
              <w:rPr>
                <w:rFonts w:eastAsia="Times New Roman"/>
                <w:iCs/>
                <w:szCs w:val="17"/>
                <w:lang w:eastAsia="en-US"/>
              </w:rPr>
            </w:pPr>
            <w:r>
              <w:rPr>
                <w:rFonts w:eastAsia="Times New Roman"/>
                <w:iCs/>
                <w:szCs w:val="17"/>
                <w:lang w:eastAsia="en-US"/>
              </w:rPr>
              <w:t>Medium</w:t>
            </w:r>
          </w:p>
        </w:tc>
        <w:tc>
          <w:tcPr>
            <w:tcW w:w="1226" w:type="dxa"/>
          </w:tcPr>
          <w:p w:rsidR="00B138E2" w:rsidRPr="00C61187" w:rsidRDefault="00B138E2" w:rsidP="00B85B9B">
            <w:pPr>
              <w:keepLines/>
              <w:spacing w:before="40" w:after="40" w:line="200" w:lineRule="atLeast"/>
              <w:rPr>
                <w:rFonts w:eastAsia="Times New Roman"/>
                <w:iCs/>
                <w:szCs w:val="17"/>
              </w:rPr>
            </w:pPr>
            <w:r>
              <w:rPr>
                <w:rFonts w:eastAsia="Times New Roman"/>
                <w:iCs/>
                <w:szCs w:val="17"/>
              </w:rPr>
              <w:t>Yes</w:t>
            </w:r>
          </w:p>
        </w:tc>
      </w:tr>
      <w:tr w:rsidR="00B138E2" w:rsidRPr="00C61187" w:rsidTr="00B85B9B">
        <w:trPr>
          <w:trHeight w:val="56"/>
        </w:trPr>
        <w:tc>
          <w:tcPr>
            <w:tcW w:w="1884" w:type="dxa"/>
          </w:tcPr>
          <w:p w:rsidR="00B138E2" w:rsidRPr="002463B5" w:rsidRDefault="00B138E2" w:rsidP="00B85B9B">
            <w:r w:rsidRPr="002463B5">
              <w:t xml:space="preserve">Fraud, corruption and non-compliance with safeguards policies, including child protection, work health and safety could adversely affect the reputation of the Australian Government’s aid program </w:t>
            </w:r>
          </w:p>
          <w:p w:rsidR="00B138E2" w:rsidRPr="00BF4165" w:rsidRDefault="00B138E2" w:rsidP="00B85B9B">
            <w:pPr>
              <w:keepLines/>
              <w:spacing w:before="40" w:after="40" w:line="200" w:lineRule="atLeast"/>
            </w:pPr>
          </w:p>
        </w:tc>
        <w:tc>
          <w:tcPr>
            <w:tcW w:w="2429" w:type="dxa"/>
          </w:tcPr>
          <w:p w:rsidR="00B138E2" w:rsidRPr="00BF4165" w:rsidRDefault="00BF1EA4" w:rsidP="00B85B9B">
            <w:r w:rsidRPr="00375E72">
              <w:t xml:space="preserve">DFAT’s Work, Health and Safety Section delivered training in Phnom Penh in 2018 and hosted one-on-one sessions with sectoral teams. A safeguards review was </w:t>
            </w:r>
            <w:r>
              <w:t xml:space="preserve">also </w:t>
            </w:r>
            <w:r w:rsidRPr="00375E72">
              <w:t>conducted of our</w:t>
            </w:r>
            <w:r>
              <w:t xml:space="preserve"> primary</w:t>
            </w:r>
            <w:r w:rsidRPr="00375E72">
              <w:t xml:space="preserve"> infrastructure project. </w:t>
            </w:r>
            <w:r>
              <w:t xml:space="preserve">An aid adviser with risk management responsibilities has been recruited to support at </w:t>
            </w:r>
            <w:r w:rsidR="00A63876">
              <w:t>P</w:t>
            </w:r>
            <w:r>
              <w:t xml:space="preserve">ost. </w:t>
            </w:r>
            <w:r w:rsidR="00B138E2">
              <w:t>DFAT does not deliver aid through Cambodian Government financial systems.</w:t>
            </w:r>
          </w:p>
        </w:tc>
        <w:tc>
          <w:tcPr>
            <w:tcW w:w="2512" w:type="dxa"/>
          </w:tcPr>
          <w:p w:rsidR="00B138E2" w:rsidRPr="00BF4165" w:rsidRDefault="00BF1EA4" w:rsidP="00A63876">
            <w:r>
              <w:t xml:space="preserve">In 2019-20, we will take action to implement DFAT’s </w:t>
            </w:r>
            <w:r w:rsidRPr="00232BAE">
              <w:t xml:space="preserve">Preventing Sexual Exploitation, Abuse and Harassment Policy at </w:t>
            </w:r>
            <w:r w:rsidR="00A63876">
              <w:t xml:space="preserve">DFAT </w:t>
            </w:r>
            <w:r w:rsidRPr="00232BAE">
              <w:t>and t</w:t>
            </w:r>
            <w:r>
              <w:t xml:space="preserve">hrough all aid program partners. </w:t>
            </w:r>
            <w:r w:rsidR="00B138E2" w:rsidRPr="002463B5">
              <w:t>We will ensure staff and implementing partners are up to date on DFAT’s safeguards policies through providing regular training.</w:t>
            </w:r>
            <w:r>
              <w:t xml:space="preserve"> We will continue to work closely with implementing partners so they are alert to risks and have the confidence to promptly report any issues or incidents to enable a prompt response.</w:t>
            </w:r>
          </w:p>
        </w:tc>
        <w:tc>
          <w:tcPr>
            <w:tcW w:w="1271" w:type="dxa"/>
          </w:tcPr>
          <w:p w:rsidR="00B138E2" w:rsidRPr="00C61187" w:rsidRDefault="00B138E2" w:rsidP="00B85B9B">
            <w:pPr>
              <w:keepLines/>
              <w:spacing w:before="40" w:after="40" w:line="200" w:lineRule="atLeast"/>
              <w:rPr>
                <w:rFonts w:eastAsia="Times New Roman"/>
                <w:iCs/>
                <w:szCs w:val="17"/>
                <w:lang w:eastAsia="en-US"/>
              </w:rPr>
            </w:pPr>
            <w:r>
              <w:rPr>
                <w:rFonts w:eastAsia="Times New Roman"/>
                <w:iCs/>
                <w:szCs w:val="17"/>
                <w:lang w:eastAsia="en-US"/>
              </w:rPr>
              <w:t xml:space="preserve">Medium </w:t>
            </w:r>
          </w:p>
        </w:tc>
        <w:tc>
          <w:tcPr>
            <w:tcW w:w="1226" w:type="dxa"/>
          </w:tcPr>
          <w:p w:rsidR="00B138E2" w:rsidRPr="00C61187" w:rsidRDefault="00B138E2" w:rsidP="00B85B9B">
            <w:pPr>
              <w:keepLines/>
              <w:spacing w:before="40" w:after="40" w:line="200" w:lineRule="atLeast"/>
              <w:rPr>
                <w:rFonts w:eastAsia="Times New Roman"/>
                <w:iCs/>
                <w:szCs w:val="17"/>
              </w:rPr>
            </w:pPr>
            <w:r>
              <w:rPr>
                <w:rFonts w:eastAsia="Times New Roman"/>
                <w:iCs/>
                <w:szCs w:val="17"/>
              </w:rPr>
              <w:t>Yes</w:t>
            </w:r>
          </w:p>
        </w:tc>
      </w:tr>
      <w:tr w:rsidR="00B138E2" w:rsidRPr="00C61187" w:rsidTr="00B85B9B">
        <w:trPr>
          <w:trHeight w:val="56"/>
        </w:trPr>
        <w:tc>
          <w:tcPr>
            <w:tcW w:w="1884" w:type="dxa"/>
          </w:tcPr>
          <w:p w:rsidR="00B138E2" w:rsidRPr="002463B5" w:rsidRDefault="00B138E2" w:rsidP="00B85B9B">
            <w:r w:rsidRPr="002463B5">
              <w:t xml:space="preserve">Staff capacity is stretched impacting on the effective delivery of the aid program </w:t>
            </w:r>
            <w:r w:rsidR="00BF1EA4">
              <w:t xml:space="preserve">and </w:t>
            </w:r>
            <w:r w:rsidRPr="002463B5">
              <w:t>the ability of staff to engage strategically in their respective sectors</w:t>
            </w:r>
            <w:r w:rsidR="00BF1EA4">
              <w:t xml:space="preserve"> while also designing several new investments needed</w:t>
            </w:r>
          </w:p>
        </w:tc>
        <w:tc>
          <w:tcPr>
            <w:tcW w:w="2429" w:type="dxa"/>
          </w:tcPr>
          <w:p w:rsidR="00B138E2" w:rsidRPr="00B44723" w:rsidRDefault="00B138E2" w:rsidP="00B44723">
            <w:r w:rsidRPr="002463B5">
              <w:t xml:space="preserve">We continued to work closely </w:t>
            </w:r>
            <w:r>
              <w:t>across teams</w:t>
            </w:r>
            <w:r w:rsidRPr="002463B5">
              <w:t xml:space="preserve"> to effectively share resources and tasking, as appropriate.</w:t>
            </w:r>
            <w:r>
              <w:t xml:space="preserve"> An </w:t>
            </w:r>
            <w:r w:rsidR="005961E5">
              <w:t>advisor</w:t>
            </w:r>
            <w:r>
              <w:t xml:space="preserve"> was engaged to assist, particularly in the area of </w:t>
            </w:r>
            <w:r w:rsidRPr="002463B5">
              <w:t>program performance and quality.</w:t>
            </w:r>
          </w:p>
        </w:tc>
        <w:tc>
          <w:tcPr>
            <w:tcW w:w="2512" w:type="dxa"/>
          </w:tcPr>
          <w:p w:rsidR="00B138E2" w:rsidRPr="00B44723" w:rsidRDefault="00B138E2" w:rsidP="00B44723">
            <w:r w:rsidRPr="002463B5">
              <w:t xml:space="preserve">We will continue to identify opportunities to ensure we have sufficient resources to engage strategically and ensure the effective delivery of the aid program. </w:t>
            </w:r>
            <w:r>
              <w:t xml:space="preserve">This may include contracting in additional expertise. </w:t>
            </w:r>
            <w:r w:rsidR="00BF1EA4">
              <w:t>Post’s aid advis</w:t>
            </w:r>
            <w:r w:rsidR="005961E5">
              <w:t>o</w:t>
            </w:r>
            <w:r w:rsidR="00BF1EA4">
              <w:t>r will support design processes.</w:t>
            </w:r>
          </w:p>
        </w:tc>
        <w:tc>
          <w:tcPr>
            <w:tcW w:w="1271" w:type="dxa"/>
          </w:tcPr>
          <w:p w:rsidR="00B138E2" w:rsidRPr="00C61187" w:rsidRDefault="00B138E2" w:rsidP="00B85B9B">
            <w:pPr>
              <w:keepLines/>
              <w:spacing w:before="40" w:after="40" w:line="200" w:lineRule="atLeast"/>
              <w:rPr>
                <w:rFonts w:eastAsia="Times New Roman"/>
                <w:iCs/>
                <w:szCs w:val="17"/>
              </w:rPr>
            </w:pPr>
            <w:r>
              <w:rPr>
                <w:rFonts w:eastAsia="Times New Roman"/>
                <w:iCs/>
                <w:szCs w:val="17"/>
              </w:rPr>
              <w:t xml:space="preserve">Medium </w:t>
            </w:r>
          </w:p>
        </w:tc>
        <w:tc>
          <w:tcPr>
            <w:tcW w:w="1226" w:type="dxa"/>
          </w:tcPr>
          <w:p w:rsidR="00B138E2" w:rsidRPr="00C61187" w:rsidRDefault="00B138E2" w:rsidP="00B85B9B">
            <w:pPr>
              <w:keepLines/>
              <w:spacing w:before="40" w:after="40" w:line="200" w:lineRule="atLeast"/>
              <w:rPr>
                <w:rFonts w:eastAsia="Times New Roman"/>
                <w:iCs/>
                <w:szCs w:val="17"/>
              </w:rPr>
            </w:pPr>
            <w:r>
              <w:rPr>
                <w:rFonts w:eastAsia="Times New Roman"/>
                <w:iCs/>
                <w:szCs w:val="17"/>
              </w:rPr>
              <w:t>Yes</w:t>
            </w:r>
          </w:p>
        </w:tc>
      </w:tr>
    </w:tbl>
    <w:p w:rsidR="002A51CA" w:rsidRDefault="002A51CA" w:rsidP="002A51CA">
      <w:pPr>
        <w:spacing w:before="20" w:after="20" w:line="180" w:lineRule="atLeast"/>
        <w:jc w:val="both"/>
        <w:rPr>
          <w:rFonts w:ascii="Franklin Gothic Book" w:eastAsia="Times New Roman" w:hAnsi="Franklin Gothic Book"/>
          <w:b/>
          <w:sz w:val="14"/>
          <w:szCs w:val="14"/>
        </w:rPr>
      </w:pPr>
    </w:p>
    <w:p w:rsidR="002A6AC8" w:rsidRDefault="002A6AC8" w:rsidP="002A51CA">
      <w:pPr>
        <w:spacing w:before="20" w:after="20" w:line="180" w:lineRule="atLeast"/>
        <w:jc w:val="both"/>
        <w:rPr>
          <w:rFonts w:ascii="Franklin Gothic Book" w:eastAsia="Times New Roman" w:hAnsi="Franklin Gothic Book"/>
          <w:sz w:val="18"/>
          <w:szCs w:val="18"/>
        </w:rPr>
      </w:pPr>
      <w:r w:rsidRPr="00332EC9">
        <w:rPr>
          <w:rFonts w:ascii="Franklin Gothic Book" w:eastAsia="Times New Roman" w:hAnsi="Franklin Gothic Book"/>
          <w:sz w:val="18"/>
          <w:szCs w:val="18"/>
        </w:rPr>
        <w:t>*If no, consider updating the Risk Register</w:t>
      </w:r>
    </w:p>
    <w:p w:rsidR="002A6AC8" w:rsidRDefault="002A6AC8" w:rsidP="002A51CA">
      <w:pPr>
        <w:spacing w:before="20" w:after="20" w:line="180" w:lineRule="atLeast"/>
        <w:jc w:val="both"/>
        <w:rPr>
          <w:rFonts w:ascii="Franklin Gothic Book" w:eastAsia="Times New Roman" w:hAnsi="Franklin Gothic Book"/>
          <w:sz w:val="18"/>
          <w:szCs w:val="18"/>
        </w:rPr>
      </w:pPr>
    </w:p>
    <w:p w:rsidR="00D15A00" w:rsidRDefault="002A51CA" w:rsidP="002A1757">
      <w:pPr>
        <w:pStyle w:val="Heading2"/>
        <w:spacing w:before="360" w:line="300" w:lineRule="exact"/>
      </w:pPr>
      <w:r w:rsidRPr="002A51CA">
        <w:t xml:space="preserve">Management </w:t>
      </w:r>
      <w:r w:rsidR="00AC302F">
        <w:t>actions</w:t>
      </w:r>
      <w:r w:rsidRPr="002A51CA">
        <w:tab/>
      </w:r>
      <w:r w:rsidRPr="002A51CA">
        <w:tab/>
      </w:r>
    </w:p>
    <w:p w:rsidR="006A3EF7" w:rsidRPr="006A3EF7" w:rsidRDefault="006A3EF7" w:rsidP="00315B0C">
      <w:pPr>
        <w:rPr>
          <w:rFonts w:cstheme="minorHAnsi"/>
          <w:color w:val="auto"/>
        </w:rPr>
      </w:pPr>
      <w:r w:rsidRPr="006A3EF7">
        <w:rPr>
          <w:rFonts w:cstheme="minorHAnsi"/>
          <w:color w:val="auto"/>
        </w:rPr>
        <w:t xml:space="preserve">Good progress was made against most of the management actions identified in the program’s 2017-18 APPR. A summary of progress on management actions is included in the table at Annex A. </w:t>
      </w:r>
    </w:p>
    <w:p w:rsidR="00E01A6D" w:rsidRPr="00811044" w:rsidRDefault="00315B0C" w:rsidP="00811044">
      <w:pPr>
        <w:rPr>
          <w:rFonts w:cstheme="minorHAnsi"/>
          <w:color w:val="auto"/>
        </w:rPr>
      </w:pPr>
      <w:r w:rsidRPr="00811044">
        <w:rPr>
          <w:rFonts w:cstheme="minorHAnsi"/>
          <w:color w:val="auto"/>
        </w:rPr>
        <w:t>The development of a new Aid Investment</w:t>
      </w:r>
      <w:r w:rsidR="00811044" w:rsidRPr="00811044">
        <w:rPr>
          <w:rFonts w:cstheme="minorHAnsi"/>
          <w:color w:val="auto"/>
        </w:rPr>
        <w:t xml:space="preserve"> Plan to commence in early 2020 will guide shifts in focus and programming over 2019-20. The new AIP is expected to require</w:t>
      </w:r>
      <w:r w:rsidRPr="00811044">
        <w:rPr>
          <w:rFonts w:cstheme="minorHAnsi"/>
          <w:color w:val="auto"/>
        </w:rPr>
        <w:t xml:space="preserve"> new investments in support of policy reforms, civil society strengthening and institutional capacity building, </w:t>
      </w:r>
      <w:r w:rsidR="00811044" w:rsidRPr="00811044">
        <w:rPr>
          <w:rFonts w:cstheme="minorHAnsi"/>
          <w:color w:val="auto"/>
        </w:rPr>
        <w:t>and continued</w:t>
      </w:r>
      <w:r w:rsidRPr="00811044">
        <w:rPr>
          <w:rFonts w:cstheme="minorHAnsi"/>
          <w:color w:val="auto"/>
        </w:rPr>
        <w:t xml:space="preserve"> transition out of direct construction of infrastructure and delivery of services. </w:t>
      </w:r>
      <w:r w:rsidR="00811044">
        <w:rPr>
          <w:rFonts w:cstheme="minorHAnsi"/>
          <w:color w:val="auto"/>
        </w:rPr>
        <w:t xml:space="preserve">This </w:t>
      </w:r>
      <w:r w:rsidR="00811044" w:rsidRPr="00811044">
        <w:rPr>
          <w:rFonts w:cstheme="minorHAnsi"/>
          <w:color w:val="auto"/>
        </w:rPr>
        <w:t>will require DFAT to manage its investments differently, with increased focus on building networks and advocating policy positions requiring additional skills and resources, and further efficiencies</w:t>
      </w:r>
      <w:r w:rsidR="00811044">
        <w:rPr>
          <w:rFonts w:cstheme="minorHAnsi"/>
          <w:color w:val="auto"/>
        </w:rPr>
        <w:t xml:space="preserve"> through consolidation</w:t>
      </w:r>
      <w:r w:rsidR="00811044" w:rsidRPr="00811044">
        <w:rPr>
          <w:rFonts w:cstheme="minorHAnsi"/>
          <w:color w:val="auto"/>
        </w:rPr>
        <w:t xml:space="preserve">. </w:t>
      </w:r>
    </w:p>
    <w:p w:rsidR="00315B0C" w:rsidRPr="006A3EF7" w:rsidRDefault="001E1FE7" w:rsidP="006A3EF7">
      <w:pPr>
        <w:rPr>
          <w:rFonts w:cstheme="minorHAnsi"/>
          <w:b/>
          <w:color w:val="auto"/>
        </w:rPr>
      </w:pPr>
      <w:r w:rsidRPr="006A3EF7">
        <w:rPr>
          <w:rFonts w:cstheme="minorHAnsi"/>
          <w:b/>
          <w:color w:val="auto"/>
        </w:rPr>
        <w:t>Strategic</w:t>
      </w:r>
      <w:r w:rsidR="006B13CB">
        <w:rPr>
          <w:rFonts w:cstheme="minorHAnsi"/>
          <w:b/>
          <w:color w:val="auto"/>
        </w:rPr>
        <w:t xml:space="preserve"> </w:t>
      </w:r>
    </w:p>
    <w:p w:rsidR="006A3EF7" w:rsidRDefault="006A3EF7" w:rsidP="005455D5">
      <w:pPr>
        <w:pStyle w:val="ListParagraph"/>
        <w:numPr>
          <w:ilvl w:val="0"/>
          <w:numId w:val="39"/>
        </w:numPr>
        <w:spacing w:after="120"/>
        <w:contextualSpacing w:val="0"/>
        <w:rPr>
          <w:rFonts w:asciiTheme="minorHAnsi" w:eastAsiaTheme="minorHAnsi" w:hAnsiTheme="minorHAnsi" w:cstheme="minorHAnsi"/>
          <w:sz w:val="22"/>
          <w:szCs w:val="22"/>
          <w:lang w:val="en-GB"/>
        </w:rPr>
      </w:pPr>
      <w:r w:rsidRPr="006A3EF7">
        <w:rPr>
          <w:rFonts w:asciiTheme="minorHAnsi" w:eastAsiaTheme="minorHAnsi" w:hAnsiTheme="minorHAnsi" w:cstheme="minorHAnsi"/>
          <w:sz w:val="22"/>
          <w:szCs w:val="22"/>
          <w:lang w:val="en-GB"/>
        </w:rPr>
        <w:t>Finalise a new Aid Investment Plan for implementation from 2020 to ensure our future development cooperation in Cambodia furthers Australia’s objectives</w:t>
      </w:r>
      <w:r w:rsidR="00E07DC9">
        <w:rPr>
          <w:rFonts w:asciiTheme="minorHAnsi" w:eastAsiaTheme="minorHAnsi" w:hAnsiTheme="minorHAnsi" w:cstheme="minorHAnsi"/>
          <w:sz w:val="22"/>
          <w:szCs w:val="22"/>
          <w:lang w:val="en-GB"/>
        </w:rPr>
        <w:t>,</w:t>
      </w:r>
      <w:r w:rsidRPr="006A3EF7">
        <w:rPr>
          <w:rFonts w:asciiTheme="minorHAnsi" w:eastAsiaTheme="minorHAnsi" w:hAnsiTheme="minorHAnsi" w:cstheme="minorHAnsi"/>
          <w:sz w:val="22"/>
          <w:szCs w:val="22"/>
          <w:lang w:val="en-GB"/>
        </w:rPr>
        <w:t xml:space="preserve"> responds to the development needs of the Cambodian people</w:t>
      </w:r>
      <w:r w:rsidR="00E07DC9">
        <w:rPr>
          <w:rFonts w:asciiTheme="minorHAnsi" w:eastAsiaTheme="minorHAnsi" w:hAnsiTheme="minorHAnsi" w:cstheme="minorHAnsi"/>
          <w:sz w:val="22"/>
          <w:szCs w:val="22"/>
          <w:lang w:val="en-GB"/>
        </w:rPr>
        <w:t xml:space="preserve"> and meets emerging challenges</w:t>
      </w:r>
      <w:r w:rsidRPr="006A3EF7">
        <w:rPr>
          <w:rFonts w:asciiTheme="minorHAnsi" w:eastAsiaTheme="minorHAnsi" w:hAnsiTheme="minorHAnsi" w:cstheme="minorHAnsi"/>
          <w:sz w:val="22"/>
          <w:szCs w:val="22"/>
          <w:lang w:val="en-GB"/>
        </w:rPr>
        <w:t>.</w:t>
      </w:r>
    </w:p>
    <w:p w:rsidR="00207E1C" w:rsidRPr="006A3EF7" w:rsidRDefault="00207E1C" w:rsidP="005455D5">
      <w:pPr>
        <w:pStyle w:val="ListParagraph"/>
        <w:numPr>
          <w:ilvl w:val="0"/>
          <w:numId w:val="39"/>
        </w:numPr>
        <w:spacing w:after="120"/>
        <w:contextualSpacing w:val="0"/>
        <w:rPr>
          <w:rFonts w:asciiTheme="minorHAnsi" w:eastAsiaTheme="minorHAnsi" w:hAnsiTheme="minorHAnsi" w:cstheme="minorHAnsi"/>
          <w:sz w:val="22"/>
          <w:szCs w:val="22"/>
          <w:lang w:val="en-GB"/>
        </w:rPr>
      </w:pPr>
      <w:r w:rsidRPr="006A3EF7">
        <w:rPr>
          <w:rFonts w:asciiTheme="minorHAnsi" w:eastAsiaTheme="minorHAnsi" w:hAnsiTheme="minorHAnsi" w:cstheme="minorHAnsi"/>
          <w:sz w:val="22"/>
          <w:szCs w:val="22"/>
          <w:lang w:val="en-GB"/>
        </w:rPr>
        <w:t>Design and progress new initiatives, to consolidat</w:t>
      </w:r>
      <w:r w:rsidR="00B46412">
        <w:rPr>
          <w:rFonts w:asciiTheme="minorHAnsi" w:eastAsiaTheme="minorHAnsi" w:hAnsiTheme="minorHAnsi" w:cstheme="minorHAnsi"/>
          <w:sz w:val="22"/>
          <w:szCs w:val="22"/>
          <w:lang w:val="en-GB"/>
        </w:rPr>
        <w:t xml:space="preserve">e investments </w:t>
      </w:r>
      <w:r w:rsidRPr="006A3EF7">
        <w:rPr>
          <w:rFonts w:asciiTheme="minorHAnsi" w:eastAsiaTheme="minorHAnsi" w:hAnsiTheme="minorHAnsi" w:cstheme="minorHAnsi"/>
          <w:sz w:val="22"/>
          <w:szCs w:val="22"/>
          <w:lang w:val="en-GB"/>
        </w:rPr>
        <w:t xml:space="preserve">and achieve management efficiencies, and to implement the objectives of a new AIP. </w:t>
      </w:r>
    </w:p>
    <w:p w:rsidR="006A3EF7" w:rsidRPr="006A3EF7" w:rsidRDefault="006A3EF7" w:rsidP="005455D5">
      <w:pPr>
        <w:pStyle w:val="ListParagraph"/>
        <w:numPr>
          <w:ilvl w:val="0"/>
          <w:numId w:val="39"/>
        </w:numPr>
        <w:spacing w:after="120"/>
        <w:contextualSpacing w:val="0"/>
        <w:rPr>
          <w:rFonts w:asciiTheme="minorHAnsi" w:eastAsiaTheme="minorHAnsi" w:hAnsiTheme="minorHAnsi" w:cstheme="minorHAnsi"/>
          <w:sz w:val="22"/>
          <w:szCs w:val="22"/>
          <w:lang w:val="en-GB"/>
        </w:rPr>
      </w:pPr>
      <w:r w:rsidRPr="006A3EF7">
        <w:rPr>
          <w:rFonts w:asciiTheme="minorHAnsi" w:eastAsiaTheme="minorHAnsi" w:hAnsiTheme="minorHAnsi" w:cstheme="minorHAnsi"/>
          <w:sz w:val="22"/>
          <w:szCs w:val="22"/>
          <w:lang w:val="en-GB"/>
        </w:rPr>
        <w:t>Ensure there is sufficient capability within program management teams to effectively support progress towards objectives, particularly in the area of policy dialogue. This includes through consideration of both</w:t>
      </w:r>
      <w:r>
        <w:rPr>
          <w:rFonts w:asciiTheme="minorHAnsi" w:eastAsiaTheme="minorHAnsi" w:hAnsiTheme="minorHAnsi" w:cstheme="minorHAnsi"/>
          <w:sz w:val="22"/>
          <w:szCs w:val="22"/>
          <w:lang w:val="en-GB"/>
        </w:rPr>
        <w:t xml:space="preserve">: </w:t>
      </w:r>
      <w:r w:rsidRPr="006A3EF7">
        <w:rPr>
          <w:rFonts w:asciiTheme="minorHAnsi" w:eastAsiaTheme="minorHAnsi" w:hAnsiTheme="minorHAnsi" w:cstheme="minorHAnsi"/>
          <w:sz w:val="22"/>
          <w:szCs w:val="22"/>
          <w:lang w:val="en-GB"/>
        </w:rPr>
        <w:t xml:space="preserve"> </w:t>
      </w:r>
    </w:p>
    <w:p w:rsidR="006A3EF7" w:rsidRPr="006A3EF7" w:rsidRDefault="00207E1C" w:rsidP="005455D5">
      <w:pPr>
        <w:pStyle w:val="ListParagraph"/>
        <w:numPr>
          <w:ilvl w:val="1"/>
          <w:numId w:val="39"/>
        </w:numPr>
        <w:spacing w:after="120"/>
        <w:contextualSpacing w:val="0"/>
      </w:pPr>
      <w:r>
        <w:rPr>
          <w:rFonts w:asciiTheme="minorHAnsi" w:eastAsiaTheme="minorHAnsi" w:hAnsiTheme="minorHAnsi" w:cstheme="minorHAnsi"/>
          <w:sz w:val="22"/>
          <w:szCs w:val="22"/>
          <w:lang w:val="en-GB"/>
        </w:rPr>
        <w:t>continuing</w:t>
      </w:r>
      <w:r w:rsidR="006A3EF7" w:rsidRPr="000F67EA">
        <w:rPr>
          <w:rFonts w:asciiTheme="minorHAnsi" w:eastAsiaTheme="minorHAnsi" w:hAnsiTheme="minorHAnsi" w:cstheme="minorHAnsi"/>
          <w:sz w:val="22"/>
          <w:szCs w:val="22"/>
          <w:lang w:val="en-GB"/>
        </w:rPr>
        <w:t xml:space="preserve"> to explore opportunities for additional resource support, including through use of </w:t>
      </w:r>
      <w:r w:rsidR="005E7818">
        <w:rPr>
          <w:rFonts w:asciiTheme="minorHAnsi" w:eastAsiaTheme="minorHAnsi" w:hAnsiTheme="minorHAnsi" w:cstheme="minorHAnsi"/>
          <w:sz w:val="22"/>
          <w:szCs w:val="22"/>
          <w:lang w:val="en-GB"/>
        </w:rPr>
        <w:t>contracting mechanisms</w:t>
      </w:r>
    </w:p>
    <w:p w:rsidR="006A3EF7" w:rsidRDefault="006A3EF7" w:rsidP="005455D5">
      <w:pPr>
        <w:pStyle w:val="ListParagraph"/>
        <w:numPr>
          <w:ilvl w:val="1"/>
          <w:numId w:val="39"/>
        </w:numPr>
        <w:spacing w:after="120"/>
        <w:contextualSpacing w:val="0"/>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 xml:space="preserve">maximising capabilities of existing staff. </w:t>
      </w:r>
    </w:p>
    <w:p w:rsidR="00507F5B" w:rsidRPr="006A3EF7" w:rsidRDefault="00507F5B" w:rsidP="005455D5">
      <w:pPr>
        <w:spacing w:after="120"/>
        <w:ind w:left="360"/>
        <w:rPr>
          <w:rFonts w:cstheme="minorHAnsi"/>
          <w:b/>
          <w:color w:val="auto"/>
        </w:rPr>
      </w:pPr>
      <w:r w:rsidRPr="006A3EF7">
        <w:rPr>
          <w:rFonts w:cstheme="minorHAnsi"/>
          <w:b/>
          <w:color w:val="auto"/>
        </w:rPr>
        <w:t xml:space="preserve">Operational </w:t>
      </w:r>
    </w:p>
    <w:p w:rsidR="00A82FEE" w:rsidRPr="00A82FEE" w:rsidRDefault="006B13CB" w:rsidP="00394FEC">
      <w:pPr>
        <w:pStyle w:val="ListParagraph"/>
        <w:numPr>
          <w:ilvl w:val="0"/>
          <w:numId w:val="39"/>
        </w:numPr>
        <w:spacing w:after="120"/>
        <w:contextualSpacing w:val="0"/>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M</w:t>
      </w:r>
      <w:r w:rsidR="00A82FEE" w:rsidRPr="00A82FEE">
        <w:rPr>
          <w:rFonts w:asciiTheme="minorHAnsi" w:eastAsiaTheme="minorHAnsi" w:hAnsiTheme="minorHAnsi" w:cstheme="minorHAnsi"/>
          <w:sz w:val="22"/>
          <w:szCs w:val="22"/>
          <w:lang w:val="en-GB"/>
        </w:rPr>
        <w:t>anage any budget reductions to minimise impacts on program outcomes</w:t>
      </w:r>
      <w:r w:rsidR="00A82FEE">
        <w:rPr>
          <w:rFonts w:asciiTheme="minorHAnsi" w:eastAsiaTheme="minorHAnsi" w:hAnsiTheme="minorHAnsi" w:cstheme="minorHAnsi"/>
          <w:sz w:val="22"/>
          <w:szCs w:val="22"/>
          <w:lang w:val="en-GB"/>
        </w:rPr>
        <w:t>.</w:t>
      </w:r>
      <w:r w:rsidR="00A82FEE" w:rsidRPr="00A82FEE">
        <w:rPr>
          <w:rFonts w:asciiTheme="minorHAnsi" w:eastAsiaTheme="minorHAnsi" w:hAnsiTheme="minorHAnsi" w:cstheme="minorHAnsi"/>
          <w:sz w:val="22"/>
          <w:szCs w:val="22"/>
          <w:lang w:val="en-GB"/>
        </w:rPr>
        <w:t xml:space="preserve"> </w:t>
      </w:r>
    </w:p>
    <w:p w:rsidR="007058BB" w:rsidRDefault="007058BB" w:rsidP="009D0984">
      <w:pPr>
        <w:pStyle w:val="ListParagraph"/>
        <w:numPr>
          <w:ilvl w:val="0"/>
          <w:numId w:val="39"/>
        </w:numPr>
        <w:spacing w:after="120"/>
        <w:contextualSpacing w:val="0"/>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 xml:space="preserve">Take forward a range of policy initiatives (commenced in 2018-19) through CAVAC II and 3i, aimed at </w:t>
      </w:r>
      <w:r w:rsidR="00B46412">
        <w:rPr>
          <w:rFonts w:asciiTheme="minorHAnsi" w:eastAsiaTheme="minorHAnsi" w:hAnsiTheme="minorHAnsi" w:cstheme="minorHAnsi"/>
          <w:sz w:val="22"/>
          <w:szCs w:val="22"/>
          <w:lang w:val="en-GB"/>
        </w:rPr>
        <w:t xml:space="preserve">supporting </w:t>
      </w:r>
      <w:r>
        <w:rPr>
          <w:rFonts w:asciiTheme="minorHAnsi" w:eastAsiaTheme="minorHAnsi" w:hAnsiTheme="minorHAnsi" w:cstheme="minorHAnsi"/>
          <w:sz w:val="22"/>
          <w:szCs w:val="22"/>
          <w:lang w:val="en-GB"/>
        </w:rPr>
        <w:t>policy reform or influencing broader practices in the agriculture and infrastructure sectors</w:t>
      </w:r>
      <w:r w:rsidR="00B46412">
        <w:rPr>
          <w:rFonts w:asciiTheme="minorHAnsi" w:eastAsiaTheme="minorHAnsi" w:hAnsiTheme="minorHAnsi" w:cstheme="minorHAnsi"/>
          <w:sz w:val="22"/>
          <w:szCs w:val="22"/>
          <w:lang w:val="en-GB"/>
        </w:rPr>
        <w:t xml:space="preserve"> in ways that strengthen resilience in Cambodia</w:t>
      </w:r>
      <w:r>
        <w:rPr>
          <w:rFonts w:asciiTheme="minorHAnsi" w:eastAsiaTheme="minorHAnsi" w:hAnsiTheme="minorHAnsi" w:cstheme="minorHAnsi"/>
          <w:sz w:val="22"/>
          <w:szCs w:val="22"/>
          <w:lang w:val="en-GB"/>
        </w:rPr>
        <w:t xml:space="preserve">. </w:t>
      </w:r>
    </w:p>
    <w:p w:rsidR="00507F5B" w:rsidRPr="00A82FEE" w:rsidRDefault="00A82FEE" w:rsidP="005455D5">
      <w:pPr>
        <w:pStyle w:val="ListParagraph"/>
        <w:numPr>
          <w:ilvl w:val="0"/>
          <w:numId w:val="39"/>
        </w:numPr>
        <w:spacing w:after="120"/>
        <w:contextualSpacing w:val="0"/>
        <w:rPr>
          <w:rFonts w:asciiTheme="minorHAnsi" w:eastAsiaTheme="minorHAnsi" w:hAnsiTheme="minorHAnsi" w:cstheme="minorHAnsi"/>
          <w:sz w:val="22"/>
          <w:szCs w:val="22"/>
          <w:lang w:val="en-GB"/>
        </w:rPr>
      </w:pPr>
      <w:r w:rsidRPr="00A82FEE">
        <w:rPr>
          <w:rFonts w:asciiTheme="minorHAnsi" w:eastAsiaTheme="minorHAnsi" w:hAnsiTheme="minorHAnsi" w:cstheme="minorHAnsi"/>
          <w:sz w:val="22"/>
          <w:szCs w:val="22"/>
          <w:lang w:val="en-GB"/>
        </w:rPr>
        <w:t>Finalise a new p</w:t>
      </w:r>
      <w:r w:rsidR="00507F5B" w:rsidRPr="00A82FEE">
        <w:rPr>
          <w:rFonts w:asciiTheme="minorHAnsi" w:eastAsiaTheme="minorHAnsi" w:hAnsiTheme="minorHAnsi" w:cstheme="minorHAnsi"/>
          <w:sz w:val="22"/>
          <w:szCs w:val="22"/>
          <w:lang w:val="en-GB"/>
        </w:rPr>
        <w:t>artnership agreement with UNDP</w:t>
      </w:r>
      <w:r w:rsidR="007058BB" w:rsidRPr="007058BB">
        <w:rPr>
          <w:rFonts w:asciiTheme="minorHAnsi" w:eastAsiaTheme="minorHAnsi" w:hAnsiTheme="minorHAnsi" w:cstheme="minorHAnsi"/>
          <w:sz w:val="22"/>
          <w:szCs w:val="22"/>
          <w:lang w:val="en-GB"/>
        </w:rPr>
        <w:t xml:space="preserve"> </w:t>
      </w:r>
      <w:r w:rsidR="007058BB">
        <w:rPr>
          <w:rFonts w:asciiTheme="minorHAnsi" w:eastAsiaTheme="minorHAnsi" w:hAnsiTheme="minorHAnsi" w:cstheme="minorHAnsi"/>
          <w:sz w:val="22"/>
          <w:szCs w:val="22"/>
          <w:lang w:val="en-GB"/>
        </w:rPr>
        <w:t>to support a new phase of the effective landmine clearance program, as well as other selected activities to strengthen Cambodia’s resilience</w:t>
      </w:r>
      <w:r w:rsidR="00F83BBF">
        <w:rPr>
          <w:rFonts w:asciiTheme="minorHAnsi" w:eastAsiaTheme="minorHAnsi" w:hAnsiTheme="minorHAnsi" w:cstheme="minorHAnsi"/>
          <w:sz w:val="22"/>
          <w:szCs w:val="22"/>
          <w:lang w:val="en-GB"/>
        </w:rPr>
        <w:t>.</w:t>
      </w:r>
      <w:r w:rsidR="00507F5B" w:rsidRPr="00A82FEE">
        <w:rPr>
          <w:rFonts w:asciiTheme="minorHAnsi" w:eastAsiaTheme="minorHAnsi" w:hAnsiTheme="minorHAnsi" w:cstheme="minorHAnsi"/>
          <w:sz w:val="22"/>
          <w:szCs w:val="22"/>
          <w:lang w:val="en-GB"/>
        </w:rPr>
        <w:t xml:space="preserve"> </w:t>
      </w:r>
    </w:p>
    <w:p w:rsidR="00507F5B" w:rsidRPr="00ED22C2" w:rsidRDefault="00507F5B" w:rsidP="005455D5">
      <w:pPr>
        <w:pStyle w:val="ListParagraph"/>
        <w:numPr>
          <w:ilvl w:val="0"/>
          <w:numId w:val="39"/>
        </w:numPr>
        <w:spacing w:after="120"/>
        <w:contextualSpacing w:val="0"/>
        <w:rPr>
          <w:rFonts w:asciiTheme="minorHAnsi" w:eastAsiaTheme="minorHAnsi" w:hAnsiTheme="minorHAnsi" w:cstheme="minorHAnsi"/>
          <w:sz w:val="22"/>
          <w:szCs w:val="22"/>
          <w:lang w:val="en-GB"/>
        </w:rPr>
      </w:pPr>
      <w:r w:rsidRPr="00ED22C2">
        <w:rPr>
          <w:rFonts w:asciiTheme="minorHAnsi" w:eastAsiaTheme="minorHAnsi" w:hAnsiTheme="minorHAnsi" w:cstheme="minorHAnsi"/>
          <w:sz w:val="22"/>
          <w:szCs w:val="22"/>
          <w:lang w:val="en-GB"/>
        </w:rPr>
        <w:t xml:space="preserve">Mobilise </w:t>
      </w:r>
      <w:r w:rsidR="00ED22C2" w:rsidRPr="00ED22C2">
        <w:rPr>
          <w:rFonts w:asciiTheme="minorHAnsi" w:eastAsiaTheme="minorHAnsi" w:hAnsiTheme="minorHAnsi" w:cstheme="minorHAnsi"/>
          <w:sz w:val="22"/>
          <w:szCs w:val="22"/>
          <w:lang w:val="en-GB"/>
        </w:rPr>
        <w:t xml:space="preserve">a </w:t>
      </w:r>
      <w:r w:rsidRPr="00ED22C2">
        <w:rPr>
          <w:rFonts w:asciiTheme="minorHAnsi" w:eastAsiaTheme="minorHAnsi" w:hAnsiTheme="minorHAnsi" w:cstheme="minorHAnsi"/>
          <w:sz w:val="22"/>
          <w:szCs w:val="22"/>
          <w:lang w:val="en-GB"/>
        </w:rPr>
        <w:t xml:space="preserve">design team to design </w:t>
      </w:r>
      <w:r w:rsidR="00207E1C">
        <w:rPr>
          <w:rFonts w:asciiTheme="minorHAnsi" w:eastAsiaTheme="minorHAnsi" w:hAnsiTheme="minorHAnsi" w:cstheme="minorHAnsi"/>
          <w:sz w:val="22"/>
          <w:szCs w:val="22"/>
          <w:lang w:val="en-GB"/>
        </w:rPr>
        <w:t xml:space="preserve">a </w:t>
      </w:r>
      <w:r w:rsidRPr="00ED22C2">
        <w:rPr>
          <w:rFonts w:asciiTheme="minorHAnsi" w:eastAsiaTheme="minorHAnsi" w:hAnsiTheme="minorHAnsi" w:cstheme="minorHAnsi"/>
          <w:sz w:val="22"/>
          <w:szCs w:val="22"/>
          <w:lang w:val="en-GB"/>
        </w:rPr>
        <w:t>new bilateral economic governance and infrastructure partnership</w:t>
      </w:r>
      <w:r w:rsidR="00207E1C">
        <w:rPr>
          <w:rFonts w:asciiTheme="minorHAnsi" w:eastAsiaTheme="minorHAnsi" w:hAnsiTheme="minorHAnsi" w:cstheme="minorHAnsi"/>
          <w:sz w:val="22"/>
          <w:szCs w:val="22"/>
          <w:lang w:val="en-GB"/>
        </w:rPr>
        <w:t>.</w:t>
      </w:r>
      <w:r w:rsidRPr="00ED22C2">
        <w:rPr>
          <w:rFonts w:asciiTheme="minorHAnsi" w:eastAsiaTheme="minorHAnsi" w:hAnsiTheme="minorHAnsi" w:cstheme="minorHAnsi"/>
          <w:sz w:val="22"/>
          <w:szCs w:val="22"/>
          <w:lang w:val="en-GB"/>
        </w:rPr>
        <w:t xml:space="preserve"> </w:t>
      </w:r>
    </w:p>
    <w:p w:rsidR="005961E5" w:rsidRDefault="005961E5" w:rsidP="005455D5">
      <w:pPr>
        <w:pStyle w:val="ListParagraph"/>
        <w:numPr>
          <w:ilvl w:val="0"/>
          <w:numId w:val="39"/>
        </w:numPr>
        <w:spacing w:after="120"/>
        <w:contextualSpacing w:val="0"/>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Progress a new program design to support public service delivery and social accountability for implementation from late 2020.</w:t>
      </w:r>
    </w:p>
    <w:p w:rsidR="00A354A2" w:rsidRPr="00ED22C2" w:rsidRDefault="00ED22C2" w:rsidP="005455D5">
      <w:pPr>
        <w:pStyle w:val="ListParagraph"/>
        <w:numPr>
          <w:ilvl w:val="0"/>
          <w:numId w:val="39"/>
        </w:numPr>
        <w:spacing w:after="120"/>
        <w:contextualSpacing w:val="0"/>
        <w:rPr>
          <w:rFonts w:asciiTheme="minorHAnsi" w:eastAsiaTheme="minorHAnsi" w:hAnsiTheme="minorHAnsi" w:cstheme="minorHAnsi"/>
          <w:sz w:val="22"/>
          <w:szCs w:val="22"/>
          <w:lang w:val="en-GB"/>
        </w:rPr>
      </w:pPr>
      <w:r w:rsidRPr="00ED22C2">
        <w:rPr>
          <w:rFonts w:asciiTheme="minorHAnsi" w:eastAsiaTheme="minorHAnsi" w:hAnsiTheme="minorHAnsi" w:cstheme="minorHAnsi"/>
          <w:sz w:val="22"/>
          <w:szCs w:val="22"/>
          <w:lang w:val="en-GB"/>
        </w:rPr>
        <w:t>Implement actions to improve gender equality outcomes</w:t>
      </w:r>
      <w:r w:rsidR="00A354A2" w:rsidRPr="00ED22C2">
        <w:rPr>
          <w:rFonts w:asciiTheme="minorHAnsi" w:eastAsiaTheme="minorHAnsi" w:hAnsiTheme="minorHAnsi" w:cstheme="minorHAnsi"/>
          <w:sz w:val="22"/>
          <w:szCs w:val="22"/>
          <w:lang w:val="en-GB"/>
        </w:rPr>
        <w:t xml:space="preserve"> in CAVAC </w:t>
      </w:r>
      <w:r w:rsidRPr="00ED22C2">
        <w:rPr>
          <w:rFonts w:asciiTheme="minorHAnsi" w:eastAsiaTheme="minorHAnsi" w:hAnsiTheme="minorHAnsi" w:cstheme="minorHAnsi"/>
          <w:sz w:val="22"/>
          <w:szCs w:val="22"/>
          <w:lang w:val="en-GB"/>
        </w:rPr>
        <w:t xml:space="preserve">II. </w:t>
      </w:r>
    </w:p>
    <w:p w:rsidR="00025834" w:rsidRDefault="00A354A2" w:rsidP="005455D5">
      <w:pPr>
        <w:pStyle w:val="ListParagraph"/>
        <w:numPr>
          <w:ilvl w:val="0"/>
          <w:numId w:val="39"/>
        </w:numPr>
        <w:spacing w:after="120"/>
        <w:contextualSpacing w:val="0"/>
        <w:rPr>
          <w:rFonts w:asciiTheme="minorHAnsi" w:eastAsiaTheme="minorHAnsi" w:hAnsiTheme="minorHAnsi" w:cstheme="minorHAnsi"/>
          <w:sz w:val="22"/>
          <w:szCs w:val="22"/>
          <w:lang w:val="en-GB"/>
        </w:rPr>
      </w:pPr>
      <w:r w:rsidRPr="00BF7AD5">
        <w:rPr>
          <w:rFonts w:asciiTheme="minorHAnsi" w:eastAsiaTheme="minorHAnsi" w:hAnsiTheme="minorHAnsi" w:cstheme="minorHAnsi"/>
          <w:sz w:val="22"/>
          <w:szCs w:val="22"/>
          <w:lang w:val="en-GB"/>
        </w:rPr>
        <w:t xml:space="preserve">Implement actions on disability identified from </w:t>
      </w:r>
      <w:r w:rsidR="00BF7AD5" w:rsidRPr="00BF7AD5">
        <w:rPr>
          <w:rFonts w:asciiTheme="minorHAnsi" w:eastAsiaTheme="minorHAnsi" w:hAnsiTheme="minorHAnsi" w:cstheme="minorHAnsi"/>
          <w:sz w:val="22"/>
          <w:szCs w:val="22"/>
          <w:lang w:val="en-GB"/>
        </w:rPr>
        <w:t xml:space="preserve">the workshop held </w:t>
      </w:r>
      <w:r w:rsidR="00A63876">
        <w:rPr>
          <w:rFonts w:asciiTheme="minorHAnsi" w:eastAsiaTheme="minorHAnsi" w:hAnsiTheme="minorHAnsi" w:cstheme="minorHAnsi"/>
          <w:sz w:val="22"/>
          <w:szCs w:val="22"/>
          <w:lang w:val="en-GB"/>
        </w:rPr>
        <w:t>at the Embassy</w:t>
      </w:r>
      <w:r w:rsidR="00E248E6">
        <w:rPr>
          <w:rFonts w:asciiTheme="minorHAnsi" w:eastAsiaTheme="minorHAnsi" w:hAnsiTheme="minorHAnsi" w:cstheme="minorHAnsi"/>
          <w:sz w:val="22"/>
          <w:szCs w:val="22"/>
          <w:lang w:val="en-GB"/>
        </w:rPr>
        <w:t xml:space="preserve"> </w:t>
      </w:r>
      <w:r w:rsidR="00BF7AD5" w:rsidRPr="00BF7AD5">
        <w:rPr>
          <w:rFonts w:asciiTheme="minorHAnsi" w:eastAsiaTheme="minorHAnsi" w:hAnsiTheme="minorHAnsi" w:cstheme="minorHAnsi"/>
          <w:sz w:val="22"/>
          <w:szCs w:val="22"/>
          <w:lang w:val="en-GB"/>
        </w:rPr>
        <w:t>in 2019.</w:t>
      </w:r>
    </w:p>
    <w:p w:rsidR="00B138E2" w:rsidRPr="00BF7AD5" w:rsidRDefault="00B138E2" w:rsidP="00B138E2">
      <w:pPr>
        <w:pStyle w:val="ListParagraph"/>
        <w:numPr>
          <w:ilvl w:val="0"/>
          <w:numId w:val="39"/>
        </w:numPr>
        <w:spacing w:after="120"/>
        <w:contextualSpacing w:val="0"/>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Ensure that, as agreed during the May 2019 mid-term review, H-EQIP will conduct a follow-up to the Gender Assessment to improve the implementation of priority actions</w:t>
      </w:r>
      <w:r w:rsidR="00EE2B86">
        <w:rPr>
          <w:rFonts w:asciiTheme="minorHAnsi" w:eastAsiaTheme="minorHAnsi" w:hAnsiTheme="minorHAnsi" w:cstheme="minorHAnsi"/>
          <w:sz w:val="22"/>
          <w:szCs w:val="22"/>
          <w:lang w:val="en-GB"/>
        </w:rPr>
        <w:t>.</w:t>
      </w:r>
      <w:r>
        <w:rPr>
          <w:rFonts w:asciiTheme="minorHAnsi" w:eastAsiaTheme="minorHAnsi" w:hAnsiTheme="minorHAnsi" w:cstheme="minorHAnsi"/>
          <w:sz w:val="22"/>
          <w:szCs w:val="22"/>
          <w:lang w:val="en-GB"/>
        </w:rPr>
        <w:t xml:space="preserve"> </w:t>
      </w:r>
    </w:p>
    <w:p w:rsidR="00ED22C2" w:rsidRDefault="00B46412" w:rsidP="005455D5">
      <w:pPr>
        <w:pStyle w:val="ListParagraph"/>
        <w:numPr>
          <w:ilvl w:val="0"/>
          <w:numId w:val="39"/>
        </w:numPr>
        <w:spacing w:after="120"/>
        <w:contextualSpacing w:val="0"/>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Ensure that t</w:t>
      </w:r>
      <w:r w:rsidR="00ED22C2" w:rsidRPr="00ED22C2">
        <w:rPr>
          <w:rFonts w:asciiTheme="minorHAnsi" w:eastAsiaTheme="minorHAnsi" w:hAnsiTheme="minorHAnsi" w:cstheme="minorHAnsi"/>
          <w:sz w:val="22"/>
          <w:szCs w:val="22"/>
          <w:lang w:val="en-GB"/>
        </w:rPr>
        <w:t>he Australia Awards Cambodia program continue</w:t>
      </w:r>
      <w:r>
        <w:rPr>
          <w:rFonts w:asciiTheme="minorHAnsi" w:eastAsiaTheme="minorHAnsi" w:hAnsiTheme="minorHAnsi" w:cstheme="minorHAnsi"/>
          <w:sz w:val="22"/>
          <w:szCs w:val="22"/>
          <w:lang w:val="en-GB"/>
        </w:rPr>
        <w:t>s</w:t>
      </w:r>
      <w:r w:rsidR="00ED22C2" w:rsidRPr="00ED22C2">
        <w:rPr>
          <w:rFonts w:asciiTheme="minorHAnsi" w:eastAsiaTheme="minorHAnsi" w:hAnsiTheme="minorHAnsi" w:cstheme="minorHAnsi"/>
          <w:sz w:val="22"/>
          <w:szCs w:val="22"/>
          <w:lang w:val="en-GB"/>
        </w:rPr>
        <w:t xml:space="preserve"> to implement effective strategies to boost applications from women at the pre-application stage.</w:t>
      </w:r>
    </w:p>
    <w:p w:rsidR="006E20A9" w:rsidRDefault="006E20A9" w:rsidP="002A51CA">
      <w:pPr>
        <w:sectPr w:rsidR="006E20A9" w:rsidSect="00C6626C">
          <w:pgSz w:w="11906" w:h="16838" w:code="9"/>
          <w:pgMar w:top="1527" w:right="1134" w:bottom="851" w:left="1134" w:header="1418" w:footer="567" w:gutter="0"/>
          <w:cols w:space="397"/>
          <w:docGrid w:linePitch="360"/>
        </w:sectPr>
      </w:pPr>
    </w:p>
    <w:p w:rsidR="002E3C15" w:rsidRPr="002D0C2C" w:rsidRDefault="00400B0F" w:rsidP="002D0C2C">
      <w:pPr>
        <w:pStyle w:val="Subtitle"/>
        <w:numPr>
          <w:ilvl w:val="0"/>
          <w:numId w:val="0"/>
        </w:numPr>
        <w:spacing w:before="360" w:after="120" w:line="300" w:lineRule="exact"/>
        <w:rPr>
          <w:rFonts w:asciiTheme="majorHAnsi" w:hAnsiTheme="majorHAnsi" w:cstheme="majorHAnsi"/>
        </w:rPr>
      </w:pPr>
      <w:r w:rsidRPr="008821C2">
        <w:rPr>
          <w:rFonts w:asciiTheme="majorHAnsi" w:hAnsiTheme="majorHAnsi" w:cstheme="majorHAnsi"/>
        </w:rPr>
        <w:lastRenderedPageBreak/>
        <w:t xml:space="preserve">Annex A - Progress in Addressing Management </w:t>
      </w:r>
      <w:r w:rsidR="00AC302F" w:rsidRPr="008821C2">
        <w:rPr>
          <w:rFonts w:asciiTheme="majorHAnsi" w:hAnsiTheme="majorHAnsi" w:cstheme="majorHAnsi"/>
        </w:rPr>
        <w:t>actions</w:t>
      </w:r>
    </w:p>
    <w:tbl>
      <w:tblPr>
        <w:tblStyle w:val="APPR"/>
        <w:tblW w:w="5074"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375"/>
        <w:gridCol w:w="1187"/>
        <w:gridCol w:w="6790"/>
      </w:tblGrid>
      <w:tr w:rsidR="008821C2" w:rsidRPr="00812509" w:rsidTr="00B44723">
        <w:trPr>
          <w:cnfStyle w:val="000000010000" w:firstRow="0" w:lastRow="0" w:firstColumn="0" w:lastColumn="0" w:oddVBand="0" w:evenVBand="0" w:oddHBand="0" w:evenHBand="1" w:firstRowFirstColumn="0" w:firstRowLastColumn="0" w:lastRowFirstColumn="0" w:lastRowLastColumn="0"/>
        </w:trPr>
        <w:tc>
          <w:tcPr>
            <w:tcW w:w="63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2E3C1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lastRenderedPageBreak/>
              <w:t>Management responses identified in 20</w:t>
            </w:r>
            <w:r>
              <w:rPr>
                <w:rFonts w:asciiTheme="minorHAnsi" w:eastAsia="Times New Roman" w:hAnsiTheme="minorHAnsi"/>
                <w:b/>
                <w:iCs/>
                <w:szCs w:val="17"/>
                <w:lang w:eastAsia="en-US"/>
              </w:rPr>
              <w:t>17-18</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2E3C15">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7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8821C2" w:rsidP="002E3C15">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Pr>
                <w:rFonts w:asciiTheme="minorHAnsi" w:eastAsia="Times New Roman" w:hAnsiTheme="minorHAnsi"/>
                <w:b/>
                <w:iCs/>
                <w:szCs w:val="17"/>
                <w:lang w:eastAsia="en-US"/>
              </w:rPr>
              <w:t>8-19</w:t>
            </w:r>
          </w:p>
        </w:tc>
      </w:tr>
      <w:tr w:rsidR="008821C2" w:rsidRPr="00812509" w:rsidTr="00B44723">
        <w:trPr>
          <w:cnfStyle w:val="000000010000" w:firstRow="0" w:lastRow="0" w:firstColumn="0" w:lastColumn="0" w:oddVBand="0" w:evenVBand="0" w:oddHBand="0" w:evenHBand="1" w:firstRowFirstColumn="0" w:firstRowLastColumn="0" w:lastRowFirstColumn="0" w:lastRowLastColumn="0"/>
        </w:trPr>
        <w:tc>
          <w:tcPr>
            <w:tcW w:w="63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5933" w:rsidRPr="002A74D3" w:rsidRDefault="00C15933" w:rsidP="002E3C15">
            <w:pPr>
              <w:rPr>
                <w:color w:val="auto"/>
                <w:sz w:val="22"/>
              </w:rPr>
            </w:pPr>
            <w:r w:rsidRPr="002A74D3">
              <w:rPr>
                <w:rFonts w:asciiTheme="minorHAnsi" w:hAnsiTheme="minorHAnsi"/>
                <w:color w:val="auto"/>
                <w:sz w:val="22"/>
              </w:rPr>
              <w:t>Develop a new Aid Investment Plan for implementation from 1 July 2019 to ensure our future development cooperation in Cambodia furthers the objectives of the Foreign Policy White Paper and responds to the development needs of the Cambodian people.</w:t>
            </w:r>
          </w:p>
          <w:p w:rsidR="008821C2" w:rsidRPr="002A74D3" w:rsidRDefault="008821C2" w:rsidP="002E3C15">
            <w:pPr>
              <w:keepLines/>
              <w:spacing w:before="40" w:after="40" w:line="200" w:lineRule="atLeast"/>
              <w:rPr>
                <w:rFonts w:asciiTheme="minorHAnsi" w:eastAsia="Times New Roman" w:hAnsiTheme="minorHAnsi"/>
                <w:iCs/>
                <w:color w:val="auto"/>
                <w:szCs w:val="17"/>
                <w:lang w:eastAsia="en-US"/>
              </w:rPr>
            </w:pPr>
          </w:p>
        </w:tc>
        <w:tc>
          <w:tcPr>
            <w:tcW w:w="11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C000"/>
          </w:tcPr>
          <w:p w:rsidR="008821C2" w:rsidRPr="005455D5" w:rsidRDefault="008E7DCA" w:rsidP="002E3C15">
            <w:pPr>
              <w:keepLines/>
              <w:spacing w:before="40" w:after="40" w:line="200" w:lineRule="atLeast"/>
              <w:jc w:val="center"/>
              <w:rPr>
                <w:rFonts w:asciiTheme="minorHAnsi" w:hAnsiTheme="minorHAnsi"/>
                <w:b/>
                <w:color w:val="FFFFFF" w:themeColor="background1"/>
              </w:rPr>
            </w:pPr>
            <w:r w:rsidRPr="005455D5">
              <w:rPr>
                <w:rFonts w:asciiTheme="minorHAnsi" w:hAnsiTheme="minorHAnsi"/>
                <w:b/>
                <w:color w:val="FFFFFF" w:themeColor="background1"/>
              </w:rPr>
              <w:t>Partly achieved</w:t>
            </w:r>
          </w:p>
        </w:tc>
        <w:tc>
          <w:tcPr>
            <w:tcW w:w="67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812509" w:rsidRDefault="00373C4E" w:rsidP="006B13CB">
            <w:pPr>
              <w:keepLines/>
              <w:spacing w:before="40" w:after="40" w:line="200" w:lineRule="atLeast"/>
              <w:rPr>
                <w:rFonts w:asciiTheme="minorHAnsi" w:eastAsia="Times New Roman" w:hAnsiTheme="minorHAnsi"/>
                <w:iCs/>
                <w:color w:val="92D050"/>
                <w:szCs w:val="17"/>
                <w:lang w:eastAsia="en-US"/>
              </w:rPr>
            </w:pPr>
            <w:r>
              <w:rPr>
                <w:rFonts w:asciiTheme="minorHAnsi" w:hAnsiTheme="minorHAnsi"/>
                <w:color w:val="auto"/>
                <w:sz w:val="22"/>
              </w:rPr>
              <w:t xml:space="preserve">The current Aid Investment Plan </w:t>
            </w:r>
            <w:r w:rsidR="006B13CB">
              <w:rPr>
                <w:rFonts w:asciiTheme="minorHAnsi" w:hAnsiTheme="minorHAnsi"/>
                <w:color w:val="auto"/>
                <w:sz w:val="22"/>
              </w:rPr>
              <w:t>has been extended</w:t>
            </w:r>
            <w:r>
              <w:rPr>
                <w:rFonts w:asciiTheme="minorHAnsi" w:hAnsiTheme="minorHAnsi"/>
                <w:color w:val="auto"/>
                <w:sz w:val="22"/>
              </w:rPr>
              <w:t xml:space="preserve">. Development of a new Aid Investment Plan has commenced, and will be in place by January 2020.  </w:t>
            </w:r>
          </w:p>
        </w:tc>
      </w:tr>
      <w:tr w:rsidR="008821C2" w:rsidRPr="00812509" w:rsidTr="00B44723">
        <w:trPr>
          <w:cnfStyle w:val="000000010000" w:firstRow="0" w:lastRow="0" w:firstColumn="0" w:lastColumn="0" w:oddVBand="0" w:evenVBand="0" w:oddHBand="0" w:evenHBand="1" w:firstRowFirstColumn="0" w:firstRowLastColumn="0" w:lastRowFirstColumn="0" w:lastRowLastColumn="0"/>
        </w:trPr>
        <w:tc>
          <w:tcPr>
            <w:tcW w:w="63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5933" w:rsidRPr="002A74D3" w:rsidRDefault="00C15933" w:rsidP="002E3C15">
            <w:pPr>
              <w:rPr>
                <w:color w:val="auto"/>
                <w:sz w:val="22"/>
              </w:rPr>
            </w:pPr>
            <w:r w:rsidRPr="002A74D3">
              <w:rPr>
                <w:rFonts w:asciiTheme="minorHAnsi" w:hAnsiTheme="minorHAnsi"/>
                <w:color w:val="auto"/>
                <w:sz w:val="22"/>
              </w:rPr>
              <w:t>Pursue avenues for utilising administered funding from financial year 2018-19 to mobilise additional personnel in support of our increasing focus on achieving policy influence objectives.</w:t>
            </w:r>
          </w:p>
          <w:p w:rsidR="008821C2" w:rsidRPr="002A74D3" w:rsidRDefault="008821C2" w:rsidP="002E3C15">
            <w:pPr>
              <w:keepLines/>
              <w:spacing w:before="40" w:after="40" w:line="200" w:lineRule="atLeast"/>
              <w:rPr>
                <w:rFonts w:asciiTheme="minorHAnsi" w:eastAsia="Times New Roman" w:hAnsiTheme="minorHAnsi"/>
                <w:iCs/>
                <w:color w:val="auto"/>
                <w:szCs w:val="17"/>
                <w:lang w:eastAsia="en-US"/>
              </w:rPr>
            </w:pPr>
          </w:p>
        </w:tc>
        <w:tc>
          <w:tcPr>
            <w:tcW w:w="11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C000"/>
          </w:tcPr>
          <w:p w:rsidR="008821C2" w:rsidRPr="005455D5" w:rsidRDefault="00373C4E" w:rsidP="002E3C15">
            <w:pPr>
              <w:keepLines/>
              <w:spacing w:before="40" w:after="40" w:line="200" w:lineRule="atLeast"/>
              <w:jc w:val="center"/>
              <w:rPr>
                <w:rFonts w:asciiTheme="minorHAnsi" w:hAnsiTheme="minorHAnsi"/>
                <w:b/>
                <w:color w:val="FFFFFF" w:themeColor="background1"/>
              </w:rPr>
            </w:pPr>
            <w:r w:rsidRPr="005455D5">
              <w:rPr>
                <w:rFonts w:asciiTheme="minorHAnsi" w:hAnsiTheme="minorHAnsi"/>
                <w:b/>
                <w:color w:val="FFFFFF" w:themeColor="background1"/>
              </w:rPr>
              <w:t>Partly a</w:t>
            </w:r>
            <w:r w:rsidR="008821C2" w:rsidRPr="005455D5">
              <w:rPr>
                <w:rFonts w:asciiTheme="minorHAnsi" w:hAnsiTheme="minorHAnsi"/>
                <w:b/>
                <w:color w:val="FFFFFF" w:themeColor="background1"/>
              </w:rPr>
              <w:t>chieved</w:t>
            </w:r>
            <w:r w:rsidR="008821C2" w:rsidRPr="005455D5">
              <w:rPr>
                <w:b/>
                <w:color w:val="FFFFFF" w:themeColor="background1"/>
              </w:rPr>
              <w:fldChar w:fldCharType="begin"/>
            </w:r>
            <w:r w:rsidR="008821C2" w:rsidRPr="005455D5">
              <w:rPr>
                <w:rFonts w:asciiTheme="minorHAnsi" w:hAnsiTheme="minorHAnsi"/>
                <w:b/>
                <w:color w:val="FFFFFF" w:themeColor="background1"/>
              </w:rPr>
              <w:instrText xml:space="preserve"> AUTOTEXTLIST  \s "Rating bullet"\t "Right click to choose a rating" \* MERGEFORMAT </w:instrText>
            </w:r>
            <w:r w:rsidR="008821C2" w:rsidRPr="005455D5">
              <w:rPr>
                <w:b/>
                <w:color w:val="FFFFFF" w:themeColor="background1"/>
              </w:rPr>
              <w:fldChar w:fldCharType="end"/>
            </w:r>
          </w:p>
        </w:tc>
        <w:tc>
          <w:tcPr>
            <w:tcW w:w="67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821C2" w:rsidRPr="00373C4E" w:rsidRDefault="00373C4E" w:rsidP="002E3C15">
            <w:pPr>
              <w:keepLines/>
              <w:spacing w:before="40" w:after="40" w:line="200" w:lineRule="atLeast"/>
              <w:rPr>
                <w:rFonts w:asciiTheme="minorHAnsi" w:hAnsiTheme="minorHAnsi"/>
                <w:color w:val="auto"/>
                <w:sz w:val="22"/>
              </w:rPr>
            </w:pPr>
            <w:r>
              <w:rPr>
                <w:rFonts w:asciiTheme="minorHAnsi" w:hAnsiTheme="minorHAnsi"/>
                <w:color w:val="auto"/>
                <w:sz w:val="22"/>
              </w:rPr>
              <w:t xml:space="preserve">Administered funding has been utilised in 2018-19 for </w:t>
            </w:r>
            <w:r w:rsidR="006B226B">
              <w:rPr>
                <w:rFonts w:asciiTheme="minorHAnsi" w:hAnsiTheme="minorHAnsi"/>
                <w:color w:val="auto"/>
                <w:sz w:val="22"/>
              </w:rPr>
              <w:t xml:space="preserve">an </w:t>
            </w:r>
            <w:r>
              <w:rPr>
                <w:rFonts w:asciiTheme="minorHAnsi" w:hAnsiTheme="minorHAnsi"/>
                <w:color w:val="auto"/>
                <w:sz w:val="22"/>
              </w:rPr>
              <w:t xml:space="preserve">additional personnel to provide support for </w:t>
            </w:r>
            <w:r w:rsidR="00E248E6">
              <w:rPr>
                <w:rFonts w:asciiTheme="minorHAnsi" w:hAnsiTheme="minorHAnsi"/>
                <w:color w:val="auto"/>
                <w:sz w:val="22"/>
              </w:rPr>
              <w:t>performance, coordination and risk management</w:t>
            </w:r>
            <w:r>
              <w:rPr>
                <w:rFonts w:asciiTheme="minorHAnsi" w:hAnsiTheme="minorHAnsi"/>
                <w:color w:val="auto"/>
                <w:sz w:val="22"/>
              </w:rPr>
              <w:t xml:space="preserve"> activities. </w:t>
            </w:r>
            <w:r w:rsidR="00A65918">
              <w:rPr>
                <w:rFonts w:asciiTheme="minorHAnsi" w:hAnsiTheme="minorHAnsi"/>
                <w:color w:val="auto"/>
                <w:sz w:val="22"/>
              </w:rPr>
              <w:t xml:space="preserve">Further use of administered funding </w:t>
            </w:r>
            <w:r w:rsidR="005961E5">
              <w:rPr>
                <w:rFonts w:asciiTheme="minorHAnsi" w:hAnsiTheme="minorHAnsi"/>
                <w:color w:val="auto"/>
                <w:sz w:val="22"/>
              </w:rPr>
              <w:t xml:space="preserve">in support of more effective aid management </w:t>
            </w:r>
            <w:r w:rsidR="00A65918">
              <w:rPr>
                <w:rFonts w:asciiTheme="minorHAnsi" w:hAnsiTheme="minorHAnsi"/>
                <w:color w:val="auto"/>
                <w:sz w:val="22"/>
              </w:rPr>
              <w:t>will be explored in 2019-20.</w:t>
            </w:r>
          </w:p>
        </w:tc>
      </w:tr>
      <w:tr w:rsidR="00270B58" w:rsidRPr="00812509" w:rsidTr="00B44723">
        <w:trPr>
          <w:cnfStyle w:val="000000010000" w:firstRow="0" w:lastRow="0" w:firstColumn="0" w:lastColumn="0" w:oddVBand="0" w:evenVBand="0" w:oddHBand="0" w:evenHBand="1" w:firstRowFirstColumn="0" w:firstRowLastColumn="0" w:lastRowFirstColumn="0" w:lastRowLastColumn="0"/>
        </w:trPr>
        <w:tc>
          <w:tcPr>
            <w:tcW w:w="6333" w:type="dxa"/>
            <w:tcBorders>
              <w:top w:val="single" w:sz="4" w:space="0" w:color="auto"/>
              <w:left w:val="single" w:sz="4" w:space="0" w:color="auto"/>
              <w:bottom w:val="single" w:sz="4" w:space="0" w:color="auto"/>
              <w:right w:val="single" w:sz="4" w:space="0" w:color="auto"/>
            </w:tcBorders>
          </w:tcPr>
          <w:p w:rsidR="008821C2" w:rsidRPr="002A74D3" w:rsidRDefault="00C15933" w:rsidP="002E3C15">
            <w:pPr>
              <w:rPr>
                <w:rFonts w:asciiTheme="minorHAnsi" w:hAnsiTheme="minorHAnsi"/>
                <w:color w:val="auto"/>
                <w:sz w:val="22"/>
              </w:rPr>
            </w:pPr>
            <w:r w:rsidRPr="002A74D3">
              <w:rPr>
                <w:rFonts w:asciiTheme="minorHAnsi" w:hAnsiTheme="minorHAnsi"/>
                <w:color w:val="auto"/>
                <w:sz w:val="22"/>
              </w:rPr>
              <w:t>In response to the Aid Health Check outcomes, adjust CAVAC II and 3i to also conduct policy dialogue with the Cambodian Government on key agriculture and infrastructure policy issues, including energy, rice production, irrigation and public-private partnerships by December 2018.</w:t>
            </w:r>
            <w:r w:rsidRPr="002A74D3" w:rsidDel="00CF2E14">
              <w:rPr>
                <w:rFonts w:asciiTheme="minorHAnsi" w:hAnsiTheme="minorHAnsi"/>
                <w:color w:val="auto"/>
                <w:sz w:val="22"/>
              </w:rPr>
              <w:t xml:space="preserve"> </w:t>
            </w:r>
          </w:p>
        </w:tc>
        <w:tc>
          <w:tcPr>
            <w:tcW w:w="1159" w:type="dxa"/>
            <w:tcBorders>
              <w:top w:val="single" w:sz="4" w:space="0" w:color="auto"/>
              <w:left w:val="single" w:sz="4" w:space="0" w:color="auto"/>
              <w:bottom w:val="single" w:sz="4" w:space="0" w:color="auto"/>
              <w:right w:val="single" w:sz="4" w:space="0" w:color="auto"/>
            </w:tcBorders>
            <w:shd w:val="clear" w:color="auto" w:fill="92D050"/>
          </w:tcPr>
          <w:p w:rsidR="008821C2" w:rsidRPr="005455D5" w:rsidRDefault="008821C2" w:rsidP="002E3C15">
            <w:pPr>
              <w:keepLines/>
              <w:spacing w:before="40" w:after="40" w:line="200" w:lineRule="atLeast"/>
              <w:jc w:val="center"/>
              <w:rPr>
                <w:rFonts w:asciiTheme="minorHAnsi" w:hAnsiTheme="minorHAnsi"/>
                <w:b/>
                <w:color w:val="FFFFFF" w:themeColor="background1"/>
              </w:rPr>
            </w:pPr>
            <w:r w:rsidRPr="005455D5">
              <w:rPr>
                <w:rFonts w:asciiTheme="minorHAnsi" w:hAnsiTheme="minorHAnsi"/>
                <w:b/>
                <w:color w:val="FFFFFF" w:themeColor="background1"/>
              </w:rPr>
              <w:t>Achieved</w:t>
            </w:r>
          </w:p>
        </w:tc>
        <w:tc>
          <w:tcPr>
            <w:tcW w:w="6748" w:type="dxa"/>
            <w:tcBorders>
              <w:top w:val="single" w:sz="4" w:space="0" w:color="auto"/>
              <w:left w:val="single" w:sz="4" w:space="0" w:color="auto"/>
              <w:bottom w:val="single" w:sz="4" w:space="0" w:color="auto"/>
              <w:right w:val="single" w:sz="4" w:space="0" w:color="auto"/>
            </w:tcBorders>
          </w:tcPr>
          <w:p w:rsidR="008821C2" w:rsidRPr="001302B5" w:rsidRDefault="001302B5" w:rsidP="002E3C15">
            <w:pPr>
              <w:keepLines/>
              <w:spacing w:before="40" w:after="40" w:line="200" w:lineRule="atLeast"/>
              <w:rPr>
                <w:rFonts w:asciiTheme="minorHAnsi" w:hAnsiTheme="minorHAnsi"/>
                <w:color w:val="auto"/>
                <w:sz w:val="22"/>
              </w:rPr>
            </w:pPr>
            <w:r w:rsidRPr="001302B5">
              <w:rPr>
                <w:rFonts w:asciiTheme="minorHAnsi" w:hAnsiTheme="minorHAnsi"/>
                <w:color w:val="auto"/>
                <w:sz w:val="22"/>
              </w:rPr>
              <w:t xml:space="preserve">CAVAC II and 3i commenced policy dialogue with the Cambodian Government on key agriculture and infrastructure policy issues. </w:t>
            </w:r>
          </w:p>
        </w:tc>
      </w:tr>
      <w:tr w:rsidR="00270B58" w:rsidRPr="00812509" w:rsidTr="00B44723">
        <w:trPr>
          <w:cnfStyle w:val="000000010000" w:firstRow="0" w:lastRow="0" w:firstColumn="0" w:lastColumn="0" w:oddVBand="0" w:evenVBand="0" w:oddHBand="0" w:evenHBand="1" w:firstRowFirstColumn="0" w:firstRowLastColumn="0" w:lastRowFirstColumn="0" w:lastRowLastColumn="0"/>
        </w:trPr>
        <w:tc>
          <w:tcPr>
            <w:tcW w:w="6333" w:type="dxa"/>
            <w:tcBorders>
              <w:top w:val="single" w:sz="4" w:space="0" w:color="auto"/>
              <w:left w:val="single" w:sz="4" w:space="0" w:color="auto"/>
              <w:bottom w:val="single" w:sz="4" w:space="0" w:color="auto"/>
              <w:right w:val="single" w:sz="4" w:space="0" w:color="auto"/>
            </w:tcBorders>
          </w:tcPr>
          <w:p w:rsidR="008821C2" w:rsidRPr="002A74D3" w:rsidRDefault="00C15933" w:rsidP="002E3C15">
            <w:pPr>
              <w:rPr>
                <w:rFonts w:asciiTheme="minorHAnsi" w:hAnsiTheme="minorHAnsi"/>
                <w:color w:val="auto"/>
                <w:sz w:val="22"/>
              </w:rPr>
            </w:pPr>
            <w:r w:rsidRPr="002A74D3">
              <w:rPr>
                <w:rFonts w:asciiTheme="minorHAnsi" w:hAnsiTheme="minorHAnsi"/>
                <w:color w:val="auto"/>
                <w:sz w:val="22"/>
              </w:rPr>
              <w:t>As a result of the 2018-19 budget</w:t>
            </w:r>
            <w:r w:rsidR="00E248E6">
              <w:rPr>
                <w:rFonts w:asciiTheme="minorHAnsi" w:hAnsiTheme="minorHAnsi"/>
                <w:color w:val="auto"/>
                <w:sz w:val="22"/>
              </w:rPr>
              <w:t xml:space="preserve"> reduction</w:t>
            </w:r>
            <w:r w:rsidRPr="002A74D3">
              <w:rPr>
                <w:rFonts w:asciiTheme="minorHAnsi" w:hAnsiTheme="minorHAnsi"/>
                <w:color w:val="auto"/>
                <w:sz w:val="22"/>
              </w:rPr>
              <w:t xml:space="preserve">, manage any necessary CAVAC II budget reductions to minimise impacts on the program outcomes; work closely with the CAVAC II team to manage the expectation of government partners and inform them about any change to the program’s scope by November 2018. </w:t>
            </w:r>
          </w:p>
        </w:tc>
        <w:tc>
          <w:tcPr>
            <w:tcW w:w="1159" w:type="dxa"/>
            <w:tcBorders>
              <w:top w:val="single" w:sz="4" w:space="0" w:color="auto"/>
              <w:left w:val="single" w:sz="4" w:space="0" w:color="auto"/>
              <w:bottom w:val="single" w:sz="4" w:space="0" w:color="auto"/>
              <w:right w:val="single" w:sz="4" w:space="0" w:color="auto"/>
            </w:tcBorders>
            <w:shd w:val="clear" w:color="auto" w:fill="92D050"/>
          </w:tcPr>
          <w:p w:rsidR="008821C2" w:rsidRPr="005455D5" w:rsidRDefault="008E7DCA" w:rsidP="002E3C15">
            <w:pPr>
              <w:keepLines/>
              <w:spacing w:before="40" w:after="40" w:line="200" w:lineRule="atLeast"/>
              <w:jc w:val="center"/>
              <w:rPr>
                <w:rFonts w:asciiTheme="minorHAnsi" w:hAnsiTheme="minorHAnsi"/>
                <w:b/>
                <w:color w:val="FFFFFF" w:themeColor="background1"/>
              </w:rPr>
            </w:pPr>
            <w:r w:rsidRPr="005455D5">
              <w:rPr>
                <w:rFonts w:asciiTheme="minorHAnsi" w:hAnsiTheme="minorHAnsi"/>
                <w:b/>
                <w:color w:val="FFFFFF" w:themeColor="background1"/>
              </w:rPr>
              <w:t>Achieved</w:t>
            </w:r>
          </w:p>
        </w:tc>
        <w:tc>
          <w:tcPr>
            <w:tcW w:w="6748" w:type="dxa"/>
            <w:tcBorders>
              <w:top w:val="single" w:sz="4" w:space="0" w:color="auto"/>
              <w:left w:val="single" w:sz="4" w:space="0" w:color="auto"/>
              <w:bottom w:val="single" w:sz="4" w:space="0" w:color="auto"/>
              <w:right w:val="single" w:sz="4" w:space="0" w:color="auto"/>
            </w:tcBorders>
          </w:tcPr>
          <w:p w:rsidR="008821C2" w:rsidRPr="001302B5" w:rsidRDefault="006D396A" w:rsidP="002E3C15">
            <w:pPr>
              <w:keepLines/>
              <w:spacing w:before="40" w:after="40" w:line="200" w:lineRule="atLeast"/>
              <w:rPr>
                <w:rFonts w:asciiTheme="minorHAnsi" w:hAnsiTheme="minorHAnsi"/>
                <w:color w:val="auto"/>
                <w:sz w:val="22"/>
              </w:rPr>
            </w:pPr>
            <w:r>
              <w:rPr>
                <w:rFonts w:asciiTheme="minorHAnsi" w:hAnsiTheme="minorHAnsi"/>
                <w:color w:val="auto"/>
                <w:sz w:val="22"/>
              </w:rPr>
              <w:t xml:space="preserve">Arrangements and plans were put in place to successfully manage the implications of a reduction in budget for CAVAC II. Impact on </w:t>
            </w:r>
            <w:r w:rsidR="00E248E6">
              <w:rPr>
                <w:rFonts w:asciiTheme="minorHAnsi" w:hAnsiTheme="minorHAnsi"/>
                <w:color w:val="auto"/>
                <w:sz w:val="22"/>
              </w:rPr>
              <w:t>existing project activities was</w:t>
            </w:r>
            <w:r>
              <w:rPr>
                <w:rFonts w:asciiTheme="minorHAnsi" w:hAnsiTheme="minorHAnsi"/>
                <w:color w:val="auto"/>
                <w:sz w:val="22"/>
              </w:rPr>
              <w:t xml:space="preserve"> </w:t>
            </w:r>
            <w:r w:rsidR="00E248E6">
              <w:rPr>
                <w:rFonts w:asciiTheme="minorHAnsi" w:hAnsiTheme="minorHAnsi"/>
                <w:color w:val="auto"/>
                <w:sz w:val="22"/>
              </w:rPr>
              <w:t>minimised</w:t>
            </w:r>
            <w:r>
              <w:rPr>
                <w:rFonts w:asciiTheme="minorHAnsi" w:hAnsiTheme="minorHAnsi"/>
                <w:color w:val="auto"/>
                <w:sz w:val="22"/>
              </w:rPr>
              <w:t xml:space="preserve">. Government partners were informed of the changes to program scope. </w:t>
            </w:r>
          </w:p>
        </w:tc>
      </w:tr>
      <w:tr w:rsidR="00C15933" w:rsidRPr="00812509" w:rsidTr="00B44723">
        <w:trPr>
          <w:cnfStyle w:val="000000010000" w:firstRow="0" w:lastRow="0" w:firstColumn="0" w:lastColumn="0" w:oddVBand="0" w:evenVBand="0" w:oddHBand="0" w:evenHBand="1" w:firstRowFirstColumn="0" w:firstRowLastColumn="0" w:lastRowFirstColumn="0" w:lastRowLastColumn="0"/>
        </w:trPr>
        <w:tc>
          <w:tcPr>
            <w:tcW w:w="63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5933" w:rsidRPr="002A74D3" w:rsidRDefault="00C15933" w:rsidP="002E3C15">
            <w:pPr>
              <w:rPr>
                <w:rFonts w:asciiTheme="minorHAnsi" w:hAnsiTheme="minorHAnsi"/>
                <w:color w:val="auto"/>
                <w:sz w:val="22"/>
              </w:rPr>
            </w:pPr>
            <w:r w:rsidRPr="002A74D3">
              <w:rPr>
                <w:rFonts w:asciiTheme="minorHAnsi" w:hAnsiTheme="minorHAnsi"/>
                <w:color w:val="auto"/>
                <w:sz w:val="22"/>
              </w:rPr>
              <w:t>Maximise the benefit of our broader bilateral ODA engagement by exploring opportunities for promoting ACIAR’s promising research findings under CAVAC II’s ‘diversification’ pillar before the commencement of the mid-term review in February 2019.</w:t>
            </w:r>
          </w:p>
        </w:tc>
        <w:tc>
          <w:tcPr>
            <w:tcW w:w="11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C15933" w:rsidRPr="005455D5" w:rsidRDefault="00113F8D" w:rsidP="002E3C15">
            <w:pPr>
              <w:keepLines/>
              <w:spacing w:before="40" w:after="40" w:line="200" w:lineRule="atLeast"/>
              <w:jc w:val="center"/>
              <w:rPr>
                <w:b/>
                <w:color w:val="FFFFFF" w:themeColor="background1"/>
              </w:rPr>
            </w:pPr>
            <w:r w:rsidRPr="005455D5">
              <w:rPr>
                <w:b/>
                <w:color w:val="FFFFFF" w:themeColor="background1"/>
              </w:rPr>
              <w:t xml:space="preserve">Achieved </w:t>
            </w:r>
          </w:p>
        </w:tc>
        <w:tc>
          <w:tcPr>
            <w:tcW w:w="67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5933" w:rsidRPr="001302B5" w:rsidRDefault="00980C46" w:rsidP="002E3C15">
            <w:pPr>
              <w:keepLines/>
              <w:spacing w:before="40" w:after="40" w:line="200" w:lineRule="atLeast"/>
              <w:rPr>
                <w:rFonts w:asciiTheme="minorHAnsi" w:hAnsiTheme="minorHAnsi"/>
                <w:color w:val="auto"/>
                <w:sz w:val="22"/>
              </w:rPr>
            </w:pPr>
            <w:r w:rsidRPr="00980C46">
              <w:rPr>
                <w:rFonts w:asciiTheme="minorHAnsi" w:hAnsiTheme="minorHAnsi"/>
                <w:color w:val="auto"/>
                <w:sz w:val="22"/>
              </w:rPr>
              <w:t xml:space="preserve">CAVAC actively engaged with </w:t>
            </w:r>
            <w:r w:rsidR="00EE2B86">
              <w:rPr>
                <w:rFonts w:asciiTheme="minorHAnsi" w:hAnsiTheme="minorHAnsi"/>
                <w:color w:val="auto"/>
                <w:sz w:val="22"/>
              </w:rPr>
              <w:t xml:space="preserve">the </w:t>
            </w:r>
            <w:r w:rsidRPr="00980C46">
              <w:rPr>
                <w:rFonts w:asciiTheme="minorHAnsi" w:hAnsiTheme="minorHAnsi"/>
                <w:color w:val="auto"/>
                <w:sz w:val="22"/>
              </w:rPr>
              <w:t>ACIAR regional office to discuss opportunities to disseminate and share research knowledge with various stakeholders</w:t>
            </w:r>
            <w:r w:rsidR="005961E5">
              <w:rPr>
                <w:rFonts w:asciiTheme="minorHAnsi" w:hAnsiTheme="minorHAnsi"/>
                <w:color w:val="auto"/>
                <w:sz w:val="22"/>
              </w:rPr>
              <w:t>.</w:t>
            </w:r>
            <w:r w:rsidRPr="00980C46">
              <w:rPr>
                <w:rFonts w:asciiTheme="minorHAnsi" w:hAnsiTheme="minorHAnsi"/>
                <w:color w:val="auto"/>
                <w:sz w:val="22"/>
              </w:rPr>
              <w:t xml:space="preserve"> CAVAC has developed a knowledge management and influencing strategy.</w:t>
            </w:r>
          </w:p>
        </w:tc>
      </w:tr>
      <w:tr w:rsidR="00C15933" w:rsidRPr="00812509" w:rsidTr="00B44723">
        <w:trPr>
          <w:cnfStyle w:val="000000010000" w:firstRow="0" w:lastRow="0" w:firstColumn="0" w:lastColumn="0" w:oddVBand="0" w:evenVBand="0" w:oddHBand="0" w:evenHBand="1" w:firstRowFirstColumn="0" w:firstRowLastColumn="0" w:lastRowFirstColumn="0" w:lastRowLastColumn="0"/>
        </w:trPr>
        <w:tc>
          <w:tcPr>
            <w:tcW w:w="63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5933" w:rsidRPr="002A74D3" w:rsidRDefault="00C15933" w:rsidP="002E3C15">
            <w:pPr>
              <w:rPr>
                <w:rFonts w:asciiTheme="minorHAnsi" w:hAnsiTheme="minorHAnsi"/>
                <w:color w:val="auto"/>
                <w:sz w:val="22"/>
              </w:rPr>
            </w:pPr>
            <w:r w:rsidRPr="002A74D3">
              <w:rPr>
                <w:rFonts w:asciiTheme="minorHAnsi" w:hAnsiTheme="minorHAnsi"/>
                <w:color w:val="auto"/>
                <w:sz w:val="22"/>
              </w:rPr>
              <w:t>Continue our support for sustainable investments by ensuring appropriate steps are being taken to address barriers to effective road maintenance, including capacity shortfalls, incomplete road maintenance planning and low or inconsistent road maintenance funding by June 2019.</w:t>
            </w:r>
          </w:p>
        </w:tc>
        <w:tc>
          <w:tcPr>
            <w:tcW w:w="11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C15933" w:rsidRPr="005455D5" w:rsidRDefault="006D396A" w:rsidP="002E3C15">
            <w:pPr>
              <w:keepLines/>
              <w:spacing w:before="40" w:after="40" w:line="200" w:lineRule="atLeast"/>
              <w:jc w:val="center"/>
              <w:rPr>
                <w:b/>
                <w:color w:val="FFFFFF" w:themeColor="background1"/>
              </w:rPr>
            </w:pPr>
            <w:r w:rsidRPr="005455D5">
              <w:rPr>
                <w:b/>
                <w:color w:val="FFFFFF" w:themeColor="background1"/>
              </w:rPr>
              <w:t>Achieved</w:t>
            </w:r>
          </w:p>
        </w:tc>
        <w:tc>
          <w:tcPr>
            <w:tcW w:w="67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5933" w:rsidRPr="001302B5" w:rsidRDefault="00E34158" w:rsidP="002E3C15">
            <w:pPr>
              <w:keepLines/>
              <w:spacing w:before="40" w:after="40" w:line="200" w:lineRule="atLeast"/>
              <w:rPr>
                <w:rFonts w:asciiTheme="minorHAnsi" w:hAnsiTheme="minorHAnsi"/>
                <w:color w:val="auto"/>
                <w:sz w:val="22"/>
              </w:rPr>
            </w:pPr>
            <w:r>
              <w:rPr>
                <w:rFonts w:asciiTheme="minorHAnsi" w:hAnsiTheme="minorHAnsi"/>
                <w:color w:val="auto"/>
                <w:sz w:val="22"/>
              </w:rPr>
              <w:t xml:space="preserve">Progress of these components improved, and was assessed as satisfactory through the AQC process. </w:t>
            </w:r>
          </w:p>
        </w:tc>
      </w:tr>
      <w:tr w:rsidR="00C15933" w:rsidRPr="00812509" w:rsidTr="00B44723">
        <w:trPr>
          <w:cnfStyle w:val="000000010000" w:firstRow="0" w:lastRow="0" w:firstColumn="0" w:lastColumn="0" w:oddVBand="0" w:evenVBand="0" w:oddHBand="0" w:evenHBand="1" w:firstRowFirstColumn="0" w:firstRowLastColumn="0" w:lastRowFirstColumn="0" w:lastRowLastColumn="0"/>
        </w:trPr>
        <w:tc>
          <w:tcPr>
            <w:tcW w:w="63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5933" w:rsidRPr="002A74D3" w:rsidRDefault="00C15933" w:rsidP="002E3C15">
            <w:pPr>
              <w:rPr>
                <w:rFonts w:asciiTheme="minorHAnsi" w:hAnsiTheme="minorHAnsi"/>
                <w:color w:val="auto"/>
                <w:sz w:val="22"/>
              </w:rPr>
            </w:pPr>
            <w:r w:rsidRPr="002A74D3">
              <w:rPr>
                <w:rFonts w:asciiTheme="minorHAnsi" w:hAnsiTheme="minorHAnsi"/>
                <w:color w:val="auto"/>
                <w:sz w:val="22"/>
              </w:rPr>
              <w:lastRenderedPageBreak/>
              <w:t>Introduce new components to Australia Awards Cambodia, including short-term awards and an Australia Awards Alumni Engagement Coordinator by June 2019, as a result of last year’s design process to advance our foreign, trade and development objectives.</w:t>
            </w:r>
          </w:p>
        </w:tc>
        <w:tc>
          <w:tcPr>
            <w:tcW w:w="115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C15933" w:rsidRPr="005455D5" w:rsidRDefault="00903224" w:rsidP="002E3C15">
            <w:pPr>
              <w:keepLines/>
              <w:spacing w:before="40" w:after="40" w:line="200" w:lineRule="atLeast"/>
              <w:jc w:val="center"/>
              <w:rPr>
                <w:b/>
                <w:color w:val="FFFFFF" w:themeColor="background1"/>
              </w:rPr>
            </w:pPr>
            <w:r w:rsidRPr="005455D5">
              <w:rPr>
                <w:b/>
                <w:color w:val="FFFFFF" w:themeColor="background1"/>
              </w:rPr>
              <w:t>Achieved</w:t>
            </w:r>
          </w:p>
        </w:tc>
        <w:tc>
          <w:tcPr>
            <w:tcW w:w="67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5933" w:rsidRPr="00812509" w:rsidRDefault="00903224" w:rsidP="002E3C15">
            <w:pPr>
              <w:keepLines/>
              <w:spacing w:before="40" w:after="40" w:line="200" w:lineRule="atLeast"/>
              <w:rPr>
                <w:rFonts w:eastAsia="Times New Roman"/>
                <w:iCs/>
                <w:color w:val="409F68" w:themeColor="accent6"/>
                <w:szCs w:val="17"/>
              </w:rPr>
            </w:pPr>
            <w:r w:rsidRPr="00903224">
              <w:rPr>
                <w:rFonts w:asciiTheme="minorHAnsi" w:hAnsiTheme="minorHAnsi"/>
                <w:color w:val="auto"/>
                <w:sz w:val="22"/>
              </w:rPr>
              <w:t>An Australia Awards Alumni Engagement Coordinator was recruited and is now working in the local Australia Awards office.</w:t>
            </w:r>
            <w:r w:rsidR="00512AC3">
              <w:rPr>
                <w:rFonts w:asciiTheme="minorHAnsi" w:hAnsiTheme="minorHAnsi"/>
                <w:color w:val="auto"/>
                <w:sz w:val="22"/>
              </w:rPr>
              <w:t xml:space="preserve"> The inaugural short-term award course was conducted effectively in the first half of 2019.</w:t>
            </w:r>
          </w:p>
        </w:tc>
      </w:tr>
      <w:tr w:rsidR="00270B58" w:rsidRPr="00812509" w:rsidTr="00B44723">
        <w:trPr>
          <w:cnfStyle w:val="000000010000" w:firstRow="0" w:lastRow="0" w:firstColumn="0" w:lastColumn="0" w:oddVBand="0" w:evenVBand="0" w:oddHBand="0" w:evenHBand="1" w:firstRowFirstColumn="0" w:firstRowLastColumn="0" w:lastRowFirstColumn="0" w:lastRowLastColumn="0"/>
        </w:trPr>
        <w:tc>
          <w:tcPr>
            <w:tcW w:w="6333" w:type="dxa"/>
            <w:tcBorders>
              <w:top w:val="single" w:sz="4" w:space="0" w:color="auto"/>
              <w:left w:val="single" w:sz="4" w:space="0" w:color="auto"/>
              <w:bottom w:val="single" w:sz="4" w:space="0" w:color="auto"/>
              <w:right w:val="single" w:sz="4" w:space="0" w:color="auto"/>
            </w:tcBorders>
          </w:tcPr>
          <w:p w:rsidR="00C15933" w:rsidRPr="002A74D3" w:rsidRDefault="00C15933" w:rsidP="002E3C15">
            <w:pPr>
              <w:rPr>
                <w:rFonts w:asciiTheme="minorHAnsi" w:hAnsiTheme="minorHAnsi"/>
                <w:color w:val="auto"/>
                <w:sz w:val="22"/>
              </w:rPr>
            </w:pPr>
            <w:r w:rsidRPr="002A74D3">
              <w:rPr>
                <w:rFonts w:asciiTheme="minorHAnsi" w:hAnsiTheme="minorHAnsi"/>
                <w:color w:val="auto"/>
                <w:sz w:val="22"/>
              </w:rPr>
              <w:t>Complete the tendering process for the new design of ACCESS, followed by project set-up and implementation in 2018-19.</w:t>
            </w:r>
          </w:p>
        </w:tc>
        <w:tc>
          <w:tcPr>
            <w:tcW w:w="1159" w:type="dxa"/>
            <w:tcBorders>
              <w:top w:val="single" w:sz="4" w:space="0" w:color="auto"/>
              <w:left w:val="single" w:sz="4" w:space="0" w:color="auto"/>
              <w:bottom w:val="single" w:sz="4" w:space="0" w:color="auto"/>
              <w:right w:val="single" w:sz="4" w:space="0" w:color="auto"/>
            </w:tcBorders>
            <w:shd w:val="clear" w:color="auto" w:fill="92D050"/>
          </w:tcPr>
          <w:p w:rsidR="00C15933" w:rsidRPr="005455D5" w:rsidRDefault="00113F8D" w:rsidP="002E3C15">
            <w:pPr>
              <w:keepLines/>
              <w:spacing w:before="40" w:after="40" w:line="200" w:lineRule="atLeast"/>
              <w:jc w:val="center"/>
              <w:rPr>
                <w:b/>
                <w:color w:val="FFFFFF" w:themeColor="background1"/>
              </w:rPr>
            </w:pPr>
            <w:r w:rsidRPr="005455D5">
              <w:rPr>
                <w:b/>
                <w:color w:val="FFFFFF" w:themeColor="background1"/>
              </w:rPr>
              <w:t>Achieved</w:t>
            </w:r>
          </w:p>
        </w:tc>
        <w:tc>
          <w:tcPr>
            <w:tcW w:w="6748" w:type="dxa"/>
            <w:tcBorders>
              <w:top w:val="single" w:sz="4" w:space="0" w:color="auto"/>
              <w:left w:val="single" w:sz="4" w:space="0" w:color="auto"/>
              <w:bottom w:val="single" w:sz="4" w:space="0" w:color="auto"/>
              <w:right w:val="single" w:sz="4" w:space="0" w:color="auto"/>
            </w:tcBorders>
          </w:tcPr>
          <w:p w:rsidR="00C15933" w:rsidRPr="00812509" w:rsidRDefault="00113F8D" w:rsidP="002E3C15">
            <w:pPr>
              <w:keepLines/>
              <w:spacing w:before="40" w:after="40" w:line="200" w:lineRule="atLeast"/>
              <w:rPr>
                <w:rFonts w:eastAsia="Times New Roman"/>
                <w:iCs/>
                <w:color w:val="409F68" w:themeColor="accent6"/>
                <w:szCs w:val="17"/>
              </w:rPr>
            </w:pPr>
            <w:r w:rsidRPr="00113F8D">
              <w:rPr>
                <w:rFonts w:asciiTheme="minorHAnsi" w:hAnsiTheme="minorHAnsi"/>
                <w:color w:val="auto"/>
                <w:sz w:val="22"/>
              </w:rPr>
              <w:t xml:space="preserve">The tendering process was completed, ACCESS </w:t>
            </w:r>
            <w:r>
              <w:rPr>
                <w:rFonts w:asciiTheme="minorHAnsi" w:hAnsiTheme="minorHAnsi"/>
                <w:color w:val="auto"/>
                <w:sz w:val="22"/>
              </w:rPr>
              <w:t xml:space="preserve">was launched and has </w:t>
            </w:r>
            <w:r w:rsidRPr="00113F8D">
              <w:rPr>
                <w:rFonts w:asciiTheme="minorHAnsi" w:hAnsiTheme="minorHAnsi"/>
                <w:color w:val="auto"/>
                <w:sz w:val="22"/>
              </w:rPr>
              <w:t>commenced implementation.</w:t>
            </w:r>
            <w:r>
              <w:rPr>
                <w:rFonts w:eastAsia="Times New Roman"/>
                <w:iCs/>
                <w:color w:val="409F68" w:themeColor="accent6"/>
                <w:szCs w:val="17"/>
              </w:rPr>
              <w:t xml:space="preserve"> </w:t>
            </w:r>
          </w:p>
        </w:tc>
      </w:tr>
      <w:tr w:rsidR="00270B58" w:rsidRPr="00812509" w:rsidTr="00B44723">
        <w:trPr>
          <w:cnfStyle w:val="000000010000" w:firstRow="0" w:lastRow="0" w:firstColumn="0" w:lastColumn="0" w:oddVBand="0" w:evenVBand="0" w:oddHBand="0" w:evenHBand="1" w:firstRowFirstColumn="0" w:firstRowLastColumn="0" w:lastRowFirstColumn="0" w:lastRowLastColumn="0"/>
        </w:trPr>
        <w:tc>
          <w:tcPr>
            <w:tcW w:w="6333" w:type="dxa"/>
            <w:tcBorders>
              <w:top w:val="single" w:sz="4" w:space="0" w:color="auto"/>
              <w:left w:val="single" w:sz="4" w:space="0" w:color="auto"/>
              <w:bottom w:val="single" w:sz="4" w:space="0" w:color="auto"/>
              <w:right w:val="single" w:sz="4" w:space="0" w:color="auto"/>
            </w:tcBorders>
          </w:tcPr>
          <w:p w:rsidR="00C15933" w:rsidRPr="002A74D3" w:rsidRDefault="00C15933" w:rsidP="002E3C15">
            <w:pPr>
              <w:rPr>
                <w:rFonts w:asciiTheme="minorHAnsi" w:hAnsiTheme="minorHAnsi"/>
                <w:color w:val="auto"/>
                <w:sz w:val="22"/>
              </w:rPr>
            </w:pPr>
            <w:r w:rsidRPr="002A74D3">
              <w:rPr>
                <w:rFonts w:asciiTheme="minorHAnsi" w:hAnsiTheme="minorHAnsi"/>
                <w:color w:val="auto"/>
                <w:sz w:val="22"/>
              </w:rPr>
              <w:t>To effectively manage the implementation of ACCESS and to improve the mainstreaming of disability sensitivity within existing programs, work with DFAT Disability Section to conduct disability inclusive development training and identify priority actions by March 2019.</w:t>
            </w:r>
          </w:p>
        </w:tc>
        <w:tc>
          <w:tcPr>
            <w:tcW w:w="1159" w:type="dxa"/>
            <w:tcBorders>
              <w:top w:val="single" w:sz="4" w:space="0" w:color="auto"/>
              <w:left w:val="single" w:sz="4" w:space="0" w:color="auto"/>
              <w:bottom w:val="single" w:sz="4" w:space="0" w:color="auto"/>
              <w:right w:val="single" w:sz="4" w:space="0" w:color="auto"/>
            </w:tcBorders>
            <w:shd w:val="clear" w:color="auto" w:fill="92D050"/>
          </w:tcPr>
          <w:p w:rsidR="00C15933" w:rsidRPr="005455D5" w:rsidRDefault="00113F8D" w:rsidP="002E3C15">
            <w:pPr>
              <w:keepLines/>
              <w:spacing w:before="40" w:after="40" w:line="200" w:lineRule="atLeast"/>
              <w:jc w:val="center"/>
              <w:rPr>
                <w:b/>
                <w:color w:val="FFFFFF" w:themeColor="background1"/>
              </w:rPr>
            </w:pPr>
            <w:r w:rsidRPr="005455D5">
              <w:rPr>
                <w:b/>
                <w:color w:val="FFFFFF" w:themeColor="background1"/>
              </w:rPr>
              <w:t>Achieved</w:t>
            </w:r>
          </w:p>
        </w:tc>
        <w:tc>
          <w:tcPr>
            <w:tcW w:w="6748" w:type="dxa"/>
            <w:tcBorders>
              <w:top w:val="single" w:sz="4" w:space="0" w:color="auto"/>
              <w:left w:val="single" w:sz="4" w:space="0" w:color="auto"/>
              <w:bottom w:val="single" w:sz="4" w:space="0" w:color="auto"/>
              <w:right w:val="single" w:sz="4" w:space="0" w:color="auto"/>
            </w:tcBorders>
          </w:tcPr>
          <w:p w:rsidR="00C15933" w:rsidRPr="00812509" w:rsidRDefault="00113F8D" w:rsidP="002E3C15">
            <w:pPr>
              <w:keepLines/>
              <w:spacing w:before="40" w:after="40" w:line="200" w:lineRule="atLeast"/>
              <w:rPr>
                <w:rFonts w:eastAsia="Times New Roman"/>
                <w:iCs/>
                <w:color w:val="409F68" w:themeColor="accent6"/>
                <w:szCs w:val="17"/>
              </w:rPr>
            </w:pPr>
            <w:r w:rsidRPr="001302B5">
              <w:rPr>
                <w:rFonts w:asciiTheme="minorHAnsi" w:hAnsiTheme="minorHAnsi"/>
                <w:color w:val="auto"/>
                <w:sz w:val="22"/>
              </w:rPr>
              <w:t>Disability training was conducted in May 2019</w:t>
            </w:r>
            <w:r w:rsidR="00903224" w:rsidRPr="001302B5">
              <w:rPr>
                <w:rFonts w:asciiTheme="minorHAnsi" w:hAnsiTheme="minorHAnsi"/>
                <w:color w:val="auto"/>
                <w:sz w:val="22"/>
              </w:rPr>
              <w:t xml:space="preserve"> and actions to </w:t>
            </w:r>
            <w:r w:rsidR="001302B5" w:rsidRPr="001302B5">
              <w:rPr>
                <w:rFonts w:asciiTheme="minorHAnsi" w:hAnsiTheme="minorHAnsi"/>
                <w:color w:val="auto"/>
                <w:sz w:val="22"/>
              </w:rPr>
              <w:t>further implement disability inclusive development were considered</w:t>
            </w:r>
            <w:r w:rsidRPr="001302B5">
              <w:rPr>
                <w:rFonts w:asciiTheme="minorHAnsi" w:hAnsiTheme="minorHAnsi"/>
                <w:color w:val="auto"/>
                <w:sz w:val="22"/>
              </w:rPr>
              <w:t>.</w:t>
            </w:r>
            <w:r w:rsidRPr="006B226B">
              <w:rPr>
                <w:rFonts w:asciiTheme="minorHAnsi" w:hAnsiTheme="minorHAnsi"/>
                <w:color w:val="auto"/>
                <w:sz w:val="22"/>
              </w:rPr>
              <w:t xml:space="preserve"> </w:t>
            </w:r>
            <w:r w:rsidR="00837FCD" w:rsidRPr="006B226B">
              <w:rPr>
                <w:rFonts w:asciiTheme="minorHAnsi" w:hAnsiTheme="minorHAnsi"/>
                <w:color w:val="auto"/>
                <w:sz w:val="22"/>
              </w:rPr>
              <w:t xml:space="preserve"> Post received a set of recommendations following </w:t>
            </w:r>
            <w:r w:rsidR="00E248E6" w:rsidRPr="006B226B">
              <w:rPr>
                <w:rFonts w:asciiTheme="minorHAnsi" w:hAnsiTheme="minorHAnsi"/>
                <w:color w:val="auto"/>
                <w:sz w:val="22"/>
              </w:rPr>
              <w:t>the</w:t>
            </w:r>
            <w:r w:rsidR="006B226B" w:rsidRPr="006B226B">
              <w:rPr>
                <w:rFonts w:asciiTheme="minorHAnsi" w:hAnsiTheme="minorHAnsi"/>
                <w:color w:val="auto"/>
                <w:sz w:val="22"/>
              </w:rPr>
              <w:t xml:space="preserve"> visit by </w:t>
            </w:r>
            <w:r w:rsidR="00E248E6">
              <w:rPr>
                <w:rFonts w:asciiTheme="minorHAnsi" w:hAnsiTheme="minorHAnsi"/>
                <w:color w:val="auto"/>
                <w:sz w:val="22"/>
              </w:rPr>
              <w:t>the</w:t>
            </w:r>
            <w:r w:rsidR="00E248E6" w:rsidRPr="006B226B">
              <w:rPr>
                <w:rFonts w:asciiTheme="minorHAnsi" w:hAnsiTheme="minorHAnsi"/>
                <w:color w:val="auto"/>
                <w:sz w:val="22"/>
              </w:rPr>
              <w:t xml:space="preserve"> </w:t>
            </w:r>
            <w:r w:rsidR="006B226B" w:rsidRPr="006B226B">
              <w:rPr>
                <w:rFonts w:asciiTheme="minorHAnsi" w:hAnsiTheme="minorHAnsi"/>
                <w:color w:val="auto"/>
                <w:sz w:val="22"/>
              </w:rPr>
              <w:t xml:space="preserve">disability specialist team, </w:t>
            </w:r>
            <w:r w:rsidR="00837FCD" w:rsidRPr="006B226B">
              <w:rPr>
                <w:rFonts w:asciiTheme="minorHAnsi" w:hAnsiTheme="minorHAnsi"/>
                <w:color w:val="auto"/>
                <w:sz w:val="22"/>
              </w:rPr>
              <w:t>and has prepared a response as well as a draft plan of action.</w:t>
            </w:r>
          </w:p>
        </w:tc>
      </w:tr>
      <w:tr w:rsidR="00270B58" w:rsidRPr="00812509" w:rsidTr="00B44723">
        <w:trPr>
          <w:cnfStyle w:val="000000010000" w:firstRow="0" w:lastRow="0" w:firstColumn="0" w:lastColumn="0" w:oddVBand="0" w:evenVBand="0" w:oddHBand="0" w:evenHBand="1" w:firstRowFirstColumn="0" w:firstRowLastColumn="0" w:lastRowFirstColumn="0" w:lastRowLastColumn="0"/>
        </w:trPr>
        <w:tc>
          <w:tcPr>
            <w:tcW w:w="6333" w:type="dxa"/>
            <w:tcBorders>
              <w:top w:val="single" w:sz="4" w:space="0" w:color="auto"/>
              <w:left w:val="single" w:sz="4" w:space="0" w:color="auto"/>
              <w:bottom w:val="single" w:sz="4" w:space="0" w:color="auto"/>
              <w:right w:val="single" w:sz="4" w:space="0" w:color="auto"/>
            </w:tcBorders>
          </w:tcPr>
          <w:p w:rsidR="00C15933" w:rsidRPr="002A74D3" w:rsidRDefault="00C15933" w:rsidP="002E3C15">
            <w:pPr>
              <w:rPr>
                <w:rFonts w:asciiTheme="minorHAnsi" w:hAnsiTheme="minorHAnsi"/>
                <w:color w:val="auto"/>
                <w:sz w:val="22"/>
              </w:rPr>
            </w:pPr>
            <w:r w:rsidRPr="002A74D3">
              <w:rPr>
                <w:rFonts w:asciiTheme="minorHAnsi" w:hAnsiTheme="minorHAnsi"/>
                <w:color w:val="auto"/>
                <w:sz w:val="22"/>
              </w:rPr>
              <w:t>Extend our contribution to the IDPoor program in 2018 to take advantage of its increasing importance to social protection and public service delivery, including its role in identifying Cambodia’s most vulnerable people and facilitating their access to health care rebates.</w:t>
            </w:r>
          </w:p>
        </w:tc>
        <w:tc>
          <w:tcPr>
            <w:tcW w:w="1159" w:type="dxa"/>
            <w:tcBorders>
              <w:top w:val="single" w:sz="4" w:space="0" w:color="auto"/>
              <w:left w:val="single" w:sz="4" w:space="0" w:color="auto"/>
              <w:bottom w:val="single" w:sz="4" w:space="0" w:color="auto"/>
              <w:right w:val="single" w:sz="4" w:space="0" w:color="auto"/>
            </w:tcBorders>
            <w:shd w:val="clear" w:color="auto" w:fill="92D050"/>
          </w:tcPr>
          <w:p w:rsidR="00C15933" w:rsidRPr="005455D5" w:rsidRDefault="00903224" w:rsidP="002E3C15">
            <w:pPr>
              <w:keepLines/>
              <w:spacing w:before="40" w:after="40" w:line="200" w:lineRule="atLeast"/>
              <w:jc w:val="center"/>
              <w:rPr>
                <w:b/>
                <w:color w:val="FFFFFF" w:themeColor="background1"/>
              </w:rPr>
            </w:pPr>
            <w:r w:rsidRPr="005455D5">
              <w:rPr>
                <w:b/>
                <w:color w:val="FFFFFF" w:themeColor="background1"/>
              </w:rPr>
              <w:t>Achieved</w:t>
            </w:r>
          </w:p>
        </w:tc>
        <w:tc>
          <w:tcPr>
            <w:tcW w:w="6748" w:type="dxa"/>
            <w:tcBorders>
              <w:top w:val="single" w:sz="4" w:space="0" w:color="auto"/>
              <w:left w:val="single" w:sz="4" w:space="0" w:color="auto"/>
              <w:bottom w:val="single" w:sz="4" w:space="0" w:color="auto"/>
              <w:right w:val="single" w:sz="4" w:space="0" w:color="auto"/>
            </w:tcBorders>
          </w:tcPr>
          <w:p w:rsidR="00C15933" w:rsidRPr="00812509" w:rsidRDefault="002C43B7" w:rsidP="002E3C15">
            <w:pPr>
              <w:keepLines/>
              <w:spacing w:before="40" w:after="40" w:line="200" w:lineRule="atLeast"/>
              <w:rPr>
                <w:rFonts w:eastAsia="Times New Roman"/>
                <w:iCs/>
                <w:color w:val="409F68" w:themeColor="accent6"/>
                <w:szCs w:val="17"/>
              </w:rPr>
            </w:pPr>
            <w:r w:rsidRPr="002C43B7">
              <w:rPr>
                <w:rFonts w:asciiTheme="minorHAnsi" w:hAnsiTheme="minorHAnsi"/>
                <w:color w:val="auto"/>
                <w:sz w:val="22"/>
              </w:rPr>
              <w:t>Our contribution to IDPoor was extended, and more poor Cambodians are able to access benefits.</w:t>
            </w:r>
            <w:r>
              <w:rPr>
                <w:rFonts w:eastAsia="Times New Roman"/>
                <w:iCs/>
                <w:color w:val="409F68" w:themeColor="accent6"/>
                <w:szCs w:val="17"/>
              </w:rPr>
              <w:t xml:space="preserve"> </w:t>
            </w:r>
          </w:p>
        </w:tc>
      </w:tr>
      <w:tr w:rsidR="00270B58" w:rsidRPr="00812509" w:rsidTr="00B44723">
        <w:trPr>
          <w:cnfStyle w:val="000000010000" w:firstRow="0" w:lastRow="0" w:firstColumn="0" w:lastColumn="0" w:oddVBand="0" w:evenVBand="0" w:oddHBand="0" w:evenHBand="1" w:firstRowFirstColumn="0" w:firstRowLastColumn="0" w:lastRowFirstColumn="0" w:lastRowLastColumn="0"/>
        </w:trPr>
        <w:tc>
          <w:tcPr>
            <w:tcW w:w="6333" w:type="dxa"/>
            <w:tcBorders>
              <w:top w:val="single" w:sz="4" w:space="0" w:color="auto"/>
              <w:left w:val="single" w:sz="4" w:space="0" w:color="auto"/>
              <w:bottom w:val="single" w:sz="4" w:space="0" w:color="auto"/>
              <w:right w:val="single" w:sz="4" w:space="0" w:color="auto"/>
            </w:tcBorders>
          </w:tcPr>
          <w:p w:rsidR="00C15933" w:rsidRPr="002A74D3" w:rsidRDefault="00C15933" w:rsidP="002E3C15">
            <w:pPr>
              <w:rPr>
                <w:rFonts w:asciiTheme="minorHAnsi" w:hAnsiTheme="minorHAnsi"/>
                <w:color w:val="auto"/>
                <w:sz w:val="22"/>
              </w:rPr>
            </w:pPr>
            <w:r w:rsidRPr="002A74D3">
              <w:rPr>
                <w:rFonts w:asciiTheme="minorHAnsi" w:hAnsiTheme="minorHAnsi"/>
                <w:color w:val="auto"/>
                <w:sz w:val="22"/>
              </w:rPr>
              <w:t xml:space="preserve">Closely monitor Payment Certification Agency under H-EQIP through 2018-19 </w:t>
            </w:r>
            <w:r w:rsidRPr="00207B28">
              <w:rPr>
                <w:rFonts w:asciiTheme="minorHAnsi" w:hAnsiTheme="minorHAnsi"/>
                <w:color w:val="auto"/>
                <w:sz w:val="22"/>
              </w:rPr>
              <w:t xml:space="preserve">and </w:t>
            </w:r>
            <w:r w:rsidRPr="005455D5">
              <w:rPr>
                <w:rFonts w:asciiTheme="minorHAnsi" w:hAnsiTheme="minorHAnsi"/>
                <w:color w:val="auto"/>
                <w:sz w:val="22"/>
              </w:rPr>
              <w:t>implementation of the Gender Assessment recommendations by the Gender Mainstreaming Working Group through the H-EQIP mid-term review process by June 2019.</w:t>
            </w:r>
          </w:p>
        </w:tc>
        <w:tc>
          <w:tcPr>
            <w:tcW w:w="1159" w:type="dxa"/>
            <w:tcBorders>
              <w:top w:val="single" w:sz="4" w:space="0" w:color="auto"/>
              <w:left w:val="single" w:sz="4" w:space="0" w:color="auto"/>
              <w:bottom w:val="single" w:sz="4" w:space="0" w:color="auto"/>
              <w:right w:val="single" w:sz="4" w:space="0" w:color="auto"/>
            </w:tcBorders>
            <w:shd w:val="clear" w:color="auto" w:fill="FFC000"/>
          </w:tcPr>
          <w:p w:rsidR="00C15933" w:rsidRPr="005455D5" w:rsidRDefault="00BF1EA4" w:rsidP="002E3C15">
            <w:pPr>
              <w:keepLines/>
              <w:spacing w:before="40" w:after="40" w:line="200" w:lineRule="atLeast"/>
              <w:jc w:val="center"/>
              <w:rPr>
                <w:b/>
                <w:color w:val="FFFFFF" w:themeColor="background1"/>
              </w:rPr>
            </w:pPr>
            <w:r w:rsidRPr="005455D5">
              <w:rPr>
                <w:rFonts w:eastAsia="Times New Roman"/>
                <w:b/>
                <w:iCs/>
                <w:color w:val="FFFFFF" w:themeColor="background1"/>
                <w:szCs w:val="17"/>
              </w:rPr>
              <w:t>Partly</w:t>
            </w:r>
            <w:r w:rsidR="00B44723">
              <w:rPr>
                <w:rFonts w:eastAsia="Times New Roman"/>
                <w:b/>
                <w:iCs/>
                <w:color w:val="FFFFFF" w:themeColor="background1"/>
                <w:szCs w:val="17"/>
              </w:rPr>
              <w:t xml:space="preserve"> </w:t>
            </w:r>
            <w:r w:rsidRPr="005455D5">
              <w:rPr>
                <w:rFonts w:eastAsia="Times New Roman"/>
                <w:b/>
                <w:iCs/>
                <w:color w:val="FFFFFF" w:themeColor="background1"/>
                <w:szCs w:val="17"/>
              </w:rPr>
              <w:t>achieved</w:t>
            </w:r>
          </w:p>
        </w:tc>
        <w:tc>
          <w:tcPr>
            <w:tcW w:w="6748" w:type="dxa"/>
            <w:tcBorders>
              <w:top w:val="single" w:sz="4" w:space="0" w:color="auto"/>
              <w:left w:val="single" w:sz="4" w:space="0" w:color="auto"/>
              <w:bottom w:val="single" w:sz="4" w:space="0" w:color="auto"/>
              <w:right w:val="single" w:sz="4" w:space="0" w:color="auto"/>
            </w:tcBorders>
          </w:tcPr>
          <w:p w:rsidR="00C15933" w:rsidRPr="005455D5" w:rsidRDefault="002C43B7" w:rsidP="00651FE9">
            <w:pPr>
              <w:keepLines/>
              <w:spacing w:before="40" w:after="40" w:line="200" w:lineRule="atLeast"/>
              <w:rPr>
                <w:rFonts w:asciiTheme="minorHAnsi" w:hAnsiTheme="minorHAnsi"/>
                <w:color w:val="auto"/>
                <w:sz w:val="22"/>
              </w:rPr>
            </w:pPr>
            <w:r w:rsidRPr="002C43B7">
              <w:rPr>
                <w:rFonts w:asciiTheme="minorHAnsi" w:hAnsiTheme="minorHAnsi"/>
                <w:color w:val="auto"/>
                <w:sz w:val="22"/>
              </w:rPr>
              <w:t xml:space="preserve">The </w:t>
            </w:r>
            <w:r w:rsidR="000B55D6" w:rsidRPr="002A74D3">
              <w:rPr>
                <w:rFonts w:asciiTheme="minorHAnsi" w:hAnsiTheme="minorHAnsi"/>
                <w:color w:val="auto"/>
                <w:sz w:val="22"/>
              </w:rPr>
              <w:t xml:space="preserve">Payment Certification Agency </w:t>
            </w:r>
            <w:r w:rsidRPr="002C43B7">
              <w:rPr>
                <w:rFonts w:asciiTheme="minorHAnsi" w:hAnsiTheme="minorHAnsi"/>
                <w:color w:val="auto"/>
                <w:sz w:val="22"/>
              </w:rPr>
              <w:t>was established and is now functioning effectively</w:t>
            </w:r>
            <w:r w:rsidR="00865C17">
              <w:rPr>
                <w:rFonts w:asciiTheme="minorHAnsi" w:hAnsiTheme="minorHAnsi"/>
                <w:color w:val="auto"/>
                <w:sz w:val="22"/>
              </w:rPr>
              <w:t>.</w:t>
            </w:r>
            <w:r w:rsidR="006F29B0">
              <w:rPr>
                <w:rFonts w:asciiTheme="minorHAnsi" w:hAnsiTheme="minorHAnsi"/>
                <w:color w:val="auto"/>
                <w:sz w:val="22"/>
              </w:rPr>
              <w:t xml:space="preserve"> </w:t>
            </w:r>
            <w:r w:rsidR="00BF1EA4">
              <w:rPr>
                <w:rFonts w:asciiTheme="minorHAnsi" w:hAnsiTheme="minorHAnsi"/>
                <w:color w:val="auto"/>
                <w:sz w:val="22"/>
              </w:rPr>
              <w:t xml:space="preserve">However, progress on the recommendations from the </w:t>
            </w:r>
            <w:r w:rsidR="00BF1EA4" w:rsidRPr="005455D5">
              <w:rPr>
                <w:rFonts w:asciiTheme="minorHAnsi" w:hAnsiTheme="minorHAnsi"/>
                <w:color w:val="auto"/>
                <w:sz w:val="22"/>
              </w:rPr>
              <w:t>gender</w:t>
            </w:r>
            <w:r w:rsidR="00BF1EA4">
              <w:rPr>
                <w:rFonts w:asciiTheme="minorHAnsi" w:hAnsiTheme="minorHAnsi"/>
                <w:color w:val="auto"/>
                <w:sz w:val="22"/>
              </w:rPr>
              <w:t xml:space="preserve"> assessment w</w:t>
            </w:r>
            <w:r w:rsidR="00651FE9">
              <w:rPr>
                <w:rFonts w:asciiTheme="minorHAnsi" w:hAnsiTheme="minorHAnsi"/>
                <w:color w:val="auto"/>
                <w:sz w:val="22"/>
              </w:rPr>
              <w:t>as</w:t>
            </w:r>
            <w:r w:rsidR="00BF1EA4">
              <w:rPr>
                <w:rFonts w:asciiTheme="minorHAnsi" w:hAnsiTheme="minorHAnsi"/>
                <w:color w:val="auto"/>
                <w:sz w:val="22"/>
              </w:rPr>
              <w:t xml:space="preserve"> </w:t>
            </w:r>
            <w:r w:rsidR="00C37C6B">
              <w:rPr>
                <w:rFonts w:asciiTheme="minorHAnsi" w:hAnsiTheme="minorHAnsi"/>
                <w:color w:val="auto"/>
                <w:sz w:val="22"/>
              </w:rPr>
              <w:t xml:space="preserve"> only partially </w:t>
            </w:r>
            <w:r w:rsidR="00BF1EA4">
              <w:rPr>
                <w:rFonts w:asciiTheme="minorHAnsi" w:hAnsiTheme="minorHAnsi"/>
                <w:color w:val="auto"/>
                <w:sz w:val="22"/>
              </w:rPr>
              <w:t>satisfactory. An enhanced response was agreed by the partners following the mid-term review and a DFAT management action has been included to follow up on this</w:t>
            </w:r>
            <w:r w:rsidR="00BF1EA4" w:rsidRPr="00270B58">
              <w:rPr>
                <w:rFonts w:asciiTheme="minorHAnsi" w:hAnsiTheme="minorHAnsi"/>
                <w:color w:val="auto"/>
                <w:sz w:val="22"/>
              </w:rPr>
              <w:t>.</w:t>
            </w:r>
          </w:p>
        </w:tc>
      </w:tr>
    </w:tbl>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400B0F" w:rsidRPr="00C61187" w:rsidRDefault="00400B0F" w:rsidP="00400B0F">
      <w:pPr>
        <w:spacing w:after="160" w:line="280" w:lineRule="exact"/>
        <w:rPr>
          <w:rFonts w:ascii="Franklin Gothic Book" w:eastAsia="Times New Roman" w:hAnsi="Franklin Gothic Book"/>
          <w:sz w:val="21"/>
        </w:rPr>
      </w:pPr>
    </w:p>
    <w:p w:rsidR="00400B0F" w:rsidRPr="00C61187" w:rsidRDefault="00400B0F" w:rsidP="00400B0F">
      <w:pPr>
        <w:spacing w:after="200" w:line="276" w:lineRule="auto"/>
        <w:rPr>
          <w:rFonts w:ascii="Franklin Gothic Book" w:hAnsi="Franklin Gothic Book"/>
          <w:sz w:val="21"/>
        </w:rPr>
      </w:pPr>
    </w:p>
    <w:p w:rsidR="00D15A00" w:rsidRDefault="00D15A00" w:rsidP="002A51CA"/>
    <w:p w:rsidR="00060268" w:rsidRDefault="00060268" w:rsidP="002A51CA"/>
    <w:p w:rsidR="00060268" w:rsidRDefault="00060268" w:rsidP="002A51CA"/>
    <w:p w:rsidR="00500D14" w:rsidRDefault="00500D14" w:rsidP="008821C2">
      <w:pPr>
        <w:pStyle w:val="Subtitle"/>
        <w:numPr>
          <w:ilvl w:val="0"/>
          <w:numId w:val="0"/>
        </w:numPr>
        <w:spacing w:before="360" w:after="120" w:line="300" w:lineRule="exact"/>
        <w:rPr>
          <w:rFonts w:eastAsiaTheme="minorHAnsi" w:cstheme="minorBidi"/>
          <w:bCs w:val="0"/>
          <w:iCs w:val="0"/>
          <w:caps w:val="0"/>
          <w:spacing w:val="0"/>
          <w:kern w:val="0"/>
          <w:sz w:val="22"/>
          <w:szCs w:val="22"/>
        </w:rPr>
      </w:pPr>
    </w:p>
    <w:p w:rsidR="00033AB7" w:rsidRPr="008821C2" w:rsidRDefault="00400B0F" w:rsidP="008821C2">
      <w:pPr>
        <w:pStyle w:val="Subtitle"/>
        <w:numPr>
          <w:ilvl w:val="0"/>
          <w:numId w:val="0"/>
        </w:numPr>
        <w:spacing w:before="360" w:after="120" w:line="300" w:lineRule="exact"/>
        <w:rPr>
          <w:rFonts w:asciiTheme="majorHAnsi" w:hAnsiTheme="majorHAnsi" w:cstheme="majorHAnsi"/>
        </w:rPr>
      </w:pPr>
      <w:r w:rsidRPr="008821C2">
        <w:rPr>
          <w:rFonts w:asciiTheme="majorHAnsi" w:hAnsiTheme="majorHAnsi" w:cstheme="majorHAnsi"/>
        </w:rPr>
        <w:t xml:space="preserve">Annex B </w:t>
      </w:r>
      <w:r w:rsidR="00033AB7" w:rsidRPr="008821C2">
        <w:rPr>
          <w:rFonts w:asciiTheme="majorHAnsi" w:hAnsiTheme="majorHAnsi" w:cstheme="majorHAnsi"/>
        </w:rPr>
        <w:t>–</w:t>
      </w:r>
      <w:r w:rsidRPr="008821C2">
        <w:rPr>
          <w:rFonts w:asciiTheme="majorHAnsi" w:hAnsiTheme="majorHAnsi" w:cstheme="majorHAnsi"/>
        </w:rPr>
        <w:t xml:space="preserve"> </w:t>
      </w:r>
      <w:r w:rsidR="00033AB7" w:rsidRPr="008821C2">
        <w:rPr>
          <w:rFonts w:asciiTheme="majorHAnsi" w:hAnsiTheme="majorHAnsi" w:cstheme="majorHAnsi"/>
        </w:rPr>
        <w:t>PERFORMANCE BENCHMARKS</w:t>
      </w:r>
    </w:p>
    <w:p w:rsidR="008821C2" w:rsidRDefault="008821C2" w:rsidP="008821C2">
      <w:pPr>
        <w:rPr>
          <w:rFonts w:eastAsia="Times New Roman" w:cstheme="minorHAnsi"/>
          <w:sz w:val="32"/>
          <w:szCs w:val="32"/>
        </w:rPr>
      </w:pPr>
      <w:r>
        <w:rPr>
          <w:rFonts w:eastAsia="Times New Roman" w:cstheme="minorHAnsi"/>
          <w:sz w:val="32"/>
          <w:szCs w:val="32"/>
        </w:rPr>
        <w:t xml:space="preserve">1 </w:t>
      </w:r>
      <w:r w:rsidRPr="00F8189A">
        <w:rPr>
          <w:rFonts w:eastAsia="Times New Roman" w:cstheme="minorHAnsi"/>
          <w:sz w:val="32"/>
          <w:szCs w:val="32"/>
        </w:rPr>
        <w:t>Progress towards Performance Benchmarks in 2018-19</w:t>
      </w:r>
    </w:p>
    <w:p w:rsidR="00500D14" w:rsidRPr="00CE5DF0" w:rsidRDefault="00500D14" w:rsidP="00500D14"/>
    <w:tbl>
      <w:tblPr>
        <w:tblStyle w:val="DFATTable"/>
        <w:tblW w:w="4951" w:type="pct"/>
        <w:tblLook w:val="04A0" w:firstRow="1" w:lastRow="0" w:firstColumn="1" w:lastColumn="0" w:noHBand="0" w:noVBand="1"/>
      </w:tblPr>
      <w:tblGrid>
        <w:gridCol w:w="2215"/>
        <w:gridCol w:w="3761"/>
        <w:gridCol w:w="1389"/>
        <w:gridCol w:w="6669"/>
      </w:tblGrid>
      <w:tr w:rsidR="00500D14" w:rsidRPr="00C61187" w:rsidTr="00D9263B">
        <w:trPr>
          <w:tblHeader/>
        </w:trPr>
        <w:tc>
          <w:tcPr>
            <w:tcW w:w="789" w:type="pct"/>
            <w:tcBorders>
              <w:top w:val="single" w:sz="12" w:space="0" w:color="auto"/>
              <w:bottom w:val="single" w:sz="4" w:space="0" w:color="auto"/>
            </w:tcBorders>
            <w:tcMar>
              <w:top w:w="57" w:type="dxa"/>
              <w:bottom w:w="57" w:type="dxa"/>
            </w:tcMar>
          </w:tcPr>
          <w:p w:rsidR="00500D14" w:rsidRPr="00880004" w:rsidRDefault="00500D14" w:rsidP="00D9263B">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1340" w:type="pct"/>
            <w:tcBorders>
              <w:top w:val="single" w:sz="12" w:space="0" w:color="auto"/>
              <w:bottom w:val="single" w:sz="4" w:space="0" w:color="auto"/>
            </w:tcBorders>
          </w:tcPr>
          <w:p w:rsidR="00500D14" w:rsidRPr="00880004" w:rsidRDefault="00500D14" w:rsidP="00D9263B">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95" w:type="pct"/>
            <w:tcBorders>
              <w:top w:val="single" w:sz="12" w:space="0" w:color="auto"/>
              <w:bottom w:val="single" w:sz="4" w:space="0" w:color="auto"/>
            </w:tcBorders>
          </w:tcPr>
          <w:p w:rsidR="00500D14" w:rsidRPr="00880004" w:rsidRDefault="00500D14" w:rsidP="00D9263B">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376" w:type="pct"/>
            <w:tcBorders>
              <w:top w:val="single" w:sz="12" w:space="0" w:color="auto"/>
              <w:bottom w:val="single" w:sz="4" w:space="0" w:color="auto"/>
            </w:tcBorders>
          </w:tcPr>
          <w:p w:rsidR="00500D14" w:rsidRPr="00880004" w:rsidRDefault="00500D14" w:rsidP="00D9263B">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8</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9</w:t>
            </w:r>
          </w:p>
        </w:tc>
      </w:tr>
      <w:tr w:rsidR="00500D14" w:rsidRPr="00C61187" w:rsidTr="00D9263B">
        <w:tc>
          <w:tcPr>
            <w:tcW w:w="789" w:type="pct"/>
            <w:tcBorders>
              <w:top w:val="single" w:sz="4" w:space="0" w:color="auto"/>
              <w:bottom w:val="single" w:sz="4" w:space="0" w:color="auto"/>
            </w:tcBorders>
            <w:tcMar>
              <w:top w:w="57" w:type="dxa"/>
              <w:bottom w:w="57" w:type="dxa"/>
            </w:tcMar>
          </w:tcPr>
          <w:p w:rsidR="00500D14" w:rsidRPr="00880004" w:rsidRDefault="00500D14" w:rsidP="00D9263B">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b/>
                <w:iCs/>
                <w:szCs w:val="17"/>
                <w:lang w:eastAsia="en-US"/>
              </w:rPr>
              <w:t>Improving access to essential infrastructure</w:t>
            </w:r>
          </w:p>
        </w:tc>
        <w:tc>
          <w:tcPr>
            <w:tcW w:w="1340" w:type="pct"/>
            <w:tcBorders>
              <w:top w:val="single" w:sz="4" w:space="0" w:color="auto"/>
              <w:bottom w:val="single" w:sz="4" w:space="0" w:color="auto"/>
            </w:tcBorders>
          </w:tcPr>
          <w:p w:rsidR="00500D14" w:rsidRPr="00880004" w:rsidRDefault="00500D14" w:rsidP="00D9263B">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 xml:space="preserve">Number of people (women and men) that will directly benefit from a new committed household or </w:t>
            </w:r>
            <w:r w:rsidRPr="003D6685">
              <w:rPr>
                <w:rFonts w:asciiTheme="minorHAnsi" w:eastAsia="Times New Roman" w:hAnsiTheme="minorHAnsi"/>
                <w:iCs/>
                <w:szCs w:val="17"/>
                <w:lang w:eastAsia="en-US"/>
              </w:rPr>
              <w:t>business</w:t>
            </w:r>
            <w:r w:rsidRPr="0060518C">
              <w:rPr>
                <w:rFonts w:asciiTheme="minorHAnsi" w:eastAsia="Times New Roman" w:hAnsiTheme="minorHAnsi"/>
                <w:iCs/>
                <w:szCs w:val="17"/>
                <w:lang w:eastAsia="en-US"/>
              </w:rPr>
              <w:t xml:space="preserve"> connection to electricity and/or piped, treated water</w:t>
            </w:r>
            <w:r>
              <w:rPr>
                <w:rFonts w:asciiTheme="minorHAnsi" w:eastAsia="Times New Roman" w:hAnsiTheme="minorHAnsi"/>
                <w:iCs/>
                <w:szCs w:val="17"/>
                <w:lang w:eastAsia="en-US"/>
              </w:rPr>
              <w:t xml:space="preserve"> (</w:t>
            </w:r>
            <w:r w:rsidRPr="000B04FD">
              <w:rPr>
                <w:rFonts w:asciiTheme="minorHAnsi" w:eastAsia="Times New Roman" w:hAnsiTheme="minorHAnsi"/>
                <w:iCs/>
                <w:szCs w:val="17"/>
                <w:lang w:eastAsia="en-US"/>
              </w:rPr>
              <w:t>441,531 people</w:t>
            </w:r>
            <w:r w:rsidRPr="0060518C">
              <w:rPr>
                <w:rFonts w:asciiTheme="minorHAnsi" w:eastAsia="Times New Roman" w:hAnsiTheme="minorHAnsi"/>
                <w:iCs/>
                <w:szCs w:val="17"/>
                <w:lang w:eastAsia="en-US"/>
              </w:rPr>
              <w:t xml:space="preserve"> with committed connections</w:t>
            </w:r>
            <w:r>
              <w:rPr>
                <w:rFonts w:asciiTheme="minorHAnsi" w:eastAsia="Times New Roman" w:hAnsiTheme="minorHAnsi"/>
                <w:iCs/>
                <w:szCs w:val="17"/>
                <w:lang w:eastAsia="en-US"/>
              </w:rPr>
              <w:t>)</w:t>
            </w:r>
          </w:p>
        </w:tc>
        <w:tc>
          <w:tcPr>
            <w:tcW w:w="495" w:type="pct"/>
            <w:tcBorders>
              <w:top w:val="single" w:sz="4" w:space="0" w:color="auto"/>
              <w:bottom w:val="single" w:sz="4" w:space="0" w:color="auto"/>
            </w:tcBorders>
            <w:shd w:val="clear" w:color="auto" w:fill="E36C0A"/>
          </w:tcPr>
          <w:p w:rsidR="00500D14" w:rsidRPr="00880004" w:rsidRDefault="00500D14" w:rsidP="00D9263B">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w:t>
            </w:r>
            <w:r w:rsidRPr="00880004">
              <w:rPr>
                <w:rFonts w:asciiTheme="minorHAnsi" w:eastAsia="Times New Roman" w:hAnsiTheme="minorHAnsi"/>
                <w:iCs/>
                <w:color w:val="FFFFFF" w:themeColor="background1"/>
                <w:szCs w:val="17"/>
                <w:lang w:eastAsia="en-US"/>
              </w:rPr>
              <w:t>chieved</w:t>
            </w:r>
          </w:p>
        </w:tc>
        <w:tc>
          <w:tcPr>
            <w:tcW w:w="2376" w:type="pct"/>
            <w:tcBorders>
              <w:top w:val="single" w:sz="4" w:space="0" w:color="auto"/>
              <w:bottom w:val="single" w:sz="4" w:space="0" w:color="auto"/>
            </w:tcBorders>
          </w:tcPr>
          <w:p w:rsidR="00500D14" w:rsidRPr="00050BDC" w:rsidRDefault="00500D14" w:rsidP="00EE2B86">
            <w:pPr>
              <w:keepLines/>
              <w:spacing w:before="40" w:after="40" w:line="200" w:lineRule="atLeast"/>
              <w:rPr>
                <w:rFonts w:asciiTheme="minorHAnsi" w:eastAsia="Times New Roman" w:hAnsiTheme="minorHAnsi"/>
                <w:iCs/>
                <w:szCs w:val="17"/>
                <w:lang w:eastAsia="en-US"/>
              </w:rPr>
            </w:pPr>
            <w:r w:rsidRPr="000B04FD">
              <w:rPr>
                <w:rFonts w:asciiTheme="minorHAnsi" w:eastAsia="Times New Roman" w:hAnsiTheme="minorHAnsi"/>
                <w:iCs/>
                <w:szCs w:val="17"/>
                <w:lang w:eastAsia="en-US"/>
              </w:rPr>
              <w:t xml:space="preserve">36 contracts </w:t>
            </w:r>
            <w:r>
              <w:rPr>
                <w:rFonts w:asciiTheme="minorHAnsi" w:eastAsia="Times New Roman" w:hAnsiTheme="minorHAnsi"/>
                <w:iCs/>
                <w:szCs w:val="17"/>
                <w:lang w:eastAsia="en-US"/>
              </w:rPr>
              <w:t xml:space="preserve">for co-investment in new </w:t>
            </w:r>
            <w:r w:rsidRPr="00374D35">
              <w:rPr>
                <w:rFonts w:asciiTheme="minorHAnsi" w:eastAsia="Times New Roman" w:hAnsiTheme="minorHAnsi"/>
                <w:iCs/>
                <w:szCs w:val="17"/>
                <w:lang w:eastAsia="en-US"/>
              </w:rPr>
              <w:t>private electricity and water networks</w:t>
            </w:r>
            <w:r w:rsidRPr="000B04FD">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were signed by 3i during</w:t>
            </w:r>
            <w:r w:rsidRPr="000B04FD">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2018 (exceeding the </w:t>
            </w:r>
            <w:r w:rsidRPr="000B04FD">
              <w:rPr>
                <w:rFonts w:asciiTheme="minorHAnsi" w:eastAsia="Times New Roman" w:hAnsiTheme="minorHAnsi"/>
                <w:iCs/>
                <w:szCs w:val="17"/>
                <w:lang w:eastAsia="en-US"/>
              </w:rPr>
              <w:t>target of 30 contracts</w:t>
            </w:r>
            <w:r>
              <w:rPr>
                <w:rFonts w:asciiTheme="minorHAnsi" w:eastAsia="Times New Roman" w:hAnsiTheme="minorHAnsi"/>
                <w:iCs/>
                <w:szCs w:val="17"/>
                <w:lang w:eastAsia="en-US"/>
              </w:rPr>
              <w:t>), which are</w:t>
            </w:r>
            <w:r w:rsidRPr="000B04FD">
              <w:rPr>
                <w:rFonts w:asciiTheme="minorHAnsi" w:eastAsia="Times New Roman" w:hAnsiTheme="minorHAnsi"/>
                <w:iCs/>
                <w:szCs w:val="17"/>
                <w:lang w:eastAsia="en-US"/>
              </w:rPr>
              <w:t xml:space="preserve"> expected to benefit approximately 38</w:t>
            </w:r>
            <w:r>
              <w:rPr>
                <w:rFonts w:asciiTheme="minorHAnsi" w:eastAsia="Times New Roman" w:hAnsiTheme="minorHAnsi"/>
                <w:iCs/>
                <w:szCs w:val="17"/>
                <w:lang w:eastAsia="en-US"/>
              </w:rPr>
              <w:t>2,5</w:t>
            </w:r>
            <w:r w:rsidRPr="000B04FD">
              <w:rPr>
                <w:rFonts w:asciiTheme="minorHAnsi" w:eastAsia="Times New Roman" w:hAnsiTheme="minorHAnsi"/>
                <w:iCs/>
                <w:szCs w:val="17"/>
                <w:lang w:eastAsia="en-US"/>
              </w:rPr>
              <w:t>00 people</w:t>
            </w:r>
            <w:r>
              <w:rPr>
                <w:rFonts w:asciiTheme="minorHAnsi" w:eastAsia="Times New Roman" w:hAnsiTheme="minorHAnsi"/>
                <w:iCs/>
                <w:szCs w:val="17"/>
                <w:lang w:eastAsia="en-US"/>
              </w:rPr>
              <w:t xml:space="preserve">. This is </w:t>
            </w:r>
            <w:r w:rsidRPr="000B04FD">
              <w:rPr>
                <w:rFonts w:asciiTheme="minorHAnsi" w:eastAsia="Times New Roman" w:hAnsiTheme="minorHAnsi"/>
                <w:iCs/>
                <w:szCs w:val="17"/>
                <w:lang w:eastAsia="en-US"/>
              </w:rPr>
              <w:t xml:space="preserve">lower than the target of 441,531 </w:t>
            </w:r>
            <w:r>
              <w:rPr>
                <w:rFonts w:asciiTheme="minorHAnsi" w:eastAsia="Times New Roman" w:hAnsiTheme="minorHAnsi"/>
                <w:iCs/>
                <w:szCs w:val="17"/>
                <w:lang w:eastAsia="en-US"/>
              </w:rPr>
              <w:t xml:space="preserve">people </w:t>
            </w:r>
            <w:r w:rsidRPr="000B04FD">
              <w:rPr>
                <w:rFonts w:asciiTheme="minorHAnsi" w:eastAsia="Times New Roman" w:hAnsiTheme="minorHAnsi"/>
                <w:iCs/>
                <w:szCs w:val="17"/>
                <w:lang w:eastAsia="en-US"/>
              </w:rPr>
              <w:t xml:space="preserve">due to the smaller size of </w:t>
            </w:r>
            <w:r>
              <w:rPr>
                <w:rFonts w:asciiTheme="minorHAnsi" w:eastAsia="Times New Roman" w:hAnsiTheme="minorHAnsi"/>
                <w:iCs/>
                <w:szCs w:val="17"/>
                <w:lang w:eastAsia="en-US"/>
              </w:rPr>
              <w:t xml:space="preserve">the </w:t>
            </w:r>
            <w:r w:rsidRPr="000B04FD">
              <w:rPr>
                <w:rFonts w:asciiTheme="minorHAnsi" w:eastAsia="Times New Roman" w:hAnsiTheme="minorHAnsi"/>
                <w:iCs/>
                <w:szCs w:val="17"/>
                <w:lang w:eastAsia="en-US"/>
              </w:rPr>
              <w:t xml:space="preserve">actual contracts </w:t>
            </w:r>
            <w:r>
              <w:rPr>
                <w:rFonts w:asciiTheme="minorHAnsi" w:eastAsia="Times New Roman" w:hAnsiTheme="minorHAnsi"/>
                <w:iCs/>
                <w:szCs w:val="17"/>
                <w:lang w:eastAsia="en-US"/>
              </w:rPr>
              <w:t xml:space="preserve">when </w:t>
            </w:r>
            <w:r w:rsidRPr="000B04FD">
              <w:rPr>
                <w:rFonts w:asciiTheme="minorHAnsi" w:eastAsia="Times New Roman" w:hAnsiTheme="minorHAnsi"/>
                <w:iCs/>
                <w:szCs w:val="17"/>
                <w:lang w:eastAsia="en-US"/>
              </w:rPr>
              <w:t xml:space="preserve">compared to </w:t>
            </w:r>
            <w:r>
              <w:rPr>
                <w:rFonts w:asciiTheme="minorHAnsi" w:eastAsia="Times New Roman" w:hAnsiTheme="minorHAnsi"/>
                <w:iCs/>
                <w:szCs w:val="17"/>
                <w:lang w:eastAsia="en-US"/>
              </w:rPr>
              <w:t xml:space="preserve">their </w:t>
            </w:r>
            <w:r w:rsidRPr="000B04FD">
              <w:rPr>
                <w:rFonts w:asciiTheme="minorHAnsi" w:eastAsia="Times New Roman" w:hAnsiTheme="minorHAnsi"/>
                <w:iCs/>
                <w:szCs w:val="17"/>
                <w:lang w:eastAsia="en-US"/>
              </w:rPr>
              <w:t>projected size</w:t>
            </w:r>
            <w:r w:rsidR="00BF1EA4">
              <w:rPr>
                <w:rFonts w:asciiTheme="minorHAnsi" w:eastAsia="Times New Roman" w:hAnsiTheme="minorHAnsi"/>
                <w:iCs/>
                <w:szCs w:val="17"/>
                <w:lang w:eastAsia="en-US"/>
              </w:rPr>
              <w:t>, although the program still performed strongly in terms of developing infrastructure investment projects</w:t>
            </w:r>
            <w:r w:rsidR="00A118FA">
              <w:rPr>
                <w:rFonts w:asciiTheme="minorHAnsi" w:eastAsia="Times New Roman" w:hAnsiTheme="minorHAnsi"/>
                <w:iCs/>
                <w:szCs w:val="17"/>
                <w:lang w:eastAsia="en-US"/>
              </w:rPr>
              <w:t>.</w:t>
            </w:r>
          </w:p>
        </w:tc>
      </w:tr>
      <w:tr w:rsidR="00500D14" w:rsidRPr="00C61187" w:rsidTr="00D9263B">
        <w:tc>
          <w:tcPr>
            <w:tcW w:w="789" w:type="pct"/>
            <w:tcBorders>
              <w:top w:val="single" w:sz="4" w:space="0" w:color="auto"/>
              <w:bottom w:val="nil"/>
            </w:tcBorders>
            <w:tcMar>
              <w:top w:w="57" w:type="dxa"/>
              <w:bottom w:w="57" w:type="dxa"/>
            </w:tcMar>
          </w:tcPr>
          <w:p w:rsidR="00500D14" w:rsidRPr="00880004" w:rsidRDefault="00500D14" w:rsidP="00D9263B">
            <w:pPr>
              <w:keepLines/>
              <w:spacing w:before="40" w:after="40" w:line="200" w:lineRule="atLeast"/>
              <w:rPr>
                <w:rFonts w:asciiTheme="minorHAnsi" w:eastAsia="Times New Roman" w:hAnsiTheme="minorHAnsi"/>
                <w:iCs/>
                <w:szCs w:val="17"/>
                <w:lang w:eastAsia="en-US"/>
              </w:rPr>
            </w:pPr>
            <w:r w:rsidRPr="00280CC1">
              <w:rPr>
                <w:rFonts w:asciiTheme="minorHAnsi" w:eastAsia="Times New Roman" w:hAnsiTheme="minorHAnsi"/>
                <w:b/>
                <w:iCs/>
                <w:szCs w:val="17"/>
                <w:lang w:eastAsia="en-US"/>
              </w:rPr>
              <w:t>Increasing agricultural productivity and farmer incomes</w:t>
            </w:r>
          </w:p>
        </w:tc>
        <w:tc>
          <w:tcPr>
            <w:tcW w:w="1340" w:type="pct"/>
            <w:tcBorders>
              <w:top w:val="single" w:sz="4" w:space="0" w:color="auto"/>
              <w:bottom w:val="single" w:sz="4" w:space="0" w:color="auto"/>
            </w:tcBorders>
          </w:tcPr>
          <w:p w:rsidR="00500D14" w:rsidRPr="00880004" w:rsidRDefault="00500D14" w:rsidP="00D9263B">
            <w:pPr>
              <w:keepLines/>
              <w:spacing w:before="40" w:after="40" w:line="200" w:lineRule="atLeast"/>
              <w:rPr>
                <w:rFonts w:asciiTheme="minorHAnsi" w:eastAsia="Times New Roman" w:hAnsiTheme="minorHAnsi"/>
                <w:iCs/>
                <w:szCs w:val="17"/>
                <w:lang w:eastAsia="en-US"/>
              </w:rPr>
            </w:pPr>
            <w:r w:rsidRPr="0060518C">
              <w:rPr>
                <w:rFonts w:asciiTheme="minorHAnsi" w:eastAsia="Times New Roman" w:hAnsiTheme="minorHAnsi"/>
                <w:iCs/>
                <w:szCs w:val="17"/>
                <w:lang w:eastAsia="en-US"/>
              </w:rPr>
              <w:t>Additional production per year as a result of DFAT-supported irrigation schemes</w:t>
            </w:r>
            <w:r>
              <w:rPr>
                <w:rFonts w:asciiTheme="minorHAnsi" w:eastAsia="Times New Roman" w:hAnsiTheme="minorHAnsi"/>
                <w:iCs/>
                <w:szCs w:val="17"/>
                <w:lang w:eastAsia="en-US"/>
              </w:rPr>
              <w:t xml:space="preserve"> (30</w:t>
            </w:r>
            <w:r w:rsidRPr="0060518C">
              <w:rPr>
                <w:rFonts w:asciiTheme="minorHAnsi" w:eastAsia="Times New Roman" w:hAnsiTheme="minorHAnsi"/>
                <w:iCs/>
                <w:szCs w:val="17"/>
                <w:lang w:eastAsia="en-US"/>
              </w:rPr>
              <w:t xml:space="preserve">,000 </w:t>
            </w:r>
            <w:r>
              <w:rPr>
                <w:rFonts w:asciiTheme="minorHAnsi" w:eastAsia="Times New Roman" w:hAnsiTheme="minorHAnsi"/>
                <w:iCs/>
                <w:szCs w:val="17"/>
                <w:lang w:eastAsia="en-US"/>
              </w:rPr>
              <w:t>tonne</w:t>
            </w:r>
            <w:r w:rsidRPr="0060518C">
              <w:rPr>
                <w:rFonts w:asciiTheme="minorHAnsi" w:eastAsia="Times New Roman" w:hAnsiTheme="minorHAnsi"/>
                <w:iCs/>
                <w:szCs w:val="17"/>
                <w:lang w:eastAsia="en-US"/>
              </w:rPr>
              <w:t xml:space="preserve"> of paddy</w:t>
            </w:r>
            <w:r>
              <w:rPr>
                <w:rFonts w:asciiTheme="minorHAnsi" w:eastAsia="Times New Roman" w:hAnsiTheme="minorHAnsi"/>
                <w:iCs/>
                <w:szCs w:val="17"/>
                <w:lang w:eastAsia="en-US"/>
              </w:rPr>
              <w:t>)</w:t>
            </w:r>
          </w:p>
        </w:tc>
        <w:tc>
          <w:tcPr>
            <w:tcW w:w="495" w:type="pct"/>
            <w:tcBorders>
              <w:top w:val="single" w:sz="4" w:space="0" w:color="auto"/>
              <w:bottom w:val="single" w:sz="4" w:space="0" w:color="auto"/>
            </w:tcBorders>
            <w:shd w:val="clear" w:color="auto" w:fill="7CBF33"/>
          </w:tcPr>
          <w:p w:rsidR="00500D14" w:rsidRPr="00880004" w:rsidRDefault="00500D14" w:rsidP="00D926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A</w:t>
            </w:r>
            <w:r w:rsidRPr="00880004">
              <w:rPr>
                <w:rFonts w:asciiTheme="minorHAnsi" w:eastAsia="Times New Roman" w:hAnsiTheme="minorHAnsi"/>
                <w:iCs/>
                <w:color w:val="FFFFFF" w:themeColor="background1"/>
                <w:szCs w:val="17"/>
                <w:lang w:eastAsia="en-US"/>
              </w:rPr>
              <w:t>chieved</w:t>
            </w:r>
          </w:p>
        </w:tc>
        <w:tc>
          <w:tcPr>
            <w:tcW w:w="2376" w:type="pct"/>
            <w:tcBorders>
              <w:top w:val="single" w:sz="4" w:space="0" w:color="auto"/>
              <w:bottom w:val="single" w:sz="4" w:space="0" w:color="auto"/>
            </w:tcBorders>
          </w:tcPr>
          <w:p w:rsidR="00500D14" w:rsidRPr="00B82D49" w:rsidRDefault="00500D14" w:rsidP="00EE2B86">
            <w:pPr>
              <w:keepLines/>
              <w:spacing w:before="40" w:after="40" w:line="200" w:lineRule="atLeast"/>
              <w:rPr>
                <w:rFonts w:asciiTheme="minorHAnsi" w:eastAsia="Times New Roman" w:hAnsiTheme="minorHAnsi"/>
                <w:iCs/>
                <w:szCs w:val="17"/>
                <w:lang w:eastAsia="en-US"/>
              </w:rPr>
            </w:pPr>
            <w:r w:rsidRPr="00B82D49">
              <w:rPr>
                <w:rFonts w:asciiTheme="minorHAnsi" w:eastAsia="Times New Roman" w:hAnsiTheme="minorHAnsi"/>
                <w:iCs/>
                <w:szCs w:val="17"/>
                <w:lang w:eastAsia="en-US"/>
              </w:rPr>
              <w:t>The irrigation activities through CAVAC resulted in additional production</w:t>
            </w:r>
            <w:r>
              <w:rPr>
                <w:rFonts w:asciiTheme="minorHAnsi" w:eastAsia="Times New Roman" w:hAnsiTheme="minorHAnsi"/>
                <w:iCs/>
                <w:szCs w:val="17"/>
                <w:lang w:eastAsia="en-US"/>
              </w:rPr>
              <w:t xml:space="preserve"> of 123,796</w:t>
            </w:r>
            <w:r w:rsidRPr="00B82D49">
              <w:rPr>
                <w:rFonts w:asciiTheme="minorHAnsi" w:eastAsia="Times New Roman" w:hAnsiTheme="minorHAnsi"/>
                <w:iCs/>
                <w:szCs w:val="17"/>
                <w:lang w:eastAsia="en-US"/>
              </w:rPr>
              <w:t xml:space="preserve"> tonne of paddy. This significantly exceed</w:t>
            </w:r>
            <w:r w:rsidR="00E93EE0">
              <w:rPr>
                <w:rFonts w:asciiTheme="minorHAnsi" w:eastAsia="Times New Roman" w:hAnsiTheme="minorHAnsi"/>
                <w:iCs/>
                <w:szCs w:val="17"/>
                <w:lang w:eastAsia="en-US"/>
              </w:rPr>
              <w:t>ed</w:t>
            </w:r>
            <w:r w:rsidRPr="00B82D49">
              <w:rPr>
                <w:rFonts w:asciiTheme="minorHAnsi" w:eastAsia="Times New Roman" w:hAnsiTheme="minorHAnsi"/>
                <w:iCs/>
                <w:szCs w:val="17"/>
                <w:lang w:eastAsia="en-US"/>
              </w:rPr>
              <w:t xml:space="preserve"> the target </w:t>
            </w:r>
            <w:r w:rsidR="00BF1EA4">
              <w:rPr>
                <w:rFonts w:asciiTheme="minorHAnsi" w:eastAsia="Times New Roman" w:hAnsiTheme="minorHAnsi"/>
                <w:iCs/>
                <w:szCs w:val="17"/>
                <w:lang w:eastAsia="en-US"/>
              </w:rPr>
              <w:t xml:space="preserve">as </w:t>
            </w:r>
            <w:r w:rsidR="00BF1EA4" w:rsidRPr="00B82D49">
              <w:rPr>
                <w:rFonts w:asciiTheme="minorHAnsi" w:eastAsia="Times New Roman" w:hAnsiTheme="minorHAnsi"/>
                <w:iCs/>
                <w:szCs w:val="17"/>
                <w:lang w:eastAsia="en-US"/>
              </w:rPr>
              <w:t>access to irrigation</w:t>
            </w:r>
            <w:r w:rsidR="00BF1EA4" w:rsidRPr="00B82D49" w:rsidDel="00E93EE0">
              <w:rPr>
                <w:rFonts w:asciiTheme="minorHAnsi" w:eastAsia="Times New Roman" w:hAnsiTheme="minorHAnsi"/>
                <w:iCs/>
                <w:szCs w:val="17"/>
                <w:lang w:eastAsia="en-US"/>
              </w:rPr>
              <w:t xml:space="preserve"> </w:t>
            </w:r>
            <w:r w:rsidR="00BF1EA4">
              <w:rPr>
                <w:rFonts w:asciiTheme="minorHAnsi" w:eastAsia="Times New Roman" w:hAnsiTheme="minorHAnsi"/>
                <w:iCs/>
                <w:szCs w:val="17"/>
                <w:lang w:eastAsia="en-US"/>
              </w:rPr>
              <w:t xml:space="preserve">enabled </w:t>
            </w:r>
            <w:r w:rsidRPr="00B82D49">
              <w:rPr>
                <w:rFonts w:asciiTheme="minorHAnsi" w:eastAsia="Times New Roman" w:hAnsiTheme="minorHAnsi"/>
                <w:iCs/>
                <w:szCs w:val="17"/>
                <w:lang w:eastAsia="en-US"/>
              </w:rPr>
              <w:t>three production cycles per year and expanded</w:t>
            </w:r>
            <w:r>
              <w:rPr>
                <w:rFonts w:asciiTheme="minorHAnsi" w:eastAsia="Times New Roman" w:hAnsiTheme="minorHAnsi"/>
                <w:iCs/>
                <w:szCs w:val="17"/>
                <w:lang w:eastAsia="en-US"/>
              </w:rPr>
              <w:t xml:space="preserve"> areas</w:t>
            </w:r>
            <w:r w:rsidRPr="00B82D49">
              <w:rPr>
                <w:rFonts w:asciiTheme="minorHAnsi" w:eastAsia="Times New Roman" w:hAnsiTheme="minorHAnsi"/>
                <w:iCs/>
                <w:szCs w:val="17"/>
                <w:lang w:eastAsia="en-US"/>
              </w:rPr>
              <w:t xml:space="preserve"> </w:t>
            </w:r>
            <w:r w:rsidR="00EE2B86">
              <w:rPr>
                <w:rFonts w:asciiTheme="minorHAnsi" w:eastAsia="Times New Roman" w:hAnsiTheme="minorHAnsi"/>
                <w:iCs/>
                <w:szCs w:val="17"/>
                <w:lang w:eastAsia="en-US"/>
              </w:rPr>
              <w:t xml:space="preserve">of </w:t>
            </w:r>
            <w:r w:rsidRPr="00B82D49">
              <w:rPr>
                <w:rFonts w:asciiTheme="minorHAnsi" w:eastAsia="Times New Roman" w:hAnsiTheme="minorHAnsi"/>
                <w:iCs/>
                <w:szCs w:val="17"/>
                <w:lang w:eastAsia="en-US"/>
              </w:rPr>
              <w:t>cultivation. The target</w:t>
            </w:r>
            <w:r>
              <w:rPr>
                <w:rFonts w:asciiTheme="minorHAnsi" w:eastAsia="Times New Roman" w:hAnsiTheme="minorHAnsi"/>
                <w:iCs/>
                <w:szCs w:val="17"/>
                <w:lang w:eastAsia="en-US"/>
              </w:rPr>
              <w:t>s</w:t>
            </w:r>
            <w:r w:rsidRPr="00B82D49">
              <w:rPr>
                <w:rFonts w:asciiTheme="minorHAnsi" w:eastAsia="Times New Roman" w:hAnsiTheme="minorHAnsi"/>
                <w:iCs/>
                <w:szCs w:val="17"/>
                <w:lang w:eastAsia="en-US"/>
              </w:rPr>
              <w:t xml:space="preserve"> for future years have been updated </w:t>
            </w:r>
            <w:r w:rsidR="00E93EE0">
              <w:rPr>
                <w:rFonts w:asciiTheme="minorHAnsi" w:eastAsia="Times New Roman" w:hAnsiTheme="minorHAnsi"/>
                <w:iCs/>
                <w:szCs w:val="17"/>
                <w:lang w:eastAsia="en-US"/>
              </w:rPr>
              <w:t>based on this result</w:t>
            </w:r>
            <w:r w:rsidRPr="00B82D49">
              <w:rPr>
                <w:rFonts w:asciiTheme="minorHAnsi" w:eastAsia="Times New Roman" w:hAnsiTheme="minorHAnsi"/>
                <w:iCs/>
                <w:szCs w:val="17"/>
                <w:lang w:eastAsia="en-US"/>
              </w:rPr>
              <w:t xml:space="preserve"> (e.g., the target for 2019/20 is 130,000 tonne of paddy). </w:t>
            </w:r>
          </w:p>
        </w:tc>
      </w:tr>
      <w:tr w:rsidR="00500D14" w:rsidRPr="00C61187" w:rsidTr="00D9263B">
        <w:trPr>
          <w:trHeight w:val="23"/>
        </w:trPr>
        <w:tc>
          <w:tcPr>
            <w:tcW w:w="789" w:type="pct"/>
            <w:tcBorders>
              <w:top w:val="nil"/>
              <w:bottom w:val="single" w:sz="4" w:space="0" w:color="auto"/>
            </w:tcBorders>
            <w:tcMar>
              <w:top w:w="57" w:type="dxa"/>
              <w:bottom w:w="57" w:type="dxa"/>
            </w:tcMar>
          </w:tcPr>
          <w:p w:rsidR="00500D14" w:rsidRDefault="00500D14" w:rsidP="00D9263B">
            <w:pPr>
              <w:keepLines/>
              <w:spacing w:before="40" w:after="40" w:line="200" w:lineRule="atLeast"/>
              <w:rPr>
                <w:rFonts w:eastAsia="Times New Roman"/>
                <w:iCs/>
                <w:szCs w:val="17"/>
              </w:rPr>
            </w:pPr>
          </w:p>
        </w:tc>
        <w:tc>
          <w:tcPr>
            <w:tcW w:w="1340" w:type="pct"/>
            <w:tcBorders>
              <w:top w:val="single" w:sz="4" w:space="0" w:color="auto"/>
              <w:bottom w:val="single" w:sz="4" w:space="0" w:color="auto"/>
            </w:tcBorders>
          </w:tcPr>
          <w:p w:rsidR="00500D14" w:rsidRPr="0048041A" w:rsidRDefault="00500D14" w:rsidP="00D9263B">
            <w:pPr>
              <w:keepLines/>
              <w:spacing w:before="40" w:after="40" w:line="200" w:lineRule="atLeast"/>
              <w:rPr>
                <w:rFonts w:eastAsia="Times New Roman"/>
                <w:iCs/>
                <w:szCs w:val="17"/>
              </w:rPr>
            </w:pPr>
            <w:r w:rsidRPr="0060518C">
              <w:rPr>
                <w:rFonts w:asciiTheme="minorHAnsi" w:eastAsia="Times New Roman" w:hAnsiTheme="minorHAnsi"/>
                <w:iCs/>
                <w:szCs w:val="17"/>
                <w:lang w:eastAsia="en-US"/>
              </w:rPr>
              <w:t>Land contaminated by landmines and other ERW released for productive use</w:t>
            </w:r>
            <w:r>
              <w:rPr>
                <w:rFonts w:asciiTheme="minorHAnsi" w:eastAsia="Times New Roman" w:hAnsiTheme="minorHAnsi"/>
                <w:iCs/>
                <w:szCs w:val="17"/>
                <w:lang w:eastAsia="en-US"/>
              </w:rPr>
              <w:t xml:space="preserve"> (</w:t>
            </w:r>
            <w:r w:rsidRPr="002B5745">
              <w:rPr>
                <w:rFonts w:asciiTheme="minorHAnsi" w:eastAsia="Times New Roman" w:hAnsiTheme="minorHAnsi"/>
                <w:iCs/>
                <w:szCs w:val="17"/>
                <w:lang w:eastAsia="en-US"/>
              </w:rPr>
              <w:t>6.67</w:t>
            </w:r>
            <w:r w:rsidRPr="0060518C">
              <w:rPr>
                <w:rFonts w:asciiTheme="minorHAnsi" w:eastAsia="Times New Roman" w:hAnsiTheme="minorHAnsi"/>
                <w:iCs/>
                <w:szCs w:val="17"/>
                <w:lang w:eastAsia="en-US"/>
              </w:rPr>
              <w:t>km</w:t>
            </w:r>
            <w:r w:rsidRPr="002B5745">
              <w:rPr>
                <w:rFonts w:asciiTheme="minorHAnsi" w:eastAsia="Times New Roman" w:hAnsiTheme="minorHAnsi"/>
                <w:iCs/>
                <w:szCs w:val="17"/>
                <w:vertAlign w:val="superscript"/>
                <w:lang w:eastAsia="en-US"/>
              </w:rPr>
              <w:t>2</w:t>
            </w:r>
            <w:r>
              <w:rPr>
                <w:rFonts w:asciiTheme="minorHAnsi" w:eastAsia="Times New Roman" w:hAnsiTheme="minorHAnsi"/>
                <w:iCs/>
                <w:szCs w:val="17"/>
                <w:lang w:eastAsia="en-US"/>
              </w:rPr>
              <w:t>)</w:t>
            </w:r>
          </w:p>
        </w:tc>
        <w:tc>
          <w:tcPr>
            <w:tcW w:w="495" w:type="pct"/>
            <w:tcBorders>
              <w:top w:val="single" w:sz="4" w:space="0" w:color="auto"/>
              <w:bottom w:val="single" w:sz="4" w:space="0" w:color="auto"/>
            </w:tcBorders>
            <w:shd w:val="clear" w:color="auto" w:fill="7CBF33"/>
          </w:tcPr>
          <w:p w:rsidR="00500D14" w:rsidRPr="00880004" w:rsidRDefault="00500D14" w:rsidP="00D9263B">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A</w:t>
            </w:r>
            <w:r w:rsidRPr="00880004">
              <w:rPr>
                <w:rFonts w:asciiTheme="minorHAnsi" w:eastAsia="Times New Roman" w:hAnsiTheme="minorHAnsi"/>
                <w:iCs/>
                <w:color w:val="FFFFFF" w:themeColor="background1"/>
                <w:szCs w:val="17"/>
                <w:lang w:eastAsia="en-US"/>
              </w:rPr>
              <w:t>chieved</w:t>
            </w:r>
          </w:p>
        </w:tc>
        <w:tc>
          <w:tcPr>
            <w:tcW w:w="2376" w:type="pct"/>
            <w:tcBorders>
              <w:top w:val="single" w:sz="4" w:space="0" w:color="auto"/>
              <w:bottom w:val="single" w:sz="4" w:space="0" w:color="auto"/>
            </w:tcBorders>
          </w:tcPr>
          <w:p w:rsidR="00500D14" w:rsidRPr="009A1822" w:rsidRDefault="00FC63B4" w:rsidP="00D9263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The t</w:t>
            </w:r>
            <w:r w:rsidR="00500D14" w:rsidRPr="00374D35">
              <w:rPr>
                <w:rFonts w:asciiTheme="minorHAnsi" w:eastAsia="Times New Roman" w:hAnsiTheme="minorHAnsi"/>
                <w:iCs/>
                <w:szCs w:val="17"/>
                <w:lang w:eastAsia="en-US"/>
              </w:rPr>
              <w:t xml:space="preserve">arget </w:t>
            </w:r>
            <w:r>
              <w:rPr>
                <w:rFonts w:asciiTheme="minorHAnsi" w:eastAsia="Times New Roman" w:hAnsiTheme="minorHAnsi"/>
                <w:iCs/>
                <w:szCs w:val="17"/>
                <w:lang w:eastAsia="en-US"/>
              </w:rPr>
              <w:t xml:space="preserve">was </w:t>
            </w:r>
            <w:r w:rsidR="00500D14" w:rsidRPr="00374D35">
              <w:rPr>
                <w:rFonts w:asciiTheme="minorHAnsi" w:eastAsia="Times New Roman" w:hAnsiTheme="minorHAnsi"/>
                <w:iCs/>
                <w:szCs w:val="17"/>
                <w:lang w:eastAsia="en-US"/>
              </w:rPr>
              <w:t xml:space="preserve">exceeded. </w:t>
            </w:r>
            <w:r w:rsidR="00500D14" w:rsidRPr="002B5745">
              <w:rPr>
                <w:rFonts w:asciiTheme="minorHAnsi" w:eastAsia="Times New Roman" w:hAnsiTheme="minorHAnsi"/>
                <w:iCs/>
                <w:szCs w:val="17"/>
                <w:lang w:eastAsia="en-US"/>
              </w:rPr>
              <w:t>12.47</w:t>
            </w:r>
            <w:r w:rsidR="00500D14">
              <w:rPr>
                <w:rFonts w:asciiTheme="minorHAnsi" w:eastAsia="Times New Roman" w:hAnsiTheme="minorHAnsi"/>
                <w:iCs/>
                <w:szCs w:val="17"/>
                <w:lang w:eastAsia="en-US"/>
              </w:rPr>
              <w:t>k</w:t>
            </w:r>
            <w:r w:rsidR="00500D14" w:rsidRPr="00374D35">
              <w:rPr>
                <w:rFonts w:asciiTheme="minorHAnsi" w:eastAsia="Times New Roman" w:hAnsiTheme="minorHAnsi"/>
                <w:iCs/>
                <w:szCs w:val="17"/>
                <w:lang w:eastAsia="en-US"/>
              </w:rPr>
              <w:t>m</w:t>
            </w:r>
            <w:r w:rsidR="00500D14" w:rsidRPr="00522F47">
              <w:rPr>
                <w:rFonts w:asciiTheme="minorHAnsi" w:eastAsia="Times New Roman" w:hAnsiTheme="minorHAnsi"/>
                <w:iCs/>
                <w:szCs w:val="17"/>
                <w:vertAlign w:val="superscript"/>
                <w:lang w:eastAsia="en-US"/>
              </w:rPr>
              <w:t>2</w:t>
            </w:r>
            <w:r w:rsidR="00500D14" w:rsidRPr="00374D35">
              <w:rPr>
                <w:rFonts w:asciiTheme="minorHAnsi" w:eastAsia="Times New Roman" w:hAnsiTheme="minorHAnsi"/>
                <w:iCs/>
                <w:szCs w:val="17"/>
                <w:lang w:eastAsia="en-US"/>
              </w:rPr>
              <w:t xml:space="preserve"> of land was cleared using technical clearance (DFAT contribution is 40 per cent).</w:t>
            </w:r>
          </w:p>
        </w:tc>
      </w:tr>
      <w:tr w:rsidR="00543968" w:rsidRPr="00C61187" w:rsidTr="005455D5">
        <w:tc>
          <w:tcPr>
            <w:tcW w:w="789" w:type="pct"/>
            <w:tcBorders>
              <w:top w:val="single" w:sz="4" w:space="0" w:color="auto"/>
              <w:bottom w:val="nil"/>
            </w:tcBorders>
            <w:tcMar>
              <w:top w:w="57" w:type="dxa"/>
              <w:bottom w:w="57" w:type="dxa"/>
            </w:tcMar>
          </w:tcPr>
          <w:p w:rsidR="00500D14" w:rsidRDefault="00500D14" w:rsidP="00D9263B">
            <w:pPr>
              <w:keepLines/>
              <w:spacing w:before="40" w:after="40" w:line="200" w:lineRule="atLeast"/>
              <w:rPr>
                <w:rFonts w:eastAsia="Times New Roman"/>
                <w:iCs/>
                <w:szCs w:val="17"/>
              </w:rPr>
            </w:pPr>
            <w:r w:rsidRPr="00280CC1">
              <w:rPr>
                <w:rFonts w:asciiTheme="minorHAnsi" w:hAnsiTheme="minorHAnsi"/>
                <w:b/>
                <w:sz w:val="18"/>
              </w:rPr>
              <w:t>Better health and education outcomes</w:t>
            </w:r>
          </w:p>
        </w:tc>
        <w:tc>
          <w:tcPr>
            <w:tcW w:w="1340" w:type="pct"/>
            <w:tcBorders>
              <w:top w:val="single" w:sz="4" w:space="0" w:color="auto"/>
              <w:bottom w:val="single" w:sz="4" w:space="0" w:color="auto"/>
            </w:tcBorders>
          </w:tcPr>
          <w:p w:rsidR="00500D14" w:rsidRPr="00880004" w:rsidRDefault="00500D14" w:rsidP="00D9263B">
            <w:pPr>
              <w:keepLines/>
              <w:spacing w:before="40" w:after="40" w:line="200" w:lineRule="atLeast"/>
              <w:rPr>
                <w:rFonts w:eastAsia="Times New Roman"/>
                <w:iCs/>
                <w:szCs w:val="17"/>
              </w:rPr>
            </w:pPr>
            <w:r w:rsidRPr="0060518C">
              <w:rPr>
                <w:rFonts w:asciiTheme="minorHAnsi" w:eastAsia="Times New Roman" w:hAnsiTheme="minorHAnsi"/>
                <w:iCs/>
                <w:szCs w:val="17"/>
                <w:lang w:eastAsia="en-US"/>
              </w:rPr>
              <w:t xml:space="preserve">Number of health </w:t>
            </w:r>
            <w:r w:rsidR="007003F3">
              <w:rPr>
                <w:rFonts w:asciiTheme="minorHAnsi" w:eastAsia="Times New Roman" w:hAnsiTheme="minorHAnsi"/>
                <w:iCs/>
                <w:szCs w:val="17"/>
                <w:lang w:eastAsia="en-US"/>
              </w:rPr>
              <w:t>centres</w:t>
            </w:r>
            <w:r w:rsidR="007003F3" w:rsidRPr="0060518C">
              <w:rPr>
                <w:rFonts w:asciiTheme="minorHAnsi" w:eastAsia="Times New Roman" w:hAnsiTheme="minorHAnsi"/>
                <w:iCs/>
                <w:szCs w:val="17"/>
                <w:lang w:eastAsia="en-US"/>
              </w:rPr>
              <w:t xml:space="preserve"> </w:t>
            </w:r>
            <w:r w:rsidRPr="0060518C">
              <w:rPr>
                <w:rFonts w:asciiTheme="minorHAnsi" w:eastAsia="Times New Roman" w:hAnsiTheme="minorHAnsi"/>
                <w:iCs/>
                <w:szCs w:val="17"/>
                <w:lang w:eastAsia="en-US"/>
              </w:rPr>
              <w:t>exceeding 60 per cent score on the quality assessment of health facilities tool</w:t>
            </w:r>
            <w:r>
              <w:rPr>
                <w:rFonts w:asciiTheme="minorHAnsi" w:eastAsia="Times New Roman" w:hAnsiTheme="minorHAnsi"/>
                <w:iCs/>
                <w:szCs w:val="17"/>
                <w:lang w:eastAsia="en-US"/>
              </w:rPr>
              <w:t xml:space="preserve"> (Target = 30%, which is a b</w:t>
            </w:r>
            <w:r w:rsidRPr="0060518C">
              <w:rPr>
                <w:rFonts w:asciiTheme="minorHAnsi" w:eastAsia="Times New Roman" w:hAnsiTheme="minorHAnsi"/>
                <w:iCs/>
                <w:szCs w:val="17"/>
                <w:lang w:eastAsia="en-US"/>
              </w:rPr>
              <w:t>aseline</w:t>
            </w:r>
            <w:r>
              <w:rPr>
                <w:rFonts w:asciiTheme="minorHAnsi" w:eastAsia="Times New Roman" w:hAnsiTheme="minorHAnsi"/>
                <w:iCs/>
                <w:szCs w:val="17"/>
                <w:lang w:eastAsia="en-US"/>
              </w:rPr>
              <w:t xml:space="preserve"> of 10 per cent</w:t>
            </w:r>
            <w:r w:rsidRPr="0060518C">
              <w:rPr>
                <w:rFonts w:asciiTheme="minorHAnsi" w:eastAsia="Times New Roman" w:hAnsiTheme="minorHAnsi"/>
                <w:iCs/>
                <w:szCs w:val="17"/>
                <w:lang w:eastAsia="en-US"/>
              </w:rPr>
              <w:t xml:space="preserve"> + 20 per cent</w:t>
            </w:r>
            <w:r>
              <w:rPr>
                <w:rFonts w:asciiTheme="minorHAnsi" w:eastAsia="Times New Roman" w:hAnsiTheme="minorHAnsi"/>
                <w:iCs/>
                <w:szCs w:val="17"/>
                <w:lang w:eastAsia="en-US"/>
              </w:rPr>
              <w:t>)</w:t>
            </w:r>
          </w:p>
        </w:tc>
        <w:tc>
          <w:tcPr>
            <w:tcW w:w="495" w:type="pct"/>
            <w:tcBorders>
              <w:top w:val="single" w:sz="4" w:space="0" w:color="auto"/>
              <w:bottom w:val="single" w:sz="4" w:space="0" w:color="auto"/>
            </w:tcBorders>
            <w:shd w:val="clear" w:color="auto" w:fill="7CBF33"/>
          </w:tcPr>
          <w:p w:rsidR="00500D14" w:rsidRPr="00880004" w:rsidRDefault="00500D14" w:rsidP="00D9263B">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A</w:t>
            </w:r>
            <w:r w:rsidRPr="00880004">
              <w:rPr>
                <w:rFonts w:asciiTheme="minorHAnsi" w:eastAsia="Times New Roman" w:hAnsiTheme="minorHAnsi"/>
                <w:iCs/>
                <w:color w:val="FFFFFF" w:themeColor="background1"/>
                <w:szCs w:val="17"/>
                <w:lang w:eastAsia="en-US"/>
              </w:rPr>
              <w:t>chieved</w:t>
            </w:r>
          </w:p>
        </w:tc>
        <w:tc>
          <w:tcPr>
            <w:tcW w:w="2376" w:type="pct"/>
            <w:tcBorders>
              <w:top w:val="single" w:sz="4" w:space="0" w:color="auto"/>
              <w:bottom w:val="single" w:sz="4" w:space="0" w:color="auto"/>
            </w:tcBorders>
          </w:tcPr>
          <w:p w:rsidR="00500D14" w:rsidRPr="009A1822" w:rsidRDefault="00FC63B4" w:rsidP="00BF1EA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The target was </w:t>
            </w:r>
            <w:r w:rsidR="00500D14">
              <w:rPr>
                <w:rFonts w:asciiTheme="minorHAnsi" w:eastAsia="Times New Roman" w:hAnsiTheme="minorHAnsi"/>
                <w:iCs/>
                <w:szCs w:val="17"/>
                <w:lang w:eastAsia="en-US"/>
              </w:rPr>
              <w:t xml:space="preserve">significantly exceeded as </w:t>
            </w:r>
            <w:r w:rsidR="00500D14" w:rsidRPr="002B5745">
              <w:rPr>
                <w:rFonts w:asciiTheme="minorHAnsi" w:eastAsia="Times New Roman" w:hAnsiTheme="minorHAnsi"/>
                <w:iCs/>
                <w:szCs w:val="17"/>
                <w:lang w:eastAsia="en-US"/>
              </w:rPr>
              <w:t>88 per cent</w:t>
            </w:r>
            <w:r w:rsidR="00500D14" w:rsidRPr="00374D35">
              <w:rPr>
                <w:rFonts w:asciiTheme="minorHAnsi" w:eastAsia="Times New Roman" w:hAnsiTheme="minorHAnsi"/>
                <w:iCs/>
                <w:szCs w:val="17"/>
                <w:lang w:eastAsia="en-US"/>
              </w:rPr>
              <w:t xml:space="preserve"> </w:t>
            </w:r>
            <w:r w:rsidR="00500D14">
              <w:rPr>
                <w:rFonts w:asciiTheme="minorHAnsi" w:eastAsia="Times New Roman" w:hAnsiTheme="minorHAnsi"/>
                <w:iCs/>
                <w:szCs w:val="17"/>
                <w:lang w:eastAsia="en-US"/>
              </w:rPr>
              <w:t xml:space="preserve">of </w:t>
            </w:r>
            <w:r w:rsidR="007003F3">
              <w:rPr>
                <w:rFonts w:asciiTheme="minorHAnsi" w:eastAsia="Times New Roman" w:hAnsiTheme="minorHAnsi"/>
                <w:iCs/>
                <w:szCs w:val="17"/>
                <w:lang w:eastAsia="en-US"/>
              </w:rPr>
              <w:t xml:space="preserve">health centres </w:t>
            </w:r>
            <w:r w:rsidR="00500D14">
              <w:rPr>
                <w:rFonts w:asciiTheme="minorHAnsi" w:eastAsia="Times New Roman" w:hAnsiTheme="minorHAnsi"/>
                <w:iCs/>
                <w:szCs w:val="17"/>
                <w:lang w:eastAsia="en-US"/>
              </w:rPr>
              <w:t xml:space="preserve">exceeded the </w:t>
            </w:r>
            <w:r w:rsidR="00500D14" w:rsidRPr="0060518C">
              <w:rPr>
                <w:rFonts w:asciiTheme="minorHAnsi" w:eastAsia="Times New Roman" w:hAnsiTheme="minorHAnsi"/>
                <w:iCs/>
                <w:szCs w:val="17"/>
                <w:lang w:eastAsia="en-US"/>
              </w:rPr>
              <w:t>60 per cent score on quality assessment</w:t>
            </w:r>
            <w:r w:rsidR="00500D14">
              <w:rPr>
                <w:rFonts w:asciiTheme="minorHAnsi" w:eastAsia="Times New Roman" w:hAnsiTheme="minorHAnsi"/>
                <w:iCs/>
                <w:szCs w:val="17"/>
                <w:lang w:eastAsia="en-US"/>
              </w:rPr>
              <w:t>.</w:t>
            </w:r>
            <w:r w:rsidR="00500D14" w:rsidRPr="00374D35">
              <w:rPr>
                <w:rFonts w:asciiTheme="minorHAnsi" w:eastAsia="Times New Roman" w:hAnsiTheme="minorHAnsi"/>
                <w:iCs/>
                <w:szCs w:val="17"/>
                <w:lang w:eastAsia="en-US"/>
              </w:rPr>
              <w:t xml:space="preserve"> </w:t>
            </w:r>
            <w:r w:rsidR="00BF1EA4">
              <w:rPr>
                <w:rFonts w:asciiTheme="minorHAnsi" w:eastAsia="Times New Roman" w:hAnsiTheme="minorHAnsi"/>
                <w:iCs/>
                <w:szCs w:val="17"/>
                <w:lang w:eastAsia="en-US"/>
              </w:rPr>
              <w:t>According to H-EQIP’s revised targets of 2019, in future this indicator will be measured by a number instead of percentage.</w:t>
            </w:r>
          </w:p>
        </w:tc>
      </w:tr>
      <w:tr w:rsidR="00543968" w:rsidRPr="00C61187" w:rsidTr="005455D5">
        <w:tc>
          <w:tcPr>
            <w:tcW w:w="789" w:type="pct"/>
            <w:tcBorders>
              <w:top w:val="nil"/>
              <w:bottom w:val="single" w:sz="4" w:space="0" w:color="auto"/>
            </w:tcBorders>
            <w:tcMar>
              <w:top w:w="57" w:type="dxa"/>
              <w:bottom w:w="57" w:type="dxa"/>
            </w:tcMar>
          </w:tcPr>
          <w:p w:rsidR="00500D14" w:rsidRDefault="00500D14" w:rsidP="00D9263B">
            <w:pPr>
              <w:keepLines/>
              <w:spacing w:before="40" w:after="40" w:line="200" w:lineRule="atLeast"/>
              <w:rPr>
                <w:rFonts w:eastAsia="Times New Roman"/>
                <w:iCs/>
                <w:szCs w:val="17"/>
              </w:rPr>
            </w:pPr>
          </w:p>
        </w:tc>
        <w:tc>
          <w:tcPr>
            <w:tcW w:w="1340" w:type="pct"/>
            <w:tcBorders>
              <w:top w:val="single" w:sz="4" w:space="0" w:color="auto"/>
              <w:bottom w:val="single" w:sz="4" w:space="0" w:color="auto"/>
            </w:tcBorders>
          </w:tcPr>
          <w:p w:rsidR="00500D14" w:rsidRPr="00880004" w:rsidRDefault="00500D14" w:rsidP="00D9263B">
            <w:pPr>
              <w:keepLines/>
              <w:spacing w:before="40" w:after="40" w:line="200" w:lineRule="atLeast"/>
              <w:rPr>
                <w:rFonts w:eastAsia="Times New Roman"/>
                <w:iCs/>
                <w:szCs w:val="17"/>
              </w:rPr>
            </w:pPr>
            <w:r w:rsidRPr="0060518C">
              <w:rPr>
                <w:rFonts w:asciiTheme="minorHAnsi" w:eastAsia="Times New Roman" w:hAnsiTheme="minorHAnsi"/>
                <w:iCs/>
                <w:szCs w:val="17"/>
                <w:lang w:eastAsia="en-US"/>
              </w:rPr>
              <w:t>Number and per cent of Australia Awards scholarships awarded to women and men</w:t>
            </w:r>
            <w:r>
              <w:rPr>
                <w:rFonts w:asciiTheme="minorHAnsi" w:eastAsia="Times New Roman" w:hAnsiTheme="minorHAnsi"/>
                <w:iCs/>
                <w:szCs w:val="17"/>
                <w:lang w:eastAsia="en-US"/>
              </w:rPr>
              <w:t xml:space="preserve"> </w:t>
            </w:r>
            <w:r w:rsidRPr="0060518C">
              <w:rPr>
                <w:rFonts w:asciiTheme="minorHAnsi" w:eastAsia="Times New Roman" w:hAnsiTheme="minorHAnsi"/>
                <w:iCs/>
                <w:szCs w:val="17"/>
                <w:lang w:eastAsia="en-US"/>
              </w:rPr>
              <w:t>(50 per cent women, 50 per cent men</w:t>
            </w:r>
            <w:r>
              <w:rPr>
                <w:rFonts w:asciiTheme="minorHAnsi" w:eastAsia="Times New Roman" w:hAnsiTheme="minorHAnsi"/>
                <w:iCs/>
                <w:szCs w:val="17"/>
                <w:lang w:eastAsia="en-US"/>
              </w:rPr>
              <w:t>)</w:t>
            </w:r>
          </w:p>
        </w:tc>
        <w:tc>
          <w:tcPr>
            <w:tcW w:w="495" w:type="pct"/>
            <w:tcBorders>
              <w:top w:val="single" w:sz="4" w:space="0" w:color="auto"/>
              <w:bottom w:val="single" w:sz="4" w:space="0" w:color="auto"/>
            </w:tcBorders>
            <w:shd w:val="clear" w:color="auto" w:fill="E36C0A"/>
          </w:tcPr>
          <w:p w:rsidR="00500D14" w:rsidRPr="00880004" w:rsidRDefault="00500D14" w:rsidP="00D9263B">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Partly a</w:t>
            </w:r>
            <w:r w:rsidRPr="00880004">
              <w:rPr>
                <w:rFonts w:asciiTheme="minorHAnsi" w:eastAsia="Times New Roman" w:hAnsiTheme="minorHAnsi"/>
                <w:iCs/>
                <w:color w:val="FFFFFF" w:themeColor="background1"/>
                <w:szCs w:val="17"/>
                <w:lang w:eastAsia="en-US"/>
              </w:rPr>
              <w:t>chieved</w:t>
            </w:r>
          </w:p>
        </w:tc>
        <w:tc>
          <w:tcPr>
            <w:tcW w:w="2376" w:type="pct"/>
            <w:tcBorders>
              <w:top w:val="single" w:sz="4" w:space="0" w:color="auto"/>
              <w:bottom w:val="single" w:sz="4" w:space="0" w:color="auto"/>
            </w:tcBorders>
          </w:tcPr>
          <w:p w:rsidR="00500D14" w:rsidRPr="009A1822" w:rsidRDefault="00500D14" w:rsidP="00D9263B">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Good progress has been made towards awarding 50 per cent of scholarships to women. In 2018/19, </w:t>
            </w:r>
            <w:r w:rsidRPr="00374D35">
              <w:rPr>
                <w:rFonts w:asciiTheme="minorHAnsi" w:eastAsia="Times New Roman" w:hAnsiTheme="minorHAnsi"/>
                <w:iCs/>
                <w:szCs w:val="17"/>
                <w:lang w:eastAsia="en-US"/>
              </w:rPr>
              <w:t xml:space="preserve">48 per cent </w:t>
            </w:r>
            <w:r>
              <w:rPr>
                <w:rFonts w:asciiTheme="minorHAnsi" w:eastAsia="Times New Roman" w:hAnsiTheme="minorHAnsi"/>
                <w:iCs/>
                <w:szCs w:val="17"/>
                <w:lang w:eastAsia="en-US"/>
              </w:rPr>
              <w:t>of scholarships were offered to women, which is a 12 per cent increase from two years ago. As we did not reach the 50 per</w:t>
            </w:r>
            <w:r w:rsidR="00A63876">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cent target, this results in an amber rating.</w:t>
            </w:r>
          </w:p>
        </w:tc>
      </w:tr>
    </w:tbl>
    <w:p w:rsidR="00500D14" w:rsidRPr="00880004" w:rsidRDefault="00500D14" w:rsidP="00500D14">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500D14" w:rsidRPr="00880004" w:rsidRDefault="00500D14" w:rsidP="00500D14">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500D14" w:rsidRPr="00880004" w:rsidRDefault="00500D14" w:rsidP="00500D14">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500D14" w:rsidRPr="00880004" w:rsidRDefault="00500D14" w:rsidP="00500D14">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7B4865" w:rsidRDefault="007B4865" w:rsidP="007B4865">
      <w:pPr>
        <w:rPr>
          <w:rFonts w:ascii="Franklin Gothic Book" w:eastAsia="Times New Roman" w:hAnsi="Franklin Gothic Book"/>
          <w:b/>
          <w:sz w:val="24"/>
          <w:szCs w:val="24"/>
        </w:rPr>
      </w:pPr>
    </w:p>
    <w:p w:rsidR="002E3C15" w:rsidRDefault="002E3C15">
      <w:pPr>
        <w:suppressAutoHyphens w:val="0"/>
        <w:spacing w:before="0" w:after="120" w:line="440" w:lineRule="atLeast"/>
        <w:rPr>
          <w:rFonts w:eastAsia="Times New Roman" w:cstheme="minorHAnsi"/>
          <w:sz w:val="32"/>
          <w:szCs w:val="32"/>
        </w:rPr>
      </w:pPr>
      <w:r>
        <w:rPr>
          <w:rFonts w:eastAsia="Times New Roman" w:cstheme="minorHAnsi"/>
          <w:sz w:val="32"/>
          <w:szCs w:val="32"/>
        </w:rPr>
        <w:br w:type="page"/>
      </w:r>
    </w:p>
    <w:p w:rsidR="00194665" w:rsidRPr="00F8189A" w:rsidRDefault="00194665" w:rsidP="00194665">
      <w:pPr>
        <w:rPr>
          <w:rFonts w:eastAsia="Times New Roman" w:cstheme="minorHAnsi"/>
          <w:sz w:val="32"/>
          <w:szCs w:val="32"/>
        </w:rPr>
      </w:pPr>
      <w:r w:rsidRPr="00F8189A">
        <w:rPr>
          <w:rFonts w:eastAsia="Times New Roman" w:cstheme="minorHAnsi"/>
          <w:sz w:val="32"/>
          <w:szCs w:val="32"/>
        </w:rPr>
        <w:lastRenderedPageBreak/>
        <w:t xml:space="preserve">2 Performance Benchmarks for </w:t>
      </w:r>
      <w:r>
        <w:rPr>
          <w:rFonts w:eastAsia="Times New Roman" w:cstheme="minorHAnsi"/>
          <w:sz w:val="32"/>
          <w:szCs w:val="32"/>
        </w:rPr>
        <w:t xml:space="preserve">2019-20* </w:t>
      </w:r>
    </w:p>
    <w:tbl>
      <w:tblPr>
        <w:tblStyle w:val="DFATTable"/>
        <w:tblW w:w="4901" w:type="pct"/>
        <w:tblLook w:val="04A0" w:firstRow="1" w:lastRow="0" w:firstColumn="1" w:lastColumn="0" w:noHBand="0" w:noVBand="1"/>
      </w:tblPr>
      <w:tblGrid>
        <w:gridCol w:w="2242"/>
        <w:gridCol w:w="4226"/>
        <w:gridCol w:w="3598"/>
        <w:gridCol w:w="3826"/>
      </w:tblGrid>
      <w:tr w:rsidR="00194665" w:rsidTr="005455D5">
        <w:trPr>
          <w:trHeight w:val="245"/>
        </w:trPr>
        <w:tc>
          <w:tcPr>
            <w:tcW w:w="807" w:type="pct"/>
            <w:tcBorders>
              <w:top w:val="single" w:sz="12" w:space="0" w:color="auto"/>
              <w:left w:val="nil"/>
              <w:bottom w:val="nil"/>
              <w:right w:val="nil"/>
            </w:tcBorders>
          </w:tcPr>
          <w:p w:rsidR="00194665" w:rsidRPr="00BE6C6D" w:rsidRDefault="00194665" w:rsidP="00774B39">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21" w:type="pct"/>
            <w:tcBorders>
              <w:top w:val="single" w:sz="12" w:space="0" w:color="auto"/>
              <w:left w:val="nil"/>
              <w:bottom w:val="nil"/>
              <w:right w:val="nil"/>
            </w:tcBorders>
          </w:tcPr>
          <w:p w:rsidR="00194665" w:rsidRPr="00BE6C6D" w:rsidRDefault="00194665" w:rsidP="00774B39">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1295" w:type="pct"/>
            <w:tcBorders>
              <w:top w:val="single" w:sz="12" w:space="0" w:color="auto"/>
              <w:left w:val="nil"/>
              <w:bottom w:val="nil"/>
              <w:right w:val="nil"/>
            </w:tcBorders>
            <w:hideMark/>
          </w:tcPr>
          <w:p w:rsidR="00194665" w:rsidRPr="00BE6C6D" w:rsidRDefault="00194665" w:rsidP="00774B39">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 achievement</w:t>
            </w:r>
          </w:p>
        </w:tc>
        <w:tc>
          <w:tcPr>
            <w:tcW w:w="1377" w:type="pct"/>
            <w:tcBorders>
              <w:top w:val="single" w:sz="12" w:space="0" w:color="auto"/>
              <w:left w:val="nil"/>
              <w:bottom w:val="nil"/>
              <w:right w:val="nil"/>
            </w:tcBorders>
            <w:hideMark/>
          </w:tcPr>
          <w:p w:rsidR="00194665" w:rsidRPr="00BE6C6D" w:rsidRDefault="00194665" w:rsidP="00774B39">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9-20 target</w:t>
            </w:r>
          </w:p>
        </w:tc>
      </w:tr>
      <w:tr w:rsidR="00194665" w:rsidTr="005455D5">
        <w:trPr>
          <w:trHeight w:val="730"/>
        </w:trPr>
        <w:tc>
          <w:tcPr>
            <w:tcW w:w="807" w:type="pct"/>
            <w:tcBorders>
              <w:top w:val="nil"/>
              <w:left w:val="nil"/>
              <w:bottom w:val="single" w:sz="4" w:space="0" w:color="auto"/>
              <w:right w:val="nil"/>
            </w:tcBorders>
          </w:tcPr>
          <w:p w:rsidR="00194665" w:rsidRPr="00085E5F" w:rsidRDefault="00194665" w:rsidP="00774B39">
            <w:pPr>
              <w:pStyle w:val="NormalIndented"/>
              <w:rPr>
                <w:rFonts w:asciiTheme="minorHAnsi" w:hAnsiTheme="minorHAnsi"/>
                <w:i/>
                <w:color w:val="FF0000"/>
                <w:sz w:val="18"/>
              </w:rPr>
            </w:pPr>
            <w:r w:rsidRPr="00280CC1">
              <w:rPr>
                <w:rFonts w:asciiTheme="minorHAnsi" w:eastAsia="Times New Roman" w:hAnsiTheme="minorHAnsi"/>
                <w:b/>
                <w:iCs/>
                <w:szCs w:val="17"/>
                <w:lang w:eastAsia="en-US"/>
              </w:rPr>
              <w:t>Improving access to essential infrastructure</w:t>
            </w:r>
          </w:p>
        </w:tc>
        <w:tc>
          <w:tcPr>
            <w:tcW w:w="1521" w:type="pct"/>
            <w:tcBorders>
              <w:top w:val="nil"/>
              <w:left w:val="nil"/>
              <w:bottom w:val="single" w:sz="4" w:space="0" w:color="auto"/>
              <w:right w:val="nil"/>
            </w:tcBorders>
          </w:tcPr>
          <w:p w:rsidR="00194665" w:rsidRPr="00085E5F" w:rsidRDefault="00194665" w:rsidP="00774B39">
            <w:pPr>
              <w:pStyle w:val="NormalIndented"/>
              <w:rPr>
                <w:rFonts w:asciiTheme="minorHAnsi" w:hAnsiTheme="minorHAnsi"/>
                <w:i/>
                <w:color w:val="FF0000"/>
                <w:szCs w:val="20"/>
                <w:lang w:eastAsia="en-US"/>
              </w:rPr>
            </w:pPr>
            <w:r w:rsidRPr="0060518C">
              <w:rPr>
                <w:rFonts w:asciiTheme="minorHAnsi" w:eastAsia="Times New Roman" w:hAnsiTheme="minorHAnsi"/>
                <w:iCs/>
                <w:szCs w:val="17"/>
                <w:lang w:eastAsia="en-US"/>
              </w:rPr>
              <w:t xml:space="preserve">Number of people (women and men) that will directly benefit from a new committed household or </w:t>
            </w:r>
            <w:r w:rsidRPr="003D6685">
              <w:rPr>
                <w:rFonts w:asciiTheme="minorHAnsi" w:eastAsia="Times New Roman" w:hAnsiTheme="minorHAnsi"/>
                <w:iCs/>
                <w:szCs w:val="17"/>
                <w:lang w:eastAsia="en-US"/>
              </w:rPr>
              <w:t>business</w:t>
            </w:r>
            <w:r w:rsidRPr="0060518C">
              <w:rPr>
                <w:rFonts w:asciiTheme="minorHAnsi" w:eastAsia="Times New Roman" w:hAnsiTheme="minorHAnsi"/>
                <w:iCs/>
                <w:szCs w:val="17"/>
                <w:lang w:eastAsia="en-US"/>
              </w:rPr>
              <w:t xml:space="preserve"> connection to electricity and/or piped, treated water</w:t>
            </w:r>
            <w:r>
              <w:rPr>
                <w:rFonts w:asciiTheme="minorHAnsi" w:eastAsia="Times New Roman" w:hAnsiTheme="minorHAnsi"/>
                <w:iCs/>
                <w:szCs w:val="17"/>
                <w:lang w:eastAsia="en-US"/>
              </w:rPr>
              <w:t xml:space="preserve"> (</w:t>
            </w:r>
            <w:r w:rsidRPr="000B04FD">
              <w:rPr>
                <w:rFonts w:asciiTheme="minorHAnsi" w:eastAsia="Times New Roman" w:hAnsiTheme="minorHAnsi"/>
                <w:iCs/>
                <w:szCs w:val="17"/>
                <w:lang w:eastAsia="en-US"/>
              </w:rPr>
              <w:t>people</w:t>
            </w:r>
            <w:r w:rsidRPr="0060518C">
              <w:rPr>
                <w:rFonts w:asciiTheme="minorHAnsi" w:eastAsia="Times New Roman" w:hAnsiTheme="minorHAnsi"/>
                <w:iCs/>
                <w:szCs w:val="17"/>
                <w:lang w:eastAsia="en-US"/>
              </w:rPr>
              <w:t xml:space="preserve"> with committed connections</w:t>
            </w:r>
            <w:r>
              <w:rPr>
                <w:rFonts w:asciiTheme="minorHAnsi" w:eastAsia="Times New Roman" w:hAnsiTheme="minorHAnsi"/>
                <w:iCs/>
                <w:szCs w:val="17"/>
                <w:lang w:eastAsia="en-US"/>
              </w:rPr>
              <w:t>)</w:t>
            </w:r>
          </w:p>
        </w:tc>
        <w:tc>
          <w:tcPr>
            <w:tcW w:w="1295" w:type="pct"/>
            <w:tcBorders>
              <w:top w:val="nil"/>
              <w:left w:val="nil"/>
              <w:bottom w:val="single" w:sz="4" w:space="0" w:color="auto"/>
              <w:right w:val="nil"/>
            </w:tcBorders>
            <w:hideMark/>
          </w:tcPr>
          <w:p w:rsidR="00194665" w:rsidRDefault="00194665" w:rsidP="00774B39">
            <w:pPr>
              <w:pStyle w:val="NormalIndented"/>
              <w:ind w:left="33"/>
              <w:jc w:val="center"/>
              <w:rPr>
                <w:rFonts w:asciiTheme="minorHAnsi" w:eastAsia="Times New Roman" w:hAnsiTheme="minorHAnsi"/>
                <w:iCs/>
                <w:szCs w:val="17"/>
                <w:lang w:eastAsia="en-US"/>
              </w:rPr>
            </w:pPr>
            <w:r w:rsidRPr="000B04FD">
              <w:rPr>
                <w:rFonts w:asciiTheme="minorHAnsi" w:eastAsia="Times New Roman" w:hAnsiTheme="minorHAnsi"/>
                <w:iCs/>
                <w:szCs w:val="17"/>
                <w:lang w:eastAsia="en-US"/>
              </w:rPr>
              <w:t>38</w:t>
            </w:r>
            <w:r>
              <w:rPr>
                <w:rFonts w:asciiTheme="minorHAnsi" w:eastAsia="Times New Roman" w:hAnsiTheme="minorHAnsi"/>
                <w:iCs/>
                <w:szCs w:val="17"/>
                <w:lang w:eastAsia="en-US"/>
              </w:rPr>
              <w:t>2,5</w:t>
            </w:r>
            <w:r w:rsidRPr="000B04FD">
              <w:rPr>
                <w:rFonts w:asciiTheme="minorHAnsi" w:eastAsia="Times New Roman" w:hAnsiTheme="minorHAnsi"/>
                <w:iCs/>
                <w:szCs w:val="17"/>
                <w:lang w:eastAsia="en-US"/>
              </w:rPr>
              <w:t>00 people</w:t>
            </w:r>
          </w:p>
          <w:p w:rsidR="007E1817" w:rsidRPr="00EE2B86" w:rsidRDefault="007E1817" w:rsidP="00B82F89">
            <w:pPr>
              <w:pStyle w:val="NormalIndented"/>
              <w:ind w:left="33"/>
              <w:jc w:val="center"/>
              <w:rPr>
                <w:rFonts w:asciiTheme="minorHAnsi" w:eastAsia="Times New Roman" w:hAnsiTheme="minorHAnsi"/>
                <w:iCs/>
                <w:szCs w:val="17"/>
                <w:lang w:eastAsia="en-US"/>
              </w:rPr>
            </w:pPr>
            <w:r w:rsidRPr="00EE2B86">
              <w:rPr>
                <w:rFonts w:asciiTheme="minorHAnsi" w:eastAsia="Times New Roman" w:hAnsiTheme="minorHAnsi"/>
                <w:iCs/>
                <w:szCs w:val="17"/>
                <w:lang w:eastAsia="en-US"/>
              </w:rPr>
              <w:t>(Based on the anticipated reach of the 36 contracts signed in 2018)</w:t>
            </w:r>
          </w:p>
        </w:tc>
        <w:tc>
          <w:tcPr>
            <w:tcW w:w="1377" w:type="pct"/>
            <w:tcBorders>
              <w:top w:val="nil"/>
              <w:left w:val="nil"/>
              <w:bottom w:val="single" w:sz="4" w:space="0" w:color="auto"/>
              <w:right w:val="nil"/>
            </w:tcBorders>
            <w:hideMark/>
          </w:tcPr>
          <w:p w:rsidR="00194665" w:rsidRPr="00D2391C" w:rsidRDefault="00194665" w:rsidP="00774B39">
            <w:pPr>
              <w:pStyle w:val="NormalIndented"/>
              <w:ind w:left="33"/>
              <w:jc w:val="center"/>
              <w:rPr>
                <w:rFonts w:asciiTheme="minorHAnsi" w:eastAsia="Times New Roman" w:hAnsiTheme="minorHAnsi"/>
                <w:iCs/>
                <w:szCs w:val="17"/>
                <w:lang w:eastAsia="en-US"/>
              </w:rPr>
            </w:pPr>
            <w:r w:rsidRPr="00D2391C">
              <w:rPr>
                <w:rFonts w:asciiTheme="minorHAnsi" w:eastAsia="Times New Roman" w:hAnsiTheme="minorHAnsi"/>
                <w:iCs/>
                <w:szCs w:val="17"/>
                <w:lang w:eastAsia="en-US"/>
              </w:rPr>
              <w:t>158,000 people</w:t>
            </w:r>
          </w:p>
          <w:p w:rsidR="00194665" w:rsidRPr="00D2391C" w:rsidRDefault="00512AC3" w:rsidP="007E1817">
            <w:pPr>
              <w:pStyle w:val="NormalIndented"/>
              <w:ind w:left="33"/>
              <w:jc w:val="center"/>
              <w:rPr>
                <w:rFonts w:asciiTheme="minorHAnsi" w:eastAsia="Times New Roman" w:hAnsiTheme="minorHAnsi"/>
                <w:iCs/>
                <w:szCs w:val="17"/>
                <w:lang w:eastAsia="en-US"/>
              </w:rPr>
            </w:pPr>
            <w:r>
              <w:rPr>
                <w:rFonts w:asciiTheme="minorHAnsi" w:eastAsia="Times New Roman" w:hAnsiTheme="minorHAnsi"/>
                <w:iCs/>
                <w:szCs w:val="17"/>
                <w:lang w:eastAsia="en-US"/>
              </w:rPr>
              <w:t>(</w:t>
            </w:r>
            <w:r w:rsidR="007E1817">
              <w:rPr>
                <w:rFonts w:asciiTheme="minorHAnsi" w:eastAsia="Times New Roman" w:hAnsiTheme="minorHAnsi"/>
                <w:iCs/>
                <w:szCs w:val="17"/>
                <w:lang w:eastAsia="en-US"/>
              </w:rPr>
              <w:t>Based on the 11 contracts that remain to be concluded under the program in 2019)</w:t>
            </w:r>
          </w:p>
        </w:tc>
      </w:tr>
      <w:tr w:rsidR="00194665" w:rsidTr="005455D5">
        <w:trPr>
          <w:trHeight w:val="455"/>
        </w:trPr>
        <w:tc>
          <w:tcPr>
            <w:tcW w:w="807" w:type="pct"/>
            <w:tcBorders>
              <w:top w:val="single" w:sz="4" w:space="0" w:color="auto"/>
              <w:left w:val="nil"/>
              <w:bottom w:val="nil"/>
              <w:right w:val="nil"/>
            </w:tcBorders>
          </w:tcPr>
          <w:p w:rsidR="00194665" w:rsidRPr="00085E5F" w:rsidRDefault="00194665" w:rsidP="00774B39">
            <w:pPr>
              <w:pStyle w:val="NormalIndented"/>
              <w:rPr>
                <w:rFonts w:asciiTheme="minorHAnsi" w:hAnsiTheme="minorHAnsi"/>
                <w:i/>
                <w:color w:val="FF0000"/>
                <w:sz w:val="18"/>
              </w:rPr>
            </w:pPr>
            <w:r w:rsidRPr="00280CC1">
              <w:rPr>
                <w:rFonts w:asciiTheme="minorHAnsi" w:eastAsia="Times New Roman" w:hAnsiTheme="minorHAnsi"/>
                <w:b/>
                <w:iCs/>
                <w:szCs w:val="17"/>
                <w:lang w:eastAsia="en-US"/>
              </w:rPr>
              <w:t>Increasing agricultural productivity and farmer incomes</w:t>
            </w:r>
          </w:p>
        </w:tc>
        <w:tc>
          <w:tcPr>
            <w:tcW w:w="1521" w:type="pct"/>
            <w:tcBorders>
              <w:top w:val="single" w:sz="4" w:space="0" w:color="auto"/>
              <w:left w:val="nil"/>
              <w:bottom w:val="single" w:sz="4" w:space="0" w:color="auto"/>
              <w:right w:val="nil"/>
            </w:tcBorders>
          </w:tcPr>
          <w:p w:rsidR="00194665" w:rsidRPr="00085E5F" w:rsidRDefault="00194665" w:rsidP="00774B39">
            <w:pPr>
              <w:pStyle w:val="NormalIndented"/>
              <w:rPr>
                <w:rFonts w:asciiTheme="minorHAnsi" w:hAnsiTheme="minorHAnsi"/>
                <w:i/>
                <w:color w:val="FF0000"/>
                <w:szCs w:val="20"/>
                <w:lang w:eastAsia="en-US"/>
              </w:rPr>
            </w:pPr>
            <w:r w:rsidRPr="0060518C">
              <w:rPr>
                <w:rFonts w:asciiTheme="minorHAnsi" w:eastAsia="Times New Roman" w:hAnsiTheme="minorHAnsi"/>
                <w:iCs/>
                <w:szCs w:val="17"/>
                <w:lang w:eastAsia="en-US"/>
              </w:rPr>
              <w:t>Additional production per year as a result of DFAT-supported irrigation schemes</w:t>
            </w:r>
            <w:r>
              <w:rPr>
                <w:rFonts w:asciiTheme="minorHAnsi" w:eastAsia="Times New Roman" w:hAnsiTheme="minorHAnsi"/>
                <w:iCs/>
                <w:szCs w:val="17"/>
                <w:lang w:eastAsia="en-US"/>
              </w:rPr>
              <w:t xml:space="preserve"> </w:t>
            </w:r>
          </w:p>
        </w:tc>
        <w:tc>
          <w:tcPr>
            <w:tcW w:w="1295" w:type="pct"/>
            <w:tcBorders>
              <w:top w:val="single" w:sz="4" w:space="0" w:color="auto"/>
              <w:left w:val="nil"/>
              <w:bottom w:val="single" w:sz="4" w:space="0" w:color="auto"/>
              <w:right w:val="nil"/>
            </w:tcBorders>
          </w:tcPr>
          <w:p w:rsidR="00194665" w:rsidRPr="00085E5F" w:rsidRDefault="00194665" w:rsidP="00774B39">
            <w:pPr>
              <w:pStyle w:val="NormalIndented"/>
              <w:ind w:left="33"/>
              <w:jc w:val="center"/>
              <w:rPr>
                <w:rFonts w:asciiTheme="minorHAnsi" w:hAnsiTheme="minorHAnsi"/>
                <w:i/>
                <w:color w:val="FF0000"/>
                <w:szCs w:val="20"/>
                <w:lang w:eastAsia="en-US"/>
              </w:rPr>
            </w:pPr>
            <w:r>
              <w:rPr>
                <w:rFonts w:asciiTheme="minorHAnsi" w:eastAsia="Times New Roman" w:hAnsiTheme="minorHAnsi"/>
                <w:iCs/>
                <w:szCs w:val="17"/>
                <w:lang w:eastAsia="en-US"/>
              </w:rPr>
              <w:t>123,796</w:t>
            </w:r>
            <w:r w:rsidRPr="00B36076">
              <w:rPr>
                <w:rFonts w:asciiTheme="minorHAnsi" w:eastAsia="Times New Roman" w:hAnsiTheme="minorHAnsi"/>
                <w:iCs/>
                <w:szCs w:val="17"/>
                <w:lang w:eastAsia="en-US"/>
              </w:rPr>
              <w:t xml:space="preserve"> tonne</w:t>
            </w:r>
          </w:p>
        </w:tc>
        <w:tc>
          <w:tcPr>
            <w:tcW w:w="1377" w:type="pct"/>
            <w:tcBorders>
              <w:top w:val="single" w:sz="4" w:space="0" w:color="auto"/>
              <w:left w:val="nil"/>
              <w:bottom w:val="single" w:sz="4" w:space="0" w:color="auto"/>
              <w:right w:val="nil"/>
            </w:tcBorders>
          </w:tcPr>
          <w:p w:rsidR="00194665" w:rsidRPr="00085E5F" w:rsidRDefault="00194665" w:rsidP="00774B39">
            <w:pPr>
              <w:pStyle w:val="NormalIndented"/>
              <w:ind w:left="33" w:right="172"/>
              <w:jc w:val="center"/>
              <w:rPr>
                <w:rFonts w:asciiTheme="minorHAnsi" w:hAnsiTheme="minorHAnsi"/>
                <w:i/>
                <w:color w:val="FF0000"/>
                <w:szCs w:val="20"/>
                <w:lang w:eastAsia="en-US"/>
              </w:rPr>
            </w:pPr>
            <w:r w:rsidRPr="00B36076">
              <w:rPr>
                <w:rFonts w:asciiTheme="minorHAnsi" w:eastAsia="Times New Roman" w:hAnsiTheme="minorHAnsi"/>
                <w:iCs/>
                <w:szCs w:val="17"/>
                <w:lang w:eastAsia="en-US"/>
              </w:rPr>
              <w:t>130,000</w:t>
            </w:r>
            <w:r w:rsidRPr="00B36076" w:rsidDel="00B70033">
              <w:rPr>
                <w:rFonts w:asciiTheme="minorHAnsi" w:eastAsia="Times New Roman" w:hAnsiTheme="minorHAnsi"/>
                <w:iCs/>
                <w:szCs w:val="17"/>
                <w:lang w:eastAsia="en-US"/>
              </w:rPr>
              <w:t xml:space="preserve"> </w:t>
            </w:r>
            <w:r w:rsidRPr="00B36076">
              <w:rPr>
                <w:rFonts w:asciiTheme="minorHAnsi" w:eastAsia="Times New Roman" w:hAnsiTheme="minorHAnsi"/>
                <w:iCs/>
                <w:szCs w:val="17"/>
                <w:lang w:eastAsia="en-US"/>
              </w:rPr>
              <w:t>tonne</w:t>
            </w:r>
          </w:p>
        </w:tc>
      </w:tr>
      <w:tr w:rsidR="00194665" w:rsidTr="005455D5">
        <w:trPr>
          <w:trHeight w:val="455"/>
        </w:trPr>
        <w:tc>
          <w:tcPr>
            <w:tcW w:w="807" w:type="pct"/>
            <w:tcBorders>
              <w:top w:val="nil"/>
              <w:left w:val="nil"/>
              <w:bottom w:val="single" w:sz="4" w:space="0" w:color="auto"/>
              <w:right w:val="nil"/>
            </w:tcBorders>
          </w:tcPr>
          <w:p w:rsidR="00194665" w:rsidRPr="00085E5F" w:rsidRDefault="00194665" w:rsidP="00774B39">
            <w:pPr>
              <w:pStyle w:val="NormalIndented"/>
              <w:rPr>
                <w:rFonts w:eastAsia="Times New Roman"/>
                <w:iCs/>
                <w:color w:val="FF0000"/>
                <w:szCs w:val="17"/>
              </w:rPr>
            </w:pPr>
          </w:p>
        </w:tc>
        <w:tc>
          <w:tcPr>
            <w:tcW w:w="1521" w:type="pct"/>
            <w:tcBorders>
              <w:top w:val="single" w:sz="4" w:space="0" w:color="auto"/>
              <w:left w:val="nil"/>
              <w:bottom w:val="single" w:sz="4" w:space="0" w:color="auto"/>
              <w:right w:val="nil"/>
            </w:tcBorders>
          </w:tcPr>
          <w:p w:rsidR="00194665" w:rsidRPr="00085E5F" w:rsidRDefault="00194665" w:rsidP="00774B39">
            <w:pPr>
              <w:pStyle w:val="NormalIndented"/>
              <w:rPr>
                <w:rFonts w:eastAsia="Times New Roman"/>
                <w:iCs/>
                <w:color w:val="FF0000"/>
                <w:szCs w:val="17"/>
              </w:rPr>
            </w:pPr>
            <w:r w:rsidRPr="0060518C">
              <w:rPr>
                <w:rFonts w:asciiTheme="minorHAnsi" w:eastAsia="Times New Roman" w:hAnsiTheme="minorHAnsi"/>
                <w:iCs/>
                <w:szCs w:val="17"/>
                <w:lang w:eastAsia="en-US"/>
              </w:rPr>
              <w:t>Land contaminated by landmines and other ERW released for productive use</w:t>
            </w:r>
            <w:r>
              <w:rPr>
                <w:rFonts w:asciiTheme="minorHAnsi" w:eastAsia="Times New Roman" w:hAnsiTheme="minorHAnsi"/>
                <w:iCs/>
                <w:szCs w:val="17"/>
                <w:lang w:eastAsia="en-US"/>
              </w:rPr>
              <w:t xml:space="preserve"> </w:t>
            </w:r>
          </w:p>
        </w:tc>
        <w:tc>
          <w:tcPr>
            <w:tcW w:w="1295" w:type="pct"/>
            <w:tcBorders>
              <w:top w:val="single" w:sz="4" w:space="0" w:color="auto"/>
              <w:left w:val="nil"/>
              <w:bottom w:val="single" w:sz="4" w:space="0" w:color="auto"/>
              <w:right w:val="nil"/>
            </w:tcBorders>
          </w:tcPr>
          <w:p w:rsidR="00194665" w:rsidRPr="00085E5F" w:rsidRDefault="00194665" w:rsidP="00774B39">
            <w:pPr>
              <w:pStyle w:val="NormalIndented"/>
              <w:ind w:left="33"/>
              <w:jc w:val="center"/>
              <w:rPr>
                <w:i/>
                <w:color w:val="FF0000"/>
                <w:szCs w:val="20"/>
              </w:rPr>
            </w:pPr>
            <w:r w:rsidRPr="002B5745">
              <w:rPr>
                <w:rFonts w:asciiTheme="minorHAnsi" w:eastAsia="Times New Roman" w:hAnsiTheme="minorHAnsi"/>
                <w:iCs/>
                <w:szCs w:val="17"/>
                <w:lang w:eastAsia="en-US"/>
              </w:rPr>
              <w:t>12.47</w:t>
            </w:r>
            <w:r>
              <w:rPr>
                <w:rFonts w:asciiTheme="minorHAnsi" w:eastAsia="Times New Roman" w:hAnsiTheme="minorHAnsi"/>
                <w:iCs/>
                <w:szCs w:val="17"/>
                <w:lang w:eastAsia="en-US"/>
              </w:rPr>
              <w:t xml:space="preserve"> k</w:t>
            </w:r>
            <w:r w:rsidRPr="00374D35">
              <w:rPr>
                <w:rFonts w:asciiTheme="minorHAnsi" w:eastAsia="Times New Roman" w:hAnsiTheme="minorHAnsi"/>
                <w:iCs/>
                <w:szCs w:val="17"/>
                <w:lang w:eastAsia="en-US"/>
              </w:rPr>
              <w:t>m</w:t>
            </w:r>
            <w:r w:rsidRPr="00522F47">
              <w:rPr>
                <w:rFonts w:asciiTheme="minorHAnsi" w:eastAsia="Times New Roman" w:hAnsiTheme="minorHAnsi"/>
                <w:iCs/>
                <w:szCs w:val="17"/>
                <w:vertAlign w:val="superscript"/>
                <w:lang w:eastAsia="en-US"/>
              </w:rPr>
              <w:t>2</w:t>
            </w:r>
          </w:p>
        </w:tc>
        <w:tc>
          <w:tcPr>
            <w:tcW w:w="1377" w:type="pct"/>
            <w:tcBorders>
              <w:top w:val="single" w:sz="4" w:space="0" w:color="auto"/>
              <w:left w:val="nil"/>
              <w:bottom w:val="single" w:sz="4" w:space="0" w:color="auto"/>
              <w:right w:val="nil"/>
            </w:tcBorders>
          </w:tcPr>
          <w:p w:rsidR="00194665" w:rsidRPr="00085E5F" w:rsidRDefault="00194665" w:rsidP="00774B39">
            <w:pPr>
              <w:pStyle w:val="NormalIndented"/>
              <w:ind w:left="33"/>
              <w:jc w:val="center"/>
              <w:rPr>
                <w:i/>
                <w:color w:val="FF0000"/>
                <w:szCs w:val="20"/>
              </w:rPr>
            </w:pPr>
            <w:r w:rsidRPr="00B36076">
              <w:rPr>
                <w:rFonts w:asciiTheme="minorHAnsi" w:eastAsia="Times New Roman" w:hAnsiTheme="minorHAnsi"/>
                <w:iCs/>
                <w:szCs w:val="17"/>
                <w:lang w:eastAsia="en-US"/>
              </w:rPr>
              <w:t>12.67 km</w:t>
            </w:r>
            <w:r w:rsidRPr="00B36076">
              <w:rPr>
                <w:rFonts w:asciiTheme="minorHAnsi" w:eastAsia="Times New Roman" w:hAnsiTheme="minorHAnsi"/>
                <w:iCs/>
                <w:szCs w:val="17"/>
                <w:vertAlign w:val="superscript"/>
                <w:lang w:eastAsia="en-US"/>
              </w:rPr>
              <w:t>2</w:t>
            </w:r>
            <w:r>
              <w:rPr>
                <w:vertAlign w:val="superscript"/>
              </w:rPr>
              <w:t xml:space="preserve"> </w:t>
            </w:r>
          </w:p>
        </w:tc>
      </w:tr>
      <w:tr w:rsidR="00194665" w:rsidTr="005455D5">
        <w:trPr>
          <w:trHeight w:val="455"/>
        </w:trPr>
        <w:tc>
          <w:tcPr>
            <w:tcW w:w="807" w:type="pct"/>
            <w:tcBorders>
              <w:top w:val="single" w:sz="4" w:space="0" w:color="auto"/>
              <w:left w:val="nil"/>
              <w:bottom w:val="nil"/>
              <w:right w:val="nil"/>
            </w:tcBorders>
          </w:tcPr>
          <w:p w:rsidR="00194665" w:rsidRPr="00085E5F" w:rsidRDefault="00194665" w:rsidP="00774B39">
            <w:pPr>
              <w:pStyle w:val="NormalIndented"/>
              <w:rPr>
                <w:rFonts w:eastAsia="Times New Roman"/>
                <w:iCs/>
                <w:color w:val="FF0000"/>
                <w:szCs w:val="17"/>
              </w:rPr>
            </w:pPr>
            <w:r w:rsidRPr="00280CC1">
              <w:rPr>
                <w:rFonts w:asciiTheme="minorHAnsi" w:hAnsiTheme="minorHAnsi"/>
                <w:b/>
                <w:sz w:val="18"/>
              </w:rPr>
              <w:t>Better health and education outcomes</w:t>
            </w:r>
          </w:p>
        </w:tc>
        <w:tc>
          <w:tcPr>
            <w:tcW w:w="1521" w:type="pct"/>
            <w:tcBorders>
              <w:top w:val="single" w:sz="4" w:space="0" w:color="auto"/>
              <w:left w:val="nil"/>
              <w:bottom w:val="single" w:sz="4" w:space="0" w:color="auto"/>
              <w:right w:val="nil"/>
            </w:tcBorders>
          </w:tcPr>
          <w:p w:rsidR="00194665" w:rsidRPr="00085E5F" w:rsidRDefault="00194665" w:rsidP="00BF1EA4">
            <w:pPr>
              <w:pStyle w:val="NormalIndented"/>
              <w:rPr>
                <w:rFonts w:eastAsia="Times New Roman"/>
                <w:iCs/>
                <w:color w:val="FF0000"/>
                <w:szCs w:val="17"/>
              </w:rPr>
            </w:pPr>
            <w:r w:rsidRPr="0060518C">
              <w:rPr>
                <w:rFonts w:asciiTheme="minorHAnsi" w:eastAsia="Times New Roman" w:hAnsiTheme="minorHAnsi"/>
                <w:iCs/>
                <w:szCs w:val="17"/>
                <w:lang w:eastAsia="en-US"/>
              </w:rPr>
              <w:t xml:space="preserve">Number of health </w:t>
            </w:r>
            <w:r w:rsidR="0016500F">
              <w:rPr>
                <w:rFonts w:asciiTheme="minorHAnsi" w:eastAsia="Times New Roman" w:hAnsiTheme="minorHAnsi"/>
                <w:iCs/>
                <w:szCs w:val="17"/>
                <w:lang w:eastAsia="en-US"/>
              </w:rPr>
              <w:t>centres</w:t>
            </w:r>
            <w:r w:rsidR="0016500F" w:rsidRPr="0060518C">
              <w:rPr>
                <w:rFonts w:asciiTheme="minorHAnsi" w:eastAsia="Times New Roman" w:hAnsiTheme="minorHAnsi"/>
                <w:iCs/>
                <w:szCs w:val="17"/>
                <w:lang w:eastAsia="en-US"/>
              </w:rPr>
              <w:t xml:space="preserve"> </w:t>
            </w:r>
            <w:r w:rsidRPr="0060518C">
              <w:rPr>
                <w:rFonts w:asciiTheme="minorHAnsi" w:eastAsia="Times New Roman" w:hAnsiTheme="minorHAnsi"/>
                <w:iCs/>
                <w:szCs w:val="17"/>
                <w:lang w:eastAsia="en-US"/>
              </w:rPr>
              <w:t xml:space="preserve">exceeding 60 per cent score on the quality assessment of health </w:t>
            </w:r>
            <w:r w:rsidR="0016500F">
              <w:rPr>
                <w:rFonts w:asciiTheme="minorHAnsi" w:eastAsia="Times New Roman" w:hAnsiTheme="minorHAnsi"/>
                <w:iCs/>
                <w:szCs w:val="17"/>
                <w:lang w:eastAsia="en-US"/>
              </w:rPr>
              <w:t>centre</w:t>
            </w:r>
            <w:r w:rsidR="0016500F" w:rsidRPr="0060518C">
              <w:rPr>
                <w:rFonts w:asciiTheme="minorHAnsi" w:eastAsia="Times New Roman" w:hAnsiTheme="minorHAnsi"/>
                <w:iCs/>
                <w:szCs w:val="17"/>
                <w:lang w:eastAsia="en-US"/>
              </w:rPr>
              <w:t xml:space="preserve"> </w:t>
            </w:r>
            <w:r w:rsidR="00B36076" w:rsidRPr="0060518C">
              <w:rPr>
                <w:rFonts w:asciiTheme="minorHAnsi" w:eastAsia="Times New Roman" w:hAnsiTheme="minorHAnsi"/>
                <w:iCs/>
                <w:szCs w:val="17"/>
                <w:lang w:eastAsia="en-US"/>
              </w:rPr>
              <w:t>tool</w:t>
            </w:r>
            <w:r w:rsidR="0016500F">
              <w:rPr>
                <w:rFonts w:asciiTheme="minorHAnsi" w:eastAsia="Times New Roman" w:hAnsiTheme="minorHAnsi"/>
                <w:iCs/>
                <w:szCs w:val="17"/>
                <w:lang w:eastAsia="en-US"/>
              </w:rPr>
              <w:t xml:space="preserve"> </w:t>
            </w:r>
            <w:r w:rsidR="00BF1EA4">
              <w:rPr>
                <w:rFonts w:asciiTheme="minorHAnsi" w:eastAsia="Times New Roman" w:hAnsiTheme="minorHAnsi"/>
                <w:iCs/>
                <w:szCs w:val="17"/>
                <w:lang w:eastAsia="en-US"/>
              </w:rPr>
              <w:t>(end-of-project target in 2021 is 700 centres)</w:t>
            </w:r>
          </w:p>
        </w:tc>
        <w:tc>
          <w:tcPr>
            <w:tcW w:w="1295" w:type="pct"/>
            <w:tcBorders>
              <w:top w:val="single" w:sz="4" w:space="0" w:color="auto"/>
              <w:left w:val="nil"/>
              <w:bottom w:val="single" w:sz="4" w:space="0" w:color="auto"/>
              <w:right w:val="nil"/>
            </w:tcBorders>
          </w:tcPr>
          <w:p w:rsidR="00194665" w:rsidRPr="00B36076" w:rsidRDefault="00BF1EA4" w:rsidP="00774B39">
            <w:pPr>
              <w:pStyle w:val="NormalIndented"/>
              <w:ind w:left="33"/>
              <w:jc w:val="center"/>
              <w:rPr>
                <w:color w:val="FF0000"/>
                <w:szCs w:val="20"/>
              </w:rPr>
            </w:pPr>
            <w:r>
              <w:rPr>
                <w:rFonts w:asciiTheme="minorHAnsi" w:eastAsia="Times New Roman" w:hAnsiTheme="minorHAnsi"/>
                <w:iCs/>
                <w:szCs w:val="17"/>
                <w:lang w:eastAsia="en-US"/>
              </w:rPr>
              <w:t>639</w:t>
            </w:r>
          </w:p>
        </w:tc>
        <w:tc>
          <w:tcPr>
            <w:tcW w:w="1377" w:type="pct"/>
            <w:tcBorders>
              <w:top w:val="single" w:sz="4" w:space="0" w:color="auto"/>
              <w:left w:val="nil"/>
              <w:bottom w:val="single" w:sz="4" w:space="0" w:color="auto"/>
              <w:right w:val="nil"/>
            </w:tcBorders>
          </w:tcPr>
          <w:p w:rsidR="00194665" w:rsidRDefault="00194665" w:rsidP="00774B39">
            <w:pPr>
              <w:pStyle w:val="NormalIndented"/>
              <w:ind w:left="33"/>
              <w:jc w:val="center"/>
              <w:rPr>
                <w:rFonts w:asciiTheme="minorHAnsi" w:eastAsia="Times New Roman" w:hAnsiTheme="minorHAnsi"/>
                <w:iCs/>
                <w:szCs w:val="17"/>
                <w:lang w:eastAsia="en-US"/>
              </w:rPr>
            </w:pPr>
            <w:r w:rsidRPr="00B36076">
              <w:rPr>
                <w:rFonts w:asciiTheme="minorHAnsi" w:eastAsia="Times New Roman" w:hAnsiTheme="minorHAnsi"/>
                <w:iCs/>
                <w:szCs w:val="17"/>
                <w:lang w:eastAsia="en-US"/>
              </w:rPr>
              <w:t>670</w:t>
            </w:r>
          </w:p>
          <w:p w:rsidR="002F06AF" w:rsidRPr="00085E5F" w:rsidRDefault="00BF1EA4" w:rsidP="00207B28">
            <w:pPr>
              <w:pStyle w:val="NormalIndented"/>
              <w:ind w:left="33"/>
              <w:jc w:val="center"/>
              <w:rPr>
                <w:i/>
                <w:color w:val="FF0000"/>
                <w:szCs w:val="20"/>
              </w:rPr>
            </w:pPr>
            <w:r>
              <w:rPr>
                <w:rFonts w:asciiTheme="minorHAnsi" w:eastAsia="Times New Roman" w:hAnsiTheme="minorHAnsi"/>
                <w:iCs/>
                <w:szCs w:val="17"/>
                <w:lang w:eastAsia="en-US"/>
              </w:rPr>
              <w:t>(estimated mid-point toward the final target)</w:t>
            </w:r>
          </w:p>
        </w:tc>
      </w:tr>
      <w:tr w:rsidR="00194665" w:rsidTr="005455D5">
        <w:trPr>
          <w:trHeight w:val="455"/>
        </w:trPr>
        <w:tc>
          <w:tcPr>
            <w:tcW w:w="807" w:type="pct"/>
            <w:tcBorders>
              <w:top w:val="nil"/>
              <w:left w:val="nil"/>
              <w:bottom w:val="single" w:sz="12" w:space="0" w:color="auto"/>
              <w:right w:val="nil"/>
            </w:tcBorders>
          </w:tcPr>
          <w:p w:rsidR="00194665" w:rsidRPr="00085E5F" w:rsidRDefault="00194665" w:rsidP="00774B39">
            <w:pPr>
              <w:pStyle w:val="NormalIndented"/>
              <w:rPr>
                <w:rFonts w:eastAsia="Times New Roman"/>
                <w:iCs/>
                <w:color w:val="FF0000"/>
                <w:szCs w:val="17"/>
              </w:rPr>
            </w:pPr>
          </w:p>
        </w:tc>
        <w:tc>
          <w:tcPr>
            <w:tcW w:w="1521" w:type="pct"/>
            <w:tcBorders>
              <w:top w:val="single" w:sz="4" w:space="0" w:color="auto"/>
              <w:left w:val="nil"/>
              <w:bottom w:val="single" w:sz="12" w:space="0" w:color="auto"/>
              <w:right w:val="nil"/>
            </w:tcBorders>
          </w:tcPr>
          <w:p w:rsidR="00194665" w:rsidRPr="00085E5F" w:rsidRDefault="00EE2B86" w:rsidP="00774B39">
            <w:pPr>
              <w:pStyle w:val="NormalIndented"/>
              <w:rPr>
                <w:rFonts w:eastAsia="Times New Roman"/>
                <w:iCs/>
                <w:color w:val="FF0000"/>
                <w:szCs w:val="17"/>
              </w:rPr>
            </w:pPr>
            <w:r>
              <w:rPr>
                <w:rFonts w:asciiTheme="minorHAnsi" w:eastAsia="Times New Roman" w:hAnsiTheme="minorHAnsi"/>
                <w:iCs/>
                <w:szCs w:val="17"/>
                <w:lang w:eastAsia="en-US"/>
              </w:rPr>
              <w:t>P</w:t>
            </w:r>
            <w:r w:rsidR="00194665" w:rsidRPr="0060518C">
              <w:rPr>
                <w:rFonts w:asciiTheme="minorHAnsi" w:eastAsia="Times New Roman" w:hAnsiTheme="minorHAnsi"/>
                <w:iCs/>
                <w:szCs w:val="17"/>
                <w:lang w:eastAsia="en-US"/>
              </w:rPr>
              <w:t>er cent of Australia Awards scholarships awarded to women and men</w:t>
            </w:r>
            <w:r w:rsidR="00194665">
              <w:rPr>
                <w:rFonts w:asciiTheme="minorHAnsi" w:eastAsia="Times New Roman" w:hAnsiTheme="minorHAnsi"/>
                <w:iCs/>
                <w:szCs w:val="17"/>
                <w:lang w:eastAsia="en-US"/>
              </w:rPr>
              <w:t xml:space="preserve"> </w:t>
            </w:r>
          </w:p>
        </w:tc>
        <w:tc>
          <w:tcPr>
            <w:tcW w:w="1295" w:type="pct"/>
            <w:tcBorders>
              <w:top w:val="single" w:sz="4" w:space="0" w:color="auto"/>
              <w:left w:val="nil"/>
              <w:bottom w:val="single" w:sz="12" w:space="0" w:color="auto"/>
              <w:right w:val="nil"/>
            </w:tcBorders>
          </w:tcPr>
          <w:p w:rsidR="00194665" w:rsidRPr="00085E5F" w:rsidRDefault="00194665" w:rsidP="00774B39">
            <w:pPr>
              <w:pStyle w:val="NormalIndented"/>
              <w:jc w:val="center"/>
              <w:rPr>
                <w:i/>
                <w:color w:val="FF0000"/>
                <w:szCs w:val="20"/>
              </w:rPr>
            </w:pPr>
            <w:r w:rsidRPr="00B36076">
              <w:rPr>
                <w:rFonts w:asciiTheme="minorHAnsi" w:eastAsia="Times New Roman" w:hAnsiTheme="minorHAnsi"/>
                <w:iCs/>
                <w:szCs w:val="17"/>
                <w:lang w:eastAsia="en-US"/>
              </w:rPr>
              <w:t>48 per cent women, 52 per cent men</w:t>
            </w:r>
          </w:p>
        </w:tc>
        <w:tc>
          <w:tcPr>
            <w:tcW w:w="1377" w:type="pct"/>
            <w:tcBorders>
              <w:top w:val="single" w:sz="4" w:space="0" w:color="auto"/>
              <w:left w:val="nil"/>
              <w:bottom w:val="single" w:sz="12" w:space="0" w:color="auto"/>
              <w:right w:val="nil"/>
            </w:tcBorders>
          </w:tcPr>
          <w:p w:rsidR="00194665" w:rsidRPr="00085E5F" w:rsidRDefault="00194665" w:rsidP="00774B39">
            <w:pPr>
              <w:pStyle w:val="NormalIndented"/>
              <w:ind w:left="33"/>
              <w:jc w:val="center"/>
              <w:rPr>
                <w:i/>
                <w:color w:val="FF0000"/>
                <w:szCs w:val="20"/>
              </w:rPr>
            </w:pPr>
            <w:r w:rsidRPr="0060518C">
              <w:rPr>
                <w:rFonts w:asciiTheme="minorHAnsi" w:eastAsia="Times New Roman" w:hAnsiTheme="minorHAnsi"/>
                <w:iCs/>
                <w:szCs w:val="17"/>
                <w:lang w:eastAsia="en-US"/>
              </w:rPr>
              <w:t>50 per cent women, 50 per cent men</w:t>
            </w:r>
          </w:p>
        </w:tc>
      </w:tr>
    </w:tbl>
    <w:p w:rsidR="00194665" w:rsidRPr="00B9720C" w:rsidRDefault="00194665" w:rsidP="00194665">
      <w:pPr>
        <w:rPr>
          <w:sz w:val="20"/>
        </w:rPr>
      </w:pPr>
      <w:r w:rsidRPr="00B9720C">
        <w:rPr>
          <w:sz w:val="20"/>
        </w:rPr>
        <w:t>*Note: Performance Benchmarks will be further elaborated in the forthcoming Aid Investment Plan for Cambodia and may be adjusted based on the new AIP objectives and program performance expectations.</w:t>
      </w:r>
      <w:r>
        <w:rPr>
          <w:sz w:val="20"/>
        </w:rPr>
        <w:t xml:space="preserve"> Refer to the</w:t>
      </w:r>
      <w:r w:rsidR="00EE2B86">
        <w:rPr>
          <w:sz w:val="20"/>
        </w:rPr>
        <w:t xml:space="preserve"> AIP</w:t>
      </w:r>
      <w:r>
        <w:rPr>
          <w:sz w:val="20"/>
        </w:rPr>
        <w:t xml:space="preserve"> for reporting purposes in 2019-20.</w:t>
      </w:r>
    </w:p>
    <w:p w:rsidR="00400B0F" w:rsidRPr="008821C2" w:rsidRDefault="00400B0F" w:rsidP="008821C2">
      <w:pPr>
        <w:suppressAutoHyphens w:val="0"/>
        <w:spacing w:before="360" w:after="120" w:line="300" w:lineRule="exact"/>
        <w:rPr>
          <w:rFonts w:asciiTheme="majorHAnsi" w:hAnsiTheme="majorHAnsi" w:cstheme="majorHAnsi"/>
          <w:sz w:val="38"/>
          <w:szCs w:val="38"/>
        </w:rPr>
      </w:pPr>
      <w:r>
        <w:rPr>
          <w:rFonts w:ascii="Franklin Gothic Book" w:eastAsia="Times New Roman" w:hAnsi="Franklin Gothic Book"/>
          <w:sz w:val="21"/>
        </w:rPr>
        <w:br w:type="page"/>
      </w:r>
      <w:r w:rsidRPr="008821C2">
        <w:rPr>
          <w:rFonts w:asciiTheme="majorHAnsi" w:hAnsiTheme="majorHAnsi" w:cstheme="majorHAnsi"/>
          <w:sz w:val="38"/>
          <w:szCs w:val="38"/>
        </w:rPr>
        <w:lastRenderedPageBreak/>
        <w:t>Annex C - Evaluation Planning</w:t>
      </w:r>
    </w:p>
    <w:p w:rsidR="008821C2" w:rsidRPr="00EF26B5" w:rsidRDefault="008821C2" w:rsidP="008821C2">
      <w:pPr>
        <w:spacing w:before="360"/>
        <w:rPr>
          <w:rFonts w:eastAsiaTheme="majorEastAsia" w:cstheme="minorHAnsi"/>
          <w:caps/>
          <w:sz w:val="36"/>
          <w:szCs w:val="36"/>
        </w:rPr>
      </w:pPr>
      <w:r w:rsidRPr="00EF26B5">
        <w:rPr>
          <w:rFonts w:eastAsiaTheme="majorEastAsia" w:cstheme="minorHAnsi"/>
          <w:caps/>
          <w:sz w:val="36"/>
          <w:szCs w:val="36"/>
        </w:rPr>
        <w:t xml:space="preserve">1 List of evaluations completed in the reporting period </w:t>
      </w:r>
    </w:p>
    <w:tbl>
      <w:tblPr>
        <w:tblStyle w:val="AP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3693"/>
        <w:gridCol w:w="1425"/>
        <w:gridCol w:w="1981"/>
        <w:gridCol w:w="1699"/>
        <w:gridCol w:w="2407"/>
      </w:tblGrid>
      <w:tr w:rsidR="008821C2" w:rsidRPr="00C61187" w:rsidTr="007A7D9B">
        <w:trPr>
          <w:cnfStyle w:val="100000000000" w:firstRow="1" w:lastRow="0" w:firstColumn="0" w:lastColumn="0" w:oddVBand="0" w:evenVBand="0" w:oddHBand="0" w:evenHBand="0" w:firstRowFirstColumn="0" w:firstRowLastColumn="0" w:lastRowFirstColumn="0" w:lastRowLastColumn="0"/>
        </w:trPr>
        <w:tc>
          <w:tcPr>
            <w:tcW w:w="3064" w:type="dxa"/>
            <w:tcBorders>
              <w:top w:val="none" w:sz="0" w:space="0" w:color="auto"/>
              <w:bottom w:val="none" w:sz="0" w:space="0" w:color="auto"/>
            </w:tcBorders>
          </w:tcPr>
          <w:p w:rsidR="008821C2" w:rsidRPr="00812509" w:rsidRDefault="008821C2" w:rsidP="0097700F">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8821C2" w:rsidRPr="00812509" w:rsidRDefault="008821C2" w:rsidP="0097700F">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Borders>
              <w:top w:val="none" w:sz="0" w:space="0" w:color="auto"/>
              <w:bottom w:val="none" w:sz="0" w:space="0" w:color="auto"/>
            </w:tcBorders>
          </w:tcPr>
          <w:p w:rsidR="008821C2" w:rsidRPr="00812509" w:rsidRDefault="008821C2" w:rsidP="0097700F">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Borders>
              <w:top w:val="none" w:sz="0" w:space="0" w:color="auto"/>
              <w:bottom w:val="none" w:sz="0" w:space="0" w:color="auto"/>
            </w:tcBorders>
          </w:tcPr>
          <w:p w:rsidR="008821C2" w:rsidRPr="00812509" w:rsidRDefault="008821C2" w:rsidP="0097700F">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Borders>
              <w:top w:val="none" w:sz="0" w:space="0" w:color="auto"/>
              <w:bottom w:val="none" w:sz="0" w:space="0" w:color="auto"/>
            </w:tcBorders>
          </w:tcPr>
          <w:p w:rsidR="008821C2" w:rsidRPr="00812509" w:rsidRDefault="008821C2" w:rsidP="0097700F">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Borders>
              <w:top w:val="none" w:sz="0" w:space="0" w:color="auto"/>
              <w:bottom w:val="none" w:sz="0" w:space="0" w:color="auto"/>
            </w:tcBorders>
          </w:tcPr>
          <w:p w:rsidR="008821C2" w:rsidRPr="00812509" w:rsidRDefault="008821C2" w:rsidP="0097700F">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Borders>
              <w:top w:val="none" w:sz="0" w:space="0" w:color="auto"/>
              <w:bottom w:val="none" w:sz="0" w:space="0" w:color="auto"/>
            </w:tcBorders>
          </w:tcPr>
          <w:p w:rsidR="008821C2" w:rsidRPr="00812509" w:rsidRDefault="008821C2" w:rsidP="0097700F">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EE2B86" w:rsidRPr="003B5EE5" w:rsidTr="007A7D9B">
        <w:trPr>
          <w:cnfStyle w:val="100000000000" w:firstRow="1" w:lastRow="0" w:firstColumn="0" w:lastColumn="0" w:oddVBand="0" w:evenVBand="0" w:oddHBand="0" w:evenHBand="0" w:firstRowFirstColumn="0" w:firstRowLastColumn="0" w:lastRowFirstColumn="0" w:lastRowLastColumn="0"/>
        </w:trPr>
        <w:tc>
          <w:tcPr>
            <w:tcW w:w="3064" w:type="dxa"/>
          </w:tcPr>
          <w:p w:rsidR="00EE2B86" w:rsidRPr="007A7D9B" w:rsidRDefault="00EE2B86" w:rsidP="00EE2B86">
            <w:pPr>
              <w:keepLines/>
              <w:spacing w:before="40" w:after="40" w:line="200" w:lineRule="atLeast"/>
              <w:rPr>
                <w:rFonts w:eastAsia="Times New Roman"/>
                <w:b w:val="0"/>
                <w:iCs/>
                <w:color w:val="auto"/>
                <w:szCs w:val="17"/>
              </w:rPr>
            </w:pPr>
            <w:r>
              <w:rPr>
                <w:rFonts w:asciiTheme="minorHAnsi" w:eastAsia="Times New Roman" w:hAnsiTheme="minorHAnsi"/>
                <w:b w:val="0"/>
                <w:iCs/>
                <w:color w:val="auto"/>
                <w:szCs w:val="17"/>
                <w:lang w:eastAsia="en-US"/>
              </w:rPr>
              <w:t>ING741 Cambodia: Delivering Better Health</w:t>
            </w:r>
          </w:p>
        </w:tc>
        <w:tc>
          <w:tcPr>
            <w:tcW w:w="3665" w:type="dxa"/>
          </w:tcPr>
          <w:p w:rsidR="00EE2B86" w:rsidRPr="007A7D9B" w:rsidRDefault="00EE2B86" w:rsidP="00EE2B86">
            <w:pPr>
              <w:keepLines/>
              <w:spacing w:before="40" w:after="40" w:line="200" w:lineRule="atLeast"/>
              <w:rPr>
                <w:rFonts w:eastAsia="Times New Roman"/>
                <w:b w:val="0"/>
                <w:iCs/>
                <w:color w:val="auto"/>
                <w:szCs w:val="17"/>
              </w:rPr>
            </w:pPr>
            <w:r w:rsidRPr="007A7D9B">
              <w:rPr>
                <w:rFonts w:asciiTheme="minorHAnsi" w:eastAsia="Times New Roman" w:hAnsiTheme="minorHAnsi"/>
                <w:b w:val="0"/>
                <w:iCs/>
                <w:color w:val="auto"/>
                <w:szCs w:val="17"/>
                <w:lang w:eastAsia="en-US"/>
              </w:rPr>
              <w:t xml:space="preserve">Partnering to Save Lives Final </w:t>
            </w:r>
            <w:r>
              <w:rPr>
                <w:rFonts w:asciiTheme="minorHAnsi" w:eastAsia="Times New Roman" w:hAnsiTheme="minorHAnsi"/>
                <w:b w:val="0"/>
                <w:iCs/>
                <w:color w:val="auto"/>
                <w:szCs w:val="17"/>
                <w:lang w:eastAsia="en-US"/>
              </w:rPr>
              <w:t xml:space="preserve">Evaluation </w:t>
            </w:r>
            <w:r w:rsidRPr="007A7D9B">
              <w:rPr>
                <w:rFonts w:asciiTheme="minorHAnsi" w:eastAsia="Times New Roman" w:hAnsiTheme="minorHAnsi"/>
                <w:b w:val="0"/>
                <w:iCs/>
                <w:color w:val="auto"/>
                <w:szCs w:val="17"/>
                <w:lang w:eastAsia="en-US"/>
              </w:rPr>
              <w:t xml:space="preserve">Report </w:t>
            </w:r>
            <w:r>
              <w:rPr>
                <w:rFonts w:asciiTheme="minorHAnsi" w:eastAsia="Times New Roman" w:hAnsiTheme="minorHAnsi"/>
                <w:b w:val="0"/>
                <w:iCs/>
                <w:color w:val="auto"/>
                <w:szCs w:val="17"/>
                <w:lang w:eastAsia="en-US"/>
              </w:rPr>
              <w:t>(partner-led)</w:t>
            </w:r>
          </w:p>
        </w:tc>
        <w:tc>
          <w:tcPr>
            <w:tcW w:w="1397" w:type="dxa"/>
          </w:tcPr>
          <w:p w:rsidR="00EE2B86" w:rsidRPr="007A7D9B" w:rsidRDefault="00EE2B86" w:rsidP="00EE2B86">
            <w:pPr>
              <w:keepLines/>
              <w:spacing w:before="40" w:after="40" w:line="200" w:lineRule="atLeast"/>
              <w:rPr>
                <w:rFonts w:eastAsia="Times New Roman"/>
                <w:b w:val="0"/>
                <w:iCs/>
                <w:color w:val="auto"/>
                <w:szCs w:val="17"/>
              </w:rPr>
            </w:pPr>
            <w:r>
              <w:rPr>
                <w:rFonts w:asciiTheme="minorHAnsi" w:eastAsia="Times New Roman" w:hAnsiTheme="minorHAnsi"/>
                <w:b w:val="0"/>
                <w:iCs/>
                <w:color w:val="auto"/>
                <w:szCs w:val="17"/>
                <w:lang w:eastAsia="en-US"/>
              </w:rPr>
              <w:t>August 2018</w:t>
            </w:r>
          </w:p>
        </w:tc>
        <w:tc>
          <w:tcPr>
            <w:tcW w:w="1953" w:type="dxa"/>
          </w:tcPr>
          <w:p w:rsidR="00EE2B86" w:rsidRPr="00652FBB" w:rsidDel="00652FBB" w:rsidRDefault="00EE2B86" w:rsidP="00EE2B86">
            <w:pPr>
              <w:keepLines/>
              <w:spacing w:before="40" w:after="40" w:line="200" w:lineRule="atLeast"/>
              <w:rPr>
                <w:rFonts w:eastAsia="Times New Roman"/>
                <w:b w:val="0"/>
                <w:iCs/>
                <w:color w:val="auto"/>
                <w:szCs w:val="17"/>
                <w:highlight w:val="yellow"/>
              </w:rPr>
            </w:pPr>
            <w:r w:rsidRPr="006A704D">
              <w:rPr>
                <w:rFonts w:asciiTheme="minorHAnsi" w:eastAsia="Times New Roman" w:hAnsiTheme="minorHAnsi"/>
                <w:b w:val="0"/>
                <w:iCs/>
                <w:color w:val="auto"/>
                <w:szCs w:val="17"/>
                <w:lang w:eastAsia="en-US"/>
              </w:rPr>
              <w:t>August 2018</w:t>
            </w:r>
          </w:p>
        </w:tc>
        <w:tc>
          <w:tcPr>
            <w:tcW w:w="1671" w:type="dxa"/>
          </w:tcPr>
          <w:p w:rsidR="00EE2B86" w:rsidDel="00652FBB" w:rsidRDefault="00EE2B86" w:rsidP="00EE2B86">
            <w:pPr>
              <w:keepLines/>
              <w:spacing w:before="40" w:after="40" w:line="200" w:lineRule="atLeast"/>
              <w:rPr>
                <w:rFonts w:eastAsia="Times New Roman"/>
                <w:b w:val="0"/>
                <w:iCs/>
                <w:color w:val="auto"/>
                <w:szCs w:val="17"/>
              </w:rPr>
            </w:pPr>
            <w:r>
              <w:rPr>
                <w:rFonts w:asciiTheme="minorHAnsi" w:eastAsia="Times New Roman" w:hAnsiTheme="minorHAnsi"/>
                <w:b w:val="0"/>
                <w:iCs/>
                <w:color w:val="auto"/>
                <w:szCs w:val="17"/>
                <w:lang w:eastAsia="en-US"/>
              </w:rPr>
              <w:t>n/a</w:t>
            </w:r>
          </w:p>
        </w:tc>
        <w:tc>
          <w:tcPr>
            <w:tcW w:w="2365" w:type="dxa"/>
          </w:tcPr>
          <w:p w:rsidR="00EE2B86" w:rsidRPr="005455D5" w:rsidDel="007E1817" w:rsidRDefault="00EE2B86" w:rsidP="00EE2B86">
            <w:pPr>
              <w:keepLines/>
              <w:spacing w:before="40" w:after="40" w:line="200" w:lineRule="atLeast"/>
              <w:rPr>
                <w:rFonts w:eastAsia="Times New Roman"/>
                <w:b w:val="0"/>
                <w:iCs/>
                <w:color w:val="auto"/>
                <w:szCs w:val="17"/>
                <w:highlight w:val="yellow"/>
              </w:rPr>
            </w:pPr>
            <w:r w:rsidRPr="007A7D9B">
              <w:rPr>
                <w:rFonts w:asciiTheme="minorHAnsi" w:eastAsia="Times New Roman" w:hAnsiTheme="minorHAnsi"/>
                <w:b w:val="0"/>
                <w:iCs/>
                <w:color w:val="auto"/>
                <w:szCs w:val="17"/>
                <w:lang w:eastAsia="en-US"/>
              </w:rPr>
              <w:t>May 2019</w:t>
            </w:r>
          </w:p>
        </w:tc>
      </w:tr>
      <w:tr w:rsidR="007A7D9B" w:rsidRPr="003B5EE5" w:rsidTr="007A7D9B">
        <w:trPr>
          <w:cnfStyle w:val="100000000000" w:firstRow="1" w:lastRow="0" w:firstColumn="0" w:lastColumn="0" w:oddVBand="0" w:evenVBand="0" w:oddHBand="0" w:evenHBand="0" w:firstRowFirstColumn="0" w:firstRowLastColumn="0" w:lastRowFirstColumn="0" w:lastRowLastColumn="0"/>
        </w:trPr>
        <w:tc>
          <w:tcPr>
            <w:tcW w:w="3064" w:type="dxa"/>
            <w:tcBorders>
              <w:bottom w:val="none" w:sz="0" w:space="0" w:color="auto"/>
            </w:tcBorders>
          </w:tcPr>
          <w:p w:rsidR="007A7D9B" w:rsidRPr="007A7D9B" w:rsidRDefault="007A7D9B" w:rsidP="007A7D9B">
            <w:pPr>
              <w:keepLines/>
              <w:spacing w:before="40" w:after="40" w:line="200" w:lineRule="atLeast"/>
              <w:rPr>
                <w:rFonts w:asciiTheme="minorHAnsi" w:eastAsia="Times New Roman" w:hAnsiTheme="minorHAnsi"/>
                <w:b w:val="0"/>
                <w:iCs/>
                <w:color w:val="auto"/>
                <w:szCs w:val="17"/>
                <w:lang w:eastAsia="en-US"/>
              </w:rPr>
            </w:pPr>
            <w:r w:rsidRPr="007A7D9B">
              <w:rPr>
                <w:rFonts w:asciiTheme="minorHAnsi" w:eastAsia="Times New Roman" w:hAnsiTheme="minorHAnsi"/>
                <w:b w:val="0"/>
                <w:iCs/>
                <w:color w:val="auto"/>
                <w:szCs w:val="17"/>
                <w:lang w:eastAsia="en-US"/>
              </w:rPr>
              <w:t xml:space="preserve">INL044 Rural Road Improvement Project Phase II </w:t>
            </w:r>
          </w:p>
          <w:p w:rsidR="007A7D9B" w:rsidRPr="007A7D9B" w:rsidRDefault="007A7D9B" w:rsidP="007A7D9B">
            <w:pPr>
              <w:keepLines/>
              <w:spacing w:before="40" w:after="40" w:line="200" w:lineRule="atLeast"/>
              <w:rPr>
                <w:rFonts w:asciiTheme="minorHAnsi" w:eastAsia="Times New Roman" w:hAnsiTheme="minorHAnsi"/>
                <w:b w:val="0"/>
                <w:iCs/>
                <w:color w:val="auto"/>
                <w:szCs w:val="17"/>
                <w:lang w:eastAsia="en-US"/>
              </w:rPr>
            </w:pPr>
          </w:p>
        </w:tc>
        <w:tc>
          <w:tcPr>
            <w:tcW w:w="3665" w:type="dxa"/>
            <w:tcBorders>
              <w:bottom w:val="none" w:sz="0" w:space="0" w:color="auto"/>
            </w:tcBorders>
          </w:tcPr>
          <w:p w:rsidR="007A7D9B" w:rsidRPr="007A7D9B" w:rsidRDefault="007A7D9B" w:rsidP="007A7D9B">
            <w:pPr>
              <w:keepLines/>
              <w:spacing w:before="40" w:after="40" w:line="200" w:lineRule="atLeast"/>
              <w:rPr>
                <w:rFonts w:asciiTheme="minorHAnsi" w:eastAsia="Times New Roman" w:hAnsiTheme="minorHAnsi"/>
                <w:b w:val="0"/>
                <w:iCs/>
                <w:color w:val="auto"/>
                <w:szCs w:val="17"/>
                <w:lang w:eastAsia="en-US"/>
              </w:rPr>
            </w:pPr>
            <w:r w:rsidRPr="007A7D9B">
              <w:rPr>
                <w:rFonts w:asciiTheme="minorHAnsi" w:eastAsia="Times New Roman" w:hAnsiTheme="minorHAnsi"/>
                <w:b w:val="0"/>
                <w:iCs/>
                <w:color w:val="auto"/>
                <w:szCs w:val="17"/>
                <w:lang w:eastAsia="en-US"/>
              </w:rPr>
              <w:t>Rural Road Improvement Mid-term Review</w:t>
            </w:r>
            <w:r w:rsidR="00EE2B86">
              <w:rPr>
                <w:rFonts w:asciiTheme="minorHAnsi" w:eastAsia="Times New Roman" w:hAnsiTheme="minorHAnsi"/>
                <w:b w:val="0"/>
                <w:iCs/>
                <w:color w:val="auto"/>
                <w:szCs w:val="17"/>
                <w:lang w:eastAsia="en-US"/>
              </w:rPr>
              <w:t xml:space="preserve"> (partner-led)</w:t>
            </w:r>
          </w:p>
        </w:tc>
        <w:tc>
          <w:tcPr>
            <w:tcW w:w="1397" w:type="dxa"/>
            <w:tcBorders>
              <w:bottom w:val="none" w:sz="0" w:space="0" w:color="auto"/>
            </w:tcBorders>
          </w:tcPr>
          <w:p w:rsidR="007A7D9B" w:rsidRPr="007A7D9B" w:rsidRDefault="007A7D9B" w:rsidP="007A7D9B">
            <w:pPr>
              <w:keepLines/>
              <w:spacing w:before="40" w:after="40" w:line="200" w:lineRule="atLeast"/>
              <w:rPr>
                <w:rFonts w:asciiTheme="minorHAnsi" w:eastAsia="Times New Roman" w:hAnsiTheme="minorHAnsi"/>
                <w:b w:val="0"/>
                <w:iCs/>
                <w:color w:val="auto"/>
                <w:szCs w:val="17"/>
                <w:lang w:eastAsia="en-US"/>
              </w:rPr>
            </w:pPr>
            <w:r w:rsidRPr="007A7D9B">
              <w:rPr>
                <w:rFonts w:asciiTheme="minorHAnsi" w:eastAsia="Times New Roman" w:hAnsiTheme="minorHAnsi"/>
                <w:b w:val="0"/>
                <w:iCs/>
                <w:color w:val="auto"/>
                <w:szCs w:val="17"/>
                <w:lang w:eastAsia="en-US"/>
              </w:rPr>
              <w:t>December 2018</w:t>
            </w:r>
          </w:p>
          <w:p w:rsidR="007A7D9B" w:rsidRPr="007A7D9B" w:rsidRDefault="007A7D9B" w:rsidP="007A7D9B">
            <w:pPr>
              <w:keepLines/>
              <w:spacing w:before="40" w:after="40" w:line="200" w:lineRule="atLeast"/>
              <w:rPr>
                <w:rFonts w:asciiTheme="minorHAnsi" w:eastAsia="Times New Roman" w:hAnsiTheme="minorHAnsi"/>
                <w:b w:val="0"/>
                <w:iCs/>
                <w:color w:val="auto"/>
                <w:szCs w:val="17"/>
                <w:lang w:eastAsia="en-US"/>
              </w:rPr>
            </w:pPr>
          </w:p>
        </w:tc>
        <w:tc>
          <w:tcPr>
            <w:tcW w:w="1953" w:type="dxa"/>
            <w:tcBorders>
              <w:bottom w:val="none" w:sz="0" w:space="0" w:color="auto"/>
            </w:tcBorders>
          </w:tcPr>
          <w:p w:rsidR="007A7D9B" w:rsidRPr="007A7D9B" w:rsidRDefault="006A704D" w:rsidP="007A7D9B">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February 2019</w:t>
            </w:r>
          </w:p>
        </w:tc>
        <w:tc>
          <w:tcPr>
            <w:tcW w:w="1671" w:type="dxa"/>
            <w:tcBorders>
              <w:bottom w:val="none" w:sz="0" w:space="0" w:color="auto"/>
            </w:tcBorders>
          </w:tcPr>
          <w:p w:rsidR="007A7D9B" w:rsidRPr="007A7D9B" w:rsidRDefault="00652FBB" w:rsidP="007A7D9B">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n/a</w:t>
            </w:r>
          </w:p>
        </w:tc>
        <w:tc>
          <w:tcPr>
            <w:tcW w:w="2365" w:type="dxa"/>
            <w:tcBorders>
              <w:bottom w:val="none" w:sz="0" w:space="0" w:color="auto"/>
            </w:tcBorders>
          </w:tcPr>
          <w:p w:rsidR="007A7D9B" w:rsidRPr="007A7D9B" w:rsidRDefault="007E1817" w:rsidP="007A7D9B">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December 2018</w:t>
            </w:r>
          </w:p>
          <w:p w:rsidR="007A7D9B" w:rsidRPr="007A7D9B" w:rsidRDefault="007A7D9B" w:rsidP="007A7D9B">
            <w:pPr>
              <w:keepLines/>
              <w:spacing w:before="40" w:after="40" w:line="200" w:lineRule="atLeast"/>
              <w:rPr>
                <w:rFonts w:asciiTheme="minorHAnsi" w:eastAsia="Times New Roman" w:hAnsiTheme="minorHAnsi"/>
                <w:b w:val="0"/>
                <w:iCs/>
                <w:color w:val="auto"/>
                <w:szCs w:val="17"/>
                <w:lang w:eastAsia="en-US"/>
              </w:rPr>
            </w:pPr>
          </w:p>
        </w:tc>
      </w:tr>
      <w:tr w:rsidR="00EE2B86" w:rsidRPr="003B5EE5" w:rsidTr="007A7D9B">
        <w:trPr>
          <w:cnfStyle w:val="100000000000" w:firstRow="1" w:lastRow="0" w:firstColumn="0" w:lastColumn="0" w:oddVBand="0" w:evenVBand="0" w:oddHBand="0" w:evenHBand="0" w:firstRowFirstColumn="0" w:firstRowLastColumn="0" w:lastRowFirstColumn="0" w:lastRowLastColumn="0"/>
        </w:trPr>
        <w:tc>
          <w:tcPr>
            <w:tcW w:w="3064" w:type="dxa"/>
          </w:tcPr>
          <w:p w:rsidR="00EE2B86" w:rsidRPr="007A7D9B" w:rsidRDefault="00EE2B86" w:rsidP="00EE2B86">
            <w:pPr>
              <w:keepLines/>
              <w:spacing w:before="40" w:after="40" w:line="200" w:lineRule="atLeast"/>
              <w:rPr>
                <w:rFonts w:eastAsia="Times New Roman"/>
                <w:b w:val="0"/>
                <w:iCs/>
                <w:color w:val="auto"/>
                <w:szCs w:val="17"/>
              </w:rPr>
            </w:pPr>
            <w:r w:rsidRPr="008D5D32">
              <w:rPr>
                <w:rFonts w:asciiTheme="minorHAnsi" w:eastAsia="Times New Roman" w:hAnsiTheme="minorHAnsi"/>
                <w:b w:val="0"/>
                <w:iCs/>
                <w:color w:val="auto"/>
                <w:szCs w:val="17"/>
                <w:lang w:eastAsia="en-US"/>
              </w:rPr>
              <w:t>INL968-Health Equity and Quality Improvement Program</w:t>
            </w:r>
          </w:p>
        </w:tc>
        <w:tc>
          <w:tcPr>
            <w:tcW w:w="3665" w:type="dxa"/>
          </w:tcPr>
          <w:p w:rsidR="00EE2B86" w:rsidRPr="007A7D9B" w:rsidRDefault="00EE2B86" w:rsidP="00C37C6B">
            <w:pPr>
              <w:keepLines/>
              <w:spacing w:before="40" w:after="40" w:line="200" w:lineRule="atLeast"/>
              <w:rPr>
                <w:rFonts w:eastAsia="Times New Roman"/>
                <w:b w:val="0"/>
                <w:iCs/>
                <w:color w:val="auto"/>
                <w:szCs w:val="17"/>
              </w:rPr>
            </w:pPr>
            <w:r w:rsidRPr="008D5D32">
              <w:rPr>
                <w:rFonts w:asciiTheme="minorHAnsi" w:eastAsia="Times New Roman" w:hAnsiTheme="minorHAnsi"/>
                <w:b w:val="0"/>
                <w:iCs/>
                <w:color w:val="auto"/>
                <w:szCs w:val="17"/>
                <w:lang w:eastAsia="en-US"/>
              </w:rPr>
              <w:t>H-EQIP Mid-term Review (</w:t>
            </w:r>
            <w:r w:rsidR="00C37C6B">
              <w:rPr>
                <w:rFonts w:asciiTheme="minorHAnsi" w:eastAsia="Times New Roman" w:hAnsiTheme="minorHAnsi"/>
                <w:b w:val="0"/>
                <w:iCs/>
                <w:color w:val="auto"/>
                <w:szCs w:val="17"/>
                <w:lang w:eastAsia="en-US"/>
              </w:rPr>
              <w:t>partner-led)</w:t>
            </w:r>
            <w:r w:rsidR="00C37C6B" w:rsidRPr="008D5D32">
              <w:rPr>
                <w:rFonts w:asciiTheme="minorHAnsi" w:eastAsia="Times New Roman" w:hAnsiTheme="minorHAnsi"/>
                <w:b w:val="0"/>
                <w:iCs/>
                <w:color w:val="auto"/>
                <w:szCs w:val="17"/>
                <w:lang w:eastAsia="en-US"/>
              </w:rPr>
              <w:t xml:space="preserve"> </w:t>
            </w:r>
          </w:p>
        </w:tc>
        <w:tc>
          <w:tcPr>
            <w:tcW w:w="1397" w:type="dxa"/>
          </w:tcPr>
          <w:p w:rsidR="00EE2B86" w:rsidRPr="007A7D9B" w:rsidRDefault="00C37C6B" w:rsidP="00C37C6B">
            <w:pPr>
              <w:keepLines/>
              <w:spacing w:before="40" w:after="40" w:line="200" w:lineRule="atLeast"/>
              <w:rPr>
                <w:rFonts w:eastAsia="Times New Roman"/>
                <w:b w:val="0"/>
                <w:iCs/>
                <w:color w:val="auto"/>
                <w:szCs w:val="17"/>
              </w:rPr>
            </w:pPr>
            <w:r>
              <w:rPr>
                <w:rFonts w:asciiTheme="minorHAnsi" w:eastAsia="Times New Roman" w:hAnsiTheme="minorHAnsi"/>
                <w:b w:val="0"/>
                <w:iCs/>
                <w:color w:val="auto"/>
                <w:szCs w:val="17"/>
                <w:lang w:eastAsia="en-US"/>
              </w:rPr>
              <w:t xml:space="preserve"> May 2019</w:t>
            </w:r>
          </w:p>
        </w:tc>
        <w:tc>
          <w:tcPr>
            <w:tcW w:w="1953" w:type="dxa"/>
          </w:tcPr>
          <w:p w:rsidR="00C37C6B" w:rsidRDefault="00C37C6B" w:rsidP="00EE2B86">
            <w:pPr>
              <w:keepLines/>
              <w:spacing w:before="40" w:after="40" w:line="200" w:lineRule="atLeast"/>
              <w:rPr>
                <w:rFonts w:asciiTheme="minorHAnsi" w:eastAsia="Times New Roman" w:hAnsiTheme="minorHAnsi"/>
                <w:b w:val="0"/>
                <w:iCs/>
                <w:color w:val="auto"/>
                <w:szCs w:val="17"/>
                <w:lang w:eastAsia="en-US"/>
              </w:rPr>
            </w:pPr>
          </w:p>
          <w:p w:rsidR="00C37C6B" w:rsidRPr="00651FE9" w:rsidDel="00652FBB" w:rsidRDefault="00C37C6B" w:rsidP="00EE2B86">
            <w:pPr>
              <w:keepLines/>
              <w:spacing w:before="40" w:after="40" w:line="200" w:lineRule="atLeast"/>
              <w:rPr>
                <w:rFonts w:asciiTheme="minorHAnsi" w:eastAsia="Times New Roman" w:hAnsiTheme="minorHAnsi"/>
                <w:b w:val="0"/>
                <w:iCs/>
                <w:color w:val="auto"/>
                <w:szCs w:val="17"/>
                <w:lang w:eastAsia="en-US"/>
              </w:rPr>
            </w:pPr>
            <w:r>
              <w:rPr>
                <w:rFonts w:asciiTheme="minorHAnsi" w:eastAsia="Times New Roman" w:hAnsiTheme="minorHAnsi"/>
                <w:b w:val="0"/>
                <w:iCs/>
                <w:color w:val="auto"/>
                <w:szCs w:val="17"/>
                <w:lang w:eastAsia="en-US"/>
              </w:rPr>
              <w:t>September 2019</w:t>
            </w:r>
          </w:p>
        </w:tc>
        <w:tc>
          <w:tcPr>
            <w:tcW w:w="1671" w:type="dxa"/>
          </w:tcPr>
          <w:p w:rsidR="00EE2B86" w:rsidDel="00652FBB" w:rsidRDefault="00EE2B86" w:rsidP="00EE2B86">
            <w:pPr>
              <w:keepLines/>
              <w:spacing w:before="40" w:after="40" w:line="200" w:lineRule="atLeast"/>
              <w:rPr>
                <w:rFonts w:eastAsia="Times New Roman"/>
                <w:b w:val="0"/>
                <w:iCs/>
                <w:color w:val="auto"/>
                <w:szCs w:val="17"/>
              </w:rPr>
            </w:pPr>
            <w:r>
              <w:rPr>
                <w:rFonts w:asciiTheme="minorHAnsi" w:eastAsia="Times New Roman" w:hAnsiTheme="minorHAnsi"/>
                <w:b w:val="0"/>
                <w:iCs/>
                <w:color w:val="auto"/>
                <w:szCs w:val="17"/>
                <w:lang w:eastAsia="en-US"/>
              </w:rPr>
              <w:t>n/a</w:t>
            </w:r>
          </w:p>
        </w:tc>
        <w:tc>
          <w:tcPr>
            <w:tcW w:w="2365" w:type="dxa"/>
          </w:tcPr>
          <w:p w:rsidR="00EE2B86" w:rsidRDefault="00EE2B86" w:rsidP="00EE2B86">
            <w:pPr>
              <w:keepLines/>
              <w:spacing w:before="40" w:after="40" w:line="200" w:lineRule="atLeast"/>
              <w:rPr>
                <w:rFonts w:asciiTheme="minorHAnsi" w:eastAsia="Times New Roman" w:hAnsiTheme="minorHAnsi"/>
                <w:b w:val="0"/>
                <w:iCs/>
                <w:color w:val="auto"/>
                <w:szCs w:val="17"/>
                <w:lang w:eastAsia="en-US"/>
              </w:rPr>
            </w:pPr>
          </w:p>
          <w:p w:rsidR="00C37C6B" w:rsidRPr="00651FE9" w:rsidDel="007E1817" w:rsidRDefault="00C37C6B" w:rsidP="00C37C6B">
            <w:pPr>
              <w:keepLines/>
              <w:spacing w:before="40" w:after="40" w:line="200" w:lineRule="atLeast"/>
              <w:rPr>
                <w:rFonts w:asciiTheme="minorHAnsi" w:eastAsia="Times New Roman" w:hAnsiTheme="minorHAnsi"/>
                <w:b w:val="0"/>
                <w:iCs/>
                <w:color w:val="auto"/>
                <w:szCs w:val="17"/>
                <w:lang w:eastAsia="en-US"/>
              </w:rPr>
            </w:pPr>
            <w:r w:rsidRPr="00651FE9">
              <w:rPr>
                <w:rFonts w:asciiTheme="minorHAnsi" w:eastAsia="Times New Roman" w:hAnsiTheme="minorHAnsi"/>
                <w:b w:val="0"/>
                <w:iCs/>
                <w:color w:val="auto"/>
                <w:szCs w:val="17"/>
                <w:lang w:eastAsia="en-US"/>
              </w:rPr>
              <w:t>N/A – not released by the Cambodian Ministry of Health. Annual reports are available and an evaluation is underway and will be available publically at project completion.</w:t>
            </w:r>
          </w:p>
        </w:tc>
      </w:tr>
    </w:tbl>
    <w:p w:rsidR="008821C2" w:rsidRPr="00EF26B5" w:rsidRDefault="008821C2" w:rsidP="008821C2">
      <w:pPr>
        <w:spacing w:before="360"/>
        <w:rPr>
          <w:rFonts w:eastAsiaTheme="majorEastAsia" w:cstheme="minorHAnsi"/>
          <w:caps/>
          <w:sz w:val="36"/>
          <w:szCs w:val="36"/>
        </w:rPr>
      </w:pPr>
      <w:r w:rsidRPr="00EF26B5">
        <w:rPr>
          <w:rFonts w:eastAsiaTheme="majorEastAsia" w:cstheme="minorHAnsi"/>
          <w:caps/>
          <w:sz w:val="36"/>
          <w:szCs w:val="36"/>
        </w:rPr>
        <w:t xml:space="preserve">2 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8821C2" w:rsidRPr="00C61187" w:rsidTr="0097700F">
        <w:tc>
          <w:tcPr>
            <w:tcW w:w="2444" w:type="dxa"/>
          </w:tcPr>
          <w:p w:rsidR="008821C2" w:rsidRPr="00812509" w:rsidRDefault="008821C2"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rsidR="008821C2" w:rsidRPr="00812509" w:rsidRDefault="008821C2"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rsidR="008821C2" w:rsidRPr="00812509" w:rsidRDefault="008821C2"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rsidR="008821C2" w:rsidRPr="00812509" w:rsidRDefault="008821C2"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rsidR="008821C2" w:rsidRPr="00B44723" w:rsidRDefault="008821C2" w:rsidP="00B44723">
            <w:pPr>
              <w:keepLines/>
              <w:spacing w:before="40" w:after="40" w:line="200" w:lineRule="atLeast"/>
              <w:rPr>
                <w:rFonts w:asciiTheme="minorHAnsi" w:eastAsia="Times New Roman" w:hAnsiTheme="minorHAnsi"/>
                <w:iCs/>
                <w:color w:val="auto"/>
                <w:szCs w:val="17"/>
                <w:lang w:eastAsia="en-US"/>
              </w:rPr>
            </w:pPr>
            <w:r w:rsidRPr="00B44723">
              <w:rPr>
                <w:rFonts w:eastAsia="Times New Roman"/>
                <w:iCs/>
                <w:color w:val="auto"/>
                <w:szCs w:val="17"/>
              </w:rPr>
              <w:t>Purpose of evaluation</w:t>
            </w:r>
          </w:p>
        </w:tc>
        <w:tc>
          <w:tcPr>
            <w:tcW w:w="2740" w:type="dxa"/>
          </w:tcPr>
          <w:p w:rsidR="008821C2" w:rsidRPr="00812509" w:rsidRDefault="008821C2"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DB63AA" w:rsidRPr="00C61187" w:rsidTr="00FE7674">
        <w:tc>
          <w:tcPr>
            <w:tcW w:w="2444" w:type="dxa"/>
            <w:tcBorders>
              <w:top w:val="single" w:sz="4" w:space="0" w:color="auto"/>
              <w:left w:val="single" w:sz="4" w:space="0" w:color="auto"/>
              <w:bottom w:val="single" w:sz="4" w:space="0" w:color="auto"/>
              <w:right w:val="single" w:sz="4" w:space="0" w:color="auto"/>
            </w:tcBorders>
          </w:tcPr>
          <w:p w:rsidR="00DB63AA" w:rsidRPr="00B44723" w:rsidRDefault="00DB63AA" w:rsidP="00DB63AA">
            <w:pPr>
              <w:keepLines/>
              <w:spacing w:before="40" w:after="40" w:line="200" w:lineRule="atLeast"/>
              <w:rPr>
                <w:rFonts w:asciiTheme="minorHAnsi" w:eastAsia="Times New Roman" w:hAnsiTheme="minorHAnsi"/>
                <w:iCs/>
                <w:color w:val="auto"/>
                <w:szCs w:val="17"/>
                <w:lang w:eastAsia="en-US"/>
              </w:rPr>
            </w:pPr>
            <w:r w:rsidRPr="007A7D9B">
              <w:rPr>
                <w:rFonts w:asciiTheme="minorHAnsi" w:eastAsia="Times New Roman" w:hAnsiTheme="minorHAnsi"/>
                <w:iCs/>
                <w:color w:val="auto"/>
                <w:szCs w:val="17"/>
                <w:lang w:eastAsia="en-US"/>
              </w:rPr>
              <w:t>CAVAC Phase II Mid-term Review</w:t>
            </w:r>
            <w:r>
              <w:rPr>
                <w:rFonts w:asciiTheme="minorHAnsi" w:eastAsia="Times New Roman" w:hAnsiTheme="minorHAnsi"/>
                <w:iCs/>
                <w:color w:val="auto"/>
                <w:szCs w:val="17"/>
                <w:lang w:eastAsia="en-US"/>
              </w:rPr>
              <w:t xml:space="preserve"> </w:t>
            </w:r>
          </w:p>
        </w:tc>
        <w:tc>
          <w:tcPr>
            <w:tcW w:w="2356" w:type="dxa"/>
            <w:tcBorders>
              <w:top w:val="single" w:sz="4" w:space="0" w:color="auto"/>
              <w:left w:val="single" w:sz="4" w:space="0" w:color="auto"/>
              <w:bottom w:val="single" w:sz="4" w:space="0" w:color="auto"/>
              <w:right w:val="single" w:sz="4" w:space="0" w:color="auto"/>
            </w:tcBorders>
          </w:tcPr>
          <w:p w:rsidR="00DB63AA" w:rsidRPr="00B44723" w:rsidRDefault="00DB63AA" w:rsidP="00DB63AA">
            <w:pPr>
              <w:keepLines/>
              <w:spacing w:before="40" w:after="40" w:line="200" w:lineRule="atLeast"/>
              <w:rPr>
                <w:rFonts w:asciiTheme="minorHAnsi" w:eastAsia="Times New Roman" w:hAnsiTheme="minorHAnsi"/>
                <w:b/>
                <w:iCs/>
                <w:color w:val="auto"/>
                <w:szCs w:val="17"/>
                <w:lang w:eastAsia="en-US"/>
              </w:rPr>
            </w:pPr>
            <w:r w:rsidRPr="007A7D9B">
              <w:rPr>
                <w:rFonts w:asciiTheme="minorHAnsi" w:eastAsia="Times New Roman" w:hAnsiTheme="minorHAnsi"/>
                <w:iCs/>
                <w:color w:val="auto"/>
                <w:szCs w:val="17"/>
                <w:lang w:eastAsia="en-US"/>
              </w:rPr>
              <w:t>INL089 Cambodia Agriculture Value Change Program</w:t>
            </w:r>
          </w:p>
        </w:tc>
        <w:tc>
          <w:tcPr>
            <w:tcW w:w="2042" w:type="dxa"/>
            <w:tcBorders>
              <w:top w:val="single" w:sz="4" w:space="0" w:color="auto"/>
              <w:left w:val="single" w:sz="4" w:space="0" w:color="auto"/>
              <w:bottom w:val="single" w:sz="4" w:space="0" w:color="auto"/>
              <w:right w:val="single" w:sz="4" w:space="0" w:color="auto"/>
            </w:tcBorders>
          </w:tcPr>
          <w:p w:rsidR="00DB63AA" w:rsidRPr="00B44723" w:rsidRDefault="00DB63AA" w:rsidP="00DB63AA">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Fieldwork conducted in May 2019</w:t>
            </w:r>
          </w:p>
        </w:tc>
        <w:tc>
          <w:tcPr>
            <w:tcW w:w="2208" w:type="dxa"/>
            <w:tcBorders>
              <w:top w:val="single" w:sz="4" w:space="0" w:color="auto"/>
              <w:left w:val="single" w:sz="4" w:space="0" w:color="auto"/>
              <w:bottom w:val="single" w:sz="4" w:space="0" w:color="auto"/>
              <w:right w:val="single" w:sz="4" w:space="0" w:color="auto"/>
            </w:tcBorders>
          </w:tcPr>
          <w:p w:rsidR="00DB63AA" w:rsidRPr="00B44723" w:rsidRDefault="00DB63AA" w:rsidP="00DB63AA">
            <w:pPr>
              <w:keepLines/>
              <w:spacing w:before="40" w:after="40" w:line="200" w:lineRule="atLeast"/>
              <w:rPr>
                <w:rFonts w:asciiTheme="minorHAnsi" w:eastAsia="Times New Roman" w:hAnsiTheme="minorHAnsi"/>
                <w:iCs/>
                <w:color w:val="auto"/>
                <w:szCs w:val="17"/>
                <w:lang w:eastAsia="en-US"/>
              </w:rPr>
            </w:pPr>
            <w:r w:rsidRPr="00DB63AA">
              <w:rPr>
                <w:rFonts w:eastAsia="Times New Roman"/>
                <w:iCs/>
                <w:color w:val="auto"/>
                <w:szCs w:val="17"/>
              </w:rPr>
              <w:t xml:space="preserve">August </w:t>
            </w:r>
            <w:r w:rsidRPr="00DB63AA">
              <w:rPr>
                <w:rFonts w:asciiTheme="minorHAnsi" w:eastAsia="Times New Roman" w:hAnsiTheme="minorHAnsi"/>
                <w:iCs/>
                <w:color w:val="auto"/>
                <w:szCs w:val="17"/>
                <w:lang w:eastAsia="en-US"/>
              </w:rPr>
              <w:t>2019</w:t>
            </w:r>
          </w:p>
        </w:tc>
        <w:tc>
          <w:tcPr>
            <w:tcW w:w="2325" w:type="dxa"/>
            <w:tcBorders>
              <w:top w:val="single" w:sz="4" w:space="0" w:color="auto"/>
              <w:left w:val="single" w:sz="4" w:space="0" w:color="auto"/>
              <w:bottom w:val="single" w:sz="4" w:space="0" w:color="auto"/>
              <w:right w:val="single" w:sz="4" w:space="0" w:color="auto"/>
            </w:tcBorders>
          </w:tcPr>
          <w:p w:rsidR="00DB63AA" w:rsidRDefault="00DB63AA" w:rsidP="00DB63AA">
            <w:pPr>
              <w:keepLines/>
              <w:spacing w:before="40" w:after="40" w:line="200" w:lineRule="atLeast"/>
              <w:rPr>
                <w:rFonts w:asciiTheme="minorHAnsi" w:eastAsia="Times New Roman" w:hAnsiTheme="minorHAnsi"/>
                <w:iCs/>
                <w:color w:val="auto"/>
                <w:szCs w:val="17"/>
                <w:lang w:eastAsia="en-US"/>
              </w:rPr>
            </w:pPr>
            <w:r w:rsidRPr="00B44723">
              <w:rPr>
                <w:rFonts w:eastAsia="Times New Roman"/>
                <w:iCs/>
                <w:color w:val="auto"/>
                <w:szCs w:val="17"/>
              </w:rPr>
              <w:t>- As</w:t>
            </w:r>
            <w:r>
              <w:rPr>
                <w:rFonts w:asciiTheme="minorHAnsi" w:eastAsia="Times New Roman" w:hAnsiTheme="minorHAnsi"/>
                <w:iCs/>
                <w:color w:val="auto"/>
                <w:szCs w:val="17"/>
                <w:lang w:eastAsia="en-US"/>
              </w:rPr>
              <w:t>sess program results</w:t>
            </w:r>
          </w:p>
          <w:p w:rsidR="00DB63AA" w:rsidRPr="00B44723" w:rsidRDefault="00DB63AA" w:rsidP="00DB63AA">
            <w:pPr>
              <w:keepLines/>
              <w:spacing w:before="40" w:after="40" w:line="200" w:lineRule="atLeast"/>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 Inform program realignment</w:t>
            </w:r>
          </w:p>
        </w:tc>
        <w:tc>
          <w:tcPr>
            <w:tcW w:w="2740" w:type="dxa"/>
            <w:tcBorders>
              <w:top w:val="single" w:sz="4" w:space="0" w:color="auto"/>
              <w:left w:val="single" w:sz="4" w:space="0" w:color="auto"/>
              <w:bottom w:val="single" w:sz="4" w:space="0" w:color="auto"/>
              <w:right w:val="single" w:sz="4" w:space="0" w:color="auto"/>
            </w:tcBorders>
          </w:tcPr>
          <w:p w:rsidR="00DB63AA" w:rsidRPr="00B44723" w:rsidRDefault="00DB63AA" w:rsidP="00DB63AA">
            <w:pPr>
              <w:keepLines/>
              <w:spacing w:before="40" w:after="40" w:line="200" w:lineRule="atLeast"/>
              <w:rPr>
                <w:rFonts w:asciiTheme="minorHAnsi" w:eastAsia="Times New Roman" w:hAnsiTheme="minorHAnsi"/>
                <w:iCs/>
                <w:color w:val="auto"/>
                <w:szCs w:val="17"/>
                <w:lang w:eastAsia="en-US"/>
              </w:rPr>
            </w:pPr>
            <w:r w:rsidRPr="005455D5">
              <w:rPr>
                <w:rFonts w:asciiTheme="minorHAnsi" w:eastAsia="Times New Roman" w:hAnsiTheme="minorHAnsi"/>
                <w:iCs/>
                <w:color w:val="auto"/>
                <w:szCs w:val="17"/>
                <w:lang w:eastAsia="en-US"/>
              </w:rPr>
              <w:t>DFAT-led</w:t>
            </w:r>
          </w:p>
        </w:tc>
      </w:tr>
      <w:tr w:rsidR="00BF1EA4" w:rsidRPr="00C61187" w:rsidTr="00FE7674">
        <w:tc>
          <w:tcPr>
            <w:tcW w:w="2444" w:type="dxa"/>
            <w:tcBorders>
              <w:top w:val="single" w:sz="4" w:space="0" w:color="auto"/>
              <w:left w:val="single" w:sz="4" w:space="0" w:color="auto"/>
              <w:bottom w:val="single" w:sz="4" w:space="0" w:color="auto"/>
              <w:right w:val="single" w:sz="4" w:space="0" w:color="auto"/>
            </w:tcBorders>
          </w:tcPr>
          <w:p w:rsidR="00BF1EA4" w:rsidRPr="005455D5" w:rsidRDefault="00BF1EA4" w:rsidP="00BF1EA4">
            <w:pPr>
              <w:keepLines/>
              <w:spacing w:before="40" w:after="40" w:line="200" w:lineRule="atLeast"/>
              <w:rPr>
                <w:rFonts w:asciiTheme="minorHAnsi" w:eastAsia="Times New Roman" w:hAnsiTheme="minorHAnsi"/>
                <w:iCs/>
                <w:color w:val="auto"/>
                <w:szCs w:val="17"/>
                <w:lang w:eastAsia="en-US"/>
              </w:rPr>
            </w:pPr>
            <w:r w:rsidRPr="005455D5">
              <w:rPr>
                <w:rFonts w:asciiTheme="minorHAnsi" w:eastAsia="Times New Roman" w:hAnsiTheme="minorHAnsi"/>
                <w:iCs/>
                <w:color w:val="auto"/>
                <w:szCs w:val="17"/>
                <w:lang w:eastAsia="en-US"/>
              </w:rPr>
              <w:t xml:space="preserve">3i </w:t>
            </w:r>
            <w:r w:rsidR="00DB63AA" w:rsidRPr="007A7D9B">
              <w:rPr>
                <w:rFonts w:asciiTheme="minorHAnsi" w:eastAsia="Times New Roman" w:hAnsiTheme="minorHAnsi"/>
                <w:iCs/>
                <w:color w:val="auto"/>
                <w:szCs w:val="17"/>
                <w:lang w:eastAsia="en-US"/>
              </w:rPr>
              <w:t>Mid-term Review</w:t>
            </w:r>
            <w:r w:rsidR="00DB63AA">
              <w:rPr>
                <w:rFonts w:asciiTheme="minorHAnsi" w:eastAsia="Times New Roman" w:hAnsiTheme="minorHAnsi"/>
                <w:iCs/>
                <w:color w:val="auto"/>
                <w:szCs w:val="17"/>
                <w:lang w:eastAsia="en-US"/>
              </w:rPr>
              <w:t xml:space="preserve"> </w:t>
            </w:r>
            <w:r w:rsidR="001671A7">
              <w:rPr>
                <w:rFonts w:asciiTheme="minorHAnsi" w:eastAsia="Times New Roman" w:hAnsiTheme="minorHAnsi"/>
                <w:iCs/>
                <w:color w:val="auto"/>
                <w:szCs w:val="17"/>
                <w:lang w:eastAsia="en-US"/>
              </w:rPr>
              <w:t>/</w:t>
            </w:r>
            <w:r w:rsidR="00DB63AA">
              <w:rPr>
                <w:rFonts w:asciiTheme="minorHAnsi" w:eastAsia="Times New Roman" w:hAnsiTheme="minorHAnsi"/>
                <w:iCs/>
                <w:color w:val="auto"/>
                <w:szCs w:val="17"/>
                <w:lang w:eastAsia="en-US"/>
              </w:rPr>
              <w:t xml:space="preserve"> formative</w:t>
            </w:r>
            <w:r w:rsidRPr="005455D5">
              <w:rPr>
                <w:rFonts w:asciiTheme="minorHAnsi" w:eastAsia="Times New Roman" w:hAnsiTheme="minorHAnsi"/>
                <w:iCs/>
                <w:color w:val="auto"/>
                <w:szCs w:val="17"/>
                <w:lang w:eastAsia="en-US"/>
              </w:rPr>
              <w:t xml:space="preserve"> evaluation  </w:t>
            </w:r>
          </w:p>
        </w:tc>
        <w:tc>
          <w:tcPr>
            <w:tcW w:w="2356" w:type="dxa"/>
            <w:tcBorders>
              <w:top w:val="single" w:sz="4" w:space="0" w:color="auto"/>
              <w:left w:val="single" w:sz="4" w:space="0" w:color="auto"/>
              <w:bottom w:val="single" w:sz="4" w:space="0" w:color="auto"/>
              <w:right w:val="single" w:sz="4" w:space="0" w:color="auto"/>
            </w:tcBorders>
          </w:tcPr>
          <w:p w:rsidR="00BF1EA4" w:rsidRPr="005455D5" w:rsidRDefault="00BF1EA4" w:rsidP="00BF1EA4">
            <w:pPr>
              <w:keepLines/>
              <w:spacing w:before="40" w:after="40" w:line="200" w:lineRule="atLeast"/>
              <w:rPr>
                <w:rFonts w:asciiTheme="minorHAnsi" w:eastAsia="Times New Roman" w:hAnsiTheme="minorHAnsi"/>
                <w:iCs/>
                <w:color w:val="auto"/>
                <w:szCs w:val="17"/>
                <w:lang w:eastAsia="en-US"/>
              </w:rPr>
            </w:pPr>
            <w:r w:rsidRPr="005455D5">
              <w:rPr>
                <w:rFonts w:asciiTheme="minorHAnsi" w:eastAsia="Times New Roman" w:hAnsiTheme="minorHAnsi"/>
                <w:iCs/>
                <w:color w:val="auto"/>
                <w:szCs w:val="17"/>
                <w:lang w:eastAsia="en-US"/>
              </w:rPr>
              <w:t>INL435</w:t>
            </w:r>
            <w:r w:rsidR="00DB63AA">
              <w:rPr>
                <w:rFonts w:asciiTheme="minorHAnsi" w:eastAsia="Times New Roman" w:hAnsiTheme="minorHAnsi"/>
                <w:iCs/>
                <w:color w:val="auto"/>
                <w:szCs w:val="17"/>
                <w:lang w:eastAsia="en-US"/>
              </w:rPr>
              <w:t xml:space="preserve"> – Investing in Infrastructure</w:t>
            </w:r>
          </w:p>
        </w:tc>
        <w:tc>
          <w:tcPr>
            <w:tcW w:w="2042" w:type="dxa"/>
            <w:tcBorders>
              <w:top w:val="single" w:sz="4" w:space="0" w:color="auto"/>
              <w:left w:val="single" w:sz="4" w:space="0" w:color="auto"/>
              <w:bottom w:val="single" w:sz="4" w:space="0" w:color="auto"/>
              <w:right w:val="single" w:sz="4" w:space="0" w:color="auto"/>
            </w:tcBorders>
          </w:tcPr>
          <w:p w:rsidR="00BF1EA4" w:rsidRPr="005455D5" w:rsidRDefault="00BF1EA4" w:rsidP="00BF1EA4">
            <w:pPr>
              <w:keepLines/>
              <w:spacing w:before="40" w:after="40" w:line="200" w:lineRule="atLeast"/>
              <w:rPr>
                <w:rFonts w:asciiTheme="minorHAnsi" w:eastAsia="Times New Roman" w:hAnsiTheme="minorHAnsi"/>
                <w:iCs/>
                <w:color w:val="auto"/>
                <w:szCs w:val="17"/>
                <w:lang w:eastAsia="en-US"/>
              </w:rPr>
            </w:pPr>
            <w:r w:rsidRPr="005455D5">
              <w:rPr>
                <w:rFonts w:asciiTheme="minorHAnsi" w:eastAsia="Times New Roman" w:hAnsiTheme="minorHAnsi"/>
                <w:iCs/>
                <w:color w:val="auto"/>
                <w:szCs w:val="17"/>
                <w:lang w:eastAsia="en-US"/>
              </w:rPr>
              <w:t>Early 2020</w:t>
            </w:r>
          </w:p>
        </w:tc>
        <w:tc>
          <w:tcPr>
            <w:tcW w:w="2208" w:type="dxa"/>
            <w:tcBorders>
              <w:top w:val="single" w:sz="4" w:space="0" w:color="auto"/>
              <w:left w:val="single" w:sz="4" w:space="0" w:color="auto"/>
              <w:bottom w:val="single" w:sz="4" w:space="0" w:color="auto"/>
              <w:right w:val="single" w:sz="4" w:space="0" w:color="auto"/>
            </w:tcBorders>
          </w:tcPr>
          <w:p w:rsidR="00BF1EA4" w:rsidRPr="005455D5" w:rsidRDefault="00BF1EA4" w:rsidP="00BF1EA4">
            <w:pPr>
              <w:keepLines/>
              <w:spacing w:before="40" w:after="40" w:line="200" w:lineRule="atLeast"/>
              <w:rPr>
                <w:rFonts w:asciiTheme="minorHAnsi" w:eastAsia="Times New Roman" w:hAnsiTheme="minorHAnsi"/>
                <w:iCs/>
                <w:color w:val="auto"/>
                <w:szCs w:val="17"/>
                <w:lang w:eastAsia="en-US"/>
              </w:rPr>
            </w:pPr>
            <w:r w:rsidRPr="005455D5">
              <w:rPr>
                <w:rFonts w:asciiTheme="minorHAnsi" w:eastAsia="Times New Roman" w:hAnsiTheme="minorHAnsi"/>
                <w:iCs/>
                <w:color w:val="auto"/>
                <w:szCs w:val="17"/>
                <w:lang w:eastAsia="en-US"/>
              </w:rPr>
              <w:t>June 2020</w:t>
            </w:r>
          </w:p>
        </w:tc>
        <w:tc>
          <w:tcPr>
            <w:tcW w:w="2325" w:type="dxa"/>
            <w:tcBorders>
              <w:top w:val="single" w:sz="4" w:space="0" w:color="auto"/>
              <w:left w:val="single" w:sz="4" w:space="0" w:color="auto"/>
              <w:bottom w:val="single" w:sz="4" w:space="0" w:color="auto"/>
              <w:right w:val="single" w:sz="4" w:space="0" w:color="auto"/>
            </w:tcBorders>
          </w:tcPr>
          <w:p w:rsidR="00BF1EA4" w:rsidRPr="005455D5" w:rsidRDefault="00BF1EA4" w:rsidP="00BF1EA4">
            <w:pPr>
              <w:keepLines/>
              <w:spacing w:before="40" w:after="40" w:line="200" w:lineRule="atLeast"/>
              <w:rPr>
                <w:rFonts w:asciiTheme="minorHAnsi" w:eastAsia="Times New Roman" w:hAnsiTheme="minorHAnsi"/>
                <w:iCs/>
                <w:color w:val="auto"/>
                <w:szCs w:val="17"/>
                <w:lang w:eastAsia="en-US"/>
              </w:rPr>
            </w:pPr>
            <w:r w:rsidRPr="005455D5">
              <w:rPr>
                <w:rFonts w:asciiTheme="minorHAnsi" w:eastAsia="Times New Roman" w:hAnsiTheme="minorHAnsi"/>
                <w:iCs/>
                <w:color w:val="auto"/>
                <w:szCs w:val="17"/>
                <w:lang w:eastAsia="en-US"/>
              </w:rPr>
              <w:t xml:space="preserve">- </w:t>
            </w:r>
            <w:r>
              <w:rPr>
                <w:rFonts w:asciiTheme="minorHAnsi" w:eastAsia="Times New Roman" w:hAnsiTheme="minorHAnsi"/>
                <w:iCs/>
                <w:color w:val="auto"/>
                <w:szCs w:val="17"/>
                <w:lang w:eastAsia="en-US"/>
              </w:rPr>
              <w:t>I</w:t>
            </w:r>
            <w:r w:rsidRPr="005455D5">
              <w:rPr>
                <w:rFonts w:asciiTheme="minorHAnsi" w:eastAsia="Times New Roman" w:hAnsiTheme="minorHAnsi"/>
                <w:iCs/>
                <w:color w:val="auto"/>
                <w:szCs w:val="17"/>
                <w:lang w:eastAsia="en-US"/>
              </w:rPr>
              <w:t>mprove existing investment</w:t>
            </w:r>
          </w:p>
          <w:p w:rsidR="00BF1EA4" w:rsidRPr="005455D5" w:rsidRDefault="00BF1EA4" w:rsidP="00BF1EA4">
            <w:pPr>
              <w:keepLines/>
              <w:spacing w:before="40" w:after="40" w:line="200" w:lineRule="atLeast"/>
              <w:rPr>
                <w:rFonts w:asciiTheme="minorHAnsi" w:eastAsia="Times New Roman" w:hAnsiTheme="minorHAnsi"/>
                <w:iCs/>
                <w:color w:val="auto"/>
                <w:szCs w:val="17"/>
                <w:lang w:eastAsia="en-US"/>
              </w:rPr>
            </w:pPr>
            <w:r w:rsidRPr="005455D5">
              <w:rPr>
                <w:rFonts w:asciiTheme="minorHAnsi" w:eastAsia="Times New Roman" w:hAnsiTheme="minorHAnsi"/>
                <w:iCs/>
                <w:color w:val="auto"/>
                <w:szCs w:val="17"/>
                <w:lang w:eastAsia="en-US"/>
              </w:rPr>
              <w:t xml:space="preserve">- Inform new design </w:t>
            </w:r>
          </w:p>
        </w:tc>
        <w:tc>
          <w:tcPr>
            <w:tcW w:w="2740" w:type="dxa"/>
            <w:tcBorders>
              <w:top w:val="single" w:sz="4" w:space="0" w:color="auto"/>
              <w:left w:val="single" w:sz="4" w:space="0" w:color="auto"/>
              <w:bottom w:val="single" w:sz="4" w:space="0" w:color="auto"/>
              <w:right w:val="single" w:sz="4" w:space="0" w:color="auto"/>
            </w:tcBorders>
          </w:tcPr>
          <w:p w:rsidR="00BF1EA4" w:rsidRPr="005455D5" w:rsidRDefault="00BF1EA4" w:rsidP="00BF1EA4">
            <w:pPr>
              <w:keepLines/>
              <w:spacing w:before="40" w:after="40" w:line="200" w:lineRule="atLeast"/>
              <w:rPr>
                <w:rFonts w:asciiTheme="minorHAnsi" w:eastAsia="Times New Roman" w:hAnsiTheme="minorHAnsi"/>
                <w:iCs/>
                <w:color w:val="auto"/>
                <w:szCs w:val="17"/>
                <w:lang w:eastAsia="en-US"/>
              </w:rPr>
            </w:pPr>
            <w:r w:rsidRPr="005455D5">
              <w:rPr>
                <w:rFonts w:asciiTheme="minorHAnsi" w:eastAsia="Times New Roman" w:hAnsiTheme="minorHAnsi"/>
                <w:iCs/>
                <w:color w:val="auto"/>
                <w:szCs w:val="17"/>
                <w:lang w:eastAsia="en-US"/>
              </w:rPr>
              <w:t xml:space="preserve">DFAT-led </w:t>
            </w:r>
          </w:p>
        </w:tc>
      </w:tr>
    </w:tbl>
    <w:p w:rsidR="00400B0F" w:rsidRPr="00C61187" w:rsidRDefault="00400B0F" w:rsidP="00400B0F">
      <w:pPr>
        <w:rPr>
          <w:b/>
        </w:rPr>
        <w:sectPr w:rsidR="00400B0F" w:rsidRPr="00C61187" w:rsidSect="008C2F58">
          <w:headerReference w:type="even" r:id="rId29"/>
          <w:headerReference w:type="default" r:id="rId30"/>
          <w:headerReference w:type="first" r:id="rId31"/>
          <w:footerReference w:type="first" r:id="rId32"/>
          <w:footnotePr>
            <w:numRestart w:val="eachPage"/>
          </w:footnotePr>
          <w:type w:val="continuous"/>
          <w:pgSz w:w="16838" w:h="11906" w:orient="landscape" w:code="9"/>
          <w:pgMar w:top="1272" w:right="1814" w:bottom="851" w:left="851" w:header="709" w:footer="230" w:gutter="0"/>
          <w:cols w:space="708"/>
          <w:titlePg/>
          <w:docGrid w:linePitch="360"/>
        </w:sectPr>
      </w:pPr>
    </w:p>
    <w:p w:rsidR="00400B0F" w:rsidRPr="00901B73" w:rsidRDefault="00400B0F" w:rsidP="00901B73">
      <w:pPr>
        <w:keepNext/>
        <w:tabs>
          <w:tab w:val="left" w:pos="1560"/>
        </w:tabs>
        <w:spacing w:before="360" w:after="120" w:line="300" w:lineRule="exact"/>
        <w:outlineLvl w:val="1"/>
        <w:rPr>
          <w:rFonts w:asciiTheme="majorHAnsi" w:eastAsiaTheme="majorEastAsia" w:hAnsiTheme="majorHAnsi" w:cstheme="majorHAnsi"/>
          <w:bCs/>
          <w:iCs/>
          <w:caps/>
          <w:spacing w:val="-10"/>
          <w:kern w:val="28"/>
          <w:sz w:val="38"/>
          <w:szCs w:val="24"/>
        </w:rPr>
      </w:pPr>
      <w:r w:rsidRPr="00901B73">
        <w:rPr>
          <w:rFonts w:asciiTheme="majorHAnsi" w:eastAsiaTheme="majorEastAsia" w:hAnsiTheme="majorHAnsi" w:cstheme="majorHAnsi"/>
          <w:bCs/>
          <w:iCs/>
          <w:caps/>
          <w:spacing w:val="-10"/>
          <w:kern w:val="28"/>
          <w:sz w:val="38"/>
          <w:szCs w:val="24"/>
        </w:rPr>
        <w:lastRenderedPageBreak/>
        <w:t>Annex D - Aid Quality Check ratings</w:t>
      </w:r>
    </w:p>
    <w:p w:rsidR="00901B73" w:rsidRDefault="00901B73" w:rsidP="00901B73">
      <w:pPr>
        <w:pStyle w:val="ListBullet"/>
        <w:tabs>
          <w:tab w:val="clear" w:pos="284"/>
        </w:tabs>
        <w:spacing w:before="400"/>
        <w:rPr>
          <w:rFonts w:asciiTheme="minorHAnsi" w:eastAsiaTheme="majorEastAsia" w:hAnsiTheme="minorHAnsi" w:cstheme="minorHAnsi"/>
          <w:caps/>
          <w:color w:val="495965" w:themeColor="text2"/>
          <w:sz w:val="36"/>
          <w:szCs w:val="36"/>
          <w:lang w:val="en-GB" w:eastAsia="en-US"/>
        </w:rPr>
      </w:pPr>
      <w:r w:rsidRPr="00EF26B5">
        <w:rPr>
          <w:rFonts w:asciiTheme="minorHAnsi" w:eastAsiaTheme="majorEastAsia" w:hAnsiTheme="minorHAnsi" w:cstheme="minorHAnsi"/>
          <w:caps/>
          <w:color w:val="495965" w:themeColor="text2"/>
          <w:sz w:val="36"/>
          <w:szCs w:val="36"/>
          <w:lang w:val="en-GB" w:eastAsia="en-US"/>
        </w:rPr>
        <w:t>1 AQC ratings</w:t>
      </w:r>
    </w:p>
    <w:p w:rsidR="002723E0" w:rsidRPr="00C61187" w:rsidRDefault="002723E0" w:rsidP="002723E0">
      <w:r w:rsidRPr="00C61187">
        <w:t>AQC investment performance over the previous 12 months and where available last year’s AQC ratings are included.</w:t>
      </w:r>
    </w:p>
    <w:tbl>
      <w:tblPr>
        <w:tblStyle w:val="APPR"/>
        <w:tblW w:w="5000" w:type="pct"/>
        <w:tblLook w:val="0000" w:firstRow="0" w:lastRow="0" w:firstColumn="0" w:lastColumn="0" w:noHBand="0" w:noVBand="0"/>
      </w:tblPr>
      <w:tblGrid>
        <w:gridCol w:w="1775"/>
        <w:gridCol w:w="1283"/>
        <w:gridCol w:w="820"/>
        <w:gridCol w:w="824"/>
        <w:gridCol w:w="819"/>
        <w:gridCol w:w="825"/>
        <w:gridCol w:w="819"/>
        <w:gridCol w:w="825"/>
        <w:gridCol w:w="819"/>
        <w:gridCol w:w="829"/>
      </w:tblGrid>
      <w:tr w:rsidR="002723E0" w:rsidRPr="00C61187" w:rsidTr="00812E5B">
        <w:trPr>
          <w:cnfStyle w:val="000000010000" w:firstRow="0" w:lastRow="0" w:firstColumn="0" w:lastColumn="0" w:oddVBand="0" w:evenVBand="0" w:oddHBand="0" w:evenHBand="1" w:firstRowFirstColumn="0" w:firstRowLastColumn="0" w:lastRowFirstColumn="0" w:lastRowLastColumn="0"/>
          <w:trHeight w:val="1183"/>
        </w:trPr>
        <w:tc>
          <w:tcPr>
            <w:tcW w:w="899" w:type="pct"/>
          </w:tcPr>
          <w:p w:rsidR="002723E0" w:rsidRPr="00880004" w:rsidRDefault="002723E0" w:rsidP="002723E0">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689984" behindDoc="0" locked="0" layoutInCell="1" allowOverlap="1" wp14:anchorId="4D12A716" wp14:editId="5FA0D4F3">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651" w:type="pct"/>
            <w:textDirection w:val="btLr"/>
          </w:tcPr>
          <w:p w:rsidR="002723E0" w:rsidRPr="00880004" w:rsidRDefault="002723E0" w:rsidP="002723E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11" w:type="pct"/>
            <w:textDirection w:val="btLr"/>
          </w:tcPr>
          <w:p w:rsidR="002723E0" w:rsidRPr="00880004" w:rsidRDefault="002723E0" w:rsidP="002723E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year on year</w:t>
            </w:r>
          </w:p>
        </w:tc>
        <w:tc>
          <w:tcPr>
            <w:tcW w:w="413" w:type="pct"/>
            <w:textDirection w:val="btLr"/>
          </w:tcPr>
          <w:p w:rsidR="002723E0" w:rsidRPr="00880004" w:rsidRDefault="002723E0" w:rsidP="002723E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10" w:type="pct"/>
            <w:textDirection w:val="btLr"/>
          </w:tcPr>
          <w:p w:rsidR="002723E0" w:rsidRPr="00880004" w:rsidRDefault="002723E0" w:rsidP="002723E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13" w:type="pct"/>
            <w:textDirection w:val="btLr"/>
          </w:tcPr>
          <w:p w:rsidR="002723E0" w:rsidRPr="00880004" w:rsidRDefault="002723E0" w:rsidP="002723E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410" w:type="pct"/>
            <w:textDirection w:val="btLr"/>
          </w:tcPr>
          <w:p w:rsidR="002723E0" w:rsidRPr="00880004" w:rsidRDefault="002723E0" w:rsidP="002723E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13" w:type="pct"/>
            <w:textDirection w:val="btLr"/>
          </w:tcPr>
          <w:p w:rsidR="002723E0" w:rsidRPr="00880004" w:rsidRDefault="002723E0" w:rsidP="002723E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10" w:type="pct"/>
            <w:textDirection w:val="btLr"/>
          </w:tcPr>
          <w:p w:rsidR="002723E0" w:rsidRPr="00880004" w:rsidRDefault="002723E0" w:rsidP="002723E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c>
          <w:tcPr>
            <w:tcW w:w="408" w:type="pct"/>
            <w:textDirection w:val="btLr"/>
          </w:tcPr>
          <w:p w:rsidR="002723E0" w:rsidRPr="00880004" w:rsidRDefault="002723E0" w:rsidP="002723E0">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Risks  and Safeguards</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val="restart"/>
            <w:tcBorders>
              <w:top w:val="single" w:sz="4" w:space="0" w:color="auto"/>
            </w:tcBorders>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Cambodia Infrastructure Investment 2013-2020 (RRIP II)</w:t>
            </w:r>
          </w:p>
        </w:tc>
        <w:tc>
          <w:tcPr>
            <w:tcW w:w="651" w:type="pct"/>
            <w:vMerge w:val="restart"/>
            <w:tcBorders>
              <w:top w:val="single" w:sz="4" w:space="0" w:color="auto"/>
            </w:tcBorders>
          </w:tcPr>
          <w:p w:rsidR="002723E0" w:rsidRPr="00D65A4A" w:rsidRDefault="00B34B4A" w:rsidP="002723E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$22.6</w:t>
            </w:r>
            <w:r w:rsidR="002723E0" w:rsidRPr="00D65A4A">
              <w:rPr>
                <w:rFonts w:asciiTheme="minorHAnsi" w:eastAsia="Times New Roman" w:hAnsiTheme="minorHAnsi"/>
                <w:iCs/>
                <w:szCs w:val="17"/>
                <w:lang w:eastAsia="en-US"/>
              </w:rPr>
              <w:t>m</w:t>
            </w:r>
          </w:p>
          <w:p w:rsidR="002723E0" w:rsidRPr="00D65A4A" w:rsidRDefault="00B34B4A" w:rsidP="002723E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w:t>
            </w:r>
            <w:r w:rsidR="002723E0" w:rsidRPr="00D65A4A">
              <w:rPr>
                <w:rFonts w:asciiTheme="minorHAnsi" w:eastAsia="Times New Roman" w:hAnsiTheme="minorHAnsi"/>
                <w:iCs/>
                <w:szCs w:val="17"/>
                <w:lang w:eastAsia="en-US"/>
              </w:rPr>
              <w:t>-20</w:t>
            </w:r>
          </w:p>
        </w:tc>
        <w:tc>
          <w:tcPr>
            <w:tcW w:w="411" w:type="pct"/>
            <w:tcBorders>
              <w:top w:val="single" w:sz="4" w:space="0" w:color="auto"/>
            </w:tcBorders>
          </w:tcPr>
          <w:p w:rsidR="002723E0" w:rsidRPr="00D65A4A" w:rsidRDefault="002723E0" w:rsidP="006B4B63">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9</w:t>
            </w:r>
            <w:r w:rsidRPr="00D65A4A">
              <w:rPr>
                <w:rFonts w:asciiTheme="minorHAnsi" w:eastAsia="Times New Roman" w:hAnsiTheme="minorHAnsi"/>
                <w:iCs/>
                <w:szCs w:val="17"/>
                <w:lang w:eastAsia="en-US"/>
              </w:rPr>
              <w:t xml:space="preserve"> AQC</w:t>
            </w:r>
          </w:p>
        </w:tc>
        <w:tc>
          <w:tcPr>
            <w:tcW w:w="413" w:type="pct"/>
            <w:tcBorders>
              <w:top w:val="single" w:sz="4" w:space="0" w:color="auto"/>
            </w:tcBorders>
            <w:shd w:val="clear" w:color="auto" w:fill="auto"/>
            <w:noWrap/>
            <w:vAlign w:val="center"/>
          </w:tcPr>
          <w:p w:rsidR="002723E0" w:rsidRPr="00D65A4A" w:rsidRDefault="00CA642A"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tcBorders>
              <w:top w:val="single" w:sz="4" w:space="0" w:color="auto"/>
            </w:tcBorders>
            <w:shd w:val="clear" w:color="auto" w:fill="FFFF00"/>
            <w:noWrap/>
            <w:vAlign w:val="center"/>
          </w:tcPr>
          <w:p w:rsidR="002723E0" w:rsidRPr="00D65A4A" w:rsidRDefault="002723E0"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3" w:type="pct"/>
            <w:tcBorders>
              <w:top w:val="single" w:sz="4" w:space="0" w:color="auto"/>
            </w:tcBorders>
            <w:shd w:val="clear" w:color="auto" w:fill="FFFF00"/>
            <w:noWrap/>
            <w:vAlign w:val="center"/>
          </w:tcPr>
          <w:p w:rsidR="002723E0" w:rsidRPr="00D65A4A" w:rsidRDefault="002723E0"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0" w:type="pct"/>
            <w:tcBorders>
              <w:top w:val="single" w:sz="4" w:space="0" w:color="auto"/>
            </w:tcBorders>
            <w:shd w:val="clear" w:color="auto" w:fill="auto"/>
            <w:noWrap/>
            <w:vAlign w:val="center"/>
          </w:tcPr>
          <w:p w:rsidR="002723E0" w:rsidRPr="00D65A4A" w:rsidRDefault="00CA642A"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3" w:type="pct"/>
            <w:tcBorders>
              <w:top w:val="single" w:sz="4" w:space="0" w:color="auto"/>
            </w:tcBorders>
            <w:shd w:val="clear" w:color="auto" w:fill="auto"/>
            <w:noWrap/>
            <w:vAlign w:val="center"/>
          </w:tcPr>
          <w:p w:rsidR="002723E0" w:rsidRPr="00D65A4A" w:rsidRDefault="00CA642A"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tcBorders>
              <w:top w:val="single" w:sz="4" w:space="0" w:color="auto"/>
            </w:tcBorders>
            <w:shd w:val="clear" w:color="auto" w:fill="FFFF00"/>
            <w:noWrap/>
            <w:vAlign w:val="center"/>
          </w:tcPr>
          <w:p w:rsidR="002723E0" w:rsidRPr="00D65A4A" w:rsidRDefault="002723E0"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08" w:type="pct"/>
            <w:tcBorders>
              <w:top w:val="single" w:sz="4" w:space="0" w:color="auto"/>
            </w:tcBorders>
            <w:shd w:val="clear" w:color="auto" w:fill="auto"/>
            <w:vAlign w:val="center"/>
          </w:tcPr>
          <w:p w:rsidR="002723E0" w:rsidRPr="00D65A4A" w:rsidRDefault="002723E0"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tcPr>
          <w:p w:rsidR="002723E0" w:rsidRPr="00880004" w:rsidRDefault="002723E0" w:rsidP="002723E0">
            <w:pPr>
              <w:keepLines/>
              <w:spacing w:before="40" w:after="40" w:line="200" w:lineRule="atLeast"/>
              <w:rPr>
                <w:rFonts w:asciiTheme="minorHAnsi" w:eastAsia="Times New Roman" w:hAnsiTheme="minorHAnsi"/>
                <w:iCs/>
                <w:szCs w:val="17"/>
                <w:lang w:eastAsia="en-US"/>
              </w:rPr>
            </w:pPr>
          </w:p>
        </w:tc>
        <w:tc>
          <w:tcPr>
            <w:tcW w:w="651" w:type="pct"/>
            <w:vMerge/>
          </w:tcPr>
          <w:p w:rsidR="002723E0" w:rsidRPr="00880004" w:rsidRDefault="002723E0" w:rsidP="002723E0">
            <w:pPr>
              <w:keepLines/>
              <w:spacing w:before="40" w:after="40" w:line="200" w:lineRule="atLeast"/>
              <w:rPr>
                <w:rFonts w:asciiTheme="minorHAnsi" w:eastAsia="Times New Roman" w:hAnsiTheme="minorHAnsi"/>
                <w:iCs/>
                <w:szCs w:val="17"/>
                <w:lang w:eastAsia="en-US"/>
              </w:rPr>
            </w:pPr>
          </w:p>
        </w:tc>
        <w:tc>
          <w:tcPr>
            <w:tcW w:w="411" w:type="pct"/>
          </w:tcPr>
          <w:p w:rsidR="002723E0" w:rsidRPr="00880004" w:rsidRDefault="002723E0" w:rsidP="006B4B63">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8</w:t>
            </w:r>
            <w:r w:rsidRPr="00D65A4A">
              <w:rPr>
                <w:rFonts w:asciiTheme="minorHAnsi" w:eastAsia="Times New Roman" w:hAnsiTheme="minorHAnsi"/>
                <w:iCs/>
                <w:szCs w:val="17"/>
                <w:lang w:eastAsia="en-US"/>
              </w:rPr>
              <w:t xml:space="preserve"> AQC</w:t>
            </w:r>
          </w:p>
        </w:tc>
        <w:tc>
          <w:tcPr>
            <w:tcW w:w="413" w:type="pct"/>
            <w:shd w:val="clear" w:color="auto" w:fill="FFFF0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0" w:type="pct"/>
            <w:shd w:val="clear" w:color="auto" w:fill="FFFF00"/>
            <w:noWrap/>
          </w:tcPr>
          <w:p w:rsidR="002723E0" w:rsidRPr="00880004" w:rsidRDefault="00CA642A"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3" w:type="pct"/>
            <w:shd w:val="clear" w:color="auto" w:fill="FFFF00"/>
            <w:noWrap/>
          </w:tcPr>
          <w:p w:rsidR="002723E0" w:rsidRPr="00880004" w:rsidRDefault="00CA642A"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0" w:type="pct"/>
            <w:shd w:val="clear" w:color="auto" w:fill="FFFF00"/>
            <w:noWrap/>
          </w:tcPr>
          <w:p w:rsidR="002723E0" w:rsidRPr="00880004" w:rsidRDefault="00CA642A"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3" w:type="pct"/>
            <w:shd w:val="clear" w:color="auto" w:fill="FFFF0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0" w:type="pct"/>
            <w:shd w:val="clear" w:color="auto" w:fill="FFFF0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08" w:type="pct"/>
            <w:shd w:val="clear" w:color="auto" w:fill="auto"/>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val="restart"/>
            <w:tcBorders>
              <w:top w:val="single" w:sz="4" w:space="0" w:color="auto"/>
            </w:tcBorders>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3i - Investing In Infrastructure</w:t>
            </w:r>
          </w:p>
        </w:tc>
        <w:tc>
          <w:tcPr>
            <w:tcW w:w="651" w:type="pct"/>
            <w:vMerge w:val="restart"/>
            <w:tcBorders>
              <w:top w:val="single" w:sz="4" w:space="0" w:color="auto"/>
            </w:tcBorders>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$45.4m</w:t>
            </w:r>
          </w:p>
          <w:p w:rsidR="002723E0" w:rsidRPr="00D65A4A" w:rsidRDefault="00B34B4A" w:rsidP="002723E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2015-20</w:t>
            </w:r>
          </w:p>
        </w:tc>
        <w:tc>
          <w:tcPr>
            <w:tcW w:w="411" w:type="pct"/>
            <w:tcBorders>
              <w:top w:val="single" w:sz="4" w:space="0" w:color="auto"/>
            </w:tcBorders>
          </w:tcPr>
          <w:p w:rsidR="002723E0" w:rsidRPr="00D65A4A" w:rsidRDefault="002723E0" w:rsidP="006B4B63">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9</w:t>
            </w:r>
            <w:r w:rsidRPr="00D65A4A">
              <w:rPr>
                <w:rFonts w:asciiTheme="minorHAnsi" w:eastAsia="Times New Roman" w:hAnsiTheme="minorHAnsi"/>
                <w:iCs/>
                <w:szCs w:val="17"/>
                <w:lang w:eastAsia="en-US"/>
              </w:rPr>
              <w:t xml:space="preserve"> AQC</w:t>
            </w:r>
          </w:p>
        </w:tc>
        <w:tc>
          <w:tcPr>
            <w:tcW w:w="413" w:type="pct"/>
            <w:tcBorders>
              <w:top w:val="single" w:sz="4" w:space="0" w:color="auto"/>
            </w:tcBorders>
            <w:shd w:val="clear" w:color="auto" w:fill="auto"/>
            <w:noWrap/>
            <w:vAlign w:val="center"/>
          </w:tcPr>
          <w:p w:rsidR="002723E0" w:rsidRPr="00D65A4A" w:rsidRDefault="00CA642A"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tcBorders>
              <w:top w:val="single" w:sz="4" w:space="0" w:color="auto"/>
            </w:tcBorders>
            <w:shd w:val="clear" w:color="auto" w:fill="92D050"/>
            <w:noWrap/>
            <w:vAlign w:val="center"/>
          </w:tcPr>
          <w:p w:rsidR="002723E0" w:rsidRPr="00D65A4A" w:rsidRDefault="002723E0"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3" w:type="pct"/>
            <w:tcBorders>
              <w:top w:val="single" w:sz="4" w:space="0" w:color="auto"/>
            </w:tcBorders>
            <w:shd w:val="clear" w:color="auto" w:fill="FFFF00"/>
            <w:noWrap/>
            <w:vAlign w:val="center"/>
          </w:tcPr>
          <w:p w:rsidR="002723E0" w:rsidRPr="00D65A4A" w:rsidRDefault="00CA642A" w:rsidP="002723E0">
            <w:pPr>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0" w:type="pct"/>
            <w:tcBorders>
              <w:top w:val="single" w:sz="4" w:space="0" w:color="auto"/>
            </w:tcBorders>
            <w:shd w:val="clear" w:color="auto" w:fill="auto"/>
            <w:noWrap/>
            <w:vAlign w:val="center"/>
          </w:tcPr>
          <w:p w:rsidR="002723E0" w:rsidRPr="00D65A4A" w:rsidRDefault="00CA642A"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3" w:type="pct"/>
            <w:tcBorders>
              <w:top w:val="single" w:sz="4" w:space="0" w:color="auto"/>
            </w:tcBorders>
            <w:shd w:val="clear" w:color="auto" w:fill="auto"/>
            <w:noWrap/>
            <w:vAlign w:val="center"/>
          </w:tcPr>
          <w:p w:rsidR="002723E0" w:rsidRPr="00D65A4A" w:rsidRDefault="00CA642A"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tcBorders>
              <w:top w:val="single" w:sz="4" w:space="0" w:color="auto"/>
            </w:tcBorders>
            <w:shd w:val="clear" w:color="auto" w:fill="FFFF00"/>
            <w:noWrap/>
            <w:vAlign w:val="center"/>
          </w:tcPr>
          <w:p w:rsidR="002723E0" w:rsidRPr="00D65A4A" w:rsidRDefault="002723E0"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08" w:type="pct"/>
            <w:tcBorders>
              <w:top w:val="single" w:sz="4" w:space="0" w:color="auto"/>
            </w:tcBorders>
            <w:shd w:val="clear" w:color="auto" w:fill="auto"/>
            <w:vAlign w:val="center"/>
          </w:tcPr>
          <w:p w:rsidR="002723E0" w:rsidRPr="00D65A4A" w:rsidRDefault="002723E0"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tcPr>
          <w:p w:rsidR="002723E0" w:rsidRPr="00880004" w:rsidRDefault="002723E0" w:rsidP="002723E0">
            <w:pPr>
              <w:keepLines/>
              <w:spacing w:before="40" w:after="40" w:line="200" w:lineRule="atLeast"/>
              <w:rPr>
                <w:rFonts w:asciiTheme="minorHAnsi" w:eastAsia="Times New Roman" w:hAnsiTheme="minorHAnsi"/>
                <w:iCs/>
                <w:szCs w:val="17"/>
                <w:lang w:eastAsia="en-US"/>
              </w:rPr>
            </w:pPr>
          </w:p>
        </w:tc>
        <w:tc>
          <w:tcPr>
            <w:tcW w:w="651" w:type="pct"/>
            <w:vMerge/>
          </w:tcPr>
          <w:p w:rsidR="002723E0" w:rsidRPr="00880004" w:rsidRDefault="002723E0" w:rsidP="002723E0">
            <w:pPr>
              <w:keepLines/>
              <w:spacing w:before="40" w:after="40" w:line="200" w:lineRule="atLeast"/>
              <w:rPr>
                <w:rFonts w:asciiTheme="minorHAnsi" w:eastAsia="Times New Roman" w:hAnsiTheme="minorHAnsi"/>
                <w:iCs/>
                <w:szCs w:val="17"/>
                <w:lang w:eastAsia="en-US"/>
              </w:rPr>
            </w:pPr>
          </w:p>
        </w:tc>
        <w:tc>
          <w:tcPr>
            <w:tcW w:w="411" w:type="pct"/>
          </w:tcPr>
          <w:p w:rsidR="002723E0" w:rsidRPr="00880004" w:rsidRDefault="002723E0" w:rsidP="006B4B63">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8</w:t>
            </w:r>
            <w:r w:rsidRPr="00D65A4A">
              <w:rPr>
                <w:rFonts w:asciiTheme="minorHAnsi" w:eastAsia="Times New Roman" w:hAnsiTheme="minorHAnsi"/>
                <w:iCs/>
                <w:szCs w:val="17"/>
                <w:lang w:eastAsia="en-US"/>
              </w:rPr>
              <w:t xml:space="preserve"> AQC</w:t>
            </w:r>
          </w:p>
        </w:tc>
        <w:tc>
          <w:tcPr>
            <w:tcW w:w="413" w:type="pct"/>
            <w:shd w:val="clear" w:color="auto" w:fill="92D05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0" w:type="pct"/>
            <w:shd w:val="clear" w:color="auto" w:fill="92D05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3" w:type="pct"/>
            <w:shd w:val="clear" w:color="auto" w:fill="92D05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0" w:type="pct"/>
            <w:shd w:val="clear" w:color="auto" w:fill="FFFF0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3" w:type="pct"/>
            <w:shd w:val="clear" w:color="auto" w:fill="92D05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0" w:type="pct"/>
            <w:shd w:val="clear" w:color="auto" w:fill="FFFF0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08" w:type="pct"/>
            <w:shd w:val="clear" w:color="auto" w:fill="auto"/>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val="restart"/>
            <w:tcBorders>
              <w:top w:val="single" w:sz="4" w:space="0" w:color="auto"/>
            </w:tcBorders>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 xml:space="preserve">Cambodia Agricultural Value Chain </w:t>
            </w:r>
          </w:p>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Program Phase 2</w:t>
            </w:r>
          </w:p>
        </w:tc>
        <w:tc>
          <w:tcPr>
            <w:tcW w:w="651" w:type="pct"/>
            <w:vMerge w:val="restart"/>
            <w:tcBorders>
              <w:top w:val="single" w:sz="4" w:space="0" w:color="auto"/>
            </w:tcBorders>
          </w:tcPr>
          <w:p w:rsidR="002723E0" w:rsidRPr="00D65A4A" w:rsidRDefault="00B34B4A" w:rsidP="002723E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$84.2</w:t>
            </w:r>
            <w:r w:rsidR="002723E0" w:rsidRPr="00D65A4A">
              <w:rPr>
                <w:rFonts w:asciiTheme="minorHAnsi" w:eastAsia="Times New Roman" w:hAnsiTheme="minorHAnsi"/>
                <w:iCs/>
                <w:szCs w:val="17"/>
                <w:lang w:eastAsia="en-US"/>
              </w:rPr>
              <w:t>m</w:t>
            </w:r>
          </w:p>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2016-21</w:t>
            </w:r>
          </w:p>
        </w:tc>
        <w:tc>
          <w:tcPr>
            <w:tcW w:w="411" w:type="pct"/>
            <w:tcBorders>
              <w:top w:val="single" w:sz="4" w:space="0" w:color="auto"/>
            </w:tcBorders>
          </w:tcPr>
          <w:p w:rsidR="002723E0" w:rsidRPr="00D65A4A" w:rsidRDefault="002723E0" w:rsidP="006B4B63">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9</w:t>
            </w:r>
            <w:r w:rsidRPr="00D65A4A">
              <w:rPr>
                <w:rFonts w:asciiTheme="minorHAnsi" w:eastAsia="Times New Roman" w:hAnsiTheme="minorHAnsi"/>
                <w:iCs/>
                <w:szCs w:val="17"/>
                <w:lang w:eastAsia="en-US"/>
              </w:rPr>
              <w:t xml:space="preserve"> AQC</w:t>
            </w:r>
          </w:p>
        </w:tc>
        <w:tc>
          <w:tcPr>
            <w:tcW w:w="413" w:type="pct"/>
            <w:tcBorders>
              <w:top w:val="single" w:sz="4" w:space="0" w:color="auto"/>
            </w:tcBorders>
            <w:shd w:val="clear" w:color="auto" w:fill="auto"/>
            <w:noWrap/>
            <w:vAlign w:val="center"/>
          </w:tcPr>
          <w:p w:rsidR="002723E0" w:rsidRPr="00D65A4A" w:rsidRDefault="00CA642A"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tcBorders>
              <w:top w:val="single" w:sz="4" w:space="0" w:color="auto"/>
            </w:tcBorders>
            <w:shd w:val="clear" w:color="auto" w:fill="FFFF00"/>
            <w:noWrap/>
            <w:vAlign w:val="center"/>
          </w:tcPr>
          <w:p w:rsidR="002723E0" w:rsidRPr="00D65A4A" w:rsidRDefault="002723E0"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3" w:type="pct"/>
            <w:tcBorders>
              <w:top w:val="single" w:sz="4" w:space="0" w:color="auto"/>
            </w:tcBorders>
            <w:shd w:val="clear" w:color="auto" w:fill="FFFF00"/>
            <w:noWrap/>
            <w:vAlign w:val="center"/>
          </w:tcPr>
          <w:p w:rsidR="002723E0" w:rsidRPr="00D65A4A" w:rsidRDefault="00CA642A" w:rsidP="002723E0">
            <w:pPr>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0" w:type="pct"/>
            <w:tcBorders>
              <w:top w:val="single" w:sz="4" w:space="0" w:color="auto"/>
            </w:tcBorders>
            <w:shd w:val="clear" w:color="auto" w:fill="auto"/>
            <w:noWrap/>
            <w:vAlign w:val="center"/>
          </w:tcPr>
          <w:p w:rsidR="002723E0" w:rsidRPr="00D65A4A" w:rsidRDefault="00CA642A"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3" w:type="pct"/>
            <w:tcBorders>
              <w:top w:val="single" w:sz="4" w:space="0" w:color="auto"/>
            </w:tcBorders>
            <w:shd w:val="clear" w:color="auto" w:fill="auto"/>
            <w:noWrap/>
            <w:vAlign w:val="center"/>
          </w:tcPr>
          <w:p w:rsidR="002723E0" w:rsidRPr="00D65A4A" w:rsidRDefault="00CA642A"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tcBorders>
              <w:top w:val="single" w:sz="4" w:space="0" w:color="auto"/>
            </w:tcBorders>
            <w:shd w:val="clear" w:color="auto" w:fill="FFC000"/>
            <w:noWrap/>
            <w:vAlign w:val="center"/>
          </w:tcPr>
          <w:p w:rsidR="002723E0" w:rsidRPr="00D65A4A" w:rsidRDefault="00CA642A" w:rsidP="002723E0">
            <w:pPr>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08" w:type="pct"/>
            <w:tcBorders>
              <w:top w:val="single" w:sz="4" w:space="0" w:color="auto"/>
            </w:tcBorders>
            <w:shd w:val="clear" w:color="auto" w:fill="auto"/>
            <w:vAlign w:val="center"/>
          </w:tcPr>
          <w:p w:rsidR="002723E0" w:rsidRPr="00D65A4A" w:rsidRDefault="002723E0" w:rsidP="002723E0">
            <w:pPr>
              <w:spacing w:before="0" w:after="0" w:line="240" w:lineRule="auto"/>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tcBorders>
              <w:bottom w:val="single" w:sz="4" w:space="0" w:color="auto"/>
            </w:tcBorders>
          </w:tcPr>
          <w:p w:rsidR="002723E0" w:rsidRPr="00880004" w:rsidRDefault="002723E0" w:rsidP="002723E0">
            <w:pPr>
              <w:keepLines/>
              <w:spacing w:before="40" w:after="40" w:line="200" w:lineRule="atLeast"/>
              <w:rPr>
                <w:rFonts w:asciiTheme="minorHAnsi" w:eastAsia="Times New Roman" w:hAnsiTheme="minorHAnsi"/>
                <w:iCs/>
                <w:szCs w:val="17"/>
                <w:lang w:eastAsia="en-US"/>
              </w:rPr>
            </w:pPr>
          </w:p>
        </w:tc>
        <w:tc>
          <w:tcPr>
            <w:tcW w:w="651" w:type="pct"/>
            <w:vMerge/>
            <w:tcBorders>
              <w:bottom w:val="single" w:sz="4" w:space="0" w:color="auto"/>
            </w:tcBorders>
          </w:tcPr>
          <w:p w:rsidR="002723E0" w:rsidRPr="00880004" w:rsidRDefault="002723E0" w:rsidP="002723E0">
            <w:pPr>
              <w:keepLines/>
              <w:spacing w:before="40" w:after="40" w:line="200" w:lineRule="atLeast"/>
              <w:rPr>
                <w:rFonts w:asciiTheme="minorHAnsi" w:eastAsia="Times New Roman" w:hAnsiTheme="minorHAnsi"/>
                <w:iCs/>
                <w:szCs w:val="17"/>
                <w:lang w:eastAsia="en-US"/>
              </w:rPr>
            </w:pPr>
          </w:p>
        </w:tc>
        <w:tc>
          <w:tcPr>
            <w:tcW w:w="411" w:type="pct"/>
            <w:tcBorders>
              <w:bottom w:val="single" w:sz="4" w:space="0" w:color="auto"/>
            </w:tcBorders>
          </w:tcPr>
          <w:p w:rsidR="002723E0" w:rsidRPr="00880004"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0F6157">
              <w:rPr>
                <w:rFonts w:asciiTheme="minorHAnsi" w:eastAsia="Times New Roman" w:hAnsiTheme="minorHAnsi"/>
                <w:iCs/>
                <w:szCs w:val="17"/>
                <w:lang w:eastAsia="en-US"/>
              </w:rPr>
              <w:t>8</w:t>
            </w:r>
            <w:r w:rsidRPr="00D65A4A">
              <w:rPr>
                <w:rFonts w:asciiTheme="minorHAnsi" w:eastAsia="Times New Roman" w:hAnsiTheme="minorHAnsi"/>
                <w:iCs/>
                <w:szCs w:val="17"/>
                <w:lang w:eastAsia="en-US"/>
              </w:rPr>
              <w:t xml:space="preserve"> AQC</w:t>
            </w:r>
          </w:p>
        </w:tc>
        <w:tc>
          <w:tcPr>
            <w:tcW w:w="413" w:type="pct"/>
            <w:tcBorders>
              <w:bottom w:val="single" w:sz="4" w:space="0" w:color="auto"/>
            </w:tcBorders>
            <w:shd w:val="clear" w:color="auto" w:fill="FFFF00"/>
            <w:noWrap/>
          </w:tcPr>
          <w:p w:rsidR="002723E0" w:rsidRPr="00880004" w:rsidRDefault="00CA642A"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0" w:type="pct"/>
            <w:tcBorders>
              <w:bottom w:val="single" w:sz="4" w:space="0" w:color="auto"/>
            </w:tcBorders>
            <w:shd w:val="clear" w:color="auto" w:fill="FFFF0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3" w:type="pct"/>
            <w:tcBorders>
              <w:bottom w:val="single" w:sz="4" w:space="0" w:color="auto"/>
            </w:tcBorders>
            <w:shd w:val="clear" w:color="auto" w:fill="FFC000"/>
            <w:noWrap/>
          </w:tcPr>
          <w:p w:rsidR="002723E0" w:rsidRPr="00880004" w:rsidRDefault="00CA642A"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0" w:type="pct"/>
            <w:tcBorders>
              <w:bottom w:val="single" w:sz="4" w:space="0" w:color="auto"/>
            </w:tcBorders>
            <w:shd w:val="clear" w:color="auto" w:fill="FFFF0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3" w:type="pct"/>
            <w:tcBorders>
              <w:bottom w:val="single" w:sz="4" w:space="0" w:color="auto"/>
            </w:tcBorders>
            <w:shd w:val="clear" w:color="auto" w:fill="92D05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0" w:type="pct"/>
            <w:tcBorders>
              <w:bottom w:val="single" w:sz="4" w:space="0" w:color="auto"/>
            </w:tcBorders>
            <w:shd w:val="clear" w:color="auto" w:fill="FFFF00"/>
            <w:noWrap/>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08" w:type="pct"/>
            <w:tcBorders>
              <w:bottom w:val="single" w:sz="4" w:space="0" w:color="auto"/>
            </w:tcBorders>
            <w:shd w:val="clear" w:color="auto" w:fill="auto"/>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val="restart"/>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Clearing for Results Phase III</w:t>
            </w:r>
          </w:p>
        </w:tc>
        <w:tc>
          <w:tcPr>
            <w:tcW w:w="651" w:type="pct"/>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$9.0m</w:t>
            </w:r>
          </w:p>
        </w:tc>
        <w:tc>
          <w:tcPr>
            <w:tcW w:w="411" w:type="pct"/>
          </w:tcPr>
          <w:p w:rsidR="002723E0" w:rsidRPr="00D65A4A" w:rsidRDefault="002723E0" w:rsidP="006B4B63">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9</w:t>
            </w:r>
            <w:r w:rsidRPr="00D65A4A">
              <w:rPr>
                <w:rFonts w:asciiTheme="minorHAnsi" w:eastAsia="Times New Roman" w:hAnsiTheme="minorHAnsi"/>
                <w:iCs/>
                <w:szCs w:val="17"/>
                <w:lang w:eastAsia="en-US"/>
              </w:rPr>
              <w:t xml:space="preserve"> AQC</w:t>
            </w:r>
          </w:p>
        </w:tc>
        <w:tc>
          <w:tcPr>
            <w:tcW w:w="413" w:type="pct"/>
            <w:shd w:val="clear" w:color="auto" w:fill="auto"/>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shd w:val="clear" w:color="auto" w:fill="92D050"/>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3" w:type="pct"/>
            <w:shd w:val="clear" w:color="auto" w:fill="FFFF0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0" w:type="pct"/>
            <w:shd w:val="clear" w:color="auto" w:fill="auto"/>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3" w:type="pct"/>
            <w:shd w:val="clear" w:color="auto" w:fill="auto"/>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shd w:val="clear" w:color="auto" w:fill="FFFF0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08" w:type="pct"/>
            <w:shd w:val="clear" w:color="auto" w:fill="auto"/>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tcBorders>
              <w:bottom w:val="single" w:sz="4" w:space="0" w:color="auto"/>
            </w:tcBorders>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p>
        </w:tc>
        <w:tc>
          <w:tcPr>
            <w:tcW w:w="651" w:type="pct"/>
            <w:tcBorders>
              <w:bottom w:val="single" w:sz="4" w:space="0" w:color="auto"/>
            </w:tcBorders>
          </w:tcPr>
          <w:p w:rsidR="002723E0" w:rsidRPr="00D65A4A" w:rsidRDefault="00B34B4A" w:rsidP="002723E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2016-19</w:t>
            </w:r>
          </w:p>
        </w:tc>
        <w:tc>
          <w:tcPr>
            <w:tcW w:w="411" w:type="pct"/>
            <w:tcBorders>
              <w:bottom w:val="single" w:sz="4" w:space="0" w:color="auto"/>
            </w:tcBorders>
          </w:tcPr>
          <w:p w:rsidR="002723E0" w:rsidRPr="00D65A4A" w:rsidRDefault="002723E0" w:rsidP="006B4B63">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8</w:t>
            </w:r>
            <w:r w:rsidRPr="00D65A4A">
              <w:rPr>
                <w:rFonts w:asciiTheme="minorHAnsi" w:eastAsia="Times New Roman" w:hAnsiTheme="minorHAnsi"/>
                <w:iCs/>
                <w:szCs w:val="17"/>
                <w:lang w:eastAsia="en-US"/>
              </w:rPr>
              <w:t xml:space="preserve"> AQC</w:t>
            </w:r>
          </w:p>
        </w:tc>
        <w:tc>
          <w:tcPr>
            <w:tcW w:w="413" w:type="pct"/>
            <w:tcBorders>
              <w:bottom w:val="single" w:sz="4" w:space="0" w:color="auto"/>
            </w:tcBorders>
            <w:shd w:val="clear" w:color="auto" w:fill="92D05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0" w:type="pct"/>
            <w:tcBorders>
              <w:bottom w:val="single" w:sz="4" w:space="0" w:color="auto"/>
            </w:tcBorders>
            <w:shd w:val="clear" w:color="auto" w:fill="FFFF00"/>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3" w:type="pct"/>
            <w:tcBorders>
              <w:bottom w:val="single" w:sz="4" w:space="0" w:color="auto"/>
            </w:tcBorders>
            <w:shd w:val="clear" w:color="auto" w:fill="FFFF00"/>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0" w:type="pct"/>
            <w:tcBorders>
              <w:bottom w:val="single" w:sz="4" w:space="0" w:color="auto"/>
            </w:tcBorders>
            <w:shd w:val="clear" w:color="auto" w:fill="FFFF0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3" w:type="pct"/>
            <w:tcBorders>
              <w:bottom w:val="single" w:sz="4" w:space="0" w:color="auto"/>
            </w:tcBorders>
            <w:shd w:val="clear" w:color="auto" w:fill="FFFF0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0" w:type="pct"/>
            <w:tcBorders>
              <w:bottom w:val="single" w:sz="4" w:space="0" w:color="auto"/>
            </w:tcBorders>
            <w:shd w:val="clear" w:color="auto" w:fill="FFFF0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08" w:type="pct"/>
            <w:tcBorders>
              <w:bottom w:val="single" w:sz="4" w:space="0" w:color="auto"/>
            </w:tcBorders>
            <w:shd w:val="clear" w:color="auto" w:fill="auto"/>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val="restart"/>
            <w:tcBorders>
              <w:top w:val="single" w:sz="4" w:space="0" w:color="auto"/>
            </w:tcBorders>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Health Equity and Quality Improvement Program (IDPoor3)</w:t>
            </w:r>
          </w:p>
        </w:tc>
        <w:tc>
          <w:tcPr>
            <w:tcW w:w="651" w:type="pct"/>
            <w:tcBorders>
              <w:top w:val="single" w:sz="4" w:space="0" w:color="auto"/>
            </w:tcBorders>
          </w:tcPr>
          <w:p w:rsidR="002723E0" w:rsidRPr="00D65A4A" w:rsidRDefault="00B34B4A" w:rsidP="002723E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$50</w:t>
            </w:r>
            <w:r w:rsidR="002723E0" w:rsidRPr="00D65A4A">
              <w:rPr>
                <w:rFonts w:asciiTheme="minorHAnsi" w:eastAsia="Times New Roman" w:hAnsiTheme="minorHAnsi"/>
                <w:iCs/>
                <w:szCs w:val="17"/>
                <w:lang w:eastAsia="en-US"/>
              </w:rPr>
              <w:t>m</w:t>
            </w:r>
          </w:p>
        </w:tc>
        <w:tc>
          <w:tcPr>
            <w:tcW w:w="411" w:type="pct"/>
            <w:tcBorders>
              <w:top w:val="single" w:sz="4" w:space="0" w:color="auto"/>
            </w:tcBorders>
          </w:tcPr>
          <w:p w:rsidR="002723E0" w:rsidRPr="00D65A4A" w:rsidRDefault="002723E0" w:rsidP="006B4B63">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9</w:t>
            </w:r>
            <w:r w:rsidRPr="00D65A4A">
              <w:rPr>
                <w:rFonts w:asciiTheme="minorHAnsi" w:eastAsia="Times New Roman" w:hAnsiTheme="minorHAnsi"/>
                <w:iCs/>
                <w:szCs w:val="17"/>
                <w:lang w:eastAsia="en-US"/>
              </w:rPr>
              <w:t xml:space="preserve"> AQC</w:t>
            </w:r>
          </w:p>
        </w:tc>
        <w:tc>
          <w:tcPr>
            <w:tcW w:w="413" w:type="pct"/>
            <w:tcBorders>
              <w:top w:val="single" w:sz="4" w:space="0" w:color="auto"/>
            </w:tcBorders>
            <w:shd w:val="clear" w:color="auto" w:fill="auto"/>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tcBorders>
              <w:top w:val="single" w:sz="4" w:space="0" w:color="auto"/>
            </w:tcBorders>
            <w:shd w:val="clear" w:color="auto" w:fill="92D050"/>
            <w:noWrap/>
          </w:tcPr>
          <w:p w:rsidR="002723E0" w:rsidRPr="00D65A4A" w:rsidRDefault="00812E5B"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3" w:type="pct"/>
            <w:tcBorders>
              <w:top w:val="single" w:sz="4" w:space="0" w:color="auto"/>
            </w:tcBorders>
            <w:shd w:val="clear" w:color="auto" w:fill="92D05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0" w:type="pct"/>
            <w:tcBorders>
              <w:top w:val="single" w:sz="4" w:space="0" w:color="auto"/>
            </w:tcBorders>
            <w:shd w:val="clear" w:color="auto" w:fill="auto"/>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3" w:type="pct"/>
            <w:tcBorders>
              <w:top w:val="single" w:sz="4" w:space="0" w:color="auto"/>
            </w:tcBorders>
            <w:shd w:val="clear" w:color="auto" w:fill="auto"/>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tcBorders>
              <w:top w:val="single" w:sz="4" w:space="0" w:color="auto"/>
            </w:tcBorders>
            <w:shd w:val="clear" w:color="auto" w:fill="FFFF0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08" w:type="pct"/>
            <w:tcBorders>
              <w:top w:val="single" w:sz="4" w:space="0" w:color="auto"/>
            </w:tcBorders>
            <w:shd w:val="clear" w:color="auto" w:fill="auto"/>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p>
        </w:tc>
        <w:tc>
          <w:tcPr>
            <w:tcW w:w="651" w:type="pct"/>
          </w:tcPr>
          <w:p w:rsidR="002723E0" w:rsidRPr="00D65A4A" w:rsidRDefault="00B34B4A" w:rsidP="002723E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2016-21</w:t>
            </w:r>
          </w:p>
        </w:tc>
        <w:tc>
          <w:tcPr>
            <w:tcW w:w="411" w:type="pct"/>
          </w:tcPr>
          <w:p w:rsidR="002723E0" w:rsidRPr="00D65A4A" w:rsidRDefault="002723E0" w:rsidP="006B4B63">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8</w:t>
            </w:r>
            <w:r w:rsidRPr="00D65A4A">
              <w:rPr>
                <w:rFonts w:asciiTheme="minorHAnsi" w:eastAsia="Times New Roman" w:hAnsiTheme="minorHAnsi"/>
                <w:iCs/>
                <w:szCs w:val="17"/>
                <w:lang w:eastAsia="en-US"/>
              </w:rPr>
              <w:t xml:space="preserve"> AQC</w:t>
            </w:r>
          </w:p>
        </w:tc>
        <w:tc>
          <w:tcPr>
            <w:tcW w:w="413" w:type="pct"/>
            <w:shd w:val="clear" w:color="auto" w:fill="7CBF33"/>
            <w:noWrap/>
          </w:tcPr>
          <w:p w:rsidR="002723E0" w:rsidRPr="00D65A4A" w:rsidRDefault="00812E5B"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0" w:type="pct"/>
            <w:shd w:val="clear" w:color="auto" w:fill="FFFF0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3" w:type="pct"/>
            <w:shd w:val="clear" w:color="auto" w:fill="92D05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0" w:type="pct"/>
            <w:shd w:val="clear" w:color="auto" w:fill="FFFF0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3" w:type="pct"/>
            <w:shd w:val="clear" w:color="auto" w:fill="92D05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0" w:type="pct"/>
            <w:shd w:val="clear" w:color="auto" w:fill="FFFF0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08" w:type="pct"/>
            <w:shd w:val="clear" w:color="auto" w:fill="auto"/>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val="restart"/>
            <w:tcBorders>
              <w:top w:val="single" w:sz="4" w:space="0" w:color="auto"/>
            </w:tcBorders>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 xml:space="preserve">Cambodia Australian Scholarship </w:t>
            </w:r>
          </w:p>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Initiative</w:t>
            </w:r>
          </w:p>
        </w:tc>
        <w:tc>
          <w:tcPr>
            <w:tcW w:w="651" w:type="pct"/>
            <w:tcBorders>
              <w:top w:val="single" w:sz="4" w:space="0" w:color="auto"/>
            </w:tcBorders>
          </w:tcPr>
          <w:p w:rsidR="002723E0" w:rsidRPr="00D65A4A" w:rsidRDefault="002723E0" w:rsidP="002723E0">
            <w:pPr>
              <w:keepLines/>
              <w:spacing w:before="80" w:after="8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$13.2m</w:t>
            </w:r>
          </w:p>
        </w:tc>
        <w:tc>
          <w:tcPr>
            <w:tcW w:w="411" w:type="pct"/>
            <w:tcBorders>
              <w:top w:val="single" w:sz="4" w:space="0" w:color="auto"/>
            </w:tcBorders>
            <w:shd w:val="clear" w:color="auto" w:fill="auto"/>
          </w:tcPr>
          <w:p w:rsidR="002723E0" w:rsidRPr="00D65A4A" w:rsidRDefault="002723E0" w:rsidP="006B4B63">
            <w:pPr>
              <w:keepLines/>
              <w:spacing w:before="80" w:after="8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9</w:t>
            </w:r>
            <w:r w:rsidRPr="00D65A4A">
              <w:rPr>
                <w:rFonts w:asciiTheme="minorHAnsi" w:eastAsia="Times New Roman" w:hAnsiTheme="minorHAnsi"/>
                <w:iCs/>
                <w:szCs w:val="17"/>
                <w:lang w:eastAsia="en-US"/>
              </w:rPr>
              <w:t xml:space="preserve"> AQC</w:t>
            </w:r>
          </w:p>
        </w:tc>
        <w:tc>
          <w:tcPr>
            <w:tcW w:w="413" w:type="pct"/>
            <w:tcBorders>
              <w:top w:val="single" w:sz="4" w:space="0" w:color="auto"/>
            </w:tcBorders>
            <w:shd w:val="clear" w:color="auto" w:fill="auto"/>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tcBorders>
              <w:top w:val="single" w:sz="4" w:space="0" w:color="auto"/>
            </w:tcBorders>
            <w:shd w:val="clear" w:color="auto" w:fill="92D050"/>
            <w:noWrap/>
          </w:tcPr>
          <w:p w:rsidR="002723E0" w:rsidRPr="00C41E2E" w:rsidRDefault="00812E5B"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3" w:type="pct"/>
            <w:tcBorders>
              <w:top w:val="single" w:sz="4" w:space="0" w:color="auto"/>
            </w:tcBorders>
            <w:shd w:val="clear" w:color="auto" w:fill="92D050"/>
            <w:noWrap/>
          </w:tcPr>
          <w:p w:rsidR="002723E0" w:rsidRPr="00C41E2E" w:rsidRDefault="002723E0"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0" w:type="pct"/>
            <w:tcBorders>
              <w:top w:val="single" w:sz="4" w:space="0" w:color="auto"/>
            </w:tcBorders>
            <w:shd w:val="clear" w:color="auto" w:fill="auto"/>
            <w:noWrap/>
          </w:tcPr>
          <w:p w:rsidR="002723E0" w:rsidRPr="00C41E2E" w:rsidRDefault="00CA642A"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3" w:type="pct"/>
            <w:tcBorders>
              <w:top w:val="single" w:sz="4" w:space="0" w:color="auto"/>
            </w:tcBorders>
            <w:shd w:val="clear" w:color="auto" w:fill="auto"/>
            <w:noWrap/>
          </w:tcPr>
          <w:p w:rsidR="002723E0" w:rsidRPr="00C41E2E" w:rsidRDefault="00CA642A"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tcBorders>
              <w:top w:val="single" w:sz="4" w:space="0" w:color="auto"/>
            </w:tcBorders>
            <w:shd w:val="clear" w:color="auto" w:fill="FFFF00"/>
            <w:noWrap/>
          </w:tcPr>
          <w:p w:rsidR="002723E0" w:rsidRPr="00C41E2E" w:rsidRDefault="00812E5B"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08" w:type="pct"/>
            <w:tcBorders>
              <w:top w:val="single" w:sz="4" w:space="0" w:color="auto"/>
            </w:tcBorders>
            <w:shd w:val="clear" w:color="auto" w:fill="auto"/>
          </w:tcPr>
          <w:p w:rsidR="002723E0" w:rsidRPr="00C41E2E" w:rsidRDefault="002723E0"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p>
        </w:tc>
        <w:tc>
          <w:tcPr>
            <w:tcW w:w="651" w:type="pct"/>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2013-18</w:t>
            </w:r>
          </w:p>
        </w:tc>
        <w:tc>
          <w:tcPr>
            <w:tcW w:w="411" w:type="pct"/>
          </w:tcPr>
          <w:p w:rsidR="002723E0" w:rsidRPr="00D65A4A" w:rsidRDefault="002723E0" w:rsidP="006B4B63">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8</w:t>
            </w:r>
            <w:r w:rsidRPr="00D65A4A">
              <w:rPr>
                <w:rFonts w:asciiTheme="minorHAnsi" w:eastAsia="Times New Roman" w:hAnsiTheme="minorHAnsi"/>
                <w:iCs/>
                <w:szCs w:val="17"/>
                <w:lang w:eastAsia="en-US"/>
              </w:rPr>
              <w:t xml:space="preserve"> AQC</w:t>
            </w:r>
          </w:p>
        </w:tc>
        <w:tc>
          <w:tcPr>
            <w:tcW w:w="413" w:type="pct"/>
            <w:shd w:val="clear" w:color="auto" w:fill="92D05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0" w:type="pct"/>
            <w:shd w:val="clear" w:color="auto" w:fill="FFFF00"/>
            <w:noWrap/>
          </w:tcPr>
          <w:p w:rsidR="002723E0" w:rsidRPr="00280CC1" w:rsidRDefault="00CA642A"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3" w:type="pct"/>
            <w:shd w:val="clear" w:color="auto" w:fill="92D050"/>
            <w:noWrap/>
          </w:tcPr>
          <w:p w:rsidR="002723E0" w:rsidRPr="00280CC1" w:rsidRDefault="002723E0" w:rsidP="002723E0">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0" w:type="pct"/>
            <w:shd w:val="clear" w:color="auto" w:fill="92D050"/>
            <w:noWrap/>
          </w:tcPr>
          <w:p w:rsidR="002723E0" w:rsidRPr="00280CC1" w:rsidRDefault="002723E0" w:rsidP="002723E0">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5</w:t>
            </w:r>
          </w:p>
        </w:tc>
        <w:tc>
          <w:tcPr>
            <w:tcW w:w="413" w:type="pct"/>
            <w:shd w:val="clear" w:color="auto" w:fill="FFFF00"/>
            <w:noWrap/>
          </w:tcPr>
          <w:p w:rsidR="002723E0" w:rsidRPr="00280CC1" w:rsidRDefault="002723E0" w:rsidP="002723E0">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4</w:t>
            </w:r>
          </w:p>
        </w:tc>
        <w:tc>
          <w:tcPr>
            <w:tcW w:w="410" w:type="pct"/>
            <w:shd w:val="clear" w:color="auto" w:fill="92D050"/>
            <w:noWrap/>
          </w:tcPr>
          <w:p w:rsidR="002723E0" w:rsidRPr="00280CC1" w:rsidRDefault="00CA642A"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8" w:type="pct"/>
            <w:shd w:val="clear" w:color="auto" w:fill="auto"/>
          </w:tcPr>
          <w:p w:rsidR="002723E0" w:rsidRPr="00280CC1" w:rsidRDefault="002723E0" w:rsidP="002723E0">
            <w:pPr>
              <w:keepLines/>
              <w:spacing w:before="40" w:after="40" w:line="200" w:lineRule="atLeast"/>
              <w:jc w:val="center"/>
              <w:rPr>
                <w:rFonts w:asciiTheme="minorHAnsi" w:eastAsia="Times New Roman" w:hAnsiTheme="minorHAnsi"/>
                <w:iCs/>
                <w:szCs w:val="17"/>
                <w:lang w:eastAsia="en-US"/>
              </w:rPr>
            </w:pPr>
            <w:r w:rsidRPr="00280CC1">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val="restart"/>
            <w:tcBorders>
              <w:top w:val="single" w:sz="4" w:space="0" w:color="auto"/>
            </w:tcBorders>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 xml:space="preserve">Community Policing Initiative in </w:t>
            </w:r>
          </w:p>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Cambodia</w:t>
            </w:r>
          </w:p>
        </w:tc>
        <w:tc>
          <w:tcPr>
            <w:tcW w:w="651" w:type="pct"/>
            <w:tcBorders>
              <w:top w:val="single" w:sz="4" w:space="0" w:color="auto"/>
            </w:tcBorders>
          </w:tcPr>
          <w:p w:rsidR="002723E0" w:rsidRPr="00D65A4A" w:rsidRDefault="00B34B4A" w:rsidP="002723E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$4.2</w:t>
            </w:r>
            <w:r w:rsidR="002723E0" w:rsidRPr="00D65A4A">
              <w:rPr>
                <w:rFonts w:asciiTheme="minorHAnsi" w:eastAsia="Times New Roman" w:hAnsiTheme="minorHAnsi"/>
                <w:iCs/>
                <w:szCs w:val="17"/>
                <w:lang w:eastAsia="en-US"/>
              </w:rPr>
              <w:t>m</w:t>
            </w:r>
          </w:p>
        </w:tc>
        <w:tc>
          <w:tcPr>
            <w:tcW w:w="411" w:type="pct"/>
            <w:tcBorders>
              <w:top w:val="single" w:sz="4" w:space="0" w:color="auto"/>
            </w:tcBorders>
          </w:tcPr>
          <w:p w:rsidR="002723E0" w:rsidRPr="00D65A4A" w:rsidRDefault="002723E0" w:rsidP="006B4B63">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9</w:t>
            </w:r>
            <w:r w:rsidRPr="00D65A4A">
              <w:rPr>
                <w:rFonts w:asciiTheme="minorHAnsi" w:eastAsia="Times New Roman" w:hAnsiTheme="minorHAnsi"/>
                <w:iCs/>
                <w:szCs w:val="17"/>
                <w:lang w:eastAsia="en-US"/>
              </w:rPr>
              <w:t xml:space="preserve"> AQC</w:t>
            </w:r>
          </w:p>
        </w:tc>
        <w:tc>
          <w:tcPr>
            <w:tcW w:w="413" w:type="pct"/>
            <w:tcBorders>
              <w:top w:val="single" w:sz="4" w:space="0" w:color="auto"/>
            </w:tcBorders>
            <w:shd w:val="clear" w:color="auto" w:fill="auto"/>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tcBorders>
              <w:top w:val="single" w:sz="4" w:space="0" w:color="auto"/>
            </w:tcBorders>
            <w:shd w:val="clear" w:color="auto" w:fill="92D05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3" w:type="pct"/>
            <w:tcBorders>
              <w:top w:val="single" w:sz="4" w:space="0" w:color="auto"/>
            </w:tcBorders>
            <w:shd w:val="clear" w:color="auto" w:fill="92D05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0" w:type="pct"/>
            <w:tcBorders>
              <w:top w:val="single" w:sz="4" w:space="0" w:color="auto"/>
            </w:tcBorders>
            <w:shd w:val="clear" w:color="auto" w:fill="auto"/>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3" w:type="pct"/>
            <w:tcBorders>
              <w:top w:val="single" w:sz="4" w:space="0" w:color="auto"/>
            </w:tcBorders>
            <w:shd w:val="clear" w:color="auto" w:fill="auto"/>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tcBorders>
              <w:top w:val="single" w:sz="4" w:space="0" w:color="auto"/>
            </w:tcBorders>
            <w:shd w:val="clear" w:color="auto" w:fill="FFFF0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08" w:type="pct"/>
            <w:tcBorders>
              <w:top w:val="single" w:sz="4" w:space="0" w:color="auto"/>
            </w:tcBorders>
            <w:shd w:val="clear" w:color="auto" w:fill="auto"/>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tcBorders>
              <w:bottom w:val="single" w:sz="4" w:space="0" w:color="auto"/>
            </w:tcBorders>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p>
        </w:tc>
        <w:tc>
          <w:tcPr>
            <w:tcW w:w="651" w:type="pct"/>
            <w:tcBorders>
              <w:bottom w:val="single" w:sz="4" w:space="0" w:color="auto"/>
            </w:tcBorders>
          </w:tcPr>
          <w:p w:rsidR="002723E0" w:rsidRPr="00D65A4A" w:rsidRDefault="002723E0" w:rsidP="002723E0">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2016-19</w:t>
            </w:r>
          </w:p>
        </w:tc>
        <w:tc>
          <w:tcPr>
            <w:tcW w:w="411" w:type="pct"/>
            <w:tcBorders>
              <w:bottom w:val="single" w:sz="4" w:space="0" w:color="auto"/>
            </w:tcBorders>
          </w:tcPr>
          <w:p w:rsidR="002723E0" w:rsidRPr="00D65A4A" w:rsidRDefault="002723E0" w:rsidP="006B4B63">
            <w:pPr>
              <w:keepLines/>
              <w:spacing w:before="40" w:after="40" w:line="200" w:lineRule="atLeast"/>
              <w:rPr>
                <w:rFonts w:asciiTheme="minorHAnsi" w:eastAsia="Times New Roman" w:hAnsiTheme="minorHAnsi"/>
                <w:iCs/>
                <w:szCs w:val="17"/>
                <w:lang w:eastAsia="en-US"/>
              </w:rPr>
            </w:pPr>
            <w:r w:rsidRPr="00D65A4A">
              <w:rPr>
                <w:rFonts w:asciiTheme="minorHAnsi" w:eastAsia="Times New Roman" w:hAnsiTheme="minorHAnsi"/>
                <w:iCs/>
                <w:szCs w:val="17"/>
                <w:lang w:eastAsia="en-US"/>
              </w:rPr>
              <w:t>201</w:t>
            </w:r>
            <w:r w:rsidR="006B4B63">
              <w:rPr>
                <w:rFonts w:asciiTheme="minorHAnsi" w:eastAsia="Times New Roman" w:hAnsiTheme="minorHAnsi"/>
                <w:iCs/>
                <w:szCs w:val="17"/>
                <w:lang w:eastAsia="en-US"/>
              </w:rPr>
              <w:t>8</w:t>
            </w:r>
            <w:r w:rsidRPr="00D65A4A">
              <w:rPr>
                <w:rFonts w:asciiTheme="minorHAnsi" w:eastAsia="Times New Roman" w:hAnsiTheme="minorHAnsi"/>
                <w:iCs/>
                <w:szCs w:val="17"/>
                <w:lang w:eastAsia="en-US"/>
              </w:rPr>
              <w:t xml:space="preserve"> AQC</w:t>
            </w:r>
          </w:p>
        </w:tc>
        <w:tc>
          <w:tcPr>
            <w:tcW w:w="413" w:type="pct"/>
            <w:tcBorders>
              <w:bottom w:val="single" w:sz="4" w:space="0" w:color="auto"/>
            </w:tcBorders>
            <w:shd w:val="clear" w:color="auto" w:fill="FFFF00"/>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0" w:type="pct"/>
            <w:tcBorders>
              <w:bottom w:val="single" w:sz="4" w:space="0" w:color="auto"/>
            </w:tcBorders>
            <w:shd w:val="clear" w:color="auto" w:fill="92D05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3" w:type="pct"/>
            <w:tcBorders>
              <w:bottom w:val="single" w:sz="4" w:space="0" w:color="auto"/>
            </w:tcBorders>
            <w:shd w:val="clear" w:color="auto" w:fill="92D050"/>
            <w:noWrap/>
          </w:tcPr>
          <w:p w:rsidR="002723E0" w:rsidRPr="00D65A4A" w:rsidRDefault="00CA642A" w:rsidP="002723E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0" w:type="pct"/>
            <w:tcBorders>
              <w:bottom w:val="single" w:sz="4" w:space="0" w:color="auto"/>
            </w:tcBorders>
            <w:shd w:val="clear" w:color="auto" w:fill="FFFF0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13" w:type="pct"/>
            <w:tcBorders>
              <w:bottom w:val="single" w:sz="4" w:space="0" w:color="auto"/>
            </w:tcBorders>
            <w:shd w:val="clear" w:color="auto" w:fill="92D05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5</w:t>
            </w:r>
          </w:p>
        </w:tc>
        <w:tc>
          <w:tcPr>
            <w:tcW w:w="410" w:type="pct"/>
            <w:tcBorders>
              <w:bottom w:val="single" w:sz="4" w:space="0" w:color="auto"/>
            </w:tcBorders>
            <w:shd w:val="clear" w:color="auto" w:fill="FFFF00"/>
            <w:noWrap/>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4</w:t>
            </w:r>
          </w:p>
        </w:tc>
        <w:tc>
          <w:tcPr>
            <w:tcW w:w="408" w:type="pct"/>
            <w:tcBorders>
              <w:bottom w:val="single" w:sz="4" w:space="0" w:color="auto"/>
            </w:tcBorders>
            <w:shd w:val="clear" w:color="auto" w:fill="auto"/>
          </w:tcPr>
          <w:p w:rsidR="002723E0" w:rsidRPr="00D65A4A" w:rsidRDefault="002723E0"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val="restart"/>
          </w:tcPr>
          <w:p w:rsidR="002723E0" w:rsidRPr="003543C4" w:rsidRDefault="00812E5B" w:rsidP="00812E5B">
            <w:pPr>
              <w:keepLines/>
              <w:spacing w:before="40" w:after="40" w:line="200" w:lineRule="atLeast"/>
              <w:rPr>
                <w:rFonts w:asciiTheme="majorHAnsi" w:eastAsia="Times New Roman" w:hAnsiTheme="majorHAnsi"/>
                <w:iCs/>
                <w:szCs w:val="17"/>
              </w:rPr>
            </w:pPr>
            <w:r>
              <w:rPr>
                <w:rFonts w:asciiTheme="minorHAnsi" w:eastAsia="Times New Roman" w:hAnsiTheme="minorHAnsi"/>
                <w:iCs/>
                <w:szCs w:val="17"/>
              </w:rPr>
              <w:t>Australia Cambodia Equitable Sustainable Access</w:t>
            </w:r>
          </w:p>
        </w:tc>
        <w:tc>
          <w:tcPr>
            <w:tcW w:w="651" w:type="pct"/>
          </w:tcPr>
          <w:p w:rsidR="002723E0" w:rsidRPr="003543C4" w:rsidRDefault="002723E0" w:rsidP="00B34B4A">
            <w:pPr>
              <w:keepLines/>
              <w:spacing w:before="40" w:after="40" w:line="200" w:lineRule="atLeast"/>
              <w:rPr>
                <w:rFonts w:asciiTheme="majorHAnsi" w:eastAsia="Times New Roman" w:hAnsiTheme="majorHAnsi"/>
                <w:iCs/>
                <w:szCs w:val="17"/>
              </w:rPr>
            </w:pPr>
            <w:r w:rsidRPr="003543C4">
              <w:rPr>
                <w:rFonts w:asciiTheme="majorHAnsi" w:eastAsia="Times New Roman" w:hAnsiTheme="majorHAnsi"/>
                <w:iCs/>
                <w:szCs w:val="17"/>
                <w:lang w:eastAsia="en-US"/>
              </w:rPr>
              <w:t>$</w:t>
            </w:r>
            <w:r w:rsidR="00B34B4A">
              <w:rPr>
                <w:rFonts w:asciiTheme="majorHAnsi" w:eastAsia="Times New Roman" w:hAnsiTheme="majorHAnsi"/>
                <w:iCs/>
                <w:szCs w:val="17"/>
                <w:lang w:eastAsia="en-US"/>
              </w:rPr>
              <w:t>15m</w:t>
            </w:r>
          </w:p>
        </w:tc>
        <w:tc>
          <w:tcPr>
            <w:tcW w:w="411" w:type="pct"/>
          </w:tcPr>
          <w:p w:rsidR="002723E0" w:rsidRPr="003543C4" w:rsidRDefault="002723E0" w:rsidP="006B4B63">
            <w:pPr>
              <w:keepLines/>
              <w:spacing w:before="40" w:after="40" w:line="200" w:lineRule="atLeast"/>
              <w:rPr>
                <w:rFonts w:asciiTheme="majorHAnsi" w:eastAsia="Times New Roman" w:hAnsiTheme="majorHAnsi"/>
                <w:iCs/>
                <w:szCs w:val="17"/>
                <w:lang w:eastAsia="en-US"/>
              </w:rPr>
            </w:pPr>
            <w:r w:rsidRPr="003543C4">
              <w:rPr>
                <w:rFonts w:asciiTheme="majorHAnsi" w:eastAsia="Times New Roman" w:hAnsiTheme="majorHAnsi"/>
                <w:iCs/>
                <w:szCs w:val="17"/>
                <w:lang w:eastAsia="en-US"/>
              </w:rPr>
              <w:t>201</w:t>
            </w:r>
            <w:r w:rsidR="006B4B63">
              <w:rPr>
                <w:rFonts w:asciiTheme="majorHAnsi" w:eastAsia="Times New Roman" w:hAnsiTheme="majorHAnsi"/>
                <w:iCs/>
                <w:szCs w:val="17"/>
                <w:lang w:eastAsia="en-US"/>
              </w:rPr>
              <w:t>9</w:t>
            </w:r>
            <w:r w:rsidRPr="003543C4">
              <w:rPr>
                <w:rFonts w:asciiTheme="majorHAnsi" w:eastAsia="Times New Roman" w:hAnsiTheme="majorHAnsi"/>
                <w:iCs/>
                <w:szCs w:val="17"/>
                <w:lang w:eastAsia="en-US"/>
              </w:rPr>
              <w:t xml:space="preserve"> AQC</w:t>
            </w:r>
          </w:p>
        </w:tc>
        <w:tc>
          <w:tcPr>
            <w:tcW w:w="413" w:type="pct"/>
            <w:shd w:val="clear" w:color="auto" w:fill="auto"/>
            <w:noWrap/>
          </w:tcPr>
          <w:p w:rsidR="002723E0" w:rsidRPr="003543C4" w:rsidRDefault="00CA642A" w:rsidP="002723E0">
            <w:pPr>
              <w:keepLines/>
              <w:spacing w:before="40" w:after="40" w:line="200" w:lineRule="atLeast"/>
              <w:jc w:val="center"/>
              <w:rPr>
                <w:rFonts w:asciiTheme="majorHAnsi" w:eastAsia="Times New Roman" w:hAnsiTheme="majorHAnsi"/>
                <w:iCs/>
                <w:szCs w:val="17"/>
                <w:lang w:eastAsia="en-US"/>
              </w:rPr>
            </w:pPr>
            <w:r w:rsidRPr="00D65A4A">
              <w:rPr>
                <w:rFonts w:asciiTheme="minorHAnsi" w:eastAsia="Times New Roman" w:hAnsiTheme="minorHAnsi"/>
                <w:iCs/>
                <w:szCs w:val="17"/>
                <w:lang w:eastAsia="en-US"/>
              </w:rPr>
              <w:t>n/a</w:t>
            </w:r>
          </w:p>
        </w:tc>
        <w:tc>
          <w:tcPr>
            <w:tcW w:w="410" w:type="pct"/>
            <w:shd w:val="clear" w:color="auto" w:fill="92D050"/>
            <w:noWrap/>
          </w:tcPr>
          <w:p w:rsidR="002723E0" w:rsidRPr="003543C4" w:rsidRDefault="002723E0" w:rsidP="002723E0">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5</w:t>
            </w:r>
          </w:p>
        </w:tc>
        <w:tc>
          <w:tcPr>
            <w:tcW w:w="413" w:type="pct"/>
            <w:shd w:val="clear" w:color="auto" w:fill="FFFF00"/>
            <w:noWrap/>
          </w:tcPr>
          <w:p w:rsidR="002723E0" w:rsidRPr="003543C4" w:rsidRDefault="00812E5B" w:rsidP="002723E0">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4</w:t>
            </w:r>
          </w:p>
        </w:tc>
        <w:tc>
          <w:tcPr>
            <w:tcW w:w="410" w:type="pct"/>
            <w:shd w:val="clear" w:color="auto" w:fill="auto"/>
            <w:noWrap/>
          </w:tcPr>
          <w:p w:rsidR="002723E0" w:rsidRPr="003543C4" w:rsidRDefault="00CA642A" w:rsidP="002723E0">
            <w:pPr>
              <w:keepLines/>
              <w:spacing w:before="40" w:after="40" w:line="200" w:lineRule="atLeast"/>
              <w:jc w:val="center"/>
              <w:rPr>
                <w:rFonts w:asciiTheme="majorHAnsi" w:eastAsia="Times New Roman" w:hAnsiTheme="majorHAnsi"/>
                <w:iCs/>
                <w:szCs w:val="17"/>
                <w:lang w:eastAsia="en-US"/>
              </w:rPr>
            </w:pPr>
            <w:r w:rsidRPr="00D65A4A">
              <w:rPr>
                <w:rFonts w:asciiTheme="minorHAnsi" w:eastAsia="Times New Roman" w:hAnsiTheme="minorHAnsi"/>
                <w:iCs/>
                <w:szCs w:val="17"/>
                <w:lang w:eastAsia="en-US"/>
              </w:rPr>
              <w:t>n/a</w:t>
            </w:r>
          </w:p>
        </w:tc>
        <w:tc>
          <w:tcPr>
            <w:tcW w:w="413" w:type="pct"/>
            <w:shd w:val="clear" w:color="auto" w:fill="auto"/>
            <w:noWrap/>
          </w:tcPr>
          <w:p w:rsidR="002723E0" w:rsidRPr="003543C4" w:rsidRDefault="00CA642A" w:rsidP="002723E0">
            <w:pPr>
              <w:keepLines/>
              <w:spacing w:before="40" w:after="40" w:line="200" w:lineRule="atLeast"/>
              <w:jc w:val="center"/>
              <w:rPr>
                <w:rFonts w:asciiTheme="majorHAnsi" w:eastAsia="Times New Roman" w:hAnsiTheme="majorHAnsi"/>
                <w:iCs/>
                <w:szCs w:val="17"/>
                <w:lang w:eastAsia="en-US"/>
              </w:rPr>
            </w:pPr>
            <w:r w:rsidRPr="00D65A4A">
              <w:rPr>
                <w:rFonts w:asciiTheme="minorHAnsi" w:eastAsia="Times New Roman" w:hAnsiTheme="minorHAnsi"/>
                <w:iCs/>
                <w:szCs w:val="17"/>
                <w:lang w:eastAsia="en-US"/>
              </w:rPr>
              <w:t>n/a</w:t>
            </w:r>
          </w:p>
        </w:tc>
        <w:tc>
          <w:tcPr>
            <w:tcW w:w="410" w:type="pct"/>
            <w:shd w:val="clear" w:color="auto" w:fill="92D050"/>
            <w:noWrap/>
          </w:tcPr>
          <w:p w:rsidR="002723E0" w:rsidRPr="003543C4" w:rsidRDefault="002723E0" w:rsidP="002723E0">
            <w:pPr>
              <w:keepLines/>
              <w:spacing w:before="40" w:after="40" w:line="200" w:lineRule="atLeast"/>
              <w:jc w:val="center"/>
              <w:rPr>
                <w:rFonts w:asciiTheme="majorHAnsi" w:eastAsia="Times New Roman" w:hAnsiTheme="majorHAnsi"/>
                <w:iCs/>
                <w:szCs w:val="17"/>
                <w:lang w:eastAsia="en-US"/>
              </w:rPr>
            </w:pPr>
            <w:r>
              <w:rPr>
                <w:rFonts w:asciiTheme="majorHAnsi" w:eastAsia="Times New Roman" w:hAnsiTheme="majorHAnsi"/>
                <w:iCs/>
                <w:szCs w:val="17"/>
                <w:lang w:eastAsia="en-US"/>
              </w:rPr>
              <w:t>5</w:t>
            </w:r>
          </w:p>
        </w:tc>
        <w:tc>
          <w:tcPr>
            <w:tcW w:w="408" w:type="pct"/>
            <w:shd w:val="clear" w:color="auto" w:fill="FFFFFF" w:themeFill="background1"/>
          </w:tcPr>
          <w:p w:rsidR="002723E0" w:rsidRPr="003543C4" w:rsidRDefault="002723E0" w:rsidP="002723E0">
            <w:pPr>
              <w:keepLines/>
              <w:spacing w:before="40" w:after="40" w:line="200" w:lineRule="atLeast"/>
              <w:jc w:val="center"/>
              <w:rPr>
                <w:rFonts w:asciiTheme="majorHAnsi" w:eastAsia="Times New Roman" w:hAnsiTheme="majorHAnsi"/>
                <w:iCs/>
                <w:szCs w:val="17"/>
                <w:lang w:eastAsia="en-US"/>
              </w:rPr>
            </w:pPr>
            <w:r w:rsidRPr="003543C4">
              <w:rPr>
                <w:rFonts w:asciiTheme="majorHAnsi" w:eastAsia="Times New Roman" w:hAnsiTheme="majorHAnsi"/>
                <w:iCs/>
                <w:szCs w:val="17"/>
                <w:lang w:eastAsia="en-US"/>
              </w:rPr>
              <w:t>n/a</w:t>
            </w:r>
          </w:p>
        </w:tc>
      </w:tr>
      <w:tr w:rsidR="002723E0" w:rsidRPr="00C61187" w:rsidTr="00812E5B">
        <w:trPr>
          <w:cnfStyle w:val="000000010000" w:firstRow="0" w:lastRow="0" w:firstColumn="0" w:lastColumn="0" w:oddVBand="0" w:evenVBand="0" w:oddHBand="0" w:evenHBand="1" w:firstRowFirstColumn="0" w:firstRowLastColumn="0" w:lastRowFirstColumn="0" w:lastRowLastColumn="0"/>
          <w:trHeight w:val="284"/>
        </w:trPr>
        <w:tc>
          <w:tcPr>
            <w:tcW w:w="899" w:type="pct"/>
            <w:vMerge/>
          </w:tcPr>
          <w:p w:rsidR="002723E0" w:rsidRPr="00880004" w:rsidRDefault="002723E0" w:rsidP="002723E0">
            <w:pPr>
              <w:keepLines/>
              <w:spacing w:before="40" w:after="40" w:line="200" w:lineRule="atLeast"/>
              <w:rPr>
                <w:rFonts w:asciiTheme="minorHAnsi" w:eastAsia="Times New Roman" w:hAnsiTheme="minorHAnsi"/>
                <w:iCs/>
                <w:szCs w:val="17"/>
                <w:lang w:eastAsia="en-US"/>
              </w:rPr>
            </w:pPr>
          </w:p>
        </w:tc>
        <w:tc>
          <w:tcPr>
            <w:tcW w:w="651" w:type="pct"/>
          </w:tcPr>
          <w:p w:rsidR="002723E0" w:rsidRPr="00880004" w:rsidRDefault="00B34B4A" w:rsidP="002723E0">
            <w:pPr>
              <w:keepLines/>
              <w:spacing w:before="40" w:after="40" w:line="200" w:lineRule="atLeast"/>
              <w:rPr>
                <w:rFonts w:asciiTheme="minorHAnsi" w:eastAsia="Times New Roman" w:hAnsiTheme="minorHAnsi"/>
                <w:iCs/>
                <w:szCs w:val="17"/>
                <w:lang w:eastAsia="en-US"/>
              </w:rPr>
            </w:pPr>
            <w:r>
              <w:rPr>
                <w:rFonts w:asciiTheme="majorHAnsi" w:eastAsia="Times New Roman" w:hAnsiTheme="majorHAnsi"/>
                <w:iCs/>
                <w:szCs w:val="17"/>
                <w:lang w:eastAsia="en-US"/>
              </w:rPr>
              <w:t>2018-21</w:t>
            </w:r>
          </w:p>
        </w:tc>
        <w:tc>
          <w:tcPr>
            <w:tcW w:w="411" w:type="pct"/>
          </w:tcPr>
          <w:p w:rsidR="002723E0" w:rsidRPr="00880004" w:rsidRDefault="002723E0" w:rsidP="006B4B63">
            <w:pPr>
              <w:keepLines/>
              <w:spacing w:before="40" w:after="40" w:line="200" w:lineRule="atLeast"/>
              <w:rPr>
                <w:rFonts w:asciiTheme="minorHAnsi" w:eastAsia="Times New Roman" w:hAnsiTheme="minorHAnsi"/>
                <w:iCs/>
                <w:szCs w:val="17"/>
                <w:lang w:eastAsia="en-US"/>
              </w:rPr>
            </w:pPr>
            <w:r w:rsidRPr="003543C4">
              <w:rPr>
                <w:rFonts w:asciiTheme="majorHAnsi" w:eastAsia="Times New Roman" w:hAnsiTheme="majorHAnsi"/>
                <w:iCs/>
                <w:szCs w:val="17"/>
                <w:lang w:eastAsia="en-US"/>
              </w:rPr>
              <w:t>201</w:t>
            </w:r>
            <w:r w:rsidR="006B4B63">
              <w:rPr>
                <w:rFonts w:asciiTheme="majorHAnsi" w:eastAsia="Times New Roman" w:hAnsiTheme="majorHAnsi"/>
                <w:iCs/>
                <w:szCs w:val="17"/>
                <w:lang w:eastAsia="en-US"/>
              </w:rPr>
              <w:t>8</w:t>
            </w:r>
            <w:r w:rsidRPr="003543C4">
              <w:rPr>
                <w:rFonts w:asciiTheme="majorHAnsi" w:eastAsia="Times New Roman" w:hAnsiTheme="majorHAnsi"/>
                <w:iCs/>
                <w:szCs w:val="17"/>
                <w:lang w:eastAsia="en-US"/>
              </w:rPr>
              <w:t xml:space="preserve"> AQC</w:t>
            </w:r>
          </w:p>
        </w:tc>
        <w:tc>
          <w:tcPr>
            <w:tcW w:w="413" w:type="pct"/>
            <w:shd w:val="clear" w:color="auto" w:fill="auto"/>
            <w:noWrap/>
          </w:tcPr>
          <w:p w:rsidR="002723E0" w:rsidRPr="00880004" w:rsidRDefault="00812E5B"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shd w:val="clear" w:color="auto" w:fill="auto"/>
            <w:noWrap/>
          </w:tcPr>
          <w:p w:rsidR="002723E0" w:rsidRPr="00880004" w:rsidRDefault="00812E5B"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3" w:type="pct"/>
            <w:shd w:val="clear" w:color="auto" w:fill="auto"/>
            <w:noWrap/>
          </w:tcPr>
          <w:p w:rsidR="002723E0" w:rsidRPr="00880004" w:rsidRDefault="00812E5B"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shd w:val="clear" w:color="auto" w:fill="auto"/>
            <w:noWrap/>
          </w:tcPr>
          <w:p w:rsidR="002723E0" w:rsidRPr="00880004" w:rsidRDefault="00812E5B"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3" w:type="pct"/>
            <w:shd w:val="clear" w:color="auto" w:fill="auto"/>
            <w:noWrap/>
          </w:tcPr>
          <w:p w:rsidR="002723E0" w:rsidRPr="00880004" w:rsidRDefault="00812E5B"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10" w:type="pct"/>
            <w:shd w:val="clear" w:color="auto" w:fill="auto"/>
            <w:noWrap/>
          </w:tcPr>
          <w:p w:rsidR="002723E0" w:rsidRPr="00880004" w:rsidRDefault="00812E5B" w:rsidP="002723E0">
            <w:pPr>
              <w:keepLines/>
              <w:spacing w:before="40" w:after="40" w:line="200" w:lineRule="atLeast"/>
              <w:jc w:val="center"/>
              <w:rPr>
                <w:rFonts w:asciiTheme="minorHAnsi" w:eastAsia="Times New Roman" w:hAnsiTheme="minorHAnsi"/>
                <w:iCs/>
                <w:szCs w:val="17"/>
                <w:lang w:eastAsia="en-US"/>
              </w:rPr>
            </w:pPr>
            <w:r w:rsidRPr="00D65A4A">
              <w:rPr>
                <w:rFonts w:asciiTheme="minorHAnsi" w:eastAsia="Times New Roman" w:hAnsiTheme="minorHAnsi"/>
                <w:iCs/>
                <w:szCs w:val="17"/>
                <w:lang w:eastAsia="en-US"/>
              </w:rPr>
              <w:t>n/a</w:t>
            </w:r>
          </w:p>
        </w:tc>
        <w:tc>
          <w:tcPr>
            <w:tcW w:w="408" w:type="pct"/>
            <w:shd w:val="clear" w:color="auto" w:fill="auto"/>
          </w:tcPr>
          <w:p w:rsidR="002723E0" w:rsidRPr="00880004" w:rsidRDefault="002723E0" w:rsidP="002723E0">
            <w:pPr>
              <w:keepLines/>
              <w:spacing w:before="40" w:after="40" w:line="200" w:lineRule="atLeast"/>
              <w:jc w:val="center"/>
              <w:rPr>
                <w:rFonts w:asciiTheme="minorHAnsi" w:eastAsia="Times New Roman" w:hAnsiTheme="minorHAnsi"/>
                <w:iCs/>
                <w:szCs w:val="17"/>
                <w:lang w:eastAsia="en-US"/>
              </w:rPr>
            </w:pPr>
            <w:r w:rsidRPr="003543C4">
              <w:rPr>
                <w:rFonts w:asciiTheme="majorHAnsi" w:eastAsia="Times New Roman" w:hAnsiTheme="majorHAnsi"/>
                <w:iCs/>
                <w:szCs w:val="17"/>
                <w:lang w:eastAsia="en-US"/>
              </w:rPr>
              <w:t>n/a</w:t>
            </w:r>
          </w:p>
        </w:tc>
      </w:tr>
    </w:tbl>
    <w:p w:rsidR="002E3C15" w:rsidRDefault="002E3C15">
      <w:pPr>
        <w:suppressAutoHyphens w:val="0"/>
        <w:spacing w:before="0" w:after="120" w:line="440" w:lineRule="atLeast"/>
        <w:rPr>
          <w:rFonts w:eastAsiaTheme="majorEastAsia" w:cstheme="minorHAnsi"/>
          <w:caps/>
          <w:sz w:val="36"/>
          <w:szCs w:val="36"/>
        </w:rPr>
      </w:pPr>
      <w:r>
        <w:rPr>
          <w:rFonts w:eastAsiaTheme="majorEastAsia" w:cstheme="minorHAnsi"/>
          <w:caps/>
          <w:sz w:val="36"/>
          <w:szCs w:val="36"/>
        </w:rPr>
        <w:br w:type="page"/>
      </w:r>
    </w:p>
    <w:p w:rsidR="00C05D5C" w:rsidRPr="00E97A24" w:rsidRDefault="002723E0" w:rsidP="00E97A24">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inorHAnsi" w:eastAsiaTheme="majorEastAsia" w:hAnsiTheme="minorHAnsi" w:cstheme="minorHAnsi"/>
          <w:caps/>
          <w:color w:val="495965" w:themeColor="text2"/>
          <w:sz w:val="36"/>
          <w:szCs w:val="36"/>
          <w:lang w:val="en-GB" w:eastAsia="en-US"/>
        </w:rPr>
        <w:lastRenderedPageBreak/>
        <w:t>2</w:t>
      </w:r>
      <w:r w:rsidR="00C05D5C" w:rsidRPr="00EF26B5">
        <w:rPr>
          <w:rFonts w:asciiTheme="minorHAnsi" w:eastAsiaTheme="majorEastAsia" w:hAnsiTheme="minorHAnsi" w:cstheme="minorHAnsi"/>
          <w:caps/>
          <w:color w:val="495965" w:themeColor="text2"/>
          <w:sz w:val="36"/>
          <w:szCs w:val="36"/>
          <w:lang w:val="en-GB" w:eastAsia="en-US"/>
        </w:rPr>
        <w:t xml:space="preserve"> FAQC ratings</w:t>
      </w:r>
      <w:r w:rsidR="00E97A24">
        <w:rPr>
          <w:rFonts w:asciiTheme="majorHAnsi" w:eastAsiaTheme="majorEastAsia" w:hAnsiTheme="majorHAnsi" w:cstheme="majorBidi"/>
          <w:caps/>
          <w:color w:val="495965" w:themeColor="text2"/>
          <w:sz w:val="38"/>
          <w:szCs w:val="26"/>
          <w:lang w:val="en-GB" w:eastAsia="en-US"/>
        </w:rPr>
        <w:t xml:space="preserve"> </w:t>
      </w:r>
    </w:p>
    <w:tbl>
      <w:tblPr>
        <w:tblStyle w:val="APPR"/>
        <w:tblW w:w="4810" w:type="pct"/>
        <w:tblLook w:val="0000" w:firstRow="0" w:lastRow="0" w:firstColumn="0" w:lastColumn="0" w:noHBand="0" w:noVBand="0"/>
      </w:tblPr>
      <w:tblGrid>
        <w:gridCol w:w="2836"/>
        <w:gridCol w:w="1100"/>
        <w:gridCol w:w="620"/>
        <w:gridCol w:w="639"/>
        <w:gridCol w:w="629"/>
        <w:gridCol w:w="657"/>
        <w:gridCol w:w="718"/>
        <w:gridCol w:w="655"/>
        <w:gridCol w:w="711"/>
        <w:gridCol w:w="707"/>
      </w:tblGrid>
      <w:tr w:rsidR="00C05D5C" w:rsidRPr="00812509" w:rsidTr="005455D5">
        <w:trPr>
          <w:cnfStyle w:val="000000010000" w:firstRow="0" w:lastRow="0" w:firstColumn="0" w:lastColumn="0" w:oddVBand="0" w:evenVBand="0" w:oddHBand="0" w:evenHBand="1" w:firstRowFirstColumn="0" w:firstRowLastColumn="0" w:lastRowFirstColumn="0" w:lastRowLastColumn="0"/>
          <w:trHeight w:val="1505"/>
        </w:trPr>
        <w:tc>
          <w:tcPr>
            <w:tcW w:w="1506" w:type="pct"/>
          </w:tcPr>
          <w:p w:rsidR="00C05D5C" w:rsidRPr="00812509" w:rsidRDefault="00C05D5C" w:rsidP="0097700F">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87936" behindDoc="0" locked="0" layoutInCell="1" allowOverlap="1" wp14:anchorId="381665F0" wp14:editId="4E518519">
                  <wp:simplePos x="0" y="0"/>
                  <wp:positionH relativeFrom="column">
                    <wp:posOffset>0</wp:posOffset>
                  </wp:positionH>
                  <wp:positionV relativeFrom="paragraph">
                    <wp:posOffset>0</wp:posOffset>
                  </wp:positionV>
                  <wp:extent cx="1857375" cy="228600"/>
                  <wp:effectExtent l="0" t="0" r="9525" b="0"/>
                  <wp:wrapNone/>
                  <wp:docPr id="50" name="Picture 5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578" w:type="pct"/>
            <w:textDirection w:val="btLr"/>
          </w:tcPr>
          <w:p w:rsidR="00C05D5C" w:rsidRPr="00812509" w:rsidRDefault="00C05D5C"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319" w:type="pct"/>
            <w:noWrap/>
            <w:textDirection w:val="btLr"/>
          </w:tcPr>
          <w:p w:rsidR="00C05D5C" w:rsidRPr="00812509" w:rsidRDefault="00C05D5C"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330" w:type="pct"/>
            <w:noWrap/>
            <w:textDirection w:val="btLr"/>
          </w:tcPr>
          <w:p w:rsidR="00C05D5C" w:rsidRPr="00812509" w:rsidRDefault="00C05D5C"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324" w:type="pct"/>
            <w:noWrap/>
            <w:textDirection w:val="btLr"/>
          </w:tcPr>
          <w:p w:rsidR="00C05D5C" w:rsidRPr="00812509" w:rsidRDefault="00C05D5C"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339" w:type="pct"/>
            <w:noWrap/>
            <w:textDirection w:val="btLr"/>
          </w:tcPr>
          <w:p w:rsidR="00C05D5C" w:rsidRPr="00812509" w:rsidRDefault="00C05D5C"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372" w:type="pct"/>
            <w:noWrap/>
            <w:textDirection w:val="btLr"/>
          </w:tcPr>
          <w:p w:rsidR="00C05D5C" w:rsidRPr="00812509" w:rsidRDefault="00C05D5C"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338" w:type="pct"/>
            <w:noWrap/>
            <w:textDirection w:val="btLr"/>
          </w:tcPr>
          <w:p w:rsidR="00C05D5C" w:rsidRPr="00812509" w:rsidRDefault="00C05D5C"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368" w:type="pct"/>
            <w:textDirection w:val="btLr"/>
          </w:tcPr>
          <w:p w:rsidR="00C05D5C" w:rsidRPr="00812509" w:rsidRDefault="00C05D5C"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359" w:type="pct"/>
            <w:textDirection w:val="btLr"/>
          </w:tcPr>
          <w:p w:rsidR="00C05D5C" w:rsidRPr="00812509" w:rsidRDefault="00C05D5C" w:rsidP="0097700F">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270B58" w:rsidRPr="00812509" w:rsidTr="003E1D38">
        <w:trPr>
          <w:cnfStyle w:val="000000010000" w:firstRow="0" w:lastRow="0" w:firstColumn="0" w:lastColumn="0" w:oddVBand="0" w:evenVBand="0" w:oddHBand="0" w:evenHBand="1" w:firstRowFirstColumn="0" w:firstRowLastColumn="0" w:lastRowFirstColumn="0" w:lastRowLastColumn="0"/>
          <w:trHeight w:val="284"/>
        </w:trPr>
        <w:tc>
          <w:tcPr>
            <w:tcW w:w="1506" w:type="pct"/>
          </w:tcPr>
          <w:p w:rsidR="00C05D5C" w:rsidRPr="00812509" w:rsidRDefault="00CA642A" w:rsidP="0097700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Delivering Better Health (includes Partnering to Save Lives)</w:t>
            </w:r>
          </w:p>
        </w:tc>
        <w:tc>
          <w:tcPr>
            <w:tcW w:w="578" w:type="pct"/>
          </w:tcPr>
          <w:p w:rsidR="00C05D5C" w:rsidRPr="002575C8" w:rsidRDefault="00CA642A" w:rsidP="0097700F">
            <w:pPr>
              <w:autoSpaceDE w:val="0"/>
              <w:autoSpaceDN w:val="0"/>
              <w:adjustRightInd w:val="0"/>
              <w:rPr>
                <w:rFonts w:asciiTheme="minorHAnsi" w:eastAsia="Times New Roman" w:hAnsiTheme="minorHAnsi"/>
                <w:iCs/>
                <w:szCs w:val="17"/>
                <w:lang w:eastAsia="en-US"/>
              </w:rPr>
            </w:pPr>
            <w:r w:rsidRPr="002575C8">
              <w:rPr>
                <w:rFonts w:asciiTheme="minorHAnsi" w:eastAsia="Times New Roman" w:hAnsiTheme="minorHAnsi"/>
                <w:iCs/>
                <w:szCs w:val="17"/>
                <w:lang w:eastAsia="en-US"/>
              </w:rPr>
              <w:t>$22.7</w:t>
            </w:r>
            <w:r w:rsidR="00C05D5C" w:rsidRPr="002575C8">
              <w:rPr>
                <w:rFonts w:asciiTheme="minorHAnsi" w:eastAsia="Times New Roman" w:hAnsiTheme="minorHAnsi"/>
                <w:iCs/>
                <w:szCs w:val="17"/>
                <w:lang w:eastAsia="en-US"/>
              </w:rPr>
              <w:t xml:space="preserve">m </w:t>
            </w:r>
          </w:p>
          <w:p w:rsidR="00C05D5C" w:rsidRPr="00812509" w:rsidRDefault="00CA642A" w:rsidP="0097700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2007</w:t>
            </w:r>
            <w:r w:rsidR="00C05D5C" w:rsidRPr="00812509">
              <w:rPr>
                <w:rFonts w:asciiTheme="minorHAnsi" w:eastAsia="Times New Roman" w:hAnsiTheme="minorHAnsi"/>
                <w:iCs/>
                <w:szCs w:val="17"/>
                <w:lang w:eastAsia="en-US"/>
              </w:rPr>
              <w:t>-1</w:t>
            </w:r>
            <w:r w:rsidR="00C05D5C">
              <w:rPr>
                <w:rFonts w:asciiTheme="minorHAnsi" w:eastAsia="Times New Roman" w:hAnsiTheme="minorHAnsi"/>
                <w:iCs/>
                <w:szCs w:val="17"/>
                <w:lang w:eastAsia="en-US"/>
              </w:rPr>
              <w:t>8</w:t>
            </w:r>
            <w:r w:rsidR="00C05D5C" w:rsidRPr="00812509">
              <w:rPr>
                <w:rFonts w:asciiTheme="minorHAnsi" w:eastAsia="Times New Roman" w:hAnsiTheme="minorHAnsi"/>
                <w:iCs/>
                <w:szCs w:val="17"/>
                <w:lang w:eastAsia="en-US"/>
              </w:rPr>
              <w:t xml:space="preserve"> </w:t>
            </w:r>
          </w:p>
        </w:tc>
        <w:tc>
          <w:tcPr>
            <w:tcW w:w="319" w:type="pct"/>
            <w:shd w:val="clear" w:color="auto" w:fill="92D050"/>
            <w:noWrap/>
          </w:tcPr>
          <w:p w:rsidR="00C05D5C" w:rsidRPr="00812509" w:rsidRDefault="003E1D38" w:rsidP="0097700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30" w:type="pct"/>
            <w:shd w:val="clear" w:color="auto" w:fill="92D050"/>
            <w:noWrap/>
          </w:tcPr>
          <w:p w:rsidR="00C05D5C" w:rsidRPr="00812509" w:rsidRDefault="00C05D5C" w:rsidP="0097700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4" w:type="pct"/>
            <w:shd w:val="clear" w:color="auto" w:fill="92D050"/>
            <w:noWrap/>
          </w:tcPr>
          <w:p w:rsidR="00C05D5C" w:rsidRPr="00812509" w:rsidRDefault="003E1D38" w:rsidP="0097700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39" w:type="pct"/>
            <w:shd w:val="clear" w:color="auto" w:fill="FFFF00"/>
            <w:noWrap/>
          </w:tcPr>
          <w:p w:rsidR="00C05D5C" w:rsidRPr="00812509" w:rsidRDefault="003E1D38" w:rsidP="0097700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72" w:type="pct"/>
            <w:shd w:val="clear" w:color="auto" w:fill="92D050"/>
            <w:noWrap/>
          </w:tcPr>
          <w:p w:rsidR="00C05D5C" w:rsidRPr="00812509" w:rsidRDefault="003E1D38" w:rsidP="0097700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38" w:type="pct"/>
            <w:shd w:val="clear" w:color="auto" w:fill="FFFF00"/>
            <w:noWrap/>
          </w:tcPr>
          <w:p w:rsidR="00C05D5C" w:rsidRPr="00812509" w:rsidRDefault="003E1D38" w:rsidP="0097700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8" w:type="pct"/>
            <w:shd w:val="clear" w:color="auto" w:fill="92D050"/>
          </w:tcPr>
          <w:p w:rsidR="00C05D5C" w:rsidRPr="00812509" w:rsidRDefault="003E1D38" w:rsidP="0097700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9" w:type="pct"/>
            <w:shd w:val="clear" w:color="auto" w:fill="FFFFFF" w:themeFill="background1"/>
          </w:tcPr>
          <w:p w:rsidR="00C05D5C" w:rsidRPr="00812509" w:rsidRDefault="00C05D5C" w:rsidP="0097700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r>
      <w:tr w:rsidR="00270B58" w:rsidRPr="00812509" w:rsidTr="00D13722">
        <w:trPr>
          <w:cnfStyle w:val="000000010000" w:firstRow="0" w:lastRow="0" w:firstColumn="0" w:lastColumn="0" w:oddVBand="0" w:evenVBand="0" w:oddHBand="0" w:evenHBand="1" w:firstRowFirstColumn="0" w:firstRowLastColumn="0" w:lastRowFirstColumn="0" w:lastRowLastColumn="0"/>
          <w:trHeight w:val="284"/>
        </w:trPr>
        <w:tc>
          <w:tcPr>
            <w:tcW w:w="1506" w:type="pct"/>
          </w:tcPr>
          <w:p w:rsidR="00CA642A" w:rsidRPr="002575C8" w:rsidRDefault="003E1D38" w:rsidP="0097700F">
            <w:pPr>
              <w:keepLines/>
              <w:spacing w:before="40" w:after="40" w:line="200" w:lineRule="atLeast"/>
              <w:rPr>
                <w:rFonts w:asciiTheme="minorHAnsi" w:eastAsia="Times New Roman" w:hAnsiTheme="minorHAnsi"/>
                <w:iCs/>
                <w:szCs w:val="17"/>
                <w:lang w:eastAsia="en-US"/>
              </w:rPr>
            </w:pPr>
            <w:r w:rsidRPr="003E1D38">
              <w:rPr>
                <w:rFonts w:asciiTheme="minorHAnsi" w:eastAsia="Times New Roman" w:hAnsiTheme="minorHAnsi"/>
                <w:iCs/>
                <w:szCs w:val="17"/>
                <w:lang w:eastAsia="en-US"/>
              </w:rPr>
              <w:t>Cambodia Australian Scholarship Initiative</w:t>
            </w:r>
            <w:r w:rsidRPr="002575C8">
              <w:rPr>
                <w:rFonts w:asciiTheme="minorHAnsi" w:eastAsia="Times New Roman" w:hAnsiTheme="minorHAnsi"/>
                <w:iCs/>
                <w:szCs w:val="17"/>
                <w:lang w:eastAsia="en-US"/>
              </w:rPr>
              <w:t xml:space="preserve"> </w:t>
            </w:r>
          </w:p>
        </w:tc>
        <w:tc>
          <w:tcPr>
            <w:tcW w:w="578" w:type="pct"/>
          </w:tcPr>
          <w:p w:rsidR="00CA642A" w:rsidRPr="002575C8" w:rsidRDefault="003E1D38" w:rsidP="003E1D38">
            <w:pPr>
              <w:keepLines/>
              <w:spacing w:before="40" w:after="40" w:line="200" w:lineRule="atLeast"/>
              <w:rPr>
                <w:rFonts w:asciiTheme="minorHAnsi" w:eastAsia="Times New Roman" w:hAnsiTheme="minorHAnsi"/>
                <w:iCs/>
                <w:szCs w:val="17"/>
                <w:lang w:eastAsia="en-US"/>
              </w:rPr>
            </w:pPr>
            <w:r w:rsidRPr="003E1D38">
              <w:rPr>
                <w:rFonts w:asciiTheme="minorHAnsi" w:eastAsia="Times New Roman" w:hAnsiTheme="minorHAnsi"/>
                <w:iCs/>
                <w:szCs w:val="17"/>
                <w:lang w:eastAsia="en-US"/>
              </w:rPr>
              <w:t>2013-18</w:t>
            </w:r>
          </w:p>
        </w:tc>
        <w:tc>
          <w:tcPr>
            <w:tcW w:w="319" w:type="pct"/>
            <w:shd w:val="clear" w:color="auto" w:fill="92D050"/>
            <w:noWrap/>
          </w:tcPr>
          <w:p w:rsidR="00CA642A" w:rsidRPr="002575C8" w:rsidRDefault="00D13722"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5</w:t>
            </w:r>
          </w:p>
        </w:tc>
        <w:tc>
          <w:tcPr>
            <w:tcW w:w="330" w:type="pct"/>
            <w:shd w:val="clear" w:color="auto" w:fill="92D050"/>
            <w:noWrap/>
          </w:tcPr>
          <w:p w:rsidR="00CA642A" w:rsidRPr="002575C8" w:rsidRDefault="00D13722"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5</w:t>
            </w:r>
          </w:p>
        </w:tc>
        <w:tc>
          <w:tcPr>
            <w:tcW w:w="324" w:type="pct"/>
            <w:shd w:val="clear" w:color="auto" w:fill="92D050"/>
            <w:noWrap/>
          </w:tcPr>
          <w:p w:rsidR="00CA642A" w:rsidRPr="002575C8" w:rsidRDefault="00D13722"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5</w:t>
            </w:r>
          </w:p>
        </w:tc>
        <w:tc>
          <w:tcPr>
            <w:tcW w:w="339" w:type="pct"/>
            <w:shd w:val="clear" w:color="auto" w:fill="92D050"/>
            <w:noWrap/>
          </w:tcPr>
          <w:p w:rsidR="00CA642A" w:rsidRPr="002575C8" w:rsidRDefault="00D13722"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5</w:t>
            </w:r>
          </w:p>
        </w:tc>
        <w:tc>
          <w:tcPr>
            <w:tcW w:w="372" w:type="pct"/>
            <w:shd w:val="clear" w:color="auto" w:fill="FFFF00"/>
            <w:noWrap/>
          </w:tcPr>
          <w:p w:rsidR="00CA642A" w:rsidRPr="002575C8" w:rsidRDefault="003E1D38"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4</w:t>
            </w:r>
          </w:p>
        </w:tc>
        <w:tc>
          <w:tcPr>
            <w:tcW w:w="338" w:type="pct"/>
            <w:shd w:val="clear" w:color="auto" w:fill="FFFF00"/>
            <w:noWrap/>
          </w:tcPr>
          <w:p w:rsidR="00CA642A" w:rsidRPr="002575C8" w:rsidRDefault="003E1D38"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4</w:t>
            </w:r>
          </w:p>
        </w:tc>
        <w:tc>
          <w:tcPr>
            <w:tcW w:w="368" w:type="pct"/>
            <w:shd w:val="clear" w:color="auto" w:fill="92D050"/>
          </w:tcPr>
          <w:p w:rsidR="00CA642A" w:rsidRPr="002575C8" w:rsidRDefault="00D13722"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5</w:t>
            </w:r>
          </w:p>
        </w:tc>
        <w:tc>
          <w:tcPr>
            <w:tcW w:w="359" w:type="pct"/>
            <w:shd w:val="clear" w:color="auto" w:fill="FFFFFF" w:themeFill="background1"/>
          </w:tcPr>
          <w:p w:rsidR="00CA642A" w:rsidRPr="00812509" w:rsidRDefault="00CA642A" w:rsidP="0097700F">
            <w:pPr>
              <w:keepLines/>
              <w:spacing w:before="40" w:after="40" w:line="200" w:lineRule="atLeast"/>
              <w:jc w:val="center"/>
              <w:rPr>
                <w:rFonts w:eastAsia="Times New Roman"/>
                <w:iCs/>
                <w:szCs w:val="17"/>
              </w:rPr>
            </w:pPr>
          </w:p>
        </w:tc>
      </w:tr>
      <w:tr w:rsidR="00270B58" w:rsidRPr="00812509" w:rsidTr="00D13722">
        <w:trPr>
          <w:cnfStyle w:val="000000010000" w:firstRow="0" w:lastRow="0" w:firstColumn="0" w:lastColumn="0" w:oddVBand="0" w:evenVBand="0" w:oddHBand="0" w:evenHBand="1" w:firstRowFirstColumn="0" w:firstRowLastColumn="0" w:lastRowFirstColumn="0" w:lastRowLastColumn="0"/>
          <w:trHeight w:val="284"/>
        </w:trPr>
        <w:tc>
          <w:tcPr>
            <w:tcW w:w="1506" w:type="pct"/>
          </w:tcPr>
          <w:p w:rsidR="00CA642A" w:rsidRPr="002575C8" w:rsidRDefault="00D13722" w:rsidP="0097700F">
            <w:pPr>
              <w:keepLines/>
              <w:spacing w:before="40" w:after="40" w:line="200" w:lineRule="atLeast"/>
              <w:rPr>
                <w:rFonts w:asciiTheme="minorHAnsi" w:eastAsia="Times New Roman" w:hAnsiTheme="minorHAnsi"/>
                <w:iCs/>
                <w:szCs w:val="17"/>
                <w:lang w:eastAsia="en-US"/>
              </w:rPr>
            </w:pPr>
            <w:r w:rsidRPr="002575C8">
              <w:rPr>
                <w:rFonts w:asciiTheme="minorHAnsi" w:eastAsia="Times New Roman" w:hAnsiTheme="minorHAnsi"/>
                <w:iCs/>
                <w:szCs w:val="17"/>
                <w:lang w:eastAsia="en-US"/>
              </w:rPr>
              <w:t>Cambodia Communication Assistance Project Phase II</w:t>
            </w:r>
          </w:p>
        </w:tc>
        <w:tc>
          <w:tcPr>
            <w:tcW w:w="578" w:type="pct"/>
          </w:tcPr>
          <w:p w:rsidR="00B34B4A" w:rsidRPr="002575C8" w:rsidRDefault="00B34B4A" w:rsidP="0097700F">
            <w:pPr>
              <w:autoSpaceDE w:val="0"/>
              <w:autoSpaceDN w:val="0"/>
              <w:adjustRightInd w:val="0"/>
              <w:rPr>
                <w:rFonts w:asciiTheme="minorHAnsi" w:eastAsia="Times New Roman" w:hAnsiTheme="minorHAnsi"/>
                <w:iCs/>
                <w:szCs w:val="17"/>
                <w:lang w:eastAsia="en-US"/>
              </w:rPr>
            </w:pPr>
            <w:r>
              <w:rPr>
                <w:rFonts w:asciiTheme="minorHAnsi" w:eastAsia="Times New Roman" w:hAnsiTheme="minorHAnsi"/>
                <w:iCs/>
                <w:szCs w:val="17"/>
                <w:lang w:eastAsia="en-US"/>
              </w:rPr>
              <w:t>$3.5m 2015-19</w:t>
            </w:r>
          </w:p>
        </w:tc>
        <w:tc>
          <w:tcPr>
            <w:tcW w:w="319" w:type="pct"/>
            <w:shd w:val="clear" w:color="auto" w:fill="92D050"/>
            <w:noWrap/>
          </w:tcPr>
          <w:p w:rsidR="00CA642A" w:rsidRPr="002575C8" w:rsidRDefault="00D13722"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5</w:t>
            </w:r>
          </w:p>
        </w:tc>
        <w:tc>
          <w:tcPr>
            <w:tcW w:w="330" w:type="pct"/>
            <w:shd w:val="clear" w:color="auto" w:fill="92D050"/>
            <w:noWrap/>
          </w:tcPr>
          <w:p w:rsidR="00CA642A" w:rsidRPr="002575C8" w:rsidRDefault="00D13722"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5</w:t>
            </w:r>
          </w:p>
        </w:tc>
        <w:tc>
          <w:tcPr>
            <w:tcW w:w="324" w:type="pct"/>
            <w:shd w:val="clear" w:color="auto" w:fill="92D050"/>
            <w:noWrap/>
          </w:tcPr>
          <w:p w:rsidR="00CA642A" w:rsidRPr="002575C8" w:rsidRDefault="00D13722"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5</w:t>
            </w:r>
          </w:p>
        </w:tc>
        <w:tc>
          <w:tcPr>
            <w:tcW w:w="339" w:type="pct"/>
            <w:shd w:val="clear" w:color="auto" w:fill="92D050"/>
            <w:noWrap/>
          </w:tcPr>
          <w:p w:rsidR="00CA642A" w:rsidRPr="002575C8" w:rsidRDefault="00D13722"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5</w:t>
            </w:r>
          </w:p>
        </w:tc>
        <w:tc>
          <w:tcPr>
            <w:tcW w:w="372" w:type="pct"/>
            <w:shd w:val="clear" w:color="auto" w:fill="FFFF00"/>
            <w:noWrap/>
          </w:tcPr>
          <w:p w:rsidR="00CA642A" w:rsidRPr="002575C8" w:rsidRDefault="00D13722"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4</w:t>
            </w:r>
          </w:p>
        </w:tc>
        <w:tc>
          <w:tcPr>
            <w:tcW w:w="338" w:type="pct"/>
            <w:shd w:val="clear" w:color="auto" w:fill="FFFF00"/>
            <w:noWrap/>
          </w:tcPr>
          <w:p w:rsidR="00CA642A" w:rsidRPr="002575C8" w:rsidRDefault="00D13722"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4</w:t>
            </w:r>
          </w:p>
        </w:tc>
        <w:tc>
          <w:tcPr>
            <w:tcW w:w="368" w:type="pct"/>
            <w:shd w:val="clear" w:color="auto" w:fill="92D050"/>
          </w:tcPr>
          <w:p w:rsidR="00CA642A" w:rsidRPr="002575C8" w:rsidRDefault="00D13722" w:rsidP="0097700F">
            <w:pPr>
              <w:keepLines/>
              <w:spacing w:before="40" w:after="40" w:line="200" w:lineRule="atLeast"/>
              <w:jc w:val="center"/>
              <w:rPr>
                <w:rFonts w:asciiTheme="minorHAnsi" w:eastAsia="Times New Roman" w:hAnsiTheme="minorHAnsi"/>
                <w:iCs/>
                <w:szCs w:val="17"/>
                <w:lang w:eastAsia="en-US"/>
              </w:rPr>
            </w:pPr>
            <w:r w:rsidRPr="002575C8">
              <w:rPr>
                <w:rFonts w:asciiTheme="minorHAnsi" w:eastAsia="Times New Roman" w:hAnsiTheme="minorHAnsi"/>
                <w:iCs/>
                <w:szCs w:val="17"/>
                <w:lang w:eastAsia="en-US"/>
              </w:rPr>
              <w:t>5</w:t>
            </w:r>
          </w:p>
        </w:tc>
        <w:tc>
          <w:tcPr>
            <w:tcW w:w="359" w:type="pct"/>
            <w:shd w:val="clear" w:color="auto" w:fill="FFFFFF" w:themeFill="background1"/>
          </w:tcPr>
          <w:p w:rsidR="00CA642A" w:rsidRPr="00812509" w:rsidRDefault="00CA642A" w:rsidP="0097700F">
            <w:pPr>
              <w:keepLines/>
              <w:spacing w:before="40" w:after="40" w:line="200" w:lineRule="atLeast"/>
              <w:jc w:val="center"/>
              <w:rPr>
                <w:rFonts w:eastAsia="Times New Roman"/>
                <w:iCs/>
                <w:szCs w:val="17"/>
              </w:rPr>
            </w:pPr>
          </w:p>
        </w:tc>
      </w:tr>
    </w:tbl>
    <w:p w:rsidR="00C05D5C" w:rsidRPr="00812509" w:rsidRDefault="00C05D5C" w:rsidP="00C05D5C">
      <w:pPr>
        <w:spacing w:before="20" w:after="20" w:line="180" w:lineRule="atLeast"/>
        <w:jc w:val="both"/>
        <w:rPr>
          <w:rFonts w:eastAsia="Times New Roman"/>
          <w:b/>
          <w:sz w:val="14"/>
          <w:szCs w:val="14"/>
        </w:rPr>
      </w:pPr>
    </w:p>
    <w:p w:rsidR="00C05D5C" w:rsidRPr="00812509" w:rsidRDefault="00C05D5C" w:rsidP="00C05D5C">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C05D5C" w:rsidRPr="00812509" w:rsidRDefault="00C05D5C" w:rsidP="00C05D5C">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C05D5C" w:rsidRPr="00812509" w:rsidRDefault="00C05D5C" w:rsidP="00C05D5C">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C05D5C" w:rsidRPr="00812509" w:rsidRDefault="00C05D5C" w:rsidP="00C05D5C">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C05D5C" w:rsidRPr="00812509" w:rsidRDefault="00C05D5C" w:rsidP="00C05D5C">
      <w:pPr>
        <w:spacing w:before="20" w:after="20" w:line="180" w:lineRule="atLeast"/>
        <w:rPr>
          <w:rFonts w:eastAsia="Times New Roman"/>
          <w:b/>
          <w:sz w:val="16"/>
          <w:szCs w:val="14"/>
        </w:rPr>
      </w:pPr>
      <w:r w:rsidRPr="00812509">
        <w:rPr>
          <w:rFonts w:eastAsia="Times New Roman"/>
          <w:b/>
          <w:sz w:val="16"/>
          <w:szCs w:val="14"/>
        </w:rPr>
        <w:t>Less than satisfactory (1, 2 and 3)</w:t>
      </w:r>
    </w:p>
    <w:p w:rsidR="00C05D5C" w:rsidRPr="00812509" w:rsidRDefault="00C05D5C" w:rsidP="00C05D5C">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C05D5C" w:rsidRPr="00812509" w:rsidRDefault="00C05D5C" w:rsidP="00C05D5C">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rsidR="00C05D5C" w:rsidRDefault="00C05D5C">
      <w:pPr>
        <w:suppressAutoHyphens w:val="0"/>
        <w:spacing w:before="0" w:after="120" w:line="440" w:lineRule="atLeast"/>
        <w:rPr>
          <w:rFonts w:asciiTheme="majorHAnsi" w:eastAsiaTheme="majorEastAsia" w:hAnsiTheme="majorHAnsi" w:cstheme="majorBidi"/>
          <w:caps/>
          <w:sz w:val="38"/>
          <w:szCs w:val="26"/>
        </w:rPr>
      </w:pPr>
    </w:p>
    <w:p w:rsidR="00012FCD" w:rsidRDefault="00012FCD" w:rsidP="00C05D5C">
      <w:pPr>
        <w:pStyle w:val="Subtitle"/>
        <w:spacing w:before="360" w:after="120" w:line="300" w:lineRule="exact"/>
        <w:rPr>
          <w:rFonts w:asciiTheme="majorHAnsi" w:hAnsiTheme="majorHAnsi" w:cstheme="majorHAnsi"/>
        </w:rPr>
        <w:sectPr w:rsidR="00012FCD" w:rsidSect="00CA7DD8">
          <w:headerReference w:type="default" r:id="rId33"/>
          <w:pgSz w:w="11906" w:h="16838" w:code="9"/>
          <w:pgMar w:top="1527" w:right="1134" w:bottom="851" w:left="1134" w:header="1418" w:footer="267" w:gutter="0"/>
          <w:cols w:space="397"/>
          <w:docGrid w:linePitch="360"/>
        </w:sectPr>
      </w:pPr>
    </w:p>
    <w:p w:rsidR="00130FC7" w:rsidRPr="00AD54E2" w:rsidRDefault="00130FC7" w:rsidP="00AD54E2">
      <w:pPr>
        <w:keepNext/>
        <w:tabs>
          <w:tab w:val="left" w:pos="1560"/>
        </w:tabs>
        <w:spacing w:before="360" w:after="120" w:line="300" w:lineRule="exact"/>
        <w:outlineLvl w:val="1"/>
        <w:rPr>
          <w:rFonts w:asciiTheme="majorHAnsi" w:eastAsiaTheme="majorEastAsia" w:hAnsiTheme="majorHAnsi" w:cstheme="majorHAnsi"/>
          <w:bCs/>
          <w:iCs/>
          <w:caps/>
          <w:spacing w:val="-10"/>
          <w:kern w:val="28"/>
          <w:sz w:val="38"/>
          <w:szCs w:val="24"/>
        </w:rPr>
      </w:pPr>
      <w:r w:rsidRPr="00AD54E2">
        <w:rPr>
          <w:rFonts w:asciiTheme="majorHAnsi" w:eastAsiaTheme="majorEastAsia" w:hAnsiTheme="majorHAnsi" w:cstheme="majorHAnsi"/>
          <w:bCs/>
          <w:iCs/>
          <w:caps/>
          <w:spacing w:val="-10"/>
          <w:kern w:val="28"/>
          <w:sz w:val="38"/>
          <w:szCs w:val="24"/>
        </w:rPr>
        <w:lastRenderedPageBreak/>
        <w:t>ANNEX E: Performance Assessment Framework RESULTS for the period 2018/19</w:t>
      </w:r>
    </w:p>
    <w:p w:rsidR="00130FC7" w:rsidRDefault="00130FC7" w:rsidP="00130FC7">
      <w:pPr>
        <w:rPr>
          <w:b/>
        </w:rPr>
      </w:pPr>
      <w:r w:rsidRPr="00BA4790">
        <w:rPr>
          <w:b/>
        </w:rPr>
        <w:t>Objective 1: Improving access to essential infrastructure</w:t>
      </w:r>
    </w:p>
    <w:tbl>
      <w:tblPr>
        <w:tblW w:w="5000" w:type="pct"/>
        <w:tblLook w:val="04A0" w:firstRow="1" w:lastRow="0" w:firstColumn="1" w:lastColumn="0" w:noHBand="0" w:noVBand="1"/>
      </w:tblPr>
      <w:tblGrid>
        <w:gridCol w:w="3412"/>
        <w:gridCol w:w="4508"/>
        <w:gridCol w:w="2057"/>
        <w:gridCol w:w="1789"/>
        <w:gridCol w:w="2694"/>
      </w:tblGrid>
      <w:tr w:rsidR="00130FC7" w:rsidRPr="00BA4790" w:rsidTr="00246081">
        <w:trPr>
          <w:tblHeader/>
        </w:trPr>
        <w:tc>
          <w:tcPr>
            <w:tcW w:w="3412" w:type="dxa"/>
            <w:tcBorders>
              <w:top w:val="single" w:sz="2" w:space="0" w:color="808080" w:themeColor="background1" w:themeShade="80"/>
              <w:bottom w:val="single" w:sz="4" w:space="0" w:color="808080" w:themeColor="background1" w:themeShade="80"/>
            </w:tcBorders>
          </w:tcPr>
          <w:p w:rsidR="00130FC7" w:rsidRPr="00BA4790" w:rsidRDefault="00130FC7" w:rsidP="00246081">
            <w:r w:rsidRPr="00BA4790">
              <w:br w:type="page"/>
            </w:r>
            <w:r w:rsidRPr="00BA4790">
              <w:br w:type="page"/>
            </w:r>
          </w:p>
        </w:tc>
        <w:tc>
          <w:tcPr>
            <w:tcW w:w="4508" w:type="dxa"/>
            <w:tcBorders>
              <w:top w:val="single" w:sz="2" w:space="0" w:color="808080" w:themeColor="background1" w:themeShade="80"/>
              <w:bottom w:val="single" w:sz="4" w:space="0" w:color="808080" w:themeColor="background1" w:themeShade="80"/>
            </w:tcBorders>
          </w:tcPr>
          <w:p w:rsidR="00130FC7" w:rsidRPr="00BA4790" w:rsidRDefault="00130FC7" w:rsidP="00246081">
            <w:r w:rsidRPr="00BA4790">
              <w:t xml:space="preserve">Indicator </w:t>
            </w:r>
          </w:p>
        </w:tc>
        <w:tc>
          <w:tcPr>
            <w:tcW w:w="2057" w:type="dxa"/>
            <w:tcBorders>
              <w:top w:val="single" w:sz="2" w:space="0" w:color="808080" w:themeColor="background1" w:themeShade="80"/>
              <w:bottom w:val="single" w:sz="4" w:space="0" w:color="808080" w:themeColor="background1" w:themeShade="80"/>
            </w:tcBorders>
          </w:tcPr>
          <w:p w:rsidR="00130FC7" w:rsidRPr="00BA4790" w:rsidRDefault="00130FC7" w:rsidP="00246081">
            <w:r>
              <w:t>2018/19</w:t>
            </w:r>
            <w:r w:rsidRPr="00BA4790">
              <w:t xml:space="preserve"> Targets</w:t>
            </w:r>
          </w:p>
        </w:tc>
        <w:tc>
          <w:tcPr>
            <w:tcW w:w="1789" w:type="dxa"/>
            <w:tcBorders>
              <w:top w:val="single" w:sz="2" w:space="0" w:color="808080" w:themeColor="background1" w:themeShade="80"/>
              <w:bottom w:val="single" w:sz="4" w:space="0" w:color="808080" w:themeColor="background1" w:themeShade="80"/>
            </w:tcBorders>
          </w:tcPr>
          <w:p w:rsidR="00130FC7" w:rsidRPr="00BA4790" w:rsidRDefault="00130FC7" w:rsidP="00246081">
            <w:r w:rsidRPr="003B26CC">
              <w:t>2018/19 Results</w:t>
            </w:r>
          </w:p>
        </w:tc>
        <w:tc>
          <w:tcPr>
            <w:tcW w:w="2694" w:type="dxa"/>
            <w:tcBorders>
              <w:top w:val="single" w:sz="2" w:space="0" w:color="808080" w:themeColor="background1" w:themeShade="80"/>
              <w:bottom w:val="single" w:sz="4" w:space="0" w:color="808080" w:themeColor="background1" w:themeShade="80"/>
            </w:tcBorders>
          </w:tcPr>
          <w:p w:rsidR="00130FC7" w:rsidRPr="00BA4790" w:rsidRDefault="00130FC7" w:rsidP="00246081">
            <w:r>
              <w:t>Remarks</w:t>
            </w:r>
          </w:p>
        </w:tc>
      </w:tr>
      <w:tr w:rsidR="00130FC7" w:rsidRPr="00C40362" w:rsidTr="00246081">
        <w:tc>
          <w:tcPr>
            <w:tcW w:w="3412" w:type="dxa"/>
            <w:tcBorders>
              <w:bottom w:val="single" w:sz="2" w:space="0" w:color="808080" w:themeColor="background1" w:themeShade="80"/>
            </w:tcBorders>
            <w:shd w:val="clear" w:color="auto" w:fill="D5EEE0" w:themeFill="accent6" w:themeFillTint="33"/>
          </w:tcPr>
          <w:p w:rsidR="00130FC7" w:rsidRPr="00BA4790" w:rsidRDefault="00130FC7" w:rsidP="00246081">
            <w:r w:rsidRPr="00BA4790">
              <w:t>1. Improvements in infrastructure and the economic environment</w:t>
            </w:r>
          </w:p>
        </w:tc>
        <w:tc>
          <w:tcPr>
            <w:tcW w:w="4508" w:type="dxa"/>
            <w:tcBorders>
              <w:bottom w:val="single" w:sz="2" w:space="0" w:color="808080" w:themeColor="background1" w:themeShade="80"/>
            </w:tcBorders>
            <w:shd w:val="clear" w:color="auto" w:fill="D5EEE0" w:themeFill="accent6" w:themeFillTint="33"/>
          </w:tcPr>
          <w:p w:rsidR="00130FC7" w:rsidRPr="00BA4790" w:rsidRDefault="00130FC7" w:rsidP="00246081">
            <w:r w:rsidRPr="00BA4790">
              <w:t>1. Number of people (women and men) that will directly benefit from a new committed household or business connection to electricity and/or piped, treated water</w:t>
            </w:r>
            <w:r w:rsidRPr="00BA4790" w:rsidDel="00E97AAD">
              <w:t xml:space="preserve"> </w:t>
            </w:r>
            <w:r w:rsidRPr="00056D20">
              <w:rPr>
                <w:b/>
                <w:bCs/>
              </w:rPr>
              <w:t>(AIP Benchmark)</w:t>
            </w:r>
          </w:p>
        </w:tc>
        <w:tc>
          <w:tcPr>
            <w:tcW w:w="2057" w:type="dxa"/>
            <w:tcBorders>
              <w:bottom w:val="single" w:sz="2" w:space="0" w:color="808080" w:themeColor="background1" w:themeShade="80"/>
            </w:tcBorders>
            <w:shd w:val="clear" w:color="auto" w:fill="D5EEE0" w:themeFill="accent6" w:themeFillTint="33"/>
          </w:tcPr>
          <w:p w:rsidR="00130FC7" w:rsidRPr="00BA4790" w:rsidRDefault="00130FC7" w:rsidP="00246081">
            <w:r>
              <w:t>441,</w:t>
            </w:r>
            <w:r w:rsidRPr="00EB2CAE">
              <w:t xml:space="preserve">531 </w:t>
            </w:r>
            <w:r>
              <w:t>p</w:t>
            </w:r>
            <w:r w:rsidRPr="00EB2CAE">
              <w:t>eople</w:t>
            </w:r>
          </w:p>
        </w:tc>
        <w:tc>
          <w:tcPr>
            <w:tcW w:w="1789" w:type="dxa"/>
            <w:tcBorders>
              <w:bottom w:val="single" w:sz="2" w:space="0" w:color="808080" w:themeColor="background1" w:themeShade="80"/>
            </w:tcBorders>
            <w:shd w:val="clear" w:color="auto" w:fill="D5EEE0" w:themeFill="accent6" w:themeFillTint="33"/>
          </w:tcPr>
          <w:p w:rsidR="00130FC7" w:rsidRPr="00C40362" w:rsidRDefault="00130FC7" w:rsidP="00246081">
            <w:r w:rsidRPr="006E455D">
              <w:t>382,500</w:t>
            </w:r>
            <w:r w:rsidRPr="004876A3">
              <w:t xml:space="preserve"> people</w:t>
            </w:r>
          </w:p>
        </w:tc>
        <w:tc>
          <w:tcPr>
            <w:tcW w:w="2694" w:type="dxa"/>
            <w:tcBorders>
              <w:bottom w:val="single" w:sz="2" w:space="0" w:color="808080" w:themeColor="background1" w:themeShade="80"/>
            </w:tcBorders>
            <w:shd w:val="clear" w:color="auto" w:fill="D5EEE0" w:themeFill="accent6" w:themeFillTint="33"/>
          </w:tcPr>
          <w:p w:rsidR="00130FC7" w:rsidRPr="00C40362" w:rsidRDefault="00130FC7" w:rsidP="00246081">
            <w:r>
              <w:t>Estimated reach based on 85,000 households to be connected</w:t>
            </w:r>
          </w:p>
        </w:tc>
      </w:tr>
      <w:tr w:rsidR="00130FC7" w:rsidRPr="00BA4790" w:rsidTr="00246081">
        <w:tc>
          <w:tcPr>
            <w:tcW w:w="3412" w:type="dxa"/>
            <w:tcBorders>
              <w:top w:val="single" w:sz="2" w:space="0" w:color="808080" w:themeColor="background1" w:themeShade="80"/>
              <w:bottom w:val="nil"/>
            </w:tcBorders>
            <w:shd w:val="clear" w:color="auto" w:fill="D5EEE0" w:themeFill="accent6" w:themeFillTint="33"/>
          </w:tcPr>
          <w:p w:rsidR="00130FC7" w:rsidRPr="00BA4790" w:rsidRDefault="00130FC7" w:rsidP="00246081">
            <w:r w:rsidRPr="00BA4790">
              <w:t>2.  Improved access to schools, health care facilities and other essential services in targeted rural areas</w:t>
            </w:r>
          </w:p>
        </w:tc>
        <w:tc>
          <w:tcPr>
            <w:tcW w:w="4508"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130FC7" w:rsidRPr="00BA4790" w:rsidRDefault="00130FC7" w:rsidP="00246081">
            <w:r w:rsidRPr="00BA4790">
              <w:t>2. Satisfactory progress is achieved on the implementation of civil works and ‘soft work’ packages in rural road rehabilitation efforts.</w:t>
            </w:r>
          </w:p>
        </w:tc>
        <w:tc>
          <w:tcPr>
            <w:tcW w:w="2057"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130FC7" w:rsidRPr="00BA4790" w:rsidRDefault="00130FC7" w:rsidP="00246081">
            <w:r>
              <w:t>Overall slippage of less than five per cent</w:t>
            </w:r>
          </w:p>
        </w:tc>
        <w:tc>
          <w:tcPr>
            <w:tcW w:w="1789"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130FC7" w:rsidRDefault="00130FC7" w:rsidP="00246081">
            <w:r>
              <w:t>Negative slippage of five per cent</w:t>
            </w:r>
            <w:r w:rsidRPr="00D7670D">
              <w:t xml:space="preserve"> </w:t>
            </w:r>
          </w:p>
        </w:tc>
        <w:tc>
          <w:tcPr>
            <w:tcW w:w="2694"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130FC7" w:rsidRPr="00BA4790" w:rsidRDefault="00130FC7" w:rsidP="00246081">
            <w:r>
              <w:t>As at m</w:t>
            </w:r>
            <w:r w:rsidRPr="00D7670D">
              <w:t>id-term review in December 2018</w:t>
            </w:r>
          </w:p>
        </w:tc>
      </w:tr>
      <w:tr w:rsidR="00130FC7" w:rsidRPr="00BA4790" w:rsidTr="00246081">
        <w:tc>
          <w:tcPr>
            <w:tcW w:w="3412" w:type="dxa"/>
            <w:tcBorders>
              <w:top w:val="nil"/>
              <w:bottom w:val="single" w:sz="2" w:space="0" w:color="808080" w:themeColor="background1" w:themeShade="80"/>
            </w:tcBorders>
            <w:shd w:val="clear" w:color="auto" w:fill="D5EEE0" w:themeFill="accent6" w:themeFillTint="33"/>
          </w:tcPr>
          <w:p w:rsidR="00130FC7" w:rsidRPr="00BA4790" w:rsidRDefault="00130FC7" w:rsidP="00246081"/>
        </w:tc>
        <w:tc>
          <w:tcPr>
            <w:tcW w:w="4508"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130FC7" w:rsidRPr="00BA4790" w:rsidRDefault="00130FC7" w:rsidP="00246081">
            <w:r w:rsidRPr="00BA4790">
              <w:t>3. Proportion of unskilled labour days on Australian-funded rural road rehabilitation works performed by women.</w:t>
            </w:r>
          </w:p>
        </w:tc>
        <w:tc>
          <w:tcPr>
            <w:tcW w:w="2057"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130FC7" w:rsidRPr="00BA4790" w:rsidRDefault="00130FC7" w:rsidP="00246081">
            <w:r>
              <w:t>20 per cent</w:t>
            </w:r>
          </w:p>
        </w:tc>
        <w:tc>
          <w:tcPr>
            <w:tcW w:w="1789"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130FC7" w:rsidRPr="00BA4790" w:rsidRDefault="00130FC7" w:rsidP="00246081">
            <w:r>
              <w:t>28 per cent</w:t>
            </w:r>
          </w:p>
        </w:tc>
        <w:tc>
          <w:tcPr>
            <w:tcW w:w="2694"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130FC7" w:rsidRPr="00BA4790" w:rsidRDefault="00130FC7" w:rsidP="00246081"/>
        </w:tc>
      </w:tr>
    </w:tbl>
    <w:p w:rsidR="00130FC7" w:rsidRDefault="00130FC7" w:rsidP="00130FC7">
      <w:pPr>
        <w:rPr>
          <w:b/>
        </w:rPr>
      </w:pPr>
    </w:p>
    <w:p w:rsidR="00130FC7" w:rsidRDefault="00130FC7" w:rsidP="00130FC7">
      <w:pPr>
        <w:rPr>
          <w:b/>
        </w:rPr>
      </w:pPr>
      <w:r w:rsidRPr="00DE1AB6">
        <w:rPr>
          <w:b/>
        </w:rPr>
        <w:t>Objective 2: Increasing agricultural productivity and farmer incomes</w:t>
      </w:r>
    </w:p>
    <w:tbl>
      <w:tblPr>
        <w:tblW w:w="5000" w:type="pct"/>
        <w:tblLook w:val="04A0" w:firstRow="1" w:lastRow="0" w:firstColumn="1" w:lastColumn="0" w:noHBand="0" w:noVBand="1"/>
      </w:tblPr>
      <w:tblGrid>
        <w:gridCol w:w="3339"/>
        <w:gridCol w:w="4290"/>
        <w:gridCol w:w="2116"/>
        <w:gridCol w:w="2270"/>
        <w:gridCol w:w="2445"/>
      </w:tblGrid>
      <w:tr w:rsidR="00130FC7" w:rsidRPr="00BA4790" w:rsidTr="00246081">
        <w:tc>
          <w:tcPr>
            <w:tcW w:w="3339" w:type="dxa"/>
            <w:tcBorders>
              <w:bottom w:val="single" w:sz="4" w:space="0" w:color="auto"/>
            </w:tcBorders>
            <w:shd w:val="clear" w:color="auto" w:fill="D7DEE2" w:themeFill="text2" w:themeFillTint="33"/>
          </w:tcPr>
          <w:p w:rsidR="00130FC7" w:rsidRPr="00BA4790" w:rsidRDefault="00130FC7" w:rsidP="00246081">
            <w:r w:rsidRPr="00BA4790">
              <w:br w:type="page"/>
            </w:r>
            <w:r w:rsidRPr="00BA4790">
              <w:br w:type="page"/>
            </w:r>
          </w:p>
        </w:tc>
        <w:tc>
          <w:tcPr>
            <w:tcW w:w="4290" w:type="dxa"/>
            <w:tcBorders>
              <w:bottom w:val="single" w:sz="4" w:space="0" w:color="auto"/>
            </w:tcBorders>
            <w:shd w:val="clear" w:color="auto" w:fill="D7DEE2" w:themeFill="text2" w:themeFillTint="33"/>
          </w:tcPr>
          <w:p w:rsidR="00130FC7" w:rsidRPr="00BA4790" w:rsidRDefault="00130FC7" w:rsidP="00246081">
            <w:r w:rsidRPr="00BA4790">
              <w:t xml:space="preserve">Indicator </w:t>
            </w:r>
          </w:p>
        </w:tc>
        <w:tc>
          <w:tcPr>
            <w:tcW w:w="2116" w:type="dxa"/>
            <w:tcBorders>
              <w:bottom w:val="single" w:sz="4" w:space="0" w:color="auto"/>
            </w:tcBorders>
            <w:shd w:val="clear" w:color="auto" w:fill="D7DEE2" w:themeFill="text2" w:themeFillTint="33"/>
          </w:tcPr>
          <w:p w:rsidR="00130FC7" w:rsidRPr="00BA4790" w:rsidRDefault="00130FC7" w:rsidP="00246081">
            <w:r>
              <w:t>2018/19</w:t>
            </w:r>
            <w:r w:rsidRPr="00BA4790">
              <w:t xml:space="preserve"> Targets</w:t>
            </w:r>
          </w:p>
        </w:tc>
        <w:tc>
          <w:tcPr>
            <w:tcW w:w="2270" w:type="dxa"/>
            <w:tcBorders>
              <w:bottom w:val="single" w:sz="4" w:space="0" w:color="auto"/>
            </w:tcBorders>
            <w:shd w:val="clear" w:color="auto" w:fill="D7DEE2" w:themeFill="text2" w:themeFillTint="33"/>
          </w:tcPr>
          <w:p w:rsidR="00130FC7" w:rsidRDefault="00130FC7" w:rsidP="00246081">
            <w:r w:rsidRPr="003B26CC">
              <w:t>2018/19 Results</w:t>
            </w:r>
          </w:p>
        </w:tc>
        <w:tc>
          <w:tcPr>
            <w:tcW w:w="2445" w:type="dxa"/>
            <w:tcBorders>
              <w:bottom w:val="single" w:sz="4" w:space="0" w:color="auto"/>
            </w:tcBorders>
            <w:shd w:val="clear" w:color="auto" w:fill="D7DEE2" w:themeFill="text2" w:themeFillTint="33"/>
          </w:tcPr>
          <w:p w:rsidR="00130FC7" w:rsidRPr="00BA4790" w:rsidRDefault="00130FC7" w:rsidP="00246081">
            <w:r>
              <w:t>Remarks</w:t>
            </w:r>
          </w:p>
        </w:tc>
      </w:tr>
      <w:tr w:rsidR="00130FC7" w:rsidRPr="00BA4790" w:rsidTr="00246081">
        <w:tc>
          <w:tcPr>
            <w:tcW w:w="3339" w:type="dxa"/>
            <w:tcBorders>
              <w:top w:val="single" w:sz="4" w:space="0" w:color="auto"/>
            </w:tcBorders>
            <w:shd w:val="clear" w:color="auto" w:fill="EEF5E7" w:themeFill="accent3" w:themeFillTint="33"/>
            <w:vAlign w:val="center"/>
          </w:tcPr>
          <w:p w:rsidR="00130FC7" w:rsidRPr="00BA4790" w:rsidRDefault="00130FC7" w:rsidP="00246081">
            <w:r w:rsidRPr="002D083F">
              <w:t>3.  Farming households have knowledge of and apply improved farming practices</w:t>
            </w:r>
          </w:p>
        </w:tc>
        <w:tc>
          <w:tcPr>
            <w:tcW w:w="4290" w:type="dxa"/>
            <w:tcBorders>
              <w:top w:val="single" w:sz="4" w:space="0" w:color="auto"/>
              <w:bottom w:val="single" w:sz="4" w:space="0" w:color="auto"/>
            </w:tcBorders>
            <w:shd w:val="clear" w:color="auto" w:fill="EEF5E7" w:themeFill="accent3" w:themeFillTint="33"/>
          </w:tcPr>
          <w:p w:rsidR="00130FC7" w:rsidRPr="00BA4790" w:rsidRDefault="00130FC7" w:rsidP="00246081">
            <w:r w:rsidRPr="00BA4790">
              <w:t>4. Number of farming households that have changed farming practices due to DFAT interventions</w:t>
            </w:r>
          </w:p>
        </w:tc>
        <w:tc>
          <w:tcPr>
            <w:tcW w:w="2116" w:type="dxa"/>
            <w:tcBorders>
              <w:top w:val="single" w:sz="4" w:space="0" w:color="auto"/>
              <w:bottom w:val="single" w:sz="4" w:space="0" w:color="auto"/>
            </w:tcBorders>
            <w:shd w:val="clear" w:color="auto" w:fill="EEF5E7" w:themeFill="accent3" w:themeFillTint="33"/>
          </w:tcPr>
          <w:p w:rsidR="00130FC7" w:rsidRPr="00DC728B" w:rsidRDefault="00130FC7" w:rsidP="00246081">
            <w:r w:rsidRPr="000D7BA4">
              <w:t>23,280 households</w:t>
            </w:r>
          </w:p>
        </w:tc>
        <w:tc>
          <w:tcPr>
            <w:tcW w:w="2270" w:type="dxa"/>
            <w:tcBorders>
              <w:top w:val="single" w:sz="4" w:space="0" w:color="auto"/>
              <w:bottom w:val="single" w:sz="4" w:space="0" w:color="auto"/>
            </w:tcBorders>
            <w:shd w:val="clear" w:color="auto" w:fill="EEF5E7" w:themeFill="accent3" w:themeFillTint="33"/>
          </w:tcPr>
          <w:p w:rsidR="00130FC7" w:rsidRPr="00DC728B" w:rsidRDefault="00130FC7" w:rsidP="00246081">
            <w:r>
              <w:t>25,194 households</w:t>
            </w:r>
          </w:p>
        </w:tc>
        <w:tc>
          <w:tcPr>
            <w:tcW w:w="2445" w:type="dxa"/>
            <w:tcBorders>
              <w:top w:val="single" w:sz="4" w:space="0" w:color="auto"/>
              <w:bottom w:val="single" w:sz="4" w:space="0" w:color="auto"/>
            </w:tcBorders>
            <w:shd w:val="clear" w:color="auto" w:fill="EEF5E7" w:themeFill="accent3" w:themeFillTint="33"/>
          </w:tcPr>
          <w:p w:rsidR="00130FC7" w:rsidRPr="00DC728B" w:rsidRDefault="00130FC7" w:rsidP="00246081">
            <w:r>
              <w:t>Includes through market systems approach and irrigation schemes</w:t>
            </w:r>
          </w:p>
        </w:tc>
      </w:tr>
      <w:tr w:rsidR="00130FC7" w:rsidRPr="00BA4790" w:rsidTr="00246081">
        <w:tc>
          <w:tcPr>
            <w:tcW w:w="3339" w:type="dxa"/>
            <w:tcBorders>
              <w:bottom w:val="single" w:sz="4" w:space="0" w:color="auto"/>
            </w:tcBorders>
            <w:shd w:val="clear" w:color="auto" w:fill="EEF5E7" w:themeFill="accent3" w:themeFillTint="33"/>
            <w:vAlign w:val="center"/>
          </w:tcPr>
          <w:p w:rsidR="00130FC7" w:rsidRPr="00BA4790" w:rsidRDefault="00130FC7" w:rsidP="00246081"/>
        </w:tc>
        <w:tc>
          <w:tcPr>
            <w:tcW w:w="4290" w:type="dxa"/>
            <w:tcBorders>
              <w:top w:val="single" w:sz="4" w:space="0" w:color="auto"/>
              <w:bottom w:val="single" w:sz="4" w:space="0" w:color="auto"/>
            </w:tcBorders>
            <w:shd w:val="clear" w:color="auto" w:fill="EEF5E7" w:themeFill="accent3" w:themeFillTint="33"/>
          </w:tcPr>
          <w:p w:rsidR="00130FC7" w:rsidRPr="00BA4790" w:rsidRDefault="00130FC7" w:rsidP="00246081">
            <w:r w:rsidRPr="00BA4790">
              <w:t xml:space="preserve">5. Additional production per year as a result of DFAT-supported irrigation schemes </w:t>
            </w:r>
            <w:r w:rsidRPr="00BA4790">
              <w:rPr>
                <w:b/>
              </w:rPr>
              <w:t>(AIP Benchmark)</w:t>
            </w:r>
          </w:p>
        </w:tc>
        <w:tc>
          <w:tcPr>
            <w:tcW w:w="2116" w:type="dxa"/>
            <w:tcBorders>
              <w:top w:val="single" w:sz="4" w:space="0" w:color="auto"/>
              <w:bottom w:val="single" w:sz="4" w:space="0" w:color="auto"/>
            </w:tcBorders>
            <w:shd w:val="clear" w:color="auto" w:fill="EEF5E7" w:themeFill="accent3" w:themeFillTint="33"/>
          </w:tcPr>
          <w:p w:rsidR="00130FC7" w:rsidRPr="00BA4790" w:rsidRDefault="00130FC7" w:rsidP="00246081">
            <w:r w:rsidRPr="000D7BA4">
              <w:t>30,000 ton</w:t>
            </w:r>
            <w:r>
              <w:t>nes</w:t>
            </w:r>
          </w:p>
        </w:tc>
        <w:tc>
          <w:tcPr>
            <w:tcW w:w="2270" w:type="dxa"/>
            <w:tcBorders>
              <w:top w:val="single" w:sz="4" w:space="0" w:color="auto"/>
              <w:bottom w:val="single" w:sz="4" w:space="0" w:color="auto"/>
            </w:tcBorders>
            <w:shd w:val="clear" w:color="auto" w:fill="EEF5E7" w:themeFill="accent3" w:themeFillTint="33"/>
          </w:tcPr>
          <w:p w:rsidR="00130FC7" w:rsidRPr="00DC728B" w:rsidRDefault="00130FC7" w:rsidP="00246081">
            <w:r w:rsidRPr="00D7670D">
              <w:t>123,796 tonne</w:t>
            </w:r>
            <w:r>
              <w:t>s</w:t>
            </w:r>
          </w:p>
        </w:tc>
        <w:tc>
          <w:tcPr>
            <w:tcW w:w="2445" w:type="dxa"/>
            <w:tcBorders>
              <w:top w:val="single" w:sz="4" w:space="0" w:color="auto"/>
              <w:bottom w:val="single" w:sz="4" w:space="0" w:color="auto"/>
            </w:tcBorders>
            <w:shd w:val="clear" w:color="auto" w:fill="EEF5E7" w:themeFill="accent3" w:themeFillTint="33"/>
          </w:tcPr>
          <w:p w:rsidR="00130FC7" w:rsidRPr="00DC728B" w:rsidRDefault="00130FC7" w:rsidP="00246081"/>
        </w:tc>
      </w:tr>
      <w:tr w:rsidR="00130FC7" w:rsidRPr="00BA4790" w:rsidTr="00246081">
        <w:tc>
          <w:tcPr>
            <w:tcW w:w="3339" w:type="dxa"/>
            <w:tcBorders>
              <w:top w:val="single" w:sz="4" w:space="0" w:color="auto"/>
              <w:bottom w:val="single" w:sz="4" w:space="0" w:color="auto"/>
            </w:tcBorders>
            <w:shd w:val="clear" w:color="auto" w:fill="EEF5E7" w:themeFill="accent3" w:themeFillTint="33"/>
            <w:vAlign w:val="center"/>
          </w:tcPr>
          <w:p w:rsidR="00130FC7" w:rsidRPr="00BA4790" w:rsidRDefault="00130FC7" w:rsidP="00246081">
            <w:r w:rsidRPr="00BA4790">
              <w:lastRenderedPageBreak/>
              <w:t>4. Farming households have improved access to quality agricultural inputs</w:t>
            </w:r>
          </w:p>
        </w:tc>
        <w:tc>
          <w:tcPr>
            <w:tcW w:w="4290" w:type="dxa"/>
            <w:tcBorders>
              <w:top w:val="single" w:sz="4" w:space="0" w:color="auto"/>
              <w:bottom w:val="single" w:sz="4" w:space="0" w:color="auto"/>
            </w:tcBorders>
            <w:shd w:val="clear" w:color="auto" w:fill="EEF5E7" w:themeFill="accent3" w:themeFillTint="33"/>
          </w:tcPr>
          <w:p w:rsidR="00130FC7" w:rsidRPr="00BA4790" w:rsidRDefault="00130FC7" w:rsidP="00246081">
            <w:r w:rsidRPr="00BA4790">
              <w:t xml:space="preserve">6. Number of farming households that gain access to sustainable irrigation </w:t>
            </w:r>
          </w:p>
        </w:tc>
        <w:tc>
          <w:tcPr>
            <w:tcW w:w="2116" w:type="dxa"/>
            <w:tcBorders>
              <w:top w:val="single" w:sz="4" w:space="0" w:color="auto"/>
              <w:bottom w:val="single" w:sz="4" w:space="0" w:color="auto"/>
            </w:tcBorders>
            <w:shd w:val="clear" w:color="auto" w:fill="EEF5E7" w:themeFill="accent3" w:themeFillTint="33"/>
          </w:tcPr>
          <w:p w:rsidR="00130FC7" w:rsidRPr="00BA4790" w:rsidRDefault="00130FC7" w:rsidP="00246081">
            <w:r w:rsidRPr="000D7BA4">
              <w:t>10,666 households</w:t>
            </w:r>
          </w:p>
        </w:tc>
        <w:tc>
          <w:tcPr>
            <w:tcW w:w="2270" w:type="dxa"/>
            <w:tcBorders>
              <w:top w:val="single" w:sz="4" w:space="0" w:color="auto"/>
              <w:bottom w:val="single" w:sz="4" w:space="0" w:color="auto"/>
            </w:tcBorders>
            <w:shd w:val="clear" w:color="auto" w:fill="EEF5E7" w:themeFill="accent3" w:themeFillTint="33"/>
          </w:tcPr>
          <w:p w:rsidR="00130FC7" w:rsidRDefault="00130FC7" w:rsidP="00246081">
            <w:r w:rsidRPr="005A2E4C">
              <w:t>10,313 households</w:t>
            </w:r>
          </w:p>
        </w:tc>
        <w:tc>
          <w:tcPr>
            <w:tcW w:w="2445" w:type="dxa"/>
            <w:tcBorders>
              <w:top w:val="single" w:sz="4" w:space="0" w:color="auto"/>
              <w:bottom w:val="single" w:sz="4" w:space="0" w:color="auto"/>
            </w:tcBorders>
            <w:shd w:val="clear" w:color="auto" w:fill="EEF5E7" w:themeFill="accent3" w:themeFillTint="33"/>
          </w:tcPr>
          <w:p w:rsidR="00130FC7" w:rsidRPr="00BA4790" w:rsidRDefault="00130FC7" w:rsidP="00246081"/>
        </w:tc>
      </w:tr>
      <w:tr w:rsidR="00130FC7" w:rsidRPr="00BA4790" w:rsidTr="00246081">
        <w:tc>
          <w:tcPr>
            <w:tcW w:w="3339" w:type="dxa"/>
            <w:tcBorders>
              <w:top w:val="single" w:sz="4" w:space="0" w:color="auto"/>
              <w:bottom w:val="single" w:sz="4" w:space="0" w:color="auto"/>
            </w:tcBorders>
            <w:shd w:val="clear" w:color="auto" w:fill="EEF5E7" w:themeFill="accent3" w:themeFillTint="33"/>
            <w:vAlign w:val="center"/>
          </w:tcPr>
          <w:p w:rsidR="00130FC7" w:rsidRPr="00BA4790" w:rsidRDefault="00130FC7" w:rsidP="00246081">
            <w:r w:rsidRPr="00BA4790">
              <w:t>5. More land available for productive use</w:t>
            </w:r>
          </w:p>
        </w:tc>
        <w:tc>
          <w:tcPr>
            <w:tcW w:w="4290" w:type="dxa"/>
            <w:tcBorders>
              <w:top w:val="single" w:sz="4" w:space="0" w:color="auto"/>
              <w:bottom w:val="single" w:sz="4" w:space="0" w:color="auto"/>
            </w:tcBorders>
            <w:shd w:val="clear" w:color="auto" w:fill="EEF5E7" w:themeFill="accent3" w:themeFillTint="33"/>
          </w:tcPr>
          <w:p w:rsidR="00130FC7" w:rsidRPr="00BA4790" w:rsidRDefault="00130FC7" w:rsidP="00246081">
            <w:pPr>
              <w:rPr>
                <w:b/>
              </w:rPr>
            </w:pPr>
            <w:r w:rsidRPr="00BA4790">
              <w:t xml:space="preserve">7. Land contaminated by landmines and other ERW released for productive use </w:t>
            </w:r>
            <w:r w:rsidRPr="00BA4790">
              <w:rPr>
                <w:b/>
              </w:rPr>
              <w:t>(AIP Benchmark)</w:t>
            </w:r>
          </w:p>
        </w:tc>
        <w:tc>
          <w:tcPr>
            <w:tcW w:w="2116" w:type="dxa"/>
            <w:tcBorders>
              <w:top w:val="single" w:sz="4" w:space="0" w:color="auto"/>
              <w:bottom w:val="single" w:sz="4" w:space="0" w:color="auto"/>
            </w:tcBorders>
            <w:shd w:val="clear" w:color="auto" w:fill="EEF5E7" w:themeFill="accent3" w:themeFillTint="33"/>
          </w:tcPr>
          <w:p w:rsidR="00130FC7" w:rsidRPr="00D876E3" w:rsidRDefault="00130FC7" w:rsidP="00246081">
            <w:pPr>
              <w:rPr>
                <w:vertAlign w:val="superscript"/>
              </w:rPr>
            </w:pPr>
            <w:r>
              <w:t>6.67 km</w:t>
            </w:r>
            <w:r>
              <w:rPr>
                <w:vertAlign w:val="superscript"/>
              </w:rPr>
              <w:t>2</w:t>
            </w:r>
          </w:p>
        </w:tc>
        <w:tc>
          <w:tcPr>
            <w:tcW w:w="2270" w:type="dxa"/>
            <w:tcBorders>
              <w:top w:val="single" w:sz="4" w:space="0" w:color="auto"/>
              <w:bottom w:val="single" w:sz="4" w:space="0" w:color="auto"/>
            </w:tcBorders>
            <w:shd w:val="clear" w:color="auto" w:fill="EEF5E7" w:themeFill="accent3" w:themeFillTint="33"/>
          </w:tcPr>
          <w:p w:rsidR="00130FC7" w:rsidRPr="00C40362" w:rsidRDefault="00130FC7" w:rsidP="00246081">
            <w:r w:rsidRPr="005A2E4C">
              <w:t>12.47 km</w:t>
            </w:r>
            <w:r w:rsidRPr="005A2E4C">
              <w:rPr>
                <w:vertAlign w:val="superscript"/>
              </w:rPr>
              <w:t>2</w:t>
            </w:r>
          </w:p>
        </w:tc>
        <w:tc>
          <w:tcPr>
            <w:tcW w:w="2445" w:type="dxa"/>
            <w:tcBorders>
              <w:top w:val="single" w:sz="4" w:space="0" w:color="auto"/>
              <w:bottom w:val="single" w:sz="4" w:space="0" w:color="auto"/>
            </w:tcBorders>
            <w:shd w:val="clear" w:color="auto" w:fill="EEF5E7" w:themeFill="accent3" w:themeFillTint="33"/>
          </w:tcPr>
          <w:p w:rsidR="00130FC7" w:rsidRPr="00C40362" w:rsidRDefault="00130FC7" w:rsidP="00246081">
            <w:pPr>
              <w:spacing w:before="60" w:after="20"/>
            </w:pPr>
            <w:r>
              <w:t>From clearance. An additional 4.74km was released through non-technical survey</w:t>
            </w:r>
          </w:p>
        </w:tc>
      </w:tr>
    </w:tbl>
    <w:p w:rsidR="00130FC7" w:rsidRPr="00BA4790" w:rsidRDefault="00130FC7" w:rsidP="00130FC7">
      <w:pPr>
        <w:rPr>
          <w:b/>
        </w:rPr>
      </w:pPr>
      <w:r w:rsidRPr="00BA4790">
        <w:rPr>
          <w:b/>
        </w:rPr>
        <w:t>Objective 3: Better health and education outcomes</w:t>
      </w:r>
    </w:p>
    <w:tbl>
      <w:tblPr>
        <w:tblW w:w="5000" w:type="pct"/>
        <w:tblLook w:val="04A0" w:firstRow="1" w:lastRow="0" w:firstColumn="1" w:lastColumn="0" w:noHBand="0" w:noVBand="1"/>
      </w:tblPr>
      <w:tblGrid>
        <w:gridCol w:w="3517"/>
        <w:gridCol w:w="3996"/>
        <w:gridCol w:w="1985"/>
        <w:gridCol w:w="1984"/>
        <w:gridCol w:w="2978"/>
      </w:tblGrid>
      <w:tr w:rsidR="00130FC7" w:rsidRPr="00BA4790" w:rsidTr="00246081">
        <w:tc>
          <w:tcPr>
            <w:tcW w:w="3517"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130FC7" w:rsidRPr="00BA4790" w:rsidRDefault="00130FC7" w:rsidP="00246081">
            <w:r w:rsidRPr="00BA4790">
              <w:br w:type="page"/>
            </w:r>
            <w:r w:rsidRPr="00BA4790">
              <w:br w:type="page"/>
            </w:r>
          </w:p>
        </w:tc>
        <w:tc>
          <w:tcPr>
            <w:tcW w:w="3996" w:type="dxa"/>
            <w:tcBorders>
              <w:top w:val="single" w:sz="2" w:space="0" w:color="808080" w:themeColor="background1" w:themeShade="80"/>
              <w:bottom w:val="single" w:sz="4" w:space="0" w:color="808080" w:themeColor="background1" w:themeShade="80"/>
            </w:tcBorders>
            <w:shd w:val="clear" w:color="auto" w:fill="D7DEE2"/>
          </w:tcPr>
          <w:p w:rsidR="00130FC7" w:rsidRPr="00BA4790" w:rsidRDefault="00130FC7" w:rsidP="00246081">
            <w:r w:rsidRPr="00BA4790">
              <w:t xml:space="preserve">Indicator </w:t>
            </w:r>
          </w:p>
        </w:tc>
        <w:tc>
          <w:tcPr>
            <w:tcW w:w="1985"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130FC7" w:rsidRPr="00BA4790" w:rsidRDefault="00130FC7" w:rsidP="00246081">
            <w:r>
              <w:t>2018/19</w:t>
            </w:r>
            <w:r w:rsidRPr="00BA4790">
              <w:t xml:space="preserve"> Targets</w:t>
            </w:r>
          </w:p>
        </w:tc>
        <w:tc>
          <w:tcPr>
            <w:tcW w:w="1984"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130FC7" w:rsidRDefault="00130FC7" w:rsidP="00246081">
            <w:r w:rsidRPr="003B26CC">
              <w:t>2018/19 Results</w:t>
            </w:r>
          </w:p>
        </w:tc>
        <w:tc>
          <w:tcPr>
            <w:tcW w:w="2978"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130FC7" w:rsidRPr="00BA4790" w:rsidRDefault="00130FC7" w:rsidP="00246081">
            <w:r>
              <w:t>Remarks</w:t>
            </w:r>
          </w:p>
        </w:tc>
      </w:tr>
      <w:tr w:rsidR="00130FC7" w:rsidRPr="00BA4790" w:rsidTr="00246081">
        <w:tc>
          <w:tcPr>
            <w:tcW w:w="3517" w:type="dxa"/>
            <w:tcBorders>
              <w:top w:val="single" w:sz="4" w:space="0" w:color="808080" w:themeColor="background1" w:themeShade="80"/>
              <w:bottom w:val="nil"/>
            </w:tcBorders>
            <w:shd w:val="clear" w:color="auto" w:fill="F2F2F2" w:themeFill="background1" w:themeFillShade="F2"/>
          </w:tcPr>
          <w:p w:rsidR="00130FC7" w:rsidRPr="00BA4790" w:rsidRDefault="00130FC7" w:rsidP="00246081">
            <w:r w:rsidRPr="00BA4790">
              <w:t>6.  Increased access to quality health services for the poor, women and children</w:t>
            </w:r>
          </w:p>
        </w:tc>
        <w:tc>
          <w:tcPr>
            <w:tcW w:w="3996" w:type="dxa"/>
            <w:tcBorders>
              <w:top w:val="single" w:sz="4" w:space="0" w:color="808080" w:themeColor="background1" w:themeShade="80"/>
              <w:bottom w:val="single" w:sz="4" w:space="0" w:color="auto"/>
            </w:tcBorders>
            <w:shd w:val="clear" w:color="auto" w:fill="F2F2F2" w:themeFill="background1" w:themeFillShade="F2"/>
          </w:tcPr>
          <w:p w:rsidR="00130FC7" w:rsidRPr="00BA4790" w:rsidRDefault="00130FC7" w:rsidP="00246081">
            <w:r w:rsidRPr="00BA4790">
              <w:t xml:space="preserve">8. Number of health facilities exceeding 60 per cent score on the quality assessment of health facilities tool </w:t>
            </w:r>
            <w:r w:rsidRPr="00BA4790">
              <w:rPr>
                <w:b/>
              </w:rPr>
              <w:t>(AIP Benchmark)</w:t>
            </w:r>
          </w:p>
        </w:tc>
        <w:tc>
          <w:tcPr>
            <w:tcW w:w="1985" w:type="dxa"/>
            <w:tcBorders>
              <w:top w:val="single" w:sz="4" w:space="0" w:color="808080" w:themeColor="background1" w:themeShade="80"/>
              <w:bottom w:val="single" w:sz="4" w:space="0" w:color="auto"/>
            </w:tcBorders>
            <w:shd w:val="clear" w:color="auto" w:fill="F2F2F2" w:themeFill="background1" w:themeFillShade="F2"/>
          </w:tcPr>
          <w:p w:rsidR="00130FC7" w:rsidRPr="00BA4790" w:rsidRDefault="00130FC7" w:rsidP="00246081">
            <w:r w:rsidRPr="00B47DA7">
              <w:t>30 per cent</w:t>
            </w:r>
            <w:r>
              <w:t xml:space="preserve"> </w:t>
            </w:r>
          </w:p>
        </w:tc>
        <w:tc>
          <w:tcPr>
            <w:tcW w:w="1984" w:type="dxa"/>
            <w:tcBorders>
              <w:top w:val="single" w:sz="4" w:space="0" w:color="808080" w:themeColor="background1" w:themeShade="80"/>
              <w:bottom w:val="single" w:sz="4" w:space="0" w:color="auto"/>
            </w:tcBorders>
            <w:shd w:val="clear" w:color="auto" w:fill="F2F2F2" w:themeFill="background1" w:themeFillShade="F2"/>
          </w:tcPr>
          <w:p w:rsidR="00130FC7" w:rsidRPr="00BA4790" w:rsidRDefault="00130FC7" w:rsidP="00246081">
            <w:r>
              <w:t>88 per cent</w:t>
            </w:r>
          </w:p>
        </w:tc>
        <w:tc>
          <w:tcPr>
            <w:tcW w:w="2978" w:type="dxa"/>
            <w:tcBorders>
              <w:top w:val="single" w:sz="4" w:space="0" w:color="808080" w:themeColor="background1" w:themeShade="80"/>
              <w:bottom w:val="single" w:sz="4" w:space="0" w:color="auto"/>
            </w:tcBorders>
            <w:shd w:val="clear" w:color="auto" w:fill="F2F2F2" w:themeFill="background1" w:themeFillShade="F2"/>
          </w:tcPr>
          <w:p w:rsidR="00130FC7" w:rsidRPr="00BA4790" w:rsidRDefault="00130FC7" w:rsidP="00246081"/>
        </w:tc>
      </w:tr>
      <w:tr w:rsidR="00130FC7" w:rsidRPr="00BA4790" w:rsidTr="00246081">
        <w:tc>
          <w:tcPr>
            <w:tcW w:w="3517" w:type="dxa"/>
            <w:tcBorders>
              <w:top w:val="nil"/>
              <w:bottom w:val="nil"/>
            </w:tcBorders>
            <w:shd w:val="clear" w:color="auto" w:fill="F2F2F2" w:themeFill="background1" w:themeFillShade="F2"/>
          </w:tcPr>
          <w:p w:rsidR="00130FC7" w:rsidRPr="00BA4790" w:rsidRDefault="00130FC7" w:rsidP="00246081"/>
        </w:tc>
        <w:tc>
          <w:tcPr>
            <w:tcW w:w="3996" w:type="dxa"/>
            <w:tcBorders>
              <w:top w:val="single" w:sz="4" w:space="0" w:color="auto"/>
              <w:bottom w:val="single" w:sz="4" w:space="0" w:color="auto"/>
            </w:tcBorders>
            <w:shd w:val="clear" w:color="auto" w:fill="F2F2F2" w:themeFill="background1" w:themeFillShade="F2"/>
          </w:tcPr>
          <w:p w:rsidR="00130FC7" w:rsidRPr="009F56D6" w:rsidRDefault="00130FC7" w:rsidP="00246081">
            <w:r w:rsidRPr="00BA4790">
              <w:t xml:space="preserve">9. </w:t>
            </w:r>
            <w:r w:rsidRPr="009F56D6">
              <w:t xml:space="preserve">Number of outpatient </w:t>
            </w:r>
            <w:r>
              <w:t xml:space="preserve">and inpatient </w:t>
            </w:r>
            <w:r w:rsidRPr="009F56D6">
              <w:t>services (episode</w:t>
            </w:r>
            <w:r>
              <w:t>s</w:t>
            </w:r>
            <w:r w:rsidRPr="009F56D6">
              <w:t xml:space="preserve">) covered by Health Equity Fund </w:t>
            </w:r>
          </w:p>
          <w:p w:rsidR="00130FC7" w:rsidRPr="00BA4790" w:rsidRDefault="00130FC7" w:rsidP="00246081"/>
        </w:tc>
        <w:tc>
          <w:tcPr>
            <w:tcW w:w="1985" w:type="dxa"/>
            <w:tcBorders>
              <w:top w:val="single" w:sz="4" w:space="0" w:color="auto"/>
              <w:bottom w:val="single" w:sz="4" w:space="0" w:color="auto"/>
            </w:tcBorders>
            <w:shd w:val="clear" w:color="auto" w:fill="F2F2F2" w:themeFill="background1" w:themeFillShade="F2"/>
          </w:tcPr>
          <w:p w:rsidR="00130FC7" w:rsidRPr="00BA4790" w:rsidRDefault="00130FC7" w:rsidP="00246081">
            <w:r>
              <w:t>2,800,000 cases</w:t>
            </w:r>
          </w:p>
        </w:tc>
        <w:tc>
          <w:tcPr>
            <w:tcW w:w="1984" w:type="dxa"/>
            <w:tcBorders>
              <w:top w:val="single" w:sz="4" w:space="0" w:color="auto"/>
              <w:bottom w:val="single" w:sz="4" w:space="0" w:color="auto"/>
            </w:tcBorders>
            <w:shd w:val="clear" w:color="auto" w:fill="F2F2F2" w:themeFill="background1" w:themeFillShade="F2"/>
          </w:tcPr>
          <w:p w:rsidR="00130FC7" w:rsidRPr="009F56D6" w:rsidRDefault="00130FC7" w:rsidP="00246081">
            <w:r w:rsidRPr="005A2E4C">
              <w:t>2,810,697</w:t>
            </w:r>
            <w:r>
              <w:t xml:space="preserve"> cases</w:t>
            </w:r>
          </w:p>
        </w:tc>
        <w:tc>
          <w:tcPr>
            <w:tcW w:w="2978" w:type="dxa"/>
            <w:tcBorders>
              <w:top w:val="single" w:sz="4" w:space="0" w:color="auto"/>
              <w:bottom w:val="single" w:sz="4" w:space="0" w:color="auto"/>
            </w:tcBorders>
            <w:shd w:val="clear" w:color="auto" w:fill="F2F2F2" w:themeFill="background1" w:themeFillShade="F2"/>
          </w:tcPr>
          <w:p w:rsidR="00130FC7" w:rsidRPr="00BA4790" w:rsidRDefault="00130FC7" w:rsidP="00246081"/>
        </w:tc>
      </w:tr>
      <w:tr w:rsidR="00130FC7" w:rsidRPr="00BA4790" w:rsidTr="00246081">
        <w:tc>
          <w:tcPr>
            <w:tcW w:w="3517" w:type="dxa"/>
            <w:tcBorders>
              <w:top w:val="nil"/>
            </w:tcBorders>
            <w:shd w:val="clear" w:color="auto" w:fill="F2F2F2" w:themeFill="background1" w:themeFillShade="F2"/>
          </w:tcPr>
          <w:p w:rsidR="00130FC7" w:rsidRPr="00BA4790" w:rsidRDefault="00130FC7" w:rsidP="00246081"/>
        </w:tc>
        <w:tc>
          <w:tcPr>
            <w:tcW w:w="3996" w:type="dxa"/>
            <w:tcBorders>
              <w:top w:val="single" w:sz="4" w:space="0" w:color="auto"/>
              <w:bottom w:val="single" w:sz="4" w:space="0" w:color="auto"/>
            </w:tcBorders>
            <w:shd w:val="clear" w:color="auto" w:fill="F2F2F2" w:themeFill="background1" w:themeFillShade="F2"/>
          </w:tcPr>
          <w:p w:rsidR="00130FC7" w:rsidRPr="00BA4790" w:rsidRDefault="00130FC7" w:rsidP="00246081">
            <w:r w:rsidRPr="00BA4790">
              <w:t>10. Percentage of women delivering in a health facility with a skilled attendant</w:t>
            </w:r>
          </w:p>
        </w:tc>
        <w:tc>
          <w:tcPr>
            <w:tcW w:w="1985" w:type="dxa"/>
            <w:tcBorders>
              <w:top w:val="single" w:sz="4" w:space="0" w:color="auto"/>
              <w:bottom w:val="single" w:sz="4" w:space="0" w:color="auto"/>
            </w:tcBorders>
            <w:shd w:val="clear" w:color="auto" w:fill="F2F2F2" w:themeFill="background1" w:themeFillShade="F2"/>
          </w:tcPr>
          <w:p w:rsidR="00130FC7" w:rsidRPr="00BA4790" w:rsidRDefault="00130FC7" w:rsidP="00246081">
            <w:r>
              <w:t>89 per cent</w:t>
            </w:r>
          </w:p>
        </w:tc>
        <w:tc>
          <w:tcPr>
            <w:tcW w:w="1984" w:type="dxa"/>
            <w:tcBorders>
              <w:top w:val="single" w:sz="4" w:space="0" w:color="auto"/>
              <w:bottom w:val="single" w:sz="4" w:space="0" w:color="auto"/>
            </w:tcBorders>
            <w:shd w:val="clear" w:color="auto" w:fill="F2F2F2" w:themeFill="background1" w:themeFillShade="F2"/>
          </w:tcPr>
          <w:p w:rsidR="00130FC7" w:rsidRPr="00BA4790" w:rsidRDefault="00130FC7" w:rsidP="00246081">
            <w:r>
              <w:t>87.29 per cent</w:t>
            </w:r>
          </w:p>
        </w:tc>
        <w:tc>
          <w:tcPr>
            <w:tcW w:w="2978" w:type="dxa"/>
            <w:tcBorders>
              <w:top w:val="single" w:sz="4" w:space="0" w:color="auto"/>
              <w:bottom w:val="single" w:sz="4" w:space="0" w:color="auto"/>
            </w:tcBorders>
            <w:shd w:val="clear" w:color="auto" w:fill="F2F2F2" w:themeFill="background1" w:themeFillShade="F2"/>
          </w:tcPr>
          <w:p w:rsidR="00130FC7" w:rsidRPr="00BA4790" w:rsidRDefault="00B53B0E" w:rsidP="00246081">
            <w:r>
              <w:t>National</w:t>
            </w:r>
            <w:r w:rsidR="00130FC7">
              <w:t xml:space="preserve"> target</w:t>
            </w:r>
          </w:p>
        </w:tc>
      </w:tr>
      <w:tr w:rsidR="00130FC7" w:rsidRPr="00BA4790" w:rsidTr="00246081">
        <w:tc>
          <w:tcPr>
            <w:tcW w:w="3517" w:type="dxa"/>
            <w:tcBorders>
              <w:top w:val="nil"/>
              <w:bottom w:val="single" w:sz="4" w:space="0" w:color="auto"/>
            </w:tcBorders>
            <w:shd w:val="clear" w:color="auto" w:fill="F2F2F2" w:themeFill="background1" w:themeFillShade="F2"/>
          </w:tcPr>
          <w:p w:rsidR="00130FC7" w:rsidRPr="00BA4790" w:rsidRDefault="00130FC7" w:rsidP="00246081"/>
        </w:tc>
        <w:tc>
          <w:tcPr>
            <w:tcW w:w="3996" w:type="dxa"/>
            <w:tcBorders>
              <w:top w:val="single" w:sz="4" w:space="0" w:color="auto"/>
              <w:bottom w:val="single" w:sz="4" w:space="0" w:color="auto"/>
            </w:tcBorders>
            <w:shd w:val="clear" w:color="auto" w:fill="F2F2F2" w:themeFill="background1" w:themeFillShade="F2"/>
          </w:tcPr>
          <w:p w:rsidR="00130FC7" w:rsidRPr="00BA4790" w:rsidRDefault="00130FC7" w:rsidP="00246081">
            <w:r w:rsidRPr="00BA4790">
              <w:t>11. Percentage of women aged 15-49 years who are married or in union and used modern contraceptive methods</w:t>
            </w:r>
          </w:p>
        </w:tc>
        <w:tc>
          <w:tcPr>
            <w:tcW w:w="1985" w:type="dxa"/>
            <w:tcBorders>
              <w:top w:val="single" w:sz="4" w:space="0" w:color="auto"/>
              <w:bottom w:val="single" w:sz="4" w:space="0" w:color="auto"/>
            </w:tcBorders>
            <w:shd w:val="clear" w:color="auto" w:fill="F2F2F2" w:themeFill="background1" w:themeFillShade="F2"/>
          </w:tcPr>
          <w:p w:rsidR="00130FC7" w:rsidRPr="00BA4790" w:rsidRDefault="00130FC7" w:rsidP="00246081">
            <w:r>
              <w:t>43 per cent</w:t>
            </w:r>
          </w:p>
        </w:tc>
        <w:tc>
          <w:tcPr>
            <w:tcW w:w="1984" w:type="dxa"/>
            <w:tcBorders>
              <w:top w:val="single" w:sz="4" w:space="0" w:color="auto"/>
              <w:bottom w:val="single" w:sz="4" w:space="0" w:color="auto"/>
            </w:tcBorders>
            <w:shd w:val="clear" w:color="auto" w:fill="F2F2F2" w:themeFill="background1" w:themeFillShade="F2"/>
          </w:tcPr>
          <w:p w:rsidR="00130FC7" w:rsidRPr="00BA4790" w:rsidRDefault="00130FC7" w:rsidP="00246081">
            <w:r>
              <w:t>21.92 per cent</w:t>
            </w:r>
          </w:p>
        </w:tc>
        <w:tc>
          <w:tcPr>
            <w:tcW w:w="2978" w:type="dxa"/>
            <w:tcBorders>
              <w:top w:val="single" w:sz="4" w:space="0" w:color="auto"/>
              <w:bottom w:val="single" w:sz="4" w:space="0" w:color="auto"/>
            </w:tcBorders>
            <w:shd w:val="clear" w:color="auto" w:fill="F2F2F2" w:themeFill="background1" w:themeFillShade="F2"/>
          </w:tcPr>
          <w:p w:rsidR="00130FC7" w:rsidRPr="00BA4790" w:rsidRDefault="00B53B0E" w:rsidP="00246081">
            <w:r>
              <w:t>National target</w:t>
            </w:r>
            <w:r w:rsidR="00130FC7">
              <w:t xml:space="preserve"> – does not capture services from private sector</w:t>
            </w:r>
          </w:p>
        </w:tc>
      </w:tr>
      <w:tr w:rsidR="00130FC7" w:rsidRPr="00BA4790" w:rsidTr="00246081">
        <w:tc>
          <w:tcPr>
            <w:tcW w:w="3517" w:type="dxa"/>
            <w:tcBorders>
              <w:top w:val="single" w:sz="4" w:space="0" w:color="auto"/>
              <w:bottom w:val="nil"/>
            </w:tcBorders>
            <w:shd w:val="clear" w:color="auto" w:fill="F2F2F2" w:themeFill="background1" w:themeFillShade="F2"/>
          </w:tcPr>
          <w:p w:rsidR="00130FC7" w:rsidRPr="00BA4790" w:rsidRDefault="00130FC7" w:rsidP="00246081">
            <w:r w:rsidRPr="00BA4790">
              <w:t>7.  Australia Awards Alumni contribute to Cambodia’s development</w:t>
            </w:r>
          </w:p>
        </w:tc>
        <w:tc>
          <w:tcPr>
            <w:tcW w:w="3996" w:type="dxa"/>
            <w:tcBorders>
              <w:top w:val="single" w:sz="4" w:space="0" w:color="auto"/>
              <w:bottom w:val="single" w:sz="4" w:space="0" w:color="auto"/>
            </w:tcBorders>
            <w:shd w:val="clear" w:color="auto" w:fill="F2F2F2" w:themeFill="background1" w:themeFillShade="F2"/>
          </w:tcPr>
          <w:p w:rsidR="00130FC7" w:rsidRPr="00BA4790" w:rsidRDefault="00130FC7" w:rsidP="00246081">
            <w:r w:rsidRPr="00BA4790">
              <w:t xml:space="preserve">12. </w:t>
            </w:r>
            <w:r>
              <w:t>P</w:t>
            </w:r>
            <w:r w:rsidRPr="00BA4790">
              <w:t xml:space="preserve">ercentage of Australia Awards scholarships awarded to women and men </w:t>
            </w:r>
            <w:r w:rsidRPr="00BA4790">
              <w:rPr>
                <w:b/>
              </w:rPr>
              <w:t>(AIP Benchmark)</w:t>
            </w:r>
          </w:p>
        </w:tc>
        <w:tc>
          <w:tcPr>
            <w:tcW w:w="1985" w:type="dxa"/>
            <w:tcBorders>
              <w:top w:val="single" w:sz="4" w:space="0" w:color="auto"/>
              <w:bottom w:val="single" w:sz="4" w:space="0" w:color="auto"/>
            </w:tcBorders>
            <w:shd w:val="clear" w:color="auto" w:fill="F2F2F2" w:themeFill="background1" w:themeFillShade="F2"/>
          </w:tcPr>
          <w:p w:rsidR="00130FC7" w:rsidRPr="00C40362" w:rsidRDefault="00130FC7" w:rsidP="00246081">
            <w:r>
              <w:t>50 per cent women, 50 per cent men</w:t>
            </w:r>
          </w:p>
        </w:tc>
        <w:tc>
          <w:tcPr>
            <w:tcW w:w="1984" w:type="dxa"/>
            <w:tcBorders>
              <w:top w:val="single" w:sz="4" w:space="0" w:color="auto"/>
              <w:bottom w:val="single" w:sz="4" w:space="0" w:color="auto"/>
            </w:tcBorders>
            <w:shd w:val="clear" w:color="auto" w:fill="F2F2F2" w:themeFill="background1" w:themeFillShade="F2"/>
          </w:tcPr>
          <w:p w:rsidR="00130FC7" w:rsidRPr="00BA4790" w:rsidRDefault="00130FC7" w:rsidP="00246081">
            <w:r>
              <w:t xml:space="preserve">48 per cent women / 52 per cent men </w:t>
            </w:r>
          </w:p>
        </w:tc>
        <w:tc>
          <w:tcPr>
            <w:tcW w:w="2978" w:type="dxa"/>
            <w:tcBorders>
              <w:top w:val="single" w:sz="4" w:space="0" w:color="auto"/>
              <w:bottom w:val="single" w:sz="4" w:space="0" w:color="auto"/>
            </w:tcBorders>
            <w:shd w:val="clear" w:color="auto" w:fill="F2F2F2" w:themeFill="background1" w:themeFillShade="F2"/>
          </w:tcPr>
          <w:p w:rsidR="00130FC7" w:rsidRPr="00BA4790" w:rsidRDefault="00130FC7" w:rsidP="00246081">
            <w:r>
              <w:t>23 women / 25 men</w:t>
            </w:r>
          </w:p>
        </w:tc>
      </w:tr>
      <w:tr w:rsidR="00130FC7" w:rsidRPr="00BA4790" w:rsidTr="00246081">
        <w:tc>
          <w:tcPr>
            <w:tcW w:w="3517" w:type="dxa"/>
            <w:tcBorders>
              <w:top w:val="nil"/>
              <w:bottom w:val="single" w:sz="4" w:space="0" w:color="auto"/>
            </w:tcBorders>
            <w:shd w:val="clear" w:color="auto" w:fill="F2F2F2" w:themeFill="background1" w:themeFillShade="F2"/>
          </w:tcPr>
          <w:p w:rsidR="00130FC7" w:rsidRPr="00BA4790" w:rsidRDefault="00130FC7" w:rsidP="00246081"/>
        </w:tc>
        <w:tc>
          <w:tcPr>
            <w:tcW w:w="3996" w:type="dxa"/>
            <w:tcBorders>
              <w:top w:val="single" w:sz="4" w:space="0" w:color="auto"/>
              <w:bottom w:val="single" w:sz="4" w:space="0" w:color="auto"/>
            </w:tcBorders>
            <w:shd w:val="clear" w:color="auto" w:fill="F2F2F2" w:themeFill="background1" w:themeFillShade="F2"/>
          </w:tcPr>
          <w:p w:rsidR="00130FC7" w:rsidRPr="00BA4790" w:rsidRDefault="00130FC7" w:rsidP="00246081">
            <w:r w:rsidRPr="00BA4790">
              <w:t xml:space="preserve">13. </w:t>
            </w:r>
            <w:r>
              <w:t>Percentage of male and female alumni use their skills and knowledge to make a positive contribution to their field of expertise</w:t>
            </w:r>
          </w:p>
        </w:tc>
        <w:tc>
          <w:tcPr>
            <w:tcW w:w="1985" w:type="dxa"/>
            <w:tcBorders>
              <w:top w:val="single" w:sz="4" w:space="0" w:color="auto"/>
              <w:bottom w:val="single" w:sz="4" w:space="0" w:color="auto"/>
            </w:tcBorders>
            <w:shd w:val="clear" w:color="auto" w:fill="F2F2F2" w:themeFill="background1" w:themeFillShade="F2"/>
          </w:tcPr>
          <w:p w:rsidR="00130FC7" w:rsidRPr="00C40362" w:rsidRDefault="00130FC7" w:rsidP="00246081">
            <w:r>
              <w:t>75 per cent of alumni are employed in a position relevant to their field of study after 2 years of return</w:t>
            </w:r>
          </w:p>
        </w:tc>
        <w:tc>
          <w:tcPr>
            <w:tcW w:w="1984" w:type="dxa"/>
            <w:tcBorders>
              <w:top w:val="single" w:sz="4" w:space="0" w:color="auto"/>
              <w:bottom w:val="single" w:sz="4" w:space="0" w:color="auto"/>
            </w:tcBorders>
            <w:shd w:val="clear" w:color="auto" w:fill="F2F2F2" w:themeFill="background1" w:themeFillShade="F2"/>
          </w:tcPr>
          <w:p w:rsidR="00130FC7" w:rsidRPr="00BA4790" w:rsidRDefault="00130FC7" w:rsidP="00246081">
            <w:r>
              <w:t>80 per cent</w:t>
            </w:r>
          </w:p>
        </w:tc>
        <w:tc>
          <w:tcPr>
            <w:tcW w:w="2978" w:type="dxa"/>
            <w:tcBorders>
              <w:top w:val="single" w:sz="4" w:space="0" w:color="auto"/>
              <w:bottom w:val="single" w:sz="4" w:space="0" w:color="auto"/>
            </w:tcBorders>
            <w:shd w:val="clear" w:color="auto" w:fill="F2F2F2" w:themeFill="background1" w:themeFillShade="F2"/>
          </w:tcPr>
          <w:p w:rsidR="00130FC7" w:rsidRPr="00BA4790" w:rsidRDefault="00130FC7" w:rsidP="00246081">
            <w:r>
              <w:t>Alumni survey two years after return</w:t>
            </w:r>
          </w:p>
        </w:tc>
      </w:tr>
    </w:tbl>
    <w:p w:rsidR="00130FC7" w:rsidRPr="00BA4790" w:rsidRDefault="00130FC7" w:rsidP="00130FC7">
      <w:pPr>
        <w:rPr>
          <w:b/>
        </w:rPr>
      </w:pPr>
    </w:p>
    <w:p w:rsidR="00130FC7" w:rsidRPr="00BA4790" w:rsidRDefault="00130FC7" w:rsidP="00130FC7">
      <w:pPr>
        <w:rPr>
          <w:b/>
        </w:rPr>
      </w:pPr>
      <w:r w:rsidRPr="00BA4790">
        <w:rPr>
          <w:b/>
        </w:rPr>
        <w:t>Cross-cutting issues</w:t>
      </w:r>
    </w:p>
    <w:tbl>
      <w:tblPr>
        <w:tblW w:w="5000" w:type="pct"/>
        <w:tblLook w:val="04A0" w:firstRow="1" w:lastRow="0" w:firstColumn="1" w:lastColumn="0" w:noHBand="0" w:noVBand="1"/>
      </w:tblPr>
      <w:tblGrid>
        <w:gridCol w:w="3568"/>
        <w:gridCol w:w="421"/>
        <w:gridCol w:w="3666"/>
        <w:gridCol w:w="2126"/>
        <w:gridCol w:w="1985"/>
        <w:gridCol w:w="2694"/>
      </w:tblGrid>
      <w:tr w:rsidR="00130FC7" w:rsidRPr="00BA4790" w:rsidTr="00246081">
        <w:tc>
          <w:tcPr>
            <w:tcW w:w="3989" w:type="dxa"/>
            <w:gridSpan w:val="2"/>
            <w:tcBorders>
              <w:top w:val="single" w:sz="2" w:space="0" w:color="808080" w:themeColor="background1" w:themeShade="80"/>
              <w:bottom w:val="single" w:sz="4" w:space="0" w:color="auto"/>
            </w:tcBorders>
            <w:shd w:val="clear" w:color="auto" w:fill="D7DEE2"/>
          </w:tcPr>
          <w:p w:rsidR="00130FC7" w:rsidRPr="00BA4790" w:rsidRDefault="00130FC7" w:rsidP="00246081">
            <w:r w:rsidRPr="00BA4790">
              <w:br w:type="page"/>
            </w:r>
            <w:r w:rsidRPr="00BA4790">
              <w:br w:type="page"/>
            </w:r>
          </w:p>
        </w:tc>
        <w:tc>
          <w:tcPr>
            <w:tcW w:w="3666" w:type="dxa"/>
            <w:tcBorders>
              <w:top w:val="single" w:sz="2" w:space="0" w:color="808080" w:themeColor="background1" w:themeShade="80"/>
              <w:bottom w:val="single" w:sz="4" w:space="0" w:color="auto"/>
            </w:tcBorders>
            <w:shd w:val="clear" w:color="auto" w:fill="D7DEE2"/>
          </w:tcPr>
          <w:p w:rsidR="00130FC7" w:rsidRPr="00BA4790" w:rsidRDefault="00130FC7" w:rsidP="00246081">
            <w:r w:rsidRPr="00BA4790">
              <w:t xml:space="preserve">Indicator </w:t>
            </w:r>
          </w:p>
        </w:tc>
        <w:tc>
          <w:tcPr>
            <w:tcW w:w="2126" w:type="dxa"/>
            <w:tcBorders>
              <w:top w:val="single" w:sz="2" w:space="0" w:color="808080" w:themeColor="background1" w:themeShade="80"/>
              <w:bottom w:val="single" w:sz="4" w:space="0" w:color="auto"/>
            </w:tcBorders>
            <w:shd w:val="clear" w:color="auto" w:fill="D7DEE2"/>
          </w:tcPr>
          <w:p w:rsidR="00130FC7" w:rsidRPr="00BA4790" w:rsidRDefault="00130FC7" w:rsidP="00246081">
            <w:r>
              <w:t>2018/19</w:t>
            </w:r>
            <w:r w:rsidRPr="00BA4790">
              <w:t xml:space="preserve"> Targets</w:t>
            </w:r>
          </w:p>
        </w:tc>
        <w:tc>
          <w:tcPr>
            <w:tcW w:w="1985" w:type="dxa"/>
            <w:tcBorders>
              <w:top w:val="single" w:sz="2" w:space="0" w:color="808080" w:themeColor="background1" w:themeShade="80"/>
              <w:bottom w:val="single" w:sz="4" w:space="0" w:color="auto"/>
            </w:tcBorders>
            <w:shd w:val="clear" w:color="auto" w:fill="D7DEE2"/>
          </w:tcPr>
          <w:p w:rsidR="00130FC7" w:rsidRDefault="00130FC7" w:rsidP="00246081">
            <w:r w:rsidRPr="003B26CC">
              <w:t>2018/19 Results</w:t>
            </w:r>
          </w:p>
        </w:tc>
        <w:tc>
          <w:tcPr>
            <w:tcW w:w="2694" w:type="dxa"/>
            <w:tcBorders>
              <w:top w:val="single" w:sz="2" w:space="0" w:color="808080" w:themeColor="background1" w:themeShade="80"/>
              <w:bottom w:val="single" w:sz="4" w:space="0" w:color="auto"/>
            </w:tcBorders>
            <w:shd w:val="clear" w:color="auto" w:fill="D7DEE2"/>
          </w:tcPr>
          <w:p w:rsidR="00130FC7" w:rsidRPr="00BA4790" w:rsidRDefault="00130FC7" w:rsidP="00246081">
            <w:r>
              <w:t>Remarks</w:t>
            </w:r>
          </w:p>
        </w:tc>
      </w:tr>
      <w:tr w:rsidR="00130FC7" w:rsidRPr="00BA4790" w:rsidTr="00246081">
        <w:tc>
          <w:tcPr>
            <w:tcW w:w="3568" w:type="dxa"/>
            <w:tcBorders>
              <w:top w:val="single" w:sz="4" w:space="0" w:color="auto"/>
              <w:bottom w:val="single" w:sz="4" w:space="0" w:color="auto"/>
            </w:tcBorders>
            <w:shd w:val="clear" w:color="auto" w:fill="D7DEE2" w:themeFill="text2" w:themeFillTint="33"/>
          </w:tcPr>
          <w:p w:rsidR="00130FC7" w:rsidRPr="00BA4790" w:rsidRDefault="00130FC7" w:rsidP="00246081">
            <w:r w:rsidRPr="00BA4790">
              <w:t xml:space="preserve">8. Increased </w:t>
            </w:r>
            <w:r>
              <w:t xml:space="preserve">investment in quality services for women affected by </w:t>
            </w:r>
            <w:r w:rsidRPr="00BA4790">
              <w:t>gender-based violence</w:t>
            </w:r>
          </w:p>
        </w:tc>
        <w:tc>
          <w:tcPr>
            <w:tcW w:w="4087" w:type="dxa"/>
            <w:gridSpan w:val="2"/>
            <w:tcBorders>
              <w:top w:val="single" w:sz="4" w:space="0" w:color="auto"/>
              <w:bottom w:val="single" w:sz="4" w:space="0" w:color="auto"/>
            </w:tcBorders>
            <w:shd w:val="clear" w:color="auto" w:fill="D7DEE2" w:themeFill="text2" w:themeFillTint="33"/>
          </w:tcPr>
          <w:p w:rsidR="00130FC7" w:rsidRPr="00BA4790" w:rsidRDefault="00130FC7" w:rsidP="00246081">
            <w:r>
              <w:t>14. [Indicator to be established in agreement with the Cambodian Government]</w:t>
            </w:r>
          </w:p>
        </w:tc>
        <w:tc>
          <w:tcPr>
            <w:tcW w:w="2126" w:type="dxa"/>
            <w:tcBorders>
              <w:top w:val="single" w:sz="4" w:space="0" w:color="auto"/>
              <w:bottom w:val="single" w:sz="4" w:space="0" w:color="auto"/>
            </w:tcBorders>
            <w:shd w:val="clear" w:color="auto" w:fill="D7DEE2" w:themeFill="text2" w:themeFillTint="33"/>
          </w:tcPr>
          <w:p w:rsidR="00130FC7" w:rsidRPr="00BA4790" w:rsidRDefault="00130FC7" w:rsidP="00246081">
            <w:r>
              <w:t>Baselines established</w:t>
            </w:r>
          </w:p>
        </w:tc>
        <w:tc>
          <w:tcPr>
            <w:tcW w:w="1985" w:type="dxa"/>
            <w:tcBorders>
              <w:top w:val="single" w:sz="4" w:space="0" w:color="auto"/>
              <w:bottom w:val="single" w:sz="4" w:space="0" w:color="auto"/>
            </w:tcBorders>
            <w:shd w:val="clear" w:color="auto" w:fill="D7DEE2" w:themeFill="text2" w:themeFillTint="33"/>
          </w:tcPr>
          <w:p w:rsidR="00130FC7" w:rsidRPr="00DF71A8" w:rsidRDefault="00130FC7" w:rsidP="00246081">
            <w:r>
              <w:t>Indicators agreed but baselines not yet established</w:t>
            </w:r>
          </w:p>
        </w:tc>
        <w:tc>
          <w:tcPr>
            <w:tcW w:w="2694" w:type="dxa"/>
            <w:tcBorders>
              <w:top w:val="single" w:sz="4" w:space="0" w:color="auto"/>
              <w:bottom w:val="single" w:sz="4" w:space="0" w:color="auto"/>
            </w:tcBorders>
            <w:shd w:val="clear" w:color="auto" w:fill="D7DEE2" w:themeFill="text2" w:themeFillTint="33"/>
          </w:tcPr>
          <w:p w:rsidR="00130FC7" w:rsidRPr="00BA4790" w:rsidRDefault="00130FC7" w:rsidP="00246081">
            <w:r>
              <w:t>ACCESS Program – will establish baselines in 2019-2020 after all grants made</w:t>
            </w:r>
          </w:p>
        </w:tc>
      </w:tr>
      <w:tr w:rsidR="00130FC7" w:rsidRPr="00BA4790" w:rsidTr="00246081">
        <w:tc>
          <w:tcPr>
            <w:tcW w:w="3568" w:type="dxa"/>
            <w:tcBorders>
              <w:top w:val="single" w:sz="4" w:space="0" w:color="auto"/>
              <w:bottom w:val="single" w:sz="4" w:space="0" w:color="auto"/>
            </w:tcBorders>
            <w:shd w:val="clear" w:color="auto" w:fill="D7DEE2" w:themeFill="text2" w:themeFillTint="33"/>
          </w:tcPr>
          <w:p w:rsidR="00130FC7" w:rsidRPr="00BA4790" w:rsidRDefault="00130FC7" w:rsidP="00246081">
            <w:r w:rsidRPr="00BA4790">
              <w:t>9. Improved quality of life for people with a disability</w:t>
            </w:r>
          </w:p>
        </w:tc>
        <w:tc>
          <w:tcPr>
            <w:tcW w:w="4087" w:type="dxa"/>
            <w:gridSpan w:val="2"/>
            <w:tcBorders>
              <w:top w:val="single" w:sz="4" w:space="0" w:color="auto"/>
              <w:bottom w:val="single" w:sz="4" w:space="0" w:color="auto"/>
            </w:tcBorders>
            <w:shd w:val="clear" w:color="auto" w:fill="D7DEE2" w:themeFill="text2" w:themeFillTint="33"/>
          </w:tcPr>
          <w:p w:rsidR="00130FC7" w:rsidRPr="00BA4790" w:rsidRDefault="00130FC7" w:rsidP="00246081">
            <w:r>
              <w:t>15. [Indicator to be established in agreement with the Cambodian Government]</w:t>
            </w:r>
          </w:p>
        </w:tc>
        <w:tc>
          <w:tcPr>
            <w:tcW w:w="2126" w:type="dxa"/>
            <w:tcBorders>
              <w:top w:val="single" w:sz="4" w:space="0" w:color="auto"/>
              <w:bottom w:val="single" w:sz="4" w:space="0" w:color="auto"/>
            </w:tcBorders>
            <w:shd w:val="clear" w:color="auto" w:fill="D7DEE2" w:themeFill="text2" w:themeFillTint="33"/>
          </w:tcPr>
          <w:p w:rsidR="00130FC7" w:rsidRPr="00BA4790" w:rsidRDefault="00130FC7" w:rsidP="00246081">
            <w:r>
              <w:t>Baselines established</w:t>
            </w:r>
          </w:p>
        </w:tc>
        <w:tc>
          <w:tcPr>
            <w:tcW w:w="1985" w:type="dxa"/>
            <w:tcBorders>
              <w:top w:val="single" w:sz="4" w:space="0" w:color="auto"/>
              <w:bottom w:val="single" w:sz="4" w:space="0" w:color="auto"/>
            </w:tcBorders>
            <w:shd w:val="clear" w:color="auto" w:fill="D7DEE2" w:themeFill="text2" w:themeFillTint="33"/>
          </w:tcPr>
          <w:p w:rsidR="00130FC7" w:rsidRPr="003B26CC" w:rsidRDefault="00130FC7" w:rsidP="00246081">
            <w:pPr>
              <w:rPr>
                <w:highlight w:val="yellow"/>
              </w:rPr>
            </w:pPr>
            <w:r>
              <w:t>Indicators agreed but baselines not yet established</w:t>
            </w:r>
          </w:p>
        </w:tc>
        <w:tc>
          <w:tcPr>
            <w:tcW w:w="2694" w:type="dxa"/>
            <w:tcBorders>
              <w:top w:val="single" w:sz="4" w:space="0" w:color="auto"/>
              <w:bottom w:val="single" w:sz="4" w:space="0" w:color="auto"/>
            </w:tcBorders>
            <w:shd w:val="clear" w:color="auto" w:fill="D7DEE2" w:themeFill="text2" w:themeFillTint="33"/>
          </w:tcPr>
          <w:p w:rsidR="00130FC7" w:rsidRPr="00BA4790" w:rsidRDefault="00130FC7" w:rsidP="00246081">
            <w:r>
              <w:t>ACCESS Program – will establish baselines in 2019-2020 after all grants made</w:t>
            </w:r>
          </w:p>
        </w:tc>
      </w:tr>
      <w:tr w:rsidR="00130FC7" w:rsidRPr="00BA4790" w:rsidTr="00246081">
        <w:tc>
          <w:tcPr>
            <w:tcW w:w="3568" w:type="dxa"/>
            <w:tcBorders>
              <w:top w:val="single" w:sz="4" w:space="0" w:color="auto"/>
              <w:bottom w:val="nil"/>
            </w:tcBorders>
            <w:shd w:val="clear" w:color="auto" w:fill="D7DEE2" w:themeFill="text2" w:themeFillTint="33"/>
          </w:tcPr>
          <w:p w:rsidR="00130FC7" w:rsidRPr="00BA4790" w:rsidRDefault="00130FC7" w:rsidP="00246081">
            <w:r w:rsidRPr="00BA4790">
              <w:t xml:space="preserve">10.  Increased </w:t>
            </w:r>
            <w:r>
              <w:t xml:space="preserve">opportunities for </w:t>
            </w:r>
            <w:r w:rsidRPr="00BA4790">
              <w:t xml:space="preserve">Cambodia’s </w:t>
            </w:r>
            <w:r>
              <w:t>p</w:t>
            </w:r>
            <w:r w:rsidRPr="00BA4790">
              <w:t xml:space="preserve">rivate </w:t>
            </w:r>
            <w:r>
              <w:t>s</w:t>
            </w:r>
            <w:r w:rsidRPr="00BA4790">
              <w:t>ector</w:t>
            </w:r>
            <w:r>
              <w:t xml:space="preserve"> (especially small- and medium-sized enterprises) to participate in transparent and effective public-private partnerships</w:t>
            </w:r>
          </w:p>
        </w:tc>
        <w:tc>
          <w:tcPr>
            <w:tcW w:w="4087" w:type="dxa"/>
            <w:gridSpan w:val="2"/>
            <w:tcBorders>
              <w:top w:val="single" w:sz="4" w:space="0" w:color="auto"/>
              <w:bottom w:val="single" w:sz="4" w:space="0" w:color="auto"/>
            </w:tcBorders>
            <w:shd w:val="clear" w:color="auto" w:fill="D7DEE2" w:themeFill="text2" w:themeFillTint="33"/>
          </w:tcPr>
          <w:p w:rsidR="00130FC7" w:rsidRPr="00E43906" w:rsidRDefault="00130FC7" w:rsidP="00246081">
            <w:r w:rsidRPr="00E43906">
              <w:t>16. Number of private industry associations assisted to promote sustainable and inclusive development</w:t>
            </w:r>
          </w:p>
        </w:tc>
        <w:tc>
          <w:tcPr>
            <w:tcW w:w="2126" w:type="dxa"/>
            <w:tcBorders>
              <w:top w:val="single" w:sz="4" w:space="0" w:color="auto"/>
              <w:bottom w:val="single" w:sz="4" w:space="0" w:color="auto"/>
            </w:tcBorders>
            <w:shd w:val="clear" w:color="auto" w:fill="D7DEE2" w:themeFill="text2" w:themeFillTint="33"/>
          </w:tcPr>
          <w:p w:rsidR="00130FC7" w:rsidRPr="00E43906" w:rsidRDefault="00130FC7" w:rsidP="00246081">
            <w:r>
              <w:t xml:space="preserve"> 50</w:t>
            </w:r>
            <w:r w:rsidRPr="00D93435" w:rsidDel="00E43906">
              <w:t xml:space="preserve"> </w:t>
            </w:r>
            <w:r>
              <w:t>contracts</w:t>
            </w:r>
          </w:p>
        </w:tc>
        <w:tc>
          <w:tcPr>
            <w:tcW w:w="1985" w:type="dxa"/>
            <w:tcBorders>
              <w:top w:val="single" w:sz="4" w:space="0" w:color="auto"/>
              <w:bottom w:val="single" w:sz="4" w:space="0" w:color="auto"/>
            </w:tcBorders>
            <w:shd w:val="clear" w:color="auto" w:fill="D7DEE2" w:themeFill="text2" w:themeFillTint="33"/>
          </w:tcPr>
          <w:p w:rsidR="00130FC7" w:rsidRDefault="00130FC7" w:rsidP="00246081">
            <w:r>
              <w:t>72 contracts</w:t>
            </w:r>
          </w:p>
          <w:p w:rsidR="00130FC7" w:rsidRDefault="00130FC7" w:rsidP="00246081">
            <w:r>
              <w:t>(CAVAC: 36</w:t>
            </w:r>
          </w:p>
          <w:p w:rsidR="00130FC7" w:rsidRPr="00E43906" w:rsidRDefault="00130FC7" w:rsidP="00246081">
            <w:r>
              <w:t>3i : 36)</w:t>
            </w:r>
          </w:p>
        </w:tc>
        <w:tc>
          <w:tcPr>
            <w:tcW w:w="2694" w:type="dxa"/>
            <w:tcBorders>
              <w:top w:val="single" w:sz="4" w:space="0" w:color="auto"/>
              <w:bottom w:val="single" w:sz="4" w:space="0" w:color="auto"/>
            </w:tcBorders>
            <w:shd w:val="clear" w:color="auto" w:fill="D7DEE2" w:themeFill="text2" w:themeFillTint="33"/>
          </w:tcPr>
          <w:p w:rsidR="00130FC7" w:rsidRDefault="00130FC7" w:rsidP="00246081">
            <w:r>
              <w:t>Target details:</w:t>
            </w:r>
          </w:p>
          <w:p w:rsidR="00130FC7" w:rsidRPr="00E43906" w:rsidRDefault="00130FC7" w:rsidP="00246081">
            <w:r w:rsidRPr="00E43906">
              <w:t>CAVAC: 18</w:t>
            </w:r>
          </w:p>
          <w:p w:rsidR="00130FC7" w:rsidRPr="00C40362" w:rsidRDefault="00130FC7" w:rsidP="00246081">
            <w:r w:rsidRPr="00D93435">
              <w:t xml:space="preserve">3i: </w:t>
            </w:r>
            <w:r w:rsidRPr="00E43906">
              <w:t xml:space="preserve">32 </w:t>
            </w:r>
          </w:p>
        </w:tc>
      </w:tr>
      <w:tr w:rsidR="00130FC7" w:rsidRPr="00BA4790" w:rsidTr="00246081">
        <w:tc>
          <w:tcPr>
            <w:tcW w:w="3568" w:type="dxa"/>
            <w:tcBorders>
              <w:top w:val="nil"/>
              <w:bottom w:val="single" w:sz="4" w:space="0" w:color="auto"/>
            </w:tcBorders>
            <w:shd w:val="clear" w:color="auto" w:fill="D7DEE2" w:themeFill="text2" w:themeFillTint="33"/>
          </w:tcPr>
          <w:p w:rsidR="00130FC7" w:rsidRPr="00BA4790" w:rsidRDefault="00130FC7" w:rsidP="00246081"/>
        </w:tc>
        <w:tc>
          <w:tcPr>
            <w:tcW w:w="4087" w:type="dxa"/>
            <w:gridSpan w:val="2"/>
            <w:tcBorders>
              <w:top w:val="single" w:sz="4" w:space="0" w:color="auto"/>
              <w:bottom w:val="single" w:sz="4" w:space="0" w:color="auto"/>
            </w:tcBorders>
            <w:shd w:val="clear" w:color="auto" w:fill="D7DEE2" w:themeFill="text2" w:themeFillTint="33"/>
          </w:tcPr>
          <w:p w:rsidR="00130FC7" w:rsidRPr="00E43906" w:rsidRDefault="00130FC7" w:rsidP="00246081">
            <w:r w:rsidRPr="00E43906">
              <w:t>17. Value of private investment leveraged for development purposes (AUD)</w:t>
            </w:r>
          </w:p>
        </w:tc>
        <w:tc>
          <w:tcPr>
            <w:tcW w:w="2126" w:type="dxa"/>
            <w:tcBorders>
              <w:top w:val="single" w:sz="4" w:space="0" w:color="auto"/>
              <w:bottom w:val="single" w:sz="4" w:space="0" w:color="auto"/>
            </w:tcBorders>
            <w:shd w:val="clear" w:color="auto" w:fill="D7DEE2" w:themeFill="text2" w:themeFillTint="33"/>
          </w:tcPr>
          <w:p w:rsidR="00130FC7" w:rsidRDefault="00130FC7" w:rsidP="00246081">
            <w:r>
              <w:t>AUD17,800,000</w:t>
            </w:r>
          </w:p>
          <w:p w:rsidR="00130FC7" w:rsidRPr="00E43906" w:rsidRDefault="00130FC7" w:rsidP="00246081"/>
        </w:tc>
        <w:tc>
          <w:tcPr>
            <w:tcW w:w="1985" w:type="dxa"/>
            <w:tcBorders>
              <w:top w:val="single" w:sz="4" w:space="0" w:color="auto"/>
              <w:bottom w:val="single" w:sz="4" w:space="0" w:color="auto"/>
            </w:tcBorders>
            <w:shd w:val="clear" w:color="auto" w:fill="D7DEE2" w:themeFill="text2" w:themeFillTint="33"/>
          </w:tcPr>
          <w:p w:rsidR="00130FC7" w:rsidRDefault="00130FC7" w:rsidP="00246081">
            <w:r>
              <w:t>AUD13,093,612</w:t>
            </w:r>
          </w:p>
          <w:p w:rsidR="00130FC7" w:rsidRPr="00457C7A" w:rsidRDefault="00130FC7" w:rsidP="00246081">
            <w:r w:rsidRPr="00E43906">
              <w:t>CAVAC</w:t>
            </w:r>
            <w:r w:rsidRPr="00457C7A">
              <w:t xml:space="preserve">: </w:t>
            </w:r>
            <w:r>
              <w:t>$</w:t>
            </w:r>
            <w:r w:rsidRPr="00457C7A">
              <w:t>707,544</w:t>
            </w:r>
          </w:p>
          <w:p w:rsidR="00130FC7" w:rsidRPr="00E43906" w:rsidRDefault="00130FC7" w:rsidP="00246081">
            <w:r w:rsidRPr="00457C7A">
              <w:t xml:space="preserve">3i: </w:t>
            </w:r>
            <w:r>
              <w:t>$</w:t>
            </w:r>
            <w:r w:rsidRPr="00457C7A">
              <w:t>12,386,068</w:t>
            </w:r>
          </w:p>
        </w:tc>
        <w:tc>
          <w:tcPr>
            <w:tcW w:w="2694" w:type="dxa"/>
            <w:tcBorders>
              <w:top w:val="single" w:sz="4" w:space="0" w:color="auto"/>
              <w:bottom w:val="single" w:sz="4" w:space="0" w:color="auto"/>
            </w:tcBorders>
            <w:shd w:val="clear" w:color="auto" w:fill="D7DEE2" w:themeFill="text2" w:themeFillTint="33"/>
          </w:tcPr>
          <w:p w:rsidR="00130FC7" w:rsidRDefault="00130FC7" w:rsidP="00246081">
            <w:r>
              <w:t>Target details:</w:t>
            </w:r>
          </w:p>
          <w:p w:rsidR="00130FC7" w:rsidRPr="00E43906" w:rsidRDefault="00130FC7" w:rsidP="00246081">
            <w:r w:rsidRPr="00E43906">
              <w:t>CAVAC: AUD 800,000</w:t>
            </w:r>
          </w:p>
          <w:p w:rsidR="00130FC7" w:rsidRPr="00C40362" w:rsidRDefault="00130FC7" w:rsidP="00246081">
            <w:r w:rsidRPr="00D93435">
              <w:t xml:space="preserve">3i: </w:t>
            </w:r>
            <w:r w:rsidRPr="00E43906">
              <w:t>AUD 17</w:t>
            </w:r>
            <w:r>
              <w:t>,</w:t>
            </w:r>
            <w:r w:rsidRPr="00E43906">
              <w:t>000,000</w:t>
            </w:r>
          </w:p>
        </w:tc>
      </w:tr>
    </w:tbl>
    <w:p w:rsidR="00130FC7" w:rsidRPr="005C78DB" w:rsidRDefault="00130FC7" w:rsidP="00130FC7"/>
    <w:p w:rsidR="00130FC7" w:rsidRDefault="00130FC7">
      <w:pPr>
        <w:suppressAutoHyphens w:val="0"/>
        <w:spacing w:before="0" w:after="120" w:line="440" w:lineRule="atLeast"/>
        <w:rPr>
          <w:rFonts w:asciiTheme="majorHAnsi" w:eastAsiaTheme="majorEastAsia" w:hAnsiTheme="majorHAnsi" w:cstheme="majorHAnsi"/>
          <w:bCs/>
          <w:iCs/>
          <w:caps/>
          <w:spacing w:val="-10"/>
          <w:kern w:val="28"/>
          <w:sz w:val="38"/>
          <w:szCs w:val="24"/>
        </w:rPr>
      </w:pPr>
      <w:r>
        <w:rPr>
          <w:rFonts w:asciiTheme="majorHAnsi" w:hAnsiTheme="majorHAnsi" w:cstheme="majorHAnsi"/>
        </w:rPr>
        <w:br w:type="page"/>
      </w:r>
    </w:p>
    <w:p w:rsidR="00C05D5C" w:rsidRPr="00AD54E2" w:rsidRDefault="00C05D5C" w:rsidP="00AD54E2">
      <w:pPr>
        <w:keepNext/>
        <w:tabs>
          <w:tab w:val="left" w:pos="1560"/>
        </w:tabs>
        <w:spacing w:before="360" w:after="120" w:line="300" w:lineRule="exact"/>
        <w:outlineLvl w:val="1"/>
        <w:rPr>
          <w:rFonts w:asciiTheme="majorHAnsi" w:eastAsiaTheme="majorEastAsia" w:hAnsiTheme="majorHAnsi" w:cstheme="majorHAnsi"/>
          <w:bCs/>
          <w:iCs/>
          <w:caps/>
          <w:spacing w:val="-10"/>
          <w:kern w:val="28"/>
          <w:sz w:val="38"/>
          <w:szCs w:val="24"/>
        </w:rPr>
      </w:pPr>
      <w:r w:rsidRPr="00130FC7">
        <w:rPr>
          <w:rFonts w:asciiTheme="majorHAnsi" w:eastAsiaTheme="majorEastAsia" w:hAnsiTheme="majorHAnsi" w:cstheme="majorHAnsi"/>
          <w:bCs/>
          <w:iCs/>
          <w:caps/>
          <w:spacing w:val="-10"/>
          <w:kern w:val="28"/>
          <w:sz w:val="38"/>
          <w:szCs w:val="24"/>
        </w:rPr>
        <w:lastRenderedPageBreak/>
        <w:t xml:space="preserve">Annex </w:t>
      </w:r>
      <w:r w:rsidR="00130FC7" w:rsidRPr="00130FC7">
        <w:rPr>
          <w:rFonts w:asciiTheme="majorHAnsi" w:eastAsiaTheme="majorEastAsia" w:hAnsiTheme="majorHAnsi" w:cstheme="majorHAnsi"/>
          <w:bCs/>
          <w:iCs/>
          <w:caps/>
          <w:spacing w:val="-10"/>
          <w:kern w:val="28"/>
          <w:sz w:val="38"/>
          <w:szCs w:val="24"/>
        </w:rPr>
        <w:t xml:space="preserve">F </w:t>
      </w:r>
      <w:r w:rsidRPr="00130FC7">
        <w:rPr>
          <w:rFonts w:asciiTheme="majorHAnsi" w:eastAsiaTheme="majorEastAsia" w:hAnsiTheme="majorHAnsi" w:cstheme="majorHAnsi"/>
          <w:bCs/>
          <w:iCs/>
          <w:caps/>
          <w:spacing w:val="-10"/>
          <w:kern w:val="28"/>
          <w:sz w:val="38"/>
          <w:szCs w:val="24"/>
        </w:rPr>
        <w:t>– Performance Assessment Framework</w:t>
      </w:r>
      <w:r w:rsidR="00B46B46" w:rsidRPr="00130FC7">
        <w:rPr>
          <w:rFonts w:asciiTheme="majorHAnsi" w:eastAsiaTheme="majorEastAsia" w:hAnsiTheme="majorHAnsi" w:cstheme="majorHAnsi"/>
          <w:bCs/>
          <w:iCs/>
          <w:caps/>
          <w:spacing w:val="-10"/>
          <w:kern w:val="28"/>
          <w:sz w:val="38"/>
          <w:szCs w:val="24"/>
        </w:rPr>
        <w:t xml:space="preserve"> </w:t>
      </w:r>
      <w:r w:rsidR="00B46B46" w:rsidRPr="00AD54E2">
        <w:rPr>
          <w:rFonts w:asciiTheme="majorHAnsi" w:eastAsiaTheme="majorEastAsia" w:hAnsiTheme="majorHAnsi" w:cstheme="majorHAnsi"/>
          <w:bCs/>
          <w:iCs/>
          <w:caps/>
          <w:spacing w:val="-10"/>
          <w:kern w:val="28"/>
          <w:sz w:val="38"/>
          <w:szCs w:val="24"/>
        </w:rPr>
        <w:t>for the interim period 2019/20</w:t>
      </w:r>
      <w:r w:rsidR="007C7C37" w:rsidRPr="00AD54E2">
        <w:rPr>
          <w:rFonts w:asciiTheme="majorHAnsi" w:eastAsiaTheme="majorEastAsia" w:hAnsiTheme="majorHAnsi" w:cstheme="majorHAnsi"/>
          <w:bCs/>
          <w:iCs/>
          <w:caps/>
          <w:spacing w:val="-10"/>
          <w:kern w:val="28"/>
          <w:sz w:val="38"/>
          <w:szCs w:val="24"/>
        </w:rPr>
        <w:t>*</w:t>
      </w:r>
    </w:p>
    <w:p w:rsidR="007C7C37" w:rsidRDefault="007C7C37" w:rsidP="00B46B46">
      <w:pPr>
        <w:rPr>
          <w:b/>
        </w:rPr>
      </w:pPr>
    </w:p>
    <w:p w:rsidR="00B46B46" w:rsidRPr="001D2601" w:rsidRDefault="00B46B46" w:rsidP="00B46B46">
      <w:pPr>
        <w:rPr>
          <w:b/>
          <w:i/>
        </w:rPr>
      </w:pPr>
      <w:r w:rsidRPr="001D2601">
        <w:rPr>
          <w:b/>
          <w:i/>
        </w:rPr>
        <w:t>Improving access to essential infrastructure</w:t>
      </w:r>
    </w:p>
    <w:tbl>
      <w:tblPr>
        <w:tblW w:w="4951" w:type="pct"/>
        <w:tblLook w:val="04A0" w:firstRow="1" w:lastRow="0" w:firstColumn="1" w:lastColumn="0" w:noHBand="0" w:noVBand="1"/>
      </w:tblPr>
      <w:tblGrid>
        <w:gridCol w:w="3972"/>
        <w:gridCol w:w="5243"/>
        <w:gridCol w:w="2380"/>
        <w:gridCol w:w="2723"/>
      </w:tblGrid>
      <w:tr w:rsidR="00B46B46" w:rsidRPr="00BA4790" w:rsidTr="00361F52">
        <w:trPr>
          <w:tblHeader/>
        </w:trPr>
        <w:tc>
          <w:tcPr>
            <w:tcW w:w="3972" w:type="dxa"/>
            <w:tcBorders>
              <w:top w:val="single" w:sz="2" w:space="0" w:color="808080" w:themeColor="background1" w:themeShade="80"/>
              <w:bottom w:val="single" w:sz="4" w:space="0" w:color="808080" w:themeColor="background1" w:themeShade="80"/>
            </w:tcBorders>
          </w:tcPr>
          <w:p w:rsidR="00B46B46" w:rsidRPr="00BA4790" w:rsidRDefault="00B46B46" w:rsidP="00361F52">
            <w:r w:rsidRPr="00BA4790">
              <w:br w:type="page"/>
            </w:r>
            <w:r w:rsidRPr="00BA4790">
              <w:br w:type="page"/>
            </w:r>
          </w:p>
        </w:tc>
        <w:tc>
          <w:tcPr>
            <w:tcW w:w="5243" w:type="dxa"/>
            <w:tcBorders>
              <w:top w:val="single" w:sz="2" w:space="0" w:color="808080" w:themeColor="background1" w:themeShade="80"/>
              <w:bottom w:val="single" w:sz="4" w:space="0" w:color="808080" w:themeColor="background1" w:themeShade="80"/>
            </w:tcBorders>
          </w:tcPr>
          <w:p w:rsidR="00B46B46" w:rsidRPr="00BA4790" w:rsidRDefault="00B46B46" w:rsidP="00361F52">
            <w:r w:rsidRPr="00BA4790">
              <w:t xml:space="preserve">Indicator </w:t>
            </w:r>
          </w:p>
        </w:tc>
        <w:tc>
          <w:tcPr>
            <w:tcW w:w="2380" w:type="dxa"/>
            <w:tcBorders>
              <w:top w:val="single" w:sz="2" w:space="0" w:color="808080" w:themeColor="background1" w:themeShade="80"/>
              <w:bottom w:val="single" w:sz="4" w:space="0" w:color="808080" w:themeColor="background1" w:themeShade="80"/>
            </w:tcBorders>
          </w:tcPr>
          <w:p w:rsidR="00B46B46" w:rsidRPr="00BA4790" w:rsidRDefault="00B46B46" w:rsidP="00361F52">
            <w:r>
              <w:t>2019/20</w:t>
            </w:r>
            <w:r w:rsidRPr="00BA4790">
              <w:t xml:space="preserve"> Targets</w:t>
            </w:r>
          </w:p>
        </w:tc>
        <w:tc>
          <w:tcPr>
            <w:tcW w:w="2723" w:type="dxa"/>
            <w:tcBorders>
              <w:top w:val="single" w:sz="2" w:space="0" w:color="808080" w:themeColor="background1" w:themeShade="80"/>
              <w:bottom w:val="single" w:sz="4" w:space="0" w:color="808080" w:themeColor="background1" w:themeShade="80"/>
            </w:tcBorders>
          </w:tcPr>
          <w:p w:rsidR="00B46B46" w:rsidRPr="00BA4790" w:rsidRDefault="00B46B46" w:rsidP="00361F52">
            <w:r>
              <w:t>Remarks</w:t>
            </w:r>
          </w:p>
        </w:tc>
      </w:tr>
      <w:tr w:rsidR="008070E4" w:rsidRPr="00C40362" w:rsidTr="00356A07">
        <w:tc>
          <w:tcPr>
            <w:tcW w:w="3972" w:type="dxa"/>
            <w:shd w:val="clear" w:color="auto" w:fill="D5EEE0" w:themeFill="accent6" w:themeFillTint="33"/>
          </w:tcPr>
          <w:p w:rsidR="008070E4" w:rsidRPr="00BA4790" w:rsidRDefault="008070E4" w:rsidP="008070E4">
            <w:r w:rsidRPr="00BA4790">
              <w:t>1. Improvements in infrastructure and the economic environment</w:t>
            </w:r>
          </w:p>
        </w:tc>
        <w:tc>
          <w:tcPr>
            <w:tcW w:w="5243" w:type="dxa"/>
            <w:tcBorders>
              <w:bottom w:val="single" w:sz="2" w:space="0" w:color="808080" w:themeColor="background1" w:themeShade="80"/>
            </w:tcBorders>
            <w:shd w:val="clear" w:color="auto" w:fill="D5EEE0" w:themeFill="accent6" w:themeFillTint="33"/>
          </w:tcPr>
          <w:p w:rsidR="008070E4" w:rsidRPr="00BA4790" w:rsidRDefault="008070E4" w:rsidP="008070E4">
            <w:r w:rsidRPr="00BA4790">
              <w:t>1. Number of people (women and men) that will directly benefit from a new committed household or business connection to electricity and/or piped, treated water</w:t>
            </w:r>
            <w:r w:rsidRPr="00BA4790" w:rsidDel="00E97AAD">
              <w:t xml:space="preserve"> </w:t>
            </w:r>
            <w:r w:rsidRPr="00056D20">
              <w:rPr>
                <w:b/>
                <w:bCs/>
              </w:rPr>
              <w:t>(AIP Benchmark)</w:t>
            </w:r>
          </w:p>
        </w:tc>
        <w:tc>
          <w:tcPr>
            <w:tcW w:w="2380" w:type="dxa"/>
            <w:tcBorders>
              <w:bottom w:val="single" w:sz="2" w:space="0" w:color="808080" w:themeColor="background1" w:themeShade="80"/>
            </w:tcBorders>
            <w:shd w:val="clear" w:color="auto" w:fill="D5EEE0" w:themeFill="accent6" w:themeFillTint="33"/>
          </w:tcPr>
          <w:p w:rsidR="008070E4" w:rsidRPr="00BA4790" w:rsidRDefault="008070E4" w:rsidP="008070E4">
            <w:r w:rsidRPr="00D2391C">
              <w:t>158,000 people</w:t>
            </w:r>
          </w:p>
        </w:tc>
        <w:tc>
          <w:tcPr>
            <w:tcW w:w="2723" w:type="dxa"/>
            <w:tcBorders>
              <w:bottom w:val="single" w:sz="2" w:space="0" w:color="808080" w:themeColor="background1" w:themeShade="80"/>
            </w:tcBorders>
            <w:shd w:val="clear" w:color="auto" w:fill="D5EEE0" w:themeFill="accent6" w:themeFillTint="33"/>
          </w:tcPr>
          <w:p w:rsidR="008070E4" w:rsidRPr="00C40362" w:rsidRDefault="008070E4" w:rsidP="008070E4"/>
        </w:tc>
      </w:tr>
      <w:tr w:rsidR="005455D5" w:rsidRPr="00C40362" w:rsidTr="005455D5">
        <w:tc>
          <w:tcPr>
            <w:tcW w:w="3972" w:type="dxa"/>
            <w:tcBorders>
              <w:bottom w:val="single" w:sz="2" w:space="0" w:color="808080" w:themeColor="background1" w:themeShade="80"/>
            </w:tcBorders>
            <w:shd w:val="clear" w:color="auto" w:fill="D5EEE0" w:themeFill="accent6" w:themeFillTint="33"/>
          </w:tcPr>
          <w:p w:rsidR="005455D5" w:rsidRPr="00BA4790" w:rsidRDefault="005455D5" w:rsidP="005455D5"/>
        </w:tc>
        <w:tc>
          <w:tcPr>
            <w:tcW w:w="5243" w:type="dxa"/>
            <w:tcBorders>
              <w:bottom w:val="single" w:sz="2" w:space="0" w:color="808080" w:themeColor="background1" w:themeShade="80"/>
            </w:tcBorders>
            <w:shd w:val="clear" w:color="auto" w:fill="D5EEE0" w:themeFill="accent6" w:themeFillTint="33"/>
          </w:tcPr>
          <w:p w:rsidR="005455D5" w:rsidRPr="00BA4790" w:rsidRDefault="005455D5" w:rsidP="005455D5">
            <w:r w:rsidRPr="00EB06ED">
              <w:t xml:space="preserve">2. </w:t>
            </w:r>
            <w:r>
              <w:t>N</w:t>
            </w:r>
            <w:r w:rsidRPr="00EB06ED">
              <w:t xml:space="preserve">umber of actual household connections </w:t>
            </w:r>
            <w:r>
              <w:t>by private sector</w:t>
            </w:r>
            <w:r w:rsidRPr="00EB06ED">
              <w:t xml:space="preserve"> </w:t>
            </w:r>
            <w:r>
              <w:t xml:space="preserve">partner </w:t>
            </w:r>
            <w:r w:rsidRPr="00EB06ED">
              <w:t>companies</w:t>
            </w:r>
          </w:p>
        </w:tc>
        <w:tc>
          <w:tcPr>
            <w:tcW w:w="2380" w:type="dxa"/>
            <w:tcBorders>
              <w:bottom w:val="single" w:sz="2" w:space="0" w:color="808080" w:themeColor="background1" w:themeShade="80"/>
            </w:tcBorders>
            <w:shd w:val="clear" w:color="auto" w:fill="D5EEE0" w:themeFill="accent6" w:themeFillTint="33"/>
          </w:tcPr>
          <w:p w:rsidR="005455D5" w:rsidRPr="00BF1EA4" w:rsidRDefault="005455D5" w:rsidP="005455D5">
            <w:r w:rsidRPr="00BF1EA4">
              <w:t>6,000</w:t>
            </w:r>
          </w:p>
        </w:tc>
        <w:tc>
          <w:tcPr>
            <w:tcW w:w="2723" w:type="dxa"/>
            <w:tcBorders>
              <w:bottom w:val="single" w:sz="2" w:space="0" w:color="808080" w:themeColor="background1" w:themeShade="80"/>
            </w:tcBorders>
            <w:shd w:val="clear" w:color="auto" w:fill="D5EEE0" w:themeFill="accent6" w:themeFillTint="33"/>
          </w:tcPr>
          <w:p w:rsidR="005455D5" w:rsidRPr="00BF1EA4" w:rsidRDefault="005455D5" w:rsidP="005455D5">
            <w:pPr>
              <w:rPr>
                <w:rFonts w:cstheme="minorHAnsi"/>
              </w:rPr>
            </w:pPr>
            <w:r w:rsidRPr="00BF1EA4">
              <w:rPr>
                <w:rFonts w:cstheme="minorHAnsi"/>
              </w:rPr>
              <w:t>Piped treated water</w:t>
            </w:r>
            <w:r w:rsidR="00581D48">
              <w:rPr>
                <w:rFonts w:cstheme="minorHAnsi"/>
              </w:rPr>
              <w:t xml:space="preserve"> connection</w:t>
            </w:r>
            <w:r w:rsidRPr="00BF1EA4">
              <w:rPr>
                <w:rFonts w:cstheme="minorHAnsi"/>
              </w:rPr>
              <w:t>:</w:t>
            </w:r>
            <w:r w:rsidR="00581D48">
              <w:rPr>
                <w:rFonts w:cstheme="minorHAnsi"/>
              </w:rPr>
              <w:t xml:space="preserve"> </w:t>
            </w:r>
            <w:r w:rsidR="00581D48" w:rsidRPr="00BF1EA4">
              <w:rPr>
                <w:rFonts w:cstheme="minorHAnsi"/>
              </w:rPr>
              <w:t xml:space="preserve">2,000 </w:t>
            </w:r>
            <w:r w:rsidRPr="00BF1EA4">
              <w:rPr>
                <w:rFonts w:cstheme="minorHAnsi"/>
              </w:rPr>
              <w:t xml:space="preserve"> </w:t>
            </w:r>
          </w:p>
          <w:p w:rsidR="005455D5" w:rsidRPr="00BF1EA4" w:rsidRDefault="005455D5" w:rsidP="00581D48">
            <w:r w:rsidRPr="00BF1EA4">
              <w:rPr>
                <w:rFonts w:cstheme="minorHAnsi"/>
              </w:rPr>
              <w:t>Electricity</w:t>
            </w:r>
            <w:r w:rsidR="00581D48">
              <w:rPr>
                <w:rFonts w:cstheme="minorHAnsi"/>
              </w:rPr>
              <w:t xml:space="preserve"> </w:t>
            </w:r>
            <w:r w:rsidR="00581D48" w:rsidRPr="00BF1EA4">
              <w:rPr>
                <w:rFonts w:cstheme="minorHAnsi"/>
              </w:rPr>
              <w:t>connections</w:t>
            </w:r>
            <w:r w:rsidRPr="00BF1EA4">
              <w:rPr>
                <w:rFonts w:cstheme="minorHAnsi"/>
              </w:rPr>
              <w:t xml:space="preserve">: 4,000 </w:t>
            </w:r>
          </w:p>
        </w:tc>
      </w:tr>
      <w:tr w:rsidR="00581D48" w:rsidRPr="00BA4790" w:rsidTr="00361F52">
        <w:tc>
          <w:tcPr>
            <w:tcW w:w="3972" w:type="dxa"/>
            <w:tcBorders>
              <w:top w:val="single" w:sz="2" w:space="0" w:color="808080" w:themeColor="background1" w:themeShade="80"/>
              <w:bottom w:val="nil"/>
            </w:tcBorders>
            <w:shd w:val="clear" w:color="auto" w:fill="D5EEE0" w:themeFill="accent6" w:themeFillTint="33"/>
          </w:tcPr>
          <w:p w:rsidR="00581D48" w:rsidRPr="00BA4790" w:rsidRDefault="00581D48" w:rsidP="00581D48">
            <w:r w:rsidRPr="00BA4790">
              <w:t>2.  Improved access to schools, health care facilities and other essential services in targeted rural areas</w:t>
            </w:r>
          </w:p>
        </w:tc>
        <w:tc>
          <w:tcPr>
            <w:tcW w:w="5243"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581D48" w:rsidRPr="00BA4790" w:rsidRDefault="00581D48" w:rsidP="00581D48">
            <w:r>
              <w:t>3</w:t>
            </w:r>
            <w:r w:rsidRPr="00BA4790">
              <w:t>. Satisfactory progress is achieved on the implementation of civil works and ‘soft work’ packages in rural road rehabilitation efforts.</w:t>
            </w:r>
          </w:p>
        </w:tc>
        <w:tc>
          <w:tcPr>
            <w:tcW w:w="2380"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581D48" w:rsidRPr="00BA4790" w:rsidRDefault="00581D48" w:rsidP="00581D48">
            <w:r>
              <w:t>Overall slippage of less than five per cent</w:t>
            </w:r>
          </w:p>
        </w:tc>
        <w:tc>
          <w:tcPr>
            <w:tcW w:w="2723"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581D48" w:rsidRPr="00BA4790" w:rsidRDefault="00581D48" w:rsidP="00581D48">
            <w:r>
              <w:t>*Based on the revised project schedule agreed in March 2018</w:t>
            </w:r>
          </w:p>
        </w:tc>
      </w:tr>
      <w:tr w:rsidR="00B46B46" w:rsidRPr="00BA4790" w:rsidTr="00361F52">
        <w:tc>
          <w:tcPr>
            <w:tcW w:w="3972" w:type="dxa"/>
            <w:tcBorders>
              <w:top w:val="nil"/>
              <w:bottom w:val="single" w:sz="2" w:space="0" w:color="808080" w:themeColor="background1" w:themeShade="80"/>
            </w:tcBorders>
            <w:shd w:val="clear" w:color="auto" w:fill="D5EEE0" w:themeFill="accent6" w:themeFillTint="33"/>
          </w:tcPr>
          <w:p w:rsidR="00B46B46" w:rsidRPr="00BA4790" w:rsidRDefault="00B46B46" w:rsidP="00361F52"/>
        </w:tc>
        <w:tc>
          <w:tcPr>
            <w:tcW w:w="5243"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B46B46" w:rsidRPr="00BA4790" w:rsidRDefault="000C5D38" w:rsidP="00581D48">
            <w:r>
              <w:t>4</w:t>
            </w:r>
            <w:r w:rsidR="00B46B46" w:rsidRPr="00BA4790">
              <w:t>. Proportion of unskilled labour days on Australian-funded rural road rehabilitation works performed by women.</w:t>
            </w:r>
          </w:p>
        </w:tc>
        <w:tc>
          <w:tcPr>
            <w:tcW w:w="2380"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B46B46" w:rsidRPr="00BA4790" w:rsidRDefault="00B46B46" w:rsidP="00361F52">
            <w:r>
              <w:t>20 per cent</w:t>
            </w:r>
          </w:p>
        </w:tc>
        <w:tc>
          <w:tcPr>
            <w:tcW w:w="2723" w:type="dxa"/>
            <w:tcBorders>
              <w:top w:val="single" w:sz="2" w:space="0" w:color="808080" w:themeColor="background1" w:themeShade="80"/>
              <w:bottom w:val="single" w:sz="2" w:space="0" w:color="808080" w:themeColor="background1" w:themeShade="80"/>
            </w:tcBorders>
            <w:shd w:val="clear" w:color="auto" w:fill="D5EEE0" w:themeFill="accent6" w:themeFillTint="33"/>
          </w:tcPr>
          <w:p w:rsidR="00B46B46" w:rsidRPr="00BA4790" w:rsidRDefault="00B46B46" w:rsidP="00361F52"/>
        </w:tc>
      </w:tr>
    </w:tbl>
    <w:p w:rsidR="00B46B46" w:rsidRDefault="00B46B46" w:rsidP="00B46B46">
      <w:pPr>
        <w:rPr>
          <w:b/>
        </w:rPr>
      </w:pPr>
    </w:p>
    <w:p w:rsidR="00B46B46" w:rsidRPr="001D2601" w:rsidRDefault="00B46B46" w:rsidP="00B46B46">
      <w:pPr>
        <w:rPr>
          <w:b/>
          <w:i/>
        </w:rPr>
      </w:pPr>
      <w:r w:rsidRPr="001D2601">
        <w:rPr>
          <w:b/>
          <w:i/>
        </w:rPr>
        <w:t>Increasing agricultural productivity and farmer incomes</w:t>
      </w:r>
    </w:p>
    <w:tbl>
      <w:tblPr>
        <w:tblW w:w="4951" w:type="pct"/>
        <w:tblLook w:val="04A0" w:firstRow="1" w:lastRow="0" w:firstColumn="1" w:lastColumn="0" w:noHBand="0" w:noVBand="1"/>
      </w:tblPr>
      <w:tblGrid>
        <w:gridCol w:w="3953"/>
        <w:gridCol w:w="5120"/>
        <w:gridCol w:w="2373"/>
        <w:gridCol w:w="2872"/>
      </w:tblGrid>
      <w:tr w:rsidR="00B46B46" w:rsidRPr="00BA4790" w:rsidTr="00361F52">
        <w:tc>
          <w:tcPr>
            <w:tcW w:w="3953" w:type="dxa"/>
            <w:tcBorders>
              <w:bottom w:val="single" w:sz="4" w:space="0" w:color="auto"/>
            </w:tcBorders>
            <w:shd w:val="clear" w:color="auto" w:fill="D7DEE2" w:themeFill="text2" w:themeFillTint="33"/>
          </w:tcPr>
          <w:p w:rsidR="00B46B46" w:rsidRPr="00BA4790" w:rsidRDefault="00B46B46" w:rsidP="00361F52">
            <w:r w:rsidRPr="00BA4790">
              <w:br w:type="page"/>
            </w:r>
            <w:r w:rsidRPr="00BA4790">
              <w:br w:type="page"/>
            </w:r>
          </w:p>
        </w:tc>
        <w:tc>
          <w:tcPr>
            <w:tcW w:w="5120" w:type="dxa"/>
            <w:tcBorders>
              <w:bottom w:val="single" w:sz="4" w:space="0" w:color="auto"/>
            </w:tcBorders>
            <w:shd w:val="clear" w:color="auto" w:fill="D7DEE2" w:themeFill="text2" w:themeFillTint="33"/>
          </w:tcPr>
          <w:p w:rsidR="00B46B46" w:rsidRPr="00BA4790" w:rsidRDefault="00B46B46" w:rsidP="00361F52">
            <w:r w:rsidRPr="00BA4790">
              <w:t xml:space="preserve">Indicator </w:t>
            </w:r>
          </w:p>
        </w:tc>
        <w:tc>
          <w:tcPr>
            <w:tcW w:w="2373" w:type="dxa"/>
            <w:tcBorders>
              <w:bottom w:val="single" w:sz="4" w:space="0" w:color="auto"/>
            </w:tcBorders>
            <w:shd w:val="clear" w:color="auto" w:fill="D7DEE2" w:themeFill="text2" w:themeFillTint="33"/>
          </w:tcPr>
          <w:p w:rsidR="00B46B46" w:rsidRPr="00BA4790" w:rsidRDefault="00B46B46" w:rsidP="00361F52">
            <w:r>
              <w:t>2019/20</w:t>
            </w:r>
            <w:r w:rsidRPr="00BA4790">
              <w:t xml:space="preserve"> Targets</w:t>
            </w:r>
          </w:p>
        </w:tc>
        <w:tc>
          <w:tcPr>
            <w:tcW w:w="2872" w:type="dxa"/>
            <w:tcBorders>
              <w:bottom w:val="single" w:sz="4" w:space="0" w:color="auto"/>
            </w:tcBorders>
            <w:shd w:val="clear" w:color="auto" w:fill="D7DEE2" w:themeFill="text2" w:themeFillTint="33"/>
          </w:tcPr>
          <w:p w:rsidR="00B46B46" w:rsidRPr="00BA4790" w:rsidRDefault="00B46B46" w:rsidP="00361F52">
            <w:r>
              <w:t>Remarks</w:t>
            </w:r>
          </w:p>
        </w:tc>
      </w:tr>
      <w:tr w:rsidR="008070E4" w:rsidRPr="00BA4790" w:rsidTr="007337F5">
        <w:tc>
          <w:tcPr>
            <w:tcW w:w="3953" w:type="dxa"/>
            <w:tcBorders>
              <w:top w:val="single" w:sz="4" w:space="0" w:color="auto"/>
            </w:tcBorders>
            <w:shd w:val="clear" w:color="auto" w:fill="EEF5E7" w:themeFill="accent3" w:themeFillTint="33"/>
            <w:vAlign w:val="center"/>
          </w:tcPr>
          <w:p w:rsidR="008070E4" w:rsidRPr="00BA4790" w:rsidRDefault="008070E4" w:rsidP="008070E4">
            <w:r w:rsidRPr="002D083F">
              <w:t>3.  Farming households have knowledge of and apply improved farming practices</w:t>
            </w:r>
          </w:p>
        </w:tc>
        <w:tc>
          <w:tcPr>
            <w:tcW w:w="5120" w:type="dxa"/>
            <w:tcBorders>
              <w:top w:val="single" w:sz="4" w:space="0" w:color="auto"/>
              <w:bottom w:val="single" w:sz="4" w:space="0" w:color="auto"/>
            </w:tcBorders>
            <w:shd w:val="clear" w:color="auto" w:fill="EEF5E7" w:themeFill="accent3" w:themeFillTint="33"/>
          </w:tcPr>
          <w:p w:rsidR="008070E4" w:rsidRPr="00177237" w:rsidRDefault="000C5D38" w:rsidP="00581D48">
            <w:r>
              <w:t>5</w:t>
            </w:r>
            <w:r w:rsidR="008070E4" w:rsidRPr="00177237">
              <w:t>. Number of farming households that have changed farming practices due to DFAT interventions</w:t>
            </w:r>
          </w:p>
        </w:tc>
        <w:tc>
          <w:tcPr>
            <w:tcW w:w="2373" w:type="dxa"/>
            <w:tcBorders>
              <w:top w:val="single" w:sz="4" w:space="0" w:color="auto"/>
              <w:bottom w:val="single" w:sz="4" w:space="0" w:color="auto"/>
            </w:tcBorders>
            <w:shd w:val="clear" w:color="auto" w:fill="EEF5E7" w:themeFill="accent3" w:themeFillTint="33"/>
          </w:tcPr>
          <w:p w:rsidR="008070E4" w:rsidRPr="00177237" w:rsidRDefault="008070E4" w:rsidP="008070E4">
            <w:r w:rsidRPr="005019E7">
              <w:t>73,468</w:t>
            </w:r>
            <w:r w:rsidRPr="005E7DB8" w:rsidDel="00866DA3">
              <w:t xml:space="preserve"> </w:t>
            </w:r>
            <w:r w:rsidRPr="00177237">
              <w:t>households</w:t>
            </w:r>
          </w:p>
        </w:tc>
        <w:tc>
          <w:tcPr>
            <w:tcW w:w="2872" w:type="dxa"/>
            <w:tcBorders>
              <w:top w:val="single" w:sz="4" w:space="0" w:color="auto"/>
              <w:bottom w:val="single" w:sz="4" w:space="0" w:color="auto"/>
            </w:tcBorders>
            <w:shd w:val="clear" w:color="auto" w:fill="EEF5E7" w:themeFill="accent3" w:themeFillTint="33"/>
          </w:tcPr>
          <w:p w:rsidR="008070E4" w:rsidRPr="00DC728B" w:rsidRDefault="008070E4" w:rsidP="008070E4"/>
        </w:tc>
      </w:tr>
      <w:tr w:rsidR="008070E4" w:rsidRPr="00BA4790" w:rsidTr="007337F5">
        <w:tc>
          <w:tcPr>
            <w:tcW w:w="3953" w:type="dxa"/>
            <w:tcBorders>
              <w:bottom w:val="single" w:sz="4" w:space="0" w:color="auto"/>
            </w:tcBorders>
            <w:shd w:val="clear" w:color="auto" w:fill="EEF5E7" w:themeFill="accent3" w:themeFillTint="33"/>
            <w:vAlign w:val="center"/>
          </w:tcPr>
          <w:p w:rsidR="008070E4" w:rsidRPr="00BA4790" w:rsidRDefault="008070E4" w:rsidP="008070E4"/>
        </w:tc>
        <w:tc>
          <w:tcPr>
            <w:tcW w:w="5120" w:type="dxa"/>
            <w:tcBorders>
              <w:top w:val="single" w:sz="4" w:space="0" w:color="auto"/>
              <w:bottom w:val="single" w:sz="4" w:space="0" w:color="auto"/>
            </w:tcBorders>
            <w:shd w:val="clear" w:color="auto" w:fill="EEF5E7" w:themeFill="accent3" w:themeFillTint="33"/>
          </w:tcPr>
          <w:p w:rsidR="008070E4" w:rsidRPr="00177237" w:rsidRDefault="000C5D38" w:rsidP="00581D48">
            <w:r>
              <w:t>6</w:t>
            </w:r>
            <w:r w:rsidR="008070E4" w:rsidRPr="00177237">
              <w:t xml:space="preserve">. Additional production per year as a result of DFAT-supported irrigation schemes </w:t>
            </w:r>
            <w:r w:rsidR="008070E4" w:rsidRPr="00177237">
              <w:rPr>
                <w:b/>
              </w:rPr>
              <w:t>(AIP Benchmark)</w:t>
            </w:r>
          </w:p>
        </w:tc>
        <w:tc>
          <w:tcPr>
            <w:tcW w:w="2373" w:type="dxa"/>
            <w:tcBorders>
              <w:top w:val="single" w:sz="4" w:space="0" w:color="auto"/>
              <w:bottom w:val="single" w:sz="4" w:space="0" w:color="auto"/>
            </w:tcBorders>
            <w:shd w:val="clear" w:color="auto" w:fill="EEF5E7" w:themeFill="accent3" w:themeFillTint="33"/>
          </w:tcPr>
          <w:p w:rsidR="008070E4" w:rsidRPr="00177237" w:rsidRDefault="008070E4" w:rsidP="008070E4">
            <w:r w:rsidRPr="005019E7">
              <w:t>130,000</w:t>
            </w:r>
            <w:r w:rsidRPr="005E7DB8" w:rsidDel="00B70033">
              <w:t xml:space="preserve"> </w:t>
            </w:r>
            <w:r w:rsidRPr="00177237">
              <w:t>tonne</w:t>
            </w:r>
          </w:p>
        </w:tc>
        <w:tc>
          <w:tcPr>
            <w:tcW w:w="2872" w:type="dxa"/>
            <w:tcBorders>
              <w:top w:val="single" w:sz="4" w:space="0" w:color="auto"/>
              <w:bottom w:val="single" w:sz="4" w:space="0" w:color="auto"/>
            </w:tcBorders>
            <w:shd w:val="clear" w:color="auto" w:fill="EEF5E7" w:themeFill="accent3" w:themeFillTint="33"/>
          </w:tcPr>
          <w:p w:rsidR="008070E4" w:rsidRPr="00DC728B" w:rsidRDefault="008070E4" w:rsidP="008070E4"/>
        </w:tc>
      </w:tr>
      <w:tr w:rsidR="008070E4" w:rsidRPr="00BA4790" w:rsidTr="00361F52">
        <w:tc>
          <w:tcPr>
            <w:tcW w:w="3953" w:type="dxa"/>
            <w:tcBorders>
              <w:top w:val="single" w:sz="4" w:space="0" w:color="auto"/>
              <w:bottom w:val="single" w:sz="4" w:space="0" w:color="auto"/>
            </w:tcBorders>
            <w:shd w:val="clear" w:color="auto" w:fill="EEF5E7" w:themeFill="accent3" w:themeFillTint="33"/>
            <w:vAlign w:val="center"/>
          </w:tcPr>
          <w:p w:rsidR="008070E4" w:rsidRPr="00BA4790" w:rsidRDefault="008070E4" w:rsidP="008070E4">
            <w:r w:rsidRPr="00BA4790">
              <w:lastRenderedPageBreak/>
              <w:t>4. Farming households have improved access to quality agricultural inputs</w:t>
            </w:r>
          </w:p>
        </w:tc>
        <w:tc>
          <w:tcPr>
            <w:tcW w:w="5120" w:type="dxa"/>
            <w:tcBorders>
              <w:top w:val="single" w:sz="4" w:space="0" w:color="auto"/>
              <w:bottom w:val="single" w:sz="4" w:space="0" w:color="auto"/>
            </w:tcBorders>
            <w:shd w:val="clear" w:color="auto" w:fill="EEF5E7" w:themeFill="accent3" w:themeFillTint="33"/>
          </w:tcPr>
          <w:p w:rsidR="008070E4" w:rsidRPr="00177237" w:rsidRDefault="000C5D38" w:rsidP="00581D48">
            <w:r>
              <w:t>7</w:t>
            </w:r>
            <w:r w:rsidR="008070E4" w:rsidRPr="00177237">
              <w:t xml:space="preserve">. Number of farming households that gain access to sustainable irrigation </w:t>
            </w:r>
          </w:p>
        </w:tc>
        <w:tc>
          <w:tcPr>
            <w:tcW w:w="2373" w:type="dxa"/>
            <w:tcBorders>
              <w:top w:val="single" w:sz="4" w:space="0" w:color="auto"/>
              <w:bottom w:val="single" w:sz="4" w:space="0" w:color="auto"/>
            </w:tcBorders>
            <w:shd w:val="clear" w:color="auto" w:fill="EEF5E7" w:themeFill="accent3" w:themeFillTint="33"/>
          </w:tcPr>
          <w:p w:rsidR="008070E4" w:rsidRPr="00177237" w:rsidRDefault="008070E4" w:rsidP="008070E4">
            <w:r w:rsidRPr="005019E7">
              <w:t>14,854</w:t>
            </w:r>
            <w:r w:rsidRPr="005E7DB8" w:rsidDel="00B70033">
              <w:t xml:space="preserve"> </w:t>
            </w:r>
            <w:r w:rsidRPr="00177237">
              <w:t>households</w:t>
            </w:r>
          </w:p>
        </w:tc>
        <w:tc>
          <w:tcPr>
            <w:tcW w:w="2872" w:type="dxa"/>
            <w:tcBorders>
              <w:top w:val="single" w:sz="4" w:space="0" w:color="auto"/>
              <w:bottom w:val="single" w:sz="4" w:space="0" w:color="auto"/>
            </w:tcBorders>
            <w:shd w:val="clear" w:color="auto" w:fill="EEF5E7" w:themeFill="accent3" w:themeFillTint="33"/>
          </w:tcPr>
          <w:p w:rsidR="008070E4" w:rsidRPr="00BA4790" w:rsidRDefault="008070E4" w:rsidP="008070E4"/>
        </w:tc>
      </w:tr>
      <w:tr w:rsidR="008070E4" w:rsidRPr="00267DCC" w:rsidTr="00AD54E2">
        <w:tc>
          <w:tcPr>
            <w:tcW w:w="3953" w:type="dxa"/>
            <w:tcBorders>
              <w:top w:val="single" w:sz="4" w:space="0" w:color="auto"/>
              <w:bottom w:val="single" w:sz="4" w:space="0" w:color="auto"/>
            </w:tcBorders>
            <w:shd w:val="clear" w:color="auto" w:fill="EEF5E7" w:themeFill="accent3" w:themeFillTint="33"/>
          </w:tcPr>
          <w:p w:rsidR="008070E4" w:rsidRPr="00BA4790" w:rsidRDefault="008070E4">
            <w:r w:rsidRPr="00BA4790">
              <w:t>5. More land available for productive use</w:t>
            </w:r>
          </w:p>
        </w:tc>
        <w:tc>
          <w:tcPr>
            <w:tcW w:w="5120" w:type="dxa"/>
            <w:tcBorders>
              <w:top w:val="single" w:sz="4" w:space="0" w:color="auto"/>
              <w:bottom w:val="single" w:sz="4" w:space="0" w:color="auto"/>
            </w:tcBorders>
            <w:shd w:val="clear" w:color="auto" w:fill="EEF5E7" w:themeFill="accent3" w:themeFillTint="33"/>
          </w:tcPr>
          <w:p w:rsidR="008070E4" w:rsidRPr="00BA4790" w:rsidRDefault="000C5D38" w:rsidP="00581D48">
            <w:pPr>
              <w:rPr>
                <w:b/>
              </w:rPr>
            </w:pPr>
            <w:r>
              <w:t>8</w:t>
            </w:r>
            <w:r w:rsidR="008070E4" w:rsidRPr="00BA4790">
              <w:t xml:space="preserve">. Land contaminated by landmines and other ERW released for productive use </w:t>
            </w:r>
            <w:r w:rsidR="008070E4" w:rsidRPr="00BA4790">
              <w:rPr>
                <w:b/>
              </w:rPr>
              <w:t>(AIP Benchmark)</w:t>
            </w:r>
          </w:p>
        </w:tc>
        <w:tc>
          <w:tcPr>
            <w:tcW w:w="2373" w:type="dxa"/>
            <w:tcBorders>
              <w:top w:val="single" w:sz="4" w:space="0" w:color="auto"/>
              <w:bottom w:val="single" w:sz="4" w:space="0" w:color="auto"/>
            </w:tcBorders>
            <w:shd w:val="clear" w:color="auto" w:fill="EEF5E7" w:themeFill="accent3" w:themeFillTint="33"/>
          </w:tcPr>
          <w:p w:rsidR="008070E4" w:rsidRPr="00D876E3" w:rsidRDefault="008070E4" w:rsidP="008070E4">
            <w:pPr>
              <w:rPr>
                <w:vertAlign w:val="superscript"/>
              </w:rPr>
            </w:pPr>
            <w:r w:rsidRPr="005E7DB8">
              <w:t>12</w:t>
            </w:r>
            <w:r w:rsidRPr="00177237">
              <w:t>.67 km</w:t>
            </w:r>
            <w:r w:rsidRPr="00177237">
              <w:rPr>
                <w:vertAlign w:val="superscript"/>
              </w:rPr>
              <w:t>2</w:t>
            </w:r>
          </w:p>
        </w:tc>
        <w:tc>
          <w:tcPr>
            <w:tcW w:w="2872" w:type="dxa"/>
            <w:tcBorders>
              <w:top w:val="single" w:sz="4" w:space="0" w:color="auto"/>
              <w:bottom w:val="single" w:sz="4" w:space="0" w:color="auto"/>
            </w:tcBorders>
            <w:shd w:val="clear" w:color="auto" w:fill="EEF5E7" w:themeFill="accent3" w:themeFillTint="33"/>
          </w:tcPr>
          <w:p w:rsidR="008070E4" w:rsidRPr="005E7DB8" w:rsidRDefault="008070E4" w:rsidP="008070E4">
            <w:r w:rsidRPr="005E7DB8">
              <w:t>6km</w:t>
            </w:r>
            <w:r w:rsidRPr="005E7DB8">
              <w:rPr>
                <w:vertAlign w:val="superscript"/>
              </w:rPr>
              <w:t>2</w:t>
            </w:r>
            <w:r w:rsidRPr="00177237">
              <w:t xml:space="preserve"> </w:t>
            </w:r>
            <w:r w:rsidR="007C0214">
              <w:t>from</w:t>
            </w:r>
            <w:r w:rsidRPr="00177237">
              <w:t xml:space="preserve"> clearance</w:t>
            </w:r>
          </w:p>
          <w:p w:rsidR="008070E4" w:rsidRPr="005E7DB8" w:rsidRDefault="008070E4" w:rsidP="008070E4">
            <w:r w:rsidRPr="005E7DB8">
              <w:t>6.67km</w:t>
            </w:r>
            <w:r w:rsidRPr="005E7DB8">
              <w:rPr>
                <w:vertAlign w:val="superscript"/>
              </w:rPr>
              <w:t>2</w:t>
            </w:r>
            <w:r w:rsidRPr="005E7DB8">
              <w:t xml:space="preserve"> </w:t>
            </w:r>
            <w:r w:rsidR="007C0214">
              <w:t>from</w:t>
            </w:r>
            <w:r w:rsidRPr="005E7DB8">
              <w:t xml:space="preserve"> land reclamation non-technical survey (LRNTS) </w:t>
            </w:r>
          </w:p>
          <w:p w:rsidR="008070E4" w:rsidRPr="00177237" w:rsidRDefault="008070E4" w:rsidP="008070E4">
            <w:pPr>
              <w:spacing w:before="60" w:after="20"/>
            </w:pPr>
          </w:p>
        </w:tc>
      </w:tr>
    </w:tbl>
    <w:p w:rsidR="00B46B46" w:rsidRPr="001D2601" w:rsidRDefault="00B46B46" w:rsidP="00B46B46">
      <w:pPr>
        <w:rPr>
          <w:b/>
          <w:i/>
        </w:rPr>
      </w:pPr>
      <w:r w:rsidRPr="001D2601">
        <w:rPr>
          <w:b/>
          <w:i/>
        </w:rPr>
        <w:t>Better health and education outcomes</w:t>
      </w:r>
    </w:p>
    <w:tbl>
      <w:tblPr>
        <w:tblW w:w="4951" w:type="pct"/>
        <w:tblLook w:val="04A0" w:firstRow="1" w:lastRow="0" w:firstColumn="1" w:lastColumn="0" w:noHBand="0" w:noVBand="1"/>
      </w:tblPr>
      <w:tblGrid>
        <w:gridCol w:w="3973"/>
        <w:gridCol w:w="5809"/>
        <w:gridCol w:w="2434"/>
        <w:gridCol w:w="2102"/>
      </w:tblGrid>
      <w:tr w:rsidR="005455D5" w:rsidRPr="00BA4790" w:rsidTr="005455D5">
        <w:tc>
          <w:tcPr>
            <w:tcW w:w="3973"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B46B46" w:rsidRPr="00BA4790" w:rsidRDefault="00B46B46" w:rsidP="00361F52">
            <w:r w:rsidRPr="00BA4790">
              <w:br w:type="page"/>
            </w:r>
            <w:r w:rsidRPr="00BA4790">
              <w:br w:type="page"/>
            </w:r>
          </w:p>
        </w:tc>
        <w:tc>
          <w:tcPr>
            <w:tcW w:w="5809" w:type="dxa"/>
            <w:tcBorders>
              <w:top w:val="single" w:sz="2" w:space="0" w:color="808080" w:themeColor="background1" w:themeShade="80"/>
              <w:bottom w:val="single" w:sz="4" w:space="0" w:color="808080" w:themeColor="background1" w:themeShade="80"/>
            </w:tcBorders>
            <w:shd w:val="clear" w:color="auto" w:fill="D7DEE2"/>
          </w:tcPr>
          <w:p w:rsidR="00B46B46" w:rsidRPr="00BA4790" w:rsidRDefault="00B46B46" w:rsidP="00361F52">
            <w:r w:rsidRPr="00BA4790">
              <w:t xml:space="preserve">Indicator </w:t>
            </w:r>
          </w:p>
        </w:tc>
        <w:tc>
          <w:tcPr>
            <w:tcW w:w="2434"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B46B46" w:rsidRPr="00BA4790" w:rsidRDefault="00B46B46" w:rsidP="00361F52">
            <w:r>
              <w:t>2019/20</w:t>
            </w:r>
            <w:r w:rsidRPr="00BA4790">
              <w:t xml:space="preserve"> Targets</w:t>
            </w:r>
          </w:p>
        </w:tc>
        <w:tc>
          <w:tcPr>
            <w:tcW w:w="2102" w:type="dxa"/>
            <w:tcBorders>
              <w:top w:val="single" w:sz="2" w:space="0" w:color="808080" w:themeColor="background1" w:themeShade="80"/>
              <w:bottom w:val="single" w:sz="4" w:space="0" w:color="808080" w:themeColor="background1" w:themeShade="80"/>
            </w:tcBorders>
            <w:shd w:val="clear" w:color="auto" w:fill="D7DEE2" w:themeFill="text2" w:themeFillTint="33"/>
          </w:tcPr>
          <w:p w:rsidR="00B46B46" w:rsidRPr="00BA4790" w:rsidRDefault="00B46B46" w:rsidP="00361F52">
            <w:r>
              <w:t>Remarks</w:t>
            </w:r>
          </w:p>
        </w:tc>
      </w:tr>
      <w:tr w:rsidR="00270B58" w:rsidRPr="00BA4790" w:rsidTr="00B44723">
        <w:tc>
          <w:tcPr>
            <w:tcW w:w="3973" w:type="dxa"/>
            <w:tcBorders>
              <w:top w:val="single" w:sz="4" w:space="0" w:color="808080" w:themeColor="background1" w:themeShade="80"/>
            </w:tcBorders>
            <w:shd w:val="clear" w:color="auto" w:fill="F2F2F2" w:themeFill="background1" w:themeFillShade="F2"/>
          </w:tcPr>
          <w:p w:rsidR="00B46B46" w:rsidRPr="00BA4790" w:rsidRDefault="00B46B46" w:rsidP="00361F52">
            <w:r w:rsidRPr="00BA4790">
              <w:t>6.  Increased access to quality health services for the poor, women and children</w:t>
            </w:r>
          </w:p>
        </w:tc>
        <w:tc>
          <w:tcPr>
            <w:tcW w:w="5809" w:type="dxa"/>
            <w:tcBorders>
              <w:top w:val="single" w:sz="4" w:space="0" w:color="808080" w:themeColor="background1" w:themeShade="80"/>
              <w:bottom w:val="single" w:sz="4" w:space="0" w:color="auto"/>
            </w:tcBorders>
            <w:shd w:val="clear" w:color="auto" w:fill="F2F2F2" w:themeFill="background1" w:themeFillShade="F2"/>
          </w:tcPr>
          <w:p w:rsidR="00B46B46" w:rsidRPr="00BA4790" w:rsidRDefault="000C5D38" w:rsidP="00581D48">
            <w:r>
              <w:t>9</w:t>
            </w:r>
            <w:r w:rsidR="00B46B46" w:rsidRPr="00BA4790">
              <w:t xml:space="preserve">. Number of health </w:t>
            </w:r>
            <w:r w:rsidR="00B46B46">
              <w:t>centres</w:t>
            </w:r>
            <w:r w:rsidR="00B46B46" w:rsidRPr="00BA4790">
              <w:t xml:space="preserve"> exceeding 60 per cent score on the quality assessment of health facilities tool </w:t>
            </w:r>
            <w:r w:rsidR="00B46B46" w:rsidRPr="00BA4790">
              <w:rPr>
                <w:b/>
              </w:rPr>
              <w:t>(AIP Benchmark)</w:t>
            </w:r>
          </w:p>
        </w:tc>
        <w:tc>
          <w:tcPr>
            <w:tcW w:w="2434" w:type="dxa"/>
            <w:tcBorders>
              <w:top w:val="single" w:sz="4" w:space="0" w:color="808080" w:themeColor="background1" w:themeShade="80"/>
              <w:bottom w:val="single" w:sz="4" w:space="0" w:color="auto"/>
            </w:tcBorders>
            <w:shd w:val="clear" w:color="auto" w:fill="F2F2F2" w:themeFill="background1" w:themeFillShade="F2"/>
          </w:tcPr>
          <w:p w:rsidR="00B46B46" w:rsidRPr="00BA4790" w:rsidRDefault="00B46B46" w:rsidP="00361F52">
            <w:r>
              <w:t xml:space="preserve">670 by Q1 of 2020 </w:t>
            </w:r>
          </w:p>
        </w:tc>
        <w:tc>
          <w:tcPr>
            <w:tcW w:w="2102" w:type="dxa"/>
            <w:tcBorders>
              <w:top w:val="single" w:sz="4" w:space="0" w:color="808080" w:themeColor="background1" w:themeShade="80"/>
              <w:bottom w:val="single" w:sz="4" w:space="0" w:color="auto"/>
            </w:tcBorders>
            <w:shd w:val="clear" w:color="auto" w:fill="F2F2F2" w:themeFill="background1" w:themeFillShade="F2"/>
          </w:tcPr>
          <w:p w:rsidR="00B46B46" w:rsidRPr="00BA4790" w:rsidRDefault="00B46B46" w:rsidP="00361F52">
            <w:r>
              <w:t xml:space="preserve">Based on estimated progress toward end </w:t>
            </w:r>
            <w:r w:rsidRPr="009F56D6">
              <w:t xml:space="preserve">H-EQIP project target </w:t>
            </w:r>
            <w:r>
              <w:t>of</w:t>
            </w:r>
            <w:r w:rsidRPr="009F56D6">
              <w:t xml:space="preserve"> </w:t>
            </w:r>
            <w:r>
              <w:t>700</w:t>
            </w:r>
            <w:r w:rsidRPr="009F56D6">
              <w:t xml:space="preserve"> </w:t>
            </w:r>
            <w:r>
              <w:t xml:space="preserve">by </w:t>
            </w:r>
            <w:r w:rsidRPr="009F56D6">
              <w:t>2020/21.</w:t>
            </w:r>
            <w:r>
              <w:t xml:space="preserve"> Result was 639 in Q1 of 2019.</w:t>
            </w:r>
          </w:p>
        </w:tc>
      </w:tr>
      <w:tr w:rsidR="005455D5" w:rsidRPr="00BA4790" w:rsidTr="00B44723">
        <w:tc>
          <w:tcPr>
            <w:tcW w:w="3973" w:type="dxa"/>
            <w:tcBorders>
              <w:top w:val="nil"/>
            </w:tcBorders>
            <w:shd w:val="clear" w:color="auto" w:fill="F2F2F2" w:themeFill="background1" w:themeFillShade="F2"/>
          </w:tcPr>
          <w:p w:rsidR="00B46B46" w:rsidRPr="00BA4790" w:rsidRDefault="00B46B46" w:rsidP="00361F52"/>
        </w:tc>
        <w:tc>
          <w:tcPr>
            <w:tcW w:w="5809" w:type="dxa"/>
            <w:tcBorders>
              <w:top w:val="single" w:sz="4" w:space="0" w:color="auto"/>
            </w:tcBorders>
            <w:shd w:val="clear" w:color="auto" w:fill="F2F2F2" w:themeFill="background1" w:themeFillShade="F2"/>
          </w:tcPr>
          <w:p w:rsidR="00B46B46" w:rsidRPr="009F56D6" w:rsidRDefault="000C5D38" w:rsidP="00361F52">
            <w:r>
              <w:t>10</w:t>
            </w:r>
            <w:r w:rsidR="00B46B46" w:rsidRPr="00BA4790">
              <w:t xml:space="preserve">. </w:t>
            </w:r>
            <w:r w:rsidR="00B46B46" w:rsidRPr="009F56D6">
              <w:t xml:space="preserve">Number of outpatient services (episode) covered by Health Equity Fund </w:t>
            </w:r>
          </w:p>
          <w:p w:rsidR="00B46B46" w:rsidRPr="00BA4790" w:rsidRDefault="00B46B46" w:rsidP="00361F52"/>
        </w:tc>
        <w:tc>
          <w:tcPr>
            <w:tcW w:w="2434" w:type="dxa"/>
            <w:tcBorders>
              <w:top w:val="single" w:sz="4" w:space="0" w:color="auto"/>
              <w:bottom w:val="single" w:sz="4" w:space="0" w:color="auto"/>
            </w:tcBorders>
            <w:shd w:val="clear" w:color="auto" w:fill="F2F2F2" w:themeFill="background1" w:themeFillShade="F2"/>
          </w:tcPr>
          <w:p w:rsidR="00B46B46" w:rsidRPr="00BA4790" w:rsidRDefault="00B46B46" w:rsidP="00361F52">
            <w:r>
              <w:t>2.86 million cases</w:t>
            </w:r>
          </w:p>
        </w:tc>
        <w:tc>
          <w:tcPr>
            <w:tcW w:w="2102" w:type="dxa"/>
            <w:tcBorders>
              <w:top w:val="single" w:sz="4" w:space="0" w:color="auto"/>
              <w:bottom w:val="single" w:sz="4" w:space="0" w:color="auto"/>
            </w:tcBorders>
            <w:shd w:val="clear" w:color="auto" w:fill="F2F2F2" w:themeFill="background1" w:themeFillShade="F2"/>
          </w:tcPr>
          <w:p w:rsidR="00B46B46" w:rsidRPr="00BA4790" w:rsidRDefault="001812A5" w:rsidP="00361F52">
            <w:r>
              <w:t xml:space="preserve">Target revised to focus on outpatient services only. </w:t>
            </w:r>
            <w:r w:rsidR="00B46B46">
              <w:t xml:space="preserve">Based on estimated progress toward end </w:t>
            </w:r>
            <w:r w:rsidR="00B46B46" w:rsidRPr="009F56D6">
              <w:t xml:space="preserve">H-EQIP project target </w:t>
            </w:r>
            <w:r w:rsidR="00B46B46">
              <w:t>of</w:t>
            </w:r>
            <w:r w:rsidR="00B46B46" w:rsidRPr="009F56D6">
              <w:t xml:space="preserve"> 3.10 million cases (2020/21). </w:t>
            </w:r>
            <w:r w:rsidR="00B46B46">
              <w:t>Result was 2.62 million in 2018.</w:t>
            </w:r>
          </w:p>
        </w:tc>
      </w:tr>
      <w:tr w:rsidR="00270B58" w:rsidRPr="00BA4790" w:rsidTr="00B44723">
        <w:tc>
          <w:tcPr>
            <w:tcW w:w="3973" w:type="dxa"/>
            <w:tcBorders>
              <w:bottom w:val="nil"/>
            </w:tcBorders>
            <w:shd w:val="clear" w:color="auto" w:fill="F2F2F2" w:themeFill="background1" w:themeFillShade="F2"/>
          </w:tcPr>
          <w:p w:rsidR="00B46B46" w:rsidRPr="00BA4790" w:rsidRDefault="00B46B46" w:rsidP="00361F52">
            <w:r w:rsidRPr="00BA4790">
              <w:t>7.  Australia Awards Alumni contribute to Cambodia’s development</w:t>
            </w:r>
          </w:p>
        </w:tc>
        <w:tc>
          <w:tcPr>
            <w:tcW w:w="5809" w:type="dxa"/>
            <w:tcBorders>
              <w:bottom w:val="single" w:sz="4" w:space="0" w:color="auto"/>
            </w:tcBorders>
            <w:shd w:val="clear" w:color="auto" w:fill="F2F2F2" w:themeFill="background1" w:themeFillShade="F2"/>
          </w:tcPr>
          <w:p w:rsidR="00B46B46" w:rsidRPr="00BA4790" w:rsidRDefault="00B46B46" w:rsidP="00581D48">
            <w:r w:rsidRPr="00BA4790">
              <w:t>1</w:t>
            </w:r>
            <w:r w:rsidR="000C5D38">
              <w:t>1</w:t>
            </w:r>
            <w:r w:rsidRPr="00BA4790">
              <w:t xml:space="preserve">. </w:t>
            </w:r>
            <w:r>
              <w:t>P</w:t>
            </w:r>
            <w:r w:rsidRPr="00BA4790">
              <w:t xml:space="preserve">ercentage of Australia Awards scholarships awarded to women and men </w:t>
            </w:r>
            <w:r w:rsidRPr="00BA4790">
              <w:rPr>
                <w:b/>
              </w:rPr>
              <w:t>(AIP Benchmark)</w:t>
            </w:r>
          </w:p>
        </w:tc>
        <w:tc>
          <w:tcPr>
            <w:tcW w:w="2434" w:type="dxa"/>
            <w:tcBorders>
              <w:top w:val="single" w:sz="4" w:space="0" w:color="auto"/>
              <w:bottom w:val="single" w:sz="4" w:space="0" w:color="auto"/>
            </w:tcBorders>
            <w:shd w:val="clear" w:color="auto" w:fill="F2F2F2" w:themeFill="background1" w:themeFillShade="F2"/>
          </w:tcPr>
          <w:p w:rsidR="00B46B46" w:rsidRPr="00C40362" w:rsidRDefault="00B46B46" w:rsidP="00361F52">
            <w:r>
              <w:t>50 per cent women, 50 per cent men</w:t>
            </w:r>
          </w:p>
        </w:tc>
        <w:tc>
          <w:tcPr>
            <w:tcW w:w="2102" w:type="dxa"/>
            <w:tcBorders>
              <w:top w:val="single" w:sz="4" w:space="0" w:color="auto"/>
              <w:bottom w:val="single" w:sz="4" w:space="0" w:color="auto"/>
            </w:tcBorders>
            <w:shd w:val="clear" w:color="auto" w:fill="F2F2F2" w:themeFill="background1" w:themeFillShade="F2"/>
          </w:tcPr>
          <w:p w:rsidR="00B46B46" w:rsidRPr="00BA4790" w:rsidRDefault="00B46B46" w:rsidP="00361F52"/>
        </w:tc>
      </w:tr>
      <w:tr w:rsidR="00270B58" w:rsidRPr="00BA4790" w:rsidTr="00361F52">
        <w:tc>
          <w:tcPr>
            <w:tcW w:w="3973" w:type="dxa"/>
            <w:tcBorders>
              <w:top w:val="nil"/>
              <w:bottom w:val="single" w:sz="4" w:space="0" w:color="auto"/>
            </w:tcBorders>
            <w:shd w:val="clear" w:color="auto" w:fill="F2F2F2" w:themeFill="background1" w:themeFillShade="F2"/>
          </w:tcPr>
          <w:p w:rsidR="00B46B46" w:rsidRPr="00BA4790" w:rsidRDefault="00B46B46" w:rsidP="00361F52"/>
        </w:tc>
        <w:tc>
          <w:tcPr>
            <w:tcW w:w="5809" w:type="dxa"/>
            <w:tcBorders>
              <w:top w:val="single" w:sz="4" w:space="0" w:color="auto"/>
              <w:bottom w:val="single" w:sz="4" w:space="0" w:color="auto"/>
            </w:tcBorders>
            <w:shd w:val="clear" w:color="auto" w:fill="F2F2F2" w:themeFill="background1" w:themeFillShade="F2"/>
          </w:tcPr>
          <w:p w:rsidR="00B46B46" w:rsidRPr="00BA4790" w:rsidRDefault="00B46B46" w:rsidP="00581D48">
            <w:r w:rsidRPr="00BA4790">
              <w:t>1</w:t>
            </w:r>
            <w:r w:rsidR="000C5D38">
              <w:t>2</w:t>
            </w:r>
            <w:r w:rsidRPr="00BA4790">
              <w:t xml:space="preserve">. </w:t>
            </w:r>
            <w:r>
              <w:t>Percentage of male and female alumni use their skills and knowledge to make a positive contribution to their field of expertise</w:t>
            </w:r>
          </w:p>
        </w:tc>
        <w:tc>
          <w:tcPr>
            <w:tcW w:w="2434" w:type="dxa"/>
            <w:tcBorders>
              <w:top w:val="single" w:sz="4" w:space="0" w:color="auto"/>
              <w:bottom w:val="single" w:sz="4" w:space="0" w:color="auto"/>
            </w:tcBorders>
            <w:shd w:val="clear" w:color="auto" w:fill="F2F2F2" w:themeFill="background1" w:themeFillShade="F2"/>
          </w:tcPr>
          <w:p w:rsidR="00B46B46" w:rsidRPr="00C40362" w:rsidRDefault="00B46B46" w:rsidP="00361F52">
            <w:r>
              <w:t>75 per cent of alumni are employed in a position relevant to their field of study after 2 years of return</w:t>
            </w:r>
          </w:p>
        </w:tc>
        <w:tc>
          <w:tcPr>
            <w:tcW w:w="2102" w:type="dxa"/>
            <w:tcBorders>
              <w:top w:val="single" w:sz="4" w:space="0" w:color="auto"/>
              <w:bottom w:val="single" w:sz="4" w:space="0" w:color="auto"/>
            </w:tcBorders>
            <w:shd w:val="clear" w:color="auto" w:fill="F2F2F2" w:themeFill="background1" w:themeFillShade="F2"/>
          </w:tcPr>
          <w:p w:rsidR="00B46B46" w:rsidRPr="00BA4790" w:rsidRDefault="00B46B46" w:rsidP="00361F52"/>
        </w:tc>
      </w:tr>
    </w:tbl>
    <w:p w:rsidR="00B46B46" w:rsidRPr="00BA4790" w:rsidRDefault="00B46B46" w:rsidP="00B46B46">
      <w:pPr>
        <w:rPr>
          <w:b/>
        </w:rPr>
      </w:pPr>
    </w:p>
    <w:p w:rsidR="00B46B46" w:rsidRPr="001D2601" w:rsidRDefault="00B46B46" w:rsidP="00B46B46">
      <w:pPr>
        <w:rPr>
          <w:b/>
          <w:i/>
        </w:rPr>
      </w:pPr>
      <w:r w:rsidRPr="001D2601">
        <w:rPr>
          <w:b/>
          <w:i/>
        </w:rPr>
        <w:t xml:space="preserve">Inclusive governance and cross-cutting issues </w:t>
      </w:r>
    </w:p>
    <w:tbl>
      <w:tblPr>
        <w:tblW w:w="4968" w:type="pct"/>
        <w:tblLook w:val="04A0" w:firstRow="1" w:lastRow="0" w:firstColumn="1" w:lastColumn="0" w:noHBand="0" w:noVBand="1"/>
      </w:tblPr>
      <w:tblGrid>
        <w:gridCol w:w="4078"/>
        <w:gridCol w:w="510"/>
        <w:gridCol w:w="5351"/>
        <w:gridCol w:w="98"/>
        <w:gridCol w:w="2192"/>
        <w:gridCol w:w="2138"/>
      </w:tblGrid>
      <w:tr w:rsidR="00AD16E0" w:rsidRPr="00BA4790" w:rsidTr="00361F52">
        <w:tc>
          <w:tcPr>
            <w:tcW w:w="4588" w:type="dxa"/>
            <w:gridSpan w:val="2"/>
            <w:tcBorders>
              <w:top w:val="single" w:sz="2" w:space="0" w:color="808080" w:themeColor="background1" w:themeShade="80"/>
              <w:bottom w:val="single" w:sz="4" w:space="0" w:color="auto"/>
            </w:tcBorders>
            <w:shd w:val="clear" w:color="auto" w:fill="D7DEE2"/>
          </w:tcPr>
          <w:p w:rsidR="00B46B46" w:rsidRPr="00BA4790" w:rsidRDefault="00B46B46" w:rsidP="00361F52">
            <w:r w:rsidRPr="00BA4790">
              <w:br w:type="page"/>
            </w:r>
            <w:r w:rsidRPr="00BA4790">
              <w:br w:type="page"/>
            </w:r>
          </w:p>
        </w:tc>
        <w:tc>
          <w:tcPr>
            <w:tcW w:w="5449" w:type="dxa"/>
            <w:gridSpan w:val="2"/>
            <w:tcBorders>
              <w:top w:val="single" w:sz="2" w:space="0" w:color="808080" w:themeColor="background1" w:themeShade="80"/>
              <w:bottom w:val="single" w:sz="4" w:space="0" w:color="auto"/>
            </w:tcBorders>
            <w:shd w:val="clear" w:color="auto" w:fill="D7DEE2"/>
          </w:tcPr>
          <w:p w:rsidR="00B46B46" w:rsidRPr="00BA4790" w:rsidRDefault="00B46B46" w:rsidP="00361F52">
            <w:r w:rsidRPr="00BA4790">
              <w:t xml:space="preserve">Indicator </w:t>
            </w:r>
          </w:p>
        </w:tc>
        <w:tc>
          <w:tcPr>
            <w:tcW w:w="2192" w:type="dxa"/>
            <w:tcBorders>
              <w:top w:val="single" w:sz="2" w:space="0" w:color="808080" w:themeColor="background1" w:themeShade="80"/>
              <w:bottom w:val="single" w:sz="4" w:space="0" w:color="auto"/>
            </w:tcBorders>
            <w:shd w:val="clear" w:color="auto" w:fill="D7DEE2"/>
          </w:tcPr>
          <w:p w:rsidR="00B46B46" w:rsidRPr="00BA4790" w:rsidRDefault="00B46B46" w:rsidP="00361F52">
            <w:r>
              <w:t>2019/20</w:t>
            </w:r>
            <w:r w:rsidRPr="00BA4790">
              <w:t xml:space="preserve"> Targets</w:t>
            </w:r>
          </w:p>
        </w:tc>
        <w:tc>
          <w:tcPr>
            <w:tcW w:w="2138" w:type="dxa"/>
            <w:tcBorders>
              <w:top w:val="single" w:sz="2" w:space="0" w:color="808080" w:themeColor="background1" w:themeShade="80"/>
              <w:bottom w:val="single" w:sz="4" w:space="0" w:color="auto"/>
            </w:tcBorders>
            <w:shd w:val="clear" w:color="auto" w:fill="D7DEE2"/>
          </w:tcPr>
          <w:p w:rsidR="00B46B46" w:rsidRPr="00BA4790" w:rsidRDefault="00B46B46" w:rsidP="00361F52">
            <w:r>
              <w:t>Remarks</w:t>
            </w:r>
          </w:p>
        </w:tc>
      </w:tr>
      <w:tr w:rsidR="00AD16E0" w:rsidRPr="00BA4790" w:rsidTr="00361F52">
        <w:tc>
          <w:tcPr>
            <w:tcW w:w="4078" w:type="dxa"/>
            <w:tcBorders>
              <w:top w:val="single" w:sz="4" w:space="0" w:color="auto"/>
              <w:bottom w:val="single" w:sz="4" w:space="0" w:color="auto"/>
            </w:tcBorders>
            <w:shd w:val="clear" w:color="auto" w:fill="D7DEE2" w:themeFill="text2" w:themeFillTint="33"/>
          </w:tcPr>
          <w:p w:rsidR="00B46B46" w:rsidRPr="00BA4790" w:rsidRDefault="00B46B46" w:rsidP="00361F52">
            <w:r w:rsidRPr="00BA4790">
              <w:t xml:space="preserve">8. </w:t>
            </w:r>
            <w:r>
              <w:t xml:space="preserve">Quality services for women affected by </w:t>
            </w:r>
            <w:r w:rsidRPr="00BA4790">
              <w:t>gender-based violence</w:t>
            </w:r>
            <w:r>
              <w:t xml:space="preserve"> and people with a disability</w:t>
            </w:r>
          </w:p>
        </w:tc>
        <w:tc>
          <w:tcPr>
            <w:tcW w:w="5861" w:type="dxa"/>
            <w:gridSpan w:val="2"/>
            <w:tcBorders>
              <w:top w:val="single" w:sz="4" w:space="0" w:color="auto"/>
              <w:bottom w:val="single" w:sz="4" w:space="0" w:color="auto"/>
            </w:tcBorders>
            <w:shd w:val="clear" w:color="auto" w:fill="D7DEE2" w:themeFill="text2" w:themeFillTint="33"/>
          </w:tcPr>
          <w:p w:rsidR="00B46B46" w:rsidRPr="00676988" w:rsidRDefault="00B46B46" w:rsidP="00B53B0E">
            <w:r w:rsidRPr="00676988">
              <w:t>1</w:t>
            </w:r>
            <w:r w:rsidR="000C5D38">
              <w:t>3</w:t>
            </w:r>
            <w:r w:rsidRPr="00676988">
              <w:t xml:space="preserve">. </w:t>
            </w:r>
            <w:r>
              <w:t>The ACCESS Program enters grant-based partnerships with organisations to deliver quality GBV and disability-related services</w:t>
            </w:r>
            <w:r w:rsidR="00B53B0E">
              <w:t xml:space="preserve"> that align with national policy priorities.</w:t>
            </w:r>
          </w:p>
        </w:tc>
        <w:tc>
          <w:tcPr>
            <w:tcW w:w="2290" w:type="dxa"/>
            <w:gridSpan w:val="2"/>
            <w:tcBorders>
              <w:top w:val="single" w:sz="4" w:space="0" w:color="auto"/>
              <w:bottom w:val="single" w:sz="4" w:space="0" w:color="auto"/>
            </w:tcBorders>
            <w:shd w:val="clear" w:color="auto" w:fill="D7DEE2" w:themeFill="text2" w:themeFillTint="33"/>
          </w:tcPr>
          <w:p w:rsidR="00B46B46" w:rsidRPr="00676988" w:rsidRDefault="00B46B46" w:rsidP="00361F52">
            <w:r>
              <w:t>AUD 5 million</w:t>
            </w:r>
          </w:p>
        </w:tc>
        <w:tc>
          <w:tcPr>
            <w:tcW w:w="2138" w:type="dxa"/>
            <w:tcBorders>
              <w:top w:val="single" w:sz="4" w:space="0" w:color="auto"/>
              <w:bottom w:val="single" w:sz="4" w:space="0" w:color="auto"/>
            </w:tcBorders>
            <w:shd w:val="clear" w:color="auto" w:fill="D7DEE2" w:themeFill="text2" w:themeFillTint="33"/>
          </w:tcPr>
          <w:p w:rsidR="00B46B46" w:rsidRPr="00676988" w:rsidRDefault="00B46B46" w:rsidP="00361F52">
            <w:r>
              <w:t>Key milestone for 2019</w:t>
            </w:r>
          </w:p>
        </w:tc>
      </w:tr>
      <w:tr w:rsidR="00AD16E0" w:rsidRPr="00BA4790" w:rsidTr="00361F52">
        <w:tc>
          <w:tcPr>
            <w:tcW w:w="4078" w:type="dxa"/>
            <w:tcBorders>
              <w:top w:val="single" w:sz="4" w:space="0" w:color="auto"/>
              <w:bottom w:val="single" w:sz="4" w:space="0" w:color="auto"/>
            </w:tcBorders>
            <w:shd w:val="clear" w:color="auto" w:fill="D7DEE2" w:themeFill="text2" w:themeFillTint="33"/>
          </w:tcPr>
          <w:p w:rsidR="00B46B46" w:rsidRPr="00BA4790" w:rsidRDefault="00B46B46" w:rsidP="00361F52">
            <w:r>
              <w:t>09. S</w:t>
            </w:r>
            <w:r w:rsidRPr="00D76AAB">
              <w:t xml:space="preserve">trengthen the capacity of Cambodian institutions to </w:t>
            </w:r>
            <w:r>
              <w:t xml:space="preserve">develop networks </w:t>
            </w:r>
            <w:r w:rsidRPr="00D76AAB">
              <w:t xml:space="preserve">undertake quality research </w:t>
            </w:r>
            <w:r>
              <w:t>and use this to inform public policy</w:t>
            </w:r>
          </w:p>
        </w:tc>
        <w:tc>
          <w:tcPr>
            <w:tcW w:w="5861" w:type="dxa"/>
            <w:gridSpan w:val="2"/>
            <w:tcBorders>
              <w:top w:val="single" w:sz="4" w:space="0" w:color="auto"/>
              <w:bottom w:val="single" w:sz="4" w:space="0" w:color="auto"/>
            </w:tcBorders>
            <w:shd w:val="clear" w:color="auto" w:fill="D7DEE2" w:themeFill="text2" w:themeFillTint="33"/>
          </w:tcPr>
          <w:p w:rsidR="00B46B46" w:rsidRPr="005E7DB8" w:rsidRDefault="00B46B46" w:rsidP="00171F6F">
            <w:pPr>
              <w:rPr>
                <w:highlight w:val="yellow"/>
              </w:rPr>
            </w:pPr>
            <w:r>
              <w:t>1</w:t>
            </w:r>
            <w:r w:rsidR="000C5D38">
              <w:t>4</w:t>
            </w:r>
            <w:r>
              <w:t xml:space="preserve">. </w:t>
            </w:r>
            <w:r w:rsidR="00171F6F">
              <w:t>Partnerships entered with Cambodian knowledge-sector institutions</w:t>
            </w:r>
          </w:p>
        </w:tc>
        <w:tc>
          <w:tcPr>
            <w:tcW w:w="2290" w:type="dxa"/>
            <w:gridSpan w:val="2"/>
            <w:tcBorders>
              <w:top w:val="single" w:sz="4" w:space="0" w:color="auto"/>
              <w:bottom w:val="single" w:sz="4" w:space="0" w:color="auto"/>
            </w:tcBorders>
            <w:shd w:val="clear" w:color="auto" w:fill="D7DEE2" w:themeFill="text2" w:themeFillTint="33"/>
          </w:tcPr>
          <w:p w:rsidR="00B46B46" w:rsidRPr="005E7DB8" w:rsidRDefault="00B46B46" w:rsidP="00BE46F0">
            <w:pPr>
              <w:rPr>
                <w:highlight w:val="yellow"/>
              </w:rPr>
            </w:pPr>
            <w:r w:rsidRPr="001924DC">
              <w:t>7</w:t>
            </w:r>
            <w:r>
              <w:t xml:space="preserve"> (4 </w:t>
            </w:r>
            <w:r w:rsidR="00BE46F0">
              <w:t xml:space="preserve">with </w:t>
            </w:r>
            <w:r>
              <w:t>core partners and 3 through emerging research grants)</w:t>
            </w:r>
          </w:p>
        </w:tc>
        <w:tc>
          <w:tcPr>
            <w:tcW w:w="2138" w:type="dxa"/>
            <w:tcBorders>
              <w:top w:val="single" w:sz="4" w:space="0" w:color="auto"/>
              <w:bottom w:val="single" w:sz="4" w:space="0" w:color="auto"/>
            </w:tcBorders>
            <w:shd w:val="clear" w:color="auto" w:fill="D7DEE2" w:themeFill="text2" w:themeFillTint="33"/>
          </w:tcPr>
          <w:p w:rsidR="00B46B46" w:rsidRPr="00BA4790" w:rsidRDefault="00B46B46" w:rsidP="00171F6F">
            <w:r w:rsidRPr="001924DC">
              <w:rPr>
                <w:i/>
              </w:rPr>
              <w:t>Ponlok Chomnes</w:t>
            </w:r>
            <w:r>
              <w:t xml:space="preserve"> Year 1 plan (March 2018 – Feb 2019)</w:t>
            </w:r>
          </w:p>
        </w:tc>
      </w:tr>
      <w:tr w:rsidR="005455D5" w:rsidRPr="00BA4790" w:rsidTr="00361F52">
        <w:tc>
          <w:tcPr>
            <w:tcW w:w="4078" w:type="dxa"/>
            <w:tcBorders>
              <w:top w:val="single" w:sz="4" w:space="0" w:color="auto"/>
              <w:bottom w:val="nil"/>
            </w:tcBorders>
            <w:shd w:val="clear" w:color="auto" w:fill="D7DEE2" w:themeFill="text2" w:themeFillTint="33"/>
          </w:tcPr>
          <w:p w:rsidR="005455D5" w:rsidRPr="00BA4790" w:rsidRDefault="005455D5" w:rsidP="005455D5">
            <w:r w:rsidRPr="00BA4790">
              <w:t xml:space="preserve">10.  Increased </w:t>
            </w:r>
            <w:r>
              <w:t xml:space="preserve">opportunities for </w:t>
            </w:r>
            <w:r w:rsidRPr="00BA4790">
              <w:t xml:space="preserve">Cambodia’s </w:t>
            </w:r>
            <w:r>
              <w:t>p</w:t>
            </w:r>
            <w:r w:rsidRPr="00BA4790">
              <w:t xml:space="preserve">rivate </w:t>
            </w:r>
            <w:r>
              <w:t>s</w:t>
            </w:r>
            <w:r w:rsidRPr="00BA4790">
              <w:t>ector</w:t>
            </w:r>
            <w:r>
              <w:t xml:space="preserve"> (especially small- and medium-sized enterprises) to participate in transparent and effective public-private partnerships</w:t>
            </w:r>
          </w:p>
        </w:tc>
        <w:tc>
          <w:tcPr>
            <w:tcW w:w="5861" w:type="dxa"/>
            <w:gridSpan w:val="2"/>
            <w:tcBorders>
              <w:top w:val="single" w:sz="4" w:space="0" w:color="auto"/>
              <w:bottom w:val="single" w:sz="4" w:space="0" w:color="auto"/>
            </w:tcBorders>
            <w:shd w:val="clear" w:color="auto" w:fill="D7DEE2" w:themeFill="text2" w:themeFillTint="33"/>
          </w:tcPr>
          <w:p w:rsidR="005455D5" w:rsidRPr="00E43906" w:rsidRDefault="005455D5" w:rsidP="00581D48">
            <w:r w:rsidRPr="00E43906">
              <w:t>1</w:t>
            </w:r>
            <w:r>
              <w:t>5</w:t>
            </w:r>
            <w:r w:rsidRPr="00E43906">
              <w:t xml:space="preserve">. Number of private industry associations assisted to promote sustainable and inclusive development </w:t>
            </w:r>
          </w:p>
        </w:tc>
        <w:tc>
          <w:tcPr>
            <w:tcW w:w="2290" w:type="dxa"/>
            <w:gridSpan w:val="2"/>
            <w:tcBorders>
              <w:top w:val="single" w:sz="4" w:space="0" w:color="auto"/>
              <w:bottom w:val="single" w:sz="4" w:space="0" w:color="auto"/>
            </w:tcBorders>
            <w:shd w:val="clear" w:color="auto" w:fill="D7DEE2" w:themeFill="text2" w:themeFillTint="33"/>
          </w:tcPr>
          <w:p w:rsidR="005455D5" w:rsidRPr="005455D5" w:rsidRDefault="005455D5" w:rsidP="005455D5">
            <w:pPr>
              <w:rPr>
                <w:highlight w:val="yellow"/>
              </w:rPr>
            </w:pPr>
            <w:r w:rsidRPr="00D2391C">
              <w:t xml:space="preserve"> 29</w:t>
            </w:r>
            <w:r w:rsidRPr="00D2391C" w:rsidDel="00E43906">
              <w:t xml:space="preserve"> </w:t>
            </w:r>
          </w:p>
        </w:tc>
        <w:tc>
          <w:tcPr>
            <w:tcW w:w="2138" w:type="dxa"/>
            <w:tcBorders>
              <w:top w:val="single" w:sz="4" w:space="0" w:color="auto"/>
              <w:bottom w:val="single" w:sz="4" w:space="0" w:color="auto"/>
            </w:tcBorders>
            <w:shd w:val="clear" w:color="auto" w:fill="D7DEE2" w:themeFill="text2" w:themeFillTint="33"/>
          </w:tcPr>
          <w:p w:rsidR="005455D5" w:rsidRPr="00D2391C" w:rsidRDefault="005455D5" w:rsidP="005455D5">
            <w:r w:rsidRPr="00D2391C">
              <w:t>CAVAC: 18</w:t>
            </w:r>
          </w:p>
          <w:p w:rsidR="005455D5" w:rsidRPr="005455D5" w:rsidRDefault="005455D5" w:rsidP="007C0214">
            <w:pPr>
              <w:rPr>
                <w:highlight w:val="yellow"/>
              </w:rPr>
            </w:pPr>
            <w:r w:rsidRPr="00D2391C">
              <w:t xml:space="preserve">3i: 11 </w:t>
            </w:r>
          </w:p>
        </w:tc>
      </w:tr>
      <w:tr w:rsidR="005455D5" w:rsidRPr="00BA4790" w:rsidTr="00361F52">
        <w:tc>
          <w:tcPr>
            <w:tcW w:w="4078" w:type="dxa"/>
            <w:tcBorders>
              <w:top w:val="nil"/>
              <w:bottom w:val="single" w:sz="4" w:space="0" w:color="auto"/>
            </w:tcBorders>
            <w:shd w:val="clear" w:color="auto" w:fill="D7DEE2" w:themeFill="text2" w:themeFillTint="33"/>
          </w:tcPr>
          <w:p w:rsidR="005455D5" w:rsidRPr="00BA4790" w:rsidRDefault="005455D5" w:rsidP="005455D5"/>
        </w:tc>
        <w:tc>
          <w:tcPr>
            <w:tcW w:w="5861" w:type="dxa"/>
            <w:gridSpan w:val="2"/>
            <w:tcBorders>
              <w:top w:val="single" w:sz="4" w:space="0" w:color="auto"/>
              <w:bottom w:val="single" w:sz="4" w:space="0" w:color="auto"/>
            </w:tcBorders>
            <w:shd w:val="clear" w:color="auto" w:fill="D7DEE2" w:themeFill="text2" w:themeFillTint="33"/>
          </w:tcPr>
          <w:p w:rsidR="005455D5" w:rsidRPr="00E43906" w:rsidRDefault="005455D5" w:rsidP="00581D48">
            <w:r w:rsidRPr="00E43906">
              <w:t>1</w:t>
            </w:r>
            <w:r>
              <w:t>6</w:t>
            </w:r>
            <w:r w:rsidRPr="00E43906">
              <w:t>. Value of private investment leveraged for development purposes (AUD)</w:t>
            </w:r>
          </w:p>
        </w:tc>
        <w:tc>
          <w:tcPr>
            <w:tcW w:w="2290" w:type="dxa"/>
            <w:gridSpan w:val="2"/>
            <w:tcBorders>
              <w:top w:val="single" w:sz="4" w:space="0" w:color="auto"/>
              <w:bottom w:val="single" w:sz="4" w:space="0" w:color="auto"/>
            </w:tcBorders>
            <w:shd w:val="clear" w:color="auto" w:fill="D7DEE2" w:themeFill="text2" w:themeFillTint="33"/>
          </w:tcPr>
          <w:p w:rsidR="005455D5" w:rsidRPr="005455D5" w:rsidRDefault="005455D5" w:rsidP="005455D5">
            <w:pPr>
              <w:rPr>
                <w:highlight w:val="yellow"/>
              </w:rPr>
            </w:pPr>
            <w:r w:rsidRPr="00D2391C">
              <w:t>AUD5,000,000</w:t>
            </w:r>
          </w:p>
        </w:tc>
        <w:tc>
          <w:tcPr>
            <w:tcW w:w="2138" w:type="dxa"/>
            <w:tcBorders>
              <w:top w:val="single" w:sz="4" w:space="0" w:color="auto"/>
              <w:bottom w:val="single" w:sz="4" w:space="0" w:color="auto"/>
            </w:tcBorders>
            <w:shd w:val="clear" w:color="auto" w:fill="D7DEE2" w:themeFill="text2" w:themeFillTint="33"/>
          </w:tcPr>
          <w:p w:rsidR="005455D5" w:rsidRPr="00D2391C" w:rsidRDefault="005455D5" w:rsidP="005455D5">
            <w:r w:rsidRPr="00D2391C">
              <w:t>CAVAC: AUD700,000</w:t>
            </w:r>
          </w:p>
          <w:p w:rsidR="005455D5" w:rsidRPr="005455D5" w:rsidRDefault="005455D5" w:rsidP="005455D5">
            <w:pPr>
              <w:rPr>
                <w:highlight w:val="yellow"/>
              </w:rPr>
            </w:pPr>
            <w:r w:rsidRPr="00D2391C">
              <w:t>3i: AUD 4,300,000</w:t>
            </w:r>
          </w:p>
        </w:tc>
      </w:tr>
    </w:tbl>
    <w:p w:rsidR="00012FCD" w:rsidRDefault="007C7C37" w:rsidP="00C05D5C">
      <w:pPr>
        <w:rPr>
          <w:rFonts w:asciiTheme="majorHAnsi" w:eastAsiaTheme="majorEastAsia" w:hAnsiTheme="majorHAnsi" w:cstheme="majorHAnsi"/>
          <w:bCs/>
          <w:iCs/>
          <w:caps/>
          <w:spacing w:val="-10"/>
          <w:kern w:val="28"/>
          <w:sz w:val="38"/>
          <w:szCs w:val="24"/>
        </w:rPr>
        <w:sectPr w:rsidR="00012FCD" w:rsidSect="00012FCD">
          <w:pgSz w:w="16838" w:h="11906" w:orient="landscape" w:code="9"/>
          <w:pgMar w:top="1134" w:right="1527" w:bottom="1134" w:left="851" w:header="1418" w:footer="267" w:gutter="0"/>
          <w:cols w:space="397"/>
          <w:docGrid w:linePitch="360"/>
        </w:sectPr>
      </w:pPr>
      <w:r w:rsidRPr="00B9720C">
        <w:rPr>
          <w:sz w:val="20"/>
        </w:rPr>
        <w:t>*</w:t>
      </w:r>
      <w:r w:rsidR="00D576D9" w:rsidRPr="00B9720C">
        <w:rPr>
          <w:sz w:val="20"/>
        </w:rPr>
        <w:t xml:space="preserve">Note: The </w:t>
      </w:r>
      <w:r w:rsidR="00EA2C1C" w:rsidRPr="00B9720C">
        <w:rPr>
          <w:sz w:val="20"/>
        </w:rPr>
        <w:t>Performance Assessment Framework will</w:t>
      </w:r>
      <w:r w:rsidR="00D576D9" w:rsidRPr="00B9720C">
        <w:rPr>
          <w:sz w:val="20"/>
        </w:rPr>
        <w:t xml:space="preserve"> be </w:t>
      </w:r>
      <w:r w:rsidR="00EA2C1C" w:rsidRPr="00B9720C">
        <w:rPr>
          <w:sz w:val="20"/>
        </w:rPr>
        <w:t xml:space="preserve">further </w:t>
      </w:r>
      <w:r w:rsidR="00D576D9" w:rsidRPr="00B9720C">
        <w:rPr>
          <w:sz w:val="20"/>
        </w:rPr>
        <w:t>elaborated in the forthcoming Aid Investment Plan for Cambodia.</w:t>
      </w:r>
      <w:r w:rsidR="00EA2C1C" w:rsidRPr="00B9720C">
        <w:rPr>
          <w:sz w:val="20"/>
        </w:rPr>
        <w:t xml:space="preserve"> Key indicators may be adjusted based on the new AIP objectives.</w:t>
      </w:r>
      <w:r w:rsidR="007C24BC">
        <w:rPr>
          <w:sz w:val="20"/>
        </w:rPr>
        <w:t xml:space="preserve"> Refer to the</w:t>
      </w:r>
      <w:r w:rsidR="004E0B38">
        <w:rPr>
          <w:sz w:val="20"/>
        </w:rPr>
        <w:t xml:space="preserve"> AIP </w:t>
      </w:r>
      <w:r w:rsidR="007C24BC">
        <w:rPr>
          <w:sz w:val="20"/>
        </w:rPr>
        <w:t>for reporting purposes in 2019-20.</w:t>
      </w:r>
    </w:p>
    <w:p w:rsidR="00C05D5C" w:rsidRPr="00EF26B5" w:rsidRDefault="00C05D5C" w:rsidP="00C05D5C">
      <w:pPr>
        <w:rPr>
          <w:rFonts w:asciiTheme="majorHAnsi" w:eastAsiaTheme="majorEastAsia" w:hAnsiTheme="majorHAnsi" w:cstheme="majorHAnsi"/>
          <w:bCs/>
          <w:iCs/>
          <w:caps/>
          <w:spacing w:val="-10"/>
          <w:kern w:val="28"/>
          <w:sz w:val="38"/>
          <w:szCs w:val="24"/>
        </w:rPr>
      </w:pPr>
      <w:r w:rsidRPr="00EF26B5">
        <w:rPr>
          <w:rFonts w:asciiTheme="majorHAnsi" w:eastAsiaTheme="majorEastAsia" w:hAnsiTheme="majorHAnsi" w:cstheme="majorHAnsi"/>
          <w:bCs/>
          <w:iCs/>
          <w:caps/>
          <w:spacing w:val="-10"/>
          <w:kern w:val="28"/>
          <w:sz w:val="38"/>
          <w:szCs w:val="24"/>
        </w:rPr>
        <w:lastRenderedPageBreak/>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BE737D" w:rsidTr="00D05246">
        <w:trPr>
          <w:trHeight w:val="1156"/>
        </w:trPr>
        <w:tc>
          <w:tcPr>
            <w:tcW w:w="1271" w:type="dxa"/>
            <w:shd w:val="clear" w:color="auto" w:fill="D7DEE2" w:themeFill="text2" w:themeFillTint="33"/>
          </w:tcPr>
          <w:p w:rsidR="00BE737D" w:rsidRDefault="00BE737D" w:rsidP="00D05246">
            <w:pPr>
              <w:spacing w:before="80" w:after="80"/>
            </w:pPr>
            <w:r w:rsidRPr="00F75380">
              <w:rPr>
                <w:noProof/>
                <w:lang w:val="en-AU" w:eastAsia="en-AU"/>
              </w:rPr>
              <w:drawing>
                <wp:inline distT="0" distB="0" distL="0" distR="0" wp14:anchorId="286BF2EA" wp14:editId="5052C4E3">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258160E" wp14:editId="5852C58A">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Reduce inequality within</w:t>
            </w:r>
            <w:r>
              <w:rPr>
                <w:sz w:val="16"/>
              </w:rPr>
              <w:t xml:space="preserve"> </w:t>
            </w:r>
            <w:r w:rsidRPr="00AB289B">
              <w:rPr>
                <w:sz w:val="16"/>
              </w:rPr>
              <w:t>and among countries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7A7130A5" wp14:editId="63643143">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5C2B2FB" wp14:editId="69590047">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66C8D5F" wp14:editId="5D78265D">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6564A81B" wp14:editId="61920A58">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3AA3B972" wp14:editId="360E1E56">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56AE8D80" wp14:editId="0177538D">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59CCF8DA" wp14:editId="2773989E">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8B2A70A" wp14:editId="18BEE29B">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6E082215" wp14:editId="49106E4C">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16643E64" wp14:editId="1EBA4192">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6A723D34" wp14:editId="3BA2D273">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70706875" wp14:editId="236432D0">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55FE1507" wp14:editId="0F79819E">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436E363B" wp14:editId="7623593C">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05246">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BE737D" w:rsidTr="00D05246">
        <w:tc>
          <w:tcPr>
            <w:tcW w:w="1271" w:type="dxa"/>
            <w:shd w:val="clear" w:color="auto" w:fill="D7DEE2" w:themeFill="text2" w:themeFillTint="33"/>
          </w:tcPr>
          <w:p w:rsidR="00BE737D" w:rsidRDefault="00BE737D" w:rsidP="00D05246">
            <w:pPr>
              <w:spacing w:before="80" w:after="80"/>
            </w:pPr>
            <w:r>
              <w:rPr>
                <w:noProof/>
                <w:lang w:val="en-AU" w:eastAsia="en-AU"/>
              </w:rPr>
              <w:drawing>
                <wp:inline distT="0" distB="0" distL="0" distR="0" wp14:anchorId="452350E7" wp14:editId="76E37C5D">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05246">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rsidR="00BE737D" w:rsidRDefault="00BE737D" w:rsidP="00D05246"/>
        </w:tc>
        <w:tc>
          <w:tcPr>
            <w:tcW w:w="1276" w:type="dxa"/>
            <w:shd w:val="clear" w:color="auto" w:fill="D7DEE2" w:themeFill="text2" w:themeFillTint="33"/>
          </w:tcPr>
          <w:p w:rsidR="00BE737D" w:rsidRPr="00AB289B" w:rsidRDefault="00BE737D" w:rsidP="00D05246">
            <w:pPr>
              <w:spacing w:before="80" w:after="80"/>
              <w:rPr>
                <w:sz w:val="16"/>
              </w:rPr>
            </w:pPr>
          </w:p>
        </w:tc>
        <w:tc>
          <w:tcPr>
            <w:tcW w:w="3544" w:type="dxa"/>
            <w:shd w:val="clear" w:color="auto" w:fill="D7DEE2" w:themeFill="text2" w:themeFillTint="33"/>
          </w:tcPr>
          <w:p w:rsidR="00BE737D" w:rsidRPr="00AB289B" w:rsidRDefault="00BE737D" w:rsidP="00D05246">
            <w:pPr>
              <w:spacing w:before="80" w:after="80"/>
              <w:rPr>
                <w:sz w:val="16"/>
              </w:rPr>
            </w:pPr>
          </w:p>
        </w:tc>
      </w:tr>
    </w:tbl>
    <w:p w:rsidR="006C4F09" w:rsidRPr="005C78DB" w:rsidRDefault="006C4F09" w:rsidP="00091476"/>
    <w:sectPr w:rsidR="006C4F09" w:rsidRPr="005C78DB" w:rsidSect="00012FCD">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F12" w:rsidRDefault="00885F12" w:rsidP="00EF4574">
      <w:pPr>
        <w:spacing w:before="0" w:after="0" w:line="240" w:lineRule="auto"/>
      </w:pPr>
      <w:r>
        <w:separator/>
      </w:r>
    </w:p>
  </w:endnote>
  <w:endnote w:type="continuationSeparator" w:id="0">
    <w:p w:rsidR="00885F12" w:rsidRDefault="00885F12" w:rsidP="00EF4574">
      <w:pPr>
        <w:spacing w:before="0" w:after="0" w:line="240" w:lineRule="auto"/>
      </w:pPr>
      <w:r>
        <w:continuationSeparator/>
      </w:r>
    </w:p>
  </w:endnote>
  <w:endnote w:type="continuationNotice" w:id="1">
    <w:p w:rsidR="00885F12" w:rsidRDefault="00885F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NimbusSanNov">
    <w:altName w:val="Arial"/>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D7" w:rsidRDefault="00066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485444"/>
      <w:docPartObj>
        <w:docPartGallery w:val="Page Numbers (Bottom of Page)"/>
        <w:docPartUnique/>
      </w:docPartObj>
    </w:sdtPr>
    <w:sdtEndPr>
      <w:rPr>
        <w:noProof/>
      </w:rPr>
    </w:sdtEndPr>
    <w:sdtContent>
      <w:p w:rsidR="00885F12" w:rsidRDefault="00885F12">
        <w:pPr>
          <w:pStyle w:val="Footer"/>
        </w:pPr>
        <w:r>
          <w:fldChar w:fldCharType="begin"/>
        </w:r>
        <w:r>
          <w:instrText xml:space="preserve"> PAGE   \* MERGEFORMAT </w:instrText>
        </w:r>
        <w:r>
          <w:fldChar w:fldCharType="separate"/>
        </w:r>
        <w:r w:rsidR="000664D7">
          <w:rPr>
            <w:noProof/>
          </w:rPr>
          <w:t>4</w:t>
        </w:r>
        <w:r>
          <w:rPr>
            <w:noProof/>
          </w:rPr>
          <w:fldChar w:fldCharType="end"/>
        </w:r>
      </w:p>
    </w:sdtContent>
  </w:sdt>
  <w:p w:rsidR="00885F12" w:rsidRDefault="00885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D7" w:rsidRDefault="000664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2" w:rsidRPr="00CD0E4B" w:rsidRDefault="00885F12" w:rsidP="00784031">
    <w:pPr>
      <w:pStyle w:val="Footer"/>
    </w:pPr>
    <w:r w:rsidRPr="00CD0E4B">
      <w:rPr>
        <w:noProof/>
        <w:lang w:val="en-AU" w:eastAsia="en-AU"/>
      </w:rPr>
      <w:drawing>
        <wp:inline distT="0" distB="0" distL="0" distR="0" wp14:anchorId="3E714973" wp14:editId="1B1B9F7D">
          <wp:extent cx="90000" cy="74520"/>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885F12" w:rsidRPr="00CD0E4B" w:rsidRDefault="00885F12"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F12" w:rsidRPr="008C5A0E" w:rsidRDefault="00885F12" w:rsidP="001D663E">
      <w:pPr>
        <w:pStyle w:val="Footer"/>
        <w:pBdr>
          <w:top w:val="single" w:sz="4" w:space="1" w:color="495965" w:themeColor="text2"/>
        </w:pBdr>
      </w:pPr>
    </w:p>
  </w:footnote>
  <w:footnote w:type="continuationSeparator" w:id="0">
    <w:p w:rsidR="00885F12" w:rsidRDefault="00885F12" w:rsidP="00EF4574">
      <w:pPr>
        <w:spacing w:before="0" w:after="0" w:line="240" w:lineRule="auto"/>
      </w:pPr>
      <w:r>
        <w:continuationSeparator/>
      </w:r>
    </w:p>
  </w:footnote>
  <w:footnote w:type="continuationNotice" w:id="1">
    <w:p w:rsidR="00885F12" w:rsidRDefault="00885F12">
      <w:pPr>
        <w:spacing w:before="0" w:after="0" w:line="240" w:lineRule="auto"/>
      </w:pPr>
    </w:p>
  </w:footnote>
  <w:footnote w:id="2">
    <w:p w:rsidR="00885F12" w:rsidRPr="00E646D5" w:rsidRDefault="00885F12">
      <w:pPr>
        <w:pStyle w:val="FootnoteText"/>
        <w:rPr>
          <w:lang w:val="en-AU"/>
        </w:rPr>
      </w:pPr>
      <w:r>
        <w:rPr>
          <w:rStyle w:val="FootnoteReference"/>
        </w:rPr>
        <w:footnoteRef/>
      </w:r>
      <w:r>
        <w:t xml:space="preserve"> </w:t>
      </w:r>
      <w:r>
        <w:rPr>
          <w:rFonts w:cstheme="minorHAnsi"/>
        </w:rPr>
        <w:t>World Bank Cambodia Economic Update, May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D7" w:rsidRDefault="00066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2" w:rsidRPr="00333501" w:rsidRDefault="00885F12" w:rsidP="008F56A8">
    <w:pPr>
      <w:pStyle w:val="Header"/>
      <w:jc w:val="left"/>
    </w:pPr>
    <w:r>
      <w:rPr>
        <w:noProof/>
        <w:lang w:val="en-AU" w:eastAsia="en-AU"/>
      </w:rPr>
      <w:drawing>
        <wp:anchor distT="0" distB="0" distL="114300" distR="114300" simplePos="0" relativeHeight="251681792" behindDoc="1" locked="1" layoutInCell="1" allowOverlap="1" wp14:anchorId="54B975AC" wp14:editId="69E42BF6">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4D7" w:rsidRDefault="000664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2" w:rsidRDefault="00885F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2" w:rsidRPr="00333501" w:rsidRDefault="00885F12" w:rsidP="008F56A8">
    <w:pPr>
      <w:pStyle w:val="Header"/>
      <w:jc w:val="left"/>
    </w:pPr>
    <w:r>
      <w:rPr>
        <w:noProof/>
        <w:lang w:val="en-AU" w:eastAsia="en-AU"/>
      </w:rPr>
      <w:drawing>
        <wp:anchor distT="0" distB="0" distL="114300" distR="114300" simplePos="0" relativeHeight="251697152" behindDoc="1" locked="1" layoutInCell="1" allowOverlap="1" wp14:anchorId="71776C75" wp14:editId="0D88BA85">
          <wp:simplePos x="0" y="0"/>
          <wp:positionH relativeFrom="page">
            <wp:posOffset>160020</wp:posOffset>
          </wp:positionH>
          <wp:positionV relativeFrom="page">
            <wp:posOffset>160020</wp:posOffset>
          </wp:positionV>
          <wp:extent cx="10662285" cy="7545705"/>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2" w:rsidRPr="003D352D" w:rsidRDefault="00885F12" w:rsidP="003D352D">
    <w:pPr>
      <w:pStyle w:val="Header"/>
      <w:jc w:val="left"/>
    </w:pPr>
    <w:r>
      <w:rPr>
        <w:noProof/>
        <w:lang w:val="en-AU" w:eastAsia="en-AU"/>
      </w:rPr>
      <w:drawing>
        <wp:anchor distT="0" distB="0" distL="114300" distR="114300" simplePos="0" relativeHeight="251695104" behindDoc="1" locked="1" layoutInCell="1" allowOverlap="1" wp14:anchorId="51683717" wp14:editId="26163EBB">
          <wp:simplePos x="0" y="0"/>
          <wp:positionH relativeFrom="page">
            <wp:posOffset>7620</wp:posOffset>
          </wp:positionH>
          <wp:positionV relativeFrom="page">
            <wp:posOffset>7620</wp:posOffset>
          </wp:positionV>
          <wp:extent cx="10662285" cy="7545705"/>
          <wp:effectExtent l="0" t="0" r="571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F12" w:rsidRPr="00333501" w:rsidRDefault="00885F12" w:rsidP="008F56A8">
    <w:pPr>
      <w:pStyle w:val="Header"/>
      <w:jc w:val="left"/>
    </w:pPr>
    <w:r>
      <w:rPr>
        <w:noProof/>
        <w:lang w:val="en-AU" w:eastAsia="en-AU"/>
      </w:rPr>
      <w:drawing>
        <wp:anchor distT="0" distB="0" distL="114300" distR="114300" simplePos="0" relativeHeight="251699200" behindDoc="1" locked="1" layoutInCell="1" allowOverlap="1" wp14:anchorId="0DC248AB" wp14:editId="716A7BD2">
          <wp:simplePos x="0" y="0"/>
          <wp:positionH relativeFrom="page">
            <wp:align>right</wp:align>
          </wp:positionH>
          <wp:positionV relativeFrom="page">
            <wp:align>top</wp:align>
          </wp:positionV>
          <wp:extent cx="7559040" cy="11025505"/>
          <wp:effectExtent l="0" t="0" r="3810" b="4445"/>
          <wp:wrapNone/>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13318"/>
    <w:multiLevelType w:val="hybridMultilevel"/>
    <w:tmpl w:val="BDDC27CE"/>
    <w:lvl w:ilvl="0" w:tplc="1512B240">
      <w:start w:val="201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4628D5"/>
    <w:multiLevelType w:val="multilevel"/>
    <w:tmpl w:val="4BEA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9F03F6"/>
    <w:multiLevelType w:val="hybridMultilevel"/>
    <w:tmpl w:val="F1143904"/>
    <w:lvl w:ilvl="0" w:tplc="2AC05F78">
      <w:start w:val="2019"/>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A05325"/>
    <w:multiLevelType w:val="hybridMultilevel"/>
    <w:tmpl w:val="EA60E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9655E61"/>
    <w:multiLevelType w:val="hybridMultilevel"/>
    <w:tmpl w:val="167865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CFF1138"/>
    <w:multiLevelType w:val="hybridMultilevel"/>
    <w:tmpl w:val="01209860"/>
    <w:lvl w:ilvl="0" w:tplc="CEBED9E0">
      <w:start w:val="6"/>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2C47119"/>
    <w:multiLevelType w:val="hybridMultilevel"/>
    <w:tmpl w:val="53926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27830ADE"/>
    <w:multiLevelType w:val="hybridMultilevel"/>
    <w:tmpl w:val="BE7C2D38"/>
    <w:lvl w:ilvl="0" w:tplc="25E40B54">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D3C1EA7"/>
    <w:multiLevelType w:val="multilevel"/>
    <w:tmpl w:val="43428892"/>
    <w:numStyleLink w:val="BulletsList"/>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0E62A3E"/>
    <w:multiLevelType w:val="hybridMultilevel"/>
    <w:tmpl w:val="B29A3908"/>
    <w:lvl w:ilvl="0" w:tplc="31749222">
      <w:start w:val="8"/>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8960239"/>
    <w:multiLevelType w:val="hybridMultilevel"/>
    <w:tmpl w:val="F4ECC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E358D"/>
    <w:multiLevelType w:val="hybridMultilevel"/>
    <w:tmpl w:val="35B60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147F04"/>
    <w:multiLevelType w:val="hybridMultilevel"/>
    <w:tmpl w:val="0128D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7"/>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23"/>
  </w:num>
  <w:num w:numId="23">
    <w:abstractNumId w:val="23"/>
  </w:num>
  <w:num w:numId="24">
    <w:abstractNumId w:val="28"/>
  </w:num>
  <w:num w:numId="25">
    <w:abstractNumId w:val="28"/>
  </w:num>
  <w:num w:numId="26">
    <w:abstractNumId w:val="28"/>
  </w:num>
  <w:num w:numId="27">
    <w:abstractNumId w:val="27"/>
  </w:num>
  <w:num w:numId="28">
    <w:abstractNumId w:val="11"/>
  </w:num>
  <w:num w:numId="29">
    <w:abstractNumId w:val="11"/>
  </w:num>
  <w:num w:numId="30">
    <w:abstractNumId w:val="11"/>
  </w:num>
  <w:num w:numId="31">
    <w:abstractNumId w:val="24"/>
  </w:num>
  <w:num w:numId="32">
    <w:abstractNumId w:val="26"/>
  </w:num>
  <w:num w:numId="33">
    <w:abstractNumId w:val="35"/>
  </w:num>
  <w:num w:numId="34">
    <w:abstractNumId w:val="25"/>
  </w:num>
  <w:num w:numId="35">
    <w:abstractNumId w:val="16"/>
  </w:num>
  <w:num w:numId="36">
    <w:abstractNumId w:val="21"/>
  </w:num>
  <w:num w:numId="37">
    <w:abstractNumId w:val="19"/>
  </w:num>
  <w:num w:numId="38">
    <w:abstractNumId w:val="20"/>
  </w:num>
  <w:num w:numId="39">
    <w:abstractNumId w:val="15"/>
  </w:num>
  <w:num w:numId="40">
    <w:abstractNumId w:val="10"/>
  </w:num>
  <w:num w:numId="41">
    <w:abstractNumId w:val="32"/>
  </w:num>
  <w:num w:numId="42">
    <w:abstractNumId w:val="15"/>
  </w:num>
  <w:num w:numId="43">
    <w:abstractNumId w:val="13"/>
  </w:num>
  <w:num w:numId="44">
    <w:abstractNumId w:val="14"/>
  </w:num>
  <w:num w:numId="45">
    <w:abstractNumId w:val="17"/>
  </w:num>
  <w:num w:numId="46">
    <w:abstractNumId w:val="30"/>
  </w:num>
  <w:num w:numId="47">
    <w:abstractNumId w:val="31"/>
  </w:num>
  <w:num w:numId="48">
    <w:abstractNumId w:val="33"/>
  </w:num>
  <w:num w:numId="49">
    <w:abstractNumId w:val="22"/>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B71"/>
    <w:rsid w:val="00001DA8"/>
    <w:rsid w:val="000032D7"/>
    <w:rsid w:val="00010391"/>
    <w:rsid w:val="000121CC"/>
    <w:rsid w:val="00012FCD"/>
    <w:rsid w:val="000145B2"/>
    <w:rsid w:val="00015316"/>
    <w:rsid w:val="0001663A"/>
    <w:rsid w:val="000171FA"/>
    <w:rsid w:val="0002080A"/>
    <w:rsid w:val="000227A7"/>
    <w:rsid w:val="00025025"/>
    <w:rsid w:val="00025834"/>
    <w:rsid w:val="0002782F"/>
    <w:rsid w:val="00027F29"/>
    <w:rsid w:val="00030ECA"/>
    <w:rsid w:val="00031512"/>
    <w:rsid w:val="00032BA7"/>
    <w:rsid w:val="00033AB7"/>
    <w:rsid w:val="00034F35"/>
    <w:rsid w:val="00036027"/>
    <w:rsid w:val="00036F07"/>
    <w:rsid w:val="00040507"/>
    <w:rsid w:val="00041900"/>
    <w:rsid w:val="00044078"/>
    <w:rsid w:val="00044B3A"/>
    <w:rsid w:val="000458FA"/>
    <w:rsid w:val="00047FFB"/>
    <w:rsid w:val="000518E0"/>
    <w:rsid w:val="00054752"/>
    <w:rsid w:val="00054E4D"/>
    <w:rsid w:val="00055688"/>
    <w:rsid w:val="00060073"/>
    <w:rsid w:val="00060268"/>
    <w:rsid w:val="00061518"/>
    <w:rsid w:val="000618B2"/>
    <w:rsid w:val="00063AEA"/>
    <w:rsid w:val="00066085"/>
    <w:rsid w:val="000664D7"/>
    <w:rsid w:val="00066A79"/>
    <w:rsid w:val="00075198"/>
    <w:rsid w:val="000760F9"/>
    <w:rsid w:val="000770BD"/>
    <w:rsid w:val="0007742C"/>
    <w:rsid w:val="00082252"/>
    <w:rsid w:val="00084483"/>
    <w:rsid w:val="0008484C"/>
    <w:rsid w:val="00090A15"/>
    <w:rsid w:val="00091476"/>
    <w:rsid w:val="0009234B"/>
    <w:rsid w:val="000A13C8"/>
    <w:rsid w:val="000A2FD0"/>
    <w:rsid w:val="000A345A"/>
    <w:rsid w:val="000A453A"/>
    <w:rsid w:val="000A53A5"/>
    <w:rsid w:val="000A79A2"/>
    <w:rsid w:val="000B135A"/>
    <w:rsid w:val="000B4415"/>
    <w:rsid w:val="000B55D6"/>
    <w:rsid w:val="000B70B5"/>
    <w:rsid w:val="000C02A4"/>
    <w:rsid w:val="000C43A8"/>
    <w:rsid w:val="000C44CC"/>
    <w:rsid w:val="000C5D38"/>
    <w:rsid w:val="000C6736"/>
    <w:rsid w:val="000D66D6"/>
    <w:rsid w:val="000D7220"/>
    <w:rsid w:val="000D7817"/>
    <w:rsid w:val="000D7957"/>
    <w:rsid w:val="000E1C8A"/>
    <w:rsid w:val="000E314A"/>
    <w:rsid w:val="000E438B"/>
    <w:rsid w:val="000E4DBB"/>
    <w:rsid w:val="000F145A"/>
    <w:rsid w:val="000F40B5"/>
    <w:rsid w:val="000F4B5C"/>
    <w:rsid w:val="000F5690"/>
    <w:rsid w:val="000F6157"/>
    <w:rsid w:val="000F67EA"/>
    <w:rsid w:val="000F7379"/>
    <w:rsid w:val="00101C91"/>
    <w:rsid w:val="0010747D"/>
    <w:rsid w:val="001103E6"/>
    <w:rsid w:val="00111F5A"/>
    <w:rsid w:val="00113F8D"/>
    <w:rsid w:val="0011499B"/>
    <w:rsid w:val="00120F4E"/>
    <w:rsid w:val="00122F56"/>
    <w:rsid w:val="00123156"/>
    <w:rsid w:val="001302B5"/>
    <w:rsid w:val="00130FC7"/>
    <w:rsid w:val="00132E6C"/>
    <w:rsid w:val="001339D2"/>
    <w:rsid w:val="0013554A"/>
    <w:rsid w:val="00135F7B"/>
    <w:rsid w:val="00140940"/>
    <w:rsid w:val="00142623"/>
    <w:rsid w:val="001513D7"/>
    <w:rsid w:val="001518A5"/>
    <w:rsid w:val="001541EA"/>
    <w:rsid w:val="0015623E"/>
    <w:rsid w:val="00161FF6"/>
    <w:rsid w:val="00162218"/>
    <w:rsid w:val="0016500F"/>
    <w:rsid w:val="00166962"/>
    <w:rsid w:val="001671A7"/>
    <w:rsid w:val="001704B2"/>
    <w:rsid w:val="00171F6F"/>
    <w:rsid w:val="00173118"/>
    <w:rsid w:val="00174107"/>
    <w:rsid w:val="00174B8C"/>
    <w:rsid w:val="001812A5"/>
    <w:rsid w:val="00181D3D"/>
    <w:rsid w:val="001846A8"/>
    <w:rsid w:val="00184818"/>
    <w:rsid w:val="00184A97"/>
    <w:rsid w:val="00185EE0"/>
    <w:rsid w:val="00186709"/>
    <w:rsid w:val="00186EA3"/>
    <w:rsid w:val="0019152C"/>
    <w:rsid w:val="00192DE1"/>
    <w:rsid w:val="00193D2D"/>
    <w:rsid w:val="00194270"/>
    <w:rsid w:val="00194665"/>
    <w:rsid w:val="0019486F"/>
    <w:rsid w:val="001A6490"/>
    <w:rsid w:val="001A7556"/>
    <w:rsid w:val="001B1950"/>
    <w:rsid w:val="001B31FE"/>
    <w:rsid w:val="001B3C09"/>
    <w:rsid w:val="001B5019"/>
    <w:rsid w:val="001B65A0"/>
    <w:rsid w:val="001C202F"/>
    <w:rsid w:val="001C34FA"/>
    <w:rsid w:val="001C4BB7"/>
    <w:rsid w:val="001C7BD6"/>
    <w:rsid w:val="001D2601"/>
    <w:rsid w:val="001D2ECD"/>
    <w:rsid w:val="001D663E"/>
    <w:rsid w:val="001E1679"/>
    <w:rsid w:val="001E1DC0"/>
    <w:rsid w:val="001E1FE7"/>
    <w:rsid w:val="001E22D4"/>
    <w:rsid w:val="001E593F"/>
    <w:rsid w:val="001E6341"/>
    <w:rsid w:val="001F0479"/>
    <w:rsid w:val="001F603D"/>
    <w:rsid w:val="001F7882"/>
    <w:rsid w:val="00202FF5"/>
    <w:rsid w:val="0020363F"/>
    <w:rsid w:val="00207608"/>
    <w:rsid w:val="00207B28"/>
    <w:rsid w:val="00207E1C"/>
    <w:rsid w:val="0021236A"/>
    <w:rsid w:val="00212938"/>
    <w:rsid w:val="00215B3C"/>
    <w:rsid w:val="00222B5D"/>
    <w:rsid w:val="00223962"/>
    <w:rsid w:val="00223EE4"/>
    <w:rsid w:val="002309D8"/>
    <w:rsid w:val="00232BAE"/>
    <w:rsid w:val="00234948"/>
    <w:rsid w:val="00236023"/>
    <w:rsid w:val="00236A53"/>
    <w:rsid w:val="0023766B"/>
    <w:rsid w:val="00241941"/>
    <w:rsid w:val="00241E17"/>
    <w:rsid w:val="00246081"/>
    <w:rsid w:val="0024640D"/>
    <w:rsid w:val="00251254"/>
    <w:rsid w:val="002575C8"/>
    <w:rsid w:val="00257BB4"/>
    <w:rsid w:val="00270B58"/>
    <w:rsid w:val="002723E0"/>
    <w:rsid w:val="00274942"/>
    <w:rsid w:val="002759D2"/>
    <w:rsid w:val="00275DB7"/>
    <w:rsid w:val="0027602A"/>
    <w:rsid w:val="00282E5A"/>
    <w:rsid w:val="00283448"/>
    <w:rsid w:val="00284957"/>
    <w:rsid w:val="00284ED0"/>
    <w:rsid w:val="0028602A"/>
    <w:rsid w:val="00287150"/>
    <w:rsid w:val="002952F4"/>
    <w:rsid w:val="00297FB7"/>
    <w:rsid w:val="002A1757"/>
    <w:rsid w:val="002A3F51"/>
    <w:rsid w:val="002A51CA"/>
    <w:rsid w:val="002A5F33"/>
    <w:rsid w:val="002A5FCB"/>
    <w:rsid w:val="002A6AC8"/>
    <w:rsid w:val="002A74D3"/>
    <w:rsid w:val="002B1981"/>
    <w:rsid w:val="002B3E95"/>
    <w:rsid w:val="002B5E10"/>
    <w:rsid w:val="002C43B7"/>
    <w:rsid w:val="002C705C"/>
    <w:rsid w:val="002C7DD6"/>
    <w:rsid w:val="002D0AD6"/>
    <w:rsid w:val="002D0C2C"/>
    <w:rsid w:val="002D136B"/>
    <w:rsid w:val="002D2B16"/>
    <w:rsid w:val="002D37BC"/>
    <w:rsid w:val="002D5202"/>
    <w:rsid w:val="002E3C15"/>
    <w:rsid w:val="002F06AF"/>
    <w:rsid w:val="002F43F6"/>
    <w:rsid w:val="002F48F5"/>
    <w:rsid w:val="002F64DD"/>
    <w:rsid w:val="003002C0"/>
    <w:rsid w:val="00300E0B"/>
    <w:rsid w:val="00301144"/>
    <w:rsid w:val="003021DB"/>
    <w:rsid w:val="0030452B"/>
    <w:rsid w:val="0031081C"/>
    <w:rsid w:val="00313185"/>
    <w:rsid w:val="003148B7"/>
    <w:rsid w:val="003158C3"/>
    <w:rsid w:val="00315B0C"/>
    <w:rsid w:val="00315D08"/>
    <w:rsid w:val="003166C9"/>
    <w:rsid w:val="00316A61"/>
    <w:rsid w:val="00317D14"/>
    <w:rsid w:val="00320251"/>
    <w:rsid w:val="00321096"/>
    <w:rsid w:val="00324651"/>
    <w:rsid w:val="003265D0"/>
    <w:rsid w:val="003274CD"/>
    <w:rsid w:val="00330106"/>
    <w:rsid w:val="00332728"/>
    <w:rsid w:val="00332EC9"/>
    <w:rsid w:val="00333501"/>
    <w:rsid w:val="00335ADF"/>
    <w:rsid w:val="00342E70"/>
    <w:rsid w:val="003457C4"/>
    <w:rsid w:val="00347469"/>
    <w:rsid w:val="00350F23"/>
    <w:rsid w:val="0035119D"/>
    <w:rsid w:val="003529A3"/>
    <w:rsid w:val="0035321E"/>
    <w:rsid w:val="003545CD"/>
    <w:rsid w:val="00354824"/>
    <w:rsid w:val="0035529F"/>
    <w:rsid w:val="003553CF"/>
    <w:rsid w:val="00355959"/>
    <w:rsid w:val="00355CBD"/>
    <w:rsid w:val="00356A07"/>
    <w:rsid w:val="00361F52"/>
    <w:rsid w:val="00366EFA"/>
    <w:rsid w:val="003708AA"/>
    <w:rsid w:val="00370983"/>
    <w:rsid w:val="00372A91"/>
    <w:rsid w:val="00373C4E"/>
    <w:rsid w:val="00375E72"/>
    <w:rsid w:val="00381754"/>
    <w:rsid w:val="00385DFD"/>
    <w:rsid w:val="00386D22"/>
    <w:rsid w:val="00392565"/>
    <w:rsid w:val="00392773"/>
    <w:rsid w:val="00394FEC"/>
    <w:rsid w:val="003A2AE3"/>
    <w:rsid w:val="003A44F8"/>
    <w:rsid w:val="003A7571"/>
    <w:rsid w:val="003B0297"/>
    <w:rsid w:val="003B164C"/>
    <w:rsid w:val="003B1E82"/>
    <w:rsid w:val="003B4C0E"/>
    <w:rsid w:val="003B4F12"/>
    <w:rsid w:val="003B5513"/>
    <w:rsid w:val="003C13C8"/>
    <w:rsid w:val="003C2B94"/>
    <w:rsid w:val="003D262C"/>
    <w:rsid w:val="003D352D"/>
    <w:rsid w:val="003D3C1C"/>
    <w:rsid w:val="003D3E47"/>
    <w:rsid w:val="003D5774"/>
    <w:rsid w:val="003E064A"/>
    <w:rsid w:val="003E0760"/>
    <w:rsid w:val="003E1031"/>
    <w:rsid w:val="003E1D38"/>
    <w:rsid w:val="003E2BE7"/>
    <w:rsid w:val="003F01CE"/>
    <w:rsid w:val="003F1E74"/>
    <w:rsid w:val="003F3BD0"/>
    <w:rsid w:val="00400B0F"/>
    <w:rsid w:val="0040249C"/>
    <w:rsid w:val="00402ACC"/>
    <w:rsid w:val="004046AE"/>
    <w:rsid w:val="004120EC"/>
    <w:rsid w:val="004140FD"/>
    <w:rsid w:val="00423F31"/>
    <w:rsid w:val="00431536"/>
    <w:rsid w:val="00431899"/>
    <w:rsid w:val="00431E2C"/>
    <w:rsid w:val="004335ED"/>
    <w:rsid w:val="004346F9"/>
    <w:rsid w:val="00434858"/>
    <w:rsid w:val="0043564E"/>
    <w:rsid w:val="00442729"/>
    <w:rsid w:val="0045301C"/>
    <w:rsid w:val="0046029E"/>
    <w:rsid w:val="00460D26"/>
    <w:rsid w:val="00460F1E"/>
    <w:rsid w:val="0046301A"/>
    <w:rsid w:val="00465CCD"/>
    <w:rsid w:val="00466258"/>
    <w:rsid w:val="00466745"/>
    <w:rsid w:val="00475C3E"/>
    <w:rsid w:val="00476C02"/>
    <w:rsid w:val="00476C4A"/>
    <w:rsid w:val="00476D84"/>
    <w:rsid w:val="00480159"/>
    <w:rsid w:val="0048150B"/>
    <w:rsid w:val="0048605B"/>
    <w:rsid w:val="00486804"/>
    <w:rsid w:val="00494434"/>
    <w:rsid w:val="00497257"/>
    <w:rsid w:val="004977A1"/>
    <w:rsid w:val="004A1EB5"/>
    <w:rsid w:val="004A259F"/>
    <w:rsid w:val="004A608F"/>
    <w:rsid w:val="004A64FE"/>
    <w:rsid w:val="004B1DF8"/>
    <w:rsid w:val="004B3775"/>
    <w:rsid w:val="004B6661"/>
    <w:rsid w:val="004B7852"/>
    <w:rsid w:val="004B7A61"/>
    <w:rsid w:val="004C021E"/>
    <w:rsid w:val="004C2BB4"/>
    <w:rsid w:val="004D0BA0"/>
    <w:rsid w:val="004D18A0"/>
    <w:rsid w:val="004D29C1"/>
    <w:rsid w:val="004D2B08"/>
    <w:rsid w:val="004D3ED1"/>
    <w:rsid w:val="004D43F3"/>
    <w:rsid w:val="004D60E3"/>
    <w:rsid w:val="004D7695"/>
    <w:rsid w:val="004E0264"/>
    <w:rsid w:val="004E058F"/>
    <w:rsid w:val="004E0B38"/>
    <w:rsid w:val="004E1430"/>
    <w:rsid w:val="004E3B87"/>
    <w:rsid w:val="004E4C52"/>
    <w:rsid w:val="004E6C04"/>
    <w:rsid w:val="004F2927"/>
    <w:rsid w:val="004F437F"/>
    <w:rsid w:val="004F7208"/>
    <w:rsid w:val="00500D14"/>
    <w:rsid w:val="005019E7"/>
    <w:rsid w:val="00502757"/>
    <w:rsid w:val="00505591"/>
    <w:rsid w:val="005070F4"/>
    <w:rsid w:val="00507F5B"/>
    <w:rsid w:val="005107A0"/>
    <w:rsid w:val="00510921"/>
    <w:rsid w:val="00510AD3"/>
    <w:rsid w:val="00510FAB"/>
    <w:rsid w:val="00512AC3"/>
    <w:rsid w:val="00513348"/>
    <w:rsid w:val="0052005B"/>
    <w:rsid w:val="00522D8C"/>
    <w:rsid w:val="00524047"/>
    <w:rsid w:val="00527DDE"/>
    <w:rsid w:val="00533B5D"/>
    <w:rsid w:val="00535334"/>
    <w:rsid w:val="00537417"/>
    <w:rsid w:val="00537F20"/>
    <w:rsid w:val="00543968"/>
    <w:rsid w:val="005455D5"/>
    <w:rsid w:val="00546FEC"/>
    <w:rsid w:val="00547F34"/>
    <w:rsid w:val="005511BF"/>
    <w:rsid w:val="00554B72"/>
    <w:rsid w:val="005565BA"/>
    <w:rsid w:val="005610D5"/>
    <w:rsid w:val="00561A81"/>
    <w:rsid w:val="0056284E"/>
    <w:rsid w:val="00565C0C"/>
    <w:rsid w:val="00574A30"/>
    <w:rsid w:val="005767EA"/>
    <w:rsid w:val="0058048B"/>
    <w:rsid w:val="00581D48"/>
    <w:rsid w:val="00585A59"/>
    <w:rsid w:val="00585AD3"/>
    <w:rsid w:val="00586330"/>
    <w:rsid w:val="005864F1"/>
    <w:rsid w:val="00591108"/>
    <w:rsid w:val="0059146A"/>
    <w:rsid w:val="0059150F"/>
    <w:rsid w:val="005930B5"/>
    <w:rsid w:val="005961E5"/>
    <w:rsid w:val="005A5874"/>
    <w:rsid w:val="005A5917"/>
    <w:rsid w:val="005A7E32"/>
    <w:rsid w:val="005B5769"/>
    <w:rsid w:val="005B6464"/>
    <w:rsid w:val="005B7B72"/>
    <w:rsid w:val="005C1796"/>
    <w:rsid w:val="005C3826"/>
    <w:rsid w:val="005D3655"/>
    <w:rsid w:val="005D5275"/>
    <w:rsid w:val="005D6737"/>
    <w:rsid w:val="005D778F"/>
    <w:rsid w:val="005E03AA"/>
    <w:rsid w:val="005E0A54"/>
    <w:rsid w:val="005E0CB1"/>
    <w:rsid w:val="005E170E"/>
    <w:rsid w:val="005E4841"/>
    <w:rsid w:val="005E606B"/>
    <w:rsid w:val="005E7818"/>
    <w:rsid w:val="005F37A2"/>
    <w:rsid w:val="00600479"/>
    <w:rsid w:val="0060650F"/>
    <w:rsid w:val="00611265"/>
    <w:rsid w:val="00614393"/>
    <w:rsid w:val="00615143"/>
    <w:rsid w:val="00615669"/>
    <w:rsid w:val="00623283"/>
    <w:rsid w:val="00623BA1"/>
    <w:rsid w:val="00633038"/>
    <w:rsid w:val="006334EE"/>
    <w:rsid w:val="006346BC"/>
    <w:rsid w:val="00644FF2"/>
    <w:rsid w:val="00651FE9"/>
    <w:rsid w:val="00652FBB"/>
    <w:rsid w:val="00655412"/>
    <w:rsid w:val="006564B7"/>
    <w:rsid w:val="00657AEE"/>
    <w:rsid w:val="00657E26"/>
    <w:rsid w:val="00662168"/>
    <w:rsid w:val="00662371"/>
    <w:rsid w:val="0066652A"/>
    <w:rsid w:val="00666854"/>
    <w:rsid w:val="006728DA"/>
    <w:rsid w:val="006766C2"/>
    <w:rsid w:val="00680522"/>
    <w:rsid w:val="00681C0D"/>
    <w:rsid w:val="00681F08"/>
    <w:rsid w:val="00682167"/>
    <w:rsid w:val="00685867"/>
    <w:rsid w:val="00687BBB"/>
    <w:rsid w:val="0069198A"/>
    <w:rsid w:val="006919BA"/>
    <w:rsid w:val="006926A1"/>
    <w:rsid w:val="00695AC4"/>
    <w:rsid w:val="006A284A"/>
    <w:rsid w:val="006A3EF7"/>
    <w:rsid w:val="006A5F02"/>
    <w:rsid w:val="006A704D"/>
    <w:rsid w:val="006A737C"/>
    <w:rsid w:val="006B13CB"/>
    <w:rsid w:val="006B226B"/>
    <w:rsid w:val="006B4B63"/>
    <w:rsid w:val="006B5E6F"/>
    <w:rsid w:val="006C42AF"/>
    <w:rsid w:val="006C4F09"/>
    <w:rsid w:val="006C6A05"/>
    <w:rsid w:val="006C7B9B"/>
    <w:rsid w:val="006C7C30"/>
    <w:rsid w:val="006D1A2F"/>
    <w:rsid w:val="006D396A"/>
    <w:rsid w:val="006D707A"/>
    <w:rsid w:val="006E194B"/>
    <w:rsid w:val="006E1D17"/>
    <w:rsid w:val="006E20A9"/>
    <w:rsid w:val="006E372F"/>
    <w:rsid w:val="006E3D20"/>
    <w:rsid w:val="006E4580"/>
    <w:rsid w:val="006E5F43"/>
    <w:rsid w:val="006F27B1"/>
    <w:rsid w:val="006F29B0"/>
    <w:rsid w:val="006F5F89"/>
    <w:rsid w:val="006F5F8D"/>
    <w:rsid w:val="006F699B"/>
    <w:rsid w:val="007003F3"/>
    <w:rsid w:val="007058BB"/>
    <w:rsid w:val="0070665B"/>
    <w:rsid w:val="00706E93"/>
    <w:rsid w:val="007107FF"/>
    <w:rsid w:val="00711D8E"/>
    <w:rsid w:val="0071209D"/>
    <w:rsid w:val="00712672"/>
    <w:rsid w:val="0072170F"/>
    <w:rsid w:val="0072176C"/>
    <w:rsid w:val="00733205"/>
    <w:rsid w:val="007337F5"/>
    <w:rsid w:val="00734E3F"/>
    <w:rsid w:val="00736985"/>
    <w:rsid w:val="0073786E"/>
    <w:rsid w:val="00743573"/>
    <w:rsid w:val="00745D91"/>
    <w:rsid w:val="00745DF5"/>
    <w:rsid w:val="007467CA"/>
    <w:rsid w:val="00754473"/>
    <w:rsid w:val="00755B55"/>
    <w:rsid w:val="00760C59"/>
    <w:rsid w:val="0076250F"/>
    <w:rsid w:val="00765073"/>
    <w:rsid w:val="007702E0"/>
    <w:rsid w:val="00770D5F"/>
    <w:rsid w:val="00771B53"/>
    <w:rsid w:val="00771E26"/>
    <w:rsid w:val="00773634"/>
    <w:rsid w:val="0077444A"/>
    <w:rsid w:val="00774B39"/>
    <w:rsid w:val="00776D5E"/>
    <w:rsid w:val="00781461"/>
    <w:rsid w:val="00782FE6"/>
    <w:rsid w:val="00784031"/>
    <w:rsid w:val="00786C6B"/>
    <w:rsid w:val="00790757"/>
    <w:rsid w:val="00794017"/>
    <w:rsid w:val="0079484C"/>
    <w:rsid w:val="00796054"/>
    <w:rsid w:val="0079644E"/>
    <w:rsid w:val="0079715F"/>
    <w:rsid w:val="007A0425"/>
    <w:rsid w:val="007A4A39"/>
    <w:rsid w:val="007A53F5"/>
    <w:rsid w:val="007A7D9B"/>
    <w:rsid w:val="007B4865"/>
    <w:rsid w:val="007B6200"/>
    <w:rsid w:val="007B7991"/>
    <w:rsid w:val="007C0214"/>
    <w:rsid w:val="007C1463"/>
    <w:rsid w:val="007C24BC"/>
    <w:rsid w:val="007C2540"/>
    <w:rsid w:val="007C7418"/>
    <w:rsid w:val="007C7C37"/>
    <w:rsid w:val="007D0299"/>
    <w:rsid w:val="007D2E25"/>
    <w:rsid w:val="007D44D7"/>
    <w:rsid w:val="007E1817"/>
    <w:rsid w:val="007E2756"/>
    <w:rsid w:val="007E2C45"/>
    <w:rsid w:val="007E3C7B"/>
    <w:rsid w:val="007E6E7B"/>
    <w:rsid w:val="007F01BA"/>
    <w:rsid w:val="007F3395"/>
    <w:rsid w:val="007F372B"/>
    <w:rsid w:val="007F4FD2"/>
    <w:rsid w:val="00801B9F"/>
    <w:rsid w:val="00802683"/>
    <w:rsid w:val="008057FD"/>
    <w:rsid w:val="00805BC8"/>
    <w:rsid w:val="008070E4"/>
    <w:rsid w:val="00811044"/>
    <w:rsid w:val="00812E5B"/>
    <w:rsid w:val="008241B3"/>
    <w:rsid w:val="0082660A"/>
    <w:rsid w:val="00826B5E"/>
    <w:rsid w:val="00833F36"/>
    <w:rsid w:val="00834CC3"/>
    <w:rsid w:val="00836E24"/>
    <w:rsid w:val="00837FCD"/>
    <w:rsid w:val="00842E92"/>
    <w:rsid w:val="008475F0"/>
    <w:rsid w:val="008518C3"/>
    <w:rsid w:val="0085294C"/>
    <w:rsid w:val="00856AEA"/>
    <w:rsid w:val="00856C12"/>
    <w:rsid w:val="00857CAF"/>
    <w:rsid w:val="00860F9F"/>
    <w:rsid w:val="00864210"/>
    <w:rsid w:val="00865C17"/>
    <w:rsid w:val="00866D4F"/>
    <w:rsid w:val="00867AB4"/>
    <w:rsid w:val="00874ADE"/>
    <w:rsid w:val="00877BA1"/>
    <w:rsid w:val="00880004"/>
    <w:rsid w:val="008813F5"/>
    <w:rsid w:val="008821C2"/>
    <w:rsid w:val="008838C1"/>
    <w:rsid w:val="00885F12"/>
    <w:rsid w:val="00886992"/>
    <w:rsid w:val="00891631"/>
    <w:rsid w:val="00897218"/>
    <w:rsid w:val="00897F86"/>
    <w:rsid w:val="008A1741"/>
    <w:rsid w:val="008A4836"/>
    <w:rsid w:val="008A5AFE"/>
    <w:rsid w:val="008A7467"/>
    <w:rsid w:val="008B007E"/>
    <w:rsid w:val="008B64A5"/>
    <w:rsid w:val="008B68D7"/>
    <w:rsid w:val="008B7D42"/>
    <w:rsid w:val="008C2F58"/>
    <w:rsid w:val="008C5A0E"/>
    <w:rsid w:val="008D2EDD"/>
    <w:rsid w:val="008D5D32"/>
    <w:rsid w:val="008D6269"/>
    <w:rsid w:val="008E1FAB"/>
    <w:rsid w:val="008E7DCA"/>
    <w:rsid w:val="008F0C31"/>
    <w:rsid w:val="008F2EEC"/>
    <w:rsid w:val="008F56A8"/>
    <w:rsid w:val="008F5810"/>
    <w:rsid w:val="008F5B87"/>
    <w:rsid w:val="00901B73"/>
    <w:rsid w:val="00903224"/>
    <w:rsid w:val="00903349"/>
    <w:rsid w:val="0090384A"/>
    <w:rsid w:val="00904A1D"/>
    <w:rsid w:val="009055CE"/>
    <w:rsid w:val="00911C2B"/>
    <w:rsid w:val="00912BD0"/>
    <w:rsid w:val="0091447D"/>
    <w:rsid w:val="0091707C"/>
    <w:rsid w:val="009176DF"/>
    <w:rsid w:val="0092112F"/>
    <w:rsid w:val="00925382"/>
    <w:rsid w:val="00926064"/>
    <w:rsid w:val="009358C6"/>
    <w:rsid w:val="00940BA3"/>
    <w:rsid w:val="00947449"/>
    <w:rsid w:val="00955EAE"/>
    <w:rsid w:val="0095612F"/>
    <w:rsid w:val="009565EF"/>
    <w:rsid w:val="009627AB"/>
    <w:rsid w:val="00962990"/>
    <w:rsid w:val="00970924"/>
    <w:rsid w:val="0097365E"/>
    <w:rsid w:val="0097700F"/>
    <w:rsid w:val="009775BC"/>
    <w:rsid w:val="00980C46"/>
    <w:rsid w:val="009903F3"/>
    <w:rsid w:val="00990BD6"/>
    <w:rsid w:val="00992B9A"/>
    <w:rsid w:val="00992C76"/>
    <w:rsid w:val="009956A0"/>
    <w:rsid w:val="009973F1"/>
    <w:rsid w:val="009A62B1"/>
    <w:rsid w:val="009B0C0E"/>
    <w:rsid w:val="009B2E1B"/>
    <w:rsid w:val="009B4D3B"/>
    <w:rsid w:val="009B5669"/>
    <w:rsid w:val="009B56EE"/>
    <w:rsid w:val="009C42BB"/>
    <w:rsid w:val="009C4778"/>
    <w:rsid w:val="009D0984"/>
    <w:rsid w:val="009D4E16"/>
    <w:rsid w:val="009D7407"/>
    <w:rsid w:val="009E0866"/>
    <w:rsid w:val="009E15DB"/>
    <w:rsid w:val="009E3DDE"/>
    <w:rsid w:val="009E7BB8"/>
    <w:rsid w:val="009F5488"/>
    <w:rsid w:val="009F6423"/>
    <w:rsid w:val="009F64E0"/>
    <w:rsid w:val="00A00864"/>
    <w:rsid w:val="00A02623"/>
    <w:rsid w:val="00A118FA"/>
    <w:rsid w:val="00A11E69"/>
    <w:rsid w:val="00A13476"/>
    <w:rsid w:val="00A174E8"/>
    <w:rsid w:val="00A24A62"/>
    <w:rsid w:val="00A263C6"/>
    <w:rsid w:val="00A26D9C"/>
    <w:rsid w:val="00A27CD5"/>
    <w:rsid w:val="00A31C9F"/>
    <w:rsid w:val="00A33818"/>
    <w:rsid w:val="00A354A2"/>
    <w:rsid w:val="00A4144F"/>
    <w:rsid w:val="00A42A06"/>
    <w:rsid w:val="00A42FF5"/>
    <w:rsid w:val="00A461C3"/>
    <w:rsid w:val="00A47AA7"/>
    <w:rsid w:val="00A54034"/>
    <w:rsid w:val="00A558B4"/>
    <w:rsid w:val="00A56874"/>
    <w:rsid w:val="00A56F14"/>
    <w:rsid w:val="00A63876"/>
    <w:rsid w:val="00A63FB4"/>
    <w:rsid w:val="00A65918"/>
    <w:rsid w:val="00A70431"/>
    <w:rsid w:val="00A70627"/>
    <w:rsid w:val="00A71618"/>
    <w:rsid w:val="00A80F95"/>
    <w:rsid w:val="00A8197B"/>
    <w:rsid w:val="00A81AE8"/>
    <w:rsid w:val="00A82FEE"/>
    <w:rsid w:val="00A8320B"/>
    <w:rsid w:val="00A8797F"/>
    <w:rsid w:val="00A90F28"/>
    <w:rsid w:val="00A948D1"/>
    <w:rsid w:val="00AA060C"/>
    <w:rsid w:val="00AA1932"/>
    <w:rsid w:val="00AA7BE3"/>
    <w:rsid w:val="00AB10E8"/>
    <w:rsid w:val="00AB1DE7"/>
    <w:rsid w:val="00AB21EF"/>
    <w:rsid w:val="00AB29E2"/>
    <w:rsid w:val="00AB3DD9"/>
    <w:rsid w:val="00AB5E7F"/>
    <w:rsid w:val="00AB6AF6"/>
    <w:rsid w:val="00AC027A"/>
    <w:rsid w:val="00AC164A"/>
    <w:rsid w:val="00AC302F"/>
    <w:rsid w:val="00AC59A6"/>
    <w:rsid w:val="00AC626D"/>
    <w:rsid w:val="00AC6BF6"/>
    <w:rsid w:val="00AD033E"/>
    <w:rsid w:val="00AD16E0"/>
    <w:rsid w:val="00AD4253"/>
    <w:rsid w:val="00AD54E2"/>
    <w:rsid w:val="00AE1F8D"/>
    <w:rsid w:val="00AE2709"/>
    <w:rsid w:val="00AE3BEB"/>
    <w:rsid w:val="00AE756E"/>
    <w:rsid w:val="00AF1B85"/>
    <w:rsid w:val="00AF2050"/>
    <w:rsid w:val="00AF6955"/>
    <w:rsid w:val="00B03CA8"/>
    <w:rsid w:val="00B04E94"/>
    <w:rsid w:val="00B05B8A"/>
    <w:rsid w:val="00B1351C"/>
    <w:rsid w:val="00B138E2"/>
    <w:rsid w:val="00B142D7"/>
    <w:rsid w:val="00B146BD"/>
    <w:rsid w:val="00B22100"/>
    <w:rsid w:val="00B31666"/>
    <w:rsid w:val="00B3250C"/>
    <w:rsid w:val="00B32FE0"/>
    <w:rsid w:val="00B331DC"/>
    <w:rsid w:val="00B34B4A"/>
    <w:rsid w:val="00B36076"/>
    <w:rsid w:val="00B37C19"/>
    <w:rsid w:val="00B438D3"/>
    <w:rsid w:val="00B43E51"/>
    <w:rsid w:val="00B44723"/>
    <w:rsid w:val="00B46412"/>
    <w:rsid w:val="00B46B46"/>
    <w:rsid w:val="00B51A5B"/>
    <w:rsid w:val="00B51C11"/>
    <w:rsid w:val="00B53B0E"/>
    <w:rsid w:val="00B55E19"/>
    <w:rsid w:val="00B5609F"/>
    <w:rsid w:val="00B607CC"/>
    <w:rsid w:val="00B614C8"/>
    <w:rsid w:val="00B6179B"/>
    <w:rsid w:val="00B617EE"/>
    <w:rsid w:val="00B623A2"/>
    <w:rsid w:val="00B643EA"/>
    <w:rsid w:val="00B72799"/>
    <w:rsid w:val="00B74BA1"/>
    <w:rsid w:val="00B77B41"/>
    <w:rsid w:val="00B82F89"/>
    <w:rsid w:val="00B85B9B"/>
    <w:rsid w:val="00B9117E"/>
    <w:rsid w:val="00B9720C"/>
    <w:rsid w:val="00BA01B0"/>
    <w:rsid w:val="00BA0E9C"/>
    <w:rsid w:val="00BA4B6D"/>
    <w:rsid w:val="00BA71DB"/>
    <w:rsid w:val="00BB00F4"/>
    <w:rsid w:val="00BB02A3"/>
    <w:rsid w:val="00BB254C"/>
    <w:rsid w:val="00BB26C5"/>
    <w:rsid w:val="00BB4594"/>
    <w:rsid w:val="00BB6292"/>
    <w:rsid w:val="00BC0B92"/>
    <w:rsid w:val="00BC0F32"/>
    <w:rsid w:val="00BC337C"/>
    <w:rsid w:val="00BC42E4"/>
    <w:rsid w:val="00BD0802"/>
    <w:rsid w:val="00BD3A24"/>
    <w:rsid w:val="00BE28D8"/>
    <w:rsid w:val="00BE3882"/>
    <w:rsid w:val="00BE46F0"/>
    <w:rsid w:val="00BE6C6D"/>
    <w:rsid w:val="00BE737D"/>
    <w:rsid w:val="00BF1EA4"/>
    <w:rsid w:val="00BF4165"/>
    <w:rsid w:val="00BF4DE6"/>
    <w:rsid w:val="00BF5399"/>
    <w:rsid w:val="00BF6B16"/>
    <w:rsid w:val="00BF6F51"/>
    <w:rsid w:val="00BF7AD5"/>
    <w:rsid w:val="00C0102F"/>
    <w:rsid w:val="00C02422"/>
    <w:rsid w:val="00C02ED9"/>
    <w:rsid w:val="00C03893"/>
    <w:rsid w:val="00C05D5C"/>
    <w:rsid w:val="00C06582"/>
    <w:rsid w:val="00C1157F"/>
    <w:rsid w:val="00C13D13"/>
    <w:rsid w:val="00C15933"/>
    <w:rsid w:val="00C221D6"/>
    <w:rsid w:val="00C2366C"/>
    <w:rsid w:val="00C23A11"/>
    <w:rsid w:val="00C27208"/>
    <w:rsid w:val="00C30946"/>
    <w:rsid w:val="00C31E55"/>
    <w:rsid w:val="00C37399"/>
    <w:rsid w:val="00C37C6B"/>
    <w:rsid w:val="00C406F0"/>
    <w:rsid w:val="00C42CDE"/>
    <w:rsid w:val="00C4428F"/>
    <w:rsid w:val="00C500D7"/>
    <w:rsid w:val="00C517C7"/>
    <w:rsid w:val="00C5182A"/>
    <w:rsid w:val="00C53BE8"/>
    <w:rsid w:val="00C62160"/>
    <w:rsid w:val="00C63153"/>
    <w:rsid w:val="00C63EE9"/>
    <w:rsid w:val="00C6626C"/>
    <w:rsid w:val="00C712A9"/>
    <w:rsid w:val="00C7297E"/>
    <w:rsid w:val="00C75247"/>
    <w:rsid w:val="00C7722C"/>
    <w:rsid w:val="00C82B2D"/>
    <w:rsid w:val="00C8425C"/>
    <w:rsid w:val="00C84BB2"/>
    <w:rsid w:val="00C90AA1"/>
    <w:rsid w:val="00C93694"/>
    <w:rsid w:val="00CA1606"/>
    <w:rsid w:val="00CA1AEA"/>
    <w:rsid w:val="00CA37B1"/>
    <w:rsid w:val="00CA3902"/>
    <w:rsid w:val="00CA642A"/>
    <w:rsid w:val="00CA6C14"/>
    <w:rsid w:val="00CA6E60"/>
    <w:rsid w:val="00CA7DD8"/>
    <w:rsid w:val="00CB1959"/>
    <w:rsid w:val="00CB1D86"/>
    <w:rsid w:val="00CB7E12"/>
    <w:rsid w:val="00CC02F2"/>
    <w:rsid w:val="00CC5FE3"/>
    <w:rsid w:val="00CC7C6C"/>
    <w:rsid w:val="00CD0021"/>
    <w:rsid w:val="00CD0E4B"/>
    <w:rsid w:val="00CE0155"/>
    <w:rsid w:val="00CE5DF0"/>
    <w:rsid w:val="00CE7394"/>
    <w:rsid w:val="00CE7562"/>
    <w:rsid w:val="00CF62AE"/>
    <w:rsid w:val="00D00802"/>
    <w:rsid w:val="00D0296C"/>
    <w:rsid w:val="00D035C1"/>
    <w:rsid w:val="00D05246"/>
    <w:rsid w:val="00D060C1"/>
    <w:rsid w:val="00D13722"/>
    <w:rsid w:val="00D146A2"/>
    <w:rsid w:val="00D15A00"/>
    <w:rsid w:val="00D22BE0"/>
    <w:rsid w:val="00D2391C"/>
    <w:rsid w:val="00D24B37"/>
    <w:rsid w:val="00D3177A"/>
    <w:rsid w:val="00D3315E"/>
    <w:rsid w:val="00D33BF8"/>
    <w:rsid w:val="00D35F96"/>
    <w:rsid w:val="00D37C85"/>
    <w:rsid w:val="00D40AEB"/>
    <w:rsid w:val="00D43437"/>
    <w:rsid w:val="00D436B3"/>
    <w:rsid w:val="00D45974"/>
    <w:rsid w:val="00D460DC"/>
    <w:rsid w:val="00D46523"/>
    <w:rsid w:val="00D51236"/>
    <w:rsid w:val="00D53549"/>
    <w:rsid w:val="00D53876"/>
    <w:rsid w:val="00D576D9"/>
    <w:rsid w:val="00D616F2"/>
    <w:rsid w:val="00D64BD1"/>
    <w:rsid w:val="00D658F6"/>
    <w:rsid w:val="00D6620A"/>
    <w:rsid w:val="00D70008"/>
    <w:rsid w:val="00D72760"/>
    <w:rsid w:val="00D73EFE"/>
    <w:rsid w:val="00D7493A"/>
    <w:rsid w:val="00D7713F"/>
    <w:rsid w:val="00D82A17"/>
    <w:rsid w:val="00D83992"/>
    <w:rsid w:val="00D86954"/>
    <w:rsid w:val="00D9013E"/>
    <w:rsid w:val="00D90E32"/>
    <w:rsid w:val="00D9263B"/>
    <w:rsid w:val="00D961BD"/>
    <w:rsid w:val="00D9779E"/>
    <w:rsid w:val="00DA040F"/>
    <w:rsid w:val="00DA5EAD"/>
    <w:rsid w:val="00DA7C80"/>
    <w:rsid w:val="00DB09D8"/>
    <w:rsid w:val="00DB3FD7"/>
    <w:rsid w:val="00DB449D"/>
    <w:rsid w:val="00DB63AA"/>
    <w:rsid w:val="00DB7BED"/>
    <w:rsid w:val="00DC283C"/>
    <w:rsid w:val="00DC3241"/>
    <w:rsid w:val="00DC4A38"/>
    <w:rsid w:val="00DC4D34"/>
    <w:rsid w:val="00DC6F31"/>
    <w:rsid w:val="00DD1986"/>
    <w:rsid w:val="00DD43A6"/>
    <w:rsid w:val="00DD552D"/>
    <w:rsid w:val="00DE06F7"/>
    <w:rsid w:val="00DE084C"/>
    <w:rsid w:val="00DE2385"/>
    <w:rsid w:val="00DE495D"/>
    <w:rsid w:val="00DE6ECD"/>
    <w:rsid w:val="00DF7E34"/>
    <w:rsid w:val="00E01A6D"/>
    <w:rsid w:val="00E025BC"/>
    <w:rsid w:val="00E03279"/>
    <w:rsid w:val="00E05690"/>
    <w:rsid w:val="00E0719C"/>
    <w:rsid w:val="00E07DC9"/>
    <w:rsid w:val="00E12985"/>
    <w:rsid w:val="00E13736"/>
    <w:rsid w:val="00E1563C"/>
    <w:rsid w:val="00E16F2B"/>
    <w:rsid w:val="00E17D64"/>
    <w:rsid w:val="00E21A31"/>
    <w:rsid w:val="00E21E96"/>
    <w:rsid w:val="00E221A8"/>
    <w:rsid w:val="00E23F15"/>
    <w:rsid w:val="00E245D7"/>
    <w:rsid w:val="00E248E6"/>
    <w:rsid w:val="00E26D57"/>
    <w:rsid w:val="00E26F9A"/>
    <w:rsid w:val="00E32530"/>
    <w:rsid w:val="00E34158"/>
    <w:rsid w:val="00E357B7"/>
    <w:rsid w:val="00E358A3"/>
    <w:rsid w:val="00E36F91"/>
    <w:rsid w:val="00E416E6"/>
    <w:rsid w:val="00E47CE3"/>
    <w:rsid w:val="00E502B6"/>
    <w:rsid w:val="00E53800"/>
    <w:rsid w:val="00E57611"/>
    <w:rsid w:val="00E6081F"/>
    <w:rsid w:val="00E61BEB"/>
    <w:rsid w:val="00E646D5"/>
    <w:rsid w:val="00E718B9"/>
    <w:rsid w:val="00E744C3"/>
    <w:rsid w:val="00E80923"/>
    <w:rsid w:val="00E850FA"/>
    <w:rsid w:val="00E85362"/>
    <w:rsid w:val="00E866FF"/>
    <w:rsid w:val="00E86F54"/>
    <w:rsid w:val="00E921CF"/>
    <w:rsid w:val="00E92E56"/>
    <w:rsid w:val="00E93EE0"/>
    <w:rsid w:val="00E97955"/>
    <w:rsid w:val="00E97A24"/>
    <w:rsid w:val="00EA04B2"/>
    <w:rsid w:val="00EA0B7F"/>
    <w:rsid w:val="00EA1813"/>
    <w:rsid w:val="00EA20F3"/>
    <w:rsid w:val="00EA2C1C"/>
    <w:rsid w:val="00EA5969"/>
    <w:rsid w:val="00EB06ED"/>
    <w:rsid w:val="00EB2D0F"/>
    <w:rsid w:val="00EC07BA"/>
    <w:rsid w:val="00EC2788"/>
    <w:rsid w:val="00EC3550"/>
    <w:rsid w:val="00EC7433"/>
    <w:rsid w:val="00ED22C2"/>
    <w:rsid w:val="00ED2831"/>
    <w:rsid w:val="00ED43D1"/>
    <w:rsid w:val="00EE2B86"/>
    <w:rsid w:val="00EE471C"/>
    <w:rsid w:val="00EE4EE1"/>
    <w:rsid w:val="00EF255D"/>
    <w:rsid w:val="00EF4574"/>
    <w:rsid w:val="00EF4F10"/>
    <w:rsid w:val="00EF6543"/>
    <w:rsid w:val="00F02F42"/>
    <w:rsid w:val="00F03CF2"/>
    <w:rsid w:val="00F1542C"/>
    <w:rsid w:val="00F15D27"/>
    <w:rsid w:val="00F22FD5"/>
    <w:rsid w:val="00F26475"/>
    <w:rsid w:val="00F2684E"/>
    <w:rsid w:val="00F306C8"/>
    <w:rsid w:val="00F35C35"/>
    <w:rsid w:val="00F35E6F"/>
    <w:rsid w:val="00F36F6C"/>
    <w:rsid w:val="00F44CFB"/>
    <w:rsid w:val="00F46D79"/>
    <w:rsid w:val="00F5366A"/>
    <w:rsid w:val="00F5404C"/>
    <w:rsid w:val="00F62BD7"/>
    <w:rsid w:val="00F64D9C"/>
    <w:rsid w:val="00F729EF"/>
    <w:rsid w:val="00F749B6"/>
    <w:rsid w:val="00F7691B"/>
    <w:rsid w:val="00F77CAE"/>
    <w:rsid w:val="00F77ECA"/>
    <w:rsid w:val="00F82271"/>
    <w:rsid w:val="00F83428"/>
    <w:rsid w:val="00F83BBF"/>
    <w:rsid w:val="00F8544B"/>
    <w:rsid w:val="00F9069B"/>
    <w:rsid w:val="00F913B1"/>
    <w:rsid w:val="00F913C1"/>
    <w:rsid w:val="00F92427"/>
    <w:rsid w:val="00F96BB9"/>
    <w:rsid w:val="00FA3550"/>
    <w:rsid w:val="00FA544D"/>
    <w:rsid w:val="00FB3932"/>
    <w:rsid w:val="00FC0469"/>
    <w:rsid w:val="00FC384F"/>
    <w:rsid w:val="00FC4D4A"/>
    <w:rsid w:val="00FC5933"/>
    <w:rsid w:val="00FC63B4"/>
    <w:rsid w:val="00FE525C"/>
    <w:rsid w:val="00FE6D51"/>
    <w:rsid w:val="00FE7674"/>
    <w:rsid w:val="00FF09F3"/>
    <w:rsid w:val="00FF35CA"/>
    <w:rsid w:val="00FF6018"/>
    <w:rsid w:val="00FF7673"/>
    <w:rsid w:val="00FF7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Bullet Paragraph,NumberedParas,Akapit z listą BS,List Paragraph 1,Bullets,References,ANNEX,List Paragraph1,List Paragraph2,Numbered List Paragraph,ReferencesCxSpLast,Liste 1,L"/>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Bullet Paragraph Char,NumberedParas Char,Akapit z listą BS Char,List Paragraph 1 Char,Bullets Char,References Char,ANNEX Char,List Paragraph1 Char,L Char"/>
    <w:basedOn w:val="DefaultParagraphFont"/>
    <w:link w:val="ListParagraph"/>
    <w:uiPriority w:val="34"/>
    <w:qFormat/>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table" w:customStyle="1" w:styleId="TableGrid1">
    <w:name w:val="Table Grid1"/>
    <w:basedOn w:val="TableNormal"/>
    <w:next w:val="TableGrid"/>
    <w:uiPriority w:val="39"/>
    <w:rsid w:val="0072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7700F"/>
    <w:pPr>
      <w:suppressAutoHyphens w:val="0"/>
      <w:spacing w:before="0" w:after="0" w:line="240" w:lineRule="auto"/>
    </w:pPr>
    <w:rPr>
      <w:color w:val="auto"/>
      <w:sz w:val="20"/>
      <w:szCs w:val="20"/>
      <w:lang w:val="en-AU"/>
    </w:rPr>
  </w:style>
  <w:style w:type="character" w:customStyle="1" w:styleId="EndnoteTextChar">
    <w:name w:val="Endnote Text Char"/>
    <w:basedOn w:val="DefaultParagraphFont"/>
    <w:link w:val="EndnoteText"/>
    <w:uiPriority w:val="99"/>
    <w:semiHidden/>
    <w:rsid w:val="0097700F"/>
    <w:rPr>
      <w:sz w:val="20"/>
      <w:szCs w:val="20"/>
    </w:rPr>
  </w:style>
  <w:style w:type="character" w:styleId="EndnoteReference">
    <w:name w:val="endnote reference"/>
    <w:basedOn w:val="DefaultParagraphFont"/>
    <w:uiPriority w:val="99"/>
    <w:semiHidden/>
    <w:unhideWhenUsed/>
    <w:rsid w:val="0097700F"/>
    <w:rPr>
      <w:vertAlign w:val="superscript"/>
    </w:rPr>
  </w:style>
  <w:style w:type="character" w:styleId="CommentReference">
    <w:name w:val="annotation reference"/>
    <w:basedOn w:val="DefaultParagraphFont"/>
    <w:uiPriority w:val="99"/>
    <w:semiHidden/>
    <w:unhideWhenUsed/>
    <w:rsid w:val="00A354A2"/>
    <w:rPr>
      <w:sz w:val="16"/>
      <w:szCs w:val="16"/>
    </w:rPr>
  </w:style>
  <w:style w:type="paragraph" w:styleId="CommentText">
    <w:name w:val="annotation text"/>
    <w:basedOn w:val="Normal"/>
    <w:link w:val="CommentTextChar"/>
    <w:uiPriority w:val="99"/>
    <w:semiHidden/>
    <w:unhideWhenUsed/>
    <w:rsid w:val="00A354A2"/>
    <w:pPr>
      <w:spacing w:line="240" w:lineRule="auto"/>
    </w:pPr>
    <w:rPr>
      <w:sz w:val="20"/>
      <w:szCs w:val="20"/>
    </w:rPr>
  </w:style>
  <w:style w:type="character" w:customStyle="1" w:styleId="CommentTextChar">
    <w:name w:val="Comment Text Char"/>
    <w:basedOn w:val="DefaultParagraphFont"/>
    <w:link w:val="CommentText"/>
    <w:uiPriority w:val="99"/>
    <w:semiHidden/>
    <w:rsid w:val="00A354A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A354A2"/>
    <w:rPr>
      <w:b/>
      <w:bCs/>
    </w:rPr>
  </w:style>
  <w:style w:type="character" w:customStyle="1" w:styleId="CommentSubjectChar">
    <w:name w:val="Comment Subject Char"/>
    <w:basedOn w:val="CommentTextChar"/>
    <w:link w:val="CommentSubject"/>
    <w:uiPriority w:val="99"/>
    <w:semiHidden/>
    <w:rsid w:val="00A354A2"/>
    <w:rPr>
      <w:b/>
      <w:bCs/>
      <w:color w:val="495965" w:themeColor="text2"/>
      <w:sz w:val="20"/>
      <w:szCs w:val="20"/>
      <w:lang w:val="en-GB"/>
    </w:rPr>
  </w:style>
  <w:style w:type="paragraph" w:styleId="Revision">
    <w:name w:val="Revision"/>
    <w:hidden/>
    <w:uiPriority w:val="99"/>
    <w:semiHidden/>
    <w:rsid w:val="008E7DCA"/>
    <w:pPr>
      <w:spacing w:after="0" w:line="240" w:lineRule="auto"/>
    </w:pPr>
    <w:rPr>
      <w:color w:val="495965" w:themeColor="text2"/>
      <w:lang w:val="en-GB"/>
    </w:rPr>
  </w:style>
  <w:style w:type="paragraph" w:customStyle="1" w:styleId="TableParagraph">
    <w:name w:val="Table Paragraph"/>
    <w:basedOn w:val="Normal"/>
    <w:uiPriority w:val="1"/>
    <w:qFormat/>
    <w:rsid w:val="00370983"/>
    <w:pPr>
      <w:widowControl w:val="0"/>
      <w:suppressAutoHyphens w:val="0"/>
      <w:autoSpaceDE w:val="0"/>
      <w:autoSpaceDN w:val="0"/>
      <w:spacing w:before="0" w:after="0" w:line="240" w:lineRule="auto"/>
    </w:pPr>
    <w:rPr>
      <w:rFonts w:ascii="Arial" w:eastAsia="Arial" w:hAnsi="Arial" w:cs="Arial"/>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7647">
      <w:bodyDiv w:val="1"/>
      <w:marLeft w:val="0"/>
      <w:marRight w:val="0"/>
      <w:marTop w:val="0"/>
      <w:marBottom w:val="0"/>
      <w:divBdr>
        <w:top w:val="none" w:sz="0" w:space="0" w:color="auto"/>
        <w:left w:val="none" w:sz="0" w:space="0" w:color="auto"/>
        <w:bottom w:val="none" w:sz="0" w:space="0" w:color="auto"/>
        <w:right w:val="none" w:sz="0" w:space="0" w:color="auto"/>
      </w:divBdr>
    </w:div>
    <w:div w:id="149564590">
      <w:bodyDiv w:val="1"/>
      <w:marLeft w:val="0"/>
      <w:marRight w:val="0"/>
      <w:marTop w:val="0"/>
      <w:marBottom w:val="0"/>
      <w:divBdr>
        <w:top w:val="none" w:sz="0" w:space="0" w:color="auto"/>
        <w:left w:val="none" w:sz="0" w:space="0" w:color="auto"/>
        <w:bottom w:val="none" w:sz="0" w:space="0" w:color="auto"/>
        <w:right w:val="none" w:sz="0" w:space="0" w:color="auto"/>
      </w:divBdr>
    </w:div>
    <w:div w:id="274605649">
      <w:bodyDiv w:val="1"/>
      <w:marLeft w:val="0"/>
      <w:marRight w:val="0"/>
      <w:marTop w:val="0"/>
      <w:marBottom w:val="0"/>
      <w:divBdr>
        <w:top w:val="none" w:sz="0" w:space="0" w:color="auto"/>
        <w:left w:val="none" w:sz="0" w:space="0" w:color="auto"/>
        <w:bottom w:val="none" w:sz="0" w:space="0" w:color="auto"/>
        <w:right w:val="none" w:sz="0" w:space="0" w:color="auto"/>
      </w:divBdr>
    </w:div>
    <w:div w:id="449906179">
      <w:bodyDiv w:val="1"/>
      <w:marLeft w:val="0"/>
      <w:marRight w:val="0"/>
      <w:marTop w:val="0"/>
      <w:marBottom w:val="0"/>
      <w:divBdr>
        <w:top w:val="none" w:sz="0" w:space="0" w:color="auto"/>
        <w:left w:val="none" w:sz="0" w:space="0" w:color="auto"/>
        <w:bottom w:val="none" w:sz="0" w:space="0" w:color="auto"/>
        <w:right w:val="none" w:sz="0" w:space="0" w:color="auto"/>
      </w:divBdr>
    </w:div>
    <w:div w:id="524758953">
      <w:bodyDiv w:val="1"/>
      <w:marLeft w:val="0"/>
      <w:marRight w:val="0"/>
      <w:marTop w:val="0"/>
      <w:marBottom w:val="0"/>
      <w:divBdr>
        <w:top w:val="none" w:sz="0" w:space="0" w:color="auto"/>
        <w:left w:val="none" w:sz="0" w:space="0" w:color="auto"/>
        <w:bottom w:val="none" w:sz="0" w:space="0" w:color="auto"/>
        <w:right w:val="none" w:sz="0" w:space="0" w:color="auto"/>
      </w:divBdr>
    </w:div>
    <w:div w:id="599752420">
      <w:bodyDiv w:val="1"/>
      <w:marLeft w:val="0"/>
      <w:marRight w:val="0"/>
      <w:marTop w:val="0"/>
      <w:marBottom w:val="0"/>
      <w:divBdr>
        <w:top w:val="none" w:sz="0" w:space="0" w:color="auto"/>
        <w:left w:val="none" w:sz="0" w:space="0" w:color="auto"/>
        <w:bottom w:val="none" w:sz="0" w:space="0" w:color="auto"/>
        <w:right w:val="none" w:sz="0" w:space="0" w:color="auto"/>
      </w:divBdr>
    </w:div>
    <w:div w:id="620723068">
      <w:bodyDiv w:val="1"/>
      <w:marLeft w:val="0"/>
      <w:marRight w:val="0"/>
      <w:marTop w:val="0"/>
      <w:marBottom w:val="0"/>
      <w:divBdr>
        <w:top w:val="none" w:sz="0" w:space="0" w:color="auto"/>
        <w:left w:val="none" w:sz="0" w:space="0" w:color="auto"/>
        <w:bottom w:val="none" w:sz="0" w:space="0" w:color="auto"/>
        <w:right w:val="none" w:sz="0" w:space="0" w:color="auto"/>
      </w:divBdr>
    </w:div>
    <w:div w:id="827205936">
      <w:bodyDiv w:val="1"/>
      <w:marLeft w:val="0"/>
      <w:marRight w:val="0"/>
      <w:marTop w:val="0"/>
      <w:marBottom w:val="0"/>
      <w:divBdr>
        <w:top w:val="none" w:sz="0" w:space="0" w:color="auto"/>
        <w:left w:val="none" w:sz="0" w:space="0" w:color="auto"/>
        <w:bottom w:val="none" w:sz="0" w:space="0" w:color="auto"/>
        <w:right w:val="none" w:sz="0" w:space="0" w:color="auto"/>
      </w:divBdr>
    </w:div>
    <w:div w:id="942804831">
      <w:bodyDiv w:val="1"/>
      <w:marLeft w:val="0"/>
      <w:marRight w:val="0"/>
      <w:marTop w:val="0"/>
      <w:marBottom w:val="0"/>
      <w:divBdr>
        <w:top w:val="none" w:sz="0" w:space="0" w:color="auto"/>
        <w:left w:val="none" w:sz="0" w:space="0" w:color="auto"/>
        <w:bottom w:val="none" w:sz="0" w:space="0" w:color="auto"/>
        <w:right w:val="none" w:sz="0" w:space="0" w:color="auto"/>
      </w:divBdr>
    </w:div>
    <w:div w:id="948513353">
      <w:bodyDiv w:val="1"/>
      <w:marLeft w:val="0"/>
      <w:marRight w:val="0"/>
      <w:marTop w:val="0"/>
      <w:marBottom w:val="0"/>
      <w:divBdr>
        <w:top w:val="none" w:sz="0" w:space="0" w:color="auto"/>
        <w:left w:val="none" w:sz="0" w:space="0" w:color="auto"/>
        <w:bottom w:val="none" w:sz="0" w:space="0" w:color="auto"/>
        <w:right w:val="none" w:sz="0" w:space="0" w:color="auto"/>
      </w:divBdr>
    </w:div>
    <w:div w:id="954797989">
      <w:bodyDiv w:val="1"/>
      <w:marLeft w:val="0"/>
      <w:marRight w:val="0"/>
      <w:marTop w:val="0"/>
      <w:marBottom w:val="0"/>
      <w:divBdr>
        <w:top w:val="none" w:sz="0" w:space="0" w:color="auto"/>
        <w:left w:val="none" w:sz="0" w:space="0" w:color="auto"/>
        <w:bottom w:val="none" w:sz="0" w:space="0" w:color="auto"/>
        <w:right w:val="none" w:sz="0" w:space="0" w:color="auto"/>
      </w:divBdr>
    </w:div>
    <w:div w:id="1059288265">
      <w:bodyDiv w:val="1"/>
      <w:marLeft w:val="0"/>
      <w:marRight w:val="0"/>
      <w:marTop w:val="0"/>
      <w:marBottom w:val="0"/>
      <w:divBdr>
        <w:top w:val="none" w:sz="0" w:space="0" w:color="auto"/>
        <w:left w:val="none" w:sz="0" w:space="0" w:color="auto"/>
        <w:bottom w:val="none" w:sz="0" w:space="0" w:color="auto"/>
        <w:right w:val="none" w:sz="0" w:space="0" w:color="auto"/>
      </w:divBdr>
    </w:div>
    <w:div w:id="1089153668">
      <w:bodyDiv w:val="1"/>
      <w:marLeft w:val="0"/>
      <w:marRight w:val="0"/>
      <w:marTop w:val="0"/>
      <w:marBottom w:val="0"/>
      <w:divBdr>
        <w:top w:val="none" w:sz="0" w:space="0" w:color="auto"/>
        <w:left w:val="none" w:sz="0" w:space="0" w:color="auto"/>
        <w:bottom w:val="none" w:sz="0" w:space="0" w:color="auto"/>
        <w:right w:val="none" w:sz="0" w:space="0" w:color="auto"/>
      </w:divBdr>
    </w:div>
    <w:div w:id="1211184379">
      <w:bodyDiv w:val="1"/>
      <w:marLeft w:val="0"/>
      <w:marRight w:val="0"/>
      <w:marTop w:val="0"/>
      <w:marBottom w:val="0"/>
      <w:divBdr>
        <w:top w:val="none" w:sz="0" w:space="0" w:color="auto"/>
        <w:left w:val="none" w:sz="0" w:space="0" w:color="auto"/>
        <w:bottom w:val="none" w:sz="0" w:space="0" w:color="auto"/>
        <w:right w:val="none" w:sz="0" w:space="0" w:color="auto"/>
      </w:divBdr>
    </w:div>
    <w:div w:id="1302230591">
      <w:bodyDiv w:val="1"/>
      <w:marLeft w:val="0"/>
      <w:marRight w:val="0"/>
      <w:marTop w:val="0"/>
      <w:marBottom w:val="0"/>
      <w:divBdr>
        <w:top w:val="none" w:sz="0" w:space="0" w:color="auto"/>
        <w:left w:val="none" w:sz="0" w:space="0" w:color="auto"/>
        <w:bottom w:val="none" w:sz="0" w:space="0" w:color="auto"/>
        <w:right w:val="none" w:sz="0" w:space="0" w:color="auto"/>
      </w:divBdr>
    </w:div>
    <w:div w:id="1339771087">
      <w:bodyDiv w:val="1"/>
      <w:marLeft w:val="0"/>
      <w:marRight w:val="0"/>
      <w:marTop w:val="0"/>
      <w:marBottom w:val="0"/>
      <w:divBdr>
        <w:top w:val="none" w:sz="0" w:space="0" w:color="auto"/>
        <w:left w:val="none" w:sz="0" w:space="0" w:color="auto"/>
        <w:bottom w:val="none" w:sz="0" w:space="0" w:color="auto"/>
        <w:right w:val="none" w:sz="0" w:space="0" w:color="auto"/>
      </w:divBdr>
    </w:div>
    <w:div w:id="1519925362">
      <w:bodyDiv w:val="1"/>
      <w:marLeft w:val="0"/>
      <w:marRight w:val="0"/>
      <w:marTop w:val="0"/>
      <w:marBottom w:val="0"/>
      <w:divBdr>
        <w:top w:val="none" w:sz="0" w:space="0" w:color="auto"/>
        <w:left w:val="none" w:sz="0" w:space="0" w:color="auto"/>
        <w:bottom w:val="none" w:sz="0" w:space="0" w:color="auto"/>
        <w:right w:val="none" w:sz="0" w:space="0" w:color="auto"/>
      </w:divBdr>
    </w:div>
    <w:div w:id="1740640174">
      <w:bodyDiv w:val="1"/>
      <w:marLeft w:val="0"/>
      <w:marRight w:val="0"/>
      <w:marTop w:val="0"/>
      <w:marBottom w:val="0"/>
      <w:divBdr>
        <w:top w:val="none" w:sz="0" w:space="0" w:color="auto"/>
        <w:left w:val="none" w:sz="0" w:space="0" w:color="auto"/>
        <w:bottom w:val="none" w:sz="0" w:space="0" w:color="auto"/>
        <w:right w:val="none" w:sz="0" w:space="0" w:color="auto"/>
      </w:divBdr>
    </w:div>
    <w:div w:id="1848983235">
      <w:bodyDiv w:val="1"/>
      <w:marLeft w:val="0"/>
      <w:marRight w:val="0"/>
      <w:marTop w:val="0"/>
      <w:marBottom w:val="0"/>
      <w:divBdr>
        <w:top w:val="none" w:sz="0" w:space="0" w:color="auto"/>
        <w:left w:val="none" w:sz="0" w:space="0" w:color="auto"/>
        <w:bottom w:val="none" w:sz="0" w:space="0" w:color="auto"/>
        <w:right w:val="none" w:sz="0" w:space="0" w:color="auto"/>
      </w:divBdr>
    </w:div>
    <w:div w:id="1860389504">
      <w:bodyDiv w:val="1"/>
      <w:marLeft w:val="0"/>
      <w:marRight w:val="0"/>
      <w:marTop w:val="0"/>
      <w:marBottom w:val="0"/>
      <w:divBdr>
        <w:top w:val="none" w:sz="0" w:space="0" w:color="auto"/>
        <w:left w:val="none" w:sz="0" w:space="0" w:color="auto"/>
        <w:bottom w:val="none" w:sz="0" w:space="0" w:color="auto"/>
        <w:right w:val="none" w:sz="0" w:space="0" w:color="auto"/>
      </w:divBdr>
    </w:div>
    <w:div w:id="1963997108">
      <w:bodyDiv w:val="1"/>
      <w:marLeft w:val="0"/>
      <w:marRight w:val="0"/>
      <w:marTop w:val="0"/>
      <w:marBottom w:val="0"/>
      <w:divBdr>
        <w:top w:val="none" w:sz="0" w:space="0" w:color="auto"/>
        <w:left w:val="none" w:sz="0" w:space="0" w:color="auto"/>
        <w:bottom w:val="none" w:sz="0" w:space="0" w:color="auto"/>
        <w:right w:val="none" w:sz="0" w:space="0" w:color="auto"/>
      </w:divBdr>
    </w:div>
    <w:div w:id="1964311011">
      <w:bodyDiv w:val="1"/>
      <w:marLeft w:val="0"/>
      <w:marRight w:val="0"/>
      <w:marTop w:val="0"/>
      <w:marBottom w:val="0"/>
      <w:divBdr>
        <w:top w:val="none" w:sz="0" w:space="0" w:color="auto"/>
        <w:left w:val="none" w:sz="0" w:space="0" w:color="auto"/>
        <w:bottom w:val="none" w:sz="0" w:space="0" w:color="auto"/>
        <w:right w:val="none" w:sz="0" w:space="0" w:color="auto"/>
      </w:divBdr>
    </w:div>
    <w:div w:id="205449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3.png"/><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png"/><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footer" Target="footer4.xml"/><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header" Target="header6.xm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5.xml"/><Relationship Id="rId35" Type="http://schemas.openxmlformats.org/officeDocument/2006/relationships/image" Target="media/image19.jpeg"/><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image" Target="media/image13.jpeg"/><Relationship Id="rId33" Type="http://schemas.openxmlformats.org/officeDocument/2006/relationships/header" Target="header7.xml"/><Relationship Id="rId38" Type="http://schemas.openxmlformats.org/officeDocument/2006/relationships/image" Target="media/image22.png"/></Relationships>
</file>

<file path=word/_rels/footer4.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3B4C58-C938-4C4C-8A2C-04C7FA124709}"/>
</file>

<file path=customXml/itemProps2.xml><?xml version="1.0" encoding="utf-8"?>
<ds:datastoreItem xmlns:ds="http://schemas.openxmlformats.org/officeDocument/2006/customXml" ds:itemID="{EB0BE33C-C70F-4704-93B2-2E12D96E77DA}"/>
</file>

<file path=customXml/itemProps3.xml><?xml version="1.0" encoding="utf-8"?>
<ds:datastoreItem xmlns:ds="http://schemas.openxmlformats.org/officeDocument/2006/customXml" ds:itemID="{D53E171E-05C5-490E-B703-211EC81724BA}"/>
</file>

<file path=customXml/itemProps4.xml><?xml version="1.0" encoding="utf-8"?>
<ds:datastoreItem xmlns:ds="http://schemas.openxmlformats.org/officeDocument/2006/customXml" ds:itemID="{73CAB9AD-35F5-48CB-A24B-41F202242B41}"/>
</file>

<file path=docProps/app.xml><?xml version="1.0" encoding="utf-8"?>
<Properties xmlns="http://schemas.openxmlformats.org/officeDocument/2006/extended-properties" xmlns:vt="http://schemas.openxmlformats.org/officeDocument/2006/docPropsVTypes">
  <Template>Normal.dotm</Template>
  <TotalTime>0</TotalTime>
  <Pages>35</Pages>
  <Words>13414</Words>
  <Characters>76460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2019-09-20T00:08:00Z</dcterms:created>
  <dcterms:modified xsi:type="dcterms:W3CDTF">2019-09-20T00:09:00Z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9c5e9fc3-44fa-4320-9404-7e8d88801909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1262600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