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46A" w:rsidRDefault="0059146A" w:rsidP="005B5769">
      <w:pPr>
        <w:pStyle w:val="ListBullet"/>
        <w:tabs>
          <w:tab w:val="clear" w:pos="284"/>
        </w:tabs>
      </w:pPr>
      <w:bookmarkStart w:id="0" w:name="_GoBack"/>
      <w:bookmarkEnd w:id="0"/>
    </w:p>
    <w:p w:rsidR="0059146A" w:rsidRDefault="0059146A" w:rsidP="005B5769">
      <w:pPr>
        <w:pStyle w:val="ListBullet"/>
        <w:tabs>
          <w:tab w:val="clear" w:pos="284"/>
        </w:tabs>
      </w:pPr>
    </w:p>
    <w:p w:rsidR="0059146A" w:rsidRPr="0059146A" w:rsidRDefault="0059146A" w:rsidP="005B5769">
      <w:pPr>
        <w:pStyle w:val="ListBullet"/>
        <w:tabs>
          <w:tab w:val="clear" w:pos="284"/>
        </w:tabs>
      </w:pPr>
    </w:p>
    <w:p w:rsidR="00A56F14" w:rsidRPr="0059146A" w:rsidRDefault="00A56F14" w:rsidP="0059146A">
      <w:pPr>
        <w:pStyle w:val="ListBullet"/>
        <w:tabs>
          <w:tab w:val="clear" w:pos="284"/>
        </w:tabs>
      </w:pPr>
    </w:p>
    <w:p w:rsidR="00A56F14" w:rsidRDefault="00A56F14" w:rsidP="00A56F14">
      <w:pPr>
        <w:spacing w:after="200" w:line="276" w:lineRule="auto"/>
        <w:rPr>
          <w:b/>
        </w:rPr>
      </w:pPr>
    </w:p>
    <w:p w:rsidR="00A56F14" w:rsidRDefault="00A56F14" w:rsidP="00A56F14">
      <w:pPr>
        <w:spacing w:after="200" w:line="276" w:lineRule="auto"/>
        <w:rPr>
          <w:b/>
        </w:rPr>
      </w:pPr>
    </w:p>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A56F14" w:rsidRPr="002A51CA" w:rsidRDefault="00A56F14" w:rsidP="002A51CA">
      <w:pPr>
        <w:pStyle w:val="Title"/>
        <w:spacing w:after="120" w:line="600" w:lineRule="exact"/>
        <w:rPr>
          <w:spacing w:val="-20"/>
          <w:sz w:val="60"/>
        </w:rPr>
      </w:pPr>
      <w:r w:rsidRPr="002A51CA">
        <w:rPr>
          <w:noProof/>
          <w:spacing w:val="-20"/>
          <w:sz w:val="60"/>
          <w:lang w:val="en-AU" w:eastAsia="en-AU"/>
        </w:rPr>
        <w:drawing>
          <wp:anchor distT="0" distB="0" distL="114300" distR="114300" simplePos="0" relativeHeight="251664384" behindDoc="1" locked="1" layoutInCell="1" allowOverlap="1" wp14:anchorId="08D2D80A" wp14:editId="1BB6BC7F">
            <wp:simplePos x="0" y="0"/>
            <wp:positionH relativeFrom="page">
              <wp:posOffset>872490</wp:posOffset>
            </wp:positionH>
            <wp:positionV relativeFrom="page">
              <wp:posOffset>1561465</wp:posOffset>
            </wp:positionV>
            <wp:extent cx="3167380" cy="5543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sidRPr="002A51CA">
        <w:rPr>
          <w:noProof/>
          <w:spacing w:val="-20"/>
          <w:sz w:val="60"/>
          <w:lang w:val="en-AU" w:eastAsia="en-AU"/>
        </w:rPr>
        <w:drawing>
          <wp:anchor distT="0" distB="0" distL="114300" distR="114300" simplePos="0" relativeHeight="251663360" behindDoc="1" locked="1" layoutInCell="1" allowOverlap="1" wp14:anchorId="4C6A04D7" wp14:editId="1A48887F">
            <wp:simplePos x="0" y="0"/>
            <wp:positionH relativeFrom="page">
              <wp:posOffset>7620</wp:posOffset>
            </wp:positionH>
            <wp:positionV relativeFrom="page">
              <wp:posOffset>-7620</wp:posOffset>
            </wp:positionV>
            <wp:extent cx="7750810" cy="10725785"/>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9">
                      <a:extLst>
                        <a:ext uri="{28A0092B-C50C-407E-A947-70E740481C1C}">
                          <a14:useLocalDpi xmlns:a14="http://schemas.microsoft.com/office/drawing/2010/main" val="0"/>
                        </a:ext>
                      </a:extLst>
                    </a:blip>
                    <a:stretch>
                      <a:fillRect/>
                    </a:stretch>
                  </pic:blipFill>
                  <pic:spPr>
                    <a:xfrm>
                      <a:off x="0" y="0"/>
                      <a:ext cx="7750810" cy="10725785"/>
                    </a:xfrm>
                    <a:prstGeom prst="rect">
                      <a:avLst/>
                    </a:prstGeom>
                  </pic:spPr>
                </pic:pic>
              </a:graphicData>
            </a:graphic>
            <wp14:sizeRelH relativeFrom="margin">
              <wp14:pctWidth>0</wp14:pctWidth>
            </wp14:sizeRelH>
            <wp14:sizeRelV relativeFrom="margin">
              <wp14:pctHeight>0</wp14:pctHeight>
            </wp14:sizeRelV>
          </wp:anchor>
        </w:drawing>
      </w:r>
      <w:r w:rsidR="00C6626C" w:rsidRPr="002A51CA">
        <w:rPr>
          <w:spacing w:val="-20"/>
          <w:sz w:val="60"/>
        </w:rPr>
        <w:t xml:space="preserve">Aid Program Performance </w:t>
      </w:r>
    </w:p>
    <w:p w:rsidR="00C6626C" w:rsidRPr="002A51CA" w:rsidRDefault="00C6626C" w:rsidP="002A51CA">
      <w:pPr>
        <w:pStyle w:val="Title"/>
        <w:spacing w:after="120" w:line="600" w:lineRule="exact"/>
        <w:rPr>
          <w:spacing w:val="-20"/>
          <w:sz w:val="60"/>
        </w:rPr>
      </w:pPr>
      <w:r w:rsidRPr="002A51CA">
        <w:rPr>
          <w:spacing w:val="-20"/>
          <w:sz w:val="60"/>
        </w:rPr>
        <w:t>Report 201</w:t>
      </w:r>
      <w:r w:rsidR="00055688">
        <w:rPr>
          <w:spacing w:val="-20"/>
          <w:sz w:val="60"/>
        </w:rPr>
        <w:t>7</w:t>
      </w:r>
      <w:r w:rsidRPr="002A51CA">
        <w:rPr>
          <w:spacing w:val="-20"/>
          <w:sz w:val="60"/>
        </w:rPr>
        <w:t>-1</w:t>
      </w:r>
      <w:r w:rsidR="00055688">
        <w:rPr>
          <w:spacing w:val="-20"/>
          <w:sz w:val="60"/>
        </w:rPr>
        <w:t>8</w:t>
      </w:r>
    </w:p>
    <w:p w:rsidR="00C6626C" w:rsidRDefault="00ED759D" w:rsidP="00A56F14">
      <w:r>
        <w:rPr>
          <w:sz w:val="40"/>
        </w:rPr>
        <w:t>Cambodia</w:t>
      </w:r>
    </w:p>
    <w:p w:rsidR="00C6626C" w:rsidRPr="002A51CA" w:rsidRDefault="00C6626C" w:rsidP="00A56F14">
      <w:pPr>
        <w:rPr>
          <w:sz w:val="24"/>
        </w:rPr>
      </w:pPr>
      <w:r w:rsidRPr="002A51CA">
        <w:rPr>
          <w:sz w:val="24"/>
        </w:rPr>
        <w:t>September 201</w:t>
      </w:r>
      <w:r w:rsidR="00055688">
        <w:rPr>
          <w:sz w:val="24"/>
        </w:rPr>
        <w:t>8</w:t>
      </w:r>
    </w:p>
    <w:p w:rsidR="00C6626C" w:rsidRDefault="00C6626C" w:rsidP="00A56F14">
      <w:pPr>
        <w:sectPr w:rsidR="00C6626C" w:rsidSect="00C6626C">
          <w:headerReference w:type="even" r:id="rId10"/>
          <w:headerReference w:type="default" r:id="rId11"/>
          <w:footerReference w:type="even" r:id="rId12"/>
          <w:footerReference w:type="default" r:id="rId13"/>
          <w:headerReference w:type="first" r:id="rId14"/>
          <w:footerReference w:type="first" r:id="rId15"/>
          <w:pgSz w:w="11906" w:h="16838" w:code="9"/>
          <w:pgMar w:top="1952" w:right="1134" w:bottom="851" w:left="1134" w:header="1814" w:footer="567" w:gutter="0"/>
          <w:cols w:space="397"/>
          <w:docGrid w:linePitch="360"/>
        </w:sectPr>
      </w:pPr>
    </w:p>
    <w:p w:rsidR="00C6626C" w:rsidRPr="00C61187" w:rsidRDefault="00C6626C" w:rsidP="00A52AFA">
      <w:pPr>
        <w:pStyle w:val="ListBullet"/>
        <w:tabs>
          <w:tab w:val="clear" w:pos="284"/>
        </w:tabs>
        <w:rPr>
          <w:kern w:val="28"/>
        </w:rPr>
      </w:pPr>
      <w:r w:rsidRPr="002A51CA">
        <w:rPr>
          <w:rFonts w:asciiTheme="majorHAnsi" w:eastAsiaTheme="majorEastAsia" w:hAnsiTheme="majorHAnsi" w:cstheme="majorBidi"/>
          <w:caps/>
          <w:color w:val="495965" w:themeColor="text2"/>
          <w:sz w:val="38"/>
          <w:szCs w:val="26"/>
          <w:lang w:val="en-GB" w:eastAsia="en-US"/>
        </w:rPr>
        <w:lastRenderedPageBreak/>
        <w:t>Key Messages</w:t>
      </w:r>
      <w:r w:rsidRPr="00C61187">
        <w:rPr>
          <w:rFonts w:ascii="Helvetica" w:hAnsi="Helvetica" w:cs="Arial"/>
          <w:color w:val="007FAD"/>
          <w:kern w:val="28"/>
          <w:sz w:val="28"/>
          <w:szCs w:val="28"/>
        </w:rPr>
        <w:tab/>
      </w:r>
      <w:r w:rsidRPr="00C61187">
        <w:rPr>
          <w:rFonts w:ascii="Helvetica" w:hAnsi="Helvetica" w:cs="Arial"/>
          <w:color w:val="007FAD"/>
          <w:kern w:val="28"/>
          <w:sz w:val="24"/>
          <w:szCs w:val="28"/>
        </w:rPr>
        <w:tab/>
      </w:r>
      <w:r w:rsidRPr="00C61187">
        <w:rPr>
          <w:rFonts w:ascii="Helvetica" w:hAnsi="Helvetica" w:cs="Arial"/>
          <w:color w:val="007FAD"/>
          <w:kern w:val="28"/>
          <w:sz w:val="32"/>
          <w:szCs w:val="32"/>
        </w:rPr>
        <w:tab/>
      </w:r>
      <w:r w:rsidRPr="00C61187">
        <w:rPr>
          <w:rFonts w:ascii="Helvetica" w:hAnsi="Helvetica" w:cs="Arial"/>
          <w:color w:val="007FAD"/>
          <w:kern w:val="28"/>
          <w:sz w:val="32"/>
          <w:szCs w:val="32"/>
        </w:rPr>
        <w:tab/>
      </w:r>
      <w:r w:rsidRPr="00C61187">
        <w:rPr>
          <w:rFonts w:ascii="Helvetica" w:hAnsi="Helvetica" w:cs="Arial"/>
          <w:color w:val="007FAD"/>
          <w:kern w:val="28"/>
          <w:sz w:val="32"/>
          <w:szCs w:val="32"/>
        </w:rPr>
        <w:tab/>
      </w:r>
      <w:r w:rsidRPr="00C61187">
        <w:rPr>
          <w:rFonts w:ascii="Helvetica" w:hAnsi="Helvetica" w:cs="Arial"/>
          <w:color w:val="007FAD"/>
          <w:kern w:val="28"/>
          <w:sz w:val="32"/>
          <w:szCs w:val="32"/>
        </w:rPr>
        <w:tab/>
      </w:r>
    </w:p>
    <w:p w:rsidR="005418CA" w:rsidRDefault="00816903" w:rsidP="005418CA">
      <w:r>
        <w:t>Australia</w:t>
      </w:r>
      <w:r w:rsidR="00C11E37">
        <w:t>’s</w:t>
      </w:r>
      <w:r>
        <w:t xml:space="preserve"> </w:t>
      </w:r>
      <w:r w:rsidR="00C11E37">
        <w:t xml:space="preserve">reputation in Cambodia as an effective, adaptable and innovative development partner </w:t>
      </w:r>
      <w:r w:rsidR="0029114F">
        <w:t xml:space="preserve">makes us an influential partner in </w:t>
      </w:r>
      <w:r w:rsidR="00186518">
        <w:t xml:space="preserve">Cambodia and </w:t>
      </w:r>
      <w:r w:rsidR="0029114F">
        <w:t>the</w:t>
      </w:r>
      <w:r w:rsidR="00186518">
        <w:t xml:space="preserve"> Indo-Pacific</w:t>
      </w:r>
      <w:r w:rsidR="0029114F">
        <w:t xml:space="preserve"> region. Our principled approach to development</w:t>
      </w:r>
      <w:r w:rsidR="00E33407">
        <w:t xml:space="preserve"> </w:t>
      </w:r>
      <w:r w:rsidR="00880F7D">
        <w:t>—</w:t>
      </w:r>
      <w:r w:rsidR="00E33407">
        <w:t xml:space="preserve"> </w:t>
      </w:r>
      <w:r w:rsidR="004803E5">
        <w:t>focusing</w:t>
      </w:r>
      <w:r w:rsidR="00880F7D">
        <w:t xml:space="preserve"> </w:t>
      </w:r>
      <w:r w:rsidR="004803E5">
        <w:t>o</w:t>
      </w:r>
      <w:r w:rsidR="00F22FBE">
        <w:t>n sustainable outcomes, implementing</w:t>
      </w:r>
      <w:r w:rsidR="004803E5">
        <w:t xml:space="preserve"> innovative solutions to challenging problems, </w:t>
      </w:r>
      <w:r w:rsidR="007B246A">
        <w:t>promoti</w:t>
      </w:r>
      <w:r w:rsidR="004803E5">
        <w:t>ng</w:t>
      </w:r>
      <w:r w:rsidR="007B246A">
        <w:t xml:space="preserve"> women’s empowerment, </w:t>
      </w:r>
      <w:r w:rsidR="004803E5">
        <w:t xml:space="preserve">and applying </w:t>
      </w:r>
      <w:r w:rsidR="007B246A">
        <w:t>high</w:t>
      </w:r>
      <w:r w:rsidR="00186518">
        <w:t xml:space="preserve"> standards for environmental and </w:t>
      </w:r>
      <w:r w:rsidR="007B246A">
        <w:t>social safeguards protection</w:t>
      </w:r>
      <w:r w:rsidR="00E33407">
        <w:t xml:space="preserve"> </w:t>
      </w:r>
      <w:r w:rsidR="00880F7D">
        <w:t>—</w:t>
      </w:r>
      <w:r w:rsidR="00E33407">
        <w:t xml:space="preserve"> </w:t>
      </w:r>
      <w:r w:rsidR="007B246A">
        <w:t>stands</w:t>
      </w:r>
      <w:r w:rsidR="00880F7D">
        <w:t xml:space="preserve"> </w:t>
      </w:r>
      <w:r w:rsidR="00186518">
        <w:t xml:space="preserve">us in good stead to deliver effective and </w:t>
      </w:r>
      <w:r w:rsidR="007B246A">
        <w:t>efficient</w:t>
      </w:r>
      <w:r w:rsidR="00186518">
        <w:t xml:space="preserve"> development </w:t>
      </w:r>
      <w:r w:rsidR="0092677C">
        <w:t>in</w:t>
      </w:r>
      <w:r w:rsidR="00186518">
        <w:t xml:space="preserve"> Cambodia.</w:t>
      </w:r>
      <w:r w:rsidR="0029114F">
        <w:t xml:space="preserve"> </w:t>
      </w:r>
    </w:p>
    <w:p w:rsidR="007B246A" w:rsidRDefault="00D2044B" w:rsidP="005418CA">
      <w:r>
        <w:t>Australia’s</w:t>
      </w:r>
      <w:r w:rsidR="007F0A01">
        <w:t xml:space="preserve"> 2017</w:t>
      </w:r>
      <w:r>
        <w:t xml:space="preserve"> </w:t>
      </w:r>
      <w:r w:rsidRPr="002D44E5">
        <w:rPr>
          <w:b/>
        </w:rPr>
        <w:t xml:space="preserve">Foreign </w:t>
      </w:r>
      <w:r w:rsidR="00522F47">
        <w:rPr>
          <w:b/>
        </w:rPr>
        <w:t>P</w:t>
      </w:r>
      <w:r w:rsidRPr="002D44E5">
        <w:rPr>
          <w:b/>
        </w:rPr>
        <w:t>olicy White Paper</w:t>
      </w:r>
      <w:r>
        <w:t xml:space="preserve"> has sharpened our focus </w:t>
      </w:r>
      <w:r w:rsidR="000E24AC">
        <w:t>to</w:t>
      </w:r>
      <w:r>
        <w:t xml:space="preserve"> pursue our vision for the </w:t>
      </w:r>
      <w:r w:rsidR="00880F7D">
        <w:br/>
      </w:r>
      <w:r>
        <w:t>Indo-Pacific as a secure, open and prosperous region and</w:t>
      </w:r>
      <w:r w:rsidR="000E24AC">
        <w:t xml:space="preserve"> to find opportunit</w:t>
      </w:r>
      <w:r w:rsidR="0092677C">
        <w:t>ies</w:t>
      </w:r>
      <w:r w:rsidR="000E24AC">
        <w:t xml:space="preserve"> to demonstrate and impress upon our partners</w:t>
      </w:r>
      <w:r>
        <w:t xml:space="preserve"> our values of freedom, equality, the rule of law and mutual respect</w:t>
      </w:r>
      <w:r w:rsidR="000E24AC">
        <w:t>.</w:t>
      </w:r>
      <w:r>
        <w:t xml:space="preserve"> </w:t>
      </w:r>
      <w:r w:rsidR="005418CA">
        <w:t xml:space="preserve">Australia’s </w:t>
      </w:r>
      <w:r w:rsidR="004803E5">
        <w:t xml:space="preserve">development assistance </w:t>
      </w:r>
      <w:r w:rsidR="005418CA">
        <w:t xml:space="preserve">program </w:t>
      </w:r>
      <w:r w:rsidR="004803E5">
        <w:t xml:space="preserve">in </w:t>
      </w:r>
      <w:r w:rsidR="005418CA">
        <w:t>Cambodia</w:t>
      </w:r>
      <w:r w:rsidR="004803E5">
        <w:t xml:space="preserve"> </w:t>
      </w:r>
      <w:r w:rsidR="00D91BC7">
        <w:t xml:space="preserve">aims to alleviate poverty by </w:t>
      </w:r>
      <w:r w:rsidR="005418CA">
        <w:t>support</w:t>
      </w:r>
      <w:r w:rsidR="00D91BC7">
        <w:t>ing</w:t>
      </w:r>
      <w:r w:rsidR="005418CA">
        <w:t xml:space="preserve"> the</w:t>
      </w:r>
      <w:r w:rsidR="00816903">
        <w:t xml:space="preserve"> development needs of </w:t>
      </w:r>
      <w:r w:rsidR="003B57D7">
        <w:t xml:space="preserve">some of the most vulnerable </w:t>
      </w:r>
      <w:r w:rsidR="005418CA">
        <w:t>people</w:t>
      </w:r>
      <w:r w:rsidR="003B57D7">
        <w:t xml:space="preserve"> in our region</w:t>
      </w:r>
      <w:r w:rsidR="00D91BC7">
        <w:t xml:space="preserve">, and </w:t>
      </w:r>
      <w:r w:rsidR="000E24AC">
        <w:t>provides</w:t>
      </w:r>
      <w:r w:rsidR="000D12CA">
        <w:t xml:space="preserve"> an opportunity for Australia to </w:t>
      </w:r>
      <w:r w:rsidR="003B57D7">
        <w:t>share our vision and our values</w:t>
      </w:r>
      <w:r w:rsidR="00FC4E8A">
        <w:t>.</w:t>
      </w:r>
      <w:r>
        <w:t xml:space="preserve"> </w:t>
      </w:r>
    </w:p>
    <w:p w:rsidR="005418CA" w:rsidRDefault="005418CA" w:rsidP="005418CA">
      <w:r>
        <w:t xml:space="preserve">Cambodia has made great improvements in </w:t>
      </w:r>
      <w:r w:rsidR="004803E5">
        <w:t xml:space="preserve">reducing absolute </w:t>
      </w:r>
      <w:r>
        <w:t>poverty over the past decade</w:t>
      </w:r>
      <w:r w:rsidR="000D12CA">
        <w:t>.</w:t>
      </w:r>
      <w:r>
        <w:t xml:space="preserve"> </w:t>
      </w:r>
      <w:r w:rsidR="000D12CA">
        <w:t>However, t</w:t>
      </w:r>
      <w:r>
        <w:t xml:space="preserve">he </w:t>
      </w:r>
      <w:r w:rsidR="00816903">
        <w:t>Asia</w:t>
      </w:r>
      <w:r w:rsidR="007B246A">
        <w:t>n</w:t>
      </w:r>
      <w:r w:rsidR="00A94CF2">
        <w:t xml:space="preserve"> Development Bank </w:t>
      </w:r>
      <w:r w:rsidR="00A04781">
        <w:t xml:space="preserve">(ADB) </w:t>
      </w:r>
      <w:r>
        <w:t xml:space="preserve">and </w:t>
      </w:r>
      <w:r w:rsidR="00816903">
        <w:t xml:space="preserve">the </w:t>
      </w:r>
      <w:r>
        <w:t xml:space="preserve">World Bank have warned about the </w:t>
      </w:r>
      <w:r w:rsidR="0092677C">
        <w:t>percentage</w:t>
      </w:r>
      <w:r>
        <w:t xml:space="preserve"> of </w:t>
      </w:r>
      <w:r w:rsidR="00816903">
        <w:t xml:space="preserve">Cambodian people who are </w:t>
      </w:r>
      <w:r>
        <w:t>‘near poor</w:t>
      </w:r>
      <w:r w:rsidR="00CA6262">
        <w:t xml:space="preserve">’: </w:t>
      </w:r>
      <w:r w:rsidRPr="00B47DA7">
        <w:rPr>
          <w:b/>
        </w:rPr>
        <w:t xml:space="preserve">more than 70 per cent of Cambodians live on less than </w:t>
      </w:r>
      <w:r w:rsidR="004B18E2">
        <w:rPr>
          <w:b/>
        </w:rPr>
        <w:t xml:space="preserve">USD </w:t>
      </w:r>
      <w:r w:rsidRPr="00B47DA7">
        <w:rPr>
          <w:b/>
        </w:rPr>
        <w:t>3 a day</w:t>
      </w:r>
      <w:r w:rsidR="00CA6262">
        <w:t xml:space="preserve"> and </w:t>
      </w:r>
      <w:r>
        <w:t>remain highly vulnerable to falling back into poverty.</w:t>
      </w:r>
      <w:r w:rsidR="00816903">
        <w:rPr>
          <w:rStyle w:val="FootnoteReference"/>
        </w:rPr>
        <w:footnoteReference w:id="1"/>
      </w:r>
      <w:r>
        <w:t xml:space="preserve"> </w:t>
      </w:r>
      <w:r w:rsidR="00A94CF2">
        <w:t>Despite strong economic growth over two decades, C</w:t>
      </w:r>
      <w:r w:rsidR="00D124A9">
        <w:t>ambodia remains one of the poorest natio</w:t>
      </w:r>
      <w:r w:rsidR="00BC13B1">
        <w:t xml:space="preserve">ns in </w:t>
      </w:r>
      <w:r w:rsidR="00525E1B">
        <w:t>our region</w:t>
      </w:r>
      <w:r w:rsidR="004803E5">
        <w:t xml:space="preserve"> </w:t>
      </w:r>
      <w:r w:rsidR="00A94CF2">
        <w:t>with</w:t>
      </w:r>
      <w:r w:rsidR="00525E1B">
        <w:t xml:space="preserve"> the second lowest </w:t>
      </w:r>
      <w:r w:rsidR="00A04781">
        <w:t>GDP per capita</w:t>
      </w:r>
      <w:r w:rsidR="00E33407">
        <w:t>.</w:t>
      </w:r>
      <w:r w:rsidR="00FF1B4F">
        <w:rPr>
          <w:rStyle w:val="FootnoteReference"/>
        </w:rPr>
        <w:footnoteReference w:id="2"/>
      </w:r>
      <w:r w:rsidR="00525E1B">
        <w:t xml:space="preserve"> </w:t>
      </w:r>
      <w:r w:rsidR="00A94CF2">
        <w:t>Australia</w:t>
      </w:r>
      <w:r w:rsidR="00A04781">
        <w:t>’s</w:t>
      </w:r>
      <w:r w:rsidR="00A94CF2">
        <w:t xml:space="preserve"> </w:t>
      </w:r>
      <w:r w:rsidR="00A04781">
        <w:t xml:space="preserve">aid program is </w:t>
      </w:r>
      <w:r w:rsidR="00A94CF2">
        <w:t>s</w:t>
      </w:r>
      <w:r w:rsidR="00A04781">
        <w:t>upporting</w:t>
      </w:r>
      <w:r w:rsidR="00A94CF2">
        <w:t xml:space="preserve"> inclusive </w:t>
      </w:r>
      <w:r w:rsidR="00525E1B">
        <w:t>economic growth</w:t>
      </w:r>
      <w:r w:rsidR="00A04781">
        <w:t xml:space="preserve">, ensuring </w:t>
      </w:r>
      <w:r w:rsidR="00A94CF2">
        <w:t>sustainable</w:t>
      </w:r>
      <w:r w:rsidR="008C3218">
        <w:t xml:space="preserve"> </w:t>
      </w:r>
      <w:r w:rsidR="00525E1B">
        <w:t>benefits for the Cambodian people</w:t>
      </w:r>
      <w:r>
        <w:t>.</w:t>
      </w:r>
    </w:p>
    <w:p w:rsidR="005418CA" w:rsidRDefault="005418CA" w:rsidP="005418CA">
      <w:r w:rsidRPr="007C7418">
        <w:t>This report summarises the performance</w:t>
      </w:r>
      <w:r>
        <w:t xml:space="preserve"> of Australia’s aid program in Cambodia</w:t>
      </w:r>
      <w:r w:rsidRPr="007C7418">
        <w:t xml:space="preserve"> from July 201</w:t>
      </w:r>
      <w:r>
        <w:t>7</w:t>
      </w:r>
      <w:r w:rsidRPr="007C7418">
        <w:t xml:space="preserve"> to June 201</w:t>
      </w:r>
      <w:r>
        <w:t xml:space="preserve">8 </w:t>
      </w:r>
      <w:r w:rsidR="007B246A">
        <w:t xml:space="preserve">measured </w:t>
      </w:r>
      <w:r>
        <w:t xml:space="preserve">against the </w:t>
      </w:r>
      <w:hyperlink r:id="rId16" w:history="1">
        <w:r w:rsidRPr="000C19C0">
          <w:rPr>
            <w:rStyle w:val="Hyperlink"/>
            <w:rFonts w:cstheme="minorBidi"/>
            <w:color w:val="495965"/>
          </w:rPr>
          <w:t>Aid Investment Plan</w:t>
        </w:r>
        <w:r w:rsidR="0053119E" w:rsidRPr="000C19C0">
          <w:rPr>
            <w:rStyle w:val="Hyperlink"/>
            <w:rFonts w:cstheme="minorBidi"/>
            <w:color w:val="495965"/>
          </w:rPr>
          <w:t xml:space="preserve"> (AIP)</w:t>
        </w:r>
        <w:r w:rsidR="0067626F" w:rsidRPr="000C19C0">
          <w:rPr>
            <w:rStyle w:val="Hyperlink"/>
            <w:rFonts w:cstheme="minorBidi"/>
            <w:color w:val="495965"/>
          </w:rPr>
          <w:t xml:space="preserve"> Cambodia:</w:t>
        </w:r>
        <w:r w:rsidRPr="000C19C0">
          <w:rPr>
            <w:rStyle w:val="Hyperlink"/>
            <w:rFonts w:cstheme="minorBidi"/>
            <w:color w:val="495965"/>
          </w:rPr>
          <w:t xml:space="preserve"> 2015-18</w:t>
        </w:r>
      </w:hyperlink>
      <w:r w:rsidRPr="000C19C0">
        <w:rPr>
          <w:color w:val="495965"/>
        </w:rPr>
        <w:t>.</w:t>
      </w:r>
      <w:r w:rsidR="00093CFC">
        <w:rPr>
          <w:rStyle w:val="FootnoteReference"/>
        </w:rPr>
        <w:footnoteReference w:id="3"/>
      </w:r>
      <w:r w:rsidRPr="00C61187">
        <w:t xml:space="preserve"> </w:t>
      </w:r>
      <w:r w:rsidR="0053119E">
        <w:t>Over th</w:t>
      </w:r>
      <w:r w:rsidR="00525E1B">
        <w:t xml:space="preserve">is </w:t>
      </w:r>
      <w:r w:rsidR="0053119E">
        <w:t xml:space="preserve">last </w:t>
      </w:r>
      <w:r w:rsidR="00525E1B">
        <w:t xml:space="preserve">financial </w:t>
      </w:r>
      <w:r w:rsidR="0053119E">
        <w:t>year, we delivered an estimated $89.1 millio</w:t>
      </w:r>
      <w:r w:rsidR="00BC13B1">
        <w:t>n in development assistance through</w:t>
      </w:r>
      <w:r w:rsidR="0053119E">
        <w:t xml:space="preserve"> a </w:t>
      </w:r>
      <w:r w:rsidR="00D124A9">
        <w:t>balanced mix of</w:t>
      </w:r>
      <w:r w:rsidR="0053119E">
        <w:t xml:space="preserve"> </w:t>
      </w:r>
      <w:r w:rsidR="00525E1B">
        <w:t xml:space="preserve">implementing </w:t>
      </w:r>
      <w:r w:rsidR="0053119E">
        <w:t xml:space="preserve">partners. </w:t>
      </w:r>
      <w:r w:rsidR="00A6615F">
        <w:t>In 2017-18</w:t>
      </w:r>
      <w:r w:rsidR="000D62A7" w:rsidRPr="00A52AFA">
        <w:t>, Australia did not provide any aid funding directly to the Cambodian Government</w:t>
      </w:r>
      <w:r w:rsidR="000D62A7">
        <w:t>.</w:t>
      </w:r>
    </w:p>
    <w:p w:rsidR="00F61E7B" w:rsidRDefault="00CB66AA" w:rsidP="00BF2FE6">
      <w:r>
        <w:t xml:space="preserve">Our </w:t>
      </w:r>
      <w:r w:rsidRPr="00802F48">
        <w:t>Ambassador for Women and Girls</w:t>
      </w:r>
      <w:r>
        <w:t xml:space="preserve">, Dr Sharman Stone, made a visit to Phnom Penh in February </w:t>
      </w:r>
      <w:r w:rsidR="0092677C">
        <w:t>2018</w:t>
      </w:r>
      <w:r>
        <w:t xml:space="preserve">, demonstrating </w:t>
      </w:r>
      <w:r w:rsidRPr="00B47DA7">
        <w:rPr>
          <w:b/>
        </w:rPr>
        <w:t>Australia’s strong support for gender equality and women’s empowerment</w:t>
      </w:r>
      <w:r w:rsidR="00802F48">
        <w:t xml:space="preserve"> i</w:t>
      </w:r>
      <w:r>
        <w:t>n both public and private life in Cambodia</w:t>
      </w:r>
      <w:r w:rsidR="00802F48">
        <w:t>. The Ambassador</w:t>
      </w:r>
      <w:r>
        <w:t xml:space="preserve"> announced </w:t>
      </w:r>
      <w:r w:rsidR="00525E1B">
        <w:t xml:space="preserve">that Australia would fund </w:t>
      </w:r>
      <w:r>
        <w:t>a new</w:t>
      </w:r>
      <w:r w:rsidR="00BF2FE6">
        <w:t xml:space="preserve"> priority</w:t>
      </w:r>
      <w:r>
        <w:t xml:space="preserve"> </w:t>
      </w:r>
      <w:r w:rsidR="00BF2FE6">
        <w:t>program</w:t>
      </w:r>
      <w:r w:rsidR="0067626F">
        <w:t xml:space="preserve"> </w:t>
      </w:r>
      <w:r w:rsidR="00525E1B">
        <w:t xml:space="preserve">stimulating greater public investment from the Cambodian Government to address </w:t>
      </w:r>
      <w:r w:rsidR="00BF2FE6" w:rsidRPr="00B47DA7">
        <w:t xml:space="preserve">gender-based violence and </w:t>
      </w:r>
      <w:r w:rsidR="00525E1B">
        <w:t xml:space="preserve">strengthen </w:t>
      </w:r>
      <w:r w:rsidR="00BF2FE6" w:rsidRPr="00B47DA7">
        <w:t>disability services</w:t>
      </w:r>
      <w:r w:rsidR="00525E1B">
        <w:t xml:space="preserve">. This program </w:t>
      </w:r>
      <w:r w:rsidR="0067626F">
        <w:t xml:space="preserve">will </w:t>
      </w:r>
      <w:r w:rsidR="00802F48">
        <w:t>continue our longstanding valued</w:t>
      </w:r>
      <w:r w:rsidR="00D124A9">
        <w:t xml:space="preserve"> work in </w:t>
      </w:r>
      <w:r w:rsidR="00802F48">
        <w:t>these fields.</w:t>
      </w:r>
    </w:p>
    <w:p w:rsidR="00BF2FE6" w:rsidRDefault="00BF2FE6" w:rsidP="00BF2FE6">
      <w:r>
        <w:t>We</w:t>
      </w:r>
      <w:r w:rsidR="00A04781">
        <w:t xml:space="preserve"> reflected on our</w:t>
      </w:r>
      <w:r>
        <w:t xml:space="preserve"> strategic direction and performance through a program-</w:t>
      </w:r>
      <w:r w:rsidRPr="00802F48">
        <w:t>wide Aid Health Check in September 2017</w:t>
      </w:r>
      <w:r w:rsidR="0053416F">
        <w:t xml:space="preserve"> led by s</w:t>
      </w:r>
      <w:r w:rsidR="00D124A9">
        <w:t xml:space="preserve">enior </w:t>
      </w:r>
      <w:r w:rsidR="007B1552">
        <w:t xml:space="preserve">DFAT </w:t>
      </w:r>
      <w:r w:rsidR="0053416F">
        <w:t>staff</w:t>
      </w:r>
      <w:r w:rsidR="00A04781">
        <w:t>. This</w:t>
      </w:r>
      <w:r w:rsidRPr="00802F48">
        <w:t xml:space="preserve"> established that our bilateral aid program is performing w</w:t>
      </w:r>
      <w:r w:rsidR="006C4505">
        <w:t>ell,</w:t>
      </w:r>
      <w:r>
        <w:t xml:space="preserve"> has notable innovative approaches to working with the priva</w:t>
      </w:r>
      <w:r w:rsidR="00D075E4">
        <w:t>te sector and vulnerable people,</w:t>
      </w:r>
      <w:r>
        <w:t xml:space="preserve"> </w:t>
      </w:r>
      <w:r w:rsidR="007B1552">
        <w:t xml:space="preserve">and </w:t>
      </w:r>
      <w:r>
        <w:t>demonstrates good aid management practices despite a complex</w:t>
      </w:r>
      <w:r w:rsidR="00522F47">
        <w:t>,</w:t>
      </w:r>
      <w:r>
        <w:t xml:space="preserve"> high-risk environment</w:t>
      </w:r>
      <w:r w:rsidR="007B1552">
        <w:t xml:space="preserve">. The Aid Health Check </w:t>
      </w:r>
      <w:r w:rsidR="00530BCB">
        <w:t>recommended</w:t>
      </w:r>
      <w:r w:rsidR="007B1552">
        <w:t xml:space="preserve"> strengthen</w:t>
      </w:r>
      <w:r w:rsidR="00530BCB">
        <w:t>ing</w:t>
      </w:r>
      <w:r w:rsidR="007B1552">
        <w:t xml:space="preserve"> the overarching </w:t>
      </w:r>
      <w:r>
        <w:t xml:space="preserve">strategic focus </w:t>
      </w:r>
      <w:r w:rsidR="007B1552">
        <w:t>of the aid program</w:t>
      </w:r>
      <w:r w:rsidR="00530BCB">
        <w:t xml:space="preserve">, and </w:t>
      </w:r>
      <w:r w:rsidR="0067626F">
        <w:t>contracting</w:t>
      </w:r>
      <w:r w:rsidR="00A6615F">
        <w:t xml:space="preserve"> additional aid management expertise </w:t>
      </w:r>
      <w:r w:rsidR="007E6B58">
        <w:t xml:space="preserve">in some key areas </w:t>
      </w:r>
      <w:r w:rsidR="00A6615F">
        <w:t>to</w:t>
      </w:r>
      <w:r w:rsidR="007B1552">
        <w:t xml:space="preserve"> </w:t>
      </w:r>
      <w:r w:rsidR="0067626F">
        <w:t>increase</w:t>
      </w:r>
      <w:r w:rsidR="00237C1E">
        <w:t xml:space="preserve"> our</w:t>
      </w:r>
      <w:r w:rsidR="00A6615F">
        <w:t xml:space="preserve"> </w:t>
      </w:r>
      <w:r w:rsidR="00A04781">
        <w:t xml:space="preserve">policy </w:t>
      </w:r>
      <w:r w:rsidR="00A6615F">
        <w:t>impact</w:t>
      </w:r>
      <w:r w:rsidR="0092677C">
        <w:t xml:space="preserve"> – this work is already underway.</w:t>
      </w:r>
    </w:p>
    <w:p w:rsidR="005418CA" w:rsidRPr="00487C91" w:rsidRDefault="003346B8" w:rsidP="005418CA">
      <w:r>
        <w:t>This year w</w:t>
      </w:r>
      <w:r w:rsidR="005418CA">
        <w:t xml:space="preserve">e have </w:t>
      </w:r>
      <w:r w:rsidR="005418CA" w:rsidRPr="00487C91">
        <w:rPr>
          <w:b/>
        </w:rPr>
        <w:t>reshaped a number of programs</w:t>
      </w:r>
      <w:r w:rsidR="005418CA">
        <w:t xml:space="preserve"> </w:t>
      </w:r>
      <w:r w:rsidR="0053416F">
        <w:t>including our highly popular Australia Awards Scholarships</w:t>
      </w:r>
      <w:r w:rsidR="005418CA">
        <w:t xml:space="preserve">, gender and disability </w:t>
      </w:r>
      <w:r w:rsidR="0053416F">
        <w:t>advocacy projects</w:t>
      </w:r>
      <w:r>
        <w:t xml:space="preserve"> and</w:t>
      </w:r>
      <w:r w:rsidR="005418CA">
        <w:t xml:space="preserve"> </w:t>
      </w:r>
      <w:r w:rsidR="0053416F">
        <w:t xml:space="preserve">our support to </w:t>
      </w:r>
      <w:r w:rsidR="005418CA">
        <w:t>public financial management</w:t>
      </w:r>
      <w:r w:rsidR="00CA6262">
        <w:t xml:space="preserve"> (PFM)</w:t>
      </w:r>
      <w:r w:rsidR="005418CA">
        <w:t>.</w:t>
      </w:r>
      <w:r w:rsidR="008C3218" w:rsidRPr="008C3218">
        <w:t xml:space="preserve"> </w:t>
      </w:r>
      <w:r w:rsidR="008C3218">
        <w:t xml:space="preserve">This sharper focus means that we are better placed to achieve development impact and better able to support </w:t>
      </w:r>
      <w:r w:rsidR="0092677C">
        <w:t>a</w:t>
      </w:r>
      <w:r w:rsidR="008C3218">
        <w:t xml:space="preserve"> more stable, prosperous and resilient</w:t>
      </w:r>
      <w:r w:rsidR="0092677C">
        <w:t xml:space="preserve"> community</w:t>
      </w:r>
      <w:r w:rsidR="008C3218">
        <w:t xml:space="preserve">.  </w:t>
      </w:r>
    </w:p>
    <w:p w:rsidR="005418CA" w:rsidRDefault="003346B8" w:rsidP="005418CA">
      <w:r>
        <w:t>We have made good progress towards achieving our objectives in all our priority sectors</w:t>
      </w:r>
      <w:r w:rsidR="000E24AC" w:rsidRPr="000E24AC">
        <w:t xml:space="preserve"> </w:t>
      </w:r>
      <w:r w:rsidR="000E24AC">
        <w:t xml:space="preserve">and our </w:t>
      </w:r>
      <w:r w:rsidR="000E24AC" w:rsidRPr="00487C91">
        <w:rPr>
          <w:b/>
        </w:rPr>
        <w:t xml:space="preserve">performance record </w:t>
      </w:r>
      <w:r w:rsidR="0054240E">
        <w:rPr>
          <w:b/>
        </w:rPr>
        <w:t>is stronger</w:t>
      </w:r>
      <w:r w:rsidR="0054240E">
        <w:t xml:space="preserve"> than the previous year</w:t>
      </w:r>
      <w:r w:rsidR="000E24AC">
        <w:t>. We</w:t>
      </w:r>
      <w:r>
        <w:t xml:space="preserve"> </w:t>
      </w:r>
      <w:r w:rsidR="000E24AC">
        <w:t>attained</w:t>
      </w:r>
      <w:r>
        <w:t xml:space="preserve"> all green ratings in infrastructure, agriculture, health and education</w:t>
      </w:r>
      <w:r w:rsidR="00880F7D">
        <w:t xml:space="preserve"> </w:t>
      </w:r>
      <w:r w:rsidR="00E33407">
        <w:t>—</w:t>
      </w:r>
      <w:r w:rsidR="00880F7D">
        <w:t xml:space="preserve"> </w:t>
      </w:r>
      <w:r>
        <w:t>an improvement on recent years. We have also remediated two investments requiring improvement</w:t>
      </w:r>
      <w:r w:rsidR="000E24AC">
        <w:t xml:space="preserve">, </w:t>
      </w:r>
      <w:r w:rsidR="0054240E">
        <w:t xml:space="preserve">a process </w:t>
      </w:r>
      <w:r w:rsidR="000E24AC">
        <w:t>which took concerted effort and was led by senior staff</w:t>
      </w:r>
      <w:r>
        <w:rPr>
          <w:b/>
        </w:rPr>
        <w:t>.</w:t>
      </w:r>
    </w:p>
    <w:p w:rsidR="005418CA" w:rsidRDefault="005418CA" w:rsidP="005418CA">
      <w:r>
        <w:t xml:space="preserve">We have </w:t>
      </w:r>
      <w:r w:rsidRPr="00487C91">
        <w:rPr>
          <w:b/>
        </w:rPr>
        <w:t>pursued sustainable</w:t>
      </w:r>
      <w:r w:rsidR="004803E5">
        <w:rPr>
          <w:b/>
        </w:rPr>
        <w:t xml:space="preserve"> and innovative</w:t>
      </w:r>
      <w:r w:rsidRPr="00487C91">
        <w:rPr>
          <w:b/>
        </w:rPr>
        <w:t xml:space="preserve"> strategies</w:t>
      </w:r>
      <w:r>
        <w:t xml:space="preserve"> across the program</w:t>
      </w:r>
      <w:r w:rsidR="00A907CD">
        <w:t>.</w:t>
      </w:r>
      <w:r w:rsidRPr="00487C91">
        <w:t xml:space="preserve"> </w:t>
      </w:r>
      <w:r w:rsidR="004803E5">
        <w:t>U</w:t>
      </w:r>
      <w:r w:rsidR="00A907CD">
        <w:t xml:space="preserve">nder </w:t>
      </w:r>
      <w:r w:rsidR="007F0A01">
        <w:t xml:space="preserve">the </w:t>
      </w:r>
      <w:r w:rsidR="00A907CD">
        <w:t>Cambodia Agriculture Value Cha</w:t>
      </w:r>
      <w:r w:rsidR="00BB199C">
        <w:t>in</w:t>
      </w:r>
      <w:r w:rsidR="00A907CD">
        <w:t xml:space="preserve"> Program (CAVAC)</w:t>
      </w:r>
      <w:r w:rsidR="004803E5">
        <w:t xml:space="preserve">, we have demonstrated that the numerous benefits from </w:t>
      </w:r>
      <w:r>
        <w:t xml:space="preserve">concrete irrigation </w:t>
      </w:r>
      <w:r>
        <w:lastRenderedPageBreak/>
        <w:t>canals</w:t>
      </w:r>
      <w:r w:rsidR="004803E5">
        <w:t xml:space="preserve"> outweigh the costs, which has led the Cambodian Government to state that it intends to roll out </w:t>
      </w:r>
      <w:r w:rsidR="00A04781">
        <w:t>concrete canals nationwide</w:t>
      </w:r>
      <w:r w:rsidR="00A907CD">
        <w:t xml:space="preserve">. </w:t>
      </w:r>
    </w:p>
    <w:p w:rsidR="00D65C74" w:rsidRDefault="00D65C74" w:rsidP="00D65C74">
      <w:r>
        <w:t>Our portfolio is achieving real outcomes for the most vulnerable C</w:t>
      </w:r>
      <w:r w:rsidR="00AD6E91">
        <w:t>ambodian people and demonstrating</w:t>
      </w:r>
      <w:r>
        <w:t xml:space="preserve"> effective public policy which can have catalytic impact when taken to scale.</w:t>
      </w:r>
    </w:p>
    <w:p w:rsidR="00C6626C" w:rsidRPr="00C61187" w:rsidRDefault="00C6626C" w:rsidP="002A51CA">
      <w:pPr>
        <w:pStyle w:val="ListBullet"/>
        <w:tabs>
          <w:tab w:val="clear" w:pos="284"/>
        </w:tabs>
        <w:spacing w:before="360"/>
        <w:rPr>
          <w:kern w:val="28"/>
        </w:rPr>
      </w:pPr>
      <w:r w:rsidRPr="002A51CA">
        <w:rPr>
          <w:rFonts w:asciiTheme="majorHAnsi" w:eastAsiaTheme="majorEastAsia" w:hAnsiTheme="majorHAnsi" w:cstheme="majorBidi"/>
          <w:caps/>
          <w:color w:val="495965" w:themeColor="text2"/>
          <w:sz w:val="38"/>
          <w:szCs w:val="26"/>
          <w:lang w:val="en-GB" w:eastAsia="en-US"/>
        </w:rPr>
        <w:t xml:space="preserve">Context </w:t>
      </w:r>
      <w:r w:rsidRPr="002A51CA">
        <w:rPr>
          <w:rFonts w:asciiTheme="majorHAnsi" w:eastAsiaTheme="majorEastAsia" w:hAnsiTheme="majorHAnsi" w:cstheme="majorBidi"/>
          <w:caps/>
          <w:color w:val="495965" w:themeColor="text2"/>
          <w:sz w:val="38"/>
          <w:szCs w:val="26"/>
          <w:lang w:val="en-GB" w:eastAsia="en-US"/>
        </w:rPr>
        <w:tab/>
      </w:r>
      <w:r w:rsidRPr="00C61187">
        <w:rPr>
          <w:rFonts w:ascii="Helvetica" w:hAnsi="Helvetica" w:cs="Arial"/>
          <w:color w:val="007FAD"/>
          <w:kern w:val="28"/>
          <w:sz w:val="32"/>
          <w:szCs w:val="32"/>
        </w:rPr>
        <w:tab/>
      </w:r>
      <w:r w:rsidRPr="00C61187">
        <w:rPr>
          <w:color w:val="007FAD"/>
          <w:kern w:val="28"/>
        </w:rPr>
        <w:tab/>
      </w:r>
      <w:r w:rsidRPr="00C61187">
        <w:rPr>
          <w:color w:val="007FAD"/>
          <w:kern w:val="28"/>
        </w:rPr>
        <w:tab/>
      </w:r>
      <w:r w:rsidRPr="00C61187">
        <w:rPr>
          <w:color w:val="007FAD"/>
          <w:kern w:val="28"/>
        </w:rPr>
        <w:tab/>
      </w:r>
      <w:r w:rsidRPr="00C61187">
        <w:rPr>
          <w:color w:val="007FAD"/>
          <w:kern w:val="28"/>
        </w:rPr>
        <w:tab/>
      </w:r>
      <w:r w:rsidRPr="00C61187">
        <w:rPr>
          <w:color w:val="007FAD"/>
          <w:kern w:val="28"/>
        </w:rPr>
        <w:tab/>
      </w:r>
    </w:p>
    <w:p w:rsidR="004D72CA" w:rsidRDefault="004D72CA" w:rsidP="00B47DA7">
      <w:r>
        <w:t>Economic growth remains very strong but slowed slightly in 2017 to 6.8 per cent</w:t>
      </w:r>
      <w:r w:rsidR="003539DB">
        <w:t xml:space="preserve"> (from</w:t>
      </w:r>
      <w:r w:rsidR="009A708E">
        <w:t xml:space="preserve"> </w:t>
      </w:r>
      <w:r w:rsidR="00C212CB">
        <w:t xml:space="preserve">seven </w:t>
      </w:r>
      <w:r w:rsidR="009A708E">
        <w:t>per cent)</w:t>
      </w:r>
      <w:r>
        <w:t>. Cambodia’s GDP per capita is almost identical to Myanmar’s – the two are now significantly poorer on this measure than other Southeast Asian countries (including Laos). Manufacturing, construction and tourism remained the primary contributors to GDP growth – with</w:t>
      </w:r>
      <w:r w:rsidR="007D6731">
        <w:t xml:space="preserve"> </w:t>
      </w:r>
      <w:r w:rsidR="00E43906">
        <w:t>some emerging</w:t>
      </w:r>
      <w:r w:rsidR="00787E1D">
        <w:t xml:space="preserve"> </w:t>
      </w:r>
      <w:r>
        <w:t>diversification of manufacturing beyond garments.</w:t>
      </w:r>
      <w:r w:rsidR="00E8710B">
        <w:t xml:space="preserve"> Agriculture remains important for the Cambodian economy, contributing around a quarter </w:t>
      </w:r>
      <w:r w:rsidR="0092677C">
        <w:t>of</w:t>
      </w:r>
      <w:r w:rsidR="00E8710B">
        <w:t xml:space="preserve"> annual GDP and accounts for about 42 per cent of jobs.</w:t>
      </w:r>
    </w:p>
    <w:p w:rsidR="004D72CA" w:rsidRDefault="004D72CA" w:rsidP="00B47DA7">
      <w:r>
        <w:t xml:space="preserve">Cambodia’s Human Development Index </w:t>
      </w:r>
      <w:r w:rsidR="0012334C">
        <w:t xml:space="preserve">(HDI) </w:t>
      </w:r>
      <w:r>
        <w:t>— which measures per capita income, education and life expecta</w:t>
      </w:r>
      <w:r w:rsidR="008C3218">
        <w:t>ncy</w:t>
      </w:r>
      <w:r>
        <w:t xml:space="preserve"> — continues to improve rapidly, from a low base. It currently ranks 143 of 188 countries worldwide</w:t>
      </w:r>
      <w:r w:rsidR="00C76523">
        <w:t xml:space="preserve">, </w:t>
      </w:r>
      <w:r w:rsidR="00AD6E91">
        <w:t>second lowest</w:t>
      </w:r>
      <w:r>
        <w:t xml:space="preserve"> in Southeast Asia.</w:t>
      </w:r>
      <w:r w:rsidR="00787E1D">
        <w:t xml:space="preserve"> The World Bank and ADB </w:t>
      </w:r>
      <w:r w:rsidR="0092677C">
        <w:t xml:space="preserve">have </w:t>
      </w:r>
      <w:r w:rsidR="00787E1D">
        <w:t>warn</w:t>
      </w:r>
      <w:r w:rsidR="007E6B58">
        <w:t>ed</w:t>
      </w:r>
      <w:r w:rsidR="00787E1D">
        <w:t xml:space="preserve"> that about 70 </w:t>
      </w:r>
      <w:r w:rsidR="007F0A01">
        <w:t xml:space="preserve">per </w:t>
      </w:r>
      <w:r w:rsidR="00787E1D">
        <w:t xml:space="preserve">cent of </w:t>
      </w:r>
      <w:r w:rsidR="007F0A01">
        <w:t xml:space="preserve">the </w:t>
      </w:r>
      <w:r w:rsidR="00787E1D">
        <w:t xml:space="preserve">population remain ‘near poor’ and vulnerable to shocks, </w:t>
      </w:r>
      <w:r w:rsidR="007F0A01">
        <w:t>which</w:t>
      </w:r>
      <w:r w:rsidR="00787E1D">
        <w:t xml:space="preserve"> can drive households suddenly back into poverty. Chronically weak social protection</w:t>
      </w:r>
      <w:r w:rsidR="00513A9F">
        <w:t xml:space="preserve"> —</w:t>
      </w:r>
      <w:r w:rsidR="00787E1D">
        <w:t xml:space="preserve"> especially in public health where Cambodia has the third highest out-of-pocket health costs in the world</w:t>
      </w:r>
      <w:r w:rsidR="00513A9F">
        <w:t xml:space="preserve"> </w:t>
      </w:r>
      <w:r w:rsidR="00787E1D">
        <w:t>—</w:t>
      </w:r>
      <w:r w:rsidR="00513A9F">
        <w:t xml:space="preserve"> </w:t>
      </w:r>
      <w:r w:rsidR="00787E1D">
        <w:t xml:space="preserve">amplify the vulnerability of the near poor. </w:t>
      </w:r>
    </w:p>
    <w:p w:rsidR="002D7B47" w:rsidRDefault="002D7B47" w:rsidP="002D7B47">
      <w:r>
        <w:t xml:space="preserve">The political situation in Cambodia deteriorated in 2017-18. The main opposition party was dissolved and there were restrictions on freedom of expression and association affecting media outlets and civil society. </w:t>
      </w:r>
    </w:p>
    <w:p w:rsidR="004D72CA" w:rsidRDefault="004D72CA" w:rsidP="00B47DA7">
      <w:r>
        <w:t xml:space="preserve">The development finance landscape in Cambodia is now fundamentally different to </w:t>
      </w:r>
      <w:r w:rsidR="00E33407">
        <w:t xml:space="preserve">four </w:t>
      </w:r>
      <w:r>
        <w:t xml:space="preserve">years ago, when the current </w:t>
      </w:r>
      <w:r w:rsidR="00C921D5">
        <w:t>AIP</w:t>
      </w:r>
      <w:r>
        <w:t xml:space="preserve"> </w:t>
      </w:r>
      <w:r w:rsidR="00E33407">
        <w:t>was developed</w:t>
      </w:r>
      <w:r>
        <w:t>. The government has doubled its revenue in the past five years, as a result of strong economic g</w:t>
      </w:r>
      <w:r w:rsidR="00C921D5">
        <w:t>rowth and effective tax reforms, though coming from a low base and amounting</w:t>
      </w:r>
      <w:r w:rsidR="00787E1D">
        <w:t xml:space="preserve"> to just </w:t>
      </w:r>
      <w:r w:rsidR="004B18E2" w:rsidRPr="009C1523">
        <w:t xml:space="preserve">USD </w:t>
      </w:r>
      <w:r w:rsidR="00E43906">
        <w:t>4.4</w:t>
      </w:r>
      <w:r w:rsidR="00891F09" w:rsidRPr="009C1523">
        <w:t xml:space="preserve"> billion in 2017.</w:t>
      </w:r>
      <w:r>
        <w:t xml:space="preserve"> Foreign investment has also increased significantly, particularly from China. This is creating valuable fiscal space for public sector wage increases</w:t>
      </w:r>
      <w:r w:rsidR="002D7B47">
        <w:t>, infrastructure development</w:t>
      </w:r>
      <w:r>
        <w:t xml:space="preserve"> and </w:t>
      </w:r>
      <w:r w:rsidR="002D7B47">
        <w:t>increased spending on public services</w:t>
      </w:r>
      <w:r>
        <w:t xml:space="preserve">. </w:t>
      </w:r>
      <w:r w:rsidR="00AA4E6E">
        <w:t xml:space="preserve">However, </w:t>
      </w:r>
      <w:r w:rsidR="002D7B47">
        <w:t xml:space="preserve">behind Cambodia’s </w:t>
      </w:r>
      <w:r w:rsidR="00AA4E6E">
        <w:t xml:space="preserve">strong economic growth </w:t>
      </w:r>
      <w:r w:rsidR="002D7B47">
        <w:t>figures remain significant risks, including in relation to income inequality, social and political stability, environmental sustainability and volatility to shocks.</w:t>
      </w:r>
    </w:p>
    <w:p w:rsidR="004D72CA" w:rsidRDefault="00513A9F" w:rsidP="00B47DA7">
      <w:r>
        <w:t>T</w:t>
      </w:r>
      <w:r w:rsidR="00C921D5">
        <w:t xml:space="preserve">he benefits of </w:t>
      </w:r>
      <w:r w:rsidR="004D72CA">
        <w:t>rapid revenue and investment growth is still subject to emerging risks in Cambodia’s financial sector. Strong supervision of fi</w:t>
      </w:r>
      <w:r w:rsidR="00C921D5">
        <w:t>nancial institutions and</w:t>
      </w:r>
      <w:r w:rsidR="004D72CA">
        <w:t xml:space="preserve"> </w:t>
      </w:r>
      <w:r w:rsidR="00C921D5">
        <w:t xml:space="preserve">ongoing </w:t>
      </w:r>
      <w:r w:rsidR="004D72CA">
        <w:t>regulatory reform is necessary to safeguard Cambodia’s impressive de</w:t>
      </w:r>
      <w:r w:rsidR="00D075E4">
        <w:t>velopment gains against system</w:t>
      </w:r>
      <w:r w:rsidR="004D72CA">
        <w:t xml:space="preserve">ic financial risks as private sector activity increases. </w:t>
      </w:r>
      <w:r w:rsidR="00036A49">
        <w:t xml:space="preserve">Fortunately, </w:t>
      </w:r>
      <w:r w:rsidR="005144D8">
        <w:t xml:space="preserve">at this time </w:t>
      </w:r>
      <w:r w:rsidR="00036A49">
        <w:t>Cambodia</w:t>
      </w:r>
      <w:r w:rsidR="00AA4E6E">
        <w:t xml:space="preserve"> </w:t>
      </w:r>
      <w:r w:rsidR="00036A49">
        <w:t>is at low risk of debt distress</w:t>
      </w:r>
      <w:r w:rsidR="00445905">
        <w:t xml:space="preserve"> according to the International Monetary Fund, though still e</w:t>
      </w:r>
      <w:r w:rsidR="00C921D5">
        <w:t xml:space="preserve">xposed to macroeconomic shocks, such as </w:t>
      </w:r>
      <w:r w:rsidR="002F3399">
        <w:t>commodity</w:t>
      </w:r>
      <w:r w:rsidR="00C921D5">
        <w:t xml:space="preserve"> price volatility (e.g. rice).</w:t>
      </w:r>
    </w:p>
    <w:p w:rsidR="004D72CA" w:rsidRDefault="004D72CA" w:rsidP="004D72CA">
      <w:r>
        <w:t>This new financial landscape means the Cambodian Government is currently making si</w:t>
      </w:r>
      <w:r w:rsidR="001532C4">
        <w:t>gnificant</w:t>
      </w:r>
      <w:r w:rsidR="000E24AC">
        <w:t xml:space="preserve"> </w:t>
      </w:r>
      <w:r>
        <w:t>spending decisions, particularly on infrastructure</w:t>
      </w:r>
      <w:r w:rsidR="005144D8">
        <w:t>.</w:t>
      </w:r>
      <w:r>
        <w:t xml:space="preserve"> </w:t>
      </w:r>
      <w:r w:rsidR="005144D8">
        <w:t xml:space="preserve">This </w:t>
      </w:r>
      <w:r w:rsidR="00880F7D">
        <w:t xml:space="preserve">has </w:t>
      </w:r>
      <w:r>
        <w:t xml:space="preserve">the potential for long-term impacts on Cambodia’s society, environment, and economic </w:t>
      </w:r>
      <w:r w:rsidR="00513A9F">
        <w:t xml:space="preserve">and political </w:t>
      </w:r>
      <w:r>
        <w:t>sovereignty. The need and appetite for capacity building of government institutions and think tanks</w:t>
      </w:r>
      <w:r w:rsidR="00E33407">
        <w:t xml:space="preserve"> </w:t>
      </w:r>
      <w:r w:rsidR="00880F7D">
        <w:t>—</w:t>
      </w:r>
      <w:r w:rsidR="00E33407">
        <w:t xml:space="preserve"> </w:t>
      </w:r>
      <w:r>
        <w:t>to</w:t>
      </w:r>
      <w:r w:rsidR="00880F7D">
        <w:t xml:space="preserve"> </w:t>
      </w:r>
      <w:r>
        <w:t>ensure policymakers are able to access sufficient data and analysis to inform these decisions</w:t>
      </w:r>
      <w:r w:rsidR="00E33407">
        <w:t xml:space="preserve"> </w:t>
      </w:r>
      <w:r w:rsidR="00880F7D">
        <w:t>—</w:t>
      </w:r>
      <w:r w:rsidR="00E33407">
        <w:t xml:space="preserve"> </w:t>
      </w:r>
      <w:r>
        <w:t>appears</w:t>
      </w:r>
      <w:r w:rsidR="00880F7D">
        <w:t xml:space="preserve"> </w:t>
      </w:r>
      <w:r>
        <w:t>to be increasing.</w:t>
      </w:r>
    </w:p>
    <w:p w:rsidR="004D72CA" w:rsidRDefault="004D72CA" w:rsidP="0024512A">
      <w:r>
        <w:t>Australia’s aid program</w:t>
      </w:r>
      <w:r w:rsidRPr="00F07964">
        <w:t xml:space="preserve"> </w:t>
      </w:r>
      <w:r w:rsidR="00891F09">
        <w:t>continues to support</w:t>
      </w:r>
      <w:r>
        <w:t xml:space="preserve"> a more resilient Cambodian economy and society</w:t>
      </w:r>
      <w:r w:rsidR="008C3218">
        <w:t xml:space="preserve">, which </w:t>
      </w:r>
      <w:r w:rsidR="001532C4">
        <w:t>has benefits for</w:t>
      </w:r>
      <w:r w:rsidR="008C3218">
        <w:t xml:space="preserve"> our region.</w:t>
      </w:r>
      <w:r>
        <w:t xml:space="preserve"> The aid program is doing this through bottom-up work in agriculture, water and energy to support Cambodia’s </w:t>
      </w:r>
      <w:r w:rsidR="00D075E4">
        <w:t>poorest citizens in rural areas,</w:t>
      </w:r>
      <w:r>
        <w:t xml:space="preserve"> and through national-level initiatives such as the roll out of a public health system</w:t>
      </w:r>
      <w:r w:rsidR="0092677C">
        <w:t xml:space="preserve"> which incorporates performance-based incentives</w:t>
      </w:r>
      <w:r>
        <w:t xml:space="preserve"> to </w:t>
      </w:r>
      <w:r w:rsidR="0092138A">
        <w:t xml:space="preserve">encourage improved quality and equity in service delivery. </w:t>
      </w:r>
    </w:p>
    <w:p w:rsidR="004D72CA" w:rsidRDefault="00997EBF" w:rsidP="002A51CA">
      <w:r>
        <w:t xml:space="preserve">In 2017, </w:t>
      </w:r>
      <w:r w:rsidR="00513A9F">
        <w:t xml:space="preserve">according to official Cambodian Government statistics, </w:t>
      </w:r>
      <w:r>
        <w:t xml:space="preserve">Australia was the fifth largest bilateral donor to </w:t>
      </w:r>
      <w:r w:rsidR="004B18E2">
        <w:t xml:space="preserve">Cambodia, following China (USD </w:t>
      </w:r>
      <w:r w:rsidR="00291B3D">
        <w:t>224 million)</w:t>
      </w:r>
      <w:r>
        <w:t>, Japan</w:t>
      </w:r>
      <w:r w:rsidR="004B18E2">
        <w:t xml:space="preserve"> (USD </w:t>
      </w:r>
      <w:r w:rsidR="00291B3D">
        <w:t>127 million)</w:t>
      </w:r>
      <w:r>
        <w:t xml:space="preserve">, France </w:t>
      </w:r>
      <w:r w:rsidR="004B18E2">
        <w:t xml:space="preserve">(USD </w:t>
      </w:r>
      <w:r w:rsidR="00291B3D">
        <w:t xml:space="preserve">103 million) </w:t>
      </w:r>
      <w:r>
        <w:t>and USA</w:t>
      </w:r>
      <w:r w:rsidR="004B18E2">
        <w:t xml:space="preserve"> (USD </w:t>
      </w:r>
      <w:r w:rsidR="007F0A01">
        <w:t xml:space="preserve">76 million). </w:t>
      </w:r>
      <w:r w:rsidR="001532C4">
        <w:t xml:space="preserve">Notably, </w:t>
      </w:r>
      <w:r w:rsidR="00291B3D">
        <w:t>France</w:t>
      </w:r>
      <w:r w:rsidR="00513A9F">
        <w:t xml:space="preserve"> has </w:t>
      </w:r>
      <w:r w:rsidR="00D65C74">
        <w:t xml:space="preserve">more than </w:t>
      </w:r>
      <w:r w:rsidR="001532C4">
        <w:t>tripled</w:t>
      </w:r>
      <w:r w:rsidR="0012334C">
        <w:t xml:space="preserve"> its</w:t>
      </w:r>
      <w:r w:rsidR="00291B3D">
        <w:t xml:space="preserve"> contribution</w:t>
      </w:r>
      <w:r w:rsidR="001532C4">
        <w:t xml:space="preserve"> to Cambodia in 2017</w:t>
      </w:r>
      <w:r w:rsidR="00513A9F">
        <w:t xml:space="preserve">. </w:t>
      </w:r>
      <w:r w:rsidR="0012334C">
        <w:t>S</w:t>
      </w:r>
      <w:r w:rsidR="00891F09">
        <w:t>ome</w:t>
      </w:r>
      <w:r w:rsidR="007F0A01">
        <w:t xml:space="preserve"> multilateral</w:t>
      </w:r>
      <w:r w:rsidR="00891F09">
        <w:t xml:space="preserve"> organisations</w:t>
      </w:r>
      <w:r w:rsidR="00551038">
        <w:t xml:space="preserve"> including </w:t>
      </w:r>
      <w:r w:rsidR="00291B3D">
        <w:t>the World Bank</w:t>
      </w:r>
      <w:r w:rsidR="00551038">
        <w:t xml:space="preserve">, </w:t>
      </w:r>
      <w:r w:rsidR="00291B3D">
        <w:t>Asia Development Bank and the Global Fund</w:t>
      </w:r>
      <w:r w:rsidR="00551038">
        <w:t xml:space="preserve"> also </w:t>
      </w:r>
      <w:r w:rsidR="00551038">
        <w:lastRenderedPageBreak/>
        <w:t>increased their contributions significantly</w:t>
      </w:r>
      <w:r w:rsidR="00513A9F">
        <w:t>. These increases probably reflect, in part, that Cambodia is at a critical development juncture as it transitions to middle-income status and in this context larger amounts of development assistance can be absorbed effectively.</w:t>
      </w:r>
    </w:p>
    <w:p w:rsidR="00794D2C" w:rsidRDefault="00F34544" w:rsidP="002A51CA">
      <w:r w:rsidRPr="00F34544">
        <w:t xml:space="preserve">While </w:t>
      </w:r>
      <w:r w:rsidR="00794D2C" w:rsidRPr="00F34544">
        <w:t xml:space="preserve">Australia </w:t>
      </w:r>
      <w:r w:rsidRPr="00F34544">
        <w:t xml:space="preserve">is by no means the greatest donor in terms of quantum, we </w:t>
      </w:r>
      <w:r w:rsidR="00EF2730" w:rsidRPr="00F34544">
        <w:t>remain a</w:t>
      </w:r>
      <w:r w:rsidR="00794D2C" w:rsidRPr="00F34544">
        <w:t xml:space="preserve"> significant</w:t>
      </w:r>
      <w:r w:rsidR="00EF2730" w:rsidRPr="00F34544">
        <w:t xml:space="preserve"> </w:t>
      </w:r>
      <w:r w:rsidRPr="00F34544">
        <w:t xml:space="preserve">development </w:t>
      </w:r>
      <w:r w:rsidR="00794D2C" w:rsidRPr="00F34544">
        <w:t>partner to Cambodi</w:t>
      </w:r>
      <w:r w:rsidRPr="00F34544">
        <w:t xml:space="preserve">a through </w:t>
      </w:r>
      <w:r w:rsidR="008C3218">
        <w:t>our strong relationships and</w:t>
      </w:r>
      <w:r w:rsidR="008C3218" w:rsidRPr="00F34544">
        <w:t xml:space="preserve"> </w:t>
      </w:r>
      <w:r w:rsidRPr="00F34544">
        <w:t>the</w:t>
      </w:r>
      <w:r w:rsidR="00794D2C" w:rsidRPr="00F34544">
        <w:t xml:space="preserve"> deliver</w:t>
      </w:r>
      <w:r w:rsidRPr="00F34544">
        <w:t>y of</w:t>
      </w:r>
      <w:r w:rsidR="00794D2C" w:rsidRPr="00F34544">
        <w:t xml:space="preserve"> </w:t>
      </w:r>
      <w:r w:rsidR="001532C4">
        <w:t>high</w:t>
      </w:r>
      <w:r w:rsidR="00794D2C" w:rsidRPr="00F34544">
        <w:t xml:space="preserve"> impact</w:t>
      </w:r>
      <w:r w:rsidR="001532C4">
        <w:t xml:space="preserve"> programs</w:t>
      </w:r>
      <w:r w:rsidR="00794D2C" w:rsidRPr="00F34544">
        <w:t>.</w:t>
      </w:r>
      <w:r w:rsidR="00794D2C">
        <w:t xml:space="preserve"> </w:t>
      </w:r>
    </w:p>
    <w:p w:rsidR="002D7B47" w:rsidRDefault="002D7B47" w:rsidP="002D7B47">
      <w:r>
        <w:t>We will consider the dynamic and complex Cambodian context, and Australia’s foreign policy objectives, while developing our new AIP. Our grant-based aid program will need to continue to deliver highly relevant development outcomes to the Cambodian people while delivering on Australia’s national interests.</w:t>
      </w:r>
    </w:p>
    <w:p w:rsidR="00C6626C" w:rsidRPr="002A51CA" w:rsidRDefault="00C6626C"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t>Expenditure</w:t>
      </w:r>
    </w:p>
    <w:p w:rsidR="00794D2C" w:rsidRPr="0024512A" w:rsidRDefault="00794D2C" w:rsidP="00794D2C">
      <w:pPr>
        <w:rPr>
          <w:rFonts w:ascii="Calibri Light" w:hAnsi="Calibri Light" w:cs="Calibri Light"/>
          <w:lang w:val="en-AU"/>
        </w:rPr>
      </w:pPr>
      <w:r w:rsidRPr="0024512A">
        <w:rPr>
          <w:rFonts w:ascii="Calibri Light" w:hAnsi="Calibri Light" w:cs="Calibri Light"/>
          <w:lang w:val="en-AU"/>
        </w:rPr>
        <w:t xml:space="preserve">Total official development assistance (ODA) expenditure for 2017-18 is set out in Table 1. Regional and Global Programs include the Australian </w:t>
      </w:r>
      <w:r w:rsidR="0022136A">
        <w:rPr>
          <w:rFonts w:ascii="Calibri Light" w:hAnsi="Calibri Light" w:cs="Calibri Light"/>
          <w:lang w:val="en-AU"/>
        </w:rPr>
        <w:t>Non-Governmental Organisations (NGO)</w:t>
      </w:r>
      <w:r w:rsidRPr="0024512A">
        <w:rPr>
          <w:rFonts w:ascii="Calibri Light" w:hAnsi="Calibri Light" w:cs="Calibri Light"/>
          <w:lang w:val="en-AU"/>
        </w:rPr>
        <w:t xml:space="preserve"> Cooperation Program (ANCP), global contribution</w:t>
      </w:r>
      <w:r w:rsidR="00450991">
        <w:rPr>
          <w:rFonts w:ascii="Calibri Light" w:hAnsi="Calibri Light" w:cs="Calibri Light"/>
          <w:lang w:val="en-AU"/>
        </w:rPr>
        <w:t>s</w:t>
      </w:r>
      <w:r w:rsidRPr="0024512A">
        <w:rPr>
          <w:rFonts w:ascii="Calibri Light" w:hAnsi="Calibri Light" w:cs="Calibri Light"/>
          <w:lang w:val="en-AU"/>
        </w:rPr>
        <w:t xml:space="preserve"> to the Australia Awards program and the Australian Volunteer</w:t>
      </w:r>
      <w:r w:rsidR="00450991">
        <w:rPr>
          <w:rFonts w:ascii="Calibri Light" w:hAnsi="Calibri Light" w:cs="Calibri Light"/>
          <w:lang w:val="en-AU"/>
        </w:rPr>
        <w:t>s</w:t>
      </w:r>
      <w:r w:rsidRPr="0024512A">
        <w:rPr>
          <w:rFonts w:ascii="Calibri Light" w:hAnsi="Calibri Light" w:cs="Calibri Light"/>
          <w:lang w:val="en-AU"/>
        </w:rPr>
        <w:t xml:space="preserve"> program</w:t>
      </w:r>
      <w:r w:rsidR="00D05080">
        <w:t xml:space="preserve"> —</w:t>
      </w:r>
      <w:r w:rsidR="00D05080">
        <w:rPr>
          <w:rFonts w:ascii="Calibri Light" w:hAnsi="Calibri Light" w:cs="Calibri Light"/>
          <w:lang w:val="en-AU"/>
        </w:rPr>
        <w:t xml:space="preserve"> an increasing proportion of our total aid program</w:t>
      </w:r>
      <w:r w:rsidRPr="0024512A">
        <w:rPr>
          <w:rFonts w:ascii="Calibri Light" w:hAnsi="Calibri Light" w:cs="Calibri Light"/>
          <w:lang w:val="en-AU"/>
        </w:rPr>
        <w:t xml:space="preserve">. </w:t>
      </w:r>
      <w:r w:rsidR="00450991">
        <w:rPr>
          <w:rFonts w:ascii="Calibri Light" w:hAnsi="Calibri Light" w:cs="Calibri Light"/>
          <w:lang w:val="en-AU"/>
        </w:rPr>
        <w:t xml:space="preserve">Other Government Departments expenditure in Cambodia </w:t>
      </w:r>
      <w:r w:rsidR="002F3399">
        <w:rPr>
          <w:rFonts w:ascii="Calibri Light" w:hAnsi="Calibri Light" w:cs="Calibri Light"/>
          <w:lang w:val="en-AU"/>
        </w:rPr>
        <w:t xml:space="preserve">covers programs by the </w:t>
      </w:r>
      <w:r w:rsidR="00450991">
        <w:rPr>
          <w:rFonts w:ascii="Calibri Light" w:hAnsi="Calibri Light" w:cs="Calibri Light"/>
          <w:lang w:val="en-AU"/>
        </w:rPr>
        <w:t>Australian Centre for International Agricultural Research</w:t>
      </w:r>
      <w:r w:rsidR="00D05080">
        <w:rPr>
          <w:rFonts w:ascii="Calibri Light" w:hAnsi="Calibri Light" w:cs="Calibri Light"/>
          <w:lang w:val="en-AU"/>
        </w:rPr>
        <w:t xml:space="preserve"> (ACIAR)</w:t>
      </w:r>
      <w:r w:rsidR="00450991">
        <w:rPr>
          <w:rFonts w:ascii="Calibri Light" w:hAnsi="Calibri Light" w:cs="Calibri Light"/>
          <w:lang w:val="en-AU"/>
        </w:rPr>
        <w:t>.</w:t>
      </w:r>
    </w:p>
    <w:p w:rsidR="00D40AEB" w:rsidRDefault="002A51CA" w:rsidP="002A51CA">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8C16F0">
        <w:rPr>
          <w:b/>
          <w:noProof/>
          <w:sz w:val="24"/>
        </w:rPr>
        <w:t>1</w:t>
      </w:r>
      <w:r w:rsidRPr="008C2F58">
        <w:rPr>
          <w:b/>
          <w:noProof/>
          <w:sz w:val="24"/>
        </w:rPr>
        <w:fldChar w:fldCharType="end"/>
      </w:r>
      <w:r w:rsidRPr="008C2F58">
        <w:rPr>
          <w:b/>
          <w:sz w:val="24"/>
        </w:rPr>
        <w:t xml:space="preserve"> Total ODA Expenditure in FY 201</w:t>
      </w:r>
      <w:r w:rsidR="002D37BC">
        <w:rPr>
          <w:b/>
          <w:sz w:val="24"/>
        </w:rPr>
        <w:t>7</w:t>
      </w:r>
      <w:r w:rsidRPr="008C2F58">
        <w:rPr>
          <w:b/>
          <w:sz w:val="24"/>
        </w:rPr>
        <w:t>-1</w:t>
      </w:r>
      <w:r w:rsidR="002D37BC">
        <w:rPr>
          <w:b/>
          <w:sz w:val="24"/>
        </w:rPr>
        <w:t>8</w:t>
      </w:r>
    </w:p>
    <w:tbl>
      <w:tblPr>
        <w:tblStyle w:val="TableGrid"/>
        <w:tblW w:w="9639"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1423"/>
        <w:gridCol w:w="1842"/>
      </w:tblGrid>
      <w:tr w:rsidR="00184818" w:rsidTr="00F77ECA">
        <w:tc>
          <w:tcPr>
            <w:tcW w:w="6374" w:type="dxa"/>
          </w:tcPr>
          <w:p w:rsidR="00184818" w:rsidRDefault="00184818" w:rsidP="00877EE8">
            <w:pPr>
              <w:spacing w:after="0"/>
              <w:rPr>
                <w:b/>
                <w:sz w:val="24"/>
              </w:rPr>
            </w:pPr>
            <w:r w:rsidRPr="00BE6C6D">
              <w:rPr>
                <w:sz w:val="20"/>
              </w:rPr>
              <w:t>Objective</w:t>
            </w:r>
          </w:p>
        </w:tc>
        <w:tc>
          <w:tcPr>
            <w:tcW w:w="1423" w:type="dxa"/>
          </w:tcPr>
          <w:p w:rsidR="00184818" w:rsidRDefault="00184818" w:rsidP="00877EE8">
            <w:pPr>
              <w:spacing w:after="0"/>
              <w:jc w:val="center"/>
              <w:rPr>
                <w:b/>
                <w:sz w:val="24"/>
              </w:rPr>
            </w:pPr>
            <w:r w:rsidRPr="00BE6C6D">
              <w:rPr>
                <w:sz w:val="20"/>
              </w:rPr>
              <w:t>A$ million</w:t>
            </w:r>
          </w:p>
        </w:tc>
        <w:tc>
          <w:tcPr>
            <w:tcW w:w="1842" w:type="dxa"/>
          </w:tcPr>
          <w:p w:rsidR="00184818" w:rsidRDefault="00184818" w:rsidP="00877EE8">
            <w:pPr>
              <w:spacing w:after="0"/>
              <w:ind w:right="-546"/>
              <w:jc w:val="center"/>
              <w:rPr>
                <w:b/>
                <w:sz w:val="24"/>
              </w:rPr>
            </w:pPr>
            <w:r w:rsidRPr="00BE6C6D">
              <w:rPr>
                <w:sz w:val="20"/>
              </w:rPr>
              <w:t>% of total ODA</w:t>
            </w:r>
          </w:p>
        </w:tc>
      </w:tr>
      <w:tr w:rsidR="00184818" w:rsidTr="00F77ECA">
        <w:tc>
          <w:tcPr>
            <w:tcW w:w="6374" w:type="dxa"/>
          </w:tcPr>
          <w:p w:rsidR="00184818" w:rsidRPr="001B074F" w:rsidRDefault="00184818" w:rsidP="00877EE8">
            <w:pPr>
              <w:spacing w:after="0"/>
              <w:rPr>
                <w:sz w:val="20"/>
              </w:rPr>
            </w:pPr>
            <w:r w:rsidRPr="00BE6C6D">
              <w:rPr>
                <w:sz w:val="20"/>
              </w:rPr>
              <w:t>Objective 1</w:t>
            </w:r>
            <w:r w:rsidR="001B074F">
              <w:rPr>
                <w:sz w:val="20"/>
              </w:rPr>
              <w:t xml:space="preserve">: </w:t>
            </w:r>
            <w:r w:rsidR="001B074F" w:rsidRPr="001B074F">
              <w:rPr>
                <w:sz w:val="20"/>
              </w:rPr>
              <w:t>Improving access to essential infrastructure</w:t>
            </w:r>
          </w:p>
        </w:tc>
        <w:tc>
          <w:tcPr>
            <w:tcW w:w="1423" w:type="dxa"/>
          </w:tcPr>
          <w:p w:rsidR="00184818" w:rsidRPr="001B074F" w:rsidRDefault="001B074F" w:rsidP="00E33C30">
            <w:pPr>
              <w:spacing w:after="0"/>
              <w:jc w:val="center"/>
              <w:rPr>
                <w:sz w:val="20"/>
              </w:rPr>
            </w:pPr>
            <w:r>
              <w:rPr>
                <w:sz w:val="20"/>
              </w:rPr>
              <w:t>14.0</w:t>
            </w:r>
          </w:p>
        </w:tc>
        <w:tc>
          <w:tcPr>
            <w:tcW w:w="1842" w:type="dxa"/>
          </w:tcPr>
          <w:p w:rsidR="00184818" w:rsidRPr="001B074F" w:rsidRDefault="00B46FA7" w:rsidP="00877EE8">
            <w:pPr>
              <w:spacing w:after="0"/>
              <w:jc w:val="center"/>
              <w:rPr>
                <w:sz w:val="20"/>
              </w:rPr>
            </w:pPr>
            <w:r>
              <w:rPr>
                <w:sz w:val="20"/>
              </w:rPr>
              <w:t>15.</w:t>
            </w:r>
            <w:r w:rsidR="00877EE8">
              <w:rPr>
                <w:sz w:val="20"/>
              </w:rPr>
              <w:t>7</w:t>
            </w:r>
            <w:r>
              <w:rPr>
                <w:sz w:val="20"/>
              </w:rPr>
              <w:t>%</w:t>
            </w:r>
          </w:p>
        </w:tc>
      </w:tr>
      <w:tr w:rsidR="00184818" w:rsidTr="00F77ECA">
        <w:tc>
          <w:tcPr>
            <w:tcW w:w="6374" w:type="dxa"/>
          </w:tcPr>
          <w:p w:rsidR="00184818" w:rsidRPr="001B074F" w:rsidRDefault="00184818" w:rsidP="00877EE8">
            <w:pPr>
              <w:spacing w:after="0"/>
              <w:rPr>
                <w:sz w:val="20"/>
              </w:rPr>
            </w:pPr>
            <w:r w:rsidRPr="00BE6C6D">
              <w:rPr>
                <w:sz w:val="20"/>
              </w:rPr>
              <w:t>Objective 2</w:t>
            </w:r>
            <w:r w:rsidR="001B074F">
              <w:rPr>
                <w:sz w:val="20"/>
              </w:rPr>
              <w:t xml:space="preserve">: </w:t>
            </w:r>
            <w:r w:rsidR="001B074F" w:rsidRPr="001B074F">
              <w:rPr>
                <w:sz w:val="20"/>
              </w:rPr>
              <w:t>Increasing agricultural productivity and farmer incomes</w:t>
            </w:r>
          </w:p>
        </w:tc>
        <w:tc>
          <w:tcPr>
            <w:tcW w:w="1423" w:type="dxa"/>
          </w:tcPr>
          <w:p w:rsidR="00184818" w:rsidRPr="001B074F" w:rsidRDefault="001B074F" w:rsidP="00E33C30">
            <w:pPr>
              <w:spacing w:after="0"/>
              <w:jc w:val="center"/>
              <w:rPr>
                <w:sz w:val="20"/>
              </w:rPr>
            </w:pPr>
            <w:r>
              <w:rPr>
                <w:sz w:val="20"/>
              </w:rPr>
              <w:t>21.6</w:t>
            </w:r>
          </w:p>
        </w:tc>
        <w:tc>
          <w:tcPr>
            <w:tcW w:w="1842" w:type="dxa"/>
          </w:tcPr>
          <w:p w:rsidR="00184818" w:rsidRPr="001B074F" w:rsidRDefault="00B46FA7" w:rsidP="00877EE8">
            <w:pPr>
              <w:spacing w:after="0"/>
              <w:jc w:val="center"/>
              <w:rPr>
                <w:sz w:val="20"/>
              </w:rPr>
            </w:pPr>
            <w:r>
              <w:rPr>
                <w:sz w:val="20"/>
              </w:rPr>
              <w:t>24.</w:t>
            </w:r>
            <w:r w:rsidR="008E5A89">
              <w:rPr>
                <w:sz w:val="20"/>
              </w:rPr>
              <w:t>2</w:t>
            </w:r>
            <w:r>
              <w:rPr>
                <w:sz w:val="20"/>
              </w:rPr>
              <w:t>%</w:t>
            </w:r>
          </w:p>
        </w:tc>
      </w:tr>
      <w:tr w:rsidR="00184818" w:rsidTr="00F77ECA">
        <w:tc>
          <w:tcPr>
            <w:tcW w:w="6374" w:type="dxa"/>
          </w:tcPr>
          <w:p w:rsidR="00184818" w:rsidRPr="001B074F" w:rsidRDefault="00184818" w:rsidP="00877EE8">
            <w:pPr>
              <w:spacing w:after="0"/>
              <w:rPr>
                <w:sz w:val="20"/>
              </w:rPr>
            </w:pPr>
            <w:r w:rsidRPr="00BE6C6D">
              <w:rPr>
                <w:sz w:val="20"/>
              </w:rPr>
              <w:t>Objective 3</w:t>
            </w:r>
            <w:r w:rsidR="001B074F">
              <w:rPr>
                <w:sz w:val="20"/>
              </w:rPr>
              <w:t xml:space="preserve">: </w:t>
            </w:r>
            <w:r w:rsidR="001B074F" w:rsidRPr="001B074F">
              <w:rPr>
                <w:sz w:val="20"/>
              </w:rPr>
              <w:t>Better health and education outcomes</w:t>
            </w:r>
          </w:p>
        </w:tc>
        <w:tc>
          <w:tcPr>
            <w:tcW w:w="1423" w:type="dxa"/>
          </w:tcPr>
          <w:p w:rsidR="00184818" w:rsidRPr="001B074F" w:rsidRDefault="001B074F" w:rsidP="00E33C30">
            <w:pPr>
              <w:spacing w:after="0"/>
              <w:jc w:val="center"/>
              <w:rPr>
                <w:sz w:val="20"/>
              </w:rPr>
            </w:pPr>
            <w:r>
              <w:rPr>
                <w:sz w:val="20"/>
              </w:rPr>
              <w:t>19.9</w:t>
            </w:r>
          </w:p>
        </w:tc>
        <w:tc>
          <w:tcPr>
            <w:tcW w:w="1842" w:type="dxa"/>
          </w:tcPr>
          <w:p w:rsidR="00184818" w:rsidRPr="001B074F" w:rsidRDefault="00B46FA7" w:rsidP="00877EE8">
            <w:pPr>
              <w:spacing w:after="0"/>
              <w:jc w:val="center"/>
              <w:rPr>
                <w:sz w:val="20"/>
              </w:rPr>
            </w:pPr>
            <w:r>
              <w:rPr>
                <w:sz w:val="20"/>
              </w:rPr>
              <w:t>22.</w:t>
            </w:r>
            <w:r w:rsidR="008E5A89">
              <w:rPr>
                <w:sz w:val="20"/>
              </w:rPr>
              <w:t>3</w:t>
            </w:r>
            <w:r>
              <w:rPr>
                <w:sz w:val="20"/>
              </w:rPr>
              <w:t>%</w:t>
            </w:r>
          </w:p>
        </w:tc>
      </w:tr>
      <w:tr w:rsidR="001B074F" w:rsidTr="00F77ECA">
        <w:tc>
          <w:tcPr>
            <w:tcW w:w="6374" w:type="dxa"/>
          </w:tcPr>
          <w:p w:rsidR="001B074F" w:rsidRPr="00BE6C6D" w:rsidRDefault="001B074F" w:rsidP="00877EE8">
            <w:pPr>
              <w:rPr>
                <w:sz w:val="20"/>
              </w:rPr>
            </w:pPr>
            <w:r>
              <w:rPr>
                <w:sz w:val="20"/>
              </w:rPr>
              <w:t>Other: Cross cuttings</w:t>
            </w:r>
          </w:p>
        </w:tc>
        <w:tc>
          <w:tcPr>
            <w:tcW w:w="1423" w:type="dxa"/>
          </w:tcPr>
          <w:p w:rsidR="001B074F" w:rsidRDefault="00F04393" w:rsidP="00E33C30">
            <w:pPr>
              <w:jc w:val="center"/>
              <w:rPr>
                <w:sz w:val="20"/>
              </w:rPr>
            </w:pPr>
            <w:r>
              <w:rPr>
                <w:sz w:val="20"/>
              </w:rPr>
              <w:t>6.9</w:t>
            </w:r>
          </w:p>
        </w:tc>
        <w:tc>
          <w:tcPr>
            <w:tcW w:w="1842" w:type="dxa"/>
          </w:tcPr>
          <w:p w:rsidR="001B074F" w:rsidRDefault="00B17CA2" w:rsidP="00877EE8">
            <w:pPr>
              <w:jc w:val="center"/>
              <w:rPr>
                <w:sz w:val="20"/>
              </w:rPr>
            </w:pPr>
            <w:r>
              <w:rPr>
                <w:sz w:val="20"/>
              </w:rPr>
              <w:t xml:space="preserve"> </w:t>
            </w:r>
            <w:r w:rsidR="00B46FA7">
              <w:rPr>
                <w:sz w:val="20"/>
              </w:rPr>
              <w:t>7.</w:t>
            </w:r>
            <w:r w:rsidR="00877EE8">
              <w:rPr>
                <w:sz w:val="20"/>
              </w:rPr>
              <w:t>7</w:t>
            </w:r>
            <w:r w:rsidR="00B46FA7">
              <w:rPr>
                <w:sz w:val="20"/>
              </w:rPr>
              <w:t>%</w:t>
            </w:r>
          </w:p>
        </w:tc>
      </w:tr>
      <w:tr w:rsidR="00184818" w:rsidTr="00F77ECA">
        <w:tc>
          <w:tcPr>
            <w:tcW w:w="6374" w:type="dxa"/>
          </w:tcPr>
          <w:p w:rsidR="00184818" w:rsidRPr="001B074F" w:rsidRDefault="00184818" w:rsidP="00877EE8">
            <w:pPr>
              <w:spacing w:after="0"/>
              <w:rPr>
                <w:b/>
                <w:bCs/>
                <w:i/>
                <w:iCs/>
                <w:sz w:val="20"/>
              </w:rPr>
            </w:pPr>
            <w:r w:rsidRPr="001B074F">
              <w:rPr>
                <w:b/>
                <w:bCs/>
                <w:i/>
                <w:iCs/>
                <w:sz w:val="20"/>
              </w:rPr>
              <w:t>Sub-Total Bilateral</w:t>
            </w:r>
          </w:p>
        </w:tc>
        <w:tc>
          <w:tcPr>
            <w:tcW w:w="1423" w:type="dxa"/>
          </w:tcPr>
          <w:p w:rsidR="00184818" w:rsidRPr="001B074F" w:rsidRDefault="00D8721C" w:rsidP="00E33C30">
            <w:pPr>
              <w:spacing w:after="0"/>
              <w:jc w:val="center"/>
              <w:rPr>
                <w:sz w:val="20"/>
              </w:rPr>
            </w:pPr>
            <w:r>
              <w:rPr>
                <w:sz w:val="20"/>
              </w:rPr>
              <w:t>62.4</w:t>
            </w:r>
          </w:p>
        </w:tc>
        <w:tc>
          <w:tcPr>
            <w:tcW w:w="1842" w:type="dxa"/>
          </w:tcPr>
          <w:p w:rsidR="00184818" w:rsidRPr="001B074F" w:rsidRDefault="00B46FA7" w:rsidP="00877EE8">
            <w:pPr>
              <w:spacing w:after="0"/>
              <w:jc w:val="center"/>
              <w:rPr>
                <w:sz w:val="20"/>
              </w:rPr>
            </w:pPr>
            <w:r>
              <w:rPr>
                <w:sz w:val="20"/>
              </w:rPr>
              <w:t>70.0%</w:t>
            </w:r>
          </w:p>
        </w:tc>
      </w:tr>
      <w:tr w:rsidR="00184818" w:rsidTr="00F77ECA">
        <w:tc>
          <w:tcPr>
            <w:tcW w:w="6374" w:type="dxa"/>
          </w:tcPr>
          <w:p w:rsidR="00184818" w:rsidRPr="001B074F" w:rsidRDefault="00184818" w:rsidP="00877EE8">
            <w:pPr>
              <w:spacing w:after="0"/>
              <w:rPr>
                <w:b/>
                <w:bCs/>
                <w:i/>
                <w:iCs/>
                <w:sz w:val="20"/>
              </w:rPr>
            </w:pPr>
            <w:r w:rsidRPr="001B074F">
              <w:rPr>
                <w:b/>
                <w:bCs/>
                <w:i/>
                <w:iCs/>
                <w:sz w:val="20"/>
              </w:rPr>
              <w:t>Regional and Global</w:t>
            </w:r>
          </w:p>
        </w:tc>
        <w:tc>
          <w:tcPr>
            <w:tcW w:w="1423" w:type="dxa"/>
          </w:tcPr>
          <w:p w:rsidR="00184818" w:rsidRPr="001B074F" w:rsidRDefault="00B46FA7" w:rsidP="00E33C30">
            <w:pPr>
              <w:spacing w:after="0"/>
              <w:jc w:val="center"/>
              <w:rPr>
                <w:sz w:val="20"/>
              </w:rPr>
            </w:pPr>
            <w:r>
              <w:rPr>
                <w:sz w:val="20"/>
              </w:rPr>
              <w:t>23.</w:t>
            </w:r>
            <w:r w:rsidR="005D2F0B">
              <w:rPr>
                <w:sz w:val="20"/>
              </w:rPr>
              <w:t>7</w:t>
            </w:r>
          </w:p>
        </w:tc>
        <w:tc>
          <w:tcPr>
            <w:tcW w:w="1842" w:type="dxa"/>
          </w:tcPr>
          <w:p w:rsidR="00184818" w:rsidRPr="001B074F" w:rsidRDefault="00B46FA7" w:rsidP="005D2F0B">
            <w:pPr>
              <w:spacing w:after="0"/>
              <w:jc w:val="center"/>
              <w:rPr>
                <w:sz w:val="20"/>
              </w:rPr>
            </w:pPr>
            <w:r>
              <w:rPr>
                <w:sz w:val="20"/>
              </w:rPr>
              <w:t>26.</w:t>
            </w:r>
            <w:r w:rsidR="005D2F0B">
              <w:rPr>
                <w:sz w:val="20"/>
              </w:rPr>
              <w:t>6</w:t>
            </w:r>
            <w:r>
              <w:rPr>
                <w:sz w:val="20"/>
              </w:rPr>
              <w:t>%</w:t>
            </w:r>
          </w:p>
        </w:tc>
      </w:tr>
      <w:tr w:rsidR="00184818" w:rsidTr="00F77ECA">
        <w:tc>
          <w:tcPr>
            <w:tcW w:w="6374" w:type="dxa"/>
          </w:tcPr>
          <w:p w:rsidR="00184818" w:rsidRPr="001B074F" w:rsidRDefault="00184818" w:rsidP="00877EE8">
            <w:pPr>
              <w:rPr>
                <w:b/>
                <w:bCs/>
                <w:i/>
                <w:iCs/>
                <w:sz w:val="20"/>
              </w:rPr>
            </w:pPr>
            <w:r w:rsidRPr="001B074F">
              <w:rPr>
                <w:b/>
                <w:bCs/>
                <w:i/>
                <w:iCs/>
                <w:sz w:val="20"/>
              </w:rPr>
              <w:t>Other Government Departments</w:t>
            </w:r>
          </w:p>
        </w:tc>
        <w:tc>
          <w:tcPr>
            <w:tcW w:w="1423" w:type="dxa"/>
          </w:tcPr>
          <w:p w:rsidR="00184818" w:rsidRPr="001B074F" w:rsidRDefault="00B46FA7" w:rsidP="00E33C30">
            <w:pPr>
              <w:jc w:val="center"/>
              <w:rPr>
                <w:sz w:val="20"/>
              </w:rPr>
            </w:pPr>
            <w:r>
              <w:rPr>
                <w:sz w:val="20"/>
              </w:rPr>
              <w:t>3.0</w:t>
            </w:r>
          </w:p>
        </w:tc>
        <w:tc>
          <w:tcPr>
            <w:tcW w:w="1842" w:type="dxa"/>
          </w:tcPr>
          <w:p w:rsidR="00184818" w:rsidRPr="001B074F" w:rsidRDefault="00B17CA2" w:rsidP="00877EE8">
            <w:pPr>
              <w:jc w:val="center"/>
              <w:rPr>
                <w:sz w:val="20"/>
              </w:rPr>
            </w:pPr>
            <w:r>
              <w:rPr>
                <w:sz w:val="20"/>
              </w:rPr>
              <w:t xml:space="preserve">  </w:t>
            </w:r>
            <w:r w:rsidR="00B46FA7">
              <w:rPr>
                <w:sz w:val="20"/>
              </w:rPr>
              <w:t>3</w:t>
            </w:r>
            <w:r w:rsidR="00877EE8">
              <w:rPr>
                <w:sz w:val="20"/>
              </w:rPr>
              <w:t>.</w:t>
            </w:r>
            <w:r w:rsidR="005D2F0B">
              <w:rPr>
                <w:sz w:val="20"/>
              </w:rPr>
              <w:t>4</w:t>
            </w:r>
            <w:r w:rsidR="00B46FA7">
              <w:rPr>
                <w:sz w:val="20"/>
              </w:rPr>
              <w:t>%</w:t>
            </w:r>
          </w:p>
        </w:tc>
      </w:tr>
      <w:tr w:rsidR="00184818" w:rsidTr="00F77ECA">
        <w:tc>
          <w:tcPr>
            <w:tcW w:w="6374" w:type="dxa"/>
          </w:tcPr>
          <w:p w:rsidR="00184818" w:rsidRPr="001B074F" w:rsidRDefault="00184818" w:rsidP="00877EE8">
            <w:pPr>
              <w:spacing w:after="0"/>
              <w:rPr>
                <w:b/>
                <w:bCs/>
                <w:sz w:val="20"/>
              </w:rPr>
            </w:pPr>
            <w:r w:rsidRPr="001B074F">
              <w:rPr>
                <w:b/>
                <w:bCs/>
                <w:sz w:val="20"/>
              </w:rPr>
              <w:t>Total ODA Expenditure</w:t>
            </w:r>
          </w:p>
        </w:tc>
        <w:tc>
          <w:tcPr>
            <w:tcW w:w="1423" w:type="dxa"/>
          </w:tcPr>
          <w:p w:rsidR="00184818" w:rsidRPr="001B074F" w:rsidRDefault="00B46FA7" w:rsidP="00E33C30">
            <w:pPr>
              <w:jc w:val="center"/>
              <w:rPr>
                <w:sz w:val="20"/>
              </w:rPr>
            </w:pPr>
            <w:r>
              <w:rPr>
                <w:sz w:val="20"/>
              </w:rPr>
              <w:t>89.1</w:t>
            </w:r>
          </w:p>
        </w:tc>
        <w:tc>
          <w:tcPr>
            <w:tcW w:w="1842" w:type="dxa"/>
          </w:tcPr>
          <w:p w:rsidR="00184818" w:rsidRPr="001B074F" w:rsidRDefault="00B46FA7" w:rsidP="00877EE8">
            <w:pPr>
              <w:spacing w:after="0"/>
              <w:jc w:val="center"/>
              <w:rPr>
                <w:sz w:val="20"/>
              </w:rPr>
            </w:pPr>
            <w:r>
              <w:rPr>
                <w:sz w:val="20"/>
              </w:rPr>
              <w:t>100%</w:t>
            </w:r>
          </w:p>
        </w:tc>
      </w:tr>
    </w:tbl>
    <w:p w:rsidR="002A51CA" w:rsidRPr="00A470B8" w:rsidRDefault="002A51CA"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sidRPr="00A470B8">
        <w:rPr>
          <w:rFonts w:asciiTheme="majorHAnsi" w:eastAsiaTheme="majorEastAsia" w:hAnsiTheme="majorHAnsi" w:cstheme="majorBidi"/>
          <w:caps/>
          <w:color w:val="495965" w:themeColor="text2"/>
          <w:sz w:val="38"/>
          <w:szCs w:val="26"/>
          <w:lang w:val="en-GB" w:eastAsia="en-US"/>
        </w:rPr>
        <w:t xml:space="preserve">Progress towards </w:t>
      </w:r>
      <w:r w:rsidR="00162218" w:rsidRPr="00A470B8">
        <w:rPr>
          <w:rFonts w:asciiTheme="majorHAnsi" w:eastAsiaTheme="majorEastAsia" w:hAnsiTheme="majorHAnsi" w:cstheme="majorBidi"/>
          <w:caps/>
          <w:color w:val="495965" w:themeColor="text2"/>
          <w:sz w:val="38"/>
          <w:szCs w:val="26"/>
          <w:lang w:val="en-GB" w:eastAsia="en-US"/>
        </w:rPr>
        <w:t xml:space="preserve">AIP </w:t>
      </w:r>
      <w:r w:rsidRPr="00A470B8">
        <w:rPr>
          <w:rFonts w:asciiTheme="majorHAnsi" w:eastAsiaTheme="majorEastAsia" w:hAnsiTheme="majorHAnsi" w:cstheme="majorBidi"/>
          <w:caps/>
          <w:color w:val="495965" w:themeColor="text2"/>
          <w:sz w:val="38"/>
          <w:szCs w:val="26"/>
          <w:lang w:val="en-GB" w:eastAsia="en-US"/>
        </w:rPr>
        <w:t>Objectives</w:t>
      </w:r>
      <w:r w:rsidRPr="00A470B8">
        <w:rPr>
          <w:rFonts w:asciiTheme="majorHAnsi" w:eastAsiaTheme="majorEastAsia" w:hAnsiTheme="majorHAnsi" w:cstheme="majorBidi"/>
          <w:caps/>
          <w:color w:val="495965" w:themeColor="text2"/>
          <w:sz w:val="38"/>
          <w:szCs w:val="26"/>
          <w:lang w:val="en-GB" w:eastAsia="en-US"/>
        </w:rPr>
        <w:tab/>
      </w:r>
    </w:p>
    <w:p w:rsidR="00216109" w:rsidRPr="0015382B" w:rsidRDefault="00216109" w:rsidP="0015382B">
      <w:r w:rsidRPr="0015382B">
        <w:t xml:space="preserve">In </w:t>
      </w:r>
      <w:r w:rsidRPr="0015382B">
        <w:rPr>
          <w:b/>
          <w:bCs/>
        </w:rPr>
        <w:t>infrastructure</w:t>
      </w:r>
      <w:r w:rsidR="00581976">
        <w:t xml:space="preserve">, </w:t>
      </w:r>
      <w:r w:rsidRPr="0015382B">
        <w:t xml:space="preserve">we are making stronger progress towards our objective of improving access to essential infrastructure. This objective was rated Amber last year and is now rated </w:t>
      </w:r>
      <w:r w:rsidR="00926E60">
        <w:t>G</w:t>
      </w:r>
      <w:r w:rsidRPr="0015382B">
        <w:t xml:space="preserve">reen – meaning progress </w:t>
      </w:r>
      <w:r w:rsidR="002F3399">
        <w:t xml:space="preserve">has improved and </w:t>
      </w:r>
      <w:r w:rsidRPr="0015382B">
        <w:t xml:space="preserve">it is likely the objective will be achieved. We exceeded two of our performance indicators in our Performance Assessment Framework (Annex E), and partially achieved a third indicator. This included: surpassing the number of people that will directly benefit from electricity or piped water connections through our </w:t>
      </w:r>
      <w:r w:rsidR="00530BCB">
        <w:t>3i</w:t>
      </w:r>
      <w:r w:rsidRPr="0015382B">
        <w:t xml:space="preserve"> program — excee</w:t>
      </w:r>
      <w:r w:rsidR="00D075E4">
        <w:t>ded by over 188,000 people; and</w:t>
      </w:r>
      <w:r w:rsidRPr="0015382B">
        <w:t xml:space="preserve"> the proportion of unskilled labour days performed by women on the Rural Roads Improvement Project — </w:t>
      </w:r>
      <w:r w:rsidR="00530BCB">
        <w:t>eight per cent above target</w:t>
      </w:r>
      <w:r w:rsidRPr="0015382B">
        <w:t xml:space="preserve">. </w:t>
      </w:r>
    </w:p>
    <w:p w:rsidR="00216109" w:rsidRPr="0015382B" w:rsidRDefault="00216109" w:rsidP="00216109">
      <w:pPr>
        <w:spacing w:after="160" w:line="252" w:lineRule="auto"/>
      </w:pPr>
      <w:r w:rsidRPr="0015382B">
        <w:t xml:space="preserve">In </w:t>
      </w:r>
      <w:r w:rsidRPr="0015382B">
        <w:rPr>
          <w:b/>
          <w:bCs/>
        </w:rPr>
        <w:t>agriculture</w:t>
      </w:r>
      <w:r w:rsidRPr="0015382B">
        <w:t xml:space="preserve">, </w:t>
      </w:r>
      <w:r w:rsidR="0000377B">
        <w:t>o</w:t>
      </w:r>
      <w:r w:rsidR="0000377B" w:rsidRPr="00E41C03">
        <w:t>verall</w:t>
      </w:r>
      <w:r w:rsidR="007D2C5E">
        <w:t>, we are progressing well towards this</w:t>
      </w:r>
      <w:r w:rsidR="0000377B" w:rsidRPr="00E41C03">
        <w:t xml:space="preserve"> objective in a challenging operating environment in a sector undergoing unpr</w:t>
      </w:r>
      <w:r w:rsidR="007D2C5E">
        <w:t xml:space="preserve">ecedented, rapid change. </w:t>
      </w:r>
      <w:r w:rsidR="0000377B" w:rsidRPr="00F722ED">
        <w:t>Australia’s largest aid investment in Cambodia, CAVAC II, has undertaken critically important work to support rural resilience.</w:t>
      </w:r>
      <w:r w:rsidR="0000377B">
        <w:t xml:space="preserve"> </w:t>
      </w:r>
      <w:r w:rsidRPr="0015382B">
        <w:t>On-going structural weaknesses in the sector plus external shocks—such as floods, drought and commodity price volatility—</w:t>
      </w:r>
      <w:r w:rsidR="00E70926">
        <w:t>pose serious challenges to smallholder farmer livelihoods</w:t>
      </w:r>
      <w:r w:rsidRPr="0015382B">
        <w:t>. CAVAC II</w:t>
      </w:r>
      <w:r w:rsidR="00EF2730">
        <w:t>’s flexible approach</w:t>
      </w:r>
      <w:r w:rsidRPr="0015382B">
        <w:t xml:space="preserve"> continues to mitigate these risks. Our landmine clearance project, </w:t>
      </w:r>
      <w:r w:rsidR="00E70926">
        <w:t xml:space="preserve">which </w:t>
      </w:r>
      <w:r w:rsidRPr="0015382B">
        <w:t>releases land for agricultural use, continues to exceed our targets</w:t>
      </w:r>
      <w:r w:rsidR="00EF2730">
        <w:t>, with</w:t>
      </w:r>
      <w:r w:rsidRPr="0015382B">
        <w:t xml:space="preserve"> </w:t>
      </w:r>
      <w:r w:rsidR="005144D8">
        <w:t>22</w:t>
      </w:r>
      <w:r w:rsidRPr="0015382B">
        <w:t>km</w:t>
      </w:r>
      <w:r w:rsidRPr="00151652">
        <w:rPr>
          <w:vertAlign w:val="superscript"/>
        </w:rPr>
        <w:t>2</w:t>
      </w:r>
      <w:r w:rsidRPr="0015382B">
        <w:t xml:space="preserve"> of land cleared this year. These tangible impacts</w:t>
      </w:r>
      <w:r w:rsidR="002F3399">
        <w:t xml:space="preserve"> </w:t>
      </w:r>
      <w:r w:rsidRPr="0015382B">
        <w:t xml:space="preserve">makes the project highly </w:t>
      </w:r>
      <w:r w:rsidR="007D2C5E">
        <w:t>relevant</w:t>
      </w:r>
      <w:r w:rsidRPr="0015382B">
        <w:t xml:space="preserve">. </w:t>
      </w:r>
    </w:p>
    <w:p w:rsidR="00216109" w:rsidRPr="0015382B" w:rsidRDefault="00216109" w:rsidP="00216109">
      <w:pPr>
        <w:spacing w:after="160" w:line="252" w:lineRule="auto"/>
      </w:pPr>
      <w:r w:rsidRPr="0015382B">
        <w:t xml:space="preserve">Progress towards our </w:t>
      </w:r>
      <w:r w:rsidR="00450991">
        <w:rPr>
          <w:b/>
          <w:bCs/>
        </w:rPr>
        <w:t>h</w:t>
      </w:r>
      <w:r w:rsidRPr="0015382B">
        <w:rPr>
          <w:b/>
          <w:bCs/>
        </w:rPr>
        <w:t>ealth</w:t>
      </w:r>
      <w:r w:rsidRPr="0015382B">
        <w:t xml:space="preserve"> objective is </w:t>
      </w:r>
      <w:r w:rsidR="00E70926">
        <w:t>generally on track</w:t>
      </w:r>
      <w:r w:rsidRPr="0015382B">
        <w:t xml:space="preserve">. </w:t>
      </w:r>
      <w:r w:rsidR="007F0A01">
        <w:t xml:space="preserve">The </w:t>
      </w:r>
      <w:r w:rsidRPr="0015382B">
        <w:t>target of</w:t>
      </w:r>
      <w:r w:rsidR="007F0A01">
        <w:t xml:space="preserve"> more than 80 per cent of</w:t>
      </w:r>
      <w:r w:rsidRPr="0015382B">
        <w:t xml:space="preserve"> women delivering in a health facility with a skilled birth attendant was achieved. However</w:t>
      </w:r>
      <w:r w:rsidR="000C4912">
        <w:t xml:space="preserve">, </w:t>
      </w:r>
      <w:r w:rsidRPr="0015382B">
        <w:t xml:space="preserve">the percentage of women </w:t>
      </w:r>
      <w:r w:rsidRPr="0015382B">
        <w:lastRenderedPageBreak/>
        <w:t>using modern con</w:t>
      </w:r>
      <w:r w:rsidR="00D075E4">
        <w:t>traceptive methods was very</w:t>
      </w:r>
      <w:r w:rsidRPr="0015382B">
        <w:t xml:space="preserve"> low</w:t>
      </w:r>
      <w:r w:rsidR="000C4912">
        <w:t xml:space="preserve">, according to public health statistics, </w:t>
      </w:r>
      <w:r w:rsidRPr="0015382B">
        <w:t xml:space="preserve">at just less than 25 per cent. Two other indicators were either delayed or did not have data available. The new National Quality Enhancement Monitoring </w:t>
      </w:r>
      <w:r w:rsidR="005D2F0B">
        <w:t>S</w:t>
      </w:r>
      <w:r w:rsidRPr="0015382B">
        <w:t xml:space="preserve">ystem for public health facilities was finalised and the first and second rounds of the assessment were undertaken, covering 38 per cent of public health facilities. Independent verification found that 10 per cent of the assessed health centres exceeded the quality score target. </w:t>
      </w:r>
    </w:p>
    <w:p w:rsidR="002A51CA" w:rsidRDefault="00216109" w:rsidP="00216109">
      <w:pPr>
        <w:spacing w:after="160" w:line="252" w:lineRule="auto"/>
      </w:pPr>
      <w:r w:rsidRPr="0015382B">
        <w:t xml:space="preserve">Our support to </w:t>
      </w:r>
      <w:r w:rsidR="00237C1E">
        <w:rPr>
          <w:b/>
          <w:bCs/>
        </w:rPr>
        <w:t>e</w:t>
      </w:r>
      <w:r w:rsidRPr="0015382B">
        <w:rPr>
          <w:b/>
          <w:bCs/>
        </w:rPr>
        <w:t>ducation</w:t>
      </w:r>
      <w:r w:rsidRPr="0015382B">
        <w:t xml:space="preserve"> through Australia Awards Scholarships</w:t>
      </w:r>
      <w:r w:rsidR="007F0A01">
        <w:t>,</w:t>
      </w:r>
      <w:r w:rsidRPr="0015382B">
        <w:t xml:space="preserve"> continues to provide talented Cambodians </w:t>
      </w:r>
      <w:r w:rsidR="007F0A01">
        <w:t xml:space="preserve">with </w:t>
      </w:r>
      <w:r w:rsidRPr="0015382B">
        <w:t>the opportunity to study in Australia at the postgraduate level. In 2017-18, we offered scholarships to 50 Cambodians to pursue studies in fields</w:t>
      </w:r>
      <w:r w:rsidR="00122072">
        <w:t xml:space="preserve"> that are vital for Cambodia’s</w:t>
      </w:r>
      <w:r w:rsidRPr="0015382B">
        <w:t xml:space="preserve"> </w:t>
      </w:r>
      <w:r w:rsidR="00122072" w:rsidRPr="0015382B">
        <w:t xml:space="preserve">development </w:t>
      </w:r>
      <w:r w:rsidR="00122072">
        <w:t xml:space="preserve">and complements our broader foreign, trade and development objectives. This </w:t>
      </w:r>
      <w:r w:rsidR="00122072" w:rsidRPr="0015382B">
        <w:t>includ</w:t>
      </w:r>
      <w:r w:rsidR="00122072">
        <w:t>es</w:t>
      </w:r>
      <w:r w:rsidR="007F0A01">
        <w:t>: agribusiness;</w:t>
      </w:r>
      <w:r w:rsidRPr="0015382B">
        <w:t xml:space="preserve"> biomedical science; urban and regional planning; applied economics</w:t>
      </w:r>
      <w:r w:rsidR="007F0A01">
        <w:t>;</w:t>
      </w:r>
      <w:r w:rsidRPr="0015382B">
        <w:t xml:space="preserve"> and public policy. We continue to strive towards our performance indicator of awarding 50 per</w:t>
      </w:r>
      <w:r w:rsidR="007F0A01">
        <w:t xml:space="preserve"> </w:t>
      </w:r>
      <w:r w:rsidRPr="0015382B">
        <w:t xml:space="preserve">cent of scholarships to women. Through targeted efforts we increased the percentage of women applicants from 36 per cent in 2016 to 44 per cent in 2017. </w:t>
      </w:r>
    </w:p>
    <w:p w:rsidR="00926E60" w:rsidRPr="0015382B" w:rsidRDefault="00926E60" w:rsidP="00216109">
      <w:pPr>
        <w:spacing w:after="160" w:line="252" w:lineRule="auto"/>
      </w:pPr>
      <w:r>
        <w:t>Next yea</w:t>
      </w:r>
      <w:r w:rsidR="00FE123F">
        <w:t>r will be the last</w:t>
      </w:r>
      <w:r>
        <w:t xml:space="preserve"> </w:t>
      </w:r>
      <w:r w:rsidR="00FE123F">
        <w:t>to report</w:t>
      </w:r>
      <w:r>
        <w:t xml:space="preserve"> </w:t>
      </w:r>
      <w:r w:rsidR="007D2C5E">
        <w:t>against our current AIP</w:t>
      </w:r>
      <w:r>
        <w:t xml:space="preserve"> for Cambodia. </w:t>
      </w:r>
      <w:r w:rsidR="00EF6CE6">
        <w:t>A new AIP w</w:t>
      </w:r>
      <w:r w:rsidR="002F3399">
        <w:t>ill be developed</w:t>
      </w:r>
      <w:r w:rsidR="0092138A">
        <w:t xml:space="preserve"> and published in 2019</w:t>
      </w:r>
      <w:r w:rsidR="00EF6CE6">
        <w:t xml:space="preserve">. </w:t>
      </w:r>
      <w:r w:rsidR="005B3F26">
        <w:t xml:space="preserve">Going forward, </w:t>
      </w:r>
      <w:r w:rsidR="00EF6CE6">
        <w:t>we will need to recalibrate our program to</w:t>
      </w:r>
      <w:r>
        <w:t xml:space="preserve"> achieve maximum development impact</w:t>
      </w:r>
      <w:r w:rsidR="00FE123F">
        <w:t xml:space="preserve"> and influence,</w:t>
      </w:r>
      <w:r>
        <w:t xml:space="preserve"> within our</w:t>
      </w:r>
      <w:r w:rsidR="009B55DE">
        <w:t xml:space="preserve"> </w:t>
      </w:r>
      <w:r>
        <w:t>resourcing</w:t>
      </w:r>
      <w:r w:rsidR="00EF6CE6">
        <w:t>.</w:t>
      </w:r>
    </w:p>
    <w:p w:rsidR="002A51CA" w:rsidRPr="008C2F58" w:rsidRDefault="002A51CA" w:rsidP="002A51CA">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8C16F0">
        <w:rPr>
          <w:b/>
          <w:noProof/>
          <w:sz w:val="24"/>
        </w:rPr>
        <w:t>2</w:t>
      </w:r>
      <w:r w:rsidRPr="008C2F58">
        <w:rPr>
          <w:b/>
          <w:noProof/>
          <w:sz w:val="24"/>
        </w:rPr>
        <w:fldChar w:fldCharType="end"/>
      </w:r>
      <w:r w:rsidRPr="008C2F58">
        <w:rPr>
          <w:b/>
          <w:sz w:val="24"/>
        </w:rPr>
        <w:t xml:space="preserve"> Rating of the Program's Progress towards Australia’s Aid Objectives</w:t>
      </w:r>
    </w:p>
    <w:tbl>
      <w:tblPr>
        <w:tblStyle w:val="APPR"/>
        <w:tblW w:w="4854" w:type="pct"/>
        <w:tblLook w:val="0000" w:firstRow="0" w:lastRow="0" w:firstColumn="0" w:lastColumn="0" w:noHBand="0" w:noVBand="0"/>
      </w:tblPr>
      <w:tblGrid>
        <w:gridCol w:w="6759"/>
        <w:gridCol w:w="1321"/>
        <w:gridCol w:w="1277"/>
      </w:tblGrid>
      <w:tr w:rsidR="00DA040F" w:rsidRPr="00C61187" w:rsidTr="00DA040F">
        <w:trPr>
          <w:cnfStyle w:val="000000010000" w:firstRow="0" w:lastRow="0" w:firstColumn="0" w:lastColumn="0" w:oddVBand="0" w:evenVBand="0" w:oddHBand="0" w:evenHBand="1" w:firstRowFirstColumn="0" w:firstRowLastColumn="0" w:lastRowFirstColumn="0" w:lastRowLastColumn="0"/>
          <w:trHeight w:val="651"/>
        </w:trPr>
        <w:tc>
          <w:tcPr>
            <w:tcW w:w="6717" w:type="dxa"/>
          </w:tcPr>
          <w:p w:rsidR="00DA040F" w:rsidRPr="00BE6C6D" w:rsidRDefault="00DA040F" w:rsidP="00BE6C6D">
            <w:pPr>
              <w:pStyle w:val="NormalIndented"/>
              <w:rPr>
                <w:sz w:val="18"/>
                <w:lang w:eastAsia="en-US"/>
              </w:rPr>
            </w:pPr>
            <w:r w:rsidRPr="00BE6C6D">
              <w:rPr>
                <w:noProof/>
                <w:sz w:val="18"/>
                <w:lang w:val="en-AU"/>
              </w:rPr>
              <w:drawing>
                <wp:anchor distT="0" distB="0" distL="114300" distR="114300" simplePos="0" relativeHeight="251685888" behindDoc="0" locked="0" layoutInCell="1" allowOverlap="1" wp14:anchorId="6BA92230" wp14:editId="5291722A">
                  <wp:simplePos x="0" y="0"/>
                  <wp:positionH relativeFrom="column">
                    <wp:posOffset>0</wp:posOffset>
                  </wp:positionH>
                  <wp:positionV relativeFrom="paragraph">
                    <wp:posOffset>0</wp:posOffset>
                  </wp:positionV>
                  <wp:extent cx="1857375" cy="228600"/>
                  <wp:effectExtent l="0" t="0" r="9525" b="0"/>
                  <wp:wrapNone/>
                  <wp:docPr id="2" name="Picture 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6C6D">
              <w:rPr>
                <w:sz w:val="18"/>
                <w:lang w:eastAsia="en-US"/>
              </w:rPr>
              <w:t>Objective</w:t>
            </w:r>
          </w:p>
        </w:tc>
        <w:tc>
          <w:tcPr>
            <w:tcW w:w="1293" w:type="dxa"/>
          </w:tcPr>
          <w:p w:rsidR="00DA040F" w:rsidRPr="00BE6C6D" w:rsidRDefault="00DA040F" w:rsidP="00BE6C6D">
            <w:pPr>
              <w:pStyle w:val="NormalIndented"/>
              <w:rPr>
                <w:sz w:val="18"/>
                <w:lang w:eastAsia="en-US"/>
              </w:rPr>
            </w:pPr>
            <w:r w:rsidRPr="00BE6C6D">
              <w:rPr>
                <w:sz w:val="18"/>
                <w:lang w:eastAsia="en-US"/>
              </w:rPr>
              <w:t>Previous Rating</w:t>
            </w:r>
          </w:p>
        </w:tc>
        <w:tc>
          <w:tcPr>
            <w:tcW w:w="1235" w:type="dxa"/>
          </w:tcPr>
          <w:p w:rsidR="00DA040F" w:rsidRPr="00BE6C6D" w:rsidRDefault="00DA040F" w:rsidP="00BE6C6D">
            <w:pPr>
              <w:pStyle w:val="NormalIndented"/>
              <w:rPr>
                <w:sz w:val="18"/>
                <w:lang w:eastAsia="en-US"/>
              </w:rPr>
            </w:pPr>
            <w:r w:rsidRPr="00BE6C6D">
              <w:rPr>
                <w:sz w:val="18"/>
                <w:lang w:eastAsia="en-US"/>
              </w:rPr>
              <w:t>Current Rating</w:t>
            </w:r>
          </w:p>
        </w:tc>
      </w:tr>
      <w:tr w:rsidR="00AD74E8" w:rsidRPr="00C61187" w:rsidTr="00AD74E8">
        <w:trPr>
          <w:cnfStyle w:val="000000010000" w:firstRow="0" w:lastRow="0" w:firstColumn="0" w:lastColumn="0" w:oddVBand="0" w:evenVBand="0" w:oddHBand="0" w:evenHBand="1" w:firstRowFirstColumn="0" w:firstRowLastColumn="0" w:lastRowFirstColumn="0" w:lastRowLastColumn="0"/>
        </w:trPr>
        <w:tc>
          <w:tcPr>
            <w:tcW w:w="671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AD74E8" w:rsidRPr="00280CC1" w:rsidRDefault="00AD74E8" w:rsidP="00AD74E8">
            <w:pPr>
              <w:pStyle w:val="NormalIndented"/>
              <w:rPr>
                <w:sz w:val="16"/>
                <w:lang w:eastAsia="en-US"/>
              </w:rPr>
            </w:pPr>
            <w:r w:rsidRPr="00280CC1">
              <w:rPr>
                <w:sz w:val="16"/>
                <w:lang w:eastAsia="en-US"/>
              </w:rPr>
              <w:t>Objective 1: Improving access to essential infrastructure</w:t>
            </w:r>
          </w:p>
        </w:tc>
        <w:tc>
          <w:tcPr>
            <w:tcW w:w="129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36C0A"/>
            <w:noWrap/>
          </w:tcPr>
          <w:p w:rsidR="00AD74E8" w:rsidRPr="00280CC1" w:rsidRDefault="00AD74E8" w:rsidP="00300FD1">
            <w:pPr>
              <w:pStyle w:val="NormalIndented"/>
              <w:ind w:left="0"/>
              <w:jc w:val="center"/>
              <w:rPr>
                <w:color w:val="FFFFFF" w:themeColor="background1"/>
                <w:sz w:val="16"/>
                <w:lang w:eastAsia="en-US"/>
              </w:rPr>
            </w:pPr>
            <w:r w:rsidRPr="00280CC1">
              <w:rPr>
                <w:color w:val="FFFFFF" w:themeColor="background1"/>
                <w:sz w:val="16"/>
                <w:lang w:eastAsia="en-US"/>
              </w:rPr>
              <w:t>Amber</w:t>
            </w:r>
          </w:p>
        </w:tc>
        <w:tc>
          <w:tcPr>
            <w:tcW w:w="123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noWrap/>
          </w:tcPr>
          <w:p w:rsidR="00AD74E8" w:rsidRPr="00BE6C6D" w:rsidRDefault="00AD74E8" w:rsidP="00300FD1">
            <w:pPr>
              <w:pStyle w:val="NormalIndented"/>
              <w:ind w:left="0"/>
              <w:jc w:val="center"/>
              <w:rPr>
                <w:color w:val="FFFFFF" w:themeColor="background1"/>
                <w:sz w:val="16"/>
                <w:lang w:eastAsia="en-US"/>
              </w:rPr>
            </w:pPr>
            <w:r>
              <w:rPr>
                <w:color w:val="FFFFFF" w:themeColor="background1"/>
                <w:sz w:val="16"/>
                <w:lang w:eastAsia="en-US"/>
              </w:rPr>
              <w:t>Green</w:t>
            </w:r>
          </w:p>
        </w:tc>
      </w:tr>
      <w:tr w:rsidR="00AD74E8" w:rsidRPr="00C61187" w:rsidTr="00AD74E8">
        <w:trPr>
          <w:cnfStyle w:val="000000010000" w:firstRow="0" w:lastRow="0" w:firstColumn="0" w:lastColumn="0" w:oddVBand="0" w:evenVBand="0" w:oddHBand="0" w:evenHBand="1" w:firstRowFirstColumn="0" w:firstRowLastColumn="0" w:lastRowFirstColumn="0" w:lastRowLastColumn="0"/>
        </w:trPr>
        <w:tc>
          <w:tcPr>
            <w:tcW w:w="6717" w:type="dxa"/>
          </w:tcPr>
          <w:p w:rsidR="00AD74E8" w:rsidRPr="00280CC1" w:rsidRDefault="00AD74E8" w:rsidP="00AD74E8">
            <w:pPr>
              <w:pStyle w:val="NormalIndented"/>
              <w:rPr>
                <w:sz w:val="16"/>
                <w:lang w:eastAsia="en-US"/>
              </w:rPr>
            </w:pPr>
            <w:r w:rsidRPr="00280CC1">
              <w:rPr>
                <w:sz w:val="16"/>
                <w:lang w:eastAsia="en-US"/>
              </w:rPr>
              <w:t>Objective 2: Increasing agricultural productivity and farmer incomes</w:t>
            </w:r>
          </w:p>
        </w:tc>
        <w:tc>
          <w:tcPr>
            <w:tcW w:w="1293" w:type="dxa"/>
            <w:shd w:val="clear" w:color="auto" w:fill="7CBF33"/>
            <w:noWrap/>
          </w:tcPr>
          <w:p w:rsidR="00AD74E8" w:rsidRPr="00280CC1" w:rsidRDefault="00AD74E8" w:rsidP="00300FD1">
            <w:pPr>
              <w:pStyle w:val="NormalIndented"/>
              <w:ind w:left="0"/>
              <w:jc w:val="center"/>
              <w:rPr>
                <w:color w:val="FFFFFF" w:themeColor="background1"/>
                <w:sz w:val="16"/>
                <w:lang w:eastAsia="en-US"/>
              </w:rPr>
            </w:pPr>
            <w:r w:rsidRPr="00280CC1">
              <w:rPr>
                <w:color w:val="FFFFFF" w:themeColor="background1"/>
                <w:sz w:val="16"/>
                <w:lang w:eastAsia="en-US"/>
              </w:rPr>
              <w:t>Green</w:t>
            </w:r>
          </w:p>
        </w:tc>
        <w:tc>
          <w:tcPr>
            <w:tcW w:w="1235" w:type="dxa"/>
            <w:shd w:val="clear" w:color="auto" w:fill="72AF2F"/>
            <w:noWrap/>
          </w:tcPr>
          <w:p w:rsidR="00AD74E8" w:rsidRPr="00BE6C6D" w:rsidRDefault="00AD74E8" w:rsidP="00300FD1">
            <w:pPr>
              <w:pStyle w:val="NormalIndented"/>
              <w:ind w:left="0"/>
              <w:jc w:val="center"/>
              <w:rPr>
                <w:color w:val="FFFFFF" w:themeColor="background1"/>
                <w:sz w:val="16"/>
                <w:lang w:eastAsia="en-US"/>
              </w:rPr>
            </w:pPr>
            <w:r w:rsidRPr="00BE6C6D">
              <w:rPr>
                <w:color w:val="FFFFFF" w:themeColor="background1"/>
                <w:sz w:val="16"/>
                <w:lang w:eastAsia="en-US"/>
              </w:rPr>
              <w:t>Green</w:t>
            </w:r>
          </w:p>
        </w:tc>
      </w:tr>
      <w:tr w:rsidR="00AD74E8" w:rsidRPr="00C61187" w:rsidTr="00AD74E8">
        <w:trPr>
          <w:cnfStyle w:val="000000010000" w:firstRow="0" w:lastRow="0" w:firstColumn="0" w:lastColumn="0" w:oddVBand="0" w:evenVBand="0" w:oddHBand="0" w:evenHBand="1" w:firstRowFirstColumn="0" w:firstRowLastColumn="0" w:lastRowFirstColumn="0" w:lastRowLastColumn="0"/>
        </w:trPr>
        <w:tc>
          <w:tcPr>
            <w:tcW w:w="6717" w:type="dxa"/>
          </w:tcPr>
          <w:p w:rsidR="00AD74E8" w:rsidRPr="00280CC1" w:rsidRDefault="00AD74E8" w:rsidP="00AD74E8">
            <w:pPr>
              <w:pStyle w:val="NormalIndented"/>
              <w:rPr>
                <w:sz w:val="16"/>
                <w:lang w:eastAsia="en-US"/>
              </w:rPr>
            </w:pPr>
            <w:r w:rsidRPr="00280CC1">
              <w:rPr>
                <w:sz w:val="16"/>
                <w:lang w:eastAsia="en-US"/>
              </w:rPr>
              <w:t>Objective 3: Better health and education outcomes</w:t>
            </w:r>
          </w:p>
        </w:tc>
        <w:tc>
          <w:tcPr>
            <w:tcW w:w="1293" w:type="dxa"/>
            <w:shd w:val="clear" w:color="auto" w:fill="7CBF33"/>
            <w:noWrap/>
          </w:tcPr>
          <w:p w:rsidR="00AD74E8" w:rsidRPr="00280CC1" w:rsidRDefault="00AD74E8" w:rsidP="00300FD1">
            <w:pPr>
              <w:pStyle w:val="NormalIndented"/>
              <w:ind w:left="2"/>
              <w:jc w:val="center"/>
              <w:rPr>
                <w:color w:val="FFFFFF" w:themeColor="background1"/>
                <w:sz w:val="16"/>
                <w:lang w:eastAsia="en-US"/>
              </w:rPr>
            </w:pPr>
            <w:r w:rsidRPr="00280CC1">
              <w:rPr>
                <w:color w:val="FFFFFF" w:themeColor="background1"/>
                <w:sz w:val="16"/>
                <w:lang w:eastAsia="en-US"/>
              </w:rPr>
              <w:t>Green</w:t>
            </w:r>
          </w:p>
        </w:tc>
        <w:tc>
          <w:tcPr>
            <w:tcW w:w="1235" w:type="dxa"/>
            <w:shd w:val="clear" w:color="auto" w:fill="72AF2F"/>
            <w:noWrap/>
          </w:tcPr>
          <w:p w:rsidR="00AD74E8" w:rsidRPr="00BE6C6D" w:rsidRDefault="00AD74E8" w:rsidP="00300FD1">
            <w:pPr>
              <w:pStyle w:val="NormalIndented"/>
              <w:ind w:left="0"/>
              <w:jc w:val="center"/>
              <w:rPr>
                <w:color w:val="FFFFFF" w:themeColor="background1"/>
                <w:sz w:val="16"/>
                <w:lang w:eastAsia="en-US"/>
              </w:rPr>
            </w:pPr>
            <w:r>
              <w:rPr>
                <w:color w:val="FFFFFF" w:themeColor="background1"/>
                <w:sz w:val="16"/>
                <w:lang w:eastAsia="en-US"/>
              </w:rPr>
              <w:t>Green</w:t>
            </w:r>
          </w:p>
        </w:tc>
      </w:tr>
    </w:tbl>
    <w:p w:rsidR="002A51CA" w:rsidRPr="00BE6C6D" w:rsidRDefault="002A51CA" w:rsidP="00151652">
      <w:pPr>
        <w:pStyle w:val="NormalIndented"/>
        <w:spacing w:before="0"/>
        <w:rPr>
          <w:sz w:val="16"/>
        </w:rPr>
      </w:pPr>
      <w:r w:rsidRPr="00BE6C6D">
        <w:rPr>
          <w:color w:val="72AF2F"/>
          <w:sz w:val="16"/>
        </w:rPr>
        <w:sym w:font="Webdings" w:char="F067"/>
      </w:r>
      <w:r w:rsidRPr="00BE6C6D">
        <w:rPr>
          <w:sz w:val="16"/>
        </w:rPr>
        <w:t> </w:t>
      </w:r>
      <w:r w:rsidRPr="00BE6C6D">
        <w:rPr>
          <w:sz w:val="16"/>
        </w:rPr>
        <w:t xml:space="preserve"> </w:t>
      </w:r>
      <w:r w:rsidRPr="00BE6C6D">
        <w:rPr>
          <w:b/>
          <w:sz w:val="16"/>
        </w:rPr>
        <w:t>Green</w:t>
      </w:r>
      <w:r w:rsidRPr="00BE6C6D">
        <w:rPr>
          <w:sz w:val="16"/>
        </w:rPr>
        <w:t>. Progress is as expected at this stage of implementation and it is likely that the objective will be achieved. Standard program management practices are sufficient.</w:t>
      </w:r>
    </w:p>
    <w:p w:rsidR="002A51CA" w:rsidRPr="00BE6C6D" w:rsidRDefault="002A51CA" w:rsidP="00151652">
      <w:pPr>
        <w:pStyle w:val="NormalIndented"/>
        <w:spacing w:before="0"/>
        <w:rPr>
          <w:sz w:val="16"/>
        </w:rPr>
      </w:pPr>
      <w:r w:rsidRPr="00BE6C6D">
        <w:rPr>
          <w:color w:val="E36C0A"/>
          <w:sz w:val="16"/>
        </w:rPr>
        <w:sym w:font="Webdings" w:char="F067"/>
      </w:r>
      <w:r w:rsidRPr="00BE6C6D">
        <w:rPr>
          <w:sz w:val="16"/>
        </w:rPr>
        <w:t> </w:t>
      </w:r>
      <w:r w:rsidRPr="00BE6C6D">
        <w:rPr>
          <w:sz w:val="16"/>
        </w:rPr>
        <w:t xml:space="preserve"> </w:t>
      </w:r>
      <w:r w:rsidRPr="00BE6C6D">
        <w:rPr>
          <w:b/>
          <w:sz w:val="16"/>
        </w:rPr>
        <w:t>Amber</w:t>
      </w:r>
      <w:r w:rsidRPr="00BE6C6D">
        <w:rPr>
          <w:sz w:val="16"/>
        </w:rPr>
        <w:t>. Progress is somewhat less than expected at this stage of implementation and restorative action will be necessary if the objective is to be achieved. Close performance monitoring is recommended.</w:t>
      </w:r>
    </w:p>
    <w:p w:rsidR="002A51CA" w:rsidRDefault="002A51CA" w:rsidP="00151652">
      <w:pPr>
        <w:pStyle w:val="NormalIndented"/>
        <w:spacing w:before="0"/>
        <w:rPr>
          <w:sz w:val="16"/>
        </w:rPr>
      </w:pPr>
      <w:r w:rsidRPr="00BE6C6D">
        <w:rPr>
          <w:color w:val="FF0000"/>
          <w:sz w:val="16"/>
        </w:rPr>
        <w:sym w:font="Webdings" w:char="F067"/>
      </w:r>
      <w:r w:rsidRPr="00BE6C6D">
        <w:rPr>
          <w:sz w:val="16"/>
        </w:rPr>
        <w:t> </w:t>
      </w:r>
      <w:r w:rsidRPr="00BE6C6D">
        <w:rPr>
          <w:sz w:val="16"/>
        </w:rPr>
        <w:t xml:space="preserve"> </w:t>
      </w:r>
      <w:r w:rsidRPr="00BE6C6D">
        <w:rPr>
          <w:b/>
          <w:sz w:val="16"/>
        </w:rPr>
        <w:t>Red.</w:t>
      </w:r>
      <w:r w:rsidRPr="00BE6C6D">
        <w:rPr>
          <w:sz w:val="16"/>
        </w:rPr>
        <w:t xml:space="preserve"> Progress is significantly less than expected at this stage of implementation and the objective is not likely to be met given available resources and priorities. Recasting the objective may be required.</w:t>
      </w:r>
    </w:p>
    <w:p w:rsidR="002A51CA" w:rsidRPr="004D72CA" w:rsidRDefault="004D72CA" w:rsidP="002F3399">
      <w:pPr>
        <w:suppressAutoHyphens w:val="0"/>
        <w:spacing w:after="120" w:line="440" w:lineRule="atLeast"/>
        <w:rPr>
          <w:rFonts w:asciiTheme="majorHAnsi" w:eastAsiaTheme="majorEastAsia" w:hAnsiTheme="majorHAnsi" w:cstheme="majorBidi"/>
          <w:caps/>
          <w:sz w:val="38"/>
          <w:szCs w:val="26"/>
        </w:rPr>
      </w:pPr>
      <w:r w:rsidRPr="004D72CA">
        <w:rPr>
          <w:rFonts w:asciiTheme="majorHAnsi" w:eastAsiaTheme="majorEastAsia" w:hAnsiTheme="majorHAnsi" w:cstheme="majorBidi"/>
          <w:caps/>
          <w:sz w:val="38"/>
          <w:szCs w:val="26"/>
        </w:rPr>
        <w:t>Objective 1: improving access to essential infrastructure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4"/>
        <w:gridCol w:w="1906"/>
        <w:gridCol w:w="1906"/>
        <w:gridCol w:w="1906"/>
      </w:tblGrid>
      <w:tr w:rsidR="00CA7DD8" w:rsidRPr="005C221E" w:rsidTr="002E0D9B">
        <w:tc>
          <w:tcPr>
            <w:tcW w:w="2016" w:type="dxa"/>
          </w:tcPr>
          <w:p w:rsidR="00CA7DD8" w:rsidRPr="005C221E" w:rsidRDefault="00CA7DD8" w:rsidP="00CA7DD8">
            <w:pPr>
              <w:pStyle w:val="ListBullet"/>
              <w:tabs>
                <w:tab w:val="clear" w:pos="284"/>
              </w:tabs>
              <w:spacing w:before="80" w:after="80" w:line="240" w:lineRule="auto"/>
              <w:jc w:val="center"/>
              <w:rPr>
                <w:rFonts w:asciiTheme="majorHAnsi" w:eastAsiaTheme="majorEastAsia" w:hAnsiTheme="majorHAnsi" w:cstheme="majorBidi"/>
                <w:caps/>
                <w:color w:val="495965" w:themeColor="text2"/>
                <w:sz w:val="38"/>
                <w:szCs w:val="26"/>
                <w:highlight w:val="yellow"/>
                <w:lang w:val="en-GB" w:eastAsia="en-US"/>
              </w:rPr>
            </w:pPr>
            <w:r w:rsidRPr="005C221E">
              <w:rPr>
                <w:rFonts w:asciiTheme="majorHAnsi" w:eastAsiaTheme="majorEastAsia" w:hAnsiTheme="majorHAnsi" w:cstheme="majorBidi"/>
                <w:caps/>
                <w:noProof/>
                <w:color w:val="495965" w:themeColor="text2"/>
                <w:sz w:val="38"/>
                <w:szCs w:val="26"/>
                <w:highlight w:val="yellow"/>
              </w:rPr>
              <w:drawing>
                <wp:inline distT="0" distB="0" distL="0" distR="0" wp14:anchorId="30D5904C" wp14:editId="0C0D81B0">
                  <wp:extent cx="1137600" cy="720000"/>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8">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4" w:type="dxa"/>
          </w:tcPr>
          <w:p w:rsidR="00CA7DD8" w:rsidRPr="005C221E" w:rsidRDefault="002E0D9B" w:rsidP="00CA7DD8">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highlight w:val="yellow"/>
                <w:lang w:val="en-GB" w:eastAsia="en-US"/>
              </w:rPr>
            </w:pPr>
            <w:r>
              <w:rPr>
                <w:noProof/>
              </w:rPr>
              <w:drawing>
                <wp:inline distT="0" distB="0" distL="0" distR="0" wp14:anchorId="7D34FAC0" wp14:editId="74849254">
                  <wp:extent cx="612000" cy="612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DG 6.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rsidR="00CA7DD8" w:rsidRPr="005C221E" w:rsidRDefault="002E0D9B" w:rsidP="00CA7DD8">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highlight w:val="yellow"/>
                <w:lang w:val="en-GB" w:eastAsia="en-US"/>
              </w:rPr>
            </w:pPr>
            <w:r>
              <w:rPr>
                <w:noProof/>
              </w:rPr>
              <w:drawing>
                <wp:inline distT="0" distB="0" distL="0" distR="0" wp14:anchorId="1CEEA704" wp14:editId="0A89F9BB">
                  <wp:extent cx="612000" cy="6120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 7.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rsidR="00CA7DD8" w:rsidRPr="005C221E" w:rsidRDefault="002E0D9B" w:rsidP="00CA7DD8">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highlight w:val="yellow"/>
                <w:lang w:val="en-GB" w:eastAsia="en-US"/>
              </w:rPr>
            </w:pPr>
            <w:r>
              <w:rPr>
                <w:noProof/>
              </w:rPr>
              <w:drawing>
                <wp:inline distT="0" distB="0" distL="0" distR="0" wp14:anchorId="6A3E3407" wp14:editId="6F5EDA1D">
                  <wp:extent cx="612000" cy="6120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 9.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rsidR="00CA7DD8" w:rsidRPr="005C221E" w:rsidRDefault="002E0D9B" w:rsidP="00CA7DD8">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highlight w:val="yellow"/>
                <w:lang w:val="en-GB" w:eastAsia="en-US"/>
              </w:rPr>
            </w:pPr>
            <w:r>
              <w:rPr>
                <w:noProof/>
              </w:rPr>
              <w:drawing>
                <wp:inline distT="0" distB="0" distL="0" distR="0" wp14:anchorId="24E2881E" wp14:editId="218CAADC">
                  <wp:extent cx="612000" cy="6120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r>
    </w:tbl>
    <w:p w:rsidR="002E0D9B" w:rsidRDefault="002E0D9B" w:rsidP="004D72CA">
      <w:pPr>
        <w:spacing w:after="160" w:line="256" w:lineRule="auto"/>
        <w:contextualSpacing/>
        <w:rPr>
          <w:rFonts w:eastAsia="Times New Roman"/>
          <w:highlight w:val="yellow"/>
        </w:rPr>
      </w:pPr>
    </w:p>
    <w:p w:rsidR="002E0D9B" w:rsidRPr="00B47DA7" w:rsidRDefault="002E0D9B" w:rsidP="00B47DA7">
      <w:r w:rsidRPr="00B47DA7">
        <w:t xml:space="preserve">Program progress has improved against Objective </w:t>
      </w:r>
      <w:r w:rsidR="00AC6999">
        <w:t>O</w:t>
      </w:r>
      <w:r w:rsidRPr="00B47DA7">
        <w:t>ne in 2017-18</w:t>
      </w:r>
      <w:r w:rsidR="00AC6999">
        <w:t xml:space="preserve">, due to continued strong performance of </w:t>
      </w:r>
      <w:r w:rsidR="00AC6999" w:rsidRPr="00B47DA7">
        <w:rPr>
          <w:b/>
        </w:rPr>
        <w:t>Investing in Infrastructure</w:t>
      </w:r>
      <w:r w:rsidR="00AC6999">
        <w:t xml:space="preserve"> (3i) and better performance of</w:t>
      </w:r>
      <w:r w:rsidR="00D075E4">
        <w:t xml:space="preserve"> the</w:t>
      </w:r>
      <w:r w:rsidR="00AC6999">
        <w:t xml:space="preserve"> </w:t>
      </w:r>
      <w:r w:rsidR="00AC6999" w:rsidRPr="00B47DA7">
        <w:rPr>
          <w:b/>
        </w:rPr>
        <w:t>Rural Roads Improvement Program Phase II</w:t>
      </w:r>
      <w:r w:rsidR="00AC6999">
        <w:t xml:space="preserve"> (RRIP2) in delivering connective infrastructure,</w:t>
      </w:r>
      <w:r w:rsidRPr="00B47DA7">
        <w:t xml:space="preserve"> </w:t>
      </w:r>
      <w:r w:rsidR="00AC6999">
        <w:t xml:space="preserve">lifting ratings to </w:t>
      </w:r>
      <w:r w:rsidRPr="00B47DA7">
        <w:rPr>
          <w:u w:val="single"/>
        </w:rPr>
        <w:t>green</w:t>
      </w:r>
      <w:r w:rsidRPr="00B47DA7">
        <w:t xml:space="preserve">. </w:t>
      </w:r>
    </w:p>
    <w:p w:rsidR="004D72CA" w:rsidRDefault="004D72CA" w:rsidP="00B47DA7">
      <w:r>
        <w:t xml:space="preserve">Infrastructure development will remain a high priority in Cambodia for many years. Cambodia’s road network, while rapidly improving, still acts as a handbrake on growth. Rapid industrialisation and </w:t>
      </w:r>
      <w:r w:rsidR="00D075E4">
        <w:t>pockets of rapid urbanisation are</w:t>
      </w:r>
      <w:r>
        <w:t xml:space="preserve"> putt</w:t>
      </w:r>
      <w:r w:rsidR="007F0A01">
        <w:t>ing pressure on infrastructure</w:t>
      </w:r>
      <w:r>
        <w:t xml:space="preserve"> and increasing the need for robust planning. In rural areas, sustained support for infrastructure development is needed to ensure equitable access to clean water</w:t>
      </w:r>
      <w:r w:rsidR="0092587C">
        <w:t>, energy and ma</w:t>
      </w:r>
      <w:r w:rsidR="002F3399">
        <w:t>rkets</w:t>
      </w:r>
      <w:r>
        <w:t xml:space="preserve"> for low-income households. </w:t>
      </w:r>
    </w:p>
    <w:p w:rsidR="004D72CA" w:rsidRDefault="00E43906" w:rsidP="00B47DA7">
      <w:r>
        <w:lastRenderedPageBreak/>
        <w:t>Cambodia’s</w:t>
      </w:r>
      <w:r w:rsidR="004D72CA">
        <w:t xml:space="preserve"> pipeline of landmark infrastructure projects such as expressways, ports and power plants is also growing. This presents an opportunity to stimulate growth and create jobs. However</w:t>
      </w:r>
      <w:r w:rsidR="00891F09">
        <w:t xml:space="preserve">, </w:t>
      </w:r>
      <w:r w:rsidR="004D72CA">
        <w:t xml:space="preserve">careful assessment </w:t>
      </w:r>
      <w:r w:rsidR="00D075E4">
        <w:t>of new infrastructure proposals</w:t>
      </w:r>
      <w:r w:rsidR="004D72CA">
        <w:t xml:space="preserve"> and contractual arrangements will be important to secure high quality assets, and avoid risks to sovereign debt and </w:t>
      </w:r>
      <w:r w:rsidR="007F0A01">
        <w:t>national</w:t>
      </w:r>
      <w:r w:rsidR="004D72CA">
        <w:t xml:space="preserve"> security. </w:t>
      </w:r>
    </w:p>
    <w:p w:rsidR="0092587C" w:rsidRDefault="004D72CA" w:rsidP="0092587C">
      <w:r>
        <w:t>Australia and Cambodia have a shared interest in expanding quality infrastructure both in and outside of cities. As donor grant-financing from Australia and other bilateral partners for infrastructure decreases, our value-add is increasingly clear</w:t>
      </w:r>
      <w:r w:rsidR="00D075E4">
        <w:t>;</w:t>
      </w:r>
      <w:r w:rsidR="00B51A4A">
        <w:t xml:space="preserve"> we can </w:t>
      </w:r>
      <w:r>
        <w:t xml:space="preserve">help Cambodia ensure new infrastructure investment is well planned, represents good value for money, and promotes high quality </w:t>
      </w:r>
      <w:r w:rsidR="0092587C">
        <w:t>inclusive growth. Engaging in policy influence through an evidence base and sharing best practices to achieve these outcomes will be</w:t>
      </w:r>
      <w:r w:rsidR="002F3399">
        <w:t>come</w:t>
      </w:r>
      <w:r w:rsidR="0092587C">
        <w:t xml:space="preserve"> a key focus. </w:t>
      </w:r>
    </w:p>
    <w:p w:rsidR="004D72CA" w:rsidRDefault="004D72CA" w:rsidP="00B47DA7">
      <w:r>
        <w:t xml:space="preserve">Our infrastructure program </w:t>
      </w:r>
      <w:r w:rsidR="00B51A4A" w:rsidRPr="00B47DA7">
        <w:rPr>
          <w:b/>
        </w:rPr>
        <w:t>I</w:t>
      </w:r>
      <w:r w:rsidRPr="00B47DA7">
        <w:rPr>
          <w:b/>
        </w:rPr>
        <w:t xml:space="preserve">nvesting in Infrastructure </w:t>
      </w:r>
      <w:r w:rsidRPr="00A470B8">
        <w:t>(3i</w:t>
      </w:r>
      <w:r w:rsidR="006F0FE6" w:rsidRPr="00A470B8">
        <w:t>, $45</w:t>
      </w:r>
      <w:r w:rsidR="00A936E9" w:rsidRPr="00B47DA7">
        <w:t>.38 million 2015-2021</w:t>
      </w:r>
      <w:r w:rsidR="006F0FE6" w:rsidRPr="00A470B8">
        <w:t>)</w:t>
      </w:r>
      <w:r w:rsidRPr="00A470B8">
        <w:t xml:space="preserve"> demonstrated</w:t>
      </w:r>
      <w:r>
        <w:t xml:space="preserve"> a new and efficient approach to stimulating private sector investment in essential utilities. 3i accelerated its outputs over 2017-18</w:t>
      </w:r>
      <w:r w:rsidR="001362D7">
        <w:t xml:space="preserve">, exceeding its target of signing </w:t>
      </w:r>
      <w:r w:rsidR="00522F47">
        <w:t>49</w:t>
      </w:r>
      <w:r w:rsidR="001362D7" w:rsidRPr="00522F47">
        <w:t xml:space="preserve"> contracts</w:t>
      </w:r>
      <w:r w:rsidR="001362D7">
        <w:t xml:space="preserve"> and leveraging </w:t>
      </w:r>
      <w:r w:rsidR="001362D7" w:rsidRPr="00522F47">
        <w:t>$</w:t>
      </w:r>
      <w:r w:rsidR="00522F47">
        <w:t xml:space="preserve">25.7 </w:t>
      </w:r>
      <w:r w:rsidR="001362D7" w:rsidRPr="00522F47">
        <w:t>million</w:t>
      </w:r>
      <w:r w:rsidR="001362D7">
        <w:t xml:space="preserve"> in private investment</w:t>
      </w:r>
      <w:r w:rsidR="00B51A4A">
        <w:t xml:space="preserve">. It </w:t>
      </w:r>
      <w:r>
        <w:t xml:space="preserve">has </w:t>
      </w:r>
      <w:r w:rsidR="00E43906">
        <w:t xml:space="preserve">now </w:t>
      </w:r>
      <w:r>
        <w:t>leveraged</w:t>
      </w:r>
      <w:r w:rsidR="00B51A4A">
        <w:t xml:space="preserve"> a total of</w:t>
      </w:r>
      <w:r>
        <w:t xml:space="preserve"> $31.1 million in new private investment for water and energy distribution. An additional 706,000 people (361,000 women) will be able to connect to </w:t>
      </w:r>
      <w:r w:rsidR="00B51A4A">
        <w:t xml:space="preserve">reliable, affordable and safe </w:t>
      </w:r>
      <w:r>
        <w:t xml:space="preserve">piped water. </w:t>
      </w:r>
      <w:r w:rsidR="001362D7">
        <w:t xml:space="preserve">An independent Scalability Review of 3i </w:t>
      </w:r>
      <w:r w:rsidR="00A55354">
        <w:t xml:space="preserve">found its performance compared </w:t>
      </w:r>
      <w:r w:rsidR="001362D7">
        <w:t>very well</w:t>
      </w:r>
      <w:r w:rsidR="00A55354">
        <w:t xml:space="preserve"> to other</w:t>
      </w:r>
      <w:r w:rsidR="001362D7">
        <w:t xml:space="preserve"> similar programmes elsewhere</w:t>
      </w:r>
      <w:r w:rsidR="00D075E4">
        <w:t>, concluded</w:t>
      </w:r>
      <w:r w:rsidR="00A55354">
        <w:t xml:space="preserve"> the program was </w:t>
      </w:r>
      <w:r w:rsidR="001362D7">
        <w:t>on course to achieve it</w:t>
      </w:r>
      <w:r w:rsidR="00A55354">
        <w:t>s objectives</w:t>
      </w:r>
      <w:r w:rsidR="001362D7">
        <w:t xml:space="preserve"> and recomme</w:t>
      </w:r>
      <w:r w:rsidR="002F3399">
        <w:t>nded that the program be scaled-</w:t>
      </w:r>
      <w:r w:rsidR="001362D7">
        <w:t xml:space="preserve">up. </w:t>
      </w:r>
      <w:r w:rsidR="00E43906">
        <w:t>F</w:t>
      </w:r>
      <w:r w:rsidRPr="00B47DA7">
        <w:t>oll</w:t>
      </w:r>
      <w:r w:rsidR="002F3399">
        <w:t>owing early connections</w:t>
      </w:r>
      <w:r w:rsidRPr="00B47DA7">
        <w:t xml:space="preserve"> women</w:t>
      </w:r>
      <w:r w:rsidR="00E43906">
        <w:t xml:space="preserve"> have reported</w:t>
      </w:r>
      <w:r w:rsidRPr="00B47DA7">
        <w:t xml:space="preserve"> improved overall</w:t>
      </w:r>
      <w:r w:rsidR="002F3399">
        <w:t xml:space="preserve"> wellbeing</w:t>
      </w:r>
      <w:r w:rsidR="000D4C23">
        <w:t>, including</w:t>
      </w:r>
      <w:r w:rsidRPr="00B47DA7">
        <w:t xml:space="preserve"> reduced skin conditions </w:t>
      </w:r>
      <w:r w:rsidR="002F3399">
        <w:t xml:space="preserve">and </w:t>
      </w:r>
      <w:r w:rsidR="005F5629">
        <w:t>less hours spent on</w:t>
      </w:r>
      <w:r w:rsidR="002F3399">
        <w:t xml:space="preserve"> household chores</w:t>
      </w:r>
      <w:r w:rsidRPr="00B47DA7">
        <w:t>.</w:t>
      </w:r>
      <w:r>
        <w:t xml:space="preserve"> </w:t>
      </w:r>
    </w:p>
    <w:p w:rsidR="004D72CA" w:rsidRDefault="00E43906" w:rsidP="00B47DA7">
      <w:r>
        <w:t>In</w:t>
      </w:r>
      <w:r w:rsidR="000D4C23">
        <w:t xml:space="preserve"> </w:t>
      </w:r>
      <w:r w:rsidR="004D72CA">
        <w:t xml:space="preserve">electricity, 3i leveraged private investment </w:t>
      </w:r>
      <w:r w:rsidR="00BB199C">
        <w:t xml:space="preserve">through competitive co-financed grants </w:t>
      </w:r>
      <w:r w:rsidR="004D72CA">
        <w:t xml:space="preserve">which will see 152,000 people (78,000 women) </w:t>
      </w:r>
      <w:r>
        <w:t>benefit from</w:t>
      </w:r>
      <w:r w:rsidR="004D72CA">
        <w:t xml:space="preserve"> a new, more reliable </w:t>
      </w:r>
      <w:r>
        <w:t xml:space="preserve">household </w:t>
      </w:r>
      <w:r w:rsidR="004D72CA">
        <w:t xml:space="preserve">energy </w:t>
      </w:r>
      <w:r>
        <w:t>connection</w:t>
      </w:r>
      <w:r w:rsidR="004D72CA">
        <w:t xml:space="preserve">. In addition, 8,000 homes in Svay Rieng province were connected to the electricity grid under </w:t>
      </w:r>
      <w:r w:rsidR="00B51A4A">
        <w:t xml:space="preserve">our support for the ADB </w:t>
      </w:r>
      <w:r w:rsidR="004D72CA" w:rsidRPr="00B47DA7">
        <w:rPr>
          <w:b/>
        </w:rPr>
        <w:t>Rural Electrification Project</w:t>
      </w:r>
      <w:r w:rsidR="004D72CA">
        <w:t xml:space="preserve">, bringing this project to a close. </w:t>
      </w:r>
    </w:p>
    <w:p w:rsidR="004D72CA" w:rsidRDefault="004D72CA" w:rsidP="00B47DA7">
      <w:r>
        <w:t xml:space="preserve">Delivery of these concrete results has helped deepen relationships with infrastructure policymakers in the Cambodian Government. We are </w:t>
      </w:r>
      <w:r w:rsidR="00B51A4A">
        <w:t xml:space="preserve">building on this to </w:t>
      </w:r>
      <w:r>
        <w:t xml:space="preserve">help Cambodia develop robust policies </w:t>
      </w:r>
      <w:r w:rsidR="00B51A4A">
        <w:t xml:space="preserve">to </w:t>
      </w:r>
      <w:r>
        <w:t xml:space="preserve">encourage </w:t>
      </w:r>
      <w:r w:rsidR="000D4C23">
        <w:t xml:space="preserve">evidence-informed decision-making </w:t>
      </w:r>
      <w:r>
        <w:t xml:space="preserve">in infrastructure delivery. For example, advisers from 3i </w:t>
      </w:r>
      <w:r w:rsidR="00CD63A8">
        <w:t>are assisting in</w:t>
      </w:r>
      <w:r w:rsidR="00B51A4A">
        <w:t xml:space="preserve"> </w:t>
      </w:r>
      <w:r w:rsidR="00B51A4A" w:rsidRPr="00B51A4A">
        <w:t>develop</w:t>
      </w:r>
      <w:r w:rsidR="00CD63A8">
        <w:t>ing</w:t>
      </w:r>
      <w:r w:rsidR="00B51A4A" w:rsidRPr="00B51A4A">
        <w:t xml:space="preserve"> policy measures to encourage renewable energy</w:t>
      </w:r>
      <w:r w:rsidR="00B51A4A" w:rsidRPr="00B51A4A" w:rsidDel="00B51A4A">
        <w:t xml:space="preserve"> </w:t>
      </w:r>
      <w:r w:rsidR="00CD63A8">
        <w:t xml:space="preserve">uptake </w:t>
      </w:r>
      <w:r w:rsidR="00B51A4A">
        <w:t>through a</w:t>
      </w:r>
      <w:r>
        <w:t xml:space="preserve"> new </w:t>
      </w:r>
      <w:r w:rsidR="00B51A4A">
        <w:t>Cambodian G</w:t>
      </w:r>
      <w:r>
        <w:t>overnment renewable energy working group</w:t>
      </w:r>
      <w:r w:rsidR="00D075E4">
        <w:t>,</w:t>
      </w:r>
      <w:r w:rsidR="005F5629">
        <w:t xml:space="preserve"> and strengthening economic officials</w:t>
      </w:r>
      <w:r w:rsidR="00D075E4">
        <w:t>’</w:t>
      </w:r>
      <w:r>
        <w:t xml:space="preserve"> skills in </w:t>
      </w:r>
      <w:r w:rsidR="000D4C23">
        <w:t>p</w:t>
      </w:r>
      <w:r>
        <w:t xml:space="preserve">ublic </w:t>
      </w:r>
      <w:r w:rsidR="000D4C23">
        <w:t>p</w:t>
      </w:r>
      <w:r>
        <w:t xml:space="preserve">rivate </w:t>
      </w:r>
      <w:r w:rsidR="000D4C23">
        <w:t>p</w:t>
      </w:r>
      <w:r>
        <w:t>artnership</w:t>
      </w:r>
      <w:r w:rsidR="005F5629">
        <w:t>s</w:t>
      </w:r>
      <w:r>
        <w:t xml:space="preserve">. </w:t>
      </w:r>
    </w:p>
    <w:p w:rsidR="004D72CA" w:rsidRDefault="004D72CA" w:rsidP="00B47DA7">
      <w:r>
        <w:t xml:space="preserve">Performance on the ADB-managed </w:t>
      </w:r>
      <w:r w:rsidRPr="00B47DA7">
        <w:rPr>
          <w:b/>
        </w:rPr>
        <w:t xml:space="preserve">Rural Roads Improvement Program Phase II </w:t>
      </w:r>
      <w:r w:rsidR="00A470B8" w:rsidRPr="00A470B8">
        <w:t>(RRIP II, $</w:t>
      </w:r>
      <w:r w:rsidR="00A470B8">
        <w:t>22.6 million 2015-2020</w:t>
      </w:r>
      <w:r w:rsidR="006F0FE6" w:rsidRPr="00B47DA7">
        <w:t>)</w:t>
      </w:r>
      <w:r w:rsidR="006F0FE6">
        <w:rPr>
          <w:b/>
        </w:rPr>
        <w:t xml:space="preserve"> </w:t>
      </w:r>
      <w:r w:rsidR="00B51A4A">
        <w:t>improved</w:t>
      </w:r>
      <w:r>
        <w:t xml:space="preserve">, with </w:t>
      </w:r>
      <w:r w:rsidR="00B51A4A">
        <w:t xml:space="preserve">sound </w:t>
      </w:r>
      <w:r>
        <w:t>progress against expected work plans, and heightened focus on road safety and community awareness components. Gender performance also demonstrated better result</w:t>
      </w:r>
      <w:r w:rsidR="00CD63A8">
        <w:t>s</w:t>
      </w:r>
      <w:r w:rsidR="00773D48">
        <w:t>,</w:t>
      </w:r>
      <w:r>
        <w:t xml:space="preserve"> with</w:t>
      </w:r>
      <w:r w:rsidR="00CD63A8">
        <w:t xml:space="preserve"> </w:t>
      </w:r>
      <w:r w:rsidR="00773D48">
        <w:t xml:space="preserve">female </w:t>
      </w:r>
      <w:r>
        <w:t>unskilled labour employe</w:t>
      </w:r>
      <w:r w:rsidR="00CD63A8">
        <w:t>es</w:t>
      </w:r>
      <w:r>
        <w:t xml:space="preserve"> </w:t>
      </w:r>
      <w:r w:rsidR="00773D48">
        <w:t xml:space="preserve">comprising </w:t>
      </w:r>
      <w:r>
        <w:t>28</w:t>
      </w:r>
      <w:r w:rsidR="00B51A4A">
        <w:t xml:space="preserve"> per cent</w:t>
      </w:r>
      <w:r w:rsidR="00773D48">
        <w:t xml:space="preserve"> of the total</w:t>
      </w:r>
      <w:r w:rsidR="00CD63A8">
        <w:t>,</w:t>
      </w:r>
      <w:r>
        <w:t xml:space="preserve"> exceeding </w:t>
      </w:r>
      <w:r w:rsidR="00CD63A8">
        <w:t>the</w:t>
      </w:r>
      <w:r>
        <w:t xml:space="preserve"> 20</w:t>
      </w:r>
      <w:r w:rsidR="00B51A4A">
        <w:t xml:space="preserve"> per cent</w:t>
      </w:r>
      <w:r w:rsidR="00CD63A8">
        <w:t xml:space="preserve"> target</w:t>
      </w:r>
      <w:r w:rsidR="00684839">
        <w:t xml:space="preserve"> which is a significant achievement for promoting women’s labour force participation</w:t>
      </w:r>
      <w:r>
        <w:t>. Th</w:t>
      </w:r>
      <w:r w:rsidR="004C04FD">
        <w:t>is investment is no longer</w:t>
      </w:r>
      <w:r>
        <w:t xml:space="preserve"> an Initiative Requiring Improvement</w:t>
      </w:r>
      <w:r w:rsidR="00CD63A8">
        <w:t>, helping to get our performance record back on track</w:t>
      </w:r>
      <w:r w:rsidR="00DE0CD3">
        <w:t xml:space="preserve">, and ensuring we are supporting the </w:t>
      </w:r>
      <w:r w:rsidR="00D93435">
        <w:t xml:space="preserve">effective </w:t>
      </w:r>
      <w:r w:rsidR="00DE0CD3">
        <w:t>delivery of quality rural roads</w:t>
      </w:r>
      <w:r w:rsidR="00CD63A8">
        <w:t>.</w:t>
      </w:r>
      <w:r>
        <w:t xml:space="preserve"> </w:t>
      </w:r>
    </w:p>
    <w:p w:rsidR="004D72CA" w:rsidRDefault="004D72CA" w:rsidP="00151652">
      <w:pPr>
        <w:spacing w:after="0"/>
      </w:pPr>
      <w:r>
        <w:t>Our engagement on roads will focus on working with the ADB and Cambodian Government to</w:t>
      </w:r>
      <w:r w:rsidR="00E87383">
        <w:t xml:space="preserve"> </w:t>
      </w:r>
      <w:r>
        <w:t>improve planning and implementation of road maintenance to safeguard our investment in capital works</w:t>
      </w:r>
      <w:r w:rsidR="00E87383">
        <w:t>, and to ensure we continue to support sustainable strategies</w:t>
      </w:r>
      <w:r>
        <w:t xml:space="preserve">. </w:t>
      </w:r>
      <w:r w:rsidR="00AE4F07">
        <w:t>Through this initiative, we will fund measures to increase r</w:t>
      </w:r>
      <w:r>
        <w:t>oad safety</w:t>
      </w:r>
      <w:r w:rsidR="00AE4F07">
        <w:t xml:space="preserve"> </w:t>
      </w:r>
      <w:r>
        <w:t>along project roads</w:t>
      </w:r>
      <w:r w:rsidR="00AE4F07">
        <w:t xml:space="preserve"> and encourage the Cambodian Government to apply such measures </w:t>
      </w:r>
      <w:r>
        <w:t>national</w:t>
      </w:r>
      <w:r w:rsidR="00AE4F07">
        <w:t>ly.</w:t>
      </w:r>
      <w:r>
        <w:t xml:space="preserve"> </w:t>
      </w:r>
      <w:r w:rsidR="00AE4F07">
        <w:t>Road safety is a particularly important issue for Cambodia to address effectively —</w:t>
      </w:r>
      <w:r>
        <w:t xml:space="preserve"> t</w:t>
      </w:r>
      <w:r w:rsidR="00AC6999">
        <w:t>raffic accidents remain a leading cause of death</w:t>
      </w:r>
      <w:r w:rsidR="00AE4F07">
        <w:t>,</w:t>
      </w:r>
      <w:r w:rsidR="00AC6999">
        <w:t xml:space="preserve"> with 1</w:t>
      </w:r>
      <w:r w:rsidR="005144D8">
        <w:t>,</w:t>
      </w:r>
      <w:r w:rsidR="00AC6999">
        <w:t>780 deaths recorded in 2017</w:t>
      </w:r>
      <w:r>
        <w:t xml:space="preserve">. </w:t>
      </w:r>
    </w:p>
    <w:p w:rsidR="00420A5B" w:rsidRDefault="00420A5B" w:rsidP="00BC50E8">
      <w:pPr>
        <w:pStyle w:val="ListBullet"/>
        <w:tabs>
          <w:tab w:val="clear" w:pos="284"/>
        </w:tabs>
        <w:spacing w:before="480" w:line="300" w:lineRule="exact"/>
        <w:rPr>
          <w:rFonts w:asciiTheme="majorHAnsi" w:eastAsiaTheme="majorEastAsia" w:hAnsiTheme="majorHAnsi" w:cstheme="majorBidi"/>
          <w:caps/>
          <w:color w:val="495965" w:themeColor="text2"/>
          <w:sz w:val="38"/>
          <w:szCs w:val="26"/>
          <w:lang w:val="en-GB" w:eastAsia="en-US"/>
        </w:rPr>
      </w:pPr>
    </w:p>
    <w:p w:rsidR="00420A5B" w:rsidRDefault="00420A5B" w:rsidP="00BC50E8">
      <w:pPr>
        <w:pStyle w:val="ListBullet"/>
        <w:tabs>
          <w:tab w:val="clear" w:pos="284"/>
        </w:tabs>
        <w:spacing w:before="480" w:line="300" w:lineRule="exact"/>
        <w:rPr>
          <w:rFonts w:asciiTheme="majorHAnsi" w:eastAsiaTheme="majorEastAsia" w:hAnsiTheme="majorHAnsi" w:cstheme="majorBidi"/>
          <w:caps/>
          <w:color w:val="495965" w:themeColor="text2"/>
          <w:sz w:val="38"/>
          <w:szCs w:val="26"/>
          <w:lang w:val="en-GB" w:eastAsia="en-US"/>
        </w:rPr>
      </w:pPr>
    </w:p>
    <w:p w:rsidR="00BC50E8" w:rsidRPr="00280CC1" w:rsidRDefault="00BC50E8" w:rsidP="00BC50E8">
      <w:pPr>
        <w:pStyle w:val="ListBullet"/>
        <w:tabs>
          <w:tab w:val="clear" w:pos="284"/>
        </w:tabs>
        <w:spacing w:before="480" w:line="300" w:lineRule="exact"/>
        <w:rPr>
          <w:rFonts w:asciiTheme="majorHAnsi" w:eastAsiaTheme="majorEastAsia" w:hAnsiTheme="majorHAnsi" w:cstheme="majorBidi"/>
          <w:caps/>
          <w:color w:val="495965" w:themeColor="text2"/>
          <w:sz w:val="38"/>
          <w:szCs w:val="26"/>
          <w:lang w:val="en-GB" w:eastAsia="en-US"/>
        </w:rPr>
      </w:pPr>
      <w:r w:rsidRPr="00280CC1">
        <w:rPr>
          <w:rFonts w:asciiTheme="majorHAnsi" w:eastAsiaTheme="majorEastAsia" w:hAnsiTheme="majorHAnsi" w:cstheme="majorBidi"/>
          <w:caps/>
          <w:color w:val="495965" w:themeColor="text2"/>
          <w:sz w:val="38"/>
          <w:szCs w:val="26"/>
          <w:lang w:val="en-GB" w:eastAsia="en-US"/>
        </w:rPr>
        <w:lastRenderedPageBreak/>
        <w:t xml:space="preserve">Objective 2: Increasing agricultural productivity and farmer incomes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822"/>
        <w:gridCol w:w="1810"/>
        <w:gridCol w:w="1689"/>
        <w:gridCol w:w="1689"/>
      </w:tblGrid>
      <w:tr w:rsidR="00BC50E8" w:rsidRPr="00280CC1" w:rsidTr="00FA2343">
        <w:tc>
          <w:tcPr>
            <w:tcW w:w="2016" w:type="dxa"/>
          </w:tcPr>
          <w:p w:rsidR="00BC50E8" w:rsidRPr="00280CC1" w:rsidRDefault="00BC50E8" w:rsidP="00FA2343">
            <w:pPr>
              <w:pStyle w:val="ListBullet"/>
              <w:tabs>
                <w:tab w:val="clear" w:pos="284"/>
              </w:tabs>
              <w:spacing w:before="80" w:after="80" w:line="240" w:lineRule="auto"/>
              <w:jc w:val="center"/>
              <w:rPr>
                <w:rFonts w:asciiTheme="majorHAnsi" w:eastAsiaTheme="majorEastAsia" w:hAnsiTheme="majorHAnsi" w:cstheme="majorBidi"/>
                <w:caps/>
                <w:color w:val="495965" w:themeColor="text2"/>
                <w:sz w:val="38"/>
                <w:szCs w:val="26"/>
                <w:lang w:val="en-GB" w:eastAsia="en-US"/>
              </w:rPr>
            </w:pPr>
            <w:r w:rsidRPr="00280CC1">
              <w:rPr>
                <w:rFonts w:asciiTheme="majorHAnsi" w:eastAsiaTheme="majorEastAsia" w:hAnsiTheme="majorHAnsi" w:cstheme="majorBidi"/>
                <w:caps/>
                <w:noProof/>
                <w:color w:val="495965" w:themeColor="text2"/>
                <w:sz w:val="38"/>
                <w:szCs w:val="26"/>
              </w:rPr>
              <w:drawing>
                <wp:inline distT="0" distB="0" distL="0" distR="0" wp14:anchorId="2C838A19" wp14:editId="4D55A232">
                  <wp:extent cx="1137600" cy="720000"/>
                  <wp:effectExtent l="0" t="0" r="5715" b="4445"/>
                  <wp:docPr id="49" name="Picture 49" title="Sustainable developmetn go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8">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822" w:type="dxa"/>
          </w:tcPr>
          <w:p w:rsidR="00BC50E8" w:rsidRPr="00280CC1" w:rsidRDefault="00BC50E8" w:rsidP="00FA2343">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sidRPr="00280CC1">
              <w:rPr>
                <w:noProof/>
              </w:rPr>
              <w:drawing>
                <wp:inline distT="0" distB="0" distL="0" distR="0" wp14:anchorId="693C2C15" wp14:editId="44740C40">
                  <wp:extent cx="612000" cy="612000"/>
                  <wp:effectExtent l="0" t="0" r="0" b="0"/>
                  <wp:docPr id="58" name="Picture 58" title="2: zero hu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810" w:type="dxa"/>
          </w:tcPr>
          <w:p w:rsidR="00BC50E8" w:rsidRPr="00D613B4" w:rsidRDefault="00BC50E8" w:rsidP="00FA2343">
            <w:pPr>
              <w:pStyle w:val="ListBullet"/>
              <w:tabs>
                <w:tab w:val="clear" w:pos="284"/>
              </w:tabs>
              <w:spacing w:before="160" w:after="80" w:line="240" w:lineRule="auto"/>
              <w:jc w:val="center"/>
              <w:rPr>
                <w:rFonts w:asciiTheme="majorHAnsi" w:eastAsiaTheme="majorEastAsia" w:hAnsiTheme="majorHAnsi" w:cstheme="majorBidi"/>
                <w:b/>
                <w:caps/>
                <w:color w:val="495965" w:themeColor="text2"/>
                <w:sz w:val="38"/>
                <w:szCs w:val="26"/>
                <w:lang w:val="en-GB" w:eastAsia="en-US"/>
              </w:rPr>
            </w:pPr>
            <w:r>
              <w:rPr>
                <w:noProof/>
              </w:rPr>
              <w:drawing>
                <wp:inline distT="0" distB="0" distL="0" distR="0" wp14:anchorId="3306DF4C" wp14:editId="29B13D9A">
                  <wp:extent cx="612000" cy="612000"/>
                  <wp:effectExtent l="0" t="0" r="0" b="0"/>
                  <wp:docPr id="23" name="Picture 23" title="13: climate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689" w:type="dxa"/>
          </w:tcPr>
          <w:p w:rsidR="00BC50E8" w:rsidRPr="00280CC1" w:rsidRDefault="00BC50E8" w:rsidP="00FA2343">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p>
        </w:tc>
        <w:tc>
          <w:tcPr>
            <w:tcW w:w="1689" w:type="dxa"/>
          </w:tcPr>
          <w:p w:rsidR="00BC50E8" w:rsidRPr="00280CC1" w:rsidRDefault="00BC50E8" w:rsidP="00FA2343">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p>
        </w:tc>
      </w:tr>
    </w:tbl>
    <w:p w:rsidR="00BC50E8" w:rsidRPr="00E41C03" w:rsidRDefault="00BC50E8" w:rsidP="00BC50E8">
      <w:pPr>
        <w:ind w:right="-329"/>
      </w:pPr>
      <w:r w:rsidRPr="00E41C03">
        <w:t xml:space="preserve">Under Objective </w:t>
      </w:r>
      <w:r w:rsidR="00AC6999">
        <w:t>Two</w:t>
      </w:r>
      <w:r w:rsidRPr="00E41C03">
        <w:t xml:space="preserve">, the </w:t>
      </w:r>
      <w:r w:rsidRPr="00E41C03">
        <w:rPr>
          <w:b/>
          <w:bCs/>
        </w:rPr>
        <w:t>Cambodia Agriculture Value Cha</w:t>
      </w:r>
      <w:r w:rsidR="00BB199C">
        <w:rPr>
          <w:b/>
          <w:bCs/>
        </w:rPr>
        <w:t>in</w:t>
      </w:r>
      <w:r w:rsidRPr="00E41C03">
        <w:rPr>
          <w:b/>
          <w:bCs/>
        </w:rPr>
        <w:t xml:space="preserve"> Program Phase 2</w:t>
      </w:r>
      <w:r w:rsidRPr="00E41C03">
        <w:t xml:space="preserve"> (CAVAC II) and </w:t>
      </w:r>
      <w:r w:rsidRPr="00E41C03">
        <w:rPr>
          <w:b/>
          <w:bCs/>
        </w:rPr>
        <w:t>Clearing for Results Phase 3</w:t>
      </w:r>
      <w:r w:rsidRPr="00E41C03">
        <w:t xml:space="preserve"> (CfR</w:t>
      </w:r>
      <w:r w:rsidR="0006552E">
        <w:t xml:space="preserve"> </w:t>
      </w:r>
      <w:r w:rsidRPr="00E41C03">
        <w:t>III) have achieved strong results, improving incomes for small holder farmers and exceeding targets for clearing land mine areas</w:t>
      </w:r>
      <w:r w:rsidR="001D6147">
        <w:t xml:space="preserve">. This objective </w:t>
      </w:r>
      <w:r w:rsidRPr="00E41C03">
        <w:t xml:space="preserve">is </w:t>
      </w:r>
      <w:r w:rsidR="001D6147">
        <w:t xml:space="preserve">therefore </w:t>
      </w:r>
      <w:r w:rsidRPr="00E41C03">
        <w:t>rated</w:t>
      </w:r>
      <w:r w:rsidRPr="00E41C03">
        <w:rPr>
          <w:u w:val="single"/>
        </w:rPr>
        <w:t xml:space="preserve"> green</w:t>
      </w:r>
      <w:r w:rsidRPr="00E41C03">
        <w:t>.</w:t>
      </w:r>
    </w:p>
    <w:p w:rsidR="00BC50E8" w:rsidRPr="00E41C03" w:rsidRDefault="00BC50E8" w:rsidP="00BC50E8">
      <w:pPr>
        <w:ind w:right="-329"/>
      </w:pPr>
      <w:r w:rsidRPr="00E41C03">
        <w:t xml:space="preserve">Despite its decreasing share of the economy (now </w:t>
      </w:r>
      <w:r w:rsidR="00540F56">
        <w:t>24.7</w:t>
      </w:r>
      <w:r w:rsidR="002B2119" w:rsidRPr="00E41C03">
        <w:t xml:space="preserve"> </w:t>
      </w:r>
      <w:r w:rsidRPr="00E41C03">
        <w:t xml:space="preserve">per cent of total GDP in </w:t>
      </w:r>
      <w:r w:rsidR="00540F56">
        <w:t>2017</w:t>
      </w:r>
      <w:r w:rsidRPr="00E41C03">
        <w:t xml:space="preserve">, down from </w:t>
      </w:r>
      <w:r w:rsidR="00540F56">
        <w:t>33.5</w:t>
      </w:r>
      <w:r w:rsidR="00540F56" w:rsidRPr="00E41C03">
        <w:t xml:space="preserve"> </w:t>
      </w:r>
      <w:r w:rsidRPr="00E41C03">
        <w:t xml:space="preserve">per cent in </w:t>
      </w:r>
      <w:r w:rsidR="000E2065">
        <w:t>the last five year</w:t>
      </w:r>
      <w:r w:rsidR="007F0A01">
        <w:t>s</w:t>
      </w:r>
      <w:r w:rsidR="000B0D28">
        <w:t>)</w:t>
      </w:r>
      <w:r w:rsidR="007F0A01">
        <w:t>, the agricultural</w:t>
      </w:r>
      <w:r w:rsidRPr="00E41C03">
        <w:t xml:space="preserve"> sector remains a significant source of livelihoods for some of Cambodia’s poorest and most marginalised people. According to the </w:t>
      </w:r>
      <w:r w:rsidR="005144D8">
        <w:t>Cambodian Gov</w:t>
      </w:r>
      <w:r w:rsidR="00BE73DF">
        <w:t>e</w:t>
      </w:r>
      <w:r w:rsidR="005144D8">
        <w:t>rnment</w:t>
      </w:r>
      <w:r w:rsidRPr="00E41C03">
        <w:t xml:space="preserve">, </w:t>
      </w:r>
      <w:r w:rsidR="005144D8">
        <w:t>4</w:t>
      </w:r>
      <w:r w:rsidRPr="00E41C03">
        <w:t>2 per cent of Cambodia</w:t>
      </w:r>
      <w:r w:rsidR="00C15AAB">
        <w:t>n</w:t>
      </w:r>
      <w:r w:rsidRPr="00E41C03">
        <w:t>s</w:t>
      </w:r>
      <w:r w:rsidR="005144D8">
        <w:t xml:space="preserve"> </w:t>
      </w:r>
      <w:r w:rsidRPr="00E41C03">
        <w:t>rely on agriculture for employment or income. However, this is down from 73 per cent in 2008</w:t>
      </w:r>
      <w:r w:rsidR="000B0D28">
        <w:t xml:space="preserve"> — </w:t>
      </w:r>
      <w:r w:rsidR="006F0FE6">
        <w:t>a dramatic change</w:t>
      </w:r>
      <w:r w:rsidRPr="00E41C03">
        <w:t>. These figures underscore the rapid transformation in rural areas as farmers leave the land to seek cash incomes elsewhere in Cambodia and neighbouring countries. While this transformation provides opportunities for farming households, it also threatens t</w:t>
      </w:r>
      <w:r w:rsidR="007F0A01">
        <w:t>he resilience of the agricultural</w:t>
      </w:r>
      <w:r w:rsidRPr="00E41C03">
        <w:t xml:space="preserve"> sector. Beyond labour shortages caused by rural-to-urban migration, other threats to resilience include: inadequate irrigation infrastructure, limited utilisation of new technologies, land market changes, export market </w:t>
      </w:r>
      <w:r w:rsidR="003D5479">
        <w:t xml:space="preserve">price </w:t>
      </w:r>
      <w:r w:rsidRPr="00E41C03">
        <w:t>volatility and climate change.</w:t>
      </w:r>
    </w:p>
    <w:p w:rsidR="0000377B" w:rsidRDefault="00BC50E8" w:rsidP="00685F54">
      <w:pPr>
        <w:ind w:right="-329"/>
      </w:pPr>
      <w:r w:rsidRPr="00E41C03">
        <w:rPr>
          <w:b/>
        </w:rPr>
        <w:t>Cambodia Agriculture Value Cha</w:t>
      </w:r>
      <w:r w:rsidR="00BB199C">
        <w:rPr>
          <w:b/>
        </w:rPr>
        <w:t>in</w:t>
      </w:r>
      <w:r w:rsidRPr="00E41C03">
        <w:rPr>
          <w:b/>
        </w:rPr>
        <w:t xml:space="preserve"> Program Phase 2</w:t>
      </w:r>
      <w:r w:rsidRPr="00E41C03">
        <w:t xml:space="preserve"> (CAVAC II, $82.4 million, 2016 </w:t>
      </w:r>
      <w:r w:rsidR="0006552E">
        <w:t>-</w:t>
      </w:r>
      <w:r w:rsidRPr="00E41C03">
        <w:t>2021), in its second year, responded effectively to these challenges. The program delivers irrigation infrastructure and knowledge to smallholder farmers to improve productivity and encourage crop</w:t>
      </w:r>
      <w:r w:rsidR="001A2BF9">
        <w:t xml:space="preserve"> diversification with the aim of improving</w:t>
      </w:r>
      <w:r w:rsidRPr="00E41C03">
        <w:t xml:space="preserve"> household incomes. The building of irrigation schemes </w:t>
      </w:r>
      <w:r w:rsidR="00C84FE2">
        <w:t>wa</w:t>
      </w:r>
      <w:r w:rsidR="00C84FE2" w:rsidRPr="00E41C03">
        <w:t xml:space="preserve">s </w:t>
      </w:r>
      <w:r w:rsidRPr="00E41C03">
        <w:t xml:space="preserve">on schedule, with an additional </w:t>
      </w:r>
      <w:r w:rsidR="000B0D28">
        <w:t>two</w:t>
      </w:r>
      <w:r w:rsidR="000B0D28" w:rsidRPr="00E41C03">
        <w:t xml:space="preserve"> </w:t>
      </w:r>
      <w:r w:rsidRPr="00E41C03">
        <w:t xml:space="preserve">schemes completed in the reporting period (making </w:t>
      </w:r>
      <w:r w:rsidR="006F0FE6">
        <w:t>a</w:t>
      </w:r>
      <w:r w:rsidRPr="00E41C03">
        <w:t xml:space="preserve"> total</w:t>
      </w:r>
      <w:r w:rsidR="006F0FE6">
        <w:t xml:space="preserve"> of</w:t>
      </w:r>
      <w:r w:rsidRPr="00E41C03">
        <w:t xml:space="preserve"> </w:t>
      </w:r>
      <w:r w:rsidR="000B0D28">
        <w:t xml:space="preserve">eight </w:t>
      </w:r>
      <w:r w:rsidR="006F0FE6">
        <w:t xml:space="preserve">completed </w:t>
      </w:r>
      <w:r w:rsidRPr="00E41C03">
        <w:t>schemes). CAVAC II estimates these two new schemes cover 3,086 hectares</w:t>
      </w:r>
      <w:r w:rsidR="006F0FE6">
        <w:t xml:space="preserve"> of agricultural land</w:t>
      </w:r>
      <w:r w:rsidRPr="00E41C03">
        <w:t xml:space="preserve">. </w:t>
      </w:r>
      <w:r w:rsidR="0000377B">
        <w:t>In 2017-18, 4,121</w:t>
      </w:r>
      <w:r w:rsidR="00D075E4">
        <w:t xml:space="preserve"> households</w:t>
      </w:r>
      <w:r w:rsidRPr="00E41C03">
        <w:t xml:space="preserve"> gained access to ir</w:t>
      </w:r>
      <w:r w:rsidR="00D075E4">
        <w:t>rigation, assisting</w:t>
      </w:r>
      <w:r w:rsidRPr="00E41C03">
        <w:t xml:space="preserve"> farmers to produce up to three crops </w:t>
      </w:r>
      <w:r w:rsidR="001A2BF9">
        <w:t>a year where they could</w:t>
      </w:r>
      <w:r w:rsidRPr="00E41C03">
        <w:t xml:space="preserve"> only produce one crop under rain</w:t>
      </w:r>
      <w:r w:rsidR="006F0FE6">
        <w:t>-</w:t>
      </w:r>
      <w:r w:rsidRPr="00E41C03">
        <w:t>fed metho</w:t>
      </w:r>
      <w:r w:rsidR="00D075E4">
        <w:t xml:space="preserve">ds. CAVAC II estimates this </w:t>
      </w:r>
      <w:r w:rsidRPr="00E41C03">
        <w:t>resulted in an additional 28,769 ton</w:t>
      </w:r>
      <w:r w:rsidR="0015382B">
        <w:t>ne</w:t>
      </w:r>
      <w:r w:rsidR="001A2BF9">
        <w:t>s</w:t>
      </w:r>
      <w:r w:rsidRPr="00E41C03">
        <w:t xml:space="preserve"> of padd</w:t>
      </w:r>
      <w:r w:rsidR="001A2BF9">
        <w:t>y rice production - which is 99 per cent</w:t>
      </w:r>
      <w:r w:rsidRPr="00E41C03">
        <w:t xml:space="preserve"> of the annual performance benchmark. </w:t>
      </w:r>
    </w:p>
    <w:p w:rsidR="00893F7A" w:rsidRPr="004F0830" w:rsidRDefault="00BC50E8" w:rsidP="00893F7A">
      <w:pPr>
        <w:ind w:right="-329"/>
      </w:pPr>
      <w:r w:rsidRPr="00E41C03">
        <w:t>To drive gender equality</w:t>
      </w:r>
      <w:r w:rsidR="006F0FE6">
        <w:t xml:space="preserve"> outcomes</w:t>
      </w:r>
      <w:r w:rsidRPr="00E41C03">
        <w:t xml:space="preserve">, CAVAC II completed case studies to explore how the lives of female farmers were transformed after a CAVAC II irrigation scheme was established. </w:t>
      </w:r>
      <w:r w:rsidR="00122CB7">
        <w:t>Qualitative f</w:t>
      </w:r>
      <w:r w:rsidRPr="00E41C03">
        <w:t>indings show that access to irrigated</w:t>
      </w:r>
      <w:r w:rsidR="00E65776">
        <w:t xml:space="preserve"> water</w:t>
      </w:r>
      <w:r w:rsidRPr="00E41C03">
        <w:t xml:space="preserve"> in CAVAC</w:t>
      </w:r>
      <w:r w:rsidR="00472DED">
        <w:t xml:space="preserve"> II</w:t>
      </w:r>
      <w:r w:rsidRPr="00E41C03">
        <w:t xml:space="preserve"> schemes enabled female farmers to significantly increase their incomes, with measurable impacts on the wellbeing of their families. Case studies found that CAVAC II’s irrigation development also promoted positive social attitudes towards wom</w:t>
      </w:r>
      <w:r w:rsidR="0092138A">
        <w:t>e</w:t>
      </w:r>
      <w:r w:rsidRPr="00E41C03">
        <w:t>n as leaders in F</w:t>
      </w:r>
      <w:r w:rsidR="0000377B">
        <w:t>WUCs</w:t>
      </w:r>
      <w:r w:rsidRPr="00E41C03">
        <w:t xml:space="preserve"> set up to operate and maintain irrigation scheme</w:t>
      </w:r>
      <w:r w:rsidR="003D5479">
        <w:t>s</w:t>
      </w:r>
      <w:r w:rsidRPr="00E41C03">
        <w:t xml:space="preserve">. </w:t>
      </w:r>
      <w:r w:rsidR="00893F7A">
        <w:t xml:space="preserve">A further five </w:t>
      </w:r>
      <w:r w:rsidR="00893F7A" w:rsidRPr="004F0830">
        <w:t xml:space="preserve">Women’s Economic Empowerment case studies </w:t>
      </w:r>
      <w:r w:rsidR="00893F7A">
        <w:t>have</w:t>
      </w:r>
      <w:r w:rsidR="00893F7A" w:rsidRPr="004F0830">
        <w:t xml:space="preserve"> bee</w:t>
      </w:r>
      <w:r w:rsidR="00E65776">
        <w:t xml:space="preserve">n developed </w:t>
      </w:r>
      <w:r w:rsidR="00893F7A">
        <w:t xml:space="preserve">on </w:t>
      </w:r>
      <w:r w:rsidR="00893F7A" w:rsidRPr="004F0830">
        <w:t>yield</w:t>
      </w:r>
      <w:r w:rsidR="00893F7A">
        <w:t xml:space="preserve"> increases</w:t>
      </w:r>
      <w:r w:rsidR="00893F7A" w:rsidRPr="004F0830">
        <w:t xml:space="preserve">, </w:t>
      </w:r>
      <w:r w:rsidR="00893F7A">
        <w:t>better knowledge of agriculture inputs, women’s leadership of agricultural cooperatives</w:t>
      </w:r>
      <w:r w:rsidR="00D075E4">
        <w:t>,</w:t>
      </w:r>
      <w:r w:rsidR="00893F7A">
        <w:t xml:space="preserve"> and </w:t>
      </w:r>
      <w:r w:rsidR="00893F7A" w:rsidRPr="004F0830">
        <w:t>mechanisation</w:t>
      </w:r>
      <w:r w:rsidR="00893F7A">
        <w:t>—highlight</w:t>
      </w:r>
      <w:r w:rsidR="00E65776">
        <w:t>ing</w:t>
      </w:r>
      <w:r w:rsidR="00893F7A">
        <w:t xml:space="preserve"> the</w:t>
      </w:r>
      <w:r w:rsidR="00893F7A" w:rsidRPr="004F0830">
        <w:t xml:space="preserve"> positive impact</w:t>
      </w:r>
      <w:r w:rsidR="00893F7A">
        <w:t xml:space="preserve"> agricultural modernisation can have on</w:t>
      </w:r>
      <w:r w:rsidR="00893F7A" w:rsidRPr="004F0830">
        <w:t xml:space="preserve"> </w:t>
      </w:r>
      <w:r w:rsidR="00893F7A">
        <w:t xml:space="preserve">women’s livelihoods. </w:t>
      </w:r>
    </w:p>
    <w:p w:rsidR="00685F54" w:rsidRPr="00E41C03" w:rsidRDefault="00685F54" w:rsidP="00685F54">
      <w:pPr>
        <w:ind w:right="-329"/>
      </w:pPr>
      <w:r w:rsidRPr="00E41C03">
        <w:t xml:space="preserve">CAVAC II </w:t>
      </w:r>
      <w:r w:rsidR="00873DCC">
        <w:t>is playing</w:t>
      </w:r>
      <w:r w:rsidRPr="00E41C03">
        <w:t xml:space="preserve"> an important role to help address acute and growing labour shortage in rural areas. This </w:t>
      </w:r>
      <w:r w:rsidR="00873DCC">
        <w:t xml:space="preserve">is being </w:t>
      </w:r>
      <w:r w:rsidRPr="00E41C03">
        <w:t xml:space="preserve">done by stimulating markets for mechanised farming equipment, which in turn is supporting social stability and the viability of locally-owned smallholder plots. </w:t>
      </w:r>
      <w:r w:rsidR="00873DCC">
        <w:t>For example</w:t>
      </w:r>
      <w:r w:rsidRPr="00E41C03">
        <w:t xml:space="preserve">, CAVAC II </w:t>
      </w:r>
      <w:r w:rsidR="00873DCC">
        <w:t xml:space="preserve">is helping to create a market for </w:t>
      </w:r>
      <w:r w:rsidRPr="00E41C03">
        <w:t>Eli Seed Planters. This high</w:t>
      </w:r>
      <w:r>
        <w:t>ly</w:t>
      </w:r>
      <w:r w:rsidRPr="00E41C03">
        <w:t>-innovative, Cambodia-invented technology saves labour, reduces the rice seeding rate from 300</w:t>
      </w:r>
      <w:r>
        <w:t>kg</w:t>
      </w:r>
      <w:r w:rsidRPr="00E41C03">
        <w:t xml:space="preserve"> to 100 kg per hectare</w:t>
      </w:r>
      <w:r w:rsidR="00873DCC">
        <w:t>,</w:t>
      </w:r>
      <w:r w:rsidRPr="00E41C03">
        <w:t xml:space="preserve"> and improves germination vigour and yield. CAVAC II’s promotion of this technology contributed to the</w:t>
      </w:r>
      <w:r w:rsidR="00DD5613">
        <w:t xml:space="preserve"> design</w:t>
      </w:r>
      <w:r w:rsidRPr="00E41C03">
        <w:t xml:space="preserve"> </w:t>
      </w:r>
      <w:r w:rsidR="00873DCC">
        <w:t xml:space="preserve">winning </w:t>
      </w:r>
      <w:r w:rsidR="00880F7D">
        <w:t xml:space="preserve">a </w:t>
      </w:r>
      <w:r w:rsidRPr="00E41C03">
        <w:t xml:space="preserve">prestigious </w:t>
      </w:r>
      <w:r w:rsidRPr="00E41C03">
        <w:rPr>
          <w:i/>
        </w:rPr>
        <w:t>Patents for Humanity</w:t>
      </w:r>
      <w:r w:rsidRPr="00E41C03">
        <w:t xml:space="preserve"> award</w:t>
      </w:r>
      <w:r w:rsidR="00F53EB0">
        <w:t>.</w:t>
      </w:r>
      <w:r w:rsidR="00880F7D">
        <w:rPr>
          <w:rStyle w:val="FootnoteReference"/>
        </w:rPr>
        <w:footnoteReference w:id="4"/>
      </w:r>
      <w:r w:rsidRPr="00E41C03">
        <w:t xml:space="preserve">  </w:t>
      </w:r>
    </w:p>
    <w:p w:rsidR="00BC50E8" w:rsidRPr="00E41C03" w:rsidRDefault="00BC50E8" w:rsidP="00BC50E8">
      <w:pPr>
        <w:ind w:right="-329"/>
      </w:pPr>
      <w:r w:rsidRPr="00F5492C">
        <w:t xml:space="preserve">CAVAC II </w:t>
      </w:r>
      <w:r w:rsidR="00685F54" w:rsidRPr="00F5492C">
        <w:t xml:space="preserve">is </w:t>
      </w:r>
      <w:r w:rsidRPr="00F5492C">
        <w:t>play</w:t>
      </w:r>
      <w:r w:rsidR="00685F54" w:rsidRPr="00F5492C">
        <w:t>ing</w:t>
      </w:r>
      <w:r w:rsidRPr="00F5492C">
        <w:t xml:space="preserve"> a critical convening role to help Cambodia maintain access to the European Union (EU) rice market, which accounts for about 48 per cent of total rice exports. The program </w:t>
      </w:r>
      <w:r w:rsidR="00685F54" w:rsidRPr="00F5492C">
        <w:t xml:space="preserve">is </w:t>
      </w:r>
      <w:r w:rsidR="005F5629" w:rsidRPr="00F5492C">
        <w:t xml:space="preserve">providing technical assistance and brokering high-level discussions </w:t>
      </w:r>
      <w:r w:rsidRPr="00F5492C">
        <w:t>to respond to an EU ban on a fungicide residue widely used in Cambodia</w:t>
      </w:r>
      <w:r w:rsidR="00DD5613" w:rsidRPr="00F5492C">
        <w:t xml:space="preserve"> </w:t>
      </w:r>
      <w:r w:rsidR="00D075E4">
        <w:t>—</w:t>
      </w:r>
      <w:r w:rsidR="00DD5613" w:rsidRPr="00F5492C">
        <w:t>ensuring</w:t>
      </w:r>
      <w:r w:rsidRPr="00F5492C">
        <w:t xml:space="preserve"> </w:t>
      </w:r>
      <w:r w:rsidR="00685F54" w:rsidRPr="00F5492C">
        <w:t xml:space="preserve">the </w:t>
      </w:r>
      <w:r w:rsidRPr="00F5492C">
        <w:t xml:space="preserve">economic resilience of the rice sector and </w:t>
      </w:r>
      <w:r w:rsidR="00DD5613" w:rsidRPr="00F5492C">
        <w:t>the</w:t>
      </w:r>
      <w:r w:rsidR="00685F54" w:rsidRPr="00F5492C">
        <w:t xml:space="preserve"> diversity of export ma</w:t>
      </w:r>
      <w:r w:rsidR="00DD5613" w:rsidRPr="00F5492C">
        <w:t>rkets for Cambodian farmers</w:t>
      </w:r>
      <w:r w:rsidRPr="00F5492C">
        <w:t>.</w:t>
      </w:r>
      <w:r w:rsidR="00685F54">
        <w:t xml:space="preserve"> </w:t>
      </w:r>
    </w:p>
    <w:p w:rsidR="00BC50E8" w:rsidRDefault="00BC50E8" w:rsidP="00BC50E8">
      <w:pPr>
        <w:ind w:right="-329"/>
      </w:pPr>
      <w:r w:rsidRPr="00E41C03">
        <w:lastRenderedPageBreak/>
        <w:t xml:space="preserve">CAVAC II </w:t>
      </w:r>
      <w:r w:rsidR="00685F54">
        <w:t xml:space="preserve">also </w:t>
      </w:r>
      <w:r w:rsidRPr="00E41C03">
        <w:t xml:space="preserve">established 19 </w:t>
      </w:r>
      <w:r w:rsidR="00685F54">
        <w:t xml:space="preserve">new partnership agreements to boost </w:t>
      </w:r>
      <w:r w:rsidR="00926E60">
        <w:t xml:space="preserve">trade and smallholder farmer income through </w:t>
      </w:r>
      <w:r w:rsidR="004C04FD">
        <w:t>private sector</w:t>
      </w:r>
      <w:r w:rsidR="00685F54">
        <w:t xml:space="preserve"> engagement in agriculture</w:t>
      </w:r>
      <w:r w:rsidR="00987CF7">
        <w:t>, exceeding our target</w:t>
      </w:r>
      <w:r w:rsidRPr="00E41C03">
        <w:t>. For example, CAVAC II assisted Camfood (a local chilli sauce processor) to obtain a Hazard Analysis and Critic</w:t>
      </w:r>
      <w:r w:rsidR="00D075E4">
        <w:t>al Control Points certification, enabling</w:t>
      </w:r>
      <w:r w:rsidRPr="00E41C03">
        <w:t xml:space="preserve"> the company to export its products overseas, especially to the EU market. </w:t>
      </w:r>
    </w:p>
    <w:p w:rsidR="00893F7A" w:rsidRPr="00E41C03" w:rsidRDefault="00893F7A" w:rsidP="00BC50E8">
      <w:pPr>
        <w:ind w:right="-329"/>
      </w:pPr>
      <w:r>
        <w:t xml:space="preserve">A reduction to the </w:t>
      </w:r>
      <w:r w:rsidR="00F53EB0">
        <w:t xml:space="preserve">bilateral </w:t>
      </w:r>
      <w:r>
        <w:t xml:space="preserve">Australian aid program </w:t>
      </w:r>
      <w:r w:rsidR="00F53EB0">
        <w:t xml:space="preserve">in </w:t>
      </w:r>
      <w:r>
        <w:t xml:space="preserve">Cambodia for 2018-19 will have an impact on CAVAC II. In response, DFAT is working with CAVAC </w:t>
      </w:r>
      <w:r w:rsidR="00F53EB0">
        <w:t xml:space="preserve">II </w:t>
      </w:r>
      <w:r>
        <w:t xml:space="preserve">to minimise the impact </w:t>
      </w:r>
      <w:r w:rsidR="004F6EF4">
        <w:t>on</w:t>
      </w:r>
      <w:r>
        <w:t xml:space="preserve"> program outcomes, while still maintaining good relationships with key stakeholders. </w:t>
      </w:r>
    </w:p>
    <w:p w:rsidR="00BC50E8" w:rsidRPr="00E41C03" w:rsidRDefault="00BC50E8" w:rsidP="00BC50E8">
      <w:pPr>
        <w:ind w:right="-329"/>
      </w:pPr>
      <w:r w:rsidRPr="00E41C03">
        <w:rPr>
          <w:b/>
        </w:rPr>
        <w:t>Clearing for Results Phase 3</w:t>
      </w:r>
      <w:r w:rsidRPr="00E41C03">
        <w:t xml:space="preserve"> (CfR-III, $9.0 million, 2016</w:t>
      </w:r>
      <w:r w:rsidR="0006552E">
        <w:t>-</w:t>
      </w:r>
      <w:r w:rsidRPr="00E41C03">
        <w:t>2019), is the current phase of our long-running support for mine action in Cambodia. This UNDP-led program improved its performance considerably in 2017 and is no longer an Investment Requiring Improvement. In the reporting period, the project was instrumental in assist</w:t>
      </w:r>
      <w:r w:rsidR="005D42F7">
        <w:t>ing</w:t>
      </w:r>
      <w:r w:rsidRPr="00E41C03">
        <w:t xml:space="preserve"> the Cambodian Government to develop its new Mine Action Strategy 2018-25. The Strategy will guide the Cambodia</w:t>
      </w:r>
      <w:r w:rsidR="005D42F7">
        <w:t>n</w:t>
      </w:r>
      <w:r w:rsidRPr="00E41C03">
        <w:t xml:space="preserve"> Government and its partners to reduce landmine injuries and deaths and increase availability of land for housing, agriculture and other productive uses. In 2017, the project continued to exceed landmine clearance targets (6.75 </w:t>
      </w:r>
      <w:r w:rsidR="00BE73DF">
        <w:t>km</w:t>
      </w:r>
      <w:r w:rsidR="00BE73DF" w:rsidRPr="0006552E">
        <w:rPr>
          <w:vertAlign w:val="superscript"/>
        </w:rPr>
        <w:t>2</w:t>
      </w:r>
      <w:r w:rsidRPr="00E41C03">
        <w:t xml:space="preserve">): it cleared and released </w:t>
      </w:r>
      <w:r w:rsidR="0077682D">
        <w:t>22</w:t>
      </w:r>
      <w:r w:rsidRPr="00E41C03">
        <w:t xml:space="preserve"> </w:t>
      </w:r>
      <w:r w:rsidR="00BE73DF">
        <w:t>km</w:t>
      </w:r>
      <w:r w:rsidR="00BE73DF" w:rsidRPr="0006552E">
        <w:rPr>
          <w:vertAlign w:val="superscript"/>
        </w:rPr>
        <w:t>2</w:t>
      </w:r>
      <w:r w:rsidR="00BE73DF">
        <w:t xml:space="preserve"> </w:t>
      </w:r>
      <w:r w:rsidRPr="00E41C03">
        <w:t>using traditional survey and land release method</w:t>
      </w:r>
      <w:r w:rsidR="005D42F7">
        <w:t>s</w:t>
      </w:r>
      <w:r w:rsidRPr="00E41C03">
        <w:t xml:space="preserve">. </w:t>
      </w:r>
      <w:r w:rsidR="008409B1">
        <w:t xml:space="preserve">Clearing of this land has allowed people living in the target area to use it for farming without fear of danger. </w:t>
      </w:r>
      <w:r w:rsidRPr="00E41C03">
        <w:t>According to UNDP, the combination of these methods makes landmine clearance under CfR-III some of the most cost-effective in the world</w:t>
      </w:r>
      <w:r w:rsidR="00C44213">
        <w:t>, establishing Cambodia as a role model</w:t>
      </w:r>
      <w:r w:rsidR="005D42F7">
        <w:t xml:space="preserve"> in this field</w:t>
      </w:r>
      <w:r w:rsidRPr="00E41C03">
        <w:t xml:space="preserve">.  </w:t>
      </w:r>
    </w:p>
    <w:p w:rsidR="00BC50E8" w:rsidRPr="008E5BDB" w:rsidRDefault="00BC50E8" w:rsidP="00BC50E8">
      <w:pPr>
        <w:rPr>
          <w:color w:val="auto"/>
          <w:lang w:val="en-US"/>
        </w:rPr>
      </w:pPr>
      <w:r w:rsidRPr="00E41C03">
        <w:t xml:space="preserve">The </w:t>
      </w:r>
      <w:r w:rsidRPr="00E41C03">
        <w:rPr>
          <w:b/>
        </w:rPr>
        <w:t>Australian Centre for International Agricultural Research</w:t>
      </w:r>
      <w:r w:rsidRPr="00E41C03">
        <w:t xml:space="preserve"> (ACIAR, $</w:t>
      </w:r>
      <w:r w:rsidR="00B937B9">
        <w:t>3</w:t>
      </w:r>
      <w:r w:rsidRPr="00E41C03">
        <w:t xml:space="preserve"> million in 2017-18) continues t</w:t>
      </w:r>
      <w:r w:rsidR="004C04FD">
        <w:t xml:space="preserve">o work collaboratively with </w:t>
      </w:r>
      <w:r w:rsidRPr="00E41C03">
        <w:t xml:space="preserve">Cambodian research partners on sustainable intensification and diversification of agriculture and aquaculture. </w:t>
      </w:r>
      <w:r w:rsidR="008E5BDB">
        <w:rPr>
          <w:lang w:val="en-US"/>
        </w:rPr>
        <w:t>In 2017-18, research work assist</w:t>
      </w:r>
      <w:r w:rsidR="00DD5613">
        <w:rPr>
          <w:lang w:val="en-US"/>
        </w:rPr>
        <w:t>ed</w:t>
      </w:r>
      <w:r w:rsidR="008E5BDB">
        <w:rPr>
          <w:lang w:val="en-US"/>
        </w:rPr>
        <w:t xml:space="preserve"> rain-fed lowland rice farmers with varying degrees of access to irrigation water. Mungbean, peanuts and maize have been identified to be suitable to be grown between wet season rice. Optimum methods of land preparation, time of planting, crop spacing and fertilizer application were also identified. One key research finding is that the inclusion of these non-rice crops in crop rotation increases the yield of rice in the wet season. </w:t>
      </w:r>
    </w:p>
    <w:p w:rsidR="00355994" w:rsidRDefault="00C307A2" w:rsidP="008E5BDB">
      <w:r>
        <w:t xml:space="preserve">Further information on ACIAR’s Cambodia program can be found on </w:t>
      </w:r>
      <w:r w:rsidR="00D075E4">
        <w:rPr>
          <w:color w:val="495965"/>
        </w:rPr>
        <w:t>its</w:t>
      </w:r>
      <w:r w:rsidRPr="00D876E3">
        <w:rPr>
          <w:color w:val="495965"/>
        </w:rPr>
        <w:t xml:space="preserve"> </w:t>
      </w:r>
      <w:hyperlink r:id="rId24" w:history="1">
        <w:r w:rsidRPr="00D876E3">
          <w:rPr>
            <w:rStyle w:val="Hyperlink"/>
            <w:rFonts w:cstheme="minorBidi"/>
            <w:color w:val="495965"/>
          </w:rPr>
          <w:t>website</w:t>
        </w:r>
      </w:hyperlink>
      <w:r>
        <w:t>.</w:t>
      </w:r>
      <w:r>
        <w:rPr>
          <w:rStyle w:val="FootnoteReference"/>
        </w:rPr>
        <w:footnoteReference w:id="5"/>
      </w:r>
      <w:r w:rsidR="00BC50E8" w:rsidRPr="00E41C03">
        <w:t xml:space="preserve"> </w:t>
      </w:r>
    </w:p>
    <w:p w:rsidR="00AC438F" w:rsidRPr="00280CC1" w:rsidRDefault="00FA2343" w:rsidP="00AC438F">
      <w:pPr>
        <w:pStyle w:val="ListBullet"/>
        <w:tabs>
          <w:tab w:val="clear" w:pos="284"/>
        </w:tabs>
        <w:spacing w:before="480" w:line="300" w:lineRule="exact"/>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color w:val="495965" w:themeColor="text2"/>
          <w:sz w:val="38"/>
          <w:szCs w:val="26"/>
          <w:lang w:val="en-GB" w:eastAsia="en-US"/>
        </w:rPr>
        <w:t>Objective 3</w:t>
      </w:r>
      <w:r w:rsidRPr="00280CC1">
        <w:rPr>
          <w:rFonts w:asciiTheme="majorHAnsi" w:eastAsiaTheme="majorEastAsia" w:hAnsiTheme="majorHAnsi" w:cstheme="majorBidi"/>
          <w:caps/>
          <w:color w:val="495965" w:themeColor="text2"/>
          <w:sz w:val="38"/>
          <w:szCs w:val="26"/>
          <w:lang w:val="en-GB" w:eastAsia="en-US"/>
        </w:rPr>
        <w:t xml:space="preserve">: </w:t>
      </w:r>
      <w:r>
        <w:rPr>
          <w:rFonts w:asciiTheme="majorHAnsi" w:eastAsiaTheme="majorEastAsia" w:hAnsiTheme="majorHAnsi" w:cstheme="majorBidi"/>
          <w:caps/>
          <w:color w:val="495965" w:themeColor="text2"/>
          <w:sz w:val="38"/>
          <w:szCs w:val="26"/>
          <w:lang w:val="en-GB" w:eastAsia="en-US"/>
        </w:rPr>
        <w:t>Better health and education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822"/>
        <w:gridCol w:w="1810"/>
        <w:gridCol w:w="1689"/>
        <w:gridCol w:w="1689"/>
      </w:tblGrid>
      <w:tr w:rsidR="00AC438F" w:rsidRPr="00280CC1" w:rsidTr="00487C91">
        <w:tc>
          <w:tcPr>
            <w:tcW w:w="2016" w:type="dxa"/>
          </w:tcPr>
          <w:p w:rsidR="00AC438F" w:rsidRPr="00280CC1" w:rsidRDefault="00AC438F" w:rsidP="00487C91">
            <w:pPr>
              <w:pStyle w:val="ListBullet"/>
              <w:tabs>
                <w:tab w:val="clear" w:pos="284"/>
              </w:tabs>
              <w:spacing w:before="80" w:after="80" w:line="240" w:lineRule="auto"/>
              <w:jc w:val="center"/>
              <w:rPr>
                <w:rFonts w:asciiTheme="majorHAnsi" w:eastAsiaTheme="majorEastAsia" w:hAnsiTheme="majorHAnsi" w:cstheme="majorBidi"/>
                <w:caps/>
                <w:color w:val="495965" w:themeColor="text2"/>
                <w:sz w:val="38"/>
                <w:szCs w:val="26"/>
                <w:lang w:val="en-GB" w:eastAsia="en-US"/>
              </w:rPr>
            </w:pPr>
            <w:r w:rsidRPr="00280CC1">
              <w:rPr>
                <w:rFonts w:asciiTheme="majorHAnsi" w:eastAsiaTheme="majorEastAsia" w:hAnsiTheme="majorHAnsi" w:cstheme="majorBidi"/>
                <w:caps/>
                <w:noProof/>
                <w:color w:val="495965" w:themeColor="text2"/>
                <w:sz w:val="38"/>
                <w:szCs w:val="26"/>
              </w:rPr>
              <w:drawing>
                <wp:inline distT="0" distB="0" distL="0" distR="0" wp14:anchorId="0F95125E" wp14:editId="64EE5652">
                  <wp:extent cx="1137600" cy="720000"/>
                  <wp:effectExtent l="0" t="0" r="5715" b="4445"/>
                  <wp:docPr id="48" name="Picture 48" title="Sustainable developmetn go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8">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822" w:type="dxa"/>
          </w:tcPr>
          <w:p w:rsidR="00AC438F" w:rsidRPr="00280CC1" w:rsidRDefault="00AC438F" w:rsidP="00487C91">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26726E25" wp14:editId="0EF83991">
                  <wp:extent cx="612000" cy="6120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810" w:type="dxa"/>
          </w:tcPr>
          <w:p w:rsidR="00AC438F" w:rsidRPr="00D613B4" w:rsidRDefault="00AC438F" w:rsidP="00487C91">
            <w:pPr>
              <w:pStyle w:val="ListBullet"/>
              <w:tabs>
                <w:tab w:val="clear" w:pos="284"/>
              </w:tabs>
              <w:spacing w:before="160" w:after="80" w:line="240" w:lineRule="auto"/>
              <w:jc w:val="center"/>
              <w:rPr>
                <w:rFonts w:asciiTheme="majorHAnsi" w:eastAsiaTheme="majorEastAsia" w:hAnsiTheme="majorHAnsi" w:cstheme="majorBidi"/>
                <w:b/>
                <w:caps/>
                <w:color w:val="495965" w:themeColor="text2"/>
                <w:sz w:val="38"/>
                <w:szCs w:val="26"/>
                <w:lang w:val="en-GB" w:eastAsia="en-US"/>
              </w:rPr>
            </w:pPr>
            <w:r>
              <w:rPr>
                <w:noProof/>
              </w:rPr>
              <w:drawing>
                <wp:inline distT="0" distB="0" distL="0" distR="0" wp14:anchorId="63C52506" wp14:editId="1D2A3D9C">
                  <wp:extent cx="612000" cy="6120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689" w:type="dxa"/>
          </w:tcPr>
          <w:p w:rsidR="00AC438F" w:rsidRPr="00280CC1" w:rsidRDefault="00AC438F" w:rsidP="00487C91">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788A48C2" wp14:editId="6C16386E">
                  <wp:extent cx="612000" cy="6120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689" w:type="dxa"/>
          </w:tcPr>
          <w:p w:rsidR="00AC438F" w:rsidRPr="00280CC1" w:rsidRDefault="00AC438F" w:rsidP="00487C91">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p>
        </w:tc>
      </w:tr>
    </w:tbl>
    <w:p w:rsidR="00AC438F" w:rsidRPr="00D871AC" w:rsidRDefault="00D871AC" w:rsidP="00D871AC">
      <w:r>
        <w:t xml:space="preserve">The health and education portfolio activities continue to perform well and progress against this objective is </w:t>
      </w:r>
      <w:r w:rsidRPr="0036436F">
        <w:rPr>
          <w:u w:val="single"/>
        </w:rPr>
        <w:t>green</w:t>
      </w:r>
      <w:r>
        <w:t xml:space="preserve"> for 2017-18.</w:t>
      </w:r>
    </w:p>
    <w:p w:rsidR="00B023CA" w:rsidRPr="00D871AC" w:rsidRDefault="00B023CA" w:rsidP="00B023CA">
      <w:pPr>
        <w:rPr>
          <w:b/>
        </w:rPr>
      </w:pPr>
      <w:r w:rsidRPr="00D871AC">
        <w:rPr>
          <w:b/>
        </w:rPr>
        <w:t>Health</w:t>
      </w:r>
    </w:p>
    <w:p w:rsidR="00B023CA" w:rsidRPr="00D871AC" w:rsidRDefault="00B023CA" w:rsidP="00B023CA">
      <w:pPr>
        <w:spacing w:after="120"/>
      </w:pPr>
      <w:r w:rsidRPr="00D871AC">
        <w:t xml:space="preserve">The Cambodian Government health system continued to make strong progress towards its goal of universal health coverage, with the Ministry of Economy and Finance </w:t>
      </w:r>
      <w:r w:rsidR="00873DCC">
        <w:t xml:space="preserve">delivering on its </w:t>
      </w:r>
      <w:r w:rsidRPr="00D871AC">
        <w:t>commitment to increas</w:t>
      </w:r>
      <w:r w:rsidR="00873DCC">
        <w:t xml:space="preserve">e </w:t>
      </w:r>
      <w:r w:rsidRPr="00D871AC">
        <w:t>health sector financing</w:t>
      </w:r>
      <w:r w:rsidR="00873DCC">
        <w:t xml:space="preserve"> as a means of meeting increasing </w:t>
      </w:r>
      <w:r w:rsidR="00873DCC" w:rsidRPr="00D871AC">
        <w:t xml:space="preserve">demand from citizens for </w:t>
      </w:r>
      <w:r w:rsidR="00873DCC">
        <w:t>high quality public health care</w:t>
      </w:r>
      <w:r w:rsidRPr="00D871AC">
        <w:t xml:space="preserve">. In 2017, the Cambodian Government fully funded Service Delivery Grants (SDGs), </w:t>
      </w:r>
      <w:r w:rsidR="00873DCC">
        <w:t>which were previously jointly funded by donors</w:t>
      </w:r>
      <w:r w:rsidR="004F6EF4">
        <w:t>.</w:t>
      </w:r>
      <w:r w:rsidR="00873DCC">
        <w:t xml:space="preserve"> </w:t>
      </w:r>
      <w:r w:rsidR="004F6EF4">
        <w:t xml:space="preserve">This </w:t>
      </w:r>
      <w:r w:rsidR="004F6EF4" w:rsidRPr="00D871AC">
        <w:t>ensur</w:t>
      </w:r>
      <w:r w:rsidR="004F6EF4">
        <w:t>es</w:t>
      </w:r>
      <w:r w:rsidR="004F6EF4" w:rsidRPr="00D871AC">
        <w:t xml:space="preserve"> </w:t>
      </w:r>
      <w:r w:rsidRPr="00D871AC">
        <w:t xml:space="preserve">public health facilities can access additional </w:t>
      </w:r>
      <w:r w:rsidR="00873DCC">
        <w:t xml:space="preserve">and more sustainable </w:t>
      </w:r>
      <w:r w:rsidRPr="00D871AC">
        <w:t xml:space="preserve">financing to improve </w:t>
      </w:r>
      <w:r w:rsidR="001A2BF9">
        <w:t xml:space="preserve">the </w:t>
      </w:r>
      <w:r w:rsidRPr="00D871AC">
        <w:t>quality of health services.</w:t>
      </w:r>
    </w:p>
    <w:p w:rsidR="00B023CA" w:rsidRDefault="00B023CA" w:rsidP="00B47DA7">
      <w:r w:rsidRPr="00D871AC">
        <w:t xml:space="preserve">Australia is supporting </w:t>
      </w:r>
      <w:r w:rsidR="0092138A">
        <w:t>universal health care</w:t>
      </w:r>
      <w:r w:rsidRPr="00D871AC">
        <w:t xml:space="preserve"> through significant financing and policy contributions to the </w:t>
      </w:r>
      <w:r w:rsidRPr="00D871AC">
        <w:rPr>
          <w:b/>
        </w:rPr>
        <w:t xml:space="preserve">Health Equity and Quality Improvement Project </w:t>
      </w:r>
      <w:r w:rsidRPr="00B47DA7">
        <w:t>(H-EQIP</w:t>
      </w:r>
      <w:r w:rsidR="00852B88" w:rsidRPr="00B47DA7">
        <w:t xml:space="preserve">, </w:t>
      </w:r>
      <w:r w:rsidRPr="00B47DA7">
        <w:t>$50</w:t>
      </w:r>
      <w:r w:rsidR="00852B88" w:rsidRPr="00B47DA7">
        <w:t xml:space="preserve"> </w:t>
      </w:r>
      <w:r w:rsidRPr="00B47DA7">
        <w:t>m</w:t>
      </w:r>
      <w:r w:rsidR="00852B88" w:rsidRPr="00B47DA7">
        <w:t>illion,</w:t>
      </w:r>
      <w:r w:rsidRPr="00B47DA7">
        <w:t xml:space="preserve"> 2016-2021).</w:t>
      </w:r>
      <w:r w:rsidRPr="00D871AC">
        <w:rPr>
          <w:b/>
        </w:rPr>
        <w:t xml:space="preserve"> </w:t>
      </w:r>
      <w:r w:rsidRPr="00D871AC">
        <w:t>A</w:t>
      </w:r>
      <w:r w:rsidRPr="00D871AC">
        <w:rPr>
          <w:i/>
          <w:iCs/>
          <w:u w:val="single"/>
        </w:rPr>
        <w:t xml:space="preserve"> </w:t>
      </w:r>
      <w:r w:rsidRPr="00D871AC">
        <w:t>large portion of H-EQIP funding is tied to results and is designed to reward reform and tangible improvements in public health service delivery.</w:t>
      </w:r>
      <w:r w:rsidRPr="00B47DA7">
        <w:t xml:space="preserve"> </w:t>
      </w:r>
    </w:p>
    <w:p w:rsidR="009E0D12" w:rsidRDefault="000C4912" w:rsidP="00B47DA7">
      <w:r>
        <w:lastRenderedPageBreak/>
        <w:t xml:space="preserve">Overall progress is satisfactory under this objective, particularly due to the solid performance of Australia’s major investment, H-EQIP, despite some mixed results against the performance assessment framework indicators. For example, indicators 9 and 11 were not achieved, while indicator 10 was exceeded (Annex E). These indicators are national targets to which Australia’s investments are only one contribution. The indicator results also reflect some limitations in current national health information systems. The narrative below focuses on the contribution of Australia’s investments.  </w:t>
      </w:r>
    </w:p>
    <w:p w:rsidR="00B023CA" w:rsidRPr="00D871AC" w:rsidRDefault="00B023CA" w:rsidP="00B47DA7">
      <w:r w:rsidRPr="00D871AC">
        <w:t>Under H-EQIP we saw increased Ministry of Health (MoH) ownership of the quality improvement agenda in 2017-18. For example, the new National Quality Enhancement Monitoring (NQEM) system was finalised and the first assessment</w:t>
      </w:r>
      <w:r w:rsidR="00093CFC">
        <w:t>s</w:t>
      </w:r>
      <w:r w:rsidRPr="00D871AC">
        <w:t xml:space="preserve"> were undertaken, covering 38 per cent of public health facilities. </w:t>
      </w:r>
      <w:r w:rsidRPr="0006552E">
        <w:t>Independent verification found that 10 per cent of the assessed health centres exceeded the 60 per cent quality target.</w:t>
      </w:r>
      <w:r w:rsidRPr="00D871AC">
        <w:t xml:space="preserve"> </w:t>
      </w:r>
    </w:p>
    <w:p w:rsidR="00B023CA" w:rsidRPr="00D871AC" w:rsidRDefault="00B023CA" w:rsidP="00B47DA7">
      <w:r w:rsidRPr="00D871AC">
        <w:t xml:space="preserve">Another major achievement under H-EQIP was improved functioning of the Health Equity Fund (HEF) system, the system that subsidises health care for the poorest Cambodians. </w:t>
      </w:r>
      <w:r w:rsidR="00093CFC">
        <w:t>S</w:t>
      </w:r>
      <w:r w:rsidRPr="00D871AC">
        <w:t xml:space="preserve">ubsidised health care </w:t>
      </w:r>
      <w:r w:rsidR="00093CFC">
        <w:t xml:space="preserve">was </w:t>
      </w:r>
      <w:r w:rsidRPr="00D871AC">
        <w:t xml:space="preserve">offered </w:t>
      </w:r>
      <w:r w:rsidR="00852B88">
        <w:t>in</w:t>
      </w:r>
      <w:r w:rsidRPr="00D871AC">
        <w:t xml:space="preserve"> 2.64 million </w:t>
      </w:r>
      <w:r w:rsidR="00C732FD" w:rsidRPr="00D871AC">
        <w:t>cases</w:t>
      </w:r>
      <w:r w:rsidRPr="00D871AC">
        <w:t xml:space="preserve"> in 2017, up</w:t>
      </w:r>
      <w:r w:rsidR="00D075E4">
        <w:t xml:space="preserve"> by</w:t>
      </w:r>
      <w:r w:rsidRPr="00D871AC">
        <w:t xml:space="preserve"> 340,000</w:t>
      </w:r>
      <w:r w:rsidR="00852B88">
        <w:t xml:space="preserve"> cases</w:t>
      </w:r>
      <w:r w:rsidRPr="00D871AC">
        <w:t xml:space="preserve"> from 2015. The management of HEF operation</w:t>
      </w:r>
      <w:r w:rsidR="001A2BF9">
        <w:t>s</w:t>
      </w:r>
      <w:r w:rsidRPr="00D871AC">
        <w:t xml:space="preserve"> shifted from </w:t>
      </w:r>
      <w:r w:rsidR="00093CFC">
        <w:t>NGOs</w:t>
      </w:r>
      <w:r w:rsidRPr="00D871AC">
        <w:t xml:space="preserve"> to public health facility staff in July 2016, with systems becoming more embedded in MoH over 2017. </w:t>
      </w:r>
    </w:p>
    <w:p w:rsidR="00AA07E2" w:rsidRDefault="00B023CA" w:rsidP="00B47DA7">
      <w:r w:rsidRPr="00D871AC">
        <w:t xml:space="preserve">Significant delays in processing the disbursement of funds from the National Treasury to health institutions has led to </w:t>
      </w:r>
      <w:r w:rsidR="00852B88">
        <w:t>a slowdown</w:t>
      </w:r>
      <w:r w:rsidRPr="00D871AC">
        <w:t xml:space="preserve"> in the program</w:t>
      </w:r>
      <w:r w:rsidR="000C4912">
        <w:t>, including the roll-out of the quality assessment for indicator 8.</w:t>
      </w:r>
      <w:r w:rsidRPr="00D871AC">
        <w:t xml:space="preserve"> H-EQIP partners are working with MEF and MoH to overcome this bottleneck</w:t>
      </w:r>
      <w:r w:rsidRPr="004453F6">
        <w:t xml:space="preserve">. </w:t>
      </w:r>
      <w:r w:rsidR="004453F6">
        <w:t>A</w:t>
      </w:r>
      <w:r w:rsidR="004453F6" w:rsidRPr="004453F6">
        <w:t>t Australia’s initiative</w:t>
      </w:r>
      <w:r w:rsidR="004453F6">
        <w:t>, a</w:t>
      </w:r>
      <w:r w:rsidR="004453F6" w:rsidRPr="004453F6">
        <w:t xml:space="preserve"> gender assessment of H-EQIP </w:t>
      </w:r>
      <w:r w:rsidR="004453F6">
        <w:t xml:space="preserve">was </w:t>
      </w:r>
      <w:r w:rsidR="004453F6" w:rsidRPr="004453F6">
        <w:t>completed</w:t>
      </w:r>
      <w:r w:rsidR="004453F6">
        <w:t xml:space="preserve"> in 2018</w:t>
      </w:r>
      <w:r w:rsidR="004453F6" w:rsidRPr="004453F6">
        <w:t>.</w:t>
      </w:r>
      <w:r w:rsidR="00ED665A">
        <w:t xml:space="preserve"> Australia will monitor</w:t>
      </w:r>
      <w:r w:rsidRPr="004453F6">
        <w:t xml:space="preserve"> implementation of </w:t>
      </w:r>
      <w:r w:rsidR="004453F6" w:rsidRPr="004453F6">
        <w:t>the</w:t>
      </w:r>
      <w:r w:rsidR="00ED665A">
        <w:t xml:space="preserve"> recommendations</w:t>
      </w:r>
      <w:r w:rsidR="000C4912" w:rsidRPr="004453F6">
        <w:t xml:space="preserve">, for example ensuring at least one member of </w:t>
      </w:r>
      <w:r w:rsidR="004453F6">
        <w:t xml:space="preserve">the </w:t>
      </w:r>
      <w:r w:rsidR="000C4912" w:rsidRPr="004453F6">
        <w:t>quality assessment teams is female</w:t>
      </w:r>
      <w:r w:rsidRPr="004453F6">
        <w:t>.</w:t>
      </w:r>
    </w:p>
    <w:p w:rsidR="00B023CA" w:rsidRPr="00D871AC" w:rsidRDefault="00B023CA" w:rsidP="00B47DA7">
      <w:r w:rsidRPr="00D871AC">
        <w:t xml:space="preserve">Australia (with </w:t>
      </w:r>
      <w:r w:rsidR="0084744E" w:rsidRPr="00D871AC">
        <w:t>German</w:t>
      </w:r>
      <w:r w:rsidR="0084744E">
        <w:t xml:space="preserve"> </w:t>
      </w:r>
      <w:r w:rsidRPr="00D871AC">
        <w:t xml:space="preserve">co-funding) is supporting the Cambodian Ministry of Planning to develop a database of poor and vulnerable households through the </w:t>
      </w:r>
      <w:r w:rsidRPr="00B47DA7">
        <w:rPr>
          <w:b/>
        </w:rPr>
        <w:t>Identification of Poor Households Program Phase 3</w:t>
      </w:r>
      <w:r w:rsidRPr="00D871AC">
        <w:t xml:space="preserve"> </w:t>
      </w:r>
      <w:r w:rsidR="00852B88">
        <w:t>(</w:t>
      </w:r>
      <w:r w:rsidR="00852B88" w:rsidRPr="00D871AC">
        <w:t>IDPoor</w:t>
      </w:r>
      <w:r w:rsidR="00852B88">
        <w:t xml:space="preserve"> III, </w:t>
      </w:r>
      <w:r w:rsidRPr="00D871AC">
        <w:t>$5.4</w:t>
      </w:r>
      <w:r w:rsidR="00852B88">
        <w:t xml:space="preserve"> </w:t>
      </w:r>
      <w:r w:rsidRPr="00D871AC">
        <w:t>m</w:t>
      </w:r>
      <w:r w:rsidR="00852B88">
        <w:t>illion</w:t>
      </w:r>
      <w:r w:rsidRPr="00D871AC">
        <w:t xml:space="preserve"> 2016-2019). The Cambodian Govern</w:t>
      </w:r>
      <w:r w:rsidR="00D075E4">
        <w:t>ment relies on this database to</w:t>
      </w:r>
      <w:r w:rsidR="00027CF5">
        <w:t xml:space="preserve"> </w:t>
      </w:r>
      <w:r w:rsidRPr="00D871AC">
        <w:t>target</w:t>
      </w:r>
      <w:r w:rsidR="00027CF5">
        <w:t xml:space="preserve"> pro-poor</w:t>
      </w:r>
      <w:r w:rsidRPr="00D871AC">
        <w:t xml:space="preserve"> programs, </w:t>
      </w:r>
      <w:r w:rsidR="00873DCC">
        <w:t xml:space="preserve">including </w:t>
      </w:r>
      <w:r w:rsidRPr="00D871AC">
        <w:t xml:space="preserve">to identify beneficiaries for </w:t>
      </w:r>
      <w:r w:rsidR="00873DCC">
        <w:t xml:space="preserve">Australian-supported </w:t>
      </w:r>
      <w:r w:rsidRPr="00D871AC">
        <w:t>health and infrastructure programs.</w:t>
      </w:r>
      <w:r w:rsidR="00027CF5">
        <w:t xml:space="preserve"> </w:t>
      </w:r>
      <w:r w:rsidR="00ED665A">
        <w:t>This support is helping to</w:t>
      </w:r>
      <w:r w:rsidR="00027CF5">
        <w:t xml:space="preserve"> break the poverty cycle and encourage</w:t>
      </w:r>
      <w:r w:rsidRPr="00D871AC">
        <w:t xml:space="preserve"> </w:t>
      </w:r>
      <w:r w:rsidR="00ED665A">
        <w:t xml:space="preserve">social sector </w:t>
      </w:r>
      <w:r w:rsidR="00027CF5">
        <w:t>in</w:t>
      </w:r>
      <w:r w:rsidR="00ED665A">
        <w:t>vestment</w:t>
      </w:r>
      <w:r w:rsidR="00027CF5">
        <w:t>.</w:t>
      </w:r>
    </w:p>
    <w:p w:rsidR="00B023CA" w:rsidRPr="00D871AC" w:rsidRDefault="00B023CA" w:rsidP="00B47DA7">
      <w:r w:rsidRPr="00D871AC">
        <w:t>IDPoor is becoming increasingly relevant with the Cambodian Government’s ambitious new National Social Protection Policy Framework. Australia</w:t>
      </w:r>
      <w:r w:rsidR="00873DCC">
        <w:t xml:space="preserve"> plans</w:t>
      </w:r>
      <w:r w:rsidR="00BB199C">
        <w:t xml:space="preserve"> to</w:t>
      </w:r>
      <w:r w:rsidR="00873DCC">
        <w:t xml:space="preserve"> </w:t>
      </w:r>
      <w:r w:rsidR="00852B88">
        <w:t>extend</w:t>
      </w:r>
      <w:r w:rsidR="00873DCC">
        <w:t xml:space="preserve"> our support for IDPoor</w:t>
      </w:r>
      <w:r w:rsidR="00852B88">
        <w:t xml:space="preserve"> </w:t>
      </w:r>
      <w:r w:rsidRPr="00D871AC">
        <w:t xml:space="preserve">until 2021 to take advantage of </w:t>
      </w:r>
      <w:r w:rsidR="00852B88">
        <w:t>its</w:t>
      </w:r>
      <w:r w:rsidRPr="00D871AC">
        <w:t xml:space="preserve"> new policy importance and to ensure greater sustainability of the system.</w:t>
      </w:r>
      <w:r w:rsidR="00852B88">
        <w:t xml:space="preserve"> </w:t>
      </w:r>
    </w:p>
    <w:p w:rsidR="00B023CA" w:rsidRPr="00D871AC" w:rsidRDefault="00B023CA" w:rsidP="00B47DA7">
      <w:r w:rsidRPr="00D871AC">
        <w:t xml:space="preserve">Overall, both H-EQIP and IDPoor have achieved major targets in 2017 and are largely on track to achieve </w:t>
      </w:r>
      <w:r w:rsidR="00852B88">
        <w:t xml:space="preserve">their </w:t>
      </w:r>
      <w:r w:rsidR="00852B88" w:rsidRPr="002370AA">
        <w:t>PAF indicators and</w:t>
      </w:r>
      <w:r w:rsidR="00852B88">
        <w:t xml:space="preserve"> </w:t>
      </w:r>
      <w:r w:rsidRPr="00D871AC">
        <w:t xml:space="preserve">final outcomes. </w:t>
      </w:r>
    </w:p>
    <w:p w:rsidR="009E0D12" w:rsidRDefault="00B023CA" w:rsidP="00D71998">
      <w:pPr>
        <w:spacing w:after="120"/>
      </w:pPr>
      <w:r w:rsidRPr="00D871AC">
        <w:t xml:space="preserve">Our </w:t>
      </w:r>
      <w:r w:rsidRPr="00D871AC">
        <w:rPr>
          <w:b/>
        </w:rPr>
        <w:t>Partnering to Save Lives</w:t>
      </w:r>
      <w:r w:rsidRPr="00D871AC">
        <w:t xml:space="preserve"> </w:t>
      </w:r>
      <w:r w:rsidRPr="004F6EF4">
        <w:t>(PSL</w:t>
      </w:r>
      <w:r w:rsidR="0006552E">
        <w:t xml:space="preserve">, </w:t>
      </w:r>
      <w:r w:rsidR="00767B5B">
        <w:t>$</w:t>
      </w:r>
      <w:r w:rsidR="004F6EF4" w:rsidRPr="004F6EF4">
        <w:t xml:space="preserve">19.7 million, </w:t>
      </w:r>
      <w:r w:rsidR="004F6EF4" w:rsidRPr="00C933B2">
        <w:t>2013-2018</w:t>
      </w:r>
      <w:r w:rsidRPr="004F6EF4">
        <w:t>)</w:t>
      </w:r>
      <w:r w:rsidRPr="00D871AC">
        <w:t xml:space="preserve"> program is </w:t>
      </w:r>
      <w:r w:rsidRPr="00C23B44">
        <w:t>near completion</w:t>
      </w:r>
      <w:r w:rsidRPr="00D871AC">
        <w:t xml:space="preserve"> and has achieved important reproductive,</w:t>
      </w:r>
      <w:r w:rsidR="00852B88">
        <w:t xml:space="preserve"> </w:t>
      </w:r>
      <w:r w:rsidRPr="00D871AC">
        <w:t xml:space="preserve">maternal and neonatal health outcomes — especially for vulnerable groups such as </w:t>
      </w:r>
      <w:r w:rsidR="001A2BF9">
        <w:t xml:space="preserve">the </w:t>
      </w:r>
      <w:r w:rsidRPr="00D871AC">
        <w:t xml:space="preserve">poorest communities, ethnic minority groups and people with </w:t>
      </w:r>
      <w:r w:rsidR="0056348C">
        <w:t xml:space="preserve">a </w:t>
      </w:r>
      <w:r w:rsidRPr="00D871AC">
        <w:t xml:space="preserve">disability. </w:t>
      </w:r>
      <w:r w:rsidR="00ED665A">
        <w:t>For example, in the four north-</w:t>
      </w:r>
      <w:r w:rsidR="009E0D12">
        <w:t xml:space="preserve">eastern provinces targeted by PSL, the percentage of women from ethnic communities who gave birth in a health facility with a skilled birth attendant increased from 37.4 per cent in 2014 to 63.3 per cent in 2018. </w:t>
      </w:r>
    </w:p>
    <w:p w:rsidR="00157EFA" w:rsidRPr="00D71998" w:rsidRDefault="00B023CA" w:rsidP="00D71998">
      <w:pPr>
        <w:spacing w:after="120"/>
      </w:pPr>
      <w:r w:rsidRPr="00D871AC">
        <w:t>Investments in accessible and quality reproductive and maternal health services for garment factory workers ha</w:t>
      </w:r>
      <w:r w:rsidR="00873DCC">
        <w:t>ve</w:t>
      </w:r>
      <w:r w:rsidRPr="00D871AC">
        <w:t xml:space="preserve"> translated into economic benefits</w:t>
      </w:r>
      <w:r w:rsidR="000C67AA">
        <w:t xml:space="preserve"> for the workers</w:t>
      </w:r>
      <w:r w:rsidR="001A2BF9">
        <w:t xml:space="preserve"> and their families</w:t>
      </w:r>
      <w:r w:rsidRPr="00D871AC">
        <w:t>, as well as for the sector at large through increased productivity gain</w:t>
      </w:r>
      <w:r w:rsidR="001A2BF9">
        <w:t xml:space="preserve">s </w:t>
      </w:r>
      <w:r w:rsidR="00873DCC">
        <w:t xml:space="preserve">— </w:t>
      </w:r>
      <w:r w:rsidR="000C4912" w:rsidRPr="000C4912">
        <w:t xml:space="preserve">contributing to </w:t>
      </w:r>
      <w:r w:rsidR="001A2BF9">
        <w:t xml:space="preserve"> 6 per cent</w:t>
      </w:r>
      <w:r w:rsidRPr="00D871AC">
        <w:t xml:space="preserve"> less staff turn</w:t>
      </w:r>
      <w:r w:rsidR="005E1062">
        <w:t>ov</w:t>
      </w:r>
      <w:r w:rsidRPr="00D871AC">
        <w:t>er and 24</w:t>
      </w:r>
      <w:r w:rsidR="000C67AA">
        <w:t xml:space="preserve"> </w:t>
      </w:r>
      <w:r w:rsidR="001A2BF9">
        <w:t>per cent</w:t>
      </w:r>
      <w:r w:rsidRPr="00D871AC">
        <w:t xml:space="preserve"> less leave without permission. </w:t>
      </w:r>
      <w:r w:rsidR="00DD0BFB">
        <w:t>This program demonstrates the importance of access to reproductive health services</w:t>
      </w:r>
      <w:r w:rsidR="00ED665A">
        <w:t xml:space="preserve"> not only for individuals but</w:t>
      </w:r>
      <w:r w:rsidR="00DD0BFB">
        <w:t xml:space="preserve"> for productivity increases and women’s labour force participation. </w:t>
      </w:r>
      <w:r w:rsidRPr="00D871AC">
        <w:t xml:space="preserve">The percentage of </w:t>
      </w:r>
      <w:r w:rsidR="0056348C" w:rsidRPr="00D871AC">
        <w:t>garment factory workers of reproductive age targeted by PSL</w:t>
      </w:r>
      <w:r w:rsidR="00DE2330">
        <w:t xml:space="preserve"> who</w:t>
      </w:r>
      <w:r w:rsidR="0056348C" w:rsidRPr="00D871AC">
        <w:t xml:space="preserve"> </w:t>
      </w:r>
      <w:r w:rsidR="00DE2330">
        <w:t>used</w:t>
      </w:r>
      <w:r w:rsidR="0056348C" w:rsidRPr="00D871AC">
        <w:t xml:space="preserve"> modern contraception increased from 10.6</w:t>
      </w:r>
      <w:r w:rsidR="001A2BF9">
        <w:t xml:space="preserve"> per cent</w:t>
      </w:r>
      <w:r w:rsidR="0056348C" w:rsidRPr="00D871AC">
        <w:t xml:space="preserve"> in 2014 to 25.2</w:t>
      </w:r>
      <w:r w:rsidR="001A2BF9">
        <w:t xml:space="preserve"> per cent</w:t>
      </w:r>
      <w:r w:rsidR="0056348C" w:rsidRPr="00D871AC">
        <w:t xml:space="preserve"> in 2018</w:t>
      </w:r>
      <w:r w:rsidR="00DE2330">
        <w:t>, against</w:t>
      </w:r>
      <w:r w:rsidR="0056348C">
        <w:t xml:space="preserve"> a national backdrop of a</w:t>
      </w:r>
      <w:r w:rsidR="00A470B8">
        <w:t xml:space="preserve"> general</w:t>
      </w:r>
      <w:r w:rsidR="0056348C">
        <w:t xml:space="preserve"> decrease in Cambodian w</w:t>
      </w:r>
      <w:r w:rsidRPr="00D871AC">
        <w:t>omen using modern contraceptiv</w:t>
      </w:r>
      <w:r w:rsidR="00093CFC">
        <w:t>es</w:t>
      </w:r>
      <w:r w:rsidR="00ED665A">
        <w:t xml:space="preserve"> in 2017. PSL</w:t>
      </w:r>
      <w:r w:rsidR="000C67AA">
        <w:t>’</w:t>
      </w:r>
      <w:r w:rsidR="00ED665A">
        <w:t>s</w:t>
      </w:r>
      <w:r w:rsidRPr="00D871AC">
        <w:t xml:space="preserve"> success means the </w:t>
      </w:r>
      <w:r w:rsidR="004F6EF4">
        <w:t>M</w:t>
      </w:r>
      <w:r w:rsidR="000C4912">
        <w:t>o</w:t>
      </w:r>
      <w:r w:rsidR="004F6EF4">
        <w:t>H</w:t>
      </w:r>
      <w:r w:rsidRPr="00D871AC">
        <w:t xml:space="preserve"> is considering using the PSL model as a foundation for the development of a training module for health service providers across the country</w:t>
      </w:r>
      <w:r w:rsidR="0056348C">
        <w:t xml:space="preserve">, </w:t>
      </w:r>
      <w:r w:rsidR="00DE2330">
        <w:t>a testament to Australia’s influence through effective development</w:t>
      </w:r>
      <w:r w:rsidRPr="00D871AC">
        <w:t>.</w:t>
      </w:r>
    </w:p>
    <w:p w:rsidR="00FA2343" w:rsidRPr="00D871AC" w:rsidRDefault="00FA2343" w:rsidP="00AC438F">
      <w:pPr>
        <w:rPr>
          <w:lang w:val="en-AU"/>
        </w:rPr>
      </w:pPr>
      <w:r w:rsidRPr="00C23B44">
        <w:rPr>
          <w:b/>
          <w:bCs/>
        </w:rPr>
        <w:t>Education</w:t>
      </w:r>
      <w:r w:rsidRPr="00D871AC">
        <w:rPr>
          <w:b/>
          <w:bCs/>
        </w:rPr>
        <w:t xml:space="preserve"> </w:t>
      </w:r>
    </w:p>
    <w:p w:rsidR="00FA2343" w:rsidRPr="00D871AC" w:rsidRDefault="00FA2343" w:rsidP="009A7A8B">
      <w:pPr>
        <w:spacing w:after="120"/>
      </w:pPr>
      <w:r w:rsidRPr="009A7A8B">
        <w:t xml:space="preserve">In 2017-18, we met our target of offering 50 </w:t>
      </w:r>
      <w:r w:rsidRPr="00D871AC">
        <w:rPr>
          <w:b/>
        </w:rPr>
        <w:t>Australia Awards Scholarships</w:t>
      </w:r>
      <w:r w:rsidRPr="009A7A8B">
        <w:t xml:space="preserve"> for talented Cambodians to pursue their postgraduate studies in Australia, </w:t>
      </w:r>
      <w:r w:rsidR="00472DED">
        <w:t xml:space="preserve">following a robust selection process. </w:t>
      </w:r>
      <w:r w:rsidR="000C67AA">
        <w:t>Forty-eight</w:t>
      </w:r>
      <w:r w:rsidRPr="009A7A8B">
        <w:t xml:space="preserve"> candidates </w:t>
      </w:r>
      <w:r w:rsidRPr="009A7A8B">
        <w:lastRenderedPageBreak/>
        <w:t xml:space="preserve">accepted the scholarship offer, including one reserve candidate. We </w:t>
      </w:r>
      <w:r w:rsidR="00472DED">
        <w:t xml:space="preserve">ensured scholarships were offered to Cambodians from a diverse range of backgrounds and </w:t>
      </w:r>
      <w:r w:rsidRPr="009A7A8B">
        <w:t xml:space="preserve">made good progress towards </w:t>
      </w:r>
      <w:r w:rsidR="00310D72">
        <w:t xml:space="preserve">our benchmark </w:t>
      </w:r>
      <w:r w:rsidR="005E18A3">
        <w:t xml:space="preserve">of offering </w:t>
      </w:r>
      <w:r w:rsidRPr="009A7A8B">
        <w:t xml:space="preserve">50 </w:t>
      </w:r>
      <w:r w:rsidR="005E1062">
        <w:t>per cent</w:t>
      </w:r>
      <w:r w:rsidRPr="009A7A8B">
        <w:t xml:space="preserve"> of scholarships to women, with 48 </w:t>
      </w:r>
      <w:r w:rsidR="005E1062">
        <w:t>per cent</w:t>
      </w:r>
      <w:r w:rsidRPr="009A7A8B">
        <w:t xml:space="preserve"> of scholarships (24 out o</w:t>
      </w:r>
      <w:r w:rsidR="000C67AA">
        <w:t xml:space="preserve">f 50 scholarships) </w:t>
      </w:r>
      <w:r w:rsidRPr="009A7A8B">
        <w:t xml:space="preserve">awarded to women. This was a 12 per cent increase in the number </w:t>
      </w:r>
      <w:r w:rsidR="00310D72">
        <w:t>women scholars</w:t>
      </w:r>
      <w:r w:rsidRPr="009A7A8B">
        <w:t xml:space="preserve"> compared to 2016-17. This increase could be attributed to more targeted promotion, including joint information sessions with the Ministry of Women’s Affairs to promote Australia Awards to civil servants and </w:t>
      </w:r>
      <w:r w:rsidR="004F6EF4">
        <w:t xml:space="preserve">the </w:t>
      </w:r>
      <w:r w:rsidRPr="009A7A8B">
        <w:t xml:space="preserve">Linking Women to a World of Opportunity </w:t>
      </w:r>
      <w:r w:rsidRPr="00D871AC">
        <w:t xml:space="preserve">workshops to showcase the experiences of women </w:t>
      </w:r>
      <w:r w:rsidR="00AC438F" w:rsidRPr="00D871AC">
        <w:t xml:space="preserve">who have studied in Australia. </w:t>
      </w:r>
    </w:p>
    <w:p w:rsidR="00FA2343" w:rsidRDefault="00FA2343" w:rsidP="00AC438F">
      <w:pPr>
        <w:spacing w:after="120"/>
      </w:pPr>
      <w:r w:rsidRPr="00D871AC">
        <w:t>Australia Awards</w:t>
      </w:r>
      <w:r w:rsidR="005E1062">
        <w:t xml:space="preserve"> in</w:t>
      </w:r>
      <w:r w:rsidRPr="00D871AC">
        <w:t xml:space="preserve"> Cambodia continue to be </w:t>
      </w:r>
      <w:r w:rsidR="005E1062">
        <w:t>offered in</w:t>
      </w:r>
      <w:r w:rsidRPr="00D871AC">
        <w:t xml:space="preserve"> fields</w:t>
      </w:r>
      <w:r w:rsidR="005E1062">
        <w:t xml:space="preserve"> of study</w:t>
      </w:r>
      <w:r w:rsidRPr="00D871AC">
        <w:t xml:space="preserve"> that are vital for Cambodia’s development</w:t>
      </w:r>
      <w:r w:rsidR="00ED665A">
        <w:t xml:space="preserve">, </w:t>
      </w:r>
      <w:r w:rsidR="00310D72">
        <w:t>complement our broader objectives</w:t>
      </w:r>
      <w:r w:rsidR="00ED665A">
        <w:t xml:space="preserve"> and </w:t>
      </w:r>
      <w:r w:rsidR="00ED665A" w:rsidRPr="00D871AC">
        <w:t xml:space="preserve">are </w:t>
      </w:r>
      <w:r w:rsidR="00ED665A">
        <w:t xml:space="preserve">significantly </w:t>
      </w:r>
      <w:r w:rsidR="00ED665A" w:rsidRPr="00D871AC">
        <w:t>less likely to be pursued by self-funded students</w:t>
      </w:r>
      <w:r w:rsidR="00ED665A">
        <w:t>,</w:t>
      </w:r>
      <w:r w:rsidRPr="00D871AC">
        <w:t xml:space="preserve"> including </w:t>
      </w:r>
      <w:r w:rsidR="00036A49" w:rsidRPr="00D871AC">
        <w:t>effective governance (27 per cent)</w:t>
      </w:r>
      <w:r w:rsidR="00036A49">
        <w:t xml:space="preserve">; </w:t>
      </w:r>
      <w:r w:rsidRPr="00D871AC">
        <w:t xml:space="preserve">health (19 per cent); </w:t>
      </w:r>
      <w:r w:rsidR="00036A49" w:rsidRPr="00D871AC">
        <w:t xml:space="preserve">building resilience </w:t>
      </w:r>
      <w:r w:rsidR="000C67AA">
        <w:t xml:space="preserve">      </w:t>
      </w:r>
      <w:r w:rsidR="00036A49" w:rsidRPr="00D871AC">
        <w:t>(15 per cent)</w:t>
      </w:r>
      <w:r w:rsidR="00036A49">
        <w:t xml:space="preserve">; </w:t>
      </w:r>
      <w:r w:rsidR="00036A49" w:rsidRPr="00D871AC">
        <w:t>trade (15 per cent);</w:t>
      </w:r>
      <w:r w:rsidR="00036A49">
        <w:t xml:space="preserve"> </w:t>
      </w:r>
      <w:r w:rsidRPr="00D871AC">
        <w:t xml:space="preserve">agriculture; education; infrastructure; </w:t>
      </w:r>
      <w:r w:rsidR="00036A49">
        <w:t xml:space="preserve">and </w:t>
      </w:r>
      <w:r w:rsidR="00ED665A">
        <w:t>empowering women and girls</w:t>
      </w:r>
      <w:r w:rsidR="00AC438F" w:rsidRPr="00D871AC">
        <w:t xml:space="preserve">. </w:t>
      </w:r>
    </w:p>
    <w:p w:rsidR="00122072" w:rsidRDefault="00122072" w:rsidP="00122072">
      <w:pPr>
        <w:spacing w:after="120"/>
      </w:pPr>
      <w:r>
        <w:t xml:space="preserve">Australia Awards alumni are making a contribution to Cambodia’s development on their return. In 2017, </w:t>
      </w:r>
      <w:r w:rsidR="000C67AA">
        <w:t xml:space="preserve">    </w:t>
      </w:r>
      <w:r>
        <w:t xml:space="preserve">95 per cent of year two survey respondents believe they are progressing along their planned career path. They see themselves making a significant contribution to Cambodia, as a direct outcome of their scholarship. </w:t>
      </w:r>
    </w:p>
    <w:p w:rsidR="00FA2343" w:rsidRDefault="00FA2343" w:rsidP="00FA2343">
      <w:r w:rsidRPr="00D871AC">
        <w:t xml:space="preserve">In 2017, Australia Awards Cambodia piloted a Women in Leadership program to support women alumni as they progress through their professional careers. Australia Awards Cambodia worked </w:t>
      </w:r>
      <w:r w:rsidR="005E1062">
        <w:t>with 32 women alumni over a six-</w:t>
      </w:r>
      <w:r w:rsidRPr="00D871AC">
        <w:t xml:space="preserve">month period to </w:t>
      </w:r>
      <w:r w:rsidR="000C67AA">
        <w:t>enhance their leadership skills, support their career planning,</w:t>
      </w:r>
      <w:r w:rsidRPr="00D871AC">
        <w:t xml:space="preserve"> and create stronger networks of women across different organisations and roles. Feedback from women alumni was positive and this component will continue in the next phase</w:t>
      </w:r>
      <w:r w:rsidR="00AC438F" w:rsidRPr="00D871AC">
        <w:t xml:space="preserve"> of Australia Awards Cambodia. </w:t>
      </w:r>
    </w:p>
    <w:p w:rsidR="00355994" w:rsidRPr="00B070A3" w:rsidRDefault="00136AB9" w:rsidP="00B070A3">
      <w:r>
        <w:t xml:space="preserve">Over the last year, we undertook a successful design process for </w:t>
      </w:r>
      <w:r w:rsidR="006419B5">
        <w:t xml:space="preserve">the next phase of the </w:t>
      </w:r>
      <w:r>
        <w:t>Australia Awards in Cambodia, re-</w:t>
      </w:r>
      <w:r w:rsidR="006419B5">
        <w:t>align</w:t>
      </w:r>
      <w:r w:rsidR="00ED665A">
        <w:t>ing</w:t>
      </w:r>
      <w:r w:rsidR="006419B5">
        <w:t xml:space="preserve"> our scholarship investment to our </w:t>
      </w:r>
      <w:r w:rsidR="00122072">
        <w:t>current policy settings</w:t>
      </w:r>
      <w:r w:rsidR="006419B5">
        <w:t xml:space="preserve"> and ensuring the program stays agile to meet Cambodia</w:t>
      </w:r>
      <w:r w:rsidR="00122072">
        <w:t>’s development needs</w:t>
      </w:r>
      <w:r w:rsidR="006419B5">
        <w:t>, including piloting short-course awards</w:t>
      </w:r>
      <w:r>
        <w:t xml:space="preserve">. </w:t>
      </w:r>
    </w:p>
    <w:p w:rsidR="00D871AC" w:rsidRPr="00280CC1" w:rsidRDefault="00AC438F" w:rsidP="00D871AC">
      <w:pPr>
        <w:pStyle w:val="ListBullet"/>
        <w:tabs>
          <w:tab w:val="clear" w:pos="284"/>
        </w:tabs>
        <w:spacing w:before="480" w:line="300" w:lineRule="exact"/>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color w:val="495965" w:themeColor="text2"/>
          <w:sz w:val="38"/>
          <w:szCs w:val="26"/>
          <w:lang w:val="en-GB" w:eastAsia="en-US"/>
        </w:rPr>
        <w:t>CR</w:t>
      </w:r>
      <w:r w:rsidR="00FA2343" w:rsidRPr="00FA2343">
        <w:rPr>
          <w:rFonts w:asciiTheme="majorHAnsi" w:eastAsiaTheme="majorEastAsia" w:hAnsiTheme="majorHAnsi" w:cstheme="majorBidi"/>
          <w:caps/>
          <w:color w:val="495965" w:themeColor="text2"/>
          <w:sz w:val="38"/>
          <w:szCs w:val="26"/>
          <w:lang w:val="en-GB" w:eastAsia="en-US"/>
        </w:rPr>
        <w:t>oss-cutting issues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822"/>
        <w:gridCol w:w="1810"/>
        <w:gridCol w:w="1689"/>
        <w:gridCol w:w="1689"/>
      </w:tblGrid>
      <w:tr w:rsidR="00D871AC" w:rsidRPr="00280CC1" w:rsidTr="00522F47">
        <w:tc>
          <w:tcPr>
            <w:tcW w:w="2016" w:type="dxa"/>
          </w:tcPr>
          <w:p w:rsidR="00D871AC" w:rsidRPr="00280CC1" w:rsidRDefault="00D871AC" w:rsidP="00487C91">
            <w:pPr>
              <w:pStyle w:val="ListBullet"/>
              <w:tabs>
                <w:tab w:val="clear" w:pos="284"/>
              </w:tabs>
              <w:spacing w:before="80" w:after="80" w:line="240" w:lineRule="auto"/>
              <w:jc w:val="center"/>
              <w:rPr>
                <w:rFonts w:asciiTheme="majorHAnsi" w:eastAsiaTheme="majorEastAsia" w:hAnsiTheme="majorHAnsi" w:cstheme="majorBidi"/>
                <w:caps/>
                <w:color w:val="495965" w:themeColor="text2"/>
                <w:sz w:val="38"/>
                <w:szCs w:val="26"/>
                <w:lang w:val="en-GB" w:eastAsia="en-US"/>
              </w:rPr>
            </w:pPr>
            <w:r w:rsidRPr="00280CC1">
              <w:rPr>
                <w:rFonts w:asciiTheme="majorHAnsi" w:eastAsiaTheme="majorEastAsia" w:hAnsiTheme="majorHAnsi" w:cstheme="majorBidi"/>
                <w:caps/>
                <w:noProof/>
                <w:color w:val="495965" w:themeColor="text2"/>
                <w:sz w:val="38"/>
                <w:szCs w:val="26"/>
              </w:rPr>
              <w:drawing>
                <wp:inline distT="0" distB="0" distL="0" distR="0" wp14:anchorId="2B7FBAD7" wp14:editId="5E2F8CB7">
                  <wp:extent cx="1137600" cy="720000"/>
                  <wp:effectExtent l="0" t="0" r="5715" b="4445"/>
                  <wp:docPr id="59" name="Picture 59" title="Sustainable developmetn go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8">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822" w:type="dxa"/>
          </w:tcPr>
          <w:p w:rsidR="00D871AC" w:rsidRPr="00280CC1" w:rsidRDefault="00D871AC" w:rsidP="00487C91">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613634AD" wp14:editId="778FB5C6">
                  <wp:extent cx="612000" cy="6120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810" w:type="dxa"/>
          </w:tcPr>
          <w:p w:rsidR="00D871AC" w:rsidRPr="00D613B4" w:rsidRDefault="00D871AC" w:rsidP="00487C91">
            <w:pPr>
              <w:pStyle w:val="ListBullet"/>
              <w:tabs>
                <w:tab w:val="clear" w:pos="284"/>
              </w:tabs>
              <w:spacing w:before="160" w:after="80" w:line="240" w:lineRule="auto"/>
              <w:jc w:val="center"/>
              <w:rPr>
                <w:rFonts w:asciiTheme="majorHAnsi" w:eastAsiaTheme="majorEastAsia" w:hAnsiTheme="majorHAnsi" w:cstheme="majorBidi"/>
                <w:b/>
                <w:caps/>
                <w:color w:val="495965" w:themeColor="text2"/>
                <w:sz w:val="38"/>
                <w:szCs w:val="26"/>
                <w:lang w:val="en-GB" w:eastAsia="en-US"/>
              </w:rPr>
            </w:pPr>
            <w:r>
              <w:rPr>
                <w:noProof/>
              </w:rPr>
              <w:drawing>
                <wp:inline distT="0" distB="0" distL="0" distR="0" wp14:anchorId="5F3D6078" wp14:editId="50AAB907">
                  <wp:extent cx="609600" cy="609600"/>
                  <wp:effectExtent l="0" t="0" r="0" b="0"/>
                  <wp:docPr id="63" name="Picture 63"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689" w:type="dxa"/>
          </w:tcPr>
          <w:p w:rsidR="00D871AC" w:rsidRPr="00280CC1" w:rsidRDefault="00D871AC" w:rsidP="00487C91">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40892ECA" wp14:editId="69D4CEC7">
                  <wp:extent cx="612000" cy="6120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689" w:type="dxa"/>
          </w:tcPr>
          <w:p w:rsidR="00D871AC" w:rsidRPr="00280CC1" w:rsidRDefault="00D871AC" w:rsidP="00487C91">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240D8881" wp14:editId="363A7908">
                  <wp:extent cx="608400" cy="612000"/>
                  <wp:effectExtent l="0" t="0" r="127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tc>
      </w:tr>
    </w:tbl>
    <w:p w:rsidR="00D871AC" w:rsidRPr="00D871AC" w:rsidRDefault="00D871AC" w:rsidP="00B023CA">
      <w:pPr>
        <w:contextualSpacing/>
        <w:rPr>
          <w:highlight w:val="yellow"/>
        </w:rPr>
      </w:pPr>
    </w:p>
    <w:p w:rsidR="00B023CA" w:rsidRPr="00D871AC" w:rsidRDefault="00B023CA" w:rsidP="00B023CA">
      <w:pPr>
        <w:contextualSpacing/>
      </w:pPr>
      <w:r w:rsidRPr="00D871AC">
        <w:rPr>
          <w:b/>
        </w:rPr>
        <w:t>Inclusive participation</w:t>
      </w:r>
      <w:r w:rsidRPr="00D871AC">
        <w:t xml:space="preserve"> </w:t>
      </w:r>
    </w:p>
    <w:p w:rsidR="00B023CA" w:rsidRPr="00D871AC" w:rsidRDefault="00B023CA" w:rsidP="00B47DA7">
      <w:pPr>
        <w:spacing w:after="120"/>
      </w:pPr>
      <w:r w:rsidRPr="00D871AC">
        <w:t>The Australian aid program in Cambodia continued to demonstrate Australian leadership in promoting disability inclusion, through</w:t>
      </w:r>
      <w:r w:rsidR="00943848">
        <w:t xml:space="preserve"> funding Australia’s only dedicated disability program in Southeast Asia,</w:t>
      </w:r>
      <w:r w:rsidRPr="00D871AC">
        <w:t xml:space="preserve"> </w:t>
      </w:r>
      <w:r w:rsidRPr="00D871AC">
        <w:rPr>
          <w:b/>
        </w:rPr>
        <w:t>Disability Ri</w:t>
      </w:r>
      <w:r w:rsidR="00D871AC" w:rsidRPr="00D871AC">
        <w:rPr>
          <w:b/>
        </w:rPr>
        <w:t>ghts Initiative Cambodia</w:t>
      </w:r>
      <w:r w:rsidR="00D871AC" w:rsidRPr="00D871AC">
        <w:t xml:space="preserve"> (DRIC</w:t>
      </w:r>
      <w:r w:rsidR="007539BE">
        <w:t>,</w:t>
      </w:r>
      <w:r w:rsidRPr="00D871AC">
        <w:t xml:space="preserve"> $10.4 million, 2014-17). This included supporting the </w:t>
      </w:r>
      <w:r w:rsidR="007B78E3">
        <w:t>Cambodian Government</w:t>
      </w:r>
      <w:r w:rsidRPr="00D871AC">
        <w:t xml:space="preserve"> to implement the Convention on the Righ</w:t>
      </w:r>
      <w:r w:rsidR="000C67AA">
        <w:t>ts of Persons with Disabilities,</w:t>
      </w:r>
      <w:r w:rsidRPr="00D871AC">
        <w:t xml:space="preserve"> Disabled People’s Organisations to raise the voice and protect the r</w:t>
      </w:r>
      <w:r w:rsidR="000C67AA">
        <w:t>ights of people with disability,</w:t>
      </w:r>
      <w:r w:rsidRPr="00D871AC">
        <w:t xml:space="preserve"> rehab</w:t>
      </w:r>
      <w:r w:rsidR="000C67AA">
        <w:t>ilitation systems strengthening,</w:t>
      </w:r>
      <w:r w:rsidRPr="00D871AC">
        <w:t xml:space="preserve"> and the provision of community-based services. </w:t>
      </w:r>
    </w:p>
    <w:p w:rsidR="00375468" w:rsidRPr="00D871AC" w:rsidRDefault="00B023CA" w:rsidP="00B47DA7">
      <w:pPr>
        <w:spacing w:after="120"/>
      </w:pPr>
      <w:r w:rsidRPr="00D871AC">
        <w:t xml:space="preserve">DRIC supported the </w:t>
      </w:r>
      <w:r w:rsidR="007B78E3">
        <w:t>Cambodian Government</w:t>
      </w:r>
      <w:r w:rsidRPr="00D871AC">
        <w:t xml:space="preserve"> to better implement its national disability strategic plan and</w:t>
      </w:r>
      <w:r w:rsidR="007539BE">
        <w:t xml:space="preserve"> </w:t>
      </w:r>
      <w:r w:rsidRPr="00D871AC">
        <w:t>mainstream disability across the government development agenda. This was made possible through establishment of 19 di</w:t>
      </w:r>
      <w:r w:rsidR="005E1062">
        <w:t xml:space="preserve">sability working groups in line </w:t>
      </w:r>
      <w:r w:rsidRPr="00D871AC">
        <w:t>ministries and sub</w:t>
      </w:r>
      <w:r w:rsidR="005E1062">
        <w:t>-</w:t>
      </w:r>
      <w:r w:rsidRPr="00D871AC">
        <w:t xml:space="preserve">national </w:t>
      </w:r>
      <w:r w:rsidR="004F6EF4">
        <w:t xml:space="preserve">agencies </w:t>
      </w:r>
      <w:r w:rsidRPr="00D871AC">
        <w:t>and allocation</w:t>
      </w:r>
      <w:r w:rsidR="004F6EF4">
        <w:t>s</w:t>
      </w:r>
      <w:r w:rsidRPr="00D871AC">
        <w:t xml:space="preserve"> </w:t>
      </w:r>
      <w:r w:rsidR="005E1062">
        <w:t xml:space="preserve">from the </w:t>
      </w:r>
      <w:r w:rsidRPr="00D871AC">
        <w:t xml:space="preserve">national budget for the groups (ranging from </w:t>
      </w:r>
      <w:r w:rsidR="004B18E2">
        <w:t xml:space="preserve">USD </w:t>
      </w:r>
      <w:r w:rsidRPr="00D871AC">
        <w:t>5,000 to USD</w:t>
      </w:r>
      <w:r w:rsidR="004B18E2">
        <w:t xml:space="preserve"> </w:t>
      </w:r>
      <w:r w:rsidRPr="00D871AC">
        <w:t xml:space="preserve">1.2 million) to implement their work plans. In this financial year, DRIC also supported the Government to develop and endorse several policies needed to improve and sustain rehabilitation services for people with disability in both physical rehabilitation centres and public health facilities. </w:t>
      </w:r>
      <w:r w:rsidR="004B18E2">
        <w:t>I</w:t>
      </w:r>
      <w:r w:rsidR="004B18E2" w:rsidRPr="00D871AC">
        <w:t>n 2017</w:t>
      </w:r>
      <w:r w:rsidR="004B18E2">
        <w:t>,</w:t>
      </w:r>
      <w:r w:rsidR="004B18E2" w:rsidRPr="00D871AC">
        <w:t xml:space="preserve"> </w:t>
      </w:r>
      <w:r w:rsidR="004B18E2">
        <w:t>t</w:t>
      </w:r>
      <w:r w:rsidRPr="00D871AC">
        <w:t>he Government allocated a total budget of</w:t>
      </w:r>
      <w:r w:rsidR="00C212CB">
        <w:t xml:space="preserve"> </w:t>
      </w:r>
      <w:r w:rsidR="0006552E">
        <w:t xml:space="preserve">      </w:t>
      </w:r>
      <w:r w:rsidR="004B18E2">
        <w:t xml:space="preserve">USD </w:t>
      </w:r>
      <w:r w:rsidRPr="00D871AC">
        <w:t>1,156,</w:t>
      </w:r>
      <w:r w:rsidR="004F6EF4">
        <w:t>00</w:t>
      </w:r>
      <w:r w:rsidRPr="00D871AC">
        <w:t xml:space="preserve">0 for rehabilitation activities (an increase from </w:t>
      </w:r>
      <w:r w:rsidR="004B18E2">
        <w:t xml:space="preserve">USD </w:t>
      </w:r>
      <w:r w:rsidRPr="00D871AC">
        <w:t>765,</w:t>
      </w:r>
      <w:r w:rsidR="004F6EF4">
        <w:t>500</w:t>
      </w:r>
      <w:r w:rsidRPr="00D871AC">
        <w:t xml:space="preserve"> in 2013). </w:t>
      </w:r>
    </w:p>
    <w:p w:rsidR="00420A5B" w:rsidRDefault="00B023CA" w:rsidP="00B47DA7">
      <w:pPr>
        <w:spacing w:after="120"/>
      </w:pPr>
      <w:r w:rsidRPr="00D871AC">
        <w:t xml:space="preserve">Australia provided strong support for efforts to eliminate violence against women in Cambodia, mainly through the </w:t>
      </w:r>
      <w:r w:rsidRPr="00D871AC">
        <w:rPr>
          <w:b/>
        </w:rPr>
        <w:t>Ending Violence Against Women</w:t>
      </w:r>
      <w:r w:rsidRPr="00D871AC">
        <w:t xml:space="preserve"> (EVAW</w:t>
      </w:r>
      <w:r w:rsidR="0006552E">
        <w:t>,</w:t>
      </w:r>
      <w:r w:rsidR="00860578">
        <w:t xml:space="preserve"> </w:t>
      </w:r>
      <w:r w:rsidR="00767B5B">
        <w:t>$13</w:t>
      </w:r>
      <w:r w:rsidR="00860578">
        <w:t>.4, 2012-2017</w:t>
      </w:r>
      <w:r w:rsidRPr="00D871AC">
        <w:t xml:space="preserve">) program. </w:t>
      </w:r>
      <w:r w:rsidR="00DD0BFB">
        <w:t xml:space="preserve">The </w:t>
      </w:r>
      <w:r w:rsidR="000A5D2D">
        <w:t xml:space="preserve">prevalence </w:t>
      </w:r>
      <w:r w:rsidR="00DD0BFB">
        <w:t>of domestic violence and sexual assault</w:t>
      </w:r>
      <w:r w:rsidR="000A5D2D">
        <w:t xml:space="preserve"> in Cambodia remain</w:t>
      </w:r>
      <w:r w:rsidR="000C67AA">
        <w:t>s</w:t>
      </w:r>
      <w:r w:rsidR="000A5D2D">
        <w:t xml:space="preserve"> high – 20 per cent of women report having</w:t>
      </w:r>
    </w:p>
    <w:p w:rsidR="00375468" w:rsidRDefault="000A5D2D" w:rsidP="00B47DA7">
      <w:pPr>
        <w:spacing w:after="120"/>
      </w:pPr>
      <w:r>
        <w:lastRenderedPageBreak/>
        <w:t xml:space="preserve">experienced physical and/or sexual violence by an intimate partner. </w:t>
      </w:r>
      <w:r w:rsidR="00B023CA" w:rsidRPr="00D871AC">
        <w:t xml:space="preserve">This included improving policy settings and guidelines for government services to people affected by violence and enhancing gender sensitive </w:t>
      </w:r>
      <w:r w:rsidR="00136AB9">
        <w:t>responses</w:t>
      </w:r>
      <w:r w:rsidR="00B023CA" w:rsidRPr="00D871AC">
        <w:t xml:space="preserve"> to violence against women. EVAW developed the basic building blocks required to begin establish</w:t>
      </w:r>
      <w:r w:rsidR="00DE2330">
        <w:t>ing</w:t>
      </w:r>
      <w:r w:rsidR="00B023CA" w:rsidRPr="00D871AC">
        <w:t xml:space="preserve"> accessible, appropriate and quality services for </w:t>
      </w:r>
      <w:r w:rsidR="0022136A">
        <w:t>affected women</w:t>
      </w:r>
      <w:r w:rsidR="00B023CA" w:rsidRPr="00D871AC">
        <w:t>.</w:t>
      </w:r>
      <w:r w:rsidR="00B023CA" w:rsidRPr="00D871AC">
        <w:rPr>
          <w:rFonts w:cs="Calibri"/>
          <w:sz w:val="16"/>
          <w:szCs w:val="16"/>
          <w:lang w:bidi="km-KH"/>
        </w:rPr>
        <w:t xml:space="preserve"> </w:t>
      </w:r>
      <w:r w:rsidR="00B023CA" w:rsidRPr="00D871AC">
        <w:t>EVAW delivered services to 12,907 women and their families over the course of the program (exceeding targets two-fold).</w:t>
      </w:r>
      <w:r w:rsidR="00B023CA">
        <w:t xml:space="preserve"> </w:t>
      </w:r>
    </w:p>
    <w:p w:rsidR="00375468" w:rsidRPr="00D871AC" w:rsidRDefault="00375468" w:rsidP="00B47DA7">
      <w:pPr>
        <w:spacing w:after="120"/>
      </w:pPr>
      <w:r w:rsidRPr="00D871AC">
        <w:t>In 2017-18, DFAT designed an innovative program</w:t>
      </w:r>
      <w:r w:rsidR="00DE2330">
        <w:t xml:space="preserve"> called ACCESS</w:t>
      </w:r>
      <w:r w:rsidRPr="00D871AC">
        <w:t xml:space="preserve"> to improve the sustainability of quality, inclusive services for people with a disability and those affected by gender-based violence. This program</w:t>
      </w:r>
      <w:r w:rsidR="007539BE">
        <w:t>, announced by the Ambassador for Women and Girls in February 2018,</w:t>
      </w:r>
      <w:r w:rsidRPr="00D871AC">
        <w:t xml:space="preserve"> </w:t>
      </w:r>
      <w:r w:rsidR="007539BE">
        <w:t>will</w:t>
      </w:r>
      <w:r w:rsidRPr="00D871AC">
        <w:t xml:space="preserve"> </w:t>
      </w:r>
      <w:r w:rsidR="00A22D83">
        <w:t>bring</w:t>
      </w:r>
      <w:r w:rsidR="0000439F">
        <w:t xml:space="preserve"> together our </w:t>
      </w:r>
      <w:r w:rsidR="00A22D83">
        <w:t xml:space="preserve">former </w:t>
      </w:r>
      <w:r w:rsidR="0000439F">
        <w:t xml:space="preserve">work </w:t>
      </w:r>
      <w:r w:rsidR="000C67AA">
        <w:t>in these two sectors</w:t>
      </w:r>
      <w:r w:rsidR="00A22D83">
        <w:t xml:space="preserve"> and</w:t>
      </w:r>
      <w:r w:rsidR="0000439F">
        <w:t xml:space="preserve"> </w:t>
      </w:r>
      <w:r w:rsidR="00294687">
        <w:t>advocate for greater</w:t>
      </w:r>
      <w:r w:rsidR="0000439F">
        <w:t xml:space="preserve"> pu</w:t>
      </w:r>
      <w:r w:rsidR="00294687">
        <w:t>blic investment in these issues</w:t>
      </w:r>
      <w:r w:rsidRPr="00D871AC">
        <w:t>.</w:t>
      </w:r>
    </w:p>
    <w:p w:rsidR="00AA07E2" w:rsidRPr="00D05080" w:rsidRDefault="00375468" w:rsidP="00D05080">
      <w:pPr>
        <w:spacing w:after="120"/>
      </w:pPr>
      <w:r w:rsidRPr="00D871AC">
        <w:t xml:space="preserve">Australia also designed a new women’s economic empowerment project across Cambodia, Vietnam and Myanmar called </w:t>
      </w:r>
      <w:r w:rsidRPr="00D876E3">
        <w:t>Empower</w:t>
      </w:r>
      <w:r w:rsidR="007539BE" w:rsidRPr="00D876E3">
        <w:t xml:space="preserve"> </w:t>
      </w:r>
      <w:r w:rsidR="007539BE" w:rsidRPr="00B47DA7">
        <w:t>($10.3 million, 2018-2021)</w:t>
      </w:r>
      <w:r w:rsidR="00E65776">
        <w:t>.</w:t>
      </w:r>
      <w:r w:rsidRPr="00D871AC">
        <w:t xml:space="preserve"> </w:t>
      </w:r>
      <w:r w:rsidR="00E65776">
        <w:t>T</w:t>
      </w:r>
      <w:r w:rsidRPr="00D871AC">
        <w:t xml:space="preserve">his initiative will </w:t>
      </w:r>
      <w:r w:rsidR="00926BFE">
        <w:t>support</w:t>
      </w:r>
      <w:r w:rsidRPr="00D871AC">
        <w:t xml:space="preserve"> women and girls</w:t>
      </w:r>
      <w:r w:rsidR="00926BFE">
        <w:t xml:space="preserve"> to</w:t>
      </w:r>
      <w:r w:rsidRPr="00D871AC">
        <w:t xml:space="preserve"> realis</w:t>
      </w:r>
      <w:r w:rsidR="00926BFE">
        <w:t>e</w:t>
      </w:r>
      <w:r w:rsidRPr="00D871AC">
        <w:t xml:space="preserve"> their economic potential through improved utilisation of sexual and reproductive health services</w:t>
      </w:r>
      <w:r w:rsidR="00926BFE">
        <w:t>.</w:t>
      </w:r>
    </w:p>
    <w:p w:rsidR="00C44213" w:rsidRDefault="00C44213" w:rsidP="00C44213">
      <w:pPr>
        <w:rPr>
          <w:b/>
          <w:bCs/>
          <w:color w:val="auto"/>
          <w:lang w:val="en-AU"/>
        </w:rPr>
      </w:pPr>
      <w:r>
        <w:rPr>
          <w:b/>
          <w:bCs/>
        </w:rPr>
        <w:t xml:space="preserve">Improved governance </w:t>
      </w:r>
    </w:p>
    <w:p w:rsidR="004A4A73" w:rsidRDefault="00294687" w:rsidP="00375468">
      <w:r>
        <w:t xml:space="preserve">The </w:t>
      </w:r>
      <w:r w:rsidR="00F92C22">
        <w:t xml:space="preserve">World Banks’s </w:t>
      </w:r>
      <w:r w:rsidR="009E0D12">
        <w:t>Public Financial Management</w:t>
      </w:r>
      <w:r w:rsidR="00504275">
        <w:t xml:space="preserve"> </w:t>
      </w:r>
      <w:r w:rsidR="005E18A3">
        <w:t>P</w:t>
      </w:r>
      <w:r w:rsidR="009E0D12">
        <w:t>rogram</w:t>
      </w:r>
      <w:r w:rsidR="00AA07E2">
        <w:t xml:space="preserve"> </w:t>
      </w:r>
      <w:r>
        <w:t xml:space="preserve">Phase I </w:t>
      </w:r>
      <w:r w:rsidR="00AA07E2">
        <w:t>(2004-2017)</w:t>
      </w:r>
      <w:r w:rsidR="009E0D12">
        <w:t>,</w:t>
      </w:r>
      <w:r w:rsidR="00F92C22">
        <w:t xml:space="preserve"> </w:t>
      </w:r>
      <w:r w:rsidR="005E18A3">
        <w:t xml:space="preserve">financed </w:t>
      </w:r>
      <w:r w:rsidR="009E0D12">
        <w:t xml:space="preserve">by </w:t>
      </w:r>
      <w:r w:rsidR="00F92C22">
        <w:t xml:space="preserve">a coalition of donors including </w:t>
      </w:r>
      <w:r w:rsidR="009E0D12">
        <w:t xml:space="preserve">Australia, </w:t>
      </w:r>
      <w:r w:rsidR="00504275">
        <w:t xml:space="preserve">supported </w:t>
      </w:r>
      <w:r>
        <w:t>the</w:t>
      </w:r>
      <w:r w:rsidR="00F92C22">
        <w:t xml:space="preserve"> Cambodian Government</w:t>
      </w:r>
      <w:r>
        <w:t>s</w:t>
      </w:r>
      <w:r w:rsidR="00F92C22">
        <w:t xml:space="preserve"> </w:t>
      </w:r>
      <w:r w:rsidR="00504275">
        <w:t xml:space="preserve">agenda </w:t>
      </w:r>
      <w:r w:rsidR="00AA07E2">
        <w:t>to increase</w:t>
      </w:r>
      <w:r w:rsidR="00504275">
        <w:t xml:space="preserve"> financial accountability. </w:t>
      </w:r>
      <w:r>
        <w:t xml:space="preserve">Our </w:t>
      </w:r>
      <w:r w:rsidR="005E18A3">
        <w:t xml:space="preserve">investment of approximately </w:t>
      </w:r>
      <w:r>
        <w:t>$3 million</w:t>
      </w:r>
      <w:r w:rsidR="005E18A3">
        <w:t xml:space="preserve"> helped yield benefits worth far more than this</w:t>
      </w:r>
      <w:r>
        <w:t>, including</w:t>
      </w:r>
      <w:r w:rsidR="00504275">
        <w:t xml:space="preserve"> a uniform budget classification and chart of accounts,</w:t>
      </w:r>
      <w:r w:rsidR="00F92C22">
        <w:t xml:space="preserve"> regular</w:t>
      </w:r>
      <w:r w:rsidR="00504275">
        <w:t xml:space="preserve"> internal audits in 12 line </w:t>
      </w:r>
      <w:r w:rsidR="00F92C22">
        <w:t>ministries, and payment of</w:t>
      </w:r>
      <w:r w:rsidR="00504275">
        <w:t xml:space="preserve"> civil servants</w:t>
      </w:r>
      <w:r w:rsidR="000C67AA">
        <w:t>’</w:t>
      </w:r>
      <w:r w:rsidR="00504275">
        <w:t xml:space="preserve"> wages through com</w:t>
      </w:r>
      <w:r w:rsidR="00F92C22">
        <w:t>mercial banks</w:t>
      </w:r>
      <w:r w:rsidR="00504275">
        <w:t>.</w:t>
      </w:r>
      <w:r w:rsidR="00F92C22">
        <w:t xml:space="preserve"> </w:t>
      </w:r>
      <w:r w:rsidR="005E18A3">
        <w:t>We are exploring opportunities to continue our support for public financial management in Cambodia following the conclusion of this program in 2017.</w:t>
      </w:r>
    </w:p>
    <w:p w:rsidR="005E18A3" w:rsidRDefault="005E18A3" w:rsidP="005E18A3">
      <w:r>
        <w:t>The Cambodia Communications Assistance Project Phase 2 ($3.5 million, 2015-2018) delivered real accountability for communities, with local government officials responding to concerns raised on radio programs under the project. In 2017, sixty-five per cent of promises made by officials on air during these radio programs were fulfilled.</w:t>
      </w:r>
    </w:p>
    <w:p w:rsidR="005E18A3" w:rsidRDefault="005E18A3" w:rsidP="005E18A3">
      <w:r>
        <w:t xml:space="preserve">In 2017-18, the Cambodian National Police (CNP) released a directive requiring all police posts across the country to implement community policing. This was a significant achievement for the Community Policing Initiative ($4.4 million, 2016-2019), which introduced community policing to the CNP to improve police responsiveness to gender-based violence and help police to work with communities on drug prevention. </w:t>
      </w:r>
    </w:p>
    <w:p w:rsidR="005E18A3" w:rsidRDefault="005E18A3" w:rsidP="00375468">
      <w:r>
        <w:t>Our long-term funding to the Extraordinary Chambers in the Courts of Cambodia (ECCC) assisted the Courts to complete</w:t>
      </w:r>
      <w:r w:rsidR="000C67AA">
        <w:t xml:space="preserve"> trial hearings for Case 002/02</w:t>
      </w:r>
      <w:r>
        <w:t xml:space="preserve"> which</w:t>
      </w:r>
      <w:r w:rsidR="000C67AA">
        <w:t>,</w:t>
      </w:r>
      <w:r>
        <w:t xml:space="preserve"> among other charges, is considering alleged genocide by two senior members of the Khmer Rouge. The Courts also progressed cases against four other defendants.</w:t>
      </w:r>
    </w:p>
    <w:p w:rsidR="00375468" w:rsidRDefault="00012559" w:rsidP="002A51CA">
      <w:pPr>
        <w:pStyle w:val="Heading2"/>
      </w:pPr>
      <w:r>
        <w:t xml:space="preserve">Australia’s </w:t>
      </w:r>
      <w:r w:rsidR="00222DA2">
        <w:t xml:space="preserve">GLOBAL AND REGIONAL </w:t>
      </w:r>
      <w:r>
        <w:t>aid program</w:t>
      </w:r>
      <w:r w:rsidR="00222DA2">
        <w:t>S</w:t>
      </w:r>
      <w:r>
        <w:t xml:space="preserve"> in </w:t>
      </w:r>
      <w:r w:rsidR="00222DA2">
        <w:t>CAMBODIA</w:t>
      </w:r>
    </w:p>
    <w:p w:rsidR="00012559" w:rsidRPr="00012559" w:rsidRDefault="00012559" w:rsidP="00012559">
      <w:r w:rsidRPr="00012559">
        <w:t xml:space="preserve">Regional and global programs account for </w:t>
      </w:r>
      <w:r w:rsidR="00036A49">
        <w:t>almost</w:t>
      </w:r>
      <w:r>
        <w:t xml:space="preserve"> a third of Australia’s total ODA </w:t>
      </w:r>
      <w:r w:rsidR="00E0662F">
        <w:t xml:space="preserve">in </w:t>
      </w:r>
      <w:r>
        <w:t>Cambodia</w:t>
      </w:r>
      <w:r w:rsidR="00E0662F">
        <w:t xml:space="preserve">. From 2018-19, this portion is currently </w:t>
      </w:r>
      <w:r w:rsidR="00C55FB2">
        <w:t xml:space="preserve">projected to increase </w:t>
      </w:r>
      <w:r w:rsidR="00E0662F">
        <w:t>significantly relative to our bilateral expenditure</w:t>
      </w:r>
      <w:r>
        <w:t>.</w:t>
      </w:r>
    </w:p>
    <w:p w:rsidR="00222DA2" w:rsidRPr="00AF7382" w:rsidRDefault="00222DA2" w:rsidP="00222DA2">
      <w:pPr>
        <w:rPr>
          <w:b/>
        </w:rPr>
      </w:pPr>
      <w:r>
        <w:rPr>
          <w:b/>
        </w:rPr>
        <w:t>Australian NGO Cooperation Program</w:t>
      </w:r>
      <w:r w:rsidR="0022136A">
        <w:rPr>
          <w:b/>
        </w:rPr>
        <w:t xml:space="preserve"> (ANCP)</w:t>
      </w:r>
    </w:p>
    <w:p w:rsidR="007F04A4" w:rsidRDefault="007F04A4" w:rsidP="007F04A4">
      <w:r>
        <w:t xml:space="preserve">Australian </w:t>
      </w:r>
      <w:r w:rsidR="0022136A">
        <w:t>NGOs</w:t>
      </w:r>
      <w:r>
        <w:t xml:space="preserve"> play an important role for the Australian aid program in Cambodia, in particular through their ability to reach the poorest and most vulnerable communities. The primary DFAT mechanism supporting Australian NGOs in Cambodia is the</w:t>
      </w:r>
      <w:r w:rsidR="0022136A">
        <w:t xml:space="preserve"> ANCP. </w:t>
      </w:r>
      <w:r>
        <w:t xml:space="preserve">In 2017-18, Cambodia </w:t>
      </w:r>
      <w:r w:rsidR="0022136A">
        <w:t xml:space="preserve">received the most </w:t>
      </w:r>
      <w:r>
        <w:t>ANCP fund</w:t>
      </w:r>
      <w:r w:rsidR="0022136A">
        <w:t>ing</w:t>
      </w:r>
      <w:r>
        <w:t>: 26 Australian NGOs received approximately $13 million to implement 66 projects. Projects focused on a</w:t>
      </w:r>
      <w:r w:rsidR="0022136A">
        <w:t xml:space="preserve"> </w:t>
      </w:r>
      <w:r>
        <w:t xml:space="preserve">range of themes including gender, agriculture, climate change, health, education and disability. </w:t>
      </w:r>
    </w:p>
    <w:p w:rsidR="0098585D" w:rsidRDefault="0028281A" w:rsidP="0098585D">
      <w:r>
        <w:t xml:space="preserve">See the </w:t>
      </w:r>
      <w:hyperlink r:id="rId31" w:history="1">
        <w:r w:rsidRPr="0028281A">
          <w:rPr>
            <w:rStyle w:val="Hyperlink"/>
            <w:rFonts w:cstheme="minorBidi"/>
          </w:rPr>
          <w:t>DFAT web site</w:t>
        </w:r>
      </w:hyperlink>
      <w:r>
        <w:t xml:space="preserve"> for more information on ANCP</w:t>
      </w:r>
      <w:r w:rsidR="00F53EB0">
        <w:t>.</w:t>
      </w:r>
      <w:r>
        <w:rPr>
          <w:rStyle w:val="FootnoteReference"/>
        </w:rPr>
        <w:footnoteReference w:id="6"/>
      </w:r>
      <w:r>
        <w:t xml:space="preserve"> </w:t>
      </w:r>
    </w:p>
    <w:p w:rsidR="00420A5B" w:rsidRDefault="00420A5B" w:rsidP="0098585D">
      <w:pPr>
        <w:rPr>
          <w:b/>
        </w:rPr>
      </w:pPr>
    </w:p>
    <w:p w:rsidR="0098585D" w:rsidRDefault="00222DA2" w:rsidP="0098585D">
      <w:pPr>
        <w:rPr>
          <w:b/>
        </w:rPr>
      </w:pPr>
      <w:r>
        <w:rPr>
          <w:b/>
        </w:rPr>
        <w:lastRenderedPageBreak/>
        <w:t xml:space="preserve">Australian </w:t>
      </w:r>
      <w:r w:rsidR="00873DCC">
        <w:rPr>
          <w:b/>
        </w:rPr>
        <w:t>Volunteers</w:t>
      </w:r>
    </w:p>
    <w:p w:rsidR="00222DA2" w:rsidRPr="0098585D" w:rsidRDefault="00222DA2" w:rsidP="0098585D">
      <w:pPr>
        <w:rPr>
          <w:b/>
        </w:rPr>
      </w:pPr>
      <w:r w:rsidRPr="007513A0">
        <w:t>The Australian Volunteers Program supports skilled Australians to contribute to the Australian Government’s aid program in Cambodia. Australian volunteers work with local counterparts in Cambodian government ministries</w:t>
      </w:r>
      <w:r w:rsidR="00767B5B">
        <w:t>,</w:t>
      </w:r>
      <w:r w:rsidRPr="007513A0">
        <w:t xml:space="preserve"> </w:t>
      </w:r>
      <w:r w:rsidR="0022136A">
        <w:t>NGOs</w:t>
      </w:r>
      <w:r w:rsidR="00767B5B">
        <w:t>,</w:t>
      </w:r>
      <w:r w:rsidRPr="007513A0">
        <w:t xml:space="preserve"> civil society</w:t>
      </w:r>
      <w:r w:rsidR="00767B5B">
        <w:t>,</w:t>
      </w:r>
      <w:r w:rsidRPr="007513A0">
        <w:t xml:space="preserve"> multilateral organisations and academic institutions to build knowledge, share skills and promote positive people-to-people links. In 2017-18, we supported 45 Australian volunteers in Cambodia, of whom 15 were women. This include</w:t>
      </w:r>
      <w:r w:rsidR="00294687">
        <w:t xml:space="preserve">d 32 new volunteer assignments across </w:t>
      </w:r>
      <w:r w:rsidRPr="007513A0">
        <w:t>community and social development</w:t>
      </w:r>
      <w:r w:rsidR="00767B5B">
        <w:t>,</w:t>
      </w:r>
      <w:r w:rsidRPr="007513A0">
        <w:t xml:space="preserve"> health</w:t>
      </w:r>
      <w:r w:rsidR="00767B5B">
        <w:t>,</w:t>
      </w:r>
      <w:r w:rsidRPr="007513A0">
        <w:t xml:space="preserve"> human resource</w:t>
      </w:r>
      <w:r w:rsidR="00294687">
        <w:t>s</w:t>
      </w:r>
      <w:r w:rsidR="00767B5B">
        <w:t>,</w:t>
      </w:r>
      <w:r w:rsidRPr="007513A0">
        <w:t xml:space="preserve"> mark</w:t>
      </w:r>
      <w:r w:rsidR="00294687">
        <w:t>eting, media and communications, law and justice</w:t>
      </w:r>
      <w:r w:rsidR="000C67AA">
        <w:t>,</w:t>
      </w:r>
      <w:r w:rsidR="00294687">
        <w:t xml:space="preserve"> and</w:t>
      </w:r>
      <w:r w:rsidRPr="007513A0">
        <w:t xml:space="preserve"> environmental managemen</w:t>
      </w:r>
      <w:r w:rsidR="00294687">
        <w:t>t</w:t>
      </w:r>
      <w:r>
        <w:t>.</w:t>
      </w:r>
      <w:r w:rsidR="006B6ADE">
        <w:t xml:space="preserve"> Under Australia’s new Indo-Pacific Health Security Initiative (2017-2022) two Health Security Corps volunteers were deployed with</w:t>
      </w:r>
      <w:r w:rsidR="0022136A">
        <w:t xml:space="preserve"> the</w:t>
      </w:r>
      <w:r w:rsidR="006B6ADE">
        <w:t xml:space="preserve"> W</w:t>
      </w:r>
      <w:r w:rsidR="0022136A">
        <w:t xml:space="preserve">orld </w:t>
      </w:r>
      <w:r w:rsidR="006B6ADE">
        <w:t>H</w:t>
      </w:r>
      <w:r w:rsidR="0022136A">
        <w:t xml:space="preserve">ealth </w:t>
      </w:r>
      <w:r w:rsidR="006B6ADE">
        <w:t>O</w:t>
      </w:r>
      <w:r w:rsidR="0022136A">
        <w:t>rganisation</w:t>
      </w:r>
      <w:r w:rsidR="00767B5B">
        <w:t xml:space="preserve"> in</w:t>
      </w:r>
      <w:r w:rsidR="006B6ADE">
        <w:t xml:space="preserve"> Cambodia.</w:t>
      </w:r>
    </w:p>
    <w:p w:rsidR="005726C4" w:rsidRDefault="005726C4" w:rsidP="005726C4">
      <w:pPr>
        <w:rPr>
          <w:b/>
        </w:rPr>
      </w:pPr>
      <w:r w:rsidRPr="00012559">
        <w:rPr>
          <w:b/>
        </w:rPr>
        <w:t>ASEAN and Mekong Aid Program</w:t>
      </w:r>
    </w:p>
    <w:p w:rsidR="005726C4" w:rsidRDefault="005726C4" w:rsidP="005726C4">
      <w:r w:rsidRPr="00B47DA7">
        <w:t>Australia’s ASEAN and Mekong</w:t>
      </w:r>
      <w:r>
        <w:t xml:space="preserve"> Program supports ASEAN countries, including Cambodia, to implement a coordinated response to cross-border challenges by promoting economic growth and trade, combatting human trafficking, and improving management of the Mekong’s water resources. </w:t>
      </w:r>
    </w:p>
    <w:p w:rsidR="005726C4" w:rsidRDefault="005726C4" w:rsidP="005726C4">
      <w:r>
        <w:t>Highlights include providing more than 75,000 ASEAN workers with advice and/or legal support on safe and fair migration and providing more than 1.99 million people (of which more than 770,000 were women) with access to financial services through innovative private sector projects in ASEAN.</w:t>
      </w:r>
    </w:p>
    <w:p w:rsidR="005726C4" w:rsidRDefault="005726C4" w:rsidP="005726C4">
      <w:r w:rsidRPr="00D876E3">
        <w:t>See th</w:t>
      </w:r>
      <w:r w:rsidRPr="00D876E3">
        <w:rPr>
          <w:color w:val="495965"/>
        </w:rPr>
        <w:t xml:space="preserve">e </w:t>
      </w:r>
      <w:hyperlink r:id="rId32" w:history="1">
        <w:r w:rsidRPr="00D876E3">
          <w:rPr>
            <w:rStyle w:val="Hyperlink"/>
            <w:rFonts w:cstheme="minorBidi"/>
            <w:color w:val="495965"/>
          </w:rPr>
          <w:t>ASEAN and Mekong Aid Program’s APPR</w:t>
        </w:r>
      </w:hyperlink>
      <w:r w:rsidRPr="00D876E3">
        <w:t xml:space="preserve"> for more detail.</w:t>
      </w:r>
      <w:r>
        <w:rPr>
          <w:rStyle w:val="FootnoteReference"/>
        </w:rPr>
        <w:footnoteReference w:id="7"/>
      </w:r>
    </w:p>
    <w:p w:rsidR="00873DCC" w:rsidRDefault="00873DCC" w:rsidP="00873DCC">
      <w:pPr>
        <w:rPr>
          <w:b/>
        </w:rPr>
      </w:pPr>
      <w:r>
        <w:rPr>
          <w:b/>
        </w:rPr>
        <w:t>Other</w:t>
      </w:r>
    </w:p>
    <w:p w:rsidR="00890D54" w:rsidRDefault="00873DCC" w:rsidP="00012559">
      <w:r>
        <w:t>A small but important initiative established in early 2018 with The Asia Foundation provides an opportunity for Australia to work with Chinese factories in Cambodia on improving gender sensitivity and corporate responsibility. This is an example of Australia sharing our experience and prosecuting our values of equitable and inclusive development, which is likely to become increasingly valuable in a changing donor landscape.</w:t>
      </w:r>
    </w:p>
    <w:p w:rsidR="00C6202A" w:rsidRPr="00926BFE" w:rsidRDefault="00C6202A" w:rsidP="00012559">
      <w:r w:rsidRPr="00D876E3">
        <w:t xml:space="preserve">The World Bank Multi-Donor Trust Fund (MDTF) for Integrating Donor Financed Health Programs supports countries in strengthening their health systems </w:t>
      </w:r>
      <w:r w:rsidR="00926BFE">
        <w:t>with</w:t>
      </w:r>
      <w:r w:rsidR="0022136A" w:rsidRPr="00D876E3">
        <w:t xml:space="preserve"> a </w:t>
      </w:r>
      <w:r w:rsidRPr="00D876E3">
        <w:t>focus on assessing and supporting the sustainability of health programs such</w:t>
      </w:r>
      <w:r w:rsidR="000C67AA">
        <w:t xml:space="preserve"> as TB, malaria, HIV and immunis</w:t>
      </w:r>
      <w:r w:rsidRPr="00D876E3">
        <w:t>ation. </w:t>
      </w:r>
      <w:r w:rsidR="0022136A" w:rsidRPr="00D876E3">
        <w:t>In Cambodia, w</w:t>
      </w:r>
      <w:r w:rsidRPr="00D876E3">
        <w:t xml:space="preserve">ork is underway to develop the Health Financing System Assessment (HFSA) which will focus on allocation challenges </w:t>
      </w:r>
      <w:r w:rsidR="00A56594" w:rsidRPr="00D876E3">
        <w:t xml:space="preserve">for </w:t>
      </w:r>
      <w:r w:rsidRPr="00D876E3">
        <w:t xml:space="preserve">immunisation and nutrition. </w:t>
      </w:r>
      <w:r w:rsidR="00767B5B">
        <w:t>A</w:t>
      </w:r>
      <w:r w:rsidR="00767B5B" w:rsidRPr="00D876E3">
        <w:t xml:space="preserve"> </w:t>
      </w:r>
      <w:r w:rsidRPr="00D876E3">
        <w:t xml:space="preserve">gender assessment completed under H-EQIP will inform the HFSA. A new </w:t>
      </w:r>
      <w:r w:rsidR="00767B5B">
        <w:t>five</w:t>
      </w:r>
      <w:r w:rsidRPr="00D876E3">
        <w:t xml:space="preserve"> year Cambodia Nutrition Project is also under design for consideration </w:t>
      </w:r>
      <w:r w:rsidR="00A56594" w:rsidRPr="00D876E3">
        <w:t>for co-financing under the MDTF</w:t>
      </w:r>
      <w:r w:rsidRPr="00D876E3">
        <w:t xml:space="preserve">. </w:t>
      </w:r>
    </w:p>
    <w:p w:rsidR="002A51CA" w:rsidRDefault="002A51CA" w:rsidP="002A51CA">
      <w:pPr>
        <w:pStyle w:val="Heading2"/>
      </w:pPr>
      <w:r>
        <w:t>Mutual obligations</w:t>
      </w:r>
    </w:p>
    <w:p w:rsidR="00B238D9" w:rsidRPr="00375468" w:rsidRDefault="00375468" w:rsidP="008C4C40">
      <w:pPr>
        <w:spacing w:after="160" w:line="256" w:lineRule="auto"/>
      </w:pPr>
      <w:r w:rsidRPr="00375468">
        <w:rPr>
          <w:b/>
        </w:rPr>
        <w:t>Infrastructure:</w:t>
      </w:r>
      <w:r>
        <w:t xml:space="preserve"> </w:t>
      </w:r>
      <w:r w:rsidR="000C67AA">
        <w:t>Australia</w:t>
      </w:r>
      <w:r w:rsidR="004D72CA">
        <w:t xml:space="preserve"> </w:t>
      </w:r>
      <w:r w:rsidR="000B0D28">
        <w:t xml:space="preserve">remains committed to funding </w:t>
      </w:r>
      <w:r w:rsidR="004D72CA">
        <w:t xml:space="preserve">Cambodia’s </w:t>
      </w:r>
      <w:r w:rsidR="000B0D28">
        <w:t xml:space="preserve">key </w:t>
      </w:r>
      <w:r w:rsidR="004D72CA">
        <w:t xml:space="preserve">multilateral </w:t>
      </w:r>
      <w:r w:rsidR="00283C8B">
        <w:t xml:space="preserve">infrastructure </w:t>
      </w:r>
      <w:r w:rsidR="004D72CA">
        <w:t>financing partners</w:t>
      </w:r>
      <w:r w:rsidR="00767B5B">
        <w:t xml:space="preserve"> -</w:t>
      </w:r>
      <w:r w:rsidR="004D72CA">
        <w:t xml:space="preserve"> the ADB and World Bank</w:t>
      </w:r>
      <w:r w:rsidR="00767B5B">
        <w:t xml:space="preserve"> -</w:t>
      </w:r>
      <w:r w:rsidR="004D72CA">
        <w:t xml:space="preserve"> and </w:t>
      </w:r>
      <w:r w:rsidR="000B0D28">
        <w:t xml:space="preserve">to supporting </w:t>
      </w:r>
      <w:r w:rsidR="00283C8B">
        <w:t>rural and peri-urban infrastructure</w:t>
      </w:r>
      <w:r w:rsidR="000B0D28">
        <w:t xml:space="preserve"> through bilateral aid grants. In 2017-18, t</w:t>
      </w:r>
      <w:r w:rsidR="00283C8B">
        <w:t xml:space="preserve">he </w:t>
      </w:r>
      <w:r w:rsidR="007B78E3">
        <w:t>Cambodian Government</w:t>
      </w:r>
      <w:r w:rsidR="004D72CA">
        <w:t xml:space="preserve"> </w:t>
      </w:r>
      <w:r w:rsidR="000B0D28">
        <w:t xml:space="preserve">strengthened its commitment to </w:t>
      </w:r>
      <w:r w:rsidR="001D6147">
        <w:t>central</w:t>
      </w:r>
      <w:r w:rsidR="000B0D28">
        <w:t>ising the</w:t>
      </w:r>
      <w:r w:rsidR="001D6147">
        <w:t xml:space="preserve"> approval of sovereign debt obligations</w:t>
      </w:r>
      <w:r w:rsidR="000B0D28">
        <w:t xml:space="preserve"> and developing a </w:t>
      </w:r>
      <w:r w:rsidR="001D6147">
        <w:t>systematic</w:t>
      </w:r>
      <w:r w:rsidR="000B0D28">
        <w:t xml:space="preserve">, coordinated </w:t>
      </w:r>
      <w:r w:rsidR="001D6147">
        <w:t xml:space="preserve">approach to developing </w:t>
      </w:r>
      <w:r w:rsidR="000B0D28">
        <w:t>public</w:t>
      </w:r>
      <w:r w:rsidR="00767B5B">
        <w:t>-</w:t>
      </w:r>
      <w:r w:rsidR="000B0D28">
        <w:t>private partnerships. It also established a R</w:t>
      </w:r>
      <w:r w:rsidR="001D6147">
        <w:t xml:space="preserve">enewable </w:t>
      </w:r>
      <w:r w:rsidR="000B0D28">
        <w:t>E</w:t>
      </w:r>
      <w:r w:rsidR="001D6147">
        <w:t xml:space="preserve">nergy </w:t>
      </w:r>
      <w:r w:rsidR="000B0D28">
        <w:t>W</w:t>
      </w:r>
      <w:r w:rsidR="001D6147">
        <w:t xml:space="preserve">orking </w:t>
      </w:r>
      <w:r w:rsidR="000B0D28">
        <w:t>G</w:t>
      </w:r>
      <w:r w:rsidR="001D6147">
        <w:t>roup</w:t>
      </w:r>
      <w:r w:rsidR="000B0D28">
        <w:t xml:space="preserve"> and has committed to including infrastructure advisors from Australia’s 3i program as formal members of this group.</w:t>
      </w:r>
    </w:p>
    <w:p w:rsidR="00086569" w:rsidRPr="00086569" w:rsidRDefault="00B238D9" w:rsidP="00086569">
      <w:pPr>
        <w:rPr>
          <w:rFonts w:eastAsia="Times New Roman"/>
        </w:rPr>
      </w:pPr>
      <w:r w:rsidRPr="00B238D9">
        <w:rPr>
          <w:rFonts w:eastAsia="Times New Roman"/>
          <w:b/>
          <w:bCs/>
        </w:rPr>
        <w:t>Agriculture:</w:t>
      </w:r>
      <w:r w:rsidR="00086569">
        <w:rPr>
          <w:rFonts w:eastAsia="Times New Roman"/>
        </w:rPr>
        <w:t xml:space="preserve"> </w:t>
      </w:r>
      <w:r w:rsidR="00086569" w:rsidRPr="00086569">
        <w:rPr>
          <w:rFonts w:eastAsia="Times New Roman"/>
        </w:rPr>
        <w:t xml:space="preserve">In 2017-18, </w:t>
      </w:r>
      <w:r w:rsidR="005E1062">
        <w:rPr>
          <w:rFonts w:eastAsia="Times New Roman"/>
        </w:rPr>
        <w:t>the Cambodian G</w:t>
      </w:r>
      <w:r w:rsidR="00086569" w:rsidRPr="00086569">
        <w:rPr>
          <w:rFonts w:eastAsia="Times New Roman"/>
        </w:rPr>
        <w:t xml:space="preserve">overnment </w:t>
      </w:r>
      <w:r w:rsidR="00283C8B">
        <w:rPr>
          <w:rFonts w:eastAsia="Times New Roman"/>
        </w:rPr>
        <w:t xml:space="preserve">remained committed to </w:t>
      </w:r>
      <w:r w:rsidR="00086569" w:rsidRPr="00086569">
        <w:rPr>
          <w:rFonts w:eastAsia="Times New Roman"/>
        </w:rPr>
        <w:t xml:space="preserve">the implementation of the </w:t>
      </w:r>
      <w:r w:rsidR="00086569" w:rsidRPr="001B21D3">
        <w:rPr>
          <w:rFonts w:eastAsia="Times New Roman"/>
          <w:i/>
        </w:rPr>
        <w:t>Policy on the Promotion of Paddy Production and Rice Export 2011-2020</w:t>
      </w:r>
      <w:r w:rsidR="00283C8B">
        <w:rPr>
          <w:rFonts w:eastAsia="Times New Roman"/>
        </w:rPr>
        <w:t xml:space="preserve"> and to assisting Australia’s engagement with government and non-government stakeholders in support of this policy</w:t>
      </w:r>
      <w:r w:rsidR="00086569" w:rsidRPr="00086569">
        <w:rPr>
          <w:rFonts w:eastAsia="Times New Roman"/>
        </w:rPr>
        <w:t xml:space="preserve">. </w:t>
      </w:r>
      <w:r w:rsidR="008C3B71">
        <w:rPr>
          <w:rFonts w:eastAsia="Times New Roman"/>
        </w:rPr>
        <w:t>We</w:t>
      </w:r>
      <w:r w:rsidR="00086569" w:rsidRPr="00086569">
        <w:rPr>
          <w:rFonts w:eastAsia="Times New Roman"/>
        </w:rPr>
        <w:t xml:space="preserve"> focuse</w:t>
      </w:r>
      <w:r w:rsidR="008C3B71">
        <w:rPr>
          <w:rFonts w:eastAsia="Times New Roman"/>
        </w:rPr>
        <w:t>d</w:t>
      </w:r>
      <w:r w:rsidR="00086569" w:rsidRPr="00086569">
        <w:rPr>
          <w:rFonts w:eastAsia="Times New Roman"/>
        </w:rPr>
        <w:t xml:space="preserve"> on development of irrigation for rice production and support to the rice export market. Since 2010, the annual rice paddy production has exceeded domestic demands by around five million ton</w:t>
      </w:r>
      <w:r w:rsidR="008C3B71">
        <w:rPr>
          <w:rFonts w:eastAsia="Times New Roman"/>
        </w:rPr>
        <w:t>ne</w:t>
      </w:r>
      <w:r w:rsidR="00086569" w:rsidRPr="00086569">
        <w:rPr>
          <w:rFonts w:eastAsia="Times New Roman"/>
        </w:rPr>
        <w:t>s. This surplus is exported through</w:t>
      </w:r>
      <w:r w:rsidR="00375468">
        <w:rPr>
          <w:rFonts w:eastAsia="Times New Roman"/>
        </w:rPr>
        <w:t xml:space="preserve"> informal and formal channels. </w:t>
      </w:r>
      <w:r w:rsidR="00283C8B">
        <w:rPr>
          <w:rFonts w:eastAsia="Times New Roman"/>
        </w:rPr>
        <w:t xml:space="preserve">In 2017, these exports increased </w:t>
      </w:r>
      <w:r w:rsidR="009E17A3">
        <w:rPr>
          <w:rFonts w:eastAsia="Times New Roman"/>
        </w:rPr>
        <w:t>by 17 per cent</w:t>
      </w:r>
      <w:r w:rsidR="00283C8B">
        <w:rPr>
          <w:rFonts w:eastAsia="Times New Roman"/>
        </w:rPr>
        <w:t>.</w:t>
      </w:r>
    </w:p>
    <w:p w:rsidR="00B023CA" w:rsidRPr="00086569" w:rsidRDefault="00B023CA" w:rsidP="00086569">
      <w:pPr>
        <w:rPr>
          <w:rFonts w:eastAsia="Times New Roman"/>
        </w:rPr>
      </w:pPr>
      <w:r w:rsidRPr="00375468">
        <w:rPr>
          <w:b/>
        </w:rPr>
        <w:t>Health:</w:t>
      </w:r>
      <w:r w:rsidRPr="00375468">
        <w:t xml:space="preserve"> The Cambodian Government continues to assume greater ownership and management responsibility for health finan</w:t>
      </w:r>
      <w:r w:rsidR="009E17A3">
        <w:t>cing and quality improvement</w:t>
      </w:r>
      <w:r w:rsidRPr="00375468">
        <w:t>. A</w:t>
      </w:r>
      <w:r w:rsidR="00767B5B">
        <w:t>n important</w:t>
      </w:r>
      <w:r w:rsidRPr="00375468">
        <w:t xml:space="preserve"> milestone in 2017 was the establishment of the </w:t>
      </w:r>
      <w:r w:rsidR="0028281A">
        <w:lastRenderedPageBreak/>
        <w:t>H</w:t>
      </w:r>
      <w:r w:rsidRPr="00375468">
        <w:t xml:space="preserve">ealth Payment Certification Agency, a government semi-autonomous institution that will verify and certify the payments of performance-based grants to hospitals and other public health facilities. This was one of DFAT’s key requirements for H-EQIP </w:t>
      </w:r>
      <w:r w:rsidR="00C34F14">
        <w:t>to ensure rigorous financial controls are in place and</w:t>
      </w:r>
      <w:r w:rsidRPr="00375468">
        <w:t xml:space="preserve"> one we are monitoring closely</w:t>
      </w:r>
      <w:r w:rsidR="00C34F14">
        <w:t>, including as a management response to this report</w:t>
      </w:r>
      <w:r w:rsidR="007F04A4">
        <w:t>.</w:t>
      </w:r>
    </w:p>
    <w:p w:rsidR="00112B17" w:rsidRDefault="00FA2343" w:rsidP="00373063">
      <w:pPr>
        <w:rPr>
          <w:highlight w:val="yellow"/>
        </w:rPr>
      </w:pPr>
      <w:r w:rsidRPr="00375468">
        <w:rPr>
          <w:b/>
          <w:bCs/>
        </w:rPr>
        <w:t>Scholarships:</w:t>
      </w:r>
      <w:r w:rsidRPr="00375468">
        <w:t xml:space="preserve"> We continue to engage with the Cambodian Government through </w:t>
      </w:r>
      <w:r w:rsidR="001A3C9C">
        <w:t>an</w:t>
      </w:r>
      <w:r w:rsidR="001A3C9C" w:rsidRPr="00375468">
        <w:t xml:space="preserve"> </w:t>
      </w:r>
      <w:r w:rsidRPr="00375468">
        <w:t xml:space="preserve">Annual Strategic Review to discuss </w:t>
      </w:r>
      <w:r w:rsidR="005726C4">
        <w:t>program management issues including the effectiveness, efficiency and relevance of the scholarships program</w:t>
      </w:r>
      <w:r w:rsidRPr="00375468">
        <w:t xml:space="preserve">. This dialogue </w:t>
      </w:r>
      <w:r w:rsidR="005726C4">
        <w:t xml:space="preserve">helps </w:t>
      </w:r>
      <w:r w:rsidRPr="00375468">
        <w:t>ensure the program is meeting Cambodia</w:t>
      </w:r>
      <w:r w:rsidR="005726C4">
        <w:t>’s</w:t>
      </w:r>
      <w:r w:rsidRPr="00375468">
        <w:t xml:space="preserve"> human resource needs and is aligned with our </w:t>
      </w:r>
      <w:r w:rsidR="00157EFA">
        <w:t>Cambodia AIP</w:t>
      </w:r>
      <w:r w:rsidRPr="00375468">
        <w:t>.</w:t>
      </w:r>
    </w:p>
    <w:p w:rsidR="002A51CA" w:rsidRPr="002A51CA" w:rsidRDefault="002A51CA" w:rsidP="002A51CA">
      <w:pPr>
        <w:pStyle w:val="Heading2"/>
      </w:pPr>
      <w:r w:rsidRPr="002A51CA">
        <w:t xml:space="preserve">Program Quality and Partner Performance </w:t>
      </w:r>
    </w:p>
    <w:p w:rsidR="002A51CA" w:rsidRPr="002A51CA" w:rsidRDefault="002A51CA" w:rsidP="002A51CA">
      <w:pPr>
        <w:rPr>
          <w:b/>
          <w:lang w:eastAsia="zh-CN"/>
        </w:rPr>
      </w:pPr>
      <w:r w:rsidRPr="002A51CA">
        <w:rPr>
          <w:b/>
          <w:lang w:eastAsia="zh-CN"/>
        </w:rPr>
        <w:t>Overview</w:t>
      </w:r>
      <w:r w:rsidRPr="002A51CA">
        <w:rPr>
          <w:b/>
          <w:lang w:eastAsia="zh-CN"/>
        </w:rPr>
        <w:tab/>
      </w:r>
      <w:r w:rsidRPr="002A51CA">
        <w:rPr>
          <w:b/>
          <w:lang w:eastAsia="zh-CN"/>
        </w:rPr>
        <w:tab/>
      </w:r>
    </w:p>
    <w:p w:rsidR="00C4553C" w:rsidRDefault="00C4553C" w:rsidP="004964CD">
      <w:r>
        <w:t>In this APPR, we rep</w:t>
      </w:r>
      <w:r w:rsidR="005E1062">
        <w:t>ort our achievements against</w:t>
      </w:r>
      <w:r>
        <w:t xml:space="preserve"> last year</w:t>
      </w:r>
      <w:r w:rsidR="005E1062">
        <w:t>’s</w:t>
      </w:r>
      <w:r>
        <w:t xml:space="preserve"> </w:t>
      </w:r>
      <w:r w:rsidR="001A3C9C">
        <w:t>Performance Assessment Framework (</w:t>
      </w:r>
      <w:r>
        <w:t>PAF</w:t>
      </w:r>
      <w:r w:rsidR="001A3C9C">
        <w:t>)</w:t>
      </w:r>
      <w:r>
        <w:t xml:space="preserve"> indicators and seven priority Performance Benchmark</w:t>
      </w:r>
      <w:r w:rsidR="00807EFE">
        <w:t>s</w:t>
      </w:r>
      <w:r>
        <w:t xml:space="preserve">.  We </w:t>
      </w:r>
      <w:r w:rsidR="001A3C9C">
        <w:t xml:space="preserve">have </w:t>
      </w:r>
      <w:r>
        <w:t xml:space="preserve">developed </w:t>
      </w:r>
      <w:r w:rsidR="001A3C9C">
        <w:t>an</w:t>
      </w:r>
      <w:r>
        <w:t xml:space="preserve"> interim PAF and Performance Benchmark for 2018-19 </w:t>
      </w:r>
      <w:r w:rsidR="002463B5">
        <w:t xml:space="preserve">(Annex F) </w:t>
      </w:r>
      <w:r>
        <w:t xml:space="preserve">while </w:t>
      </w:r>
      <w:r w:rsidR="007F04A4">
        <w:t xml:space="preserve">a new </w:t>
      </w:r>
      <w:r>
        <w:t>Aid Investment Plan is being formulated.</w:t>
      </w:r>
    </w:p>
    <w:p w:rsidR="0058590E" w:rsidRPr="0058590E" w:rsidRDefault="0058590E" w:rsidP="0058590E">
      <w:r>
        <w:t>In 201</w:t>
      </w:r>
      <w:r w:rsidRPr="0058590E">
        <w:t>7</w:t>
      </w:r>
      <w:r>
        <w:t>-18</w:t>
      </w:r>
      <w:r w:rsidRPr="0058590E">
        <w:t xml:space="preserve">, the program had </w:t>
      </w:r>
      <w:r>
        <w:t>1</w:t>
      </w:r>
      <w:r w:rsidR="00C44213">
        <w:t>7</w:t>
      </w:r>
      <w:r w:rsidRPr="0058590E">
        <w:t xml:space="preserve"> investments, encompassing </w:t>
      </w:r>
      <w:r w:rsidR="00072014">
        <w:t>26</w:t>
      </w:r>
      <w:r w:rsidRPr="0058590E">
        <w:t xml:space="preserve"> agreements. This compares to</w:t>
      </w:r>
      <w:r w:rsidR="00842D03">
        <w:t xml:space="preserve"> </w:t>
      </w:r>
      <w:r w:rsidRPr="0058590E">
        <w:t>2</w:t>
      </w:r>
      <w:r>
        <w:t>2</w:t>
      </w:r>
      <w:r w:rsidR="00842D03">
        <w:t xml:space="preserve"> </w:t>
      </w:r>
      <w:r w:rsidRPr="0058590E">
        <w:t xml:space="preserve">investments and </w:t>
      </w:r>
      <w:r>
        <w:t>31</w:t>
      </w:r>
      <w:r w:rsidRPr="0058590E">
        <w:t xml:space="preserve"> a</w:t>
      </w:r>
      <w:r>
        <w:t>greements in 2016-17.</w:t>
      </w:r>
      <w:r w:rsidR="005F5CF1">
        <w:t xml:space="preserve"> This </w:t>
      </w:r>
      <w:r w:rsidR="00F5492C">
        <w:t>delivers</w:t>
      </w:r>
      <w:r w:rsidR="00D44334">
        <w:t xml:space="preserve"> </w:t>
      </w:r>
      <w:r w:rsidR="00F5492C">
        <w:t>an aggregate 54 per cent consolidation of the total number of agreements since 2015-16, a substantial achievement</w:t>
      </w:r>
      <w:r w:rsidR="005F5CF1">
        <w:t xml:space="preserve">. </w:t>
      </w:r>
    </w:p>
    <w:p w:rsidR="005F5CF1" w:rsidRDefault="001A3C9C" w:rsidP="005F5CF1">
      <w:r>
        <w:t>Dur</w:t>
      </w:r>
      <w:r w:rsidR="0028281A">
        <w:t>i</w:t>
      </w:r>
      <w:r>
        <w:t>ng the reporting period,</w:t>
      </w:r>
      <w:r w:rsidR="005F5CF1" w:rsidRPr="001510E4">
        <w:t xml:space="preserve"> </w:t>
      </w:r>
      <w:r w:rsidR="001510E4" w:rsidRPr="001510E4">
        <w:t>one</w:t>
      </w:r>
      <w:r w:rsidR="005F5CF1" w:rsidRPr="001510E4">
        <w:t xml:space="preserve"> independent evaluation </w:t>
      </w:r>
      <w:r w:rsidR="001510E4" w:rsidRPr="001510E4">
        <w:t>(3i Scalability Review) and one review (Supporting Effective Governance in Cambodia) were</w:t>
      </w:r>
      <w:r w:rsidR="005F5CF1" w:rsidRPr="001510E4">
        <w:t xml:space="preserve"> undertaken. </w:t>
      </w:r>
      <w:r w:rsidR="005E3343">
        <w:t>Three</w:t>
      </w:r>
      <w:r w:rsidR="005E3343" w:rsidRPr="001510E4">
        <w:t xml:space="preserve"> </w:t>
      </w:r>
      <w:r w:rsidR="005F5CF1" w:rsidRPr="001510E4">
        <w:t>completion reports (</w:t>
      </w:r>
      <w:r w:rsidR="00A56594">
        <w:t>EVAW</w:t>
      </w:r>
      <w:r w:rsidR="000C67AA">
        <w:t xml:space="preserve">, </w:t>
      </w:r>
      <w:r w:rsidR="001510E4" w:rsidRPr="001510E4">
        <w:t>P</w:t>
      </w:r>
      <w:r w:rsidR="00A56594">
        <w:t>FM</w:t>
      </w:r>
      <w:r w:rsidR="000C67AA">
        <w:t>,</w:t>
      </w:r>
      <w:r w:rsidR="005E1062">
        <w:t xml:space="preserve"> and</w:t>
      </w:r>
      <w:r w:rsidR="001510E4" w:rsidRPr="001510E4">
        <w:t xml:space="preserve"> Disabilities Rights Initiative</w:t>
      </w:r>
      <w:r w:rsidR="005F5CF1" w:rsidRPr="001510E4">
        <w:t>) were finalised. The findings</w:t>
      </w:r>
      <w:r w:rsidR="00807EFE">
        <w:t xml:space="preserve"> and</w:t>
      </w:r>
      <w:r w:rsidR="005F5CF1" w:rsidRPr="001510E4">
        <w:t xml:space="preserve"> recommendations of our monitoring and evaluation inform our on-going and planned investments</w:t>
      </w:r>
      <w:r w:rsidR="001510E4" w:rsidRPr="001510E4">
        <w:t xml:space="preserve">. </w:t>
      </w:r>
      <w:r w:rsidR="005F5CF1" w:rsidRPr="001510E4">
        <w:t xml:space="preserve">Annex C lists details of </w:t>
      </w:r>
      <w:r w:rsidR="00AA07E2">
        <w:t>planned evaluations and reviews</w:t>
      </w:r>
      <w:r w:rsidR="009E17A3">
        <w:t>.</w:t>
      </w:r>
    </w:p>
    <w:p w:rsidR="00600479" w:rsidRDefault="00600479" w:rsidP="00BE6C6D">
      <w:pPr>
        <w:rPr>
          <w:b/>
          <w:lang w:eastAsia="zh-CN"/>
        </w:rPr>
      </w:pPr>
      <w:r>
        <w:rPr>
          <w:b/>
          <w:lang w:eastAsia="zh-CN"/>
        </w:rPr>
        <w:t>Aid Quality Checks (AQCs)</w:t>
      </w:r>
    </w:p>
    <w:p w:rsidR="00A06F7A" w:rsidRPr="00F25C1B" w:rsidRDefault="004A732A" w:rsidP="005E1062">
      <w:pPr>
        <w:spacing w:after="120" w:line="280" w:lineRule="exact"/>
      </w:pPr>
      <w:r w:rsidRPr="00F25C1B">
        <w:t>In 20</w:t>
      </w:r>
      <w:r w:rsidR="00445A0C">
        <w:t>17-</w:t>
      </w:r>
      <w:r w:rsidRPr="00F25C1B">
        <w:t xml:space="preserve">18, the Cambodia program had </w:t>
      </w:r>
      <w:r w:rsidR="00DA7D78">
        <w:t>17 investments</w:t>
      </w:r>
      <w:r w:rsidR="005E3343">
        <w:t xml:space="preserve">. Of these, 13 </w:t>
      </w:r>
      <w:r w:rsidR="005E3343" w:rsidRPr="00F25C1B">
        <w:t>require</w:t>
      </w:r>
      <w:r w:rsidR="005E3343">
        <w:t>d</w:t>
      </w:r>
      <w:r w:rsidRPr="00F25C1B">
        <w:t xml:space="preserve"> Aid Quality Checks (AQC)</w:t>
      </w:r>
      <w:r w:rsidR="00883A4B">
        <w:t xml:space="preserve"> and four of those were final AQCs</w:t>
      </w:r>
      <w:r w:rsidRPr="00F25C1B">
        <w:t xml:space="preserve">. </w:t>
      </w:r>
      <w:r w:rsidR="001A3C9C" w:rsidRPr="00C61187">
        <w:t xml:space="preserve">A table of AQC ratings </w:t>
      </w:r>
      <w:r w:rsidR="001A3C9C">
        <w:t>is</w:t>
      </w:r>
      <w:r w:rsidR="001A3C9C" w:rsidRPr="00C61187">
        <w:t xml:space="preserve"> included </w:t>
      </w:r>
      <w:r w:rsidR="001A3C9C">
        <w:t>at</w:t>
      </w:r>
      <w:r w:rsidR="001A3C9C" w:rsidRPr="00C61187">
        <w:t xml:space="preserve"> </w:t>
      </w:r>
      <w:r w:rsidR="001A3C9C" w:rsidRPr="00F52C0C">
        <w:t>Annex D</w:t>
      </w:r>
      <w:r w:rsidR="001A3C9C" w:rsidRPr="00C61187">
        <w:t>.</w:t>
      </w:r>
    </w:p>
    <w:p w:rsidR="001A3C9C" w:rsidRDefault="004A732A" w:rsidP="001A3C9C">
      <w:pPr>
        <w:spacing w:after="120" w:line="280" w:lineRule="exact"/>
      </w:pPr>
      <w:r w:rsidRPr="00F25C1B">
        <w:t xml:space="preserve">The overall ratings across the program confirm </w:t>
      </w:r>
      <w:r w:rsidR="00341F4B">
        <w:t>strong</w:t>
      </w:r>
      <w:r w:rsidR="00A119A2">
        <w:t xml:space="preserve"> performance and</w:t>
      </w:r>
      <w:r w:rsidRPr="00F25C1B">
        <w:t xml:space="preserve"> quality of our investments in Cambodia. </w:t>
      </w:r>
      <w:r w:rsidR="00445A0C">
        <w:t>All</w:t>
      </w:r>
      <w:r w:rsidRPr="00F25C1B">
        <w:t xml:space="preserve"> 1</w:t>
      </w:r>
      <w:r w:rsidR="00445A0C">
        <w:t>3</w:t>
      </w:r>
      <w:r w:rsidRPr="00F25C1B">
        <w:t> investments were rated satisfactory</w:t>
      </w:r>
      <w:r w:rsidR="00A119A2">
        <w:t xml:space="preserve"> for the </w:t>
      </w:r>
      <w:r>
        <w:t>Effectiveness, Relevance, M</w:t>
      </w:r>
      <w:r w:rsidR="00A119A2">
        <w:t xml:space="preserve">onitoring and </w:t>
      </w:r>
      <w:r w:rsidRPr="00F25C1B">
        <w:t>E</w:t>
      </w:r>
      <w:r w:rsidR="00A119A2">
        <w:t>valuation,</w:t>
      </w:r>
      <w:r w:rsidRPr="00F25C1B">
        <w:t xml:space="preserve"> and Sustainability</w:t>
      </w:r>
      <w:r w:rsidR="00A119A2">
        <w:t xml:space="preserve"> criteria</w:t>
      </w:r>
      <w:r w:rsidR="00341F4B">
        <w:t>.</w:t>
      </w:r>
      <w:r w:rsidRPr="00F25C1B">
        <w:t xml:space="preserve"> </w:t>
      </w:r>
      <w:r w:rsidR="00A119A2">
        <w:t>The performance of our projects</w:t>
      </w:r>
      <w:r w:rsidRPr="00F25C1B">
        <w:t xml:space="preserve"> decrease</w:t>
      </w:r>
      <w:r w:rsidR="00A119A2">
        <w:t>d slightly against both the</w:t>
      </w:r>
      <w:r w:rsidRPr="00F25C1B" w:rsidDel="00E62D81">
        <w:t xml:space="preserve"> </w:t>
      </w:r>
      <w:r w:rsidR="00A119A2" w:rsidRPr="00F25C1B">
        <w:t>Efficiency</w:t>
      </w:r>
      <w:r w:rsidR="00A119A2">
        <w:t xml:space="preserve"> and Gender Equality criteria. </w:t>
      </w:r>
      <w:r w:rsidR="00341F4B">
        <w:t>While we met the</w:t>
      </w:r>
      <w:r w:rsidRPr="00F25C1B">
        <w:t xml:space="preserve"> </w:t>
      </w:r>
      <w:r w:rsidR="00A119A2">
        <w:t>d</w:t>
      </w:r>
      <w:r w:rsidRPr="00F25C1B">
        <w:t xml:space="preserve">epartmental </w:t>
      </w:r>
      <w:r w:rsidR="00A119A2">
        <w:t>priority to achieve</w:t>
      </w:r>
      <w:r w:rsidRPr="00F25C1B">
        <w:t xml:space="preserve"> 80</w:t>
      </w:r>
      <w:r w:rsidR="00A119A2">
        <w:t xml:space="preserve"> per cent</w:t>
      </w:r>
      <w:r w:rsidRPr="00F25C1B">
        <w:t xml:space="preserve"> of all programs satisfactor</w:t>
      </w:r>
      <w:r w:rsidR="00A06F7A">
        <w:t xml:space="preserve">ily </w:t>
      </w:r>
      <w:r w:rsidR="00341F4B">
        <w:t>addressing gender equality, we will aim to</w:t>
      </w:r>
      <w:r w:rsidR="00105DDD">
        <w:t xml:space="preserve"> improve this score in future</w:t>
      </w:r>
      <w:r w:rsidR="00A06F7A">
        <w:t>.</w:t>
      </w:r>
    </w:p>
    <w:p w:rsidR="00BF2A97" w:rsidRDefault="001A3C9C" w:rsidP="001A3C9C">
      <w:pPr>
        <w:spacing w:after="120" w:line="280" w:lineRule="exact"/>
      </w:pPr>
      <w:r w:rsidRPr="00F25C1B">
        <w:t xml:space="preserve">In </w:t>
      </w:r>
      <w:r>
        <w:t>2016-</w:t>
      </w:r>
      <w:r w:rsidRPr="00F25C1B">
        <w:t>17, two investments were rated as Initiatives Requiring Improvement: Cl</w:t>
      </w:r>
      <w:r>
        <w:t>earing for Results Phase 3; and the</w:t>
      </w:r>
      <w:r w:rsidRPr="00F25C1B">
        <w:t xml:space="preserve"> Rural Roads Improvement Project Phase 2. Both investments were successful</w:t>
      </w:r>
      <w:r>
        <w:t>ly remediated throughout 2017-</w:t>
      </w:r>
      <w:r w:rsidRPr="00F25C1B">
        <w:t xml:space="preserve">18 </w:t>
      </w:r>
      <w:r>
        <w:t>as verified by the</w:t>
      </w:r>
      <w:r w:rsidRPr="00F25C1B">
        <w:t xml:space="preserve"> 2018 AQC process</w:t>
      </w:r>
      <w:r>
        <w:t>.</w:t>
      </w:r>
    </w:p>
    <w:p w:rsidR="00600479" w:rsidRDefault="00600479" w:rsidP="005E1062">
      <w:pPr>
        <w:rPr>
          <w:b/>
          <w:lang w:eastAsia="zh-CN"/>
        </w:rPr>
      </w:pPr>
      <w:r>
        <w:rPr>
          <w:b/>
          <w:lang w:eastAsia="zh-CN"/>
        </w:rPr>
        <w:t>Performance of key delivery partners</w:t>
      </w:r>
    </w:p>
    <w:p w:rsidR="00105DDD" w:rsidRPr="005F5CF1" w:rsidRDefault="00105DDD" w:rsidP="005E1062">
      <w:r w:rsidRPr="005F5CF1">
        <w:t>We assessed our implementing partners through 1</w:t>
      </w:r>
      <w:r>
        <w:t>2</w:t>
      </w:r>
      <w:r w:rsidRPr="005F5CF1">
        <w:t xml:space="preserve"> Partner Performance Assessments.</w:t>
      </w:r>
      <w:r w:rsidR="00157EFA">
        <w:t xml:space="preserve"> </w:t>
      </w:r>
      <w:r>
        <w:t>In general,</w:t>
      </w:r>
      <w:r w:rsidRPr="005F5CF1">
        <w:t xml:space="preserve"> scores were higher than satisfactory.</w:t>
      </w:r>
      <w:r>
        <w:t xml:space="preserve"> </w:t>
      </w:r>
      <w:r w:rsidR="00341F4B">
        <w:t>One partner</w:t>
      </w:r>
      <w:r>
        <w:t xml:space="preserve"> </w:t>
      </w:r>
      <w:r w:rsidR="00341F4B">
        <w:t xml:space="preserve">was assessed as performing less than adequately on </w:t>
      </w:r>
      <w:r w:rsidR="00807EFE">
        <w:t>three criteria</w:t>
      </w:r>
      <w:r w:rsidR="001A3C9C">
        <w:t xml:space="preserve"> </w:t>
      </w:r>
      <w:r w:rsidR="001A3C9C" w:rsidRPr="0006552E">
        <w:t>and this trigge</w:t>
      </w:r>
      <w:r w:rsidR="00F53EB0">
        <w:t>re</w:t>
      </w:r>
      <w:r w:rsidR="0028281A" w:rsidRPr="00F34544">
        <w:t>d</w:t>
      </w:r>
      <w:r w:rsidR="001A3C9C" w:rsidRPr="00F34544">
        <w:t xml:space="preserve"> a financial penalty for the partner as permitted under the contract for this aid investment</w:t>
      </w:r>
      <w:r w:rsidRPr="0028281A">
        <w:t>.</w:t>
      </w:r>
      <w:r>
        <w:t xml:space="preserve"> An Improvement Plan </w:t>
      </w:r>
      <w:r w:rsidR="00807EFE">
        <w:t xml:space="preserve">with senior management oversight is in place </w:t>
      </w:r>
      <w:r>
        <w:t>to lift</w:t>
      </w:r>
      <w:r w:rsidR="00807EFE">
        <w:t xml:space="preserve"> performance</w:t>
      </w:r>
      <w:r>
        <w:t xml:space="preserve">. </w:t>
      </w:r>
    </w:p>
    <w:p w:rsidR="00112B17" w:rsidRDefault="002A51CA" w:rsidP="00B47DA7">
      <w:pPr>
        <w:pStyle w:val="Heading2"/>
      </w:pPr>
      <w:r w:rsidRPr="002A51CA">
        <w:t>Risks</w:t>
      </w:r>
    </w:p>
    <w:p w:rsidR="00105DDD" w:rsidRDefault="00C23B44" w:rsidP="00B47DA7">
      <w:pPr>
        <w:spacing w:after="120" w:line="280" w:lineRule="exact"/>
      </w:pPr>
      <w:r>
        <w:t>During 2017-18, the risk profile of the aid program did not shift dramatically, but considerable risks continue to threaten</w:t>
      </w:r>
      <w:r w:rsidR="00105DDD">
        <w:t xml:space="preserve"> the </w:t>
      </w:r>
      <w:r>
        <w:t>program. Many of the risks identified in Table 3 were also identified in 2016-17</w:t>
      </w:r>
      <w:r w:rsidR="001A3C9C">
        <w:t>. These</w:t>
      </w:r>
      <w:r>
        <w:t xml:space="preserve"> were </w:t>
      </w:r>
      <w:r w:rsidR="001A3C9C">
        <w:t xml:space="preserve">all </w:t>
      </w:r>
      <w:r>
        <w:t>managed effectively</w:t>
      </w:r>
      <w:r w:rsidR="00934337">
        <w:t xml:space="preserve"> over the last year</w:t>
      </w:r>
      <w:r>
        <w:t xml:space="preserve">. Staff received training in </w:t>
      </w:r>
      <w:r w:rsidR="00EE334A">
        <w:t>f</w:t>
      </w:r>
      <w:r>
        <w:t xml:space="preserve">raud </w:t>
      </w:r>
      <w:r w:rsidR="00EE334A">
        <w:t xml:space="preserve">control </w:t>
      </w:r>
      <w:r>
        <w:t xml:space="preserve">to ensure they </w:t>
      </w:r>
      <w:r w:rsidR="00A56594">
        <w:t>were</w:t>
      </w:r>
      <w:r>
        <w:t xml:space="preserve"> up to date with departmental policies and procedures</w:t>
      </w:r>
      <w:r w:rsidR="001A3C9C">
        <w:t>.</w:t>
      </w:r>
      <w:r>
        <w:t xml:space="preserve"> </w:t>
      </w:r>
      <w:r w:rsidR="001A3C9C">
        <w:t>W</w:t>
      </w:r>
      <w:r>
        <w:t xml:space="preserve">e continued to engage with the Cambodian </w:t>
      </w:r>
      <w:r w:rsidR="00EE334A">
        <w:t>G</w:t>
      </w:r>
      <w:r>
        <w:t xml:space="preserve">overnment to ensure alignment to our common development priorities </w:t>
      </w:r>
      <w:r w:rsidR="005E1062">
        <w:t>–</w:t>
      </w:r>
      <w:r w:rsidR="00934337">
        <w:t xml:space="preserve"> </w:t>
      </w:r>
      <w:r>
        <w:t>securing relevance a</w:t>
      </w:r>
      <w:r w:rsidR="005E1062">
        <w:t>nd effectiveness in our program –</w:t>
      </w:r>
      <w:r>
        <w:t xml:space="preserve"> and we monitor</w:t>
      </w:r>
      <w:r w:rsidR="00EE334A">
        <w:t xml:space="preserve">ed </w:t>
      </w:r>
      <w:r>
        <w:t xml:space="preserve">political developments closely. </w:t>
      </w:r>
    </w:p>
    <w:p w:rsidR="009E17A3" w:rsidRDefault="00C23B44" w:rsidP="00D876E3">
      <w:pPr>
        <w:spacing w:after="120" w:line="280" w:lineRule="exact"/>
        <w:rPr>
          <w:b/>
          <w:sz w:val="24"/>
        </w:rPr>
      </w:pPr>
      <w:r>
        <w:lastRenderedPageBreak/>
        <w:t>Table 3 below outlines risks to the achievements of aid program objectives and management responses.</w:t>
      </w:r>
    </w:p>
    <w:p w:rsidR="002A51CA" w:rsidRPr="008C2F58" w:rsidRDefault="002A51CA" w:rsidP="00D876E3">
      <w:pPr>
        <w:spacing w:after="120" w:line="280" w:lineRule="exact"/>
        <w:rPr>
          <w:b/>
          <w:sz w:val="24"/>
        </w:rPr>
      </w:pPr>
      <w:r w:rsidRPr="008C2F58">
        <w:rPr>
          <w:b/>
          <w:sz w:val="24"/>
        </w:rPr>
        <w:t>Table 3</w:t>
      </w:r>
      <w:r w:rsidR="00332EC9">
        <w:rPr>
          <w:b/>
          <w:sz w:val="24"/>
        </w:rPr>
        <w:t>:</w:t>
      </w:r>
      <w:r w:rsidRPr="008C2F58">
        <w:rPr>
          <w:b/>
          <w:sz w:val="24"/>
        </w:rPr>
        <w:t xml:space="preserve"> Management of Key Risks to Achieving Objectives</w:t>
      </w:r>
    </w:p>
    <w:tbl>
      <w:tblPr>
        <w:tblStyle w:val="APPR"/>
        <w:tblW w:w="5147" w:type="pct"/>
        <w:tblInd w:w="-284" w:type="dxa"/>
        <w:tblBorders>
          <w:top w:val="none" w:sz="0" w:space="0" w:color="auto"/>
          <w:bottom w:val="none" w:sz="0" w:space="0" w:color="auto"/>
        </w:tblBorders>
        <w:tblLook w:val="0600" w:firstRow="0" w:lastRow="0" w:firstColumn="0" w:lastColumn="0" w:noHBand="1" w:noVBand="1"/>
      </w:tblPr>
      <w:tblGrid>
        <w:gridCol w:w="2212"/>
        <w:gridCol w:w="2182"/>
        <w:gridCol w:w="2268"/>
        <w:gridCol w:w="2126"/>
        <w:gridCol w:w="1133"/>
      </w:tblGrid>
      <w:tr w:rsidR="002A6AC8" w:rsidRPr="00C61187" w:rsidTr="002463B5">
        <w:tc>
          <w:tcPr>
            <w:tcW w:w="2170" w:type="dxa"/>
            <w:hideMark/>
          </w:tcPr>
          <w:p w:rsidR="002A6AC8" w:rsidRPr="00BE6C6D" w:rsidRDefault="002A6AC8" w:rsidP="00BE6C6D">
            <w:pPr>
              <w:rPr>
                <w:rFonts w:asciiTheme="minorHAnsi" w:hAnsiTheme="minorHAnsi"/>
                <w:b/>
              </w:rPr>
            </w:pPr>
            <w:r w:rsidRPr="00BE6C6D">
              <w:rPr>
                <w:rFonts w:asciiTheme="minorHAnsi" w:hAnsiTheme="minorHAnsi"/>
                <w:b/>
              </w:rPr>
              <w:t>Key risks</w:t>
            </w:r>
          </w:p>
        </w:tc>
        <w:tc>
          <w:tcPr>
            <w:tcW w:w="2154" w:type="dxa"/>
          </w:tcPr>
          <w:p w:rsidR="002A6AC8" w:rsidRPr="00BE6C6D" w:rsidRDefault="002A6AC8" w:rsidP="00BE6C6D">
            <w:pPr>
              <w:rPr>
                <w:rFonts w:asciiTheme="minorHAnsi" w:hAnsiTheme="minorHAnsi"/>
                <w:b/>
              </w:rPr>
            </w:pPr>
            <w:r w:rsidRPr="00BE6C6D">
              <w:rPr>
                <w:rFonts w:asciiTheme="minorHAnsi" w:hAnsiTheme="minorHAnsi"/>
                <w:b/>
              </w:rPr>
              <w:t>What actions were taken to manage the risks over the past year?</w:t>
            </w:r>
          </w:p>
        </w:tc>
        <w:tc>
          <w:tcPr>
            <w:tcW w:w="2240" w:type="dxa"/>
          </w:tcPr>
          <w:p w:rsidR="002A6AC8" w:rsidRPr="00BE6C6D" w:rsidRDefault="002A6AC8" w:rsidP="00BE6C6D">
            <w:pPr>
              <w:rPr>
                <w:rFonts w:asciiTheme="minorHAnsi" w:hAnsiTheme="minorHAnsi"/>
                <w:b/>
              </w:rPr>
            </w:pPr>
            <w:r w:rsidRPr="00BE6C6D">
              <w:rPr>
                <w:rFonts w:asciiTheme="minorHAnsi" w:hAnsiTheme="minorHAnsi"/>
                <w:b/>
              </w:rPr>
              <w:t>What further actions will be taken to manage the risks in the coming year?</w:t>
            </w:r>
          </w:p>
        </w:tc>
        <w:tc>
          <w:tcPr>
            <w:tcW w:w="2098" w:type="dxa"/>
          </w:tcPr>
          <w:p w:rsidR="002A6AC8" w:rsidRPr="00BE6C6D" w:rsidRDefault="002A6AC8" w:rsidP="00BE6C6D">
            <w:pPr>
              <w:rPr>
                <w:rFonts w:asciiTheme="minorHAnsi" w:hAnsiTheme="minorHAnsi"/>
                <w:b/>
              </w:rPr>
            </w:pPr>
            <w:r w:rsidRPr="00BE6C6D">
              <w:rPr>
                <w:rFonts w:asciiTheme="minorHAnsi" w:hAnsiTheme="minorHAnsi"/>
                <w:b/>
              </w:rPr>
              <w:t>For emerging/ongoing risks provide a Risk Rating (low, medium, high, very high)</w:t>
            </w:r>
          </w:p>
        </w:tc>
        <w:tc>
          <w:tcPr>
            <w:tcW w:w="1091" w:type="dxa"/>
          </w:tcPr>
          <w:p w:rsidR="002A6AC8" w:rsidRPr="00BE6C6D" w:rsidRDefault="0043564E" w:rsidP="0043564E">
            <w:pPr>
              <w:rPr>
                <w:b/>
              </w:rPr>
            </w:pPr>
            <w:r>
              <w:rPr>
                <w:b/>
              </w:rPr>
              <w:t xml:space="preserve">Are </w:t>
            </w:r>
            <w:r w:rsidR="002A6AC8">
              <w:rPr>
                <w:b/>
              </w:rPr>
              <w:t xml:space="preserve">these same risks </w:t>
            </w:r>
            <w:r>
              <w:rPr>
                <w:b/>
              </w:rPr>
              <w:t xml:space="preserve">in </w:t>
            </w:r>
            <w:r w:rsidR="00420A5B">
              <w:rPr>
                <w:b/>
              </w:rPr>
              <w:t xml:space="preserve">Post’s Risk Register </w:t>
            </w:r>
          </w:p>
        </w:tc>
      </w:tr>
      <w:tr w:rsidR="00B023CA" w:rsidRPr="00C61187" w:rsidTr="002463B5">
        <w:tc>
          <w:tcPr>
            <w:tcW w:w="2170" w:type="dxa"/>
            <w:hideMark/>
          </w:tcPr>
          <w:p w:rsidR="00B023CA" w:rsidRPr="009E17A3" w:rsidRDefault="00B023CA" w:rsidP="00B023CA">
            <w:pPr>
              <w:rPr>
                <w:lang w:val="en-AU"/>
              </w:rPr>
            </w:pPr>
            <w:r w:rsidRPr="002463B5">
              <w:t xml:space="preserve">Further deterioration in the political context, </w:t>
            </w:r>
            <w:r w:rsidR="003C7DC7">
              <w:t>after the 2018 national election adversely impacts on our bilateral relationship. This makes it difficult for Australia to advance or implement its foreign, trade and development priority objectives.</w:t>
            </w:r>
          </w:p>
        </w:tc>
        <w:tc>
          <w:tcPr>
            <w:tcW w:w="2154" w:type="dxa"/>
          </w:tcPr>
          <w:p w:rsidR="00B023CA" w:rsidRPr="002463B5" w:rsidRDefault="00B023CA" w:rsidP="00B023CA">
            <w:r w:rsidRPr="002463B5">
              <w:t xml:space="preserve">We continued to monitor the political situation and made representations, as appropriate. We worked with implementing partners to develop strategies to continue delivering aid programs during this period. </w:t>
            </w:r>
          </w:p>
        </w:tc>
        <w:tc>
          <w:tcPr>
            <w:tcW w:w="2240" w:type="dxa"/>
          </w:tcPr>
          <w:p w:rsidR="00B023CA" w:rsidRPr="002463B5" w:rsidRDefault="00B023CA" w:rsidP="00B023CA">
            <w:r w:rsidRPr="002463B5">
              <w:t>We will continue to monitor the political context, ensure good working relations and make representations, as appropriate. We will also</w:t>
            </w:r>
            <w:r w:rsidR="00B34FCD">
              <w:t xml:space="preserve"> robustly monitor the implementation of the aid program and</w:t>
            </w:r>
            <w:r w:rsidRPr="002463B5">
              <w:t xml:space="preserve"> continue to work with partners to</w:t>
            </w:r>
            <w:r w:rsidR="00B34FCD">
              <w:t xml:space="preserve"> </w:t>
            </w:r>
            <w:r w:rsidRPr="002463B5">
              <w:t>deliver</w:t>
            </w:r>
            <w:r w:rsidR="00B34FCD">
              <w:t xml:space="preserve"> </w:t>
            </w:r>
            <w:r w:rsidRPr="002463B5">
              <w:t xml:space="preserve"> aid programs. </w:t>
            </w:r>
            <w:r w:rsidR="00B34FCD">
              <w:t xml:space="preserve"> </w:t>
            </w:r>
          </w:p>
        </w:tc>
        <w:tc>
          <w:tcPr>
            <w:tcW w:w="2098" w:type="dxa"/>
          </w:tcPr>
          <w:p w:rsidR="00B023CA" w:rsidRPr="002463B5" w:rsidRDefault="00B023CA" w:rsidP="00B023CA">
            <w:r w:rsidRPr="002463B5">
              <w:t xml:space="preserve">High </w:t>
            </w:r>
          </w:p>
        </w:tc>
        <w:tc>
          <w:tcPr>
            <w:tcW w:w="1091" w:type="dxa"/>
          </w:tcPr>
          <w:p w:rsidR="00B023CA" w:rsidRPr="002463B5" w:rsidRDefault="00B023CA" w:rsidP="00B023CA">
            <w:r w:rsidRPr="002463B5">
              <w:t xml:space="preserve">Yes </w:t>
            </w:r>
          </w:p>
        </w:tc>
      </w:tr>
      <w:tr w:rsidR="00B023CA" w:rsidRPr="00C61187" w:rsidTr="002463B5">
        <w:tc>
          <w:tcPr>
            <w:tcW w:w="2170" w:type="dxa"/>
          </w:tcPr>
          <w:p w:rsidR="00B023CA" w:rsidRPr="002463B5" w:rsidRDefault="00B023CA" w:rsidP="00B023CA">
            <w:r w:rsidRPr="002463B5">
              <w:t xml:space="preserve">Australia’s influence diminishes due to the relative size of its aid program compared to the growing contributions from emerging donors </w:t>
            </w:r>
            <w:r w:rsidR="000E70AA">
              <w:t>and the large portion of Australian aid delivered in Cambodia outside the bilateral aid program</w:t>
            </w:r>
          </w:p>
          <w:p w:rsidR="00B023CA" w:rsidRPr="002463B5" w:rsidRDefault="00B023CA" w:rsidP="00B023CA"/>
        </w:tc>
        <w:tc>
          <w:tcPr>
            <w:tcW w:w="2154" w:type="dxa"/>
          </w:tcPr>
          <w:p w:rsidR="00B023CA" w:rsidRPr="002463B5" w:rsidRDefault="00B023CA" w:rsidP="00B34FCD">
            <w:r w:rsidRPr="002463B5">
              <w:t xml:space="preserve">We continued to maintain ongoing engagement with the Cambodian Government in the delivery of our aid programs. This ensured our investments remained relevant to </w:t>
            </w:r>
            <w:r w:rsidR="0092138A">
              <w:t>th</w:t>
            </w:r>
            <w:r w:rsidR="00B34FCD">
              <w:t>e</w:t>
            </w:r>
            <w:r w:rsidR="0092138A">
              <w:t xml:space="preserve"> </w:t>
            </w:r>
            <w:r w:rsidR="00B34FCD">
              <w:t xml:space="preserve">Cambodia’s development needs </w:t>
            </w:r>
            <w:r w:rsidRPr="002463B5">
              <w:t>maintain</w:t>
            </w:r>
            <w:r w:rsidR="00B34FCD">
              <w:t>ing</w:t>
            </w:r>
            <w:r w:rsidRPr="002463B5">
              <w:t xml:space="preserve"> our reputation as an effective donor. </w:t>
            </w:r>
          </w:p>
        </w:tc>
        <w:tc>
          <w:tcPr>
            <w:tcW w:w="2240" w:type="dxa"/>
          </w:tcPr>
          <w:p w:rsidR="00B023CA" w:rsidRPr="002463B5" w:rsidRDefault="00B023CA" w:rsidP="005B6F57">
            <w:r w:rsidRPr="002463B5">
              <w:t xml:space="preserve">We will continue to engage with Cambodian </w:t>
            </w:r>
            <w:r w:rsidR="0092138A">
              <w:t>stakeholders</w:t>
            </w:r>
            <w:r w:rsidRPr="002463B5">
              <w:t xml:space="preserve"> in developing the new Aid Investment Plan to ensure our investments </w:t>
            </w:r>
            <w:r w:rsidR="000E70AA">
              <w:t>achieve maximum impact for the Cambodian people</w:t>
            </w:r>
            <w:r w:rsidRPr="002463B5">
              <w:t xml:space="preserve">. We will </w:t>
            </w:r>
            <w:r w:rsidR="000E70AA">
              <w:t xml:space="preserve">assess </w:t>
            </w:r>
            <w:r w:rsidR="003E7793">
              <w:t>the ramifications of a large non-bilateral component of our aid program</w:t>
            </w:r>
            <w:r w:rsidR="00420A5B">
              <w:t>, and will</w:t>
            </w:r>
            <w:r w:rsidRPr="002463B5">
              <w:t xml:space="preserve"> continue to </w:t>
            </w:r>
            <w:r w:rsidR="00EE334A">
              <w:t xml:space="preserve">attempt to </w:t>
            </w:r>
            <w:r w:rsidRPr="002463B5">
              <w:t xml:space="preserve">engage with emerging donors. </w:t>
            </w:r>
          </w:p>
        </w:tc>
        <w:tc>
          <w:tcPr>
            <w:tcW w:w="2098" w:type="dxa"/>
          </w:tcPr>
          <w:p w:rsidR="00B023CA" w:rsidRPr="002463B5" w:rsidRDefault="00B023CA" w:rsidP="00B023CA">
            <w:r w:rsidRPr="002463B5">
              <w:t xml:space="preserve">Medium </w:t>
            </w:r>
          </w:p>
        </w:tc>
        <w:tc>
          <w:tcPr>
            <w:tcW w:w="1091" w:type="dxa"/>
          </w:tcPr>
          <w:p w:rsidR="00B023CA" w:rsidRPr="002463B5" w:rsidRDefault="00B023CA" w:rsidP="00B023CA">
            <w:r w:rsidRPr="002463B5">
              <w:t xml:space="preserve">Yes </w:t>
            </w:r>
          </w:p>
        </w:tc>
      </w:tr>
      <w:tr w:rsidR="00B023CA" w:rsidRPr="00C61187" w:rsidTr="002463B5">
        <w:tc>
          <w:tcPr>
            <w:tcW w:w="2170" w:type="dxa"/>
          </w:tcPr>
          <w:p w:rsidR="00B023CA" w:rsidRPr="002463B5" w:rsidRDefault="00B023CA" w:rsidP="00B023CA">
            <w:r w:rsidRPr="002463B5">
              <w:t xml:space="preserve">Fraud, corruption and non-compliance with safeguards policies, including child protection, work health and safety could adversely affect the reputation of the Australian Government’s aid program </w:t>
            </w:r>
          </w:p>
          <w:p w:rsidR="00B023CA" w:rsidRPr="002463B5" w:rsidRDefault="00B023CA" w:rsidP="00B023CA"/>
        </w:tc>
        <w:tc>
          <w:tcPr>
            <w:tcW w:w="2154" w:type="dxa"/>
          </w:tcPr>
          <w:p w:rsidR="00B023CA" w:rsidRPr="002463B5" w:rsidRDefault="00B023CA" w:rsidP="008C4C40">
            <w:r w:rsidRPr="002463B5">
              <w:t>DFAT’s Fraud and Anti-Corruption Section delivered training to staff at Post and implementing partners to ensure they are up to date on DFAT’s fraud and anti-corruption policies.  </w:t>
            </w:r>
            <w:r w:rsidR="00EE334A">
              <w:t>In addition, DFAT does not deliver aid through Cambodian Government financial systems.</w:t>
            </w:r>
          </w:p>
        </w:tc>
        <w:tc>
          <w:tcPr>
            <w:tcW w:w="2240" w:type="dxa"/>
          </w:tcPr>
          <w:p w:rsidR="00B023CA" w:rsidRPr="002463B5" w:rsidRDefault="00B023CA" w:rsidP="00B023CA">
            <w:r w:rsidRPr="002463B5">
              <w:t>We will ensure staff at Post and implementing partners are up to date on DFAT’s safeguards policies through providing regular training. In 2018-19, we will be working with DFAT’s Safeguards area to deliver training in risk management and child protection for staff and to implementing partners.</w:t>
            </w:r>
          </w:p>
        </w:tc>
        <w:tc>
          <w:tcPr>
            <w:tcW w:w="2098" w:type="dxa"/>
          </w:tcPr>
          <w:p w:rsidR="00B023CA" w:rsidRPr="002463B5" w:rsidRDefault="00B023CA" w:rsidP="00B023CA">
            <w:r w:rsidRPr="002463B5">
              <w:t>Medium</w:t>
            </w:r>
          </w:p>
        </w:tc>
        <w:tc>
          <w:tcPr>
            <w:tcW w:w="1091" w:type="dxa"/>
          </w:tcPr>
          <w:p w:rsidR="00B023CA" w:rsidRPr="002463B5" w:rsidRDefault="00B023CA" w:rsidP="00B023CA">
            <w:r w:rsidRPr="002463B5">
              <w:t xml:space="preserve">Yes </w:t>
            </w:r>
          </w:p>
        </w:tc>
      </w:tr>
      <w:tr w:rsidR="00B023CA" w:rsidRPr="00C61187" w:rsidTr="002463B5">
        <w:tc>
          <w:tcPr>
            <w:tcW w:w="2170" w:type="dxa"/>
          </w:tcPr>
          <w:p w:rsidR="00B023CA" w:rsidRPr="002463B5" w:rsidRDefault="00B023CA" w:rsidP="00B023CA">
            <w:r w:rsidRPr="002463B5">
              <w:t xml:space="preserve">Staff capacity is stretched impacting on the effective delivery of the aid program the ability of staff to engage strategically in their respective sectors </w:t>
            </w:r>
          </w:p>
        </w:tc>
        <w:tc>
          <w:tcPr>
            <w:tcW w:w="2154" w:type="dxa"/>
          </w:tcPr>
          <w:p w:rsidR="00B023CA" w:rsidRPr="002463B5" w:rsidRDefault="00B023CA" w:rsidP="00B023CA">
            <w:r w:rsidRPr="002463B5">
              <w:t xml:space="preserve">We continued to work closely with desk to effectively share resources and tasking, as appropriate. </w:t>
            </w:r>
          </w:p>
        </w:tc>
        <w:tc>
          <w:tcPr>
            <w:tcW w:w="2240" w:type="dxa"/>
          </w:tcPr>
          <w:p w:rsidR="00B023CA" w:rsidRPr="002463B5" w:rsidRDefault="00B023CA" w:rsidP="00B023CA">
            <w:r w:rsidRPr="002463B5">
              <w:t xml:space="preserve">We will continue to identify innovative opportunities to ensure we have sufficient resources to engage strategically and ensure the effective delivery of the aid program. For example, we will consider contracting in aid expertise to strengthen program performance and quality. </w:t>
            </w:r>
          </w:p>
        </w:tc>
        <w:tc>
          <w:tcPr>
            <w:tcW w:w="2098" w:type="dxa"/>
          </w:tcPr>
          <w:p w:rsidR="00B023CA" w:rsidRPr="002463B5" w:rsidRDefault="00B023CA" w:rsidP="00B023CA">
            <w:r w:rsidRPr="002463B5">
              <w:t xml:space="preserve">Medium </w:t>
            </w:r>
          </w:p>
        </w:tc>
        <w:tc>
          <w:tcPr>
            <w:tcW w:w="1091" w:type="dxa"/>
          </w:tcPr>
          <w:p w:rsidR="00B023CA" w:rsidRPr="002463B5" w:rsidRDefault="00B023CA" w:rsidP="00B023CA">
            <w:r w:rsidRPr="002463B5">
              <w:t>Yes</w:t>
            </w:r>
          </w:p>
        </w:tc>
      </w:tr>
    </w:tbl>
    <w:p w:rsidR="002A51CA" w:rsidRPr="002A51CA" w:rsidRDefault="002A51CA" w:rsidP="002A51CA">
      <w:pPr>
        <w:pStyle w:val="Heading2"/>
      </w:pPr>
      <w:r w:rsidRPr="002A51CA">
        <w:lastRenderedPageBreak/>
        <w:t xml:space="preserve">Management </w:t>
      </w:r>
      <w:r w:rsidR="00AC302F">
        <w:t>actions</w:t>
      </w:r>
      <w:r w:rsidRPr="002A51CA">
        <w:tab/>
      </w:r>
      <w:r w:rsidRPr="002A51CA">
        <w:tab/>
      </w:r>
    </w:p>
    <w:p w:rsidR="00112B17" w:rsidRPr="00E87383" w:rsidRDefault="00112B17" w:rsidP="003E1C6C">
      <w:pPr>
        <w:rPr>
          <w:rFonts w:eastAsia="Times New Roman"/>
          <w:iCs/>
        </w:rPr>
      </w:pPr>
      <w:r w:rsidRPr="00E87383">
        <w:t>In 2017-18</w:t>
      </w:r>
      <w:r w:rsidR="00B34FCD">
        <w:t>,</w:t>
      </w:r>
      <w:r w:rsidRPr="00E87383">
        <w:t xml:space="preserve"> we made strong progress against 2016</w:t>
      </w:r>
      <w:r w:rsidR="005E3343" w:rsidRPr="00E87383">
        <w:t>-17</w:t>
      </w:r>
      <w:r w:rsidRPr="00E87383">
        <w:t xml:space="preserve"> management actions</w:t>
      </w:r>
      <w:r w:rsidR="001A3C9C">
        <w:t>. This progress is</w:t>
      </w:r>
      <w:r w:rsidR="005E3343" w:rsidRPr="00E87383">
        <w:t xml:space="preserve"> </w:t>
      </w:r>
      <w:r w:rsidRPr="00E87383">
        <w:t>outlined in Annex A. We facilitated a Health Check of the Cambodia aid program</w:t>
      </w:r>
      <w:r w:rsidR="003E1C6C" w:rsidRPr="00E87383">
        <w:t>,</w:t>
      </w:r>
      <w:r w:rsidRPr="00E87383">
        <w:t xml:space="preserve"> </w:t>
      </w:r>
      <w:r w:rsidR="003E1C6C" w:rsidRPr="00E87383">
        <w:t>commissioned a</w:t>
      </w:r>
      <w:r w:rsidR="00AB775B">
        <w:t>n assessment</w:t>
      </w:r>
      <w:r w:rsidR="003E1C6C" w:rsidRPr="00E87383">
        <w:t xml:space="preserve"> of </w:t>
      </w:r>
      <w:r w:rsidR="00AB775B">
        <w:t xml:space="preserve">opportunities for </w:t>
      </w:r>
      <w:r w:rsidR="003E1C6C" w:rsidRPr="00E87383">
        <w:t>the aid program</w:t>
      </w:r>
      <w:r w:rsidR="00AB775B">
        <w:t xml:space="preserve"> to</w:t>
      </w:r>
      <w:r w:rsidR="003E1C6C" w:rsidRPr="00E87383">
        <w:t xml:space="preserve"> support effective governance in Cambodia and convened a workshop for </w:t>
      </w:r>
      <w:r w:rsidR="001A3C9C">
        <w:t>relevant</w:t>
      </w:r>
      <w:r w:rsidR="003E1C6C" w:rsidRPr="00E87383">
        <w:t xml:space="preserve"> staff to improve the strategic clarity of the aid program. </w:t>
      </w:r>
      <w:r w:rsidR="003E1C6C" w:rsidRPr="00E87383">
        <w:rPr>
          <w:rFonts w:eastAsia="Times New Roman"/>
          <w:iCs/>
        </w:rPr>
        <w:t>The updated Performance Assessment Framework</w:t>
      </w:r>
      <w:r w:rsidR="005E1062" w:rsidRPr="00E87383">
        <w:rPr>
          <w:rFonts w:eastAsia="Times New Roman"/>
          <w:iCs/>
        </w:rPr>
        <w:t xml:space="preserve"> generated more meaningful and</w:t>
      </w:r>
      <w:r w:rsidR="003E1C6C" w:rsidRPr="00E87383">
        <w:rPr>
          <w:rFonts w:eastAsia="Times New Roman"/>
          <w:iCs/>
        </w:rPr>
        <w:t xml:space="preserve"> compelling information</w:t>
      </w:r>
      <w:r w:rsidR="005E1062" w:rsidRPr="00E87383">
        <w:rPr>
          <w:rFonts w:eastAsia="Times New Roman"/>
          <w:iCs/>
        </w:rPr>
        <w:t>, along with</w:t>
      </w:r>
      <w:r w:rsidR="003E1C6C" w:rsidRPr="00E87383">
        <w:rPr>
          <w:rFonts w:eastAsia="Times New Roman"/>
          <w:iCs/>
        </w:rPr>
        <w:t xml:space="preserve"> realistic indicators to measure, manage and report on the performance of our aid program in Cambodia.</w:t>
      </w:r>
    </w:p>
    <w:p w:rsidR="003E1C6C" w:rsidRPr="00E87383" w:rsidRDefault="008C16F0" w:rsidP="003E1C6C">
      <w:r>
        <w:rPr>
          <w:rFonts w:eastAsia="Times New Roman"/>
          <w:iCs/>
        </w:rPr>
        <w:t>P</w:t>
      </w:r>
      <w:r w:rsidR="003E1C6C" w:rsidRPr="00E87383">
        <w:rPr>
          <w:rFonts w:eastAsia="Times New Roman"/>
          <w:iCs/>
        </w:rPr>
        <w:t>olitical analysis informed DFAT decisions and guidance during the reporting period</w:t>
      </w:r>
      <w:r>
        <w:rPr>
          <w:rFonts w:eastAsia="Times New Roman"/>
          <w:iCs/>
        </w:rPr>
        <w:t>,</w:t>
      </w:r>
      <w:r w:rsidR="000143B5">
        <w:rPr>
          <w:rFonts w:eastAsia="Times New Roman"/>
          <w:iCs/>
        </w:rPr>
        <w:t xml:space="preserve"> </w:t>
      </w:r>
      <w:r>
        <w:rPr>
          <w:rFonts w:eastAsia="Times New Roman"/>
          <w:iCs/>
        </w:rPr>
        <w:t>and will continue to inform the program going forward</w:t>
      </w:r>
      <w:r w:rsidR="00F84BAF" w:rsidRPr="00E87383">
        <w:rPr>
          <w:rFonts w:eastAsia="Times New Roman"/>
          <w:iCs/>
        </w:rPr>
        <w:t xml:space="preserve">. </w:t>
      </w:r>
    </w:p>
    <w:p w:rsidR="00112B17" w:rsidRPr="00E87383" w:rsidRDefault="003E1C6C" w:rsidP="00FA2343">
      <w:pPr>
        <w:rPr>
          <w:b/>
          <w:bCs/>
        </w:rPr>
      </w:pPr>
      <w:r w:rsidRPr="00E87383">
        <w:rPr>
          <w:b/>
          <w:bCs/>
        </w:rPr>
        <w:t>Strategic</w:t>
      </w:r>
    </w:p>
    <w:p w:rsidR="003E1C6C" w:rsidRPr="00D876E3" w:rsidRDefault="003E1C6C" w:rsidP="00D876E3">
      <w:pPr>
        <w:pStyle w:val="ListParagraph"/>
        <w:numPr>
          <w:ilvl w:val="0"/>
          <w:numId w:val="11"/>
        </w:numPr>
        <w:contextualSpacing w:val="0"/>
        <w:rPr>
          <w:sz w:val="22"/>
          <w:szCs w:val="22"/>
        </w:rPr>
      </w:pPr>
      <w:r w:rsidRPr="00D876E3">
        <w:rPr>
          <w:rFonts w:asciiTheme="minorHAnsi" w:hAnsiTheme="minorHAnsi"/>
          <w:color w:val="495965" w:themeColor="text2"/>
          <w:sz w:val="22"/>
          <w:szCs w:val="22"/>
        </w:rPr>
        <w:t>Develop a new Aid Investment Plan for implementation from 1 July 2019</w:t>
      </w:r>
      <w:r w:rsidR="008C4C40" w:rsidRPr="00D876E3">
        <w:rPr>
          <w:rFonts w:asciiTheme="minorHAnsi" w:hAnsiTheme="minorHAnsi"/>
          <w:color w:val="495965" w:themeColor="text2"/>
          <w:sz w:val="22"/>
          <w:szCs w:val="22"/>
        </w:rPr>
        <w:t xml:space="preserve"> to ensure our future development cooperation in Cambodia furthers the objectives of the Foreign Policy White Paper and responds to the development needs of the Cambodian people</w:t>
      </w:r>
      <w:r w:rsidRPr="00D876E3">
        <w:rPr>
          <w:rFonts w:asciiTheme="minorHAnsi" w:hAnsiTheme="minorHAnsi"/>
          <w:color w:val="495965" w:themeColor="text2"/>
          <w:sz w:val="22"/>
          <w:szCs w:val="22"/>
        </w:rPr>
        <w:t>.</w:t>
      </w:r>
    </w:p>
    <w:p w:rsidR="003E1C6C" w:rsidRPr="00D82629" w:rsidRDefault="008C4C40" w:rsidP="00D876E3">
      <w:pPr>
        <w:pStyle w:val="ListParagraph"/>
        <w:numPr>
          <w:ilvl w:val="0"/>
          <w:numId w:val="11"/>
        </w:numPr>
        <w:contextualSpacing w:val="0"/>
        <w:rPr>
          <w:sz w:val="22"/>
          <w:szCs w:val="22"/>
        </w:rPr>
      </w:pPr>
      <w:r w:rsidRPr="00D876E3">
        <w:rPr>
          <w:rFonts w:asciiTheme="minorHAnsi" w:hAnsiTheme="minorHAnsi"/>
          <w:color w:val="495965" w:themeColor="text2"/>
          <w:sz w:val="22"/>
          <w:szCs w:val="22"/>
        </w:rPr>
        <w:t xml:space="preserve">Pursue </w:t>
      </w:r>
      <w:r w:rsidR="009F7213" w:rsidRPr="00D876E3">
        <w:rPr>
          <w:rFonts w:asciiTheme="minorHAnsi" w:hAnsiTheme="minorHAnsi"/>
          <w:color w:val="495965" w:themeColor="text2"/>
          <w:sz w:val="22"/>
          <w:szCs w:val="22"/>
        </w:rPr>
        <w:t>avenues for utilising</w:t>
      </w:r>
      <w:r w:rsidRPr="00D876E3">
        <w:rPr>
          <w:rFonts w:asciiTheme="minorHAnsi" w:hAnsiTheme="minorHAnsi"/>
          <w:color w:val="495965" w:themeColor="text2"/>
          <w:sz w:val="22"/>
          <w:szCs w:val="22"/>
        </w:rPr>
        <w:t xml:space="preserve"> administered funding </w:t>
      </w:r>
      <w:r w:rsidR="000143B5">
        <w:rPr>
          <w:rFonts w:asciiTheme="minorHAnsi" w:hAnsiTheme="minorHAnsi"/>
          <w:color w:val="495965" w:themeColor="text2"/>
          <w:sz w:val="22"/>
          <w:szCs w:val="22"/>
        </w:rPr>
        <w:t xml:space="preserve">from financial year 2018-19 </w:t>
      </w:r>
      <w:r w:rsidRPr="00D876E3">
        <w:rPr>
          <w:rFonts w:asciiTheme="minorHAnsi" w:hAnsiTheme="minorHAnsi"/>
          <w:color w:val="495965" w:themeColor="text2"/>
          <w:sz w:val="22"/>
          <w:szCs w:val="22"/>
        </w:rPr>
        <w:t>to</w:t>
      </w:r>
      <w:r w:rsidR="009F7213" w:rsidRPr="00D876E3">
        <w:rPr>
          <w:rFonts w:asciiTheme="minorHAnsi" w:hAnsiTheme="minorHAnsi"/>
          <w:color w:val="495965" w:themeColor="text2"/>
          <w:sz w:val="22"/>
          <w:szCs w:val="22"/>
        </w:rPr>
        <w:t xml:space="preserve"> mobilise additional personnel in </w:t>
      </w:r>
      <w:r w:rsidR="00F722ED" w:rsidRPr="00D876E3">
        <w:rPr>
          <w:rFonts w:asciiTheme="minorHAnsi" w:hAnsiTheme="minorHAnsi"/>
          <w:color w:val="495965" w:themeColor="text2"/>
          <w:sz w:val="22"/>
          <w:szCs w:val="22"/>
        </w:rPr>
        <w:t xml:space="preserve">support </w:t>
      </w:r>
      <w:r w:rsidR="009F7213" w:rsidRPr="00D876E3">
        <w:rPr>
          <w:rFonts w:asciiTheme="minorHAnsi" w:hAnsiTheme="minorHAnsi"/>
          <w:color w:val="495965" w:themeColor="text2"/>
          <w:sz w:val="22"/>
          <w:szCs w:val="22"/>
        </w:rPr>
        <w:t xml:space="preserve">of </w:t>
      </w:r>
      <w:r w:rsidR="00F722ED" w:rsidRPr="00D876E3">
        <w:rPr>
          <w:rFonts w:asciiTheme="minorHAnsi" w:hAnsiTheme="minorHAnsi"/>
          <w:color w:val="495965" w:themeColor="text2"/>
          <w:sz w:val="22"/>
          <w:szCs w:val="22"/>
        </w:rPr>
        <w:t>our</w:t>
      </w:r>
      <w:r w:rsidR="009F7213" w:rsidRPr="00D876E3">
        <w:rPr>
          <w:rFonts w:asciiTheme="minorHAnsi" w:hAnsiTheme="minorHAnsi"/>
          <w:color w:val="495965" w:themeColor="text2"/>
          <w:sz w:val="22"/>
          <w:szCs w:val="22"/>
        </w:rPr>
        <w:t xml:space="preserve"> increasing</w:t>
      </w:r>
      <w:r w:rsidR="00F722ED" w:rsidRPr="00D876E3">
        <w:rPr>
          <w:rFonts w:asciiTheme="minorHAnsi" w:hAnsiTheme="minorHAnsi"/>
          <w:color w:val="495965" w:themeColor="text2"/>
          <w:sz w:val="22"/>
          <w:szCs w:val="22"/>
        </w:rPr>
        <w:t xml:space="preserve"> focus on achieving policy influence objectives.</w:t>
      </w:r>
    </w:p>
    <w:p w:rsidR="00FA2343" w:rsidRPr="00E87383" w:rsidRDefault="00FA2343" w:rsidP="00FA2343">
      <w:pPr>
        <w:rPr>
          <w:lang w:val="en-AU"/>
        </w:rPr>
      </w:pPr>
      <w:r w:rsidRPr="00E87383">
        <w:rPr>
          <w:b/>
          <w:bCs/>
        </w:rPr>
        <w:t>Operational</w:t>
      </w:r>
    </w:p>
    <w:p w:rsidR="00083430" w:rsidRPr="00D876E3" w:rsidRDefault="00826A66" w:rsidP="00D876E3">
      <w:pPr>
        <w:pStyle w:val="ListParagraph"/>
        <w:numPr>
          <w:ilvl w:val="0"/>
          <w:numId w:val="11"/>
        </w:numPr>
        <w:contextualSpacing w:val="0"/>
        <w:rPr>
          <w:rFonts w:asciiTheme="minorHAnsi" w:hAnsiTheme="minorHAnsi"/>
          <w:color w:val="495965" w:themeColor="text2"/>
          <w:sz w:val="22"/>
          <w:szCs w:val="22"/>
        </w:rPr>
      </w:pPr>
      <w:r w:rsidRPr="00D876E3">
        <w:rPr>
          <w:rFonts w:asciiTheme="minorHAnsi" w:hAnsiTheme="minorHAnsi"/>
          <w:color w:val="495965" w:themeColor="text2"/>
          <w:sz w:val="22"/>
          <w:szCs w:val="22"/>
        </w:rPr>
        <w:t>In response to the Aid Health Check</w:t>
      </w:r>
      <w:r w:rsidR="00B3200F">
        <w:rPr>
          <w:rFonts w:asciiTheme="minorHAnsi" w:hAnsiTheme="minorHAnsi"/>
          <w:color w:val="495965" w:themeColor="text2"/>
          <w:sz w:val="22"/>
          <w:szCs w:val="22"/>
        </w:rPr>
        <w:t xml:space="preserve"> outcomes</w:t>
      </w:r>
      <w:r w:rsidRPr="00D876E3">
        <w:rPr>
          <w:rFonts w:asciiTheme="minorHAnsi" w:hAnsiTheme="minorHAnsi"/>
          <w:color w:val="495965" w:themeColor="text2"/>
          <w:sz w:val="22"/>
          <w:szCs w:val="22"/>
        </w:rPr>
        <w:t xml:space="preserve">, </w:t>
      </w:r>
      <w:r w:rsidR="00C84EB8">
        <w:rPr>
          <w:rFonts w:asciiTheme="minorHAnsi" w:hAnsiTheme="minorHAnsi"/>
          <w:color w:val="495965" w:themeColor="text2"/>
          <w:sz w:val="22"/>
          <w:szCs w:val="22"/>
        </w:rPr>
        <w:t>adjust</w:t>
      </w:r>
      <w:r w:rsidRPr="00D876E3">
        <w:rPr>
          <w:rFonts w:asciiTheme="minorHAnsi" w:hAnsiTheme="minorHAnsi"/>
          <w:color w:val="495965" w:themeColor="text2"/>
          <w:sz w:val="22"/>
          <w:szCs w:val="22"/>
        </w:rPr>
        <w:t xml:space="preserve"> CAVAC II and 3i to </w:t>
      </w:r>
      <w:r w:rsidR="00C84EB8">
        <w:rPr>
          <w:rFonts w:asciiTheme="minorHAnsi" w:hAnsiTheme="minorHAnsi"/>
          <w:color w:val="495965" w:themeColor="text2"/>
          <w:sz w:val="22"/>
          <w:szCs w:val="22"/>
        </w:rPr>
        <w:t xml:space="preserve">also </w:t>
      </w:r>
      <w:r w:rsidR="00083430" w:rsidRPr="00D876E3">
        <w:rPr>
          <w:rFonts w:asciiTheme="minorHAnsi" w:hAnsiTheme="minorHAnsi"/>
          <w:color w:val="495965" w:themeColor="text2"/>
          <w:sz w:val="22"/>
          <w:szCs w:val="22"/>
        </w:rPr>
        <w:t xml:space="preserve">conduct policy dialogue with the </w:t>
      </w:r>
      <w:r w:rsidR="007B78E3" w:rsidRPr="00D876E3">
        <w:rPr>
          <w:rFonts w:asciiTheme="minorHAnsi" w:hAnsiTheme="minorHAnsi"/>
          <w:color w:val="495965" w:themeColor="text2"/>
          <w:sz w:val="22"/>
          <w:szCs w:val="22"/>
        </w:rPr>
        <w:t>Cambodian Government</w:t>
      </w:r>
      <w:r w:rsidR="00083430" w:rsidRPr="00D876E3">
        <w:rPr>
          <w:rFonts w:asciiTheme="minorHAnsi" w:hAnsiTheme="minorHAnsi"/>
          <w:color w:val="495965" w:themeColor="text2"/>
          <w:sz w:val="22"/>
          <w:szCs w:val="22"/>
        </w:rPr>
        <w:t xml:space="preserve"> on key agriculture and infrastructure policy issues, including energy, rice</w:t>
      </w:r>
      <w:r w:rsidR="00A362D4">
        <w:rPr>
          <w:rFonts w:asciiTheme="minorHAnsi" w:hAnsiTheme="minorHAnsi"/>
          <w:color w:val="495965" w:themeColor="text2"/>
          <w:sz w:val="22"/>
          <w:szCs w:val="22"/>
        </w:rPr>
        <w:t xml:space="preserve"> production</w:t>
      </w:r>
      <w:r w:rsidR="0028281A">
        <w:rPr>
          <w:rFonts w:asciiTheme="minorHAnsi" w:hAnsiTheme="minorHAnsi"/>
          <w:color w:val="495965" w:themeColor="text2"/>
          <w:sz w:val="22"/>
          <w:szCs w:val="22"/>
        </w:rPr>
        <w:t xml:space="preserve">, </w:t>
      </w:r>
      <w:r w:rsidR="00083430" w:rsidRPr="00D876E3">
        <w:rPr>
          <w:rFonts w:asciiTheme="minorHAnsi" w:hAnsiTheme="minorHAnsi"/>
          <w:color w:val="495965" w:themeColor="text2"/>
          <w:sz w:val="22"/>
          <w:szCs w:val="22"/>
        </w:rPr>
        <w:t>irrigation and public</w:t>
      </w:r>
      <w:r w:rsidR="00A362D4">
        <w:rPr>
          <w:rFonts w:asciiTheme="minorHAnsi" w:hAnsiTheme="minorHAnsi"/>
          <w:color w:val="495965" w:themeColor="text2"/>
          <w:sz w:val="22"/>
          <w:szCs w:val="22"/>
        </w:rPr>
        <w:t>-</w:t>
      </w:r>
      <w:r w:rsidR="00083430" w:rsidRPr="00D876E3">
        <w:rPr>
          <w:rFonts w:asciiTheme="minorHAnsi" w:hAnsiTheme="minorHAnsi"/>
          <w:color w:val="495965" w:themeColor="text2"/>
          <w:sz w:val="22"/>
          <w:szCs w:val="22"/>
        </w:rPr>
        <w:t>private partnerships</w:t>
      </w:r>
      <w:r w:rsidRPr="00D876E3">
        <w:rPr>
          <w:rFonts w:asciiTheme="minorHAnsi" w:hAnsiTheme="minorHAnsi"/>
          <w:color w:val="495965" w:themeColor="text2"/>
          <w:sz w:val="22"/>
          <w:szCs w:val="22"/>
        </w:rPr>
        <w:t xml:space="preserve"> by </w:t>
      </w:r>
      <w:r w:rsidR="000143B5">
        <w:rPr>
          <w:rFonts w:asciiTheme="minorHAnsi" w:hAnsiTheme="minorHAnsi"/>
          <w:color w:val="495965" w:themeColor="text2"/>
          <w:sz w:val="22"/>
          <w:szCs w:val="22"/>
        </w:rPr>
        <w:t xml:space="preserve">December </w:t>
      </w:r>
      <w:r w:rsidR="002214B3" w:rsidRPr="00D876E3">
        <w:rPr>
          <w:rFonts w:asciiTheme="minorHAnsi" w:hAnsiTheme="minorHAnsi"/>
          <w:color w:val="495965" w:themeColor="text2"/>
          <w:sz w:val="22"/>
          <w:szCs w:val="22"/>
        </w:rPr>
        <w:t>2018</w:t>
      </w:r>
      <w:r w:rsidR="00083430" w:rsidRPr="00D876E3">
        <w:rPr>
          <w:rFonts w:asciiTheme="minorHAnsi" w:hAnsiTheme="minorHAnsi"/>
          <w:color w:val="495965" w:themeColor="text2"/>
          <w:sz w:val="22"/>
          <w:szCs w:val="22"/>
        </w:rPr>
        <w:t>.</w:t>
      </w:r>
      <w:r w:rsidR="00083430" w:rsidRPr="00D876E3" w:rsidDel="00CF2E14">
        <w:rPr>
          <w:rFonts w:asciiTheme="minorHAnsi" w:hAnsiTheme="minorHAnsi"/>
          <w:color w:val="495965" w:themeColor="text2"/>
          <w:sz w:val="22"/>
          <w:szCs w:val="22"/>
        </w:rPr>
        <w:t xml:space="preserve"> </w:t>
      </w:r>
    </w:p>
    <w:p w:rsidR="00B023CA" w:rsidRPr="00D876E3" w:rsidRDefault="002214B3" w:rsidP="00D876E3">
      <w:pPr>
        <w:pStyle w:val="ListParagraph"/>
        <w:numPr>
          <w:ilvl w:val="0"/>
          <w:numId w:val="11"/>
        </w:numPr>
        <w:contextualSpacing w:val="0"/>
        <w:rPr>
          <w:rFonts w:asciiTheme="minorHAnsi" w:hAnsiTheme="minorHAnsi"/>
          <w:color w:val="495965" w:themeColor="text2"/>
          <w:sz w:val="22"/>
          <w:szCs w:val="22"/>
        </w:rPr>
      </w:pPr>
      <w:r w:rsidRPr="00D876E3">
        <w:rPr>
          <w:rFonts w:asciiTheme="minorHAnsi" w:hAnsiTheme="minorHAnsi"/>
          <w:color w:val="495965" w:themeColor="text2"/>
          <w:sz w:val="22"/>
          <w:szCs w:val="22"/>
        </w:rPr>
        <w:t>As a result of the 2018-19 budget, m</w:t>
      </w:r>
      <w:r w:rsidR="00B023CA" w:rsidRPr="00D876E3">
        <w:rPr>
          <w:rFonts w:asciiTheme="minorHAnsi" w:hAnsiTheme="minorHAnsi"/>
          <w:color w:val="495965" w:themeColor="text2"/>
          <w:sz w:val="22"/>
          <w:szCs w:val="22"/>
        </w:rPr>
        <w:t>ana</w:t>
      </w:r>
      <w:r w:rsidR="00F722ED" w:rsidRPr="00D876E3">
        <w:rPr>
          <w:rFonts w:asciiTheme="minorHAnsi" w:hAnsiTheme="minorHAnsi"/>
          <w:color w:val="495965" w:themeColor="text2"/>
          <w:sz w:val="22"/>
          <w:szCs w:val="22"/>
        </w:rPr>
        <w:t>ge any necessary CAVAC II</w:t>
      </w:r>
      <w:r w:rsidR="00B023CA" w:rsidRPr="00D876E3">
        <w:rPr>
          <w:rFonts w:asciiTheme="minorHAnsi" w:hAnsiTheme="minorHAnsi"/>
          <w:color w:val="495965" w:themeColor="text2"/>
          <w:sz w:val="22"/>
          <w:szCs w:val="22"/>
        </w:rPr>
        <w:t xml:space="preserve"> budget reductions to minimise impacts on the program outcomes; work closely with </w:t>
      </w:r>
      <w:r w:rsidR="00F722ED" w:rsidRPr="00D876E3">
        <w:rPr>
          <w:rFonts w:asciiTheme="minorHAnsi" w:hAnsiTheme="minorHAnsi"/>
          <w:color w:val="495965" w:themeColor="text2"/>
          <w:sz w:val="22"/>
          <w:szCs w:val="22"/>
        </w:rPr>
        <w:t xml:space="preserve">the </w:t>
      </w:r>
      <w:r w:rsidR="00B023CA" w:rsidRPr="00D876E3">
        <w:rPr>
          <w:rFonts w:asciiTheme="minorHAnsi" w:hAnsiTheme="minorHAnsi"/>
          <w:color w:val="495965" w:themeColor="text2"/>
          <w:sz w:val="22"/>
          <w:szCs w:val="22"/>
        </w:rPr>
        <w:t xml:space="preserve">CAVAC </w:t>
      </w:r>
      <w:r w:rsidR="0064533C">
        <w:rPr>
          <w:rFonts w:asciiTheme="minorHAnsi" w:hAnsiTheme="minorHAnsi"/>
          <w:color w:val="495965" w:themeColor="text2"/>
          <w:sz w:val="22"/>
          <w:szCs w:val="22"/>
        </w:rPr>
        <w:t xml:space="preserve">II </w:t>
      </w:r>
      <w:r w:rsidR="00B023CA" w:rsidRPr="00D876E3">
        <w:rPr>
          <w:rFonts w:asciiTheme="minorHAnsi" w:hAnsiTheme="minorHAnsi"/>
          <w:color w:val="495965" w:themeColor="text2"/>
          <w:sz w:val="22"/>
          <w:szCs w:val="22"/>
        </w:rPr>
        <w:t>team to manage the expectation of government partners and inform them about any change to the program’s scope</w:t>
      </w:r>
      <w:r w:rsidRPr="00D876E3">
        <w:rPr>
          <w:rFonts w:asciiTheme="minorHAnsi" w:hAnsiTheme="minorHAnsi"/>
          <w:color w:val="495965" w:themeColor="text2"/>
          <w:sz w:val="22"/>
          <w:szCs w:val="22"/>
        </w:rPr>
        <w:t xml:space="preserve"> by </w:t>
      </w:r>
      <w:r w:rsidR="000143B5">
        <w:rPr>
          <w:rFonts w:asciiTheme="minorHAnsi" w:hAnsiTheme="minorHAnsi"/>
          <w:color w:val="495965" w:themeColor="text2"/>
          <w:sz w:val="22"/>
          <w:szCs w:val="22"/>
        </w:rPr>
        <w:t xml:space="preserve">November </w:t>
      </w:r>
      <w:r w:rsidRPr="00D876E3">
        <w:rPr>
          <w:rFonts w:asciiTheme="minorHAnsi" w:hAnsiTheme="minorHAnsi"/>
          <w:color w:val="495965" w:themeColor="text2"/>
          <w:sz w:val="22"/>
          <w:szCs w:val="22"/>
        </w:rPr>
        <w:t>2018</w:t>
      </w:r>
      <w:r w:rsidR="00B023CA" w:rsidRPr="00D876E3">
        <w:rPr>
          <w:rFonts w:asciiTheme="minorHAnsi" w:hAnsiTheme="minorHAnsi"/>
          <w:color w:val="495965" w:themeColor="text2"/>
          <w:sz w:val="22"/>
          <w:szCs w:val="22"/>
        </w:rPr>
        <w:t xml:space="preserve">. </w:t>
      </w:r>
    </w:p>
    <w:p w:rsidR="00926E60" w:rsidRPr="00D876E3" w:rsidRDefault="00926E60" w:rsidP="00D876E3">
      <w:pPr>
        <w:pStyle w:val="ListParagraph"/>
        <w:numPr>
          <w:ilvl w:val="0"/>
          <w:numId w:val="11"/>
        </w:numPr>
        <w:contextualSpacing w:val="0"/>
        <w:rPr>
          <w:rFonts w:asciiTheme="minorHAnsi" w:hAnsiTheme="minorHAnsi"/>
          <w:color w:val="495965" w:themeColor="text2"/>
          <w:sz w:val="22"/>
          <w:szCs w:val="22"/>
        </w:rPr>
      </w:pPr>
      <w:r w:rsidRPr="00D876E3">
        <w:rPr>
          <w:rFonts w:asciiTheme="minorHAnsi" w:hAnsiTheme="minorHAnsi"/>
          <w:color w:val="495965" w:themeColor="text2"/>
          <w:sz w:val="22"/>
          <w:szCs w:val="22"/>
        </w:rPr>
        <w:t xml:space="preserve">Maximise the benefit of </w:t>
      </w:r>
      <w:r w:rsidR="004B4E2A" w:rsidRPr="00D876E3">
        <w:rPr>
          <w:rFonts w:asciiTheme="minorHAnsi" w:hAnsiTheme="minorHAnsi"/>
          <w:color w:val="495965" w:themeColor="text2"/>
          <w:sz w:val="22"/>
          <w:szCs w:val="22"/>
        </w:rPr>
        <w:t xml:space="preserve">our broader bilateral ODA engagement by </w:t>
      </w:r>
      <w:r w:rsidRPr="00D876E3">
        <w:rPr>
          <w:rFonts w:asciiTheme="minorHAnsi" w:hAnsiTheme="minorHAnsi"/>
          <w:color w:val="495965" w:themeColor="text2"/>
          <w:sz w:val="22"/>
          <w:szCs w:val="22"/>
        </w:rPr>
        <w:t xml:space="preserve">exploring opportunities for promoting </w:t>
      </w:r>
      <w:r w:rsidR="004B4E2A" w:rsidRPr="00D876E3">
        <w:rPr>
          <w:rFonts w:asciiTheme="minorHAnsi" w:hAnsiTheme="minorHAnsi"/>
          <w:color w:val="495965" w:themeColor="text2"/>
          <w:sz w:val="22"/>
          <w:szCs w:val="22"/>
        </w:rPr>
        <w:t xml:space="preserve">ACIAR’s </w:t>
      </w:r>
      <w:r w:rsidRPr="00D876E3">
        <w:rPr>
          <w:rFonts w:asciiTheme="minorHAnsi" w:hAnsiTheme="minorHAnsi"/>
          <w:color w:val="495965" w:themeColor="text2"/>
          <w:sz w:val="22"/>
          <w:szCs w:val="22"/>
        </w:rPr>
        <w:t>promising research findings under CAVAC II’s ‘diversification’ pillar</w:t>
      </w:r>
      <w:r w:rsidR="00D75DF2" w:rsidRPr="00D876E3">
        <w:rPr>
          <w:rFonts w:asciiTheme="minorHAnsi" w:hAnsiTheme="minorHAnsi"/>
          <w:color w:val="495965" w:themeColor="text2"/>
          <w:sz w:val="22"/>
          <w:szCs w:val="22"/>
        </w:rPr>
        <w:t xml:space="preserve"> before the commencement of the mid-term review in February 2019</w:t>
      </w:r>
      <w:r w:rsidRPr="00D876E3">
        <w:rPr>
          <w:rFonts w:asciiTheme="minorHAnsi" w:hAnsiTheme="minorHAnsi"/>
          <w:color w:val="495965" w:themeColor="text2"/>
          <w:sz w:val="22"/>
          <w:szCs w:val="22"/>
        </w:rPr>
        <w:t>.</w:t>
      </w:r>
    </w:p>
    <w:p w:rsidR="00083430" w:rsidRPr="00D876E3" w:rsidRDefault="00E87383" w:rsidP="00D876E3">
      <w:pPr>
        <w:pStyle w:val="ListParagraph"/>
        <w:numPr>
          <w:ilvl w:val="0"/>
          <w:numId w:val="11"/>
        </w:numPr>
        <w:contextualSpacing w:val="0"/>
        <w:rPr>
          <w:rFonts w:asciiTheme="minorHAnsi" w:hAnsiTheme="minorHAnsi"/>
          <w:color w:val="495965" w:themeColor="text2"/>
          <w:sz w:val="22"/>
          <w:szCs w:val="22"/>
        </w:rPr>
      </w:pPr>
      <w:r>
        <w:rPr>
          <w:rFonts w:asciiTheme="minorHAnsi" w:hAnsiTheme="minorHAnsi"/>
          <w:color w:val="495965" w:themeColor="text2"/>
          <w:sz w:val="22"/>
          <w:szCs w:val="22"/>
        </w:rPr>
        <w:t xml:space="preserve">Continue </w:t>
      </w:r>
      <w:r w:rsidR="00B3200F">
        <w:rPr>
          <w:rFonts w:asciiTheme="minorHAnsi" w:hAnsiTheme="minorHAnsi"/>
          <w:color w:val="495965" w:themeColor="text2"/>
          <w:sz w:val="22"/>
          <w:szCs w:val="22"/>
        </w:rPr>
        <w:t>our</w:t>
      </w:r>
      <w:r>
        <w:rPr>
          <w:rFonts w:asciiTheme="minorHAnsi" w:hAnsiTheme="minorHAnsi"/>
          <w:color w:val="495965" w:themeColor="text2"/>
          <w:sz w:val="22"/>
          <w:szCs w:val="22"/>
        </w:rPr>
        <w:t xml:space="preserve"> support </w:t>
      </w:r>
      <w:r w:rsidR="00B3200F">
        <w:rPr>
          <w:rFonts w:asciiTheme="minorHAnsi" w:hAnsiTheme="minorHAnsi"/>
          <w:color w:val="495965" w:themeColor="text2"/>
          <w:sz w:val="22"/>
          <w:szCs w:val="22"/>
        </w:rPr>
        <w:t xml:space="preserve">for </w:t>
      </w:r>
      <w:r w:rsidR="00383937">
        <w:rPr>
          <w:rFonts w:asciiTheme="minorHAnsi" w:hAnsiTheme="minorHAnsi"/>
          <w:color w:val="495965" w:themeColor="text2"/>
          <w:sz w:val="22"/>
          <w:szCs w:val="22"/>
        </w:rPr>
        <w:t>sustainable investments</w:t>
      </w:r>
      <w:r>
        <w:rPr>
          <w:rFonts w:asciiTheme="minorHAnsi" w:hAnsiTheme="minorHAnsi"/>
          <w:color w:val="495965" w:themeColor="text2"/>
          <w:sz w:val="22"/>
          <w:szCs w:val="22"/>
        </w:rPr>
        <w:t xml:space="preserve"> by e</w:t>
      </w:r>
      <w:r w:rsidR="00083430" w:rsidRPr="00D876E3">
        <w:rPr>
          <w:rFonts w:asciiTheme="minorHAnsi" w:hAnsiTheme="minorHAnsi"/>
          <w:color w:val="495965" w:themeColor="text2"/>
          <w:sz w:val="22"/>
          <w:szCs w:val="22"/>
        </w:rPr>
        <w:t>nsur</w:t>
      </w:r>
      <w:r>
        <w:rPr>
          <w:rFonts w:asciiTheme="minorHAnsi" w:hAnsiTheme="minorHAnsi"/>
          <w:color w:val="495965" w:themeColor="text2"/>
          <w:sz w:val="22"/>
          <w:szCs w:val="22"/>
        </w:rPr>
        <w:t>ing</w:t>
      </w:r>
      <w:r w:rsidR="00083430" w:rsidRPr="00D876E3">
        <w:rPr>
          <w:rFonts w:asciiTheme="minorHAnsi" w:hAnsiTheme="minorHAnsi"/>
          <w:color w:val="495965" w:themeColor="text2"/>
          <w:sz w:val="22"/>
          <w:szCs w:val="22"/>
        </w:rPr>
        <w:t xml:space="preserve"> appropriate steps are being taken to address barriers to effective road maintenance, including capacity shortfalls, incomplete road maintenance </w:t>
      </w:r>
      <w:r w:rsidR="009E17A3" w:rsidRPr="00D876E3">
        <w:rPr>
          <w:rFonts w:asciiTheme="minorHAnsi" w:hAnsiTheme="minorHAnsi"/>
          <w:color w:val="495965" w:themeColor="text2"/>
          <w:sz w:val="22"/>
          <w:szCs w:val="22"/>
        </w:rPr>
        <w:t>planning</w:t>
      </w:r>
      <w:r w:rsidR="00083430" w:rsidRPr="00D876E3">
        <w:rPr>
          <w:rFonts w:asciiTheme="minorHAnsi" w:hAnsiTheme="minorHAnsi"/>
          <w:color w:val="495965" w:themeColor="text2"/>
          <w:sz w:val="22"/>
          <w:szCs w:val="22"/>
        </w:rPr>
        <w:t xml:space="preserve"> and low or inconsistent road maintenance funding</w:t>
      </w:r>
      <w:r>
        <w:rPr>
          <w:rFonts w:asciiTheme="minorHAnsi" w:hAnsiTheme="minorHAnsi"/>
          <w:color w:val="495965" w:themeColor="text2"/>
          <w:sz w:val="22"/>
          <w:szCs w:val="22"/>
        </w:rPr>
        <w:t xml:space="preserve"> by June 2019</w:t>
      </w:r>
      <w:r w:rsidR="00083430" w:rsidRPr="00D876E3">
        <w:rPr>
          <w:rFonts w:asciiTheme="minorHAnsi" w:hAnsiTheme="minorHAnsi"/>
          <w:color w:val="495965" w:themeColor="text2"/>
          <w:sz w:val="22"/>
          <w:szCs w:val="22"/>
        </w:rPr>
        <w:t>.</w:t>
      </w:r>
    </w:p>
    <w:p w:rsidR="00FA2343" w:rsidRPr="006A49E8" w:rsidRDefault="00FA2343" w:rsidP="006A49E8">
      <w:pPr>
        <w:pStyle w:val="ListParagraph"/>
        <w:numPr>
          <w:ilvl w:val="0"/>
          <w:numId w:val="11"/>
        </w:numPr>
        <w:contextualSpacing w:val="0"/>
        <w:rPr>
          <w:rFonts w:asciiTheme="minorHAnsi" w:hAnsiTheme="minorHAnsi"/>
          <w:color w:val="495965" w:themeColor="text2"/>
          <w:sz w:val="22"/>
          <w:szCs w:val="22"/>
        </w:rPr>
      </w:pPr>
      <w:r w:rsidRPr="00D876E3">
        <w:rPr>
          <w:rFonts w:asciiTheme="minorHAnsi" w:hAnsiTheme="minorHAnsi"/>
          <w:color w:val="495965" w:themeColor="text2"/>
          <w:sz w:val="22"/>
          <w:szCs w:val="22"/>
        </w:rPr>
        <w:t>Introduce new components to Australia Awards Cambodia, including short-</w:t>
      </w:r>
      <w:r w:rsidR="00CF2E14" w:rsidRPr="00D876E3">
        <w:rPr>
          <w:rFonts w:asciiTheme="minorHAnsi" w:hAnsiTheme="minorHAnsi"/>
          <w:color w:val="495965" w:themeColor="text2"/>
          <w:sz w:val="22"/>
          <w:szCs w:val="22"/>
        </w:rPr>
        <w:t>term awards</w:t>
      </w:r>
      <w:r w:rsidR="00383937">
        <w:rPr>
          <w:rFonts w:asciiTheme="minorHAnsi" w:hAnsiTheme="minorHAnsi"/>
          <w:color w:val="495965" w:themeColor="text2"/>
          <w:sz w:val="22"/>
          <w:szCs w:val="22"/>
        </w:rPr>
        <w:t xml:space="preserve"> </w:t>
      </w:r>
      <w:r w:rsidR="006A49E8">
        <w:rPr>
          <w:rFonts w:asciiTheme="minorHAnsi" w:hAnsiTheme="minorHAnsi"/>
          <w:color w:val="495965" w:themeColor="text2"/>
          <w:sz w:val="22"/>
          <w:szCs w:val="22"/>
        </w:rPr>
        <w:t>and an</w:t>
      </w:r>
      <w:r w:rsidR="006A49E8" w:rsidRPr="006A49E8">
        <w:rPr>
          <w:rFonts w:asciiTheme="minorHAnsi" w:hAnsiTheme="minorHAnsi"/>
          <w:color w:val="495965" w:themeColor="text2"/>
          <w:sz w:val="22"/>
          <w:szCs w:val="22"/>
        </w:rPr>
        <w:t xml:space="preserve"> Australia Awards Alumni Engagement Coordinator </w:t>
      </w:r>
      <w:r w:rsidR="00383937" w:rsidRPr="006A49E8">
        <w:rPr>
          <w:rFonts w:asciiTheme="minorHAnsi" w:hAnsiTheme="minorHAnsi"/>
          <w:color w:val="495965" w:themeColor="text2"/>
          <w:sz w:val="22"/>
          <w:szCs w:val="22"/>
        </w:rPr>
        <w:t>b</w:t>
      </w:r>
      <w:r w:rsidR="006A49E8">
        <w:rPr>
          <w:rFonts w:asciiTheme="minorHAnsi" w:hAnsiTheme="minorHAnsi"/>
          <w:color w:val="495965" w:themeColor="text2"/>
          <w:sz w:val="22"/>
          <w:szCs w:val="22"/>
        </w:rPr>
        <w:t xml:space="preserve">y June 2019, as a result of </w:t>
      </w:r>
      <w:r w:rsidR="006A49E8" w:rsidRPr="006A49E8">
        <w:rPr>
          <w:rFonts w:asciiTheme="minorHAnsi" w:hAnsiTheme="minorHAnsi"/>
          <w:color w:val="495965" w:themeColor="text2"/>
          <w:sz w:val="22"/>
          <w:szCs w:val="22"/>
        </w:rPr>
        <w:t>last year</w:t>
      </w:r>
      <w:r w:rsidR="006A49E8">
        <w:rPr>
          <w:rFonts w:asciiTheme="minorHAnsi" w:hAnsiTheme="minorHAnsi"/>
          <w:color w:val="495965" w:themeColor="text2"/>
          <w:sz w:val="22"/>
          <w:szCs w:val="22"/>
        </w:rPr>
        <w:t>’s</w:t>
      </w:r>
      <w:r w:rsidR="006A49E8" w:rsidRPr="006A49E8">
        <w:rPr>
          <w:rFonts w:asciiTheme="minorHAnsi" w:hAnsiTheme="minorHAnsi"/>
          <w:color w:val="495965" w:themeColor="text2"/>
          <w:sz w:val="22"/>
          <w:szCs w:val="22"/>
        </w:rPr>
        <w:t xml:space="preserve"> </w:t>
      </w:r>
      <w:r w:rsidR="00033E68">
        <w:rPr>
          <w:rFonts w:asciiTheme="minorHAnsi" w:hAnsiTheme="minorHAnsi"/>
          <w:color w:val="495965" w:themeColor="text2"/>
          <w:sz w:val="22"/>
          <w:szCs w:val="22"/>
        </w:rPr>
        <w:t>design process</w:t>
      </w:r>
      <w:r w:rsidR="000143B5" w:rsidRPr="006A49E8">
        <w:rPr>
          <w:rFonts w:asciiTheme="minorHAnsi" w:hAnsiTheme="minorHAnsi"/>
          <w:color w:val="495965" w:themeColor="text2"/>
          <w:sz w:val="22"/>
          <w:szCs w:val="22"/>
        </w:rPr>
        <w:t xml:space="preserve"> </w:t>
      </w:r>
      <w:r w:rsidR="006A49E8" w:rsidRPr="006A49E8">
        <w:rPr>
          <w:rFonts w:asciiTheme="minorHAnsi" w:hAnsiTheme="minorHAnsi"/>
          <w:color w:val="495965" w:themeColor="text2"/>
          <w:sz w:val="22"/>
          <w:szCs w:val="22"/>
        </w:rPr>
        <w:t>to advance our foreign, trade and development objectives</w:t>
      </w:r>
      <w:r w:rsidR="00383937" w:rsidRPr="006A49E8">
        <w:rPr>
          <w:rFonts w:asciiTheme="minorHAnsi" w:hAnsiTheme="minorHAnsi"/>
          <w:color w:val="495965" w:themeColor="text2"/>
          <w:sz w:val="22"/>
          <w:szCs w:val="22"/>
        </w:rPr>
        <w:t>.</w:t>
      </w:r>
    </w:p>
    <w:p w:rsidR="004D72CA" w:rsidRPr="00D876E3" w:rsidRDefault="006C58D4" w:rsidP="00D876E3">
      <w:pPr>
        <w:pStyle w:val="ListParagraph"/>
        <w:numPr>
          <w:ilvl w:val="0"/>
          <w:numId w:val="11"/>
        </w:numPr>
        <w:contextualSpacing w:val="0"/>
        <w:rPr>
          <w:rFonts w:asciiTheme="minorHAnsi" w:hAnsiTheme="minorHAnsi"/>
          <w:color w:val="495965" w:themeColor="text2"/>
          <w:sz w:val="22"/>
          <w:szCs w:val="22"/>
        </w:rPr>
      </w:pPr>
      <w:r w:rsidRPr="00D876E3">
        <w:rPr>
          <w:rFonts w:asciiTheme="minorHAnsi" w:hAnsiTheme="minorHAnsi"/>
          <w:color w:val="495965" w:themeColor="text2"/>
          <w:sz w:val="22"/>
          <w:szCs w:val="22"/>
        </w:rPr>
        <w:t>Complete the tendering process for the new design of</w:t>
      </w:r>
      <w:r w:rsidR="000B62C6" w:rsidRPr="00D876E3">
        <w:rPr>
          <w:rFonts w:asciiTheme="minorHAnsi" w:hAnsiTheme="minorHAnsi"/>
          <w:color w:val="495965" w:themeColor="text2"/>
          <w:sz w:val="22"/>
          <w:szCs w:val="22"/>
        </w:rPr>
        <w:t xml:space="preserve"> ACCESS</w:t>
      </w:r>
      <w:r w:rsidRPr="00D876E3">
        <w:rPr>
          <w:rFonts w:asciiTheme="minorHAnsi" w:hAnsiTheme="minorHAnsi"/>
          <w:color w:val="495965" w:themeColor="text2"/>
          <w:sz w:val="22"/>
          <w:szCs w:val="22"/>
        </w:rPr>
        <w:t>, followed by project set-up and implementation in 2018-19.</w:t>
      </w:r>
    </w:p>
    <w:p w:rsidR="003C29B9" w:rsidRDefault="00B3200F" w:rsidP="00D876E3">
      <w:pPr>
        <w:pStyle w:val="ListParagraph"/>
        <w:numPr>
          <w:ilvl w:val="0"/>
          <w:numId w:val="11"/>
        </w:numPr>
        <w:contextualSpacing w:val="0"/>
        <w:rPr>
          <w:rFonts w:asciiTheme="minorHAnsi" w:hAnsiTheme="minorHAnsi"/>
          <w:color w:val="495965" w:themeColor="text2"/>
          <w:sz w:val="22"/>
          <w:szCs w:val="22"/>
        </w:rPr>
      </w:pPr>
      <w:r>
        <w:rPr>
          <w:rFonts w:asciiTheme="minorHAnsi" w:hAnsiTheme="minorHAnsi"/>
          <w:color w:val="495965" w:themeColor="text2"/>
          <w:sz w:val="22"/>
          <w:szCs w:val="22"/>
        </w:rPr>
        <w:t xml:space="preserve">To effectively manage the implementation of ACCESS and to improve the mainstreaming of </w:t>
      </w:r>
      <w:r w:rsidRPr="004468FB">
        <w:rPr>
          <w:rFonts w:asciiTheme="minorHAnsi" w:hAnsiTheme="minorHAnsi"/>
          <w:color w:val="495965" w:themeColor="text2"/>
          <w:sz w:val="22"/>
          <w:szCs w:val="22"/>
        </w:rPr>
        <w:t>disability sensitivity within existing programs</w:t>
      </w:r>
      <w:r>
        <w:rPr>
          <w:rFonts w:asciiTheme="minorHAnsi" w:hAnsiTheme="minorHAnsi"/>
          <w:color w:val="495965" w:themeColor="text2"/>
          <w:sz w:val="22"/>
          <w:szCs w:val="22"/>
        </w:rPr>
        <w:t>,</w:t>
      </w:r>
      <w:r w:rsidRPr="00B3200F">
        <w:rPr>
          <w:rFonts w:asciiTheme="minorHAnsi" w:hAnsiTheme="minorHAnsi"/>
          <w:color w:val="495965" w:themeColor="text2"/>
          <w:sz w:val="22"/>
          <w:szCs w:val="22"/>
        </w:rPr>
        <w:t xml:space="preserve"> </w:t>
      </w:r>
      <w:r>
        <w:rPr>
          <w:rFonts w:asciiTheme="minorHAnsi" w:hAnsiTheme="minorHAnsi"/>
          <w:color w:val="495965" w:themeColor="text2"/>
          <w:sz w:val="22"/>
          <w:szCs w:val="22"/>
        </w:rPr>
        <w:t>w</w:t>
      </w:r>
      <w:r w:rsidRPr="006E2837">
        <w:rPr>
          <w:rFonts w:asciiTheme="minorHAnsi" w:hAnsiTheme="minorHAnsi"/>
          <w:color w:val="495965" w:themeColor="text2"/>
          <w:sz w:val="22"/>
          <w:szCs w:val="22"/>
        </w:rPr>
        <w:t xml:space="preserve">ork with DFAT Disability Section to conduct disability inclusive development training and identify priority </w:t>
      </w:r>
      <w:r>
        <w:rPr>
          <w:rFonts w:asciiTheme="minorHAnsi" w:hAnsiTheme="minorHAnsi"/>
          <w:color w:val="495965" w:themeColor="text2"/>
          <w:sz w:val="22"/>
          <w:szCs w:val="22"/>
        </w:rPr>
        <w:t xml:space="preserve">actions by </w:t>
      </w:r>
      <w:r w:rsidR="00404086">
        <w:rPr>
          <w:rFonts w:asciiTheme="minorHAnsi" w:hAnsiTheme="minorHAnsi"/>
          <w:color w:val="495965" w:themeColor="text2"/>
          <w:sz w:val="22"/>
          <w:szCs w:val="22"/>
        </w:rPr>
        <w:t>March</w:t>
      </w:r>
      <w:r>
        <w:rPr>
          <w:rFonts w:asciiTheme="minorHAnsi" w:hAnsiTheme="minorHAnsi"/>
          <w:color w:val="495965" w:themeColor="text2"/>
          <w:sz w:val="22"/>
          <w:szCs w:val="22"/>
        </w:rPr>
        <w:t xml:space="preserve"> </w:t>
      </w:r>
      <w:r w:rsidR="00404086">
        <w:rPr>
          <w:rFonts w:asciiTheme="minorHAnsi" w:hAnsiTheme="minorHAnsi"/>
          <w:color w:val="495965" w:themeColor="text2"/>
          <w:sz w:val="22"/>
          <w:szCs w:val="22"/>
        </w:rPr>
        <w:t>2019</w:t>
      </w:r>
      <w:r w:rsidRPr="006E2837">
        <w:rPr>
          <w:rFonts w:asciiTheme="minorHAnsi" w:hAnsiTheme="minorHAnsi"/>
          <w:color w:val="495965" w:themeColor="text2"/>
          <w:sz w:val="22"/>
          <w:szCs w:val="22"/>
        </w:rPr>
        <w:t>.</w:t>
      </w:r>
    </w:p>
    <w:p w:rsidR="004D72CA" w:rsidRPr="003C29B9" w:rsidRDefault="004D72CA" w:rsidP="00D876E3">
      <w:pPr>
        <w:pStyle w:val="ListParagraph"/>
        <w:numPr>
          <w:ilvl w:val="0"/>
          <w:numId w:val="11"/>
        </w:numPr>
        <w:contextualSpacing w:val="0"/>
        <w:rPr>
          <w:rFonts w:asciiTheme="minorHAnsi" w:hAnsiTheme="minorHAnsi"/>
          <w:color w:val="495965" w:themeColor="text2"/>
          <w:sz w:val="22"/>
          <w:szCs w:val="22"/>
        </w:rPr>
      </w:pPr>
      <w:r w:rsidRPr="00D876E3">
        <w:rPr>
          <w:rFonts w:asciiTheme="minorHAnsi" w:hAnsiTheme="minorHAnsi"/>
          <w:color w:val="495965" w:themeColor="text2"/>
          <w:sz w:val="22"/>
          <w:szCs w:val="22"/>
        </w:rPr>
        <w:t>Extend</w:t>
      </w:r>
      <w:r w:rsidR="006C58D4" w:rsidRPr="00D876E3">
        <w:rPr>
          <w:rFonts w:asciiTheme="minorHAnsi" w:hAnsiTheme="minorHAnsi"/>
          <w:color w:val="495965" w:themeColor="text2"/>
          <w:sz w:val="22"/>
          <w:szCs w:val="22"/>
        </w:rPr>
        <w:t xml:space="preserve"> our contribution to the</w:t>
      </w:r>
      <w:r w:rsidR="003C29B9">
        <w:rPr>
          <w:rFonts w:asciiTheme="minorHAnsi" w:hAnsiTheme="minorHAnsi"/>
          <w:color w:val="495965" w:themeColor="text2"/>
          <w:sz w:val="22"/>
          <w:szCs w:val="22"/>
        </w:rPr>
        <w:t xml:space="preserve"> </w:t>
      </w:r>
      <w:r w:rsidRPr="003C29B9">
        <w:rPr>
          <w:rFonts w:asciiTheme="minorHAnsi" w:hAnsiTheme="minorHAnsi"/>
          <w:color w:val="495965" w:themeColor="text2"/>
          <w:sz w:val="22"/>
          <w:szCs w:val="22"/>
        </w:rPr>
        <w:t>IDPoor</w:t>
      </w:r>
      <w:r w:rsidR="006C58D4" w:rsidRPr="003C29B9">
        <w:rPr>
          <w:rFonts w:asciiTheme="minorHAnsi" w:hAnsiTheme="minorHAnsi"/>
          <w:color w:val="495965" w:themeColor="text2"/>
          <w:sz w:val="22"/>
          <w:szCs w:val="22"/>
        </w:rPr>
        <w:t xml:space="preserve"> program</w:t>
      </w:r>
      <w:r w:rsidR="00383937" w:rsidRPr="003C29B9">
        <w:rPr>
          <w:rFonts w:asciiTheme="minorHAnsi" w:hAnsiTheme="minorHAnsi"/>
          <w:color w:val="495965" w:themeColor="text2"/>
          <w:sz w:val="22"/>
          <w:szCs w:val="22"/>
        </w:rPr>
        <w:t xml:space="preserve"> in 2018</w:t>
      </w:r>
      <w:r w:rsidR="006C58D4" w:rsidRPr="003C29B9">
        <w:rPr>
          <w:rFonts w:asciiTheme="minorHAnsi" w:hAnsiTheme="minorHAnsi"/>
          <w:color w:val="495965" w:themeColor="text2"/>
          <w:sz w:val="22"/>
          <w:szCs w:val="22"/>
        </w:rPr>
        <w:t xml:space="preserve"> to </w:t>
      </w:r>
      <w:r w:rsidR="006261E5">
        <w:rPr>
          <w:rFonts w:asciiTheme="minorHAnsi" w:hAnsiTheme="minorHAnsi"/>
          <w:color w:val="495965" w:themeColor="text2"/>
          <w:sz w:val="22"/>
          <w:szCs w:val="22"/>
        </w:rPr>
        <w:t xml:space="preserve">take advantage of its increasing importance to social protection and public service delivery, including its role in </w:t>
      </w:r>
      <w:r w:rsidR="006C58D4" w:rsidRPr="003C29B9">
        <w:rPr>
          <w:rFonts w:asciiTheme="minorHAnsi" w:hAnsiTheme="minorHAnsi"/>
          <w:color w:val="495965" w:themeColor="text2"/>
          <w:sz w:val="22"/>
          <w:szCs w:val="22"/>
        </w:rPr>
        <w:t>identif</w:t>
      </w:r>
      <w:r w:rsidR="006261E5">
        <w:rPr>
          <w:rFonts w:asciiTheme="minorHAnsi" w:hAnsiTheme="minorHAnsi"/>
          <w:color w:val="495965" w:themeColor="text2"/>
          <w:sz w:val="22"/>
          <w:szCs w:val="22"/>
        </w:rPr>
        <w:t>ying</w:t>
      </w:r>
      <w:r w:rsidR="006C58D4" w:rsidRPr="003C29B9">
        <w:rPr>
          <w:rFonts w:asciiTheme="minorHAnsi" w:hAnsiTheme="minorHAnsi"/>
          <w:color w:val="495965" w:themeColor="text2"/>
          <w:sz w:val="22"/>
          <w:szCs w:val="22"/>
        </w:rPr>
        <w:t xml:space="preserve"> Cambo</w:t>
      </w:r>
      <w:r w:rsidR="00F722ED" w:rsidRPr="003C29B9">
        <w:rPr>
          <w:rFonts w:asciiTheme="minorHAnsi" w:hAnsiTheme="minorHAnsi"/>
          <w:color w:val="495965" w:themeColor="text2"/>
          <w:sz w:val="22"/>
          <w:szCs w:val="22"/>
        </w:rPr>
        <w:t xml:space="preserve">dia’s most vulnerable people </w:t>
      </w:r>
      <w:r w:rsidR="00A2681A">
        <w:rPr>
          <w:rFonts w:asciiTheme="minorHAnsi" w:hAnsiTheme="minorHAnsi"/>
          <w:color w:val="495965" w:themeColor="text2"/>
          <w:sz w:val="22"/>
          <w:szCs w:val="22"/>
        </w:rPr>
        <w:t xml:space="preserve">and </w:t>
      </w:r>
      <w:r w:rsidR="006261E5">
        <w:rPr>
          <w:rFonts w:asciiTheme="minorHAnsi" w:hAnsiTheme="minorHAnsi"/>
          <w:color w:val="495965" w:themeColor="text2"/>
          <w:sz w:val="22"/>
          <w:szCs w:val="22"/>
        </w:rPr>
        <w:t xml:space="preserve">facilitating their access to health care </w:t>
      </w:r>
      <w:r w:rsidR="006C58D4" w:rsidRPr="003C29B9">
        <w:rPr>
          <w:rFonts w:asciiTheme="minorHAnsi" w:hAnsiTheme="minorHAnsi"/>
          <w:color w:val="495965" w:themeColor="text2"/>
          <w:sz w:val="22"/>
          <w:szCs w:val="22"/>
        </w:rPr>
        <w:t>rebates</w:t>
      </w:r>
      <w:r w:rsidR="00A2681A">
        <w:rPr>
          <w:rFonts w:asciiTheme="minorHAnsi" w:hAnsiTheme="minorHAnsi"/>
          <w:color w:val="495965" w:themeColor="text2"/>
          <w:sz w:val="22"/>
          <w:szCs w:val="22"/>
        </w:rPr>
        <w:t>.</w:t>
      </w:r>
    </w:p>
    <w:p w:rsidR="00395301" w:rsidRPr="00522F47" w:rsidRDefault="004D72CA" w:rsidP="00D876E3">
      <w:pPr>
        <w:pStyle w:val="ListParagraph"/>
        <w:numPr>
          <w:ilvl w:val="0"/>
          <w:numId w:val="11"/>
        </w:numPr>
        <w:contextualSpacing w:val="0"/>
        <w:rPr>
          <w:rFonts w:asciiTheme="minorHAnsi" w:hAnsiTheme="minorHAnsi"/>
          <w:color w:val="495965" w:themeColor="text2"/>
          <w:sz w:val="22"/>
          <w:szCs w:val="22"/>
        </w:rPr>
      </w:pPr>
      <w:r w:rsidRPr="00522F47">
        <w:rPr>
          <w:rFonts w:asciiTheme="minorHAnsi" w:hAnsiTheme="minorHAnsi"/>
          <w:color w:val="495965" w:themeColor="text2"/>
          <w:sz w:val="22"/>
          <w:szCs w:val="22"/>
        </w:rPr>
        <w:t>C</w:t>
      </w:r>
      <w:r w:rsidR="009F56D6" w:rsidRPr="00522F47">
        <w:rPr>
          <w:rFonts w:asciiTheme="minorHAnsi" w:hAnsiTheme="minorHAnsi"/>
          <w:color w:val="495965" w:themeColor="text2"/>
          <w:sz w:val="22"/>
          <w:szCs w:val="22"/>
        </w:rPr>
        <w:t>losely monitor Payment Certification Agency</w:t>
      </w:r>
      <w:r w:rsidRPr="00522F47">
        <w:rPr>
          <w:rFonts w:asciiTheme="minorHAnsi" w:hAnsiTheme="minorHAnsi"/>
          <w:color w:val="495965" w:themeColor="text2"/>
          <w:sz w:val="22"/>
          <w:szCs w:val="22"/>
        </w:rPr>
        <w:t xml:space="preserve"> </w:t>
      </w:r>
      <w:r w:rsidR="009F56D6" w:rsidRPr="00522F47">
        <w:rPr>
          <w:rFonts w:asciiTheme="minorHAnsi" w:hAnsiTheme="minorHAnsi"/>
          <w:color w:val="495965" w:themeColor="text2"/>
          <w:sz w:val="22"/>
          <w:szCs w:val="22"/>
        </w:rPr>
        <w:t>under H-EQIP</w:t>
      </w:r>
      <w:r w:rsidR="00C34F14" w:rsidRPr="00522F47">
        <w:rPr>
          <w:rFonts w:asciiTheme="minorHAnsi" w:hAnsiTheme="minorHAnsi"/>
          <w:color w:val="495965" w:themeColor="text2"/>
          <w:sz w:val="22"/>
          <w:szCs w:val="22"/>
        </w:rPr>
        <w:t xml:space="preserve"> through 2018-19</w:t>
      </w:r>
      <w:r w:rsidR="009F56D6" w:rsidRPr="00522F47">
        <w:rPr>
          <w:rFonts w:asciiTheme="minorHAnsi" w:hAnsiTheme="minorHAnsi"/>
          <w:color w:val="495965" w:themeColor="text2"/>
          <w:sz w:val="22"/>
          <w:szCs w:val="22"/>
        </w:rPr>
        <w:t xml:space="preserve"> </w:t>
      </w:r>
      <w:r w:rsidRPr="00522F47">
        <w:rPr>
          <w:rFonts w:asciiTheme="minorHAnsi" w:hAnsiTheme="minorHAnsi"/>
          <w:color w:val="495965" w:themeColor="text2"/>
          <w:sz w:val="22"/>
          <w:szCs w:val="22"/>
        </w:rPr>
        <w:t xml:space="preserve">and implementation of </w:t>
      </w:r>
      <w:r w:rsidR="009F56D6" w:rsidRPr="00522F47">
        <w:rPr>
          <w:rFonts w:asciiTheme="minorHAnsi" w:hAnsiTheme="minorHAnsi"/>
          <w:color w:val="495965" w:themeColor="text2"/>
          <w:sz w:val="22"/>
          <w:szCs w:val="22"/>
        </w:rPr>
        <w:t>the Gender A</w:t>
      </w:r>
      <w:r w:rsidRPr="00522F47">
        <w:rPr>
          <w:rFonts w:asciiTheme="minorHAnsi" w:hAnsiTheme="minorHAnsi"/>
          <w:color w:val="495965" w:themeColor="text2"/>
          <w:sz w:val="22"/>
          <w:szCs w:val="22"/>
        </w:rPr>
        <w:t>ssessment</w:t>
      </w:r>
      <w:r w:rsidR="009F56D6" w:rsidRPr="00522F47">
        <w:rPr>
          <w:rFonts w:asciiTheme="minorHAnsi" w:hAnsiTheme="minorHAnsi"/>
          <w:color w:val="495965" w:themeColor="text2"/>
          <w:sz w:val="22"/>
          <w:szCs w:val="22"/>
        </w:rPr>
        <w:t xml:space="preserve"> recommendations by the Gender Mainstreaming Working Group</w:t>
      </w:r>
      <w:r w:rsidR="00C34F14" w:rsidRPr="00522F47">
        <w:rPr>
          <w:rFonts w:asciiTheme="minorHAnsi" w:hAnsiTheme="minorHAnsi"/>
          <w:color w:val="495965" w:themeColor="text2"/>
          <w:sz w:val="22"/>
          <w:szCs w:val="22"/>
        </w:rPr>
        <w:t xml:space="preserve"> through the H-EQIP mid-term review process</w:t>
      </w:r>
      <w:r w:rsidR="00383937">
        <w:rPr>
          <w:rFonts w:asciiTheme="minorHAnsi" w:hAnsiTheme="minorHAnsi"/>
          <w:color w:val="495965" w:themeColor="text2"/>
          <w:sz w:val="22"/>
          <w:szCs w:val="22"/>
        </w:rPr>
        <w:t xml:space="preserve"> by</w:t>
      </w:r>
      <w:r w:rsidR="00C34F14" w:rsidRPr="00522F47">
        <w:rPr>
          <w:rFonts w:asciiTheme="minorHAnsi" w:hAnsiTheme="minorHAnsi"/>
          <w:color w:val="495965" w:themeColor="text2"/>
          <w:sz w:val="22"/>
          <w:szCs w:val="22"/>
        </w:rPr>
        <w:t xml:space="preserve"> June 2019</w:t>
      </w:r>
      <w:r w:rsidR="00CF2E14" w:rsidRPr="00522F47">
        <w:rPr>
          <w:rFonts w:asciiTheme="minorHAnsi" w:hAnsiTheme="minorHAnsi"/>
          <w:color w:val="495965" w:themeColor="text2"/>
          <w:sz w:val="22"/>
          <w:szCs w:val="22"/>
        </w:rPr>
        <w:t>.</w:t>
      </w:r>
    </w:p>
    <w:p w:rsidR="000C19C0" w:rsidRPr="00F34544" w:rsidRDefault="000C19C0" w:rsidP="00D876E3">
      <w:pPr>
        <w:pStyle w:val="ListParagraph"/>
        <w:numPr>
          <w:ilvl w:val="0"/>
          <w:numId w:val="11"/>
        </w:numPr>
        <w:contextualSpacing w:val="0"/>
        <w:rPr>
          <w:rFonts w:asciiTheme="minorHAnsi" w:hAnsiTheme="minorHAnsi"/>
        </w:rPr>
        <w:sectPr w:rsidR="000C19C0" w:rsidRPr="00F34544" w:rsidSect="002463B5">
          <w:pgSz w:w="11906" w:h="16838" w:code="9"/>
          <w:pgMar w:top="1527" w:right="1134" w:bottom="1134" w:left="1134" w:header="1418" w:footer="567" w:gutter="0"/>
          <w:cols w:space="397"/>
          <w:docGrid w:linePitch="360"/>
        </w:sectPr>
      </w:pPr>
    </w:p>
    <w:p w:rsidR="00400B0F" w:rsidRPr="00400B0F" w:rsidRDefault="00400B0F" w:rsidP="00400B0F">
      <w:pPr>
        <w:pStyle w:val="Subtitle"/>
        <w:numPr>
          <w:ilvl w:val="0"/>
          <w:numId w:val="0"/>
        </w:numPr>
      </w:pPr>
      <w:r w:rsidRPr="00400B0F">
        <w:lastRenderedPageBreak/>
        <w:t xml:space="preserve">Annex A - Progress in Addressing Management </w:t>
      </w:r>
      <w:r w:rsidR="00AC302F">
        <w:t>actions</w:t>
      </w:r>
    </w:p>
    <w:p w:rsidR="00400B0F" w:rsidRPr="00C61187" w:rsidRDefault="00C212CB" w:rsidP="008C2F58">
      <w:r w:rsidRPr="005B119A">
        <w:rPr>
          <w:rFonts w:ascii="Franklin Gothic Book" w:eastAsia="Times New Roman" w:hAnsi="Franklin Gothic Book"/>
          <w:b/>
          <w:sz w:val="24"/>
          <w:szCs w:val="24"/>
        </w:rPr>
        <w:t>P</w:t>
      </w:r>
      <w:r w:rsidR="00400B0F" w:rsidRPr="005B119A">
        <w:rPr>
          <w:rFonts w:ascii="Franklin Gothic Book" w:eastAsia="Times New Roman" w:hAnsi="Franklin Gothic Book"/>
          <w:b/>
          <w:sz w:val="24"/>
          <w:szCs w:val="24"/>
        </w:rPr>
        <w:t xml:space="preserve">rogress made against management </w:t>
      </w:r>
      <w:r w:rsidR="00A54034" w:rsidRPr="005B119A">
        <w:rPr>
          <w:rFonts w:ascii="Franklin Gothic Book" w:eastAsia="Times New Roman" w:hAnsi="Franklin Gothic Book"/>
          <w:b/>
          <w:sz w:val="24"/>
          <w:szCs w:val="24"/>
        </w:rPr>
        <w:t>actions</w:t>
      </w:r>
      <w:r w:rsidR="00400B0F" w:rsidRPr="005B119A">
        <w:rPr>
          <w:rFonts w:ascii="Franklin Gothic Book" w:eastAsia="Times New Roman" w:hAnsi="Franklin Gothic Book"/>
          <w:b/>
          <w:sz w:val="24"/>
          <w:szCs w:val="24"/>
        </w:rPr>
        <w:t xml:space="preserve"> in 201</w:t>
      </w:r>
      <w:r w:rsidR="002D37BC" w:rsidRPr="005B119A">
        <w:rPr>
          <w:rFonts w:ascii="Franklin Gothic Book" w:eastAsia="Times New Roman" w:hAnsi="Franklin Gothic Book"/>
          <w:b/>
          <w:sz w:val="24"/>
          <w:szCs w:val="24"/>
        </w:rPr>
        <w:t>6</w:t>
      </w:r>
      <w:r w:rsidR="00400B0F" w:rsidRPr="005B119A">
        <w:rPr>
          <w:rFonts w:ascii="Franklin Gothic Book" w:eastAsia="Times New Roman" w:hAnsi="Franklin Gothic Book"/>
          <w:b/>
          <w:sz w:val="24"/>
          <w:szCs w:val="24"/>
        </w:rPr>
        <w:t>-1</w:t>
      </w:r>
      <w:r w:rsidR="002D37BC" w:rsidRPr="005B119A">
        <w:rPr>
          <w:rFonts w:ascii="Franklin Gothic Book" w:eastAsia="Times New Roman" w:hAnsi="Franklin Gothic Book"/>
          <w:b/>
          <w:sz w:val="24"/>
          <w:szCs w:val="24"/>
        </w:rPr>
        <w:t>7</w:t>
      </w:r>
      <w:r w:rsidR="00400B0F" w:rsidRPr="005B119A">
        <w:rPr>
          <w:rFonts w:ascii="Franklin Gothic Book" w:eastAsia="Times New Roman" w:hAnsi="Franklin Gothic Book"/>
          <w:b/>
          <w:sz w:val="24"/>
          <w:szCs w:val="24"/>
        </w:rPr>
        <w:t xml:space="preserve"> report</w:t>
      </w:r>
    </w:p>
    <w:tbl>
      <w:tblPr>
        <w:tblStyle w:val="APPR"/>
        <w:tblpPr w:leftFromText="180" w:rightFromText="180" w:vertAnchor="text" w:tblpY="1"/>
        <w:tblW w:w="5000" w:type="pct"/>
        <w:tblLayout w:type="fixed"/>
        <w:tblLook w:val="0000" w:firstRow="0" w:lastRow="0" w:firstColumn="0" w:lastColumn="0" w:noHBand="0" w:noVBand="0"/>
      </w:tblPr>
      <w:tblGrid>
        <w:gridCol w:w="6389"/>
        <w:gridCol w:w="981"/>
        <w:gridCol w:w="6803"/>
      </w:tblGrid>
      <w:tr w:rsidR="00400B0F" w:rsidRPr="00C61187" w:rsidTr="00EA22D4">
        <w:trPr>
          <w:cnfStyle w:val="000000010000" w:firstRow="0" w:lastRow="0" w:firstColumn="0" w:lastColumn="0" w:oddVBand="0" w:evenVBand="0" w:oddHBand="0" w:evenHBand="1" w:firstRowFirstColumn="0" w:firstRowLastColumn="0" w:lastRowFirstColumn="0" w:lastRowLastColumn="0"/>
        </w:trPr>
        <w:tc>
          <w:tcPr>
            <w:tcW w:w="6479" w:type="dxa"/>
          </w:tcPr>
          <w:p w:rsidR="00400B0F" w:rsidRPr="00880004" w:rsidRDefault="00400B0F" w:rsidP="00A54034">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 xml:space="preserve">Management </w:t>
            </w:r>
            <w:r w:rsidR="00A54034">
              <w:rPr>
                <w:rFonts w:asciiTheme="minorHAnsi" w:eastAsia="Times New Roman" w:hAnsiTheme="minorHAnsi"/>
                <w:b/>
                <w:iCs/>
                <w:szCs w:val="17"/>
                <w:lang w:eastAsia="en-US"/>
              </w:rPr>
              <w:t>actions</w:t>
            </w:r>
            <w:r w:rsidRPr="00880004">
              <w:rPr>
                <w:rFonts w:asciiTheme="minorHAnsi" w:eastAsia="Times New Roman" w:hAnsiTheme="minorHAnsi"/>
                <w:b/>
                <w:iCs/>
                <w:szCs w:val="17"/>
                <w:lang w:eastAsia="en-US"/>
              </w:rPr>
              <w:t xml:space="preserve"> identified in 201</w:t>
            </w:r>
            <w:r w:rsidR="00075A73">
              <w:rPr>
                <w:rFonts w:asciiTheme="minorHAnsi" w:eastAsia="Times New Roman" w:hAnsiTheme="minorHAnsi"/>
                <w:b/>
                <w:iCs/>
                <w:szCs w:val="17"/>
                <w:lang w:eastAsia="en-US"/>
              </w:rPr>
              <w:t>6</w:t>
            </w:r>
            <w:r w:rsidRPr="00880004">
              <w:rPr>
                <w:rFonts w:asciiTheme="minorHAnsi" w:eastAsia="Times New Roman" w:hAnsiTheme="minorHAnsi"/>
                <w:b/>
                <w:iCs/>
                <w:szCs w:val="17"/>
                <w:lang w:eastAsia="en-US"/>
              </w:rPr>
              <w:t>-1</w:t>
            </w:r>
            <w:r w:rsidR="00075A73">
              <w:rPr>
                <w:rFonts w:asciiTheme="minorHAnsi" w:eastAsia="Times New Roman" w:hAnsiTheme="minorHAnsi"/>
                <w:b/>
                <w:iCs/>
                <w:szCs w:val="17"/>
                <w:lang w:eastAsia="en-US"/>
              </w:rPr>
              <w:t>7</w:t>
            </w:r>
            <w:r w:rsidRPr="00880004">
              <w:rPr>
                <w:rFonts w:asciiTheme="minorHAnsi" w:eastAsia="Times New Roman" w:hAnsiTheme="minorHAnsi"/>
                <w:b/>
                <w:iCs/>
                <w:szCs w:val="17"/>
                <w:lang w:eastAsia="en-US"/>
              </w:rPr>
              <w:t xml:space="preserve"> APPR</w:t>
            </w:r>
            <w:r w:rsidRPr="00880004">
              <w:rPr>
                <w:rFonts w:asciiTheme="minorHAnsi" w:eastAsia="Times New Roman" w:hAnsiTheme="minorHAnsi"/>
                <w:b/>
                <w:iCs/>
                <w:szCs w:val="17"/>
                <w:lang w:eastAsia="en-US"/>
              </w:rPr>
              <w:tab/>
            </w:r>
          </w:p>
        </w:tc>
        <w:tc>
          <w:tcPr>
            <w:tcW w:w="968" w:type="dxa"/>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Rating</w:t>
            </w:r>
          </w:p>
        </w:tc>
        <w:tc>
          <w:tcPr>
            <w:tcW w:w="6901" w:type="dxa"/>
          </w:tcPr>
          <w:p w:rsidR="00400B0F" w:rsidRPr="00880004" w:rsidRDefault="00400B0F" w:rsidP="002D37BC">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Progress made in 201</w:t>
            </w:r>
            <w:r w:rsidR="00075A73">
              <w:rPr>
                <w:rFonts w:asciiTheme="minorHAnsi" w:eastAsia="Times New Roman" w:hAnsiTheme="minorHAnsi"/>
                <w:b/>
                <w:iCs/>
                <w:szCs w:val="17"/>
                <w:lang w:eastAsia="en-US"/>
              </w:rPr>
              <w:t>7</w:t>
            </w:r>
            <w:r w:rsidRPr="00880004">
              <w:rPr>
                <w:rFonts w:asciiTheme="minorHAnsi" w:eastAsia="Times New Roman" w:hAnsiTheme="minorHAnsi"/>
                <w:b/>
                <w:iCs/>
                <w:szCs w:val="17"/>
                <w:lang w:eastAsia="en-US"/>
              </w:rPr>
              <w:t>-1</w:t>
            </w:r>
            <w:r w:rsidR="002D37BC">
              <w:rPr>
                <w:rFonts w:asciiTheme="minorHAnsi" w:eastAsia="Times New Roman" w:hAnsiTheme="minorHAnsi"/>
                <w:b/>
                <w:iCs/>
                <w:szCs w:val="17"/>
                <w:lang w:eastAsia="en-US"/>
              </w:rPr>
              <w:t>8</w:t>
            </w:r>
          </w:p>
        </w:tc>
      </w:tr>
      <w:tr w:rsidR="00400B0F" w:rsidRPr="00C61187" w:rsidTr="00EA22D4">
        <w:trPr>
          <w:cnfStyle w:val="000000010000" w:firstRow="0" w:lastRow="0" w:firstColumn="0" w:lastColumn="0" w:oddVBand="0" w:evenVBand="0" w:oddHBand="0" w:evenHBand="1" w:firstRowFirstColumn="0" w:firstRowLastColumn="0" w:lastRowFirstColumn="0" w:lastRowLastColumn="0"/>
        </w:trPr>
        <w:tc>
          <w:tcPr>
            <w:tcW w:w="6479" w:type="dxa"/>
          </w:tcPr>
          <w:p w:rsidR="00400B0F" w:rsidRPr="00467643" w:rsidRDefault="00075A73" w:rsidP="006F27B1">
            <w:pPr>
              <w:keepLines/>
              <w:spacing w:before="40" w:after="40" w:line="200" w:lineRule="atLeast"/>
              <w:rPr>
                <w:rFonts w:asciiTheme="minorHAnsi" w:eastAsia="Times New Roman" w:hAnsiTheme="minorHAnsi"/>
                <w:iCs/>
                <w:szCs w:val="17"/>
                <w:lang w:eastAsia="en-US"/>
              </w:rPr>
            </w:pPr>
            <w:r w:rsidRPr="00467643">
              <w:rPr>
                <w:rFonts w:asciiTheme="minorHAnsi" w:eastAsia="Times New Roman" w:hAnsiTheme="minorHAnsi"/>
                <w:iCs/>
                <w:szCs w:val="17"/>
                <w:lang w:eastAsia="en-US"/>
              </w:rPr>
              <w:t>Improve strategic clarity by analysing the strategic significance of our aid program. This will feed into developing the next Aid Investment Plan by the end of 2018 and include an assessment of the effectiveness of our current narrative and how we can maximise impact and influence.</w:t>
            </w:r>
          </w:p>
        </w:tc>
        <w:tc>
          <w:tcPr>
            <w:tcW w:w="968" w:type="dxa"/>
            <w:shd w:val="clear" w:color="auto" w:fill="69A12B"/>
          </w:tcPr>
          <w:p w:rsidR="00400B0F" w:rsidRPr="004D10F2" w:rsidRDefault="00CB24FC" w:rsidP="006F27B1">
            <w:pPr>
              <w:keepLines/>
              <w:spacing w:before="40" w:after="40" w:line="200" w:lineRule="atLeast"/>
              <w:jc w:val="center"/>
              <w:rPr>
                <w:rFonts w:asciiTheme="minorHAnsi" w:eastAsia="Times New Roman" w:hAnsiTheme="minorHAnsi"/>
                <w:iCs/>
                <w:color w:val="FFFFFF" w:themeColor="background1"/>
                <w:szCs w:val="17"/>
                <w:lang w:eastAsia="en-US"/>
              </w:rPr>
            </w:pPr>
            <w:r>
              <w:rPr>
                <w:color w:val="FFFFFF" w:themeColor="background1"/>
              </w:rPr>
              <w:t>Achieved</w:t>
            </w:r>
          </w:p>
        </w:tc>
        <w:tc>
          <w:tcPr>
            <w:tcW w:w="6901" w:type="dxa"/>
          </w:tcPr>
          <w:p w:rsidR="00400B0F" w:rsidRPr="00880004" w:rsidRDefault="00072014" w:rsidP="006F27B1">
            <w:pPr>
              <w:keepLines/>
              <w:spacing w:before="40" w:after="40" w:line="200" w:lineRule="atLeast"/>
              <w:rPr>
                <w:rFonts w:asciiTheme="minorHAnsi" w:eastAsia="Times New Roman" w:hAnsiTheme="minorHAnsi"/>
                <w:iCs/>
                <w:color w:val="92D050"/>
                <w:szCs w:val="17"/>
                <w:lang w:eastAsia="en-US"/>
              </w:rPr>
            </w:pPr>
            <w:r w:rsidRPr="00072014">
              <w:rPr>
                <w:rFonts w:asciiTheme="minorHAnsi" w:eastAsia="Times New Roman" w:hAnsiTheme="minorHAnsi"/>
                <w:iCs/>
                <w:szCs w:val="17"/>
                <w:lang w:eastAsia="en-US"/>
              </w:rPr>
              <w:t>In 2017-18, DFAT undertook a Health Check of the Cambodia aid program, commissioned a review of the aid program’s support for effective governance in Cambodia and convened a workshop for all aid program staff to improve the strategic clarity of the aid program and ensure it is underpinned by strong analysis. Recommendations from these exercises will ensure the next Aid Investment Plan aligns closely with the objectives contained in the Foreign Policy White Paper.</w:t>
            </w:r>
          </w:p>
        </w:tc>
      </w:tr>
      <w:tr w:rsidR="00400B0F" w:rsidRPr="00C61187" w:rsidTr="00EA22D4">
        <w:trPr>
          <w:cnfStyle w:val="000000010000" w:firstRow="0" w:lastRow="0" w:firstColumn="0" w:lastColumn="0" w:oddVBand="0" w:evenVBand="0" w:oddHBand="0" w:evenHBand="1" w:firstRowFirstColumn="0" w:firstRowLastColumn="0" w:lastRowFirstColumn="0" w:lastRowLastColumn="0"/>
        </w:trPr>
        <w:tc>
          <w:tcPr>
            <w:tcW w:w="6479" w:type="dxa"/>
          </w:tcPr>
          <w:p w:rsidR="00400B0F" w:rsidRPr="00467643" w:rsidRDefault="00075A73" w:rsidP="00075A73">
            <w:pPr>
              <w:keepLines/>
              <w:spacing w:before="40" w:after="40" w:line="200" w:lineRule="atLeast"/>
              <w:rPr>
                <w:rFonts w:asciiTheme="minorHAnsi" w:eastAsia="Times New Roman" w:hAnsiTheme="minorHAnsi"/>
                <w:iCs/>
                <w:szCs w:val="17"/>
                <w:lang w:eastAsia="en-US"/>
              </w:rPr>
            </w:pPr>
            <w:r w:rsidRPr="00467643">
              <w:rPr>
                <w:rFonts w:asciiTheme="minorHAnsi" w:eastAsia="Times New Roman" w:hAnsiTheme="minorHAnsi"/>
                <w:iCs/>
                <w:szCs w:val="17"/>
                <w:lang w:eastAsia="en-US"/>
              </w:rPr>
              <w:t>Institutionalise our newly revised Performance Assessment Framework to ensure that it becomes a living document benefitting program performance and improving how we communicate our achievements by the end of the next PAF report cycle in May 2018. Include consideration of policy dialogue indicators in the next PAF cycle.</w:t>
            </w:r>
          </w:p>
        </w:tc>
        <w:tc>
          <w:tcPr>
            <w:tcW w:w="968" w:type="dxa"/>
            <w:shd w:val="clear" w:color="auto" w:fill="69A12B"/>
          </w:tcPr>
          <w:p w:rsidR="00400B0F" w:rsidRPr="004D10F2" w:rsidRDefault="00CB24FC" w:rsidP="006F27B1">
            <w:pPr>
              <w:keepLines/>
              <w:spacing w:before="40" w:after="40" w:line="200" w:lineRule="atLeast"/>
              <w:jc w:val="center"/>
              <w:rPr>
                <w:rFonts w:asciiTheme="minorHAnsi" w:eastAsia="Times New Roman" w:hAnsiTheme="minorHAnsi"/>
                <w:iCs/>
                <w:color w:val="FFFFFF" w:themeColor="background1"/>
                <w:szCs w:val="17"/>
                <w:lang w:eastAsia="en-US"/>
              </w:rPr>
            </w:pPr>
            <w:r>
              <w:rPr>
                <w:color w:val="FFFFFF" w:themeColor="background1"/>
              </w:rPr>
              <w:t>Achieved</w:t>
            </w:r>
          </w:p>
        </w:tc>
        <w:tc>
          <w:tcPr>
            <w:tcW w:w="6901" w:type="dxa"/>
          </w:tcPr>
          <w:p w:rsidR="00400B0F" w:rsidRPr="00880004" w:rsidRDefault="00072014" w:rsidP="00F76913">
            <w:pPr>
              <w:keepLines/>
              <w:spacing w:before="40" w:after="40" w:line="200" w:lineRule="atLeast"/>
              <w:rPr>
                <w:rFonts w:asciiTheme="minorHAnsi" w:eastAsia="Times New Roman" w:hAnsiTheme="minorHAnsi"/>
                <w:iCs/>
                <w:color w:val="92D050"/>
                <w:szCs w:val="17"/>
                <w:lang w:eastAsia="en-US"/>
              </w:rPr>
            </w:pPr>
            <w:r w:rsidRPr="00072014">
              <w:rPr>
                <w:rFonts w:asciiTheme="minorHAnsi" w:eastAsia="Times New Roman" w:hAnsiTheme="minorHAnsi"/>
                <w:iCs/>
                <w:szCs w:val="17"/>
                <w:lang w:eastAsia="en-US"/>
              </w:rPr>
              <w:t>The update</w:t>
            </w:r>
            <w:r w:rsidR="00BC3DA6">
              <w:rPr>
                <w:rFonts w:asciiTheme="minorHAnsi" w:eastAsia="Times New Roman" w:hAnsiTheme="minorHAnsi"/>
                <w:iCs/>
                <w:szCs w:val="17"/>
                <w:lang w:eastAsia="en-US"/>
              </w:rPr>
              <w:t>d</w:t>
            </w:r>
            <w:r w:rsidRPr="00072014">
              <w:rPr>
                <w:rFonts w:asciiTheme="minorHAnsi" w:eastAsia="Times New Roman" w:hAnsiTheme="minorHAnsi"/>
                <w:iCs/>
                <w:szCs w:val="17"/>
                <w:lang w:eastAsia="en-US"/>
              </w:rPr>
              <w:t xml:space="preserve"> Performance Assessment Framework (PAF) served as effective tool to communicate with implementing partners and ha</w:t>
            </w:r>
            <w:r w:rsidR="00BC3DA6">
              <w:rPr>
                <w:rFonts w:asciiTheme="minorHAnsi" w:eastAsia="Times New Roman" w:hAnsiTheme="minorHAnsi"/>
                <w:iCs/>
                <w:szCs w:val="17"/>
                <w:lang w:eastAsia="en-US"/>
              </w:rPr>
              <w:t>s</w:t>
            </w:r>
            <w:r w:rsidRPr="00072014">
              <w:rPr>
                <w:rFonts w:asciiTheme="minorHAnsi" w:eastAsia="Times New Roman" w:hAnsiTheme="minorHAnsi"/>
                <w:iCs/>
                <w:szCs w:val="17"/>
                <w:lang w:eastAsia="en-US"/>
              </w:rPr>
              <w:t xml:space="preserve"> improved a program management. The updated PAF generated more meaningful, compelling information and realistic indicators to measure, manage and report on the performance of our aid program in Cambodia. The PAF has also guided the priorities of the program by informing sector plans and program designs; support</w:t>
            </w:r>
            <w:r w:rsidR="00BC3DA6">
              <w:rPr>
                <w:rFonts w:asciiTheme="minorHAnsi" w:eastAsia="Times New Roman" w:hAnsiTheme="minorHAnsi"/>
                <w:iCs/>
                <w:szCs w:val="17"/>
                <w:lang w:eastAsia="en-US"/>
              </w:rPr>
              <w:t>ed</w:t>
            </w:r>
            <w:r w:rsidRPr="00072014">
              <w:rPr>
                <w:rFonts w:asciiTheme="minorHAnsi" w:eastAsia="Times New Roman" w:hAnsiTheme="minorHAnsi"/>
                <w:iCs/>
                <w:szCs w:val="17"/>
                <w:lang w:eastAsia="en-US"/>
              </w:rPr>
              <w:t xml:space="preserve"> public diplomacy efforts; and, foster</w:t>
            </w:r>
            <w:r w:rsidR="00BC3DA6">
              <w:rPr>
                <w:rFonts w:asciiTheme="minorHAnsi" w:eastAsia="Times New Roman" w:hAnsiTheme="minorHAnsi"/>
                <w:iCs/>
                <w:szCs w:val="17"/>
                <w:lang w:eastAsia="en-US"/>
              </w:rPr>
              <w:t>ed</w:t>
            </w:r>
            <w:r w:rsidRPr="00072014">
              <w:rPr>
                <w:rFonts w:asciiTheme="minorHAnsi" w:eastAsia="Times New Roman" w:hAnsiTheme="minorHAnsi"/>
                <w:iCs/>
                <w:szCs w:val="17"/>
                <w:lang w:eastAsia="en-US"/>
              </w:rPr>
              <w:t xml:space="preserve"> collaboration across the program.</w:t>
            </w:r>
          </w:p>
        </w:tc>
      </w:tr>
      <w:tr w:rsidR="00400B0F" w:rsidRPr="00C61187" w:rsidTr="00EA22D4">
        <w:trPr>
          <w:cnfStyle w:val="000000010000" w:firstRow="0" w:lastRow="0" w:firstColumn="0" w:lastColumn="0" w:oddVBand="0" w:evenVBand="0" w:oddHBand="0" w:evenHBand="1" w:firstRowFirstColumn="0" w:firstRowLastColumn="0" w:lastRowFirstColumn="0" w:lastRowLastColumn="0"/>
        </w:trPr>
        <w:tc>
          <w:tcPr>
            <w:tcW w:w="6479" w:type="dxa"/>
          </w:tcPr>
          <w:p w:rsidR="00400B0F" w:rsidRPr="00467643" w:rsidRDefault="00075A73" w:rsidP="00075A73">
            <w:pPr>
              <w:keepLines/>
              <w:spacing w:before="40" w:after="40" w:line="200" w:lineRule="atLeast"/>
              <w:rPr>
                <w:rFonts w:asciiTheme="minorHAnsi" w:eastAsia="Times New Roman" w:hAnsiTheme="minorHAnsi"/>
                <w:iCs/>
                <w:szCs w:val="17"/>
                <w:lang w:eastAsia="en-US"/>
              </w:rPr>
            </w:pPr>
            <w:r w:rsidRPr="00467643">
              <w:rPr>
                <w:rFonts w:asciiTheme="minorHAnsi" w:eastAsia="Times New Roman" w:hAnsiTheme="minorHAnsi"/>
                <w:iCs/>
                <w:szCs w:val="17"/>
                <w:lang w:eastAsia="en-US"/>
              </w:rPr>
              <w:t>Consider opportunities for further efficiency gains and maintain judicious control of the number of agreements and investments in 2017-2018.</w:t>
            </w:r>
          </w:p>
        </w:tc>
        <w:tc>
          <w:tcPr>
            <w:tcW w:w="968" w:type="dxa"/>
            <w:shd w:val="clear" w:color="auto" w:fill="69A12B"/>
          </w:tcPr>
          <w:p w:rsidR="00400B0F" w:rsidRPr="004D10F2" w:rsidRDefault="00CB24FC" w:rsidP="006F27B1">
            <w:pPr>
              <w:keepLines/>
              <w:spacing w:before="40" w:after="40" w:line="200" w:lineRule="atLeast"/>
              <w:jc w:val="center"/>
              <w:rPr>
                <w:rFonts w:asciiTheme="minorHAnsi" w:eastAsia="Times New Roman" w:hAnsiTheme="minorHAnsi"/>
                <w:iCs/>
                <w:color w:val="FFFFFF" w:themeColor="background1"/>
                <w:szCs w:val="17"/>
                <w:lang w:eastAsia="en-US"/>
              </w:rPr>
            </w:pPr>
            <w:r>
              <w:rPr>
                <w:color w:val="FFFFFF" w:themeColor="background1"/>
              </w:rPr>
              <w:t>Achieved</w:t>
            </w:r>
          </w:p>
        </w:tc>
        <w:tc>
          <w:tcPr>
            <w:tcW w:w="6901" w:type="dxa"/>
          </w:tcPr>
          <w:p w:rsidR="00072014" w:rsidRPr="00072014" w:rsidRDefault="00072014" w:rsidP="00072014">
            <w:pPr>
              <w:keepLines/>
              <w:spacing w:before="40" w:after="40" w:line="200" w:lineRule="atLeast"/>
              <w:rPr>
                <w:rFonts w:asciiTheme="minorHAnsi" w:eastAsia="Times New Roman" w:hAnsiTheme="minorHAnsi"/>
                <w:iCs/>
                <w:szCs w:val="17"/>
                <w:lang w:eastAsia="en-US"/>
              </w:rPr>
            </w:pPr>
            <w:r w:rsidRPr="00072014">
              <w:rPr>
                <w:rFonts w:asciiTheme="minorHAnsi" w:eastAsia="Times New Roman" w:hAnsiTheme="minorHAnsi"/>
                <w:iCs/>
                <w:szCs w:val="17"/>
                <w:lang w:eastAsia="en-US"/>
              </w:rPr>
              <w:t>In 2017-18, the aid program made significant progress in consolidating initiatives, with the total number of agreements reducing from 40 on 1 July 2017 to 26 by 30 June 2018.</w:t>
            </w:r>
          </w:p>
        </w:tc>
      </w:tr>
      <w:tr w:rsidR="00400B0F" w:rsidRPr="00C61187" w:rsidTr="00EA22D4">
        <w:trPr>
          <w:cnfStyle w:val="000000010000" w:firstRow="0" w:lastRow="0" w:firstColumn="0" w:lastColumn="0" w:oddVBand="0" w:evenVBand="0" w:oddHBand="0" w:evenHBand="1" w:firstRowFirstColumn="0" w:firstRowLastColumn="0" w:lastRowFirstColumn="0" w:lastRowLastColumn="0"/>
        </w:trPr>
        <w:tc>
          <w:tcPr>
            <w:tcW w:w="6479" w:type="dxa"/>
          </w:tcPr>
          <w:p w:rsidR="00400B0F" w:rsidRPr="00880004" w:rsidRDefault="00075A73" w:rsidP="00075A73">
            <w:pPr>
              <w:keepLines/>
              <w:spacing w:before="40" w:after="40" w:line="200" w:lineRule="atLeast"/>
              <w:rPr>
                <w:rFonts w:asciiTheme="minorHAnsi" w:eastAsia="Times New Roman" w:hAnsiTheme="minorHAnsi"/>
                <w:iCs/>
                <w:szCs w:val="17"/>
                <w:lang w:eastAsia="en-US"/>
              </w:rPr>
            </w:pPr>
            <w:r w:rsidRPr="00075A73">
              <w:rPr>
                <w:rFonts w:asciiTheme="minorHAnsi" w:eastAsia="Times New Roman" w:hAnsiTheme="minorHAnsi"/>
                <w:iCs/>
                <w:szCs w:val="17"/>
                <w:lang w:eastAsia="en-US"/>
              </w:rPr>
              <w:t>Monitor the domestic political situation ahead of national elections in July 2018, and ensure risk analysis informs program implementation.</w:t>
            </w:r>
          </w:p>
        </w:tc>
        <w:tc>
          <w:tcPr>
            <w:tcW w:w="968" w:type="dxa"/>
            <w:shd w:val="clear" w:color="auto" w:fill="E36C0A"/>
          </w:tcPr>
          <w:p w:rsidR="00405B2F" w:rsidRDefault="00114D55" w:rsidP="006F27B1">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Partly achieved</w:t>
            </w:r>
          </w:p>
          <w:p w:rsidR="00400B0F" w:rsidRPr="00405B2F" w:rsidRDefault="00400B0F" w:rsidP="00405B2F">
            <w:pPr>
              <w:keepLines/>
              <w:spacing w:before="40" w:after="40" w:line="200" w:lineRule="atLeast"/>
              <w:jc w:val="center"/>
              <w:rPr>
                <w:rFonts w:asciiTheme="minorHAnsi" w:eastAsia="Times New Roman" w:hAnsiTheme="minorHAnsi"/>
                <w:iCs/>
                <w:color w:val="FFFFFF" w:themeColor="background1"/>
                <w:szCs w:val="17"/>
                <w:lang w:eastAsia="en-US"/>
              </w:rPr>
            </w:pPr>
          </w:p>
        </w:tc>
        <w:tc>
          <w:tcPr>
            <w:tcW w:w="6901" w:type="dxa"/>
          </w:tcPr>
          <w:p w:rsidR="00400B0F" w:rsidRPr="00114D55" w:rsidRDefault="00114D55" w:rsidP="00B34FCD">
            <w:pPr>
              <w:spacing w:before="0" w:after="0" w:line="240" w:lineRule="auto"/>
              <w:rPr>
                <w:color w:val="F79646"/>
                <w:lang w:val="en-AU"/>
              </w:rPr>
            </w:pPr>
            <w:r w:rsidRPr="00114D55">
              <w:rPr>
                <w:rFonts w:asciiTheme="minorHAnsi" w:eastAsia="Times New Roman" w:hAnsiTheme="minorHAnsi"/>
                <w:iCs/>
                <w:szCs w:val="17"/>
                <w:lang w:eastAsia="en-US"/>
              </w:rPr>
              <w:t xml:space="preserve">The Embassy effectively monitored the political situation, and political analysis informed DFAT decisions and guidance. However, during the reporting period, </w:t>
            </w:r>
            <w:r w:rsidR="00B34FCD">
              <w:rPr>
                <w:rFonts w:asciiTheme="minorHAnsi" w:eastAsia="Times New Roman" w:hAnsiTheme="minorHAnsi"/>
                <w:iCs/>
                <w:szCs w:val="17"/>
                <w:lang w:eastAsia="en-US"/>
              </w:rPr>
              <w:t>one</w:t>
            </w:r>
            <w:r w:rsidRPr="00114D55">
              <w:rPr>
                <w:rFonts w:asciiTheme="minorHAnsi" w:eastAsia="Times New Roman" w:hAnsiTheme="minorHAnsi"/>
                <w:iCs/>
                <w:szCs w:val="17"/>
                <w:lang w:eastAsia="en-US"/>
              </w:rPr>
              <w:t xml:space="preserve"> implementing </w:t>
            </w:r>
            <w:r w:rsidR="00B34FCD" w:rsidRPr="00114D55">
              <w:rPr>
                <w:rFonts w:asciiTheme="minorHAnsi" w:eastAsia="Times New Roman" w:hAnsiTheme="minorHAnsi"/>
                <w:iCs/>
                <w:szCs w:val="17"/>
                <w:lang w:eastAsia="en-US"/>
              </w:rPr>
              <w:t>partner’s</w:t>
            </w:r>
            <w:r w:rsidRPr="00114D55">
              <w:rPr>
                <w:rFonts w:asciiTheme="minorHAnsi" w:eastAsia="Times New Roman" w:hAnsiTheme="minorHAnsi"/>
                <w:iCs/>
                <w:szCs w:val="17"/>
                <w:lang w:eastAsia="en-US"/>
              </w:rPr>
              <w:t xml:space="preserve"> </w:t>
            </w:r>
            <w:r w:rsidR="00B34FCD">
              <w:rPr>
                <w:rFonts w:asciiTheme="minorHAnsi" w:eastAsia="Times New Roman" w:hAnsiTheme="minorHAnsi"/>
                <w:iCs/>
                <w:szCs w:val="17"/>
                <w:lang w:eastAsia="en-US"/>
              </w:rPr>
              <w:t xml:space="preserve">performance was less than satisfactory against some criteria. </w:t>
            </w:r>
            <w:r w:rsidRPr="00114D55">
              <w:rPr>
                <w:rFonts w:asciiTheme="minorHAnsi" w:eastAsia="Times New Roman" w:hAnsiTheme="minorHAnsi"/>
                <w:iCs/>
                <w:szCs w:val="17"/>
                <w:lang w:eastAsia="en-US"/>
              </w:rPr>
              <w:t xml:space="preserve"> DFAT </w:t>
            </w:r>
            <w:r w:rsidR="00B34FCD">
              <w:rPr>
                <w:rFonts w:asciiTheme="minorHAnsi" w:eastAsia="Times New Roman" w:hAnsiTheme="minorHAnsi"/>
                <w:iCs/>
                <w:szCs w:val="17"/>
                <w:lang w:eastAsia="en-US"/>
              </w:rPr>
              <w:t xml:space="preserve">will </w:t>
            </w:r>
            <w:r w:rsidRPr="00114D55">
              <w:rPr>
                <w:rFonts w:asciiTheme="minorHAnsi" w:eastAsia="Times New Roman" w:hAnsiTheme="minorHAnsi"/>
                <w:iCs/>
                <w:szCs w:val="17"/>
                <w:lang w:eastAsia="en-US"/>
              </w:rPr>
              <w:t>continu</w:t>
            </w:r>
            <w:r w:rsidR="00B34FCD">
              <w:rPr>
                <w:rFonts w:asciiTheme="minorHAnsi" w:eastAsia="Times New Roman" w:hAnsiTheme="minorHAnsi"/>
                <w:iCs/>
                <w:szCs w:val="17"/>
                <w:lang w:eastAsia="en-US"/>
              </w:rPr>
              <w:t>e to manage partner performance closely</w:t>
            </w:r>
            <w:r w:rsidRPr="00114D55">
              <w:rPr>
                <w:rFonts w:asciiTheme="minorHAnsi" w:eastAsia="Times New Roman" w:hAnsiTheme="minorHAnsi"/>
                <w:iCs/>
                <w:szCs w:val="17"/>
                <w:lang w:eastAsia="en-US"/>
              </w:rPr>
              <w:t>.</w:t>
            </w:r>
          </w:p>
        </w:tc>
      </w:tr>
      <w:tr w:rsidR="00075A73" w:rsidRPr="00C61187" w:rsidTr="00EA22D4">
        <w:trPr>
          <w:cnfStyle w:val="000000010000" w:firstRow="0" w:lastRow="0" w:firstColumn="0" w:lastColumn="0" w:oddVBand="0" w:evenVBand="0" w:oddHBand="0" w:evenHBand="1" w:firstRowFirstColumn="0" w:firstRowLastColumn="0" w:lastRowFirstColumn="0" w:lastRowLastColumn="0"/>
        </w:trPr>
        <w:tc>
          <w:tcPr>
            <w:tcW w:w="6479" w:type="dxa"/>
          </w:tcPr>
          <w:p w:rsidR="00075A73" w:rsidRPr="00880004" w:rsidRDefault="00075A73" w:rsidP="00075A73">
            <w:pPr>
              <w:keepLines/>
              <w:spacing w:before="40" w:after="40" w:line="200" w:lineRule="atLeast"/>
              <w:rPr>
                <w:rFonts w:asciiTheme="minorHAnsi" w:eastAsia="Times New Roman" w:hAnsiTheme="minorHAnsi"/>
                <w:iCs/>
                <w:szCs w:val="17"/>
                <w:lang w:eastAsia="en-US"/>
              </w:rPr>
            </w:pPr>
            <w:r w:rsidRPr="00075A73">
              <w:rPr>
                <w:rFonts w:asciiTheme="minorHAnsi" w:eastAsia="Times New Roman" w:hAnsiTheme="minorHAnsi"/>
                <w:iCs/>
                <w:szCs w:val="17"/>
                <w:lang w:eastAsia="en-US"/>
              </w:rPr>
              <w:t xml:space="preserve">Implement lessons learnt from recent program evaluations and assessments in agriculture, health and infrastructure to strengthen program implementation and inform current and future programs. Particular focus on ensuring more gender-responsive programming. </w:t>
            </w:r>
          </w:p>
        </w:tc>
        <w:tc>
          <w:tcPr>
            <w:tcW w:w="968" w:type="dxa"/>
            <w:shd w:val="clear" w:color="auto" w:fill="69A12B"/>
          </w:tcPr>
          <w:p w:rsidR="00075A73" w:rsidRPr="004D10F2" w:rsidRDefault="00EE72AC" w:rsidP="00075A73">
            <w:pPr>
              <w:rPr>
                <w:color w:val="FFFFFF" w:themeColor="background1"/>
              </w:rPr>
            </w:pPr>
            <w:r>
              <w:rPr>
                <w:color w:val="FFFFFF" w:themeColor="background1"/>
              </w:rPr>
              <w:t>Achieved</w:t>
            </w:r>
          </w:p>
        </w:tc>
        <w:tc>
          <w:tcPr>
            <w:tcW w:w="6901" w:type="dxa"/>
          </w:tcPr>
          <w:p w:rsidR="00072014" w:rsidRDefault="00072014" w:rsidP="00EE72AC">
            <w:pPr>
              <w:keepLines/>
              <w:spacing w:before="40" w:after="40" w:line="200" w:lineRule="atLeast"/>
              <w:rPr>
                <w:rFonts w:asciiTheme="minorHAnsi" w:eastAsia="Times New Roman" w:hAnsiTheme="minorHAnsi"/>
                <w:b/>
                <w:bCs/>
                <w:iCs/>
                <w:szCs w:val="17"/>
                <w:lang w:eastAsia="en-US"/>
              </w:rPr>
            </w:pPr>
            <w:r w:rsidRPr="00072014">
              <w:rPr>
                <w:rFonts w:asciiTheme="minorHAnsi" w:eastAsia="Times New Roman" w:hAnsiTheme="minorHAnsi"/>
                <w:b/>
                <w:bCs/>
                <w:iCs/>
                <w:szCs w:val="17"/>
                <w:lang w:eastAsia="en-US"/>
              </w:rPr>
              <w:t xml:space="preserve">Agriculture: </w:t>
            </w:r>
            <w:r w:rsidRPr="00072014">
              <w:rPr>
                <w:rFonts w:asciiTheme="minorHAnsi" w:eastAsia="Times New Roman" w:hAnsiTheme="minorHAnsi"/>
                <w:iCs/>
                <w:szCs w:val="17"/>
                <w:lang w:eastAsia="en-US"/>
              </w:rPr>
              <w:t>The Program ha</w:t>
            </w:r>
            <w:r w:rsidR="00BC3DA6">
              <w:rPr>
                <w:rFonts w:asciiTheme="minorHAnsi" w:eastAsia="Times New Roman" w:hAnsiTheme="minorHAnsi"/>
                <w:iCs/>
                <w:szCs w:val="17"/>
                <w:lang w:eastAsia="en-US"/>
              </w:rPr>
              <w:t>s</w:t>
            </w:r>
            <w:r w:rsidRPr="00072014">
              <w:rPr>
                <w:rFonts w:asciiTheme="minorHAnsi" w:eastAsia="Times New Roman" w:hAnsiTheme="minorHAnsi"/>
                <w:iCs/>
                <w:szCs w:val="17"/>
                <w:lang w:eastAsia="en-US"/>
              </w:rPr>
              <w:t xml:space="preserve"> considered and effectively implemented recommendations from CAVAC I evaluation, and four Strategic Advisory Team </w:t>
            </w:r>
            <w:r w:rsidR="00BC3DA6">
              <w:rPr>
                <w:rFonts w:asciiTheme="minorHAnsi" w:eastAsia="Times New Roman" w:hAnsiTheme="minorHAnsi"/>
                <w:iCs/>
                <w:szCs w:val="17"/>
                <w:lang w:eastAsia="en-US"/>
              </w:rPr>
              <w:t>inputs</w:t>
            </w:r>
            <w:r w:rsidRPr="00072014">
              <w:rPr>
                <w:rFonts w:asciiTheme="minorHAnsi" w:eastAsia="Times New Roman" w:hAnsiTheme="minorHAnsi"/>
                <w:iCs/>
                <w:szCs w:val="17"/>
                <w:lang w:eastAsia="en-US"/>
              </w:rPr>
              <w:t xml:space="preserve">. The SAT provided strategic advice and support to DFAT and CAVAC II on policy, program and operational issues. </w:t>
            </w:r>
            <w:r w:rsidR="00BC3DA6">
              <w:rPr>
                <w:rFonts w:asciiTheme="minorHAnsi" w:eastAsia="Times New Roman" w:hAnsiTheme="minorHAnsi"/>
                <w:iCs/>
                <w:szCs w:val="17"/>
                <w:lang w:eastAsia="en-US"/>
              </w:rPr>
              <w:t xml:space="preserve">The </w:t>
            </w:r>
            <w:r w:rsidRPr="00072014">
              <w:rPr>
                <w:rFonts w:asciiTheme="minorHAnsi" w:eastAsia="Times New Roman" w:hAnsiTheme="minorHAnsi"/>
                <w:iCs/>
                <w:szCs w:val="17"/>
                <w:lang w:eastAsia="en-US"/>
              </w:rPr>
              <w:t xml:space="preserve">Gender Strategy of the CAVAC program </w:t>
            </w:r>
            <w:r w:rsidR="00BC3DA6">
              <w:rPr>
                <w:rFonts w:asciiTheme="minorHAnsi" w:eastAsia="Times New Roman" w:hAnsiTheme="minorHAnsi"/>
                <w:iCs/>
                <w:szCs w:val="17"/>
                <w:lang w:eastAsia="en-US"/>
              </w:rPr>
              <w:t xml:space="preserve">has </w:t>
            </w:r>
            <w:r w:rsidRPr="00072014">
              <w:rPr>
                <w:rFonts w:asciiTheme="minorHAnsi" w:eastAsia="Times New Roman" w:hAnsiTheme="minorHAnsi"/>
                <w:iCs/>
                <w:szCs w:val="17"/>
                <w:lang w:eastAsia="en-US"/>
              </w:rPr>
              <w:t>now become an important tool for integration of Women</w:t>
            </w:r>
            <w:r w:rsidR="00BC3DA6">
              <w:rPr>
                <w:rFonts w:asciiTheme="minorHAnsi" w:eastAsia="Times New Roman" w:hAnsiTheme="minorHAnsi"/>
                <w:iCs/>
                <w:szCs w:val="17"/>
                <w:lang w:eastAsia="en-US"/>
              </w:rPr>
              <w:t>’s</w:t>
            </w:r>
            <w:r w:rsidRPr="00072014">
              <w:rPr>
                <w:rFonts w:asciiTheme="minorHAnsi" w:eastAsia="Times New Roman" w:hAnsiTheme="minorHAnsi"/>
                <w:iCs/>
                <w:szCs w:val="17"/>
                <w:lang w:eastAsia="en-US"/>
              </w:rPr>
              <w:t xml:space="preserve"> Economic Empowerment in </w:t>
            </w:r>
            <w:r w:rsidR="00BC3DA6">
              <w:rPr>
                <w:rFonts w:asciiTheme="minorHAnsi" w:eastAsia="Times New Roman" w:hAnsiTheme="minorHAnsi"/>
                <w:iCs/>
                <w:szCs w:val="17"/>
                <w:lang w:eastAsia="en-US"/>
              </w:rPr>
              <w:t>c</w:t>
            </w:r>
            <w:r w:rsidRPr="00072014">
              <w:rPr>
                <w:rFonts w:asciiTheme="minorHAnsi" w:eastAsia="Times New Roman" w:hAnsiTheme="minorHAnsi"/>
                <w:iCs/>
                <w:szCs w:val="17"/>
                <w:lang w:eastAsia="en-US"/>
              </w:rPr>
              <w:t>omponent activities.</w:t>
            </w:r>
          </w:p>
          <w:p w:rsidR="00EA22D4" w:rsidRDefault="00EA22D4" w:rsidP="00EE72AC">
            <w:pPr>
              <w:keepLines/>
              <w:spacing w:before="40" w:after="40" w:line="200" w:lineRule="atLeast"/>
              <w:rPr>
                <w:rFonts w:asciiTheme="minorHAnsi" w:eastAsia="Times New Roman" w:hAnsiTheme="minorHAnsi"/>
                <w:iCs/>
                <w:szCs w:val="17"/>
                <w:lang w:eastAsia="en-US"/>
              </w:rPr>
            </w:pPr>
            <w:r w:rsidRPr="00B47DA7">
              <w:rPr>
                <w:rFonts w:eastAsia="Times New Roman"/>
                <w:b/>
                <w:bCs/>
                <w:iCs/>
                <w:szCs w:val="17"/>
              </w:rPr>
              <w:t>Health:</w:t>
            </w:r>
            <w:r w:rsidR="002370AA" w:rsidRPr="00B47DA7">
              <w:rPr>
                <w:b/>
                <w:bCs/>
                <w:szCs w:val="17"/>
              </w:rPr>
              <w:t xml:space="preserve"> </w:t>
            </w:r>
            <w:r w:rsidR="002370AA" w:rsidRPr="00B47DA7">
              <w:rPr>
                <w:rFonts w:asciiTheme="minorHAnsi" w:eastAsia="Times New Roman" w:hAnsiTheme="minorHAnsi"/>
                <w:iCs/>
                <w:szCs w:val="17"/>
                <w:lang w:eastAsia="en-US"/>
              </w:rPr>
              <w:t xml:space="preserve">A Gender Assessment of H-EQIP was completed in November 2017. The Ministry of Health Gender Mainstreaming Working Group accepted the recommendations has </w:t>
            </w:r>
            <w:r w:rsidR="00BC3DA6">
              <w:rPr>
                <w:rFonts w:asciiTheme="minorHAnsi" w:eastAsia="Times New Roman" w:hAnsiTheme="minorHAnsi"/>
                <w:iCs/>
                <w:szCs w:val="17"/>
                <w:lang w:eastAsia="en-US"/>
              </w:rPr>
              <w:t xml:space="preserve">requested </w:t>
            </w:r>
            <w:r w:rsidR="002370AA" w:rsidRPr="00B47DA7">
              <w:rPr>
                <w:rFonts w:asciiTheme="minorHAnsi" w:eastAsia="Times New Roman" w:hAnsiTheme="minorHAnsi"/>
                <w:iCs/>
                <w:szCs w:val="17"/>
                <w:lang w:eastAsia="en-US"/>
              </w:rPr>
              <w:t>relevant departments to take action.</w:t>
            </w:r>
          </w:p>
          <w:p w:rsidR="00EA22D4" w:rsidRDefault="00EA22D4" w:rsidP="00EE72AC">
            <w:pPr>
              <w:keepLines/>
              <w:spacing w:before="40" w:after="40" w:line="200" w:lineRule="atLeast"/>
              <w:rPr>
                <w:rFonts w:asciiTheme="minorHAnsi" w:eastAsia="Times New Roman" w:hAnsiTheme="minorHAnsi"/>
                <w:iCs/>
                <w:szCs w:val="17"/>
                <w:lang w:eastAsia="en-US"/>
              </w:rPr>
            </w:pPr>
          </w:p>
          <w:p w:rsidR="00EA22D4" w:rsidRDefault="00EA22D4" w:rsidP="00EE72AC">
            <w:pPr>
              <w:keepLines/>
              <w:spacing w:before="40" w:after="40" w:line="200" w:lineRule="atLeast"/>
              <w:rPr>
                <w:rFonts w:asciiTheme="minorHAnsi" w:eastAsia="Times New Roman" w:hAnsiTheme="minorHAnsi"/>
                <w:iCs/>
                <w:szCs w:val="17"/>
                <w:lang w:eastAsia="en-US"/>
              </w:rPr>
            </w:pPr>
          </w:p>
          <w:p w:rsidR="00EA22D4" w:rsidRPr="00880004" w:rsidRDefault="00EA22D4" w:rsidP="00EA22D4">
            <w:pPr>
              <w:keepLines/>
              <w:spacing w:before="40" w:after="40" w:line="200" w:lineRule="atLeast"/>
              <w:rPr>
                <w:rFonts w:asciiTheme="minorHAnsi" w:eastAsia="Times New Roman" w:hAnsiTheme="minorHAnsi"/>
                <w:iCs/>
                <w:color w:val="409F68" w:themeColor="accent6"/>
                <w:szCs w:val="17"/>
                <w:lang w:eastAsia="en-US"/>
              </w:rPr>
            </w:pPr>
          </w:p>
        </w:tc>
      </w:tr>
    </w:tbl>
    <w:p w:rsidR="00EA22D4" w:rsidRDefault="00EA22D4">
      <w:r>
        <w:br w:type="page"/>
      </w:r>
    </w:p>
    <w:tbl>
      <w:tblPr>
        <w:tblStyle w:val="APPR"/>
        <w:tblpPr w:leftFromText="180" w:rightFromText="180" w:vertAnchor="text" w:tblpY="1"/>
        <w:tblW w:w="5000" w:type="pct"/>
        <w:tblLayout w:type="fixed"/>
        <w:tblLook w:val="0000" w:firstRow="0" w:lastRow="0" w:firstColumn="0" w:lastColumn="0" w:noHBand="0" w:noVBand="0"/>
      </w:tblPr>
      <w:tblGrid>
        <w:gridCol w:w="6389"/>
        <w:gridCol w:w="981"/>
        <w:gridCol w:w="6803"/>
      </w:tblGrid>
      <w:tr w:rsidR="00EA22D4" w:rsidRPr="00C61187" w:rsidTr="00EA22D4">
        <w:trPr>
          <w:cnfStyle w:val="000000010000" w:firstRow="0" w:lastRow="0" w:firstColumn="0" w:lastColumn="0" w:oddVBand="0" w:evenVBand="0" w:oddHBand="0" w:evenHBand="1" w:firstRowFirstColumn="0" w:firstRowLastColumn="0" w:lastRowFirstColumn="0" w:lastRowLastColumn="0"/>
        </w:trPr>
        <w:tc>
          <w:tcPr>
            <w:tcW w:w="6479" w:type="dxa"/>
          </w:tcPr>
          <w:p w:rsidR="00EA22D4" w:rsidRPr="00075A73" w:rsidRDefault="00EA22D4" w:rsidP="00075A73">
            <w:pPr>
              <w:keepLines/>
              <w:spacing w:before="40" w:after="40" w:line="200" w:lineRule="atLeast"/>
              <w:rPr>
                <w:rFonts w:eastAsia="Times New Roman"/>
                <w:iCs/>
                <w:szCs w:val="17"/>
              </w:rPr>
            </w:pPr>
          </w:p>
        </w:tc>
        <w:tc>
          <w:tcPr>
            <w:tcW w:w="968" w:type="dxa"/>
            <w:shd w:val="clear" w:color="auto" w:fill="69A12B"/>
          </w:tcPr>
          <w:p w:rsidR="00EA22D4" w:rsidRDefault="00EA22D4" w:rsidP="00075A73">
            <w:pPr>
              <w:rPr>
                <w:color w:val="FFFFFF" w:themeColor="background1"/>
              </w:rPr>
            </w:pPr>
          </w:p>
        </w:tc>
        <w:tc>
          <w:tcPr>
            <w:tcW w:w="6901" w:type="dxa"/>
          </w:tcPr>
          <w:p w:rsidR="00EA22D4" w:rsidRPr="002F11B5" w:rsidRDefault="00EA22D4" w:rsidP="00EA22D4">
            <w:pPr>
              <w:keepLines/>
              <w:spacing w:before="40" w:after="40" w:line="200" w:lineRule="atLeast"/>
              <w:rPr>
                <w:rFonts w:asciiTheme="minorHAnsi" w:eastAsia="Times New Roman" w:hAnsiTheme="minorHAnsi"/>
                <w:b/>
                <w:bCs/>
                <w:iCs/>
                <w:szCs w:val="17"/>
                <w:lang w:eastAsia="en-US"/>
              </w:rPr>
            </w:pPr>
            <w:r>
              <w:rPr>
                <w:rFonts w:asciiTheme="minorHAnsi" w:eastAsia="Times New Roman" w:hAnsiTheme="minorHAnsi"/>
                <w:b/>
                <w:bCs/>
                <w:iCs/>
                <w:szCs w:val="17"/>
                <w:lang w:eastAsia="en-US"/>
              </w:rPr>
              <w:t xml:space="preserve">Infrastructure </w:t>
            </w:r>
            <w:r w:rsidRPr="00EE72AC">
              <w:rPr>
                <w:rFonts w:asciiTheme="minorHAnsi" w:eastAsia="Times New Roman" w:hAnsiTheme="minorHAnsi"/>
                <w:iCs/>
                <w:szCs w:val="17"/>
                <w:lang w:eastAsia="en-US"/>
              </w:rPr>
              <w:t xml:space="preserve">Programs are actively adopting lessons learnt across all program aspects and ensuring these are informing implementation. For instance, recommendations identified in the 3i Scalability Review are being carried out including a recommendation for program extension in order to maximise program’s policy and investment outcomes. </w:t>
            </w:r>
          </w:p>
          <w:p w:rsidR="00EA22D4" w:rsidRPr="00EE72AC" w:rsidRDefault="00EA22D4" w:rsidP="00EA22D4">
            <w:pPr>
              <w:keepLines/>
              <w:spacing w:before="40" w:after="40" w:line="200" w:lineRule="atLeast"/>
              <w:rPr>
                <w:rFonts w:asciiTheme="minorHAnsi" w:eastAsia="Times New Roman" w:hAnsiTheme="minorHAnsi"/>
                <w:iCs/>
                <w:szCs w:val="17"/>
                <w:lang w:eastAsia="en-US"/>
              </w:rPr>
            </w:pPr>
            <w:r w:rsidRPr="00EE72AC">
              <w:rPr>
                <w:rFonts w:asciiTheme="minorHAnsi" w:eastAsia="Times New Roman" w:hAnsiTheme="minorHAnsi"/>
                <w:iCs/>
                <w:szCs w:val="17"/>
                <w:lang w:eastAsia="en-US"/>
              </w:rPr>
              <w:t>Several gender impact studies were conducted and employed both qualitative and quantitative methods. Findings from these studies have led to program interventions which will check that rates of access to new energy and water utilities is the same for women and men. Interventions such as subsidising the connection cost to ID</w:t>
            </w:r>
            <w:r w:rsidR="00BC3DA6">
              <w:rPr>
                <w:rFonts w:asciiTheme="minorHAnsi" w:eastAsia="Times New Roman" w:hAnsiTheme="minorHAnsi"/>
                <w:iCs/>
                <w:szCs w:val="17"/>
                <w:lang w:eastAsia="en-US"/>
              </w:rPr>
              <w:t>P</w:t>
            </w:r>
            <w:r w:rsidRPr="00EE72AC">
              <w:rPr>
                <w:rFonts w:asciiTheme="minorHAnsi" w:eastAsia="Times New Roman" w:hAnsiTheme="minorHAnsi"/>
                <w:iCs/>
                <w:szCs w:val="17"/>
                <w:lang w:eastAsia="en-US"/>
              </w:rPr>
              <w:t xml:space="preserve">oor families and female-headed households to increase accessibility to clean water and electricity have been integrated into grant offers to local operators. </w:t>
            </w:r>
          </w:p>
          <w:p w:rsidR="00EA22D4" w:rsidRPr="00072014" w:rsidRDefault="00EA22D4" w:rsidP="00EE72AC">
            <w:pPr>
              <w:keepLines/>
              <w:spacing w:before="40" w:after="40" w:line="200" w:lineRule="atLeast"/>
              <w:rPr>
                <w:rFonts w:eastAsia="Times New Roman"/>
                <w:b/>
                <w:bCs/>
                <w:iCs/>
                <w:szCs w:val="17"/>
              </w:rPr>
            </w:pPr>
            <w:r w:rsidRPr="00EE72AC">
              <w:rPr>
                <w:rFonts w:asciiTheme="minorHAnsi" w:eastAsia="Times New Roman" w:hAnsiTheme="minorHAnsi"/>
                <w:iCs/>
                <w:szCs w:val="17"/>
                <w:lang w:eastAsia="en-US"/>
              </w:rPr>
              <w:t xml:space="preserve">RRIP II has demonstrated impressive results in response to recommendations from specialist gender expertise on review missions and specific project covenants. For instance, employing of </w:t>
            </w:r>
            <w:r w:rsidR="00BC3DA6">
              <w:rPr>
                <w:rFonts w:asciiTheme="minorHAnsi" w:eastAsia="Times New Roman" w:hAnsiTheme="minorHAnsi"/>
                <w:iCs/>
                <w:szCs w:val="17"/>
                <w:lang w:eastAsia="en-US"/>
              </w:rPr>
              <w:t xml:space="preserve">female </w:t>
            </w:r>
            <w:r w:rsidRPr="00EE72AC">
              <w:rPr>
                <w:rFonts w:asciiTheme="minorHAnsi" w:eastAsia="Times New Roman" w:hAnsiTheme="minorHAnsi"/>
                <w:iCs/>
                <w:szCs w:val="17"/>
                <w:lang w:eastAsia="en-US"/>
              </w:rPr>
              <w:t>unskilled labour was 28</w:t>
            </w:r>
            <w:r w:rsidR="001A2BF9">
              <w:rPr>
                <w:rFonts w:asciiTheme="minorHAnsi" w:eastAsia="Times New Roman" w:hAnsiTheme="minorHAnsi"/>
                <w:iCs/>
                <w:szCs w:val="17"/>
                <w:lang w:eastAsia="en-US"/>
              </w:rPr>
              <w:t xml:space="preserve"> per cent</w:t>
            </w:r>
            <w:r w:rsidRPr="00EE72AC">
              <w:rPr>
                <w:rFonts w:asciiTheme="minorHAnsi" w:eastAsia="Times New Roman" w:hAnsiTheme="minorHAnsi"/>
                <w:iCs/>
                <w:szCs w:val="17"/>
                <w:lang w:eastAsia="en-US"/>
              </w:rPr>
              <w:t xml:space="preserve"> in average, exceeding its target of 20</w:t>
            </w:r>
            <w:r w:rsidR="001A2BF9">
              <w:rPr>
                <w:rFonts w:asciiTheme="minorHAnsi" w:eastAsia="Times New Roman" w:hAnsiTheme="minorHAnsi"/>
                <w:iCs/>
                <w:szCs w:val="17"/>
                <w:lang w:eastAsia="en-US"/>
              </w:rPr>
              <w:t xml:space="preserve"> per cent</w:t>
            </w:r>
            <w:r w:rsidRPr="00EE72AC">
              <w:rPr>
                <w:rFonts w:asciiTheme="minorHAnsi" w:eastAsia="Times New Roman" w:hAnsiTheme="minorHAnsi"/>
                <w:iCs/>
                <w:szCs w:val="17"/>
                <w:lang w:eastAsia="en-US"/>
              </w:rPr>
              <w:t xml:space="preserve">. The Social and Environmental </w:t>
            </w:r>
            <w:r w:rsidR="00BC3DA6">
              <w:rPr>
                <w:rFonts w:asciiTheme="minorHAnsi" w:eastAsia="Times New Roman" w:hAnsiTheme="minorHAnsi"/>
                <w:iCs/>
                <w:szCs w:val="17"/>
                <w:lang w:eastAsia="en-US"/>
              </w:rPr>
              <w:t>O</w:t>
            </w:r>
            <w:r w:rsidRPr="00EE72AC">
              <w:rPr>
                <w:rFonts w:asciiTheme="minorHAnsi" w:eastAsia="Times New Roman" w:hAnsiTheme="minorHAnsi"/>
                <w:iCs/>
                <w:szCs w:val="17"/>
                <w:lang w:eastAsia="en-US"/>
              </w:rPr>
              <w:t>ffice in the Ministry of Rural Development has employed four women out of seven total staff, and has demonstrated steadily improving capacity</w:t>
            </w:r>
            <w:r w:rsidRPr="00EE72AC">
              <w:rPr>
                <w:rFonts w:asciiTheme="minorHAnsi" w:eastAsia="Times New Roman" w:hAnsiTheme="minorHAnsi"/>
                <w:iCs/>
                <w:color w:val="000000" w:themeColor="text1"/>
                <w:szCs w:val="17"/>
                <w:lang w:eastAsia="en-US"/>
              </w:rPr>
              <w:t>.</w:t>
            </w:r>
          </w:p>
        </w:tc>
      </w:tr>
      <w:tr w:rsidR="00075A73" w:rsidRPr="00C61187" w:rsidTr="00EA22D4">
        <w:trPr>
          <w:cnfStyle w:val="000000010000" w:firstRow="0" w:lastRow="0" w:firstColumn="0" w:lastColumn="0" w:oddVBand="0" w:evenVBand="0" w:oddHBand="0" w:evenHBand="1" w:firstRowFirstColumn="0" w:firstRowLastColumn="0" w:lastRowFirstColumn="0" w:lastRowLastColumn="0"/>
        </w:trPr>
        <w:tc>
          <w:tcPr>
            <w:tcW w:w="6479" w:type="dxa"/>
          </w:tcPr>
          <w:p w:rsidR="00075A73" w:rsidRPr="00075A73" w:rsidRDefault="00075A73" w:rsidP="00075A73">
            <w:pPr>
              <w:keepLines/>
              <w:spacing w:before="40" w:after="40" w:line="200" w:lineRule="atLeast"/>
              <w:rPr>
                <w:rFonts w:asciiTheme="minorHAnsi" w:eastAsia="Times New Roman" w:hAnsiTheme="minorHAnsi"/>
                <w:iCs/>
                <w:szCs w:val="17"/>
                <w:lang w:eastAsia="en-US"/>
              </w:rPr>
            </w:pPr>
            <w:r w:rsidRPr="00075A73">
              <w:rPr>
                <w:rFonts w:asciiTheme="minorHAnsi" w:eastAsia="Times New Roman" w:hAnsiTheme="minorHAnsi"/>
                <w:iCs/>
                <w:szCs w:val="17"/>
                <w:lang w:eastAsia="en-US"/>
              </w:rPr>
              <w:t>Closely monitor the two IRI investments to ensure improvements in program performance by March 2018 in accordance with our remediation plan for both investments.</w:t>
            </w:r>
          </w:p>
        </w:tc>
        <w:tc>
          <w:tcPr>
            <w:tcW w:w="968" w:type="dxa"/>
            <w:shd w:val="clear" w:color="auto" w:fill="69A12B"/>
          </w:tcPr>
          <w:p w:rsidR="00075A73" w:rsidRPr="004D10F2" w:rsidRDefault="002F11B5" w:rsidP="00075A73">
            <w:pPr>
              <w:rPr>
                <w:color w:val="FFFFFF" w:themeColor="background1"/>
              </w:rPr>
            </w:pPr>
            <w:r>
              <w:rPr>
                <w:color w:val="FFFFFF" w:themeColor="background1"/>
              </w:rPr>
              <w:t>Achieved</w:t>
            </w:r>
          </w:p>
        </w:tc>
        <w:tc>
          <w:tcPr>
            <w:tcW w:w="6901" w:type="dxa"/>
          </w:tcPr>
          <w:p w:rsidR="00075A73" w:rsidRPr="002F11B5" w:rsidRDefault="00E43906" w:rsidP="00075A73">
            <w:pPr>
              <w:keepLines/>
              <w:spacing w:before="40" w:after="40" w:line="200" w:lineRule="atLeast"/>
              <w:rPr>
                <w:rFonts w:asciiTheme="minorHAnsi" w:eastAsia="Times New Roman" w:hAnsiTheme="minorHAnsi"/>
                <w:iCs/>
                <w:szCs w:val="17"/>
                <w:lang w:eastAsia="en-US"/>
              </w:rPr>
            </w:pPr>
            <w:r w:rsidRPr="002F11B5">
              <w:rPr>
                <w:rFonts w:asciiTheme="minorHAnsi" w:eastAsia="Times New Roman" w:hAnsiTheme="minorHAnsi"/>
                <w:b/>
                <w:bCs/>
                <w:iCs/>
                <w:szCs w:val="17"/>
                <w:lang w:eastAsia="en-US"/>
              </w:rPr>
              <w:t>RRIP II</w:t>
            </w:r>
            <w:r w:rsidRPr="002F11B5">
              <w:rPr>
                <w:rFonts w:asciiTheme="minorHAnsi" w:eastAsia="Times New Roman" w:hAnsiTheme="minorHAnsi"/>
                <w:iCs/>
                <w:szCs w:val="17"/>
                <w:lang w:eastAsia="en-US"/>
              </w:rPr>
              <w:t xml:space="preserve"> exited its IRI status due </w:t>
            </w:r>
            <w:r>
              <w:rPr>
                <w:rFonts w:asciiTheme="minorHAnsi" w:eastAsia="Times New Roman" w:hAnsiTheme="minorHAnsi"/>
                <w:iCs/>
                <w:szCs w:val="17"/>
                <w:lang w:eastAsia="en-US"/>
              </w:rPr>
              <w:t xml:space="preserve">to </w:t>
            </w:r>
            <w:r w:rsidRPr="002F11B5">
              <w:rPr>
                <w:rFonts w:asciiTheme="minorHAnsi" w:eastAsia="Times New Roman" w:hAnsiTheme="minorHAnsi"/>
                <w:iCs/>
                <w:szCs w:val="17"/>
                <w:lang w:eastAsia="en-US"/>
              </w:rPr>
              <w:t xml:space="preserve">improved performance compared to the previous year’s significant progress delays. Improvement was driven by range of factors including better management oversight by the ADB project team and increased involvement of co-financers in scrutinising </w:t>
            </w:r>
            <w:r>
              <w:rPr>
                <w:rFonts w:asciiTheme="minorHAnsi" w:eastAsia="Times New Roman" w:hAnsiTheme="minorHAnsi"/>
                <w:iCs/>
                <w:szCs w:val="17"/>
                <w:lang w:eastAsia="en-US"/>
              </w:rPr>
              <w:t>implementing partners</w:t>
            </w:r>
            <w:r w:rsidRPr="002F11B5">
              <w:rPr>
                <w:rFonts w:asciiTheme="minorHAnsi" w:eastAsia="Times New Roman" w:hAnsiTheme="minorHAnsi"/>
                <w:iCs/>
                <w:szCs w:val="17"/>
                <w:lang w:eastAsia="en-US"/>
              </w:rPr>
              <w:t xml:space="preserve">. </w:t>
            </w:r>
            <w:r>
              <w:rPr>
                <w:rFonts w:asciiTheme="minorHAnsi" w:eastAsia="Times New Roman" w:hAnsiTheme="minorHAnsi"/>
                <w:iCs/>
                <w:szCs w:val="17"/>
                <w:lang w:eastAsia="en-US"/>
              </w:rPr>
              <w:t>A</w:t>
            </w:r>
            <w:r w:rsidRPr="002F11B5">
              <w:rPr>
                <w:rFonts w:asciiTheme="minorHAnsi" w:eastAsia="Times New Roman" w:hAnsiTheme="minorHAnsi"/>
                <w:iCs/>
                <w:szCs w:val="17"/>
                <w:lang w:eastAsia="en-US"/>
              </w:rPr>
              <w:t xml:space="preserve">ll civil work and soft packages </w:t>
            </w:r>
            <w:r>
              <w:rPr>
                <w:rFonts w:asciiTheme="minorHAnsi" w:eastAsia="Times New Roman" w:hAnsiTheme="minorHAnsi"/>
                <w:iCs/>
                <w:szCs w:val="17"/>
                <w:lang w:eastAsia="en-US"/>
              </w:rPr>
              <w:t xml:space="preserve">have been now </w:t>
            </w:r>
            <w:r w:rsidRPr="002F11B5">
              <w:rPr>
                <w:rFonts w:asciiTheme="minorHAnsi" w:eastAsia="Times New Roman" w:hAnsiTheme="minorHAnsi"/>
                <w:iCs/>
                <w:szCs w:val="17"/>
                <w:lang w:eastAsia="en-US"/>
              </w:rPr>
              <w:t xml:space="preserve">awarded. Overall civil work progress was ahead of the revised progress schedule, </w:t>
            </w:r>
            <w:r>
              <w:rPr>
                <w:rFonts w:asciiTheme="minorHAnsi" w:eastAsia="Times New Roman" w:hAnsiTheme="minorHAnsi"/>
                <w:iCs/>
                <w:szCs w:val="17"/>
                <w:lang w:eastAsia="en-US"/>
              </w:rPr>
              <w:t xml:space="preserve">despite </w:t>
            </w:r>
            <w:r w:rsidRPr="002F11B5">
              <w:rPr>
                <w:rFonts w:asciiTheme="minorHAnsi" w:eastAsia="Times New Roman" w:hAnsiTheme="minorHAnsi"/>
                <w:iCs/>
                <w:szCs w:val="17"/>
                <w:lang w:eastAsia="en-US"/>
              </w:rPr>
              <w:t xml:space="preserve">several individual packages </w:t>
            </w:r>
            <w:r>
              <w:rPr>
                <w:rFonts w:asciiTheme="minorHAnsi" w:eastAsia="Times New Roman" w:hAnsiTheme="minorHAnsi"/>
                <w:iCs/>
                <w:szCs w:val="17"/>
                <w:lang w:eastAsia="en-US"/>
              </w:rPr>
              <w:t>experiencing significant delays</w:t>
            </w:r>
            <w:r w:rsidRPr="002F11B5">
              <w:rPr>
                <w:rFonts w:asciiTheme="minorHAnsi" w:eastAsia="Times New Roman" w:hAnsiTheme="minorHAnsi"/>
                <w:iCs/>
                <w:szCs w:val="17"/>
                <w:lang w:eastAsia="en-US"/>
              </w:rPr>
              <w:t>. Catch-up within the project time frame is possible for these packages</w:t>
            </w:r>
            <w:r>
              <w:rPr>
                <w:rFonts w:asciiTheme="minorHAnsi" w:eastAsia="Times New Roman" w:hAnsiTheme="minorHAnsi"/>
                <w:iCs/>
                <w:szCs w:val="17"/>
                <w:lang w:eastAsia="en-US"/>
              </w:rPr>
              <w:t xml:space="preserve">. </w:t>
            </w:r>
            <w:r w:rsidR="001A0BBC" w:rsidRPr="001A0BBC">
              <w:rPr>
                <w:rFonts w:asciiTheme="minorHAnsi" w:eastAsia="Times New Roman" w:hAnsiTheme="minorHAnsi"/>
                <w:b/>
                <w:bCs/>
                <w:iCs/>
                <w:szCs w:val="17"/>
                <w:lang w:eastAsia="en-US"/>
              </w:rPr>
              <w:t>CfR III</w:t>
            </w:r>
            <w:r w:rsidR="001A0BBC">
              <w:rPr>
                <w:rFonts w:asciiTheme="minorHAnsi" w:eastAsia="Times New Roman" w:hAnsiTheme="minorHAnsi"/>
                <w:iCs/>
                <w:szCs w:val="17"/>
                <w:lang w:eastAsia="en-US"/>
              </w:rPr>
              <w:t xml:space="preserve"> </w:t>
            </w:r>
            <w:r w:rsidR="001A0BBC" w:rsidRPr="001A0BBC">
              <w:rPr>
                <w:rFonts w:asciiTheme="minorHAnsi" w:eastAsia="Times New Roman" w:hAnsiTheme="minorHAnsi"/>
                <w:iCs/>
                <w:szCs w:val="17"/>
                <w:lang w:eastAsia="en-US"/>
              </w:rPr>
              <w:t>is no longer an IRI. The performance of the project improved significantly</w:t>
            </w:r>
            <w:r w:rsidR="00BC3DA6">
              <w:rPr>
                <w:rFonts w:asciiTheme="minorHAnsi" w:eastAsia="Times New Roman" w:hAnsiTheme="minorHAnsi"/>
                <w:iCs/>
                <w:szCs w:val="17"/>
                <w:lang w:eastAsia="en-US"/>
              </w:rPr>
              <w:t>,</w:t>
            </w:r>
            <w:r w:rsidR="001A0BBC" w:rsidRPr="001A0BBC">
              <w:rPr>
                <w:rFonts w:asciiTheme="minorHAnsi" w:eastAsia="Times New Roman" w:hAnsiTheme="minorHAnsi"/>
                <w:iCs/>
                <w:szCs w:val="17"/>
                <w:lang w:eastAsia="en-US"/>
              </w:rPr>
              <w:t xml:space="preserve"> in term</w:t>
            </w:r>
            <w:r w:rsidR="00BC3DA6">
              <w:rPr>
                <w:rFonts w:asciiTheme="minorHAnsi" w:eastAsia="Times New Roman" w:hAnsiTheme="minorHAnsi"/>
                <w:iCs/>
                <w:szCs w:val="17"/>
                <w:lang w:eastAsia="en-US"/>
              </w:rPr>
              <w:t>s</w:t>
            </w:r>
            <w:r w:rsidR="001A0BBC" w:rsidRPr="001A0BBC">
              <w:rPr>
                <w:rFonts w:asciiTheme="minorHAnsi" w:eastAsia="Times New Roman" w:hAnsiTheme="minorHAnsi"/>
                <w:iCs/>
                <w:szCs w:val="17"/>
                <w:lang w:eastAsia="en-US"/>
              </w:rPr>
              <w:t xml:space="preserve"> of the improvement of the CMAA’s leadership; the finalisation and approval of National Mine Action Strategy (2018-2025)</w:t>
            </w:r>
            <w:r w:rsidR="00BC3DA6">
              <w:rPr>
                <w:rFonts w:asciiTheme="minorHAnsi" w:eastAsia="Times New Roman" w:hAnsiTheme="minorHAnsi"/>
                <w:iCs/>
                <w:szCs w:val="17"/>
                <w:lang w:eastAsia="en-US"/>
              </w:rPr>
              <w:t>;</w:t>
            </w:r>
            <w:r w:rsidR="001A0BBC" w:rsidRPr="001A0BBC">
              <w:rPr>
                <w:rFonts w:asciiTheme="minorHAnsi" w:eastAsia="Times New Roman" w:hAnsiTheme="minorHAnsi"/>
                <w:iCs/>
                <w:szCs w:val="17"/>
                <w:lang w:eastAsia="en-US"/>
              </w:rPr>
              <w:t xml:space="preserve"> the development of the Performance Monitoring System</w:t>
            </w:r>
            <w:r w:rsidR="00BC3DA6">
              <w:rPr>
                <w:rFonts w:asciiTheme="minorHAnsi" w:eastAsia="Times New Roman" w:hAnsiTheme="minorHAnsi"/>
                <w:iCs/>
                <w:szCs w:val="17"/>
                <w:lang w:eastAsia="en-US"/>
              </w:rPr>
              <w:t>;</w:t>
            </w:r>
            <w:r w:rsidR="001A0BBC" w:rsidRPr="001A0BBC">
              <w:rPr>
                <w:rFonts w:asciiTheme="minorHAnsi" w:eastAsia="Times New Roman" w:hAnsiTheme="minorHAnsi"/>
                <w:iCs/>
                <w:szCs w:val="17"/>
                <w:lang w:eastAsia="en-US"/>
              </w:rPr>
              <w:t xml:space="preserve"> and </w:t>
            </w:r>
            <w:r w:rsidR="00BC3DA6">
              <w:rPr>
                <w:rFonts w:asciiTheme="minorHAnsi" w:eastAsia="Times New Roman" w:hAnsiTheme="minorHAnsi"/>
                <w:iCs/>
                <w:szCs w:val="17"/>
                <w:lang w:eastAsia="en-US"/>
              </w:rPr>
              <w:t>filling critical vacant positions on the project</w:t>
            </w:r>
            <w:r w:rsidR="001A0BBC" w:rsidRPr="001A0BBC">
              <w:rPr>
                <w:rFonts w:asciiTheme="minorHAnsi" w:eastAsia="Times New Roman" w:hAnsiTheme="minorHAnsi"/>
                <w:iCs/>
                <w:szCs w:val="17"/>
                <w:lang w:eastAsia="en-US"/>
              </w:rPr>
              <w:t>.</w:t>
            </w:r>
            <w:r w:rsidR="001A0BBC">
              <w:t xml:space="preserve">  </w:t>
            </w:r>
            <w:r w:rsidR="001A0BBC">
              <w:rPr>
                <w:rFonts w:ascii="Arial" w:hAnsi="Arial" w:cs="Arial"/>
                <w:sz w:val="16"/>
                <w:szCs w:val="16"/>
              </w:rPr>
              <w:t> </w:t>
            </w:r>
            <w:r w:rsidR="002F11B5" w:rsidRPr="002F11B5">
              <w:rPr>
                <w:rFonts w:asciiTheme="minorHAnsi" w:eastAsia="Times New Roman" w:hAnsiTheme="minorHAnsi"/>
                <w:iCs/>
                <w:szCs w:val="17"/>
                <w:lang w:eastAsia="en-US"/>
              </w:rPr>
              <w:t xml:space="preserve">  </w:t>
            </w:r>
          </w:p>
        </w:tc>
      </w:tr>
      <w:tr w:rsidR="00075A73" w:rsidRPr="00C61187" w:rsidTr="00EA22D4">
        <w:trPr>
          <w:cnfStyle w:val="000000010000" w:firstRow="0" w:lastRow="0" w:firstColumn="0" w:lastColumn="0" w:oddVBand="0" w:evenVBand="0" w:oddHBand="0" w:evenHBand="1" w:firstRowFirstColumn="0" w:firstRowLastColumn="0" w:lastRowFirstColumn="0" w:lastRowLastColumn="0"/>
        </w:trPr>
        <w:tc>
          <w:tcPr>
            <w:tcW w:w="6479" w:type="dxa"/>
          </w:tcPr>
          <w:p w:rsidR="00075A73" w:rsidRPr="00075A73" w:rsidRDefault="00075A73" w:rsidP="00075A73">
            <w:pPr>
              <w:keepLines/>
              <w:spacing w:before="40" w:after="40" w:line="200" w:lineRule="atLeast"/>
              <w:rPr>
                <w:rFonts w:asciiTheme="minorHAnsi" w:eastAsia="Times New Roman" w:hAnsiTheme="minorHAnsi"/>
                <w:iCs/>
                <w:szCs w:val="17"/>
                <w:lang w:eastAsia="en-US"/>
              </w:rPr>
            </w:pPr>
            <w:r w:rsidRPr="00075A73">
              <w:rPr>
                <w:rFonts w:asciiTheme="minorHAnsi" w:eastAsia="Times New Roman" w:hAnsiTheme="minorHAnsi"/>
                <w:iCs/>
                <w:szCs w:val="17"/>
                <w:lang w:eastAsia="en-US"/>
              </w:rPr>
              <w:t xml:space="preserve">Finalise the design for the next phase of the Australia Awards Scholarships program in Cambodia, with the next phase in operation by 1 July 2018. </w:t>
            </w:r>
          </w:p>
        </w:tc>
        <w:tc>
          <w:tcPr>
            <w:tcW w:w="968" w:type="dxa"/>
            <w:shd w:val="clear" w:color="auto" w:fill="69A12B"/>
          </w:tcPr>
          <w:p w:rsidR="00075A73" w:rsidRPr="004D10F2" w:rsidRDefault="00DA1A7A" w:rsidP="00075A73">
            <w:pPr>
              <w:rPr>
                <w:color w:val="FFFFFF" w:themeColor="background1"/>
              </w:rPr>
            </w:pPr>
            <w:r>
              <w:rPr>
                <w:color w:val="FFFFFF" w:themeColor="background1"/>
              </w:rPr>
              <w:t>Achieved</w:t>
            </w:r>
          </w:p>
        </w:tc>
        <w:tc>
          <w:tcPr>
            <w:tcW w:w="6901" w:type="dxa"/>
          </w:tcPr>
          <w:p w:rsidR="00075A73" w:rsidRPr="00F51D72" w:rsidRDefault="002B7ABF" w:rsidP="00075A73">
            <w:pPr>
              <w:keepLines/>
              <w:spacing w:before="40" w:after="40" w:line="200" w:lineRule="atLeast"/>
              <w:rPr>
                <w:rFonts w:asciiTheme="minorHAnsi" w:eastAsia="Times New Roman" w:hAnsiTheme="minorHAnsi"/>
                <w:iCs/>
                <w:szCs w:val="17"/>
                <w:lang w:eastAsia="en-US"/>
              </w:rPr>
            </w:pPr>
            <w:r w:rsidRPr="002B7ABF">
              <w:rPr>
                <w:rFonts w:asciiTheme="minorHAnsi" w:eastAsia="Times New Roman" w:hAnsiTheme="minorHAnsi"/>
                <w:iCs/>
                <w:szCs w:val="17"/>
                <w:lang w:eastAsia="en-US"/>
              </w:rPr>
              <w:t>Design for the next phase of Australia Awards in Cambodia was finalised in the fourth quarter of 2017. Coffey International Development was selected through an open tender process to manage and implement the next phase of Australia Awards in Cambodia (2018-2022). The next phase of Australia Awards Cambodia commenced on 1 July 2018, as scheduled.</w:t>
            </w:r>
          </w:p>
        </w:tc>
      </w:tr>
      <w:tr w:rsidR="00075A73" w:rsidRPr="00C61187" w:rsidTr="00EA22D4">
        <w:trPr>
          <w:cnfStyle w:val="000000010000" w:firstRow="0" w:lastRow="0" w:firstColumn="0" w:lastColumn="0" w:oddVBand="0" w:evenVBand="0" w:oddHBand="0" w:evenHBand="1" w:firstRowFirstColumn="0" w:firstRowLastColumn="0" w:lastRowFirstColumn="0" w:lastRowLastColumn="0"/>
        </w:trPr>
        <w:tc>
          <w:tcPr>
            <w:tcW w:w="6479" w:type="dxa"/>
          </w:tcPr>
          <w:p w:rsidR="00075A73" w:rsidRPr="00075A73" w:rsidRDefault="00075A73" w:rsidP="00075A73">
            <w:pPr>
              <w:keepLines/>
              <w:spacing w:before="40" w:after="40" w:line="200" w:lineRule="atLeast"/>
              <w:rPr>
                <w:rFonts w:asciiTheme="minorHAnsi" w:eastAsia="Times New Roman" w:hAnsiTheme="minorHAnsi"/>
                <w:iCs/>
                <w:szCs w:val="17"/>
                <w:lang w:eastAsia="en-US"/>
              </w:rPr>
            </w:pPr>
            <w:r w:rsidRPr="00075A73">
              <w:rPr>
                <w:rFonts w:asciiTheme="minorHAnsi" w:eastAsia="Times New Roman" w:hAnsiTheme="minorHAnsi"/>
                <w:iCs/>
                <w:szCs w:val="17"/>
                <w:lang w:eastAsia="en-US"/>
              </w:rPr>
              <w:t>Assess the impact of the specific activities undertaken to better target and attract women applicants for the Australia Awards Scholarships 2018 Intake.</w:t>
            </w:r>
          </w:p>
        </w:tc>
        <w:tc>
          <w:tcPr>
            <w:tcW w:w="968" w:type="dxa"/>
            <w:shd w:val="clear" w:color="auto" w:fill="69A12B"/>
          </w:tcPr>
          <w:p w:rsidR="00075A73" w:rsidRPr="004D10F2" w:rsidRDefault="00DA1A7A" w:rsidP="00075A73">
            <w:pPr>
              <w:rPr>
                <w:color w:val="FFFFFF" w:themeColor="background1"/>
              </w:rPr>
            </w:pPr>
            <w:r>
              <w:rPr>
                <w:color w:val="FFFFFF" w:themeColor="background1"/>
              </w:rPr>
              <w:t>Achieved</w:t>
            </w:r>
          </w:p>
        </w:tc>
        <w:tc>
          <w:tcPr>
            <w:tcW w:w="6901" w:type="dxa"/>
          </w:tcPr>
          <w:p w:rsidR="00075A73" w:rsidRPr="00F51D72" w:rsidRDefault="00A826F1" w:rsidP="00165A60">
            <w:pPr>
              <w:rPr>
                <w:rFonts w:asciiTheme="minorHAnsi" w:eastAsia="Times New Roman" w:hAnsiTheme="minorHAnsi"/>
                <w:iCs/>
                <w:szCs w:val="17"/>
                <w:lang w:eastAsia="en-US"/>
              </w:rPr>
            </w:pPr>
            <w:r w:rsidRPr="00A826F1">
              <w:rPr>
                <w:rFonts w:asciiTheme="minorHAnsi" w:eastAsia="Times New Roman" w:hAnsiTheme="minorHAnsi"/>
                <w:iCs/>
                <w:szCs w:val="17"/>
                <w:lang w:eastAsia="en-US"/>
              </w:rPr>
              <w:t xml:space="preserve">Targeted activities to better target and attract women applicants were a success, as the percentage of women awarded an Australia Awards Scholarship increased from 36 </w:t>
            </w:r>
            <w:r w:rsidR="005E1062">
              <w:rPr>
                <w:rFonts w:asciiTheme="minorHAnsi" w:eastAsia="Times New Roman" w:hAnsiTheme="minorHAnsi"/>
                <w:iCs/>
                <w:szCs w:val="17"/>
                <w:lang w:eastAsia="en-US"/>
              </w:rPr>
              <w:t>per cent</w:t>
            </w:r>
            <w:r w:rsidRPr="00A826F1">
              <w:rPr>
                <w:rFonts w:asciiTheme="minorHAnsi" w:eastAsia="Times New Roman" w:hAnsiTheme="minorHAnsi"/>
                <w:iCs/>
                <w:szCs w:val="17"/>
                <w:lang w:eastAsia="en-US"/>
              </w:rPr>
              <w:t xml:space="preserve"> in 2016-17 to 48 </w:t>
            </w:r>
            <w:r w:rsidR="005E1062">
              <w:rPr>
                <w:rFonts w:asciiTheme="minorHAnsi" w:eastAsia="Times New Roman" w:hAnsiTheme="minorHAnsi"/>
                <w:iCs/>
                <w:szCs w:val="17"/>
                <w:lang w:eastAsia="en-US"/>
              </w:rPr>
              <w:t>per cent</w:t>
            </w:r>
            <w:r w:rsidRPr="00A826F1">
              <w:rPr>
                <w:rFonts w:asciiTheme="minorHAnsi" w:eastAsia="Times New Roman" w:hAnsiTheme="minorHAnsi"/>
                <w:iCs/>
                <w:szCs w:val="17"/>
                <w:lang w:eastAsia="en-US"/>
              </w:rPr>
              <w:t xml:space="preserve"> in 2017-18. The targeted activities included joint information sessions with the Ministry of Women’s Affairs to promote Australia Awards to civil servants and </w:t>
            </w:r>
            <w:r w:rsidRPr="00A826F1">
              <w:rPr>
                <w:rFonts w:asciiTheme="minorHAnsi" w:eastAsia="Times New Roman" w:hAnsiTheme="minorHAnsi"/>
                <w:i/>
                <w:szCs w:val="17"/>
                <w:lang w:eastAsia="en-US"/>
              </w:rPr>
              <w:t xml:space="preserve">Linking Women to a World of Opportunity workshops </w:t>
            </w:r>
            <w:r w:rsidRPr="00A826F1">
              <w:rPr>
                <w:rFonts w:asciiTheme="minorHAnsi" w:eastAsia="Times New Roman" w:hAnsiTheme="minorHAnsi"/>
                <w:iCs/>
                <w:szCs w:val="17"/>
                <w:lang w:eastAsia="en-US"/>
              </w:rPr>
              <w:t>to showcase the experiences of women</w:t>
            </w:r>
            <w:r w:rsidR="00165A60">
              <w:rPr>
                <w:rFonts w:asciiTheme="minorHAnsi" w:eastAsia="Times New Roman" w:hAnsiTheme="minorHAnsi"/>
                <w:iCs/>
                <w:szCs w:val="17"/>
                <w:lang w:eastAsia="en-US"/>
              </w:rPr>
              <w:t xml:space="preserve"> who have studied in Australia.</w:t>
            </w:r>
          </w:p>
        </w:tc>
      </w:tr>
      <w:tr w:rsidR="00075A73" w:rsidRPr="00C61187" w:rsidTr="00EA22D4">
        <w:trPr>
          <w:cnfStyle w:val="000000010000" w:firstRow="0" w:lastRow="0" w:firstColumn="0" w:lastColumn="0" w:oddVBand="0" w:evenVBand="0" w:oddHBand="0" w:evenHBand="1" w:firstRowFirstColumn="0" w:firstRowLastColumn="0" w:lastRowFirstColumn="0" w:lastRowLastColumn="0"/>
        </w:trPr>
        <w:tc>
          <w:tcPr>
            <w:tcW w:w="6479" w:type="dxa"/>
          </w:tcPr>
          <w:p w:rsidR="00075A73" w:rsidRPr="00075A73" w:rsidRDefault="00075A73" w:rsidP="00075A73">
            <w:pPr>
              <w:keepLines/>
              <w:spacing w:before="40" w:after="40" w:line="200" w:lineRule="atLeast"/>
              <w:rPr>
                <w:rFonts w:asciiTheme="minorHAnsi" w:eastAsia="Times New Roman" w:hAnsiTheme="minorHAnsi"/>
                <w:iCs/>
                <w:szCs w:val="17"/>
                <w:lang w:eastAsia="en-US"/>
              </w:rPr>
            </w:pPr>
            <w:r w:rsidRPr="00075A73">
              <w:rPr>
                <w:rFonts w:asciiTheme="minorHAnsi" w:eastAsia="Times New Roman" w:hAnsiTheme="minorHAnsi"/>
                <w:iCs/>
                <w:szCs w:val="17"/>
                <w:lang w:eastAsia="en-US"/>
              </w:rPr>
              <w:t xml:space="preserve">Undertake a tracer study for the Australia Alumni program by June 2018. </w:t>
            </w:r>
          </w:p>
        </w:tc>
        <w:tc>
          <w:tcPr>
            <w:tcW w:w="968" w:type="dxa"/>
            <w:shd w:val="clear" w:color="auto" w:fill="69A12B"/>
          </w:tcPr>
          <w:p w:rsidR="00075A73" w:rsidRPr="004D10F2" w:rsidRDefault="00DA1A7A" w:rsidP="00075A73">
            <w:pPr>
              <w:rPr>
                <w:color w:val="FFFFFF" w:themeColor="background1"/>
              </w:rPr>
            </w:pPr>
            <w:r>
              <w:rPr>
                <w:color w:val="FFFFFF" w:themeColor="background1"/>
              </w:rPr>
              <w:t>Achieved</w:t>
            </w:r>
          </w:p>
        </w:tc>
        <w:tc>
          <w:tcPr>
            <w:tcW w:w="6901" w:type="dxa"/>
          </w:tcPr>
          <w:p w:rsidR="00075A73" w:rsidRPr="00F51D72" w:rsidRDefault="00165A60" w:rsidP="00075A73">
            <w:pPr>
              <w:keepLines/>
              <w:spacing w:before="40" w:after="40" w:line="200" w:lineRule="atLeast"/>
              <w:rPr>
                <w:rFonts w:asciiTheme="minorHAnsi" w:eastAsia="Times New Roman" w:hAnsiTheme="minorHAnsi"/>
                <w:iCs/>
                <w:szCs w:val="17"/>
                <w:lang w:eastAsia="en-US"/>
              </w:rPr>
            </w:pPr>
            <w:r w:rsidRPr="00165A60">
              <w:rPr>
                <w:rFonts w:asciiTheme="minorHAnsi" w:eastAsia="Times New Roman" w:hAnsiTheme="minorHAnsi"/>
                <w:iCs/>
                <w:szCs w:val="17"/>
                <w:lang w:eastAsia="en-US"/>
              </w:rPr>
              <w:t>The Australia Awards Global Tracer Facility undertook a tracer study of Cambodians who studied in Australia and returned to Cambodia between 1996 and 2005. The Australia Awards Global Tracer Facility is analysing the results and we expect to receive a tracer study report for Cambodia shortly.</w:t>
            </w:r>
          </w:p>
        </w:tc>
      </w:tr>
      <w:tr w:rsidR="00075A73" w:rsidRPr="00C61187" w:rsidTr="00374D35">
        <w:trPr>
          <w:cnfStyle w:val="000000010000" w:firstRow="0" w:lastRow="0" w:firstColumn="0" w:lastColumn="0" w:oddVBand="0" w:evenVBand="0" w:oddHBand="0" w:evenHBand="1" w:firstRowFirstColumn="0" w:firstRowLastColumn="0" w:lastRowFirstColumn="0" w:lastRowLastColumn="0"/>
        </w:trPr>
        <w:tc>
          <w:tcPr>
            <w:tcW w:w="6479" w:type="dxa"/>
          </w:tcPr>
          <w:p w:rsidR="00075A73" w:rsidRPr="00075A73" w:rsidRDefault="00075A73" w:rsidP="00075A73">
            <w:pPr>
              <w:keepLines/>
              <w:spacing w:before="40" w:after="40" w:line="200" w:lineRule="atLeast"/>
              <w:rPr>
                <w:rFonts w:asciiTheme="minorHAnsi" w:eastAsia="Times New Roman" w:hAnsiTheme="minorHAnsi"/>
                <w:iCs/>
                <w:szCs w:val="17"/>
                <w:lang w:eastAsia="en-US"/>
              </w:rPr>
            </w:pPr>
            <w:r w:rsidRPr="00075A73">
              <w:rPr>
                <w:rFonts w:asciiTheme="minorHAnsi" w:eastAsia="Times New Roman" w:hAnsiTheme="minorHAnsi"/>
                <w:iCs/>
                <w:szCs w:val="17"/>
                <w:lang w:eastAsia="en-US"/>
              </w:rPr>
              <w:t>Finalise the design for the new Australia-Cambodia Cooperation for Equitable and Sustainable Services (ACCESS) Program, with program implementation underway by 1 July 2018.</w:t>
            </w:r>
          </w:p>
        </w:tc>
        <w:tc>
          <w:tcPr>
            <w:tcW w:w="968" w:type="dxa"/>
            <w:shd w:val="clear" w:color="auto" w:fill="E36C0A"/>
          </w:tcPr>
          <w:p w:rsidR="00075A73" w:rsidRPr="00405B2F" w:rsidRDefault="00405B2F" w:rsidP="00405B2F">
            <w:pPr>
              <w:rPr>
                <w:rFonts w:asciiTheme="minorHAnsi" w:eastAsia="Times New Roman" w:hAnsiTheme="minorHAnsi"/>
                <w:szCs w:val="17"/>
              </w:rPr>
            </w:pPr>
            <w:r w:rsidRPr="00374D35">
              <w:rPr>
                <w:color w:val="FFFFFF" w:themeColor="background1"/>
              </w:rPr>
              <w:t>Partly achieved</w:t>
            </w:r>
          </w:p>
        </w:tc>
        <w:tc>
          <w:tcPr>
            <w:tcW w:w="6901" w:type="dxa"/>
          </w:tcPr>
          <w:p w:rsidR="00075A73" w:rsidRPr="004D10F2" w:rsidRDefault="004D10F2" w:rsidP="00F76913">
            <w:pPr>
              <w:keepLines/>
              <w:spacing w:before="40" w:after="40" w:line="200" w:lineRule="atLeast"/>
              <w:rPr>
                <w:rFonts w:asciiTheme="minorHAnsi" w:eastAsia="Times New Roman" w:hAnsiTheme="minorHAnsi"/>
                <w:iCs/>
                <w:szCs w:val="17"/>
                <w:lang w:eastAsia="en-US"/>
              </w:rPr>
            </w:pPr>
            <w:r w:rsidRPr="004D10F2">
              <w:rPr>
                <w:rFonts w:asciiTheme="minorHAnsi" w:eastAsia="Times New Roman" w:hAnsiTheme="minorHAnsi"/>
                <w:iCs/>
                <w:szCs w:val="17"/>
                <w:lang w:eastAsia="en-US"/>
              </w:rPr>
              <w:t xml:space="preserve">The ACCESS program design was completed with comprehensive consultation with the stakeholders. The design was endorsed by the </w:t>
            </w:r>
            <w:r w:rsidR="007B78E3">
              <w:rPr>
                <w:rFonts w:asciiTheme="minorHAnsi" w:eastAsia="Times New Roman" w:hAnsiTheme="minorHAnsi"/>
                <w:iCs/>
                <w:szCs w:val="17"/>
                <w:lang w:eastAsia="en-US"/>
              </w:rPr>
              <w:t>Cambodian Government</w:t>
            </w:r>
            <w:r w:rsidRPr="004D10F2">
              <w:rPr>
                <w:rFonts w:asciiTheme="minorHAnsi" w:eastAsia="Times New Roman" w:hAnsiTheme="minorHAnsi"/>
                <w:iCs/>
                <w:szCs w:val="17"/>
                <w:lang w:eastAsia="en-US"/>
              </w:rPr>
              <w:t xml:space="preserve"> and finalised in January </w:t>
            </w:r>
            <w:r w:rsidRPr="004D10F2">
              <w:rPr>
                <w:rFonts w:asciiTheme="minorHAnsi" w:eastAsia="Times New Roman" w:hAnsiTheme="minorHAnsi"/>
                <w:iCs/>
                <w:szCs w:val="17"/>
                <w:lang w:eastAsia="en-US"/>
              </w:rPr>
              <w:lastRenderedPageBreak/>
              <w:t xml:space="preserve">2018.  The program is expected to commence in </w:t>
            </w:r>
            <w:r w:rsidR="00BC3DA6">
              <w:rPr>
                <w:rFonts w:asciiTheme="minorHAnsi" w:eastAsia="Times New Roman" w:hAnsiTheme="minorHAnsi"/>
                <w:iCs/>
                <w:szCs w:val="17"/>
                <w:lang w:eastAsia="en-US"/>
              </w:rPr>
              <w:t xml:space="preserve">September </w:t>
            </w:r>
            <w:r w:rsidRPr="004D10F2">
              <w:rPr>
                <w:rFonts w:asciiTheme="minorHAnsi" w:eastAsia="Times New Roman" w:hAnsiTheme="minorHAnsi"/>
                <w:iCs/>
                <w:szCs w:val="17"/>
                <w:lang w:eastAsia="en-US"/>
              </w:rPr>
              <w:t>2018, after a slight delay due to the July 2018 national elections</w:t>
            </w:r>
            <w:r w:rsidR="00B34FCD">
              <w:rPr>
                <w:rFonts w:asciiTheme="minorHAnsi" w:eastAsia="Times New Roman" w:hAnsiTheme="minorHAnsi"/>
                <w:iCs/>
                <w:szCs w:val="17"/>
                <w:lang w:eastAsia="en-US"/>
              </w:rPr>
              <w:t>, leading to the amber rating.</w:t>
            </w:r>
          </w:p>
        </w:tc>
      </w:tr>
      <w:tr w:rsidR="00075A73" w:rsidRPr="00C61187" w:rsidTr="00EA22D4">
        <w:trPr>
          <w:cnfStyle w:val="000000010000" w:firstRow="0" w:lastRow="0" w:firstColumn="0" w:lastColumn="0" w:oddVBand="0" w:evenVBand="0" w:oddHBand="0" w:evenHBand="1" w:firstRowFirstColumn="0" w:firstRowLastColumn="0" w:lastRowFirstColumn="0" w:lastRowLastColumn="0"/>
        </w:trPr>
        <w:tc>
          <w:tcPr>
            <w:tcW w:w="6479" w:type="dxa"/>
          </w:tcPr>
          <w:p w:rsidR="00075A73" w:rsidRPr="00075A73" w:rsidRDefault="00075A73" w:rsidP="00075A73">
            <w:pPr>
              <w:keepLines/>
              <w:spacing w:before="40" w:after="40" w:line="200" w:lineRule="atLeast"/>
              <w:rPr>
                <w:rFonts w:asciiTheme="minorHAnsi" w:eastAsia="Times New Roman" w:hAnsiTheme="minorHAnsi"/>
                <w:iCs/>
                <w:szCs w:val="17"/>
                <w:lang w:eastAsia="en-US"/>
              </w:rPr>
            </w:pPr>
            <w:r w:rsidRPr="00075A73">
              <w:rPr>
                <w:rFonts w:asciiTheme="minorHAnsi" w:eastAsia="Times New Roman" w:hAnsiTheme="minorHAnsi"/>
                <w:iCs/>
                <w:szCs w:val="17"/>
                <w:lang w:eastAsia="en-US"/>
              </w:rPr>
              <w:lastRenderedPageBreak/>
              <w:t xml:space="preserve">Work with the Cambodian Government and development partners on ensuring continued sexual and reproductive health services for Cambodian women, to assist their active participation in the economy. </w:t>
            </w:r>
          </w:p>
        </w:tc>
        <w:tc>
          <w:tcPr>
            <w:tcW w:w="968" w:type="dxa"/>
            <w:shd w:val="clear" w:color="auto" w:fill="69A12B"/>
          </w:tcPr>
          <w:p w:rsidR="00075A73" w:rsidRPr="004D10F2" w:rsidRDefault="00BC3DA6" w:rsidP="00075A73">
            <w:pPr>
              <w:rPr>
                <w:color w:val="FFFFFF" w:themeColor="background1"/>
              </w:rPr>
            </w:pPr>
            <w:r>
              <w:rPr>
                <w:color w:val="FFFFFF" w:themeColor="background1"/>
              </w:rPr>
              <w:t>Achieved</w:t>
            </w:r>
          </w:p>
        </w:tc>
        <w:tc>
          <w:tcPr>
            <w:tcW w:w="6901" w:type="dxa"/>
          </w:tcPr>
          <w:p w:rsidR="00075A73" w:rsidRPr="00880004" w:rsidRDefault="00374D35" w:rsidP="00075A73">
            <w:pPr>
              <w:keepLines/>
              <w:spacing w:before="40" w:after="40" w:line="200" w:lineRule="atLeast"/>
              <w:rPr>
                <w:rFonts w:eastAsia="Times New Roman"/>
                <w:iCs/>
                <w:color w:val="409F68" w:themeColor="accent6"/>
                <w:szCs w:val="17"/>
              </w:rPr>
            </w:pPr>
            <w:r w:rsidRPr="00374D35">
              <w:rPr>
                <w:rFonts w:asciiTheme="minorHAnsi" w:eastAsia="Times New Roman" w:hAnsiTheme="minorHAnsi"/>
                <w:iCs/>
                <w:szCs w:val="17"/>
                <w:lang w:eastAsia="en-US"/>
              </w:rPr>
              <w:t>PSL supported cross-agency efforts to develop national guidelines for Midwifery Coordination Alliance Teams, the guidelines for the Establishment of Enterprise Infirmaries and the National Strategy for Reproductive and Sexual Health 2017-2020.</w:t>
            </w:r>
          </w:p>
        </w:tc>
      </w:tr>
    </w:tbl>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sz w:val="16"/>
          <w:szCs w:val="14"/>
        </w:rPr>
        <w:t xml:space="preserve">Note: </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in addressing the issue </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in addressing the issue, but the issue has not been resolved </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in addressing the issue has been significantly below expectations</w:t>
      </w:r>
    </w:p>
    <w:p w:rsidR="00400B0F" w:rsidRPr="00C61187" w:rsidRDefault="00400B0F" w:rsidP="00400B0F">
      <w:pPr>
        <w:spacing w:after="160" w:line="280" w:lineRule="exact"/>
        <w:rPr>
          <w:rFonts w:ascii="Franklin Gothic Book" w:eastAsia="Times New Roman" w:hAnsi="Franklin Gothic Book"/>
          <w:sz w:val="21"/>
        </w:rPr>
      </w:pPr>
    </w:p>
    <w:p w:rsidR="00400B0F" w:rsidRPr="00C61187" w:rsidRDefault="00400B0F" w:rsidP="00400B0F">
      <w:pPr>
        <w:spacing w:after="200" w:line="276" w:lineRule="auto"/>
        <w:rPr>
          <w:rFonts w:ascii="Franklin Gothic Book" w:hAnsi="Franklin Gothic Book"/>
          <w:sz w:val="21"/>
        </w:rPr>
      </w:pPr>
    </w:p>
    <w:p w:rsidR="00D15A00" w:rsidRDefault="00D15A00" w:rsidP="002A51CA"/>
    <w:p w:rsidR="00060268" w:rsidRDefault="00060268" w:rsidP="002A51CA"/>
    <w:p w:rsidR="00060268" w:rsidRDefault="00060268" w:rsidP="002A51CA"/>
    <w:p w:rsidR="00060268" w:rsidRDefault="00060268" w:rsidP="002A51CA"/>
    <w:p w:rsidR="00060268" w:rsidRDefault="00060268" w:rsidP="002A51CA"/>
    <w:p w:rsidR="00060268" w:rsidRDefault="00060268" w:rsidP="002A51CA"/>
    <w:p w:rsidR="00060268" w:rsidRDefault="00060268" w:rsidP="002A51CA"/>
    <w:p w:rsidR="00060268" w:rsidRDefault="00060268" w:rsidP="002A51CA"/>
    <w:p w:rsidR="00060268" w:rsidRDefault="00060268" w:rsidP="002A51CA"/>
    <w:p w:rsidR="00050BDC" w:rsidRPr="009A1822" w:rsidRDefault="00050BDC" w:rsidP="009A1822"/>
    <w:p w:rsidR="009F56D6" w:rsidRDefault="009F56D6">
      <w:pPr>
        <w:suppressAutoHyphens w:val="0"/>
        <w:spacing w:before="0" w:after="120" w:line="440" w:lineRule="atLeast"/>
        <w:rPr>
          <w:rFonts w:eastAsiaTheme="majorEastAsia" w:cstheme="majorBidi"/>
          <w:bCs/>
          <w:iCs/>
          <w:caps/>
          <w:spacing w:val="-10"/>
          <w:kern w:val="28"/>
          <w:sz w:val="38"/>
          <w:szCs w:val="24"/>
        </w:rPr>
      </w:pPr>
      <w:r>
        <w:br w:type="page"/>
      </w:r>
    </w:p>
    <w:p w:rsidR="00033AB7" w:rsidRDefault="00400B0F" w:rsidP="00400B0F">
      <w:pPr>
        <w:pStyle w:val="Subtitle"/>
        <w:numPr>
          <w:ilvl w:val="0"/>
          <w:numId w:val="0"/>
        </w:numPr>
      </w:pPr>
      <w:r w:rsidRPr="00400B0F">
        <w:lastRenderedPageBreak/>
        <w:t xml:space="preserve">Annex B </w:t>
      </w:r>
      <w:r w:rsidR="00033AB7">
        <w:t>–</w:t>
      </w:r>
      <w:r w:rsidRPr="00400B0F">
        <w:t xml:space="preserve"> </w:t>
      </w:r>
      <w:r w:rsidR="00033AB7">
        <w:t>PERFORMANCE BENCHMARKS</w:t>
      </w:r>
    </w:p>
    <w:p w:rsidR="00320251" w:rsidRPr="00320251" w:rsidRDefault="00320251" w:rsidP="00CE5DF0">
      <w:pPr>
        <w:rPr>
          <w:rFonts w:ascii="Franklin Gothic Book" w:eastAsia="Times New Roman" w:hAnsi="Franklin Gothic Book"/>
          <w:b/>
          <w:sz w:val="24"/>
          <w:szCs w:val="24"/>
        </w:rPr>
      </w:pPr>
      <w:r w:rsidRPr="00320251">
        <w:rPr>
          <w:rFonts w:ascii="Franklin Gothic Book" w:eastAsia="Times New Roman" w:hAnsi="Franklin Gothic Book"/>
          <w:b/>
          <w:sz w:val="24"/>
          <w:szCs w:val="24"/>
        </w:rPr>
        <w:t>Progress towards Performance Benchmarks in 201</w:t>
      </w:r>
      <w:r w:rsidR="002D37BC">
        <w:rPr>
          <w:rFonts w:ascii="Franklin Gothic Book" w:eastAsia="Times New Roman" w:hAnsi="Franklin Gothic Book"/>
          <w:b/>
          <w:sz w:val="24"/>
          <w:szCs w:val="24"/>
        </w:rPr>
        <w:t>7</w:t>
      </w:r>
      <w:r w:rsidRPr="00320251">
        <w:rPr>
          <w:rFonts w:ascii="Franklin Gothic Book" w:eastAsia="Times New Roman" w:hAnsi="Franklin Gothic Book"/>
          <w:b/>
          <w:sz w:val="24"/>
          <w:szCs w:val="24"/>
        </w:rPr>
        <w:t>-1</w:t>
      </w:r>
      <w:r w:rsidR="002D37BC">
        <w:rPr>
          <w:rFonts w:ascii="Franklin Gothic Book" w:eastAsia="Times New Roman" w:hAnsi="Franklin Gothic Book"/>
          <w:b/>
          <w:sz w:val="24"/>
          <w:szCs w:val="24"/>
        </w:rPr>
        <w:t>8</w:t>
      </w:r>
    </w:p>
    <w:p w:rsidR="00CE5DF0" w:rsidRPr="00CE5DF0" w:rsidRDefault="00CE5DF0" w:rsidP="00CE5DF0"/>
    <w:tbl>
      <w:tblPr>
        <w:tblStyle w:val="DFATTable"/>
        <w:tblW w:w="4951" w:type="pct"/>
        <w:tblLook w:val="04A0" w:firstRow="1" w:lastRow="0" w:firstColumn="1" w:lastColumn="0" w:noHBand="0" w:noVBand="1"/>
      </w:tblPr>
      <w:tblGrid>
        <w:gridCol w:w="2215"/>
        <w:gridCol w:w="3761"/>
        <w:gridCol w:w="1389"/>
        <w:gridCol w:w="6669"/>
      </w:tblGrid>
      <w:tr w:rsidR="00400B0F" w:rsidRPr="00C61187" w:rsidTr="005A4CEA">
        <w:trPr>
          <w:tblHeader/>
        </w:trPr>
        <w:tc>
          <w:tcPr>
            <w:tcW w:w="789" w:type="pct"/>
            <w:tcBorders>
              <w:top w:val="single" w:sz="12" w:space="0" w:color="auto"/>
              <w:bottom w:val="single" w:sz="4" w:space="0" w:color="auto"/>
            </w:tcBorders>
            <w:tcMar>
              <w:top w:w="57" w:type="dxa"/>
              <w:bottom w:w="57" w:type="dxa"/>
            </w:tcMar>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Aid objective</w:t>
            </w:r>
          </w:p>
        </w:tc>
        <w:tc>
          <w:tcPr>
            <w:tcW w:w="1340" w:type="pct"/>
            <w:tcBorders>
              <w:top w:val="single" w:sz="12" w:space="0" w:color="auto"/>
              <w:bottom w:val="single" w:sz="4" w:space="0" w:color="auto"/>
            </w:tcBorders>
          </w:tcPr>
          <w:p w:rsidR="00400B0F" w:rsidRPr="00880004" w:rsidRDefault="00320251" w:rsidP="00320251">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Performance B</w:t>
            </w:r>
            <w:r w:rsidR="00400B0F" w:rsidRPr="00880004">
              <w:rPr>
                <w:rFonts w:asciiTheme="minorHAnsi" w:eastAsia="Times New Roman" w:hAnsiTheme="minorHAnsi"/>
                <w:b/>
                <w:iCs/>
                <w:szCs w:val="17"/>
                <w:lang w:eastAsia="en-US"/>
              </w:rPr>
              <w:t xml:space="preserve">enchmark </w:t>
            </w:r>
          </w:p>
        </w:tc>
        <w:tc>
          <w:tcPr>
            <w:tcW w:w="495" w:type="pct"/>
            <w:tcBorders>
              <w:top w:val="single" w:sz="12" w:space="0" w:color="auto"/>
              <w:bottom w:val="single" w:sz="4" w:space="0" w:color="auto"/>
            </w:tcBorders>
          </w:tcPr>
          <w:p w:rsidR="00400B0F" w:rsidRPr="00880004" w:rsidRDefault="00400B0F" w:rsidP="009E7BB8">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Rating</w:t>
            </w:r>
          </w:p>
        </w:tc>
        <w:tc>
          <w:tcPr>
            <w:tcW w:w="2377" w:type="pct"/>
            <w:tcBorders>
              <w:top w:val="single" w:sz="12" w:space="0" w:color="auto"/>
              <w:bottom w:val="single" w:sz="4" w:space="0" w:color="auto"/>
            </w:tcBorders>
          </w:tcPr>
          <w:p w:rsidR="00400B0F" w:rsidRPr="00880004" w:rsidRDefault="00400B0F" w:rsidP="002D37BC">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Progress in 201</w:t>
            </w:r>
            <w:r w:rsidR="002D37BC">
              <w:rPr>
                <w:rFonts w:asciiTheme="minorHAnsi" w:eastAsia="Times New Roman" w:hAnsiTheme="minorHAnsi"/>
                <w:b/>
                <w:iCs/>
                <w:szCs w:val="17"/>
                <w:lang w:eastAsia="en-US"/>
              </w:rPr>
              <w:t>7</w:t>
            </w:r>
            <w:r w:rsidRPr="00880004">
              <w:rPr>
                <w:rFonts w:asciiTheme="minorHAnsi" w:eastAsia="Times New Roman" w:hAnsiTheme="minorHAnsi"/>
                <w:b/>
                <w:iCs/>
                <w:szCs w:val="17"/>
                <w:lang w:eastAsia="en-US"/>
              </w:rPr>
              <w:t>-1</w:t>
            </w:r>
            <w:r w:rsidR="002D37BC">
              <w:rPr>
                <w:rFonts w:asciiTheme="minorHAnsi" w:eastAsia="Times New Roman" w:hAnsiTheme="minorHAnsi"/>
                <w:b/>
                <w:iCs/>
                <w:szCs w:val="17"/>
                <w:lang w:eastAsia="en-US"/>
              </w:rPr>
              <w:t>8</w:t>
            </w:r>
          </w:p>
        </w:tc>
      </w:tr>
      <w:tr w:rsidR="00400B0F" w:rsidRPr="00C61187" w:rsidTr="005A4CEA">
        <w:tc>
          <w:tcPr>
            <w:tcW w:w="789" w:type="pct"/>
            <w:tcBorders>
              <w:top w:val="single" w:sz="4" w:space="0" w:color="auto"/>
              <w:bottom w:val="single" w:sz="4" w:space="0" w:color="auto"/>
            </w:tcBorders>
            <w:tcMar>
              <w:top w:w="57" w:type="dxa"/>
              <w:bottom w:w="57" w:type="dxa"/>
            </w:tcMar>
          </w:tcPr>
          <w:p w:rsidR="00400B0F" w:rsidRPr="00880004" w:rsidRDefault="0048041A" w:rsidP="00320251">
            <w:pPr>
              <w:keepLines/>
              <w:spacing w:before="40" w:after="40" w:line="200" w:lineRule="atLeast"/>
              <w:rPr>
                <w:rFonts w:asciiTheme="minorHAnsi" w:eastAsia="Times New Roman" w:hAnsiTheme="minorHAnsi"/>
                <w:iCs/>
                <w:szCs w:val="17"/>
                <w:lang w:eastAsia="en-US"/>
              </w:rPr>
            </w:pPr>
            <w:r w:rsidRPr="00280CC1">
              <w:rPr>
                <w:rFonts w:asciiTheme="minorHAnsi" w:eastAsia="Times New Roman" w:hAnsiTheme="minorHAnsi"/>
                <w:b/>
                <w:iCs/>
                <w:szCs w:val="17"/>
                <w:lang w:eastAsia="en-US"/>
              </w:rPr>
              <w:t>Improving access to essential infrastructure</w:t>
            </w:r>
          </w:p>
        </w:tc>
        <w:tc>
          <w:tcPr>
            <w:tcW w:w="1340" w:type="pct"/>
            <w:tcBorders>
              <w:top w:val="single" w:sz="4" w:space="0" w:color="auto"/>
              <w:bottom w:val="single" w:sz="4" w:space="0" w:color="auto"/>
            </w:tcBorders>
          </w:tcPr>
          <w:p w:rsidR="00400B0F" w:rsidRPr="00880004" w:rsidRDefault="0048041A" w:rsidP="006F27B1">
            <w:pPr>
              <w:keepLines/>
              <w:spacing w:before="40" w:after="40" w:line="200" w:lineRule="atLeast"/>
              <w:rPr>
                <w:rFonts w:asciiTheme="minorHAnsi" w:eastAsia="Times New Roman" w:hAnsiTheme="minorHAnsi"/>
                <w:iCs/>
                <w:szCs w:val="17"/>
                <w:lang w:eastAsia="en-US"/>
              </w:rPr>
            </w:pPr>
            <w:r w:rsidRPr="0060518C">
              <w:rPr>
                <w:rFonts w:asciiTheme="minorHAnsi" w:eastAsia="Times New Roman" w:hAnsiTheme="minorHAnsi"/>
                <w:iCs/>
                <w:szCs w:val="17"/>
                <w:lang w:eastAsia="en-US"/>
              </w:rPr>
              <w:t xml:space="preserve">Number of people (women and men) that will directly benefit from a new committed household or </w:t>
            </w:r>
            <w:r w:rsidRPr="003D6685">
              <w:rPr>
                <w:rFonts w:asciiTheme="minorHAnsi" w:eastAsia="Times New Roman" w:hAnsiTheme="minorHAnsi"/>
                <w:iCs/>
                <w:szCs w:val="17"/>
                <w:lang w:eastAsia="en-US"/>
              </w:rPr>
              <w:t>business</w:t>
            </w:r>
            <w:r w:rsidRPr="0060518C">
              <w:rPr>
                <w:rFonts w:asciiTheme="minorHAnsi" w:eastAsia="Times New Roman" w:hAnsiTheme="minorHAnsi"/>
                <w:iCs/>
                <w:szCs w:val="17"/>
                <w:lang w:eastAsia="en-US"/>
              </w:rPr>
              <w:t xml:space="preserve"> connection to electricity and/or piped, treated water</w:t>
            </w:r>
            <w:r>
              <w:rPr>
                <w:rFonts w:asciiTheme="minorHAnsi" w:eastAsia="Times New Roman" w:hAnsiTheme="minorHAnsi"/>
                <w:iCs/>
                <w:szCs w:val="17"/>
                <w:lang w:eastAsia="en-US"/>
              </w:rPr>
              <w:t xml:space="preserve"> (</w:t>
            </w:r>
            <w:r w:rsidRPr="0060518C">
              <w:rPr>
                <w:rFonts w:asciiTheme="minorHAnsi" w:eastAsia="Times New Roman" w:hAnsiTheme="minorHAnsi"/>
                <w:iCs/>
                <w:szCs w:val="17"/>
                <w:lang w:eastAsia="en-US"/>
              </w:rPr>
              <w:t>486,000 people with committed connections</w:t>
            </w:r>
            <w:r>
              <w:rPr>
                <w:rFonts w:asciiTheme="minorHAnsi" w:eastAsia="Times New Roman" w:hAnsiTheme="minorHAnsi"/>
                <w:iCs/>
                <w:szCs w:val="17"/>
                <w:lang w:eastAsia="en-US"/>
              </w:rPr>
              <w:t>)</w:t>
            </w:r>
          </w:p>
        </w:tc>
        <w:tc>
          <w:tcPr>
            <w:tcW w:w="495" w:type="pct"/>
            <w:tcBorders>
              <w:top w:val="single" w:sz="4" w:space="0" w:color="auto"/>
              <w:bottom w:val="single" w:sz="4" w:space="0" w:color="auto"/>
            </w:tcBorders>
            <w:shd w:val="clear" w:color="auto" w:fill="7CBF33"/>
          </w:tcPr>
          <w:p w:rsidR="00400B0F" w:rsidRPr="00880004" w:rsidRDefault="00400B0F" w:rsidP="006F27B1">
            <w:pPr>
              <w:keepLines/>
              <w:spacing w:before="40" w:after="40" w:line="200" w:lineRule="atLeast"/>
              <w:jc w:val="center"/>
              <w:rPr>
                <w:rFonts w:asciiTheme="minorHAnsi" w:eastAsia="Times New Roman" w:hAnsiTheme="minorHAnsi"/>
                <w:iCs/>
                <w:color w:val="FFFFFF" w:themeColor="background1"/>
                <w:szCs w:val="17"/>
                <w:lang w:eastAsia="en-US"/>
              </w:rPr>
            </w:pPr>
            <w:r w:rsidRPr="00880004">
              <w:rPr>
                <w:rFonts w:asciiTheme="minorHAnsi" w:eastAsia="Times New Roman" w:hAnsiTheme="minorHAnsi"/>
                <w:iCs/>
                <w:color w:val="FFFFFF" w:themeColor="background1"/>
                <w:szCs w:val="17"/>
                <w:lang w:eastAsia="en-US"/>
              </w:rPr>
              <w:t>Achieved</w:t>
            </w:r>
          </w:p>
        </w:tc>
        <w:tc>
          <w:tcPr>
            <w:tcW w:w="2377" w:type="pct"/>
            <w:tcBorders>
              <w:top w:val="single" w:sz="4" w:space="0" w:color="auto"/>
              <w:bottom w:val="single" w:sz="4" w:space="0" w:color="auto"/>
            </w:tcBorders>
          </w:tcPr>
          <w:p w:rsidR="00400B0F" w:rsidRPr="00050BDC" w:rsidRDefault="005A4CEA" w:rsidP="006F27B1">
            <w:pPr>
              <w:keepLines/>
              <w:spacing w:before="40" w:after="40" w:line="200" w:lineRule="atLeast"/>
              <w:rPr>
                <w:rFonts w:asciiTheme="minorHAnsi" w:eastAsia="Times New Roman" w:hAnsiTheme="minorHAnsi"/>
                <w:iCs/>
                <w:szCs w:val="17"/>
                <w:lang w:eastAsia="en-US"/>
              </w:rPr>
            </w:pPr>
            <w:r w:rsidRPr="00374D35">
              <w:rPr>
                <w:rFonts w:asciiTheme="minorHAnsi" w:eastAsia="Times New Roman" w:hAnsiTheme="minorHAnsi"/>
                <w:iCs/>
                <w:szCs w:val="17"/>
                <w:lang w:eastAsia="en-US"/>
              </w:rPr>
              <w:t>Target exceeded (674,357 people with committed connections). This is the expected number of people that will be reached by new private electricity and water networks being built by companies that have entered into output-based co-investment contracts with Investing in Infrastructure (3i).</w:t>
            </w:r>
          </w:p>
        </w:tc>
      </w:tr>
      <w:tr w:rsidR="00400B0F" w:rsidRPr="00C61187" w:rsidTr="005A4CEA">
        <w:tc>
          <w:tcPr>
            <w:tcW w:w="789" w:type="pct"/>
            <w:tcBorders>
              <w:top w:val="single" w:sz="4" w:space="0" w:color="auto"/>
              <w:bottom w:val="nil"/>
            </w:tcBorders>
            <w:tcMar>
              <w:top w:w="57" w:type="dxa"/>
              <w:bottom w:w="57" w:type="dxa"/>
            </w:tcMar>
          </w:tcPr>
          <w:p w:rsidR="00400B0F" w:rsidRPr="00880004" w:rsidRDefault="0048041A" w:rsidP="006F27B1">
            <w:pPr>
              <w:keepLines/>
              <w:spacing w:before="40" w:after="40" w:line="200" w:lineRule="atLeast"/>
              <w:rPr>
                <w:rFonts w:asciiTheme="minorHAnsi" w:eastAsia="Times New Roman" w:hAnsiTheme="minorHAnsi"/>
                <w:iCs/>
                <w:szCs w:val="17"/>
                <w:lang w:eastAsia="en-US"/>
              </w:rPr>
            </w:pPr>
            <w:r w:rsidRPr="00280CC1">
              <w:rPr>
                <w:rFonts w:asciiTheme="minorHAnsi" w:eastAsia="Times New Roman" w:hAnsiTheme="minorHAnsi"/>
                <w:b/>
                <w:iCs/>
                <w:szCs w:val="17"/>
                <w:lang w:eastAsia="en-US"/>
              </w:rPr>
              <w:t>Increasing agricultural productivity and farmer incomes</w:t>
            </w:r>
          </w:p>
        </w:tc>
        <w:tc>
          <w:tcPr>
            <w:tcW w:w="1340" w:type="pct"/>
            <w:tcBorders>
              <w:top w:val="single" w:sz="4" w:space="0" w:color="auto"/>
              <w:bottom w:val="single" w:sz="4" w:space="0" w:color="auto"/>
            </w:tcBorders>
          </w:tcPr>
          <w:p w:rsidR="00400B0F" w:rsidRPr="00880004" w:rsidRDefault="0048041A" w:rsidP="00320251">
            <w:pPr>
              <w:keepLines/>
              <w:spacing w:before="40" w:after="40" w:line="200" w:lineRule="atLeast"/>
              <w:rPr>
                <w:rFonts w:asciiTheme="minorHAnsi" w:eastAsia="Times New Roman" w:hAnsiTheme="minorHAnsi"/>
                <w:iCs/>
                <w:szCs w:val="17"/>
                <w:lang w:eastAsia="en-US"/>
              </w:rPr>
            </w:pPr>
            <w:r w:rsidRPr="0060518C">
              <w:rPr>
                <w:rFonts w:asciiTheme="minorHAnsi" w:eastAsia="Times New Roman" w:hAnsiTheme="minorHAnsi"/>
                <w:iCs/>
                <w:szCs w:val="17"/>
                <w:lang w:eastAsia="en-US"/>
              </w:rPr>
              <w:t>Additional production per year as a result of DFAT-supported irrigation schemes</w:t>
            </w:r>
            <w:r>
              <w:rPr>
                <w:rFonts w:asciiTheme="minorHAnsi" w:eastAsia="Times New Roman" w:hAnsiTheme="minorHAnsi"/>
                <w:iCs/>
                <w:szCs w:val="17"/>
                <w:lang w:eastAsia="en-US"/>
              </w:rPr>
              <w:t xml:space="preserve"> (</w:t>
            </w:r>
            <w:r w:rsidRPr="0060518C">
              <w:rPr>
                <w:rFonts w:asciiTheme="minorHAnsi" w:eastAsia="Times New Roman" w:hAnsiTheme="minorHAnsi"/>
                <w:iCs/>
                <w:szCs w:val="17"/>
                <w:lang w:eastAsia="en-US"/>
              </w:rPr>
              <w:t xml:space="preserve">29,000 </w:t>
            </w:r>
            <w:r w:rsidR="00F722ED">
              <w:rPr>
                <w:rFonts w:asciiTheme="minorHAnsi" w:eastAsia="Times New Roman" w:hAnsiTheme="minorHAnsi"/>
                <w:iCs/>
                <w:szCs w:val="17"/>
                <w:lang w:eastAsia="en-US"/>
              </w:rPr>
              <w:t>tonne</w:t>
            </w:r>
            <w:r w:rsidRPr="0060518C">
              <w:rPr>
                <w:rFonts w:asciiTheme="minorHAnsi" w:eastAsia="Times New Roman" w:hAnsiTheme="minorHAnsi"/>
                <w:iCs/>
                <w:szCs w:val="17"/>
                <w:lang w:eastAsia="en-US"/>
              </w:rPr>
              <w:t xml:space="preserve"> of paddy</w:t>
            </w:r>
            <w:r>
              <w:rPr>
                <w:rFonts w:asciiTheme="minorHAnsi" w:eastAsia="Times New Roman" w:hAnsiTheme="minorHAnsi"/>
                <w:iCs/>
                <w:szCs w:val="17"/>
                <w:lang w:eastAsia="en-US"/>
              </w:rPr>
              <w:t>)</w:t>
            </w:r>
          </w:p>
        </w:tc>
        <w:tc>
          <w:tcPr>
            <w:tcW w:w="495" w:type="pct"/>
            <w:tcBorders>
              <w:top w:val="single" w:sz="4" w:space="0" w:color="auto"/>
              <w:bottom w:val="single" w:sz="4" w:space="0" w:color="auto"/>
            </w:tcBorders>
            <w:shd w:val="clear" w:color="auto" w:fill="7CBF33"/>
          </w:tcPr>
          <w:p w:rsidR="00400B0F" w:rsidRPr="00880004" w:rsidRDefault="0048041A" w:rsidP="006F27B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color w:val="FFFFFF" w:themeColor="background1"/>
                <w:szCs w:val="17"/>
                <w:lang w:eastAsia="en-US"/>
              </w:rPr>
              <w:t>A</w:t>
            </w:r>
            <w:r w:rsidR="00400B0F" w:rsidRPr="00880004">
              <w:rPr>
                <w:rFonts w:asciiTheme="minorHAnsi" w:eastAsia="Times New Roman" w:hAnsiTheme="minorHAnsi"/>
                <w:iCs/>
                <w:color w:val="FFFFFF" w:themeColor="background1"/>
                <w:szCs w:val="17"/>
                <w:lang w:eastAsia="en-US"/>
              </w:rPr>
              <w:t>chieved</w:t>
            </w:r>
          </w:p>
        </w:tc>
        <w:tc>
          <w:tcPr>
            <w:tcW w:w="2377" w:type="pct"/>
            <w:tcBorders>
              <w:top w:val="single" w:sz="4" w:space="0" w:color="auto"/>
              <w:bottom w:val="single" w:sz="4" w:space="0" w:color="auto"/>
            </w:tcBorders>
          </w:tcPr>
          <w:p w:rsidR="00587A17" w:rsidRPr="00050BDC" w:rsidRDefault="00587A17" w:rsidP="00587A17">
            <w:pPr>
              <w:keepLines/>
              <w:spacing w:before="40" w:after="40" w:line="200" w:lineRule="atLeast"/>
              <w:rPr>
                <w:rFonts w:asciiTheme="minorHAnsi" w:eastAsia="Times New Roman" w:hAnsiTheme="minorHAnsi"/>
                <w:iCs/>
                <w:szCs w:val="17"/>
                <w:lang w:eastAsia="en-US"/>
              </w:rPr>
            </w:pPr>
            <w:r w:rsidRPr="00374D35">
              <w:rPr>
                <w:rFonts w:asciiTheme="minorHAnsi" w:eastAsia="Times New Roman" w:hAnsiTheme="minorHAnsi"/>
                <w:iCs/>
                <w:szCs w:val="17"/>
                <w:lang w:eastAsia="en-US"/>
              </w:rPr>
              <w:t xml:space="preserve">In 2017-18, the irrigation activities through CAVAC resulted into additional production of 28,769 </w:t>
            </w:r>
            <w:r w:rsidR="00F722ED" w:rsidRPr="00374D35">
              <w:rPr>
                <w:rFonts w:asciiTheme="minorHAnsi" w:eastAsia="Times New Roman" w:hAnsiTheme="minorHAnsi"/>
                <w:iCs/>
                <w:szCs w:val="17"/>
                <w:lang w:eastAsia="en-US"/>
              </w:rPr>
              <w:t>tonne</w:t>
            </w:r>
            <w:r w:rsidRPr="00374D35">
              <w:rPr>
                <w:rFonts w:asciiTheme="minorHAnsi" w:eastAsia="Times New Roman" w:hAnsiTheme="minorHAnsi"/>
                <w:iCs/>
                <w:szCs w:val="17"/>
                <w:lang w:eastAsia="en-US"/>
              </w:rPr>
              <w:t xml:space="preserve"> of paddy</w:t>
            </w:r>
            <w:r w:rsidR="00DC728B" w:rsidRPr="00374D35">
              <w:rPr>
                <w:rFonts w:asciiTheme="minorHAnsi" w:eastAsia="Times New Roman" w:hAnsiTheme="minorHAnsi"/>
                <w:iCs/>
                <w:szCs w:val="17"/>
                <w:lang w:eastAsia="en-US"/>
              </w:rPr>
              <w:t>.</w:t>
            </w:r>
          </w:p>
        </w:tc>
      </w:tr>
      <w:tr w:rsidR="0048041A" w:rsidRPr="00C61187" w:rsidTr="005A4CEA">
        <w:trPr>
          <w:trHeight w:val="23"/>
        </w:trPr>
        <w:tc>
          <w:tcPr>
            <w:tcW w:w="789" w:type="pct"/>
            <w:tcBorders>
              <w:top w:val="nil"/>
              <w:bottom w:val="single" w:sz="4" w:space="0" w:color="auto"/>
            </w:tcBorders>
            <w:tcMar>
              <w:top w:w="57" w:type="dxa"/>
              <w:bottom w:w="57" w:type="dxa"/>
            </w:tcMar>
          </w:tcPr>
          <w:p w:rsidR="0048041A" w:rsidRDefault="0048041A" w:rsidP="006F27B1">
            <w:pPr>
              <w:keepLines/>
              <w:spacing w:before="40" w:after="40" w:line="200" w:lineRule="atLeast"/>
              <w:rPr>
                <w:rFonts w:eastAsia="Times New Roman"/>
                <w:iCs/>
                <w:szCs w:val="17"/>
              </w:rPr>
            </w:pPr>
          </w:p>
        </w:tc>
        <w:tc>
          <w:tcPr>
            <w:tcW w:w="1340" w:type="pct"/>
            <w:tcBorders>
              <w:top w:val="single" w:sz="4" w:space="0" w:color="auto"/>
              <w:bottom w:val="single" w:sz="4" w:space="0" w:color="auto"/>
            </w:tcBorders>
          </w:tcPr>
          <w:p w:rsidR="0048041A" w:rsidRPr="0048041A" w:rsidRDefault="0048041A" w:rsidP="00320251">
            <w:pPr>
              <w:keepLines/>
              <w:spacing w:before="40" w:after="40" w:line="200" w:lineRule="atLeast"/>
              <w:rPr>
                <w:rFonts w:eastAsia="Times New Roman"/>
                <w:iCs/>
                <w:szCs w:val="17"/>
              </w:rPr>
            </w:pPr>
            <w:r w:rsidRPr="0060518C">
              <w:rPr>
                <w:rFonts w:asciiTheme="minorHAnsi" w:eastAsia="Times New Roman" w:hAnsiTheme="minorHAnsi"/>
                <w:iCs/>
                <w:szCs w:val="17"/>
                <w:lang w:eastAsia="en-US"/>
              </w:rPr>
              <w:t>Land contaminated by landmines and other ERW released for productive use</w:t>
            </w:r>
            <w:r>
              <w:rPr>
                <w:rFonts w:asciiTheme="minorHAnsi" w:eastAsia="Times New Roman" w:hAnsiTheme="minorHAnsi"/>
                <w:iCs/>
                <w:szCs w:val="17"/>
                <w:lang w:eastAsia="en-US"/>
              </w:rPr>
              <w:t xml:space="preserve"> (</w:t>
            </w:r>
            <w:r w:rsidRPr="0060518C">
              <w:rPr>
                <w:rFonts w:asciiTheme="minorHAnsi" w:eastAsia="Times New Roman" w:hAnsiTheme="minorHAnsi"/>
                <w:iCs/>
                <w:szCs w:val="17"/>
                <w:lang w:eastAsia="en-US"/>
              </w:rPr>
              <w:t>6.75km</w:t>
            </w:r>
            <w:r w:rsidRPr="0060518C">
              <w:rPr>
                <w:rFonts w:asciiTheme="minorHAnsi" w:eastAsia="Times New Roman" w:hAnsiTheme="minorHAnsi"/>
                <w:iCs/>
                <w:szCs w:val="17"/>
                <w:vertAlign w:val="superscript"/>
                <w:lang w:eastAsia="en-US"/>
              </w:rPr>
              <w:t>2</w:t>
            </w:r>
            <w:r>
              <w:rPr>
                <w:rFonts w:asciiTheme="minorHAnsi" w:eastAsia="Times New Roman" w:hAnsiTheme="minorHAnsi"/>
                <w:iCs/>
                <w:szCs w:val="17"/>
                <w:lang w:eastAsia="en-US"/>
              </w:rPr>
              <w:t>)</w:t>
            </w:r>
          </w:p>
        </w:tc>
        <w:tc>
          <w:tcPr>
            <w:tcW w:w="495" w:type="pct"/>
            <w:tcBorders>
              <w:top w:val="single" w:sz="4" w:space="0" w:color="auto"/>
              <w:bottom w:val="single" w:sz="4" w:space="0" w:color="auto"/>
            </w:tcBorders>
            <w:shd w:val="clear" w:color="auto" w:fill="7CBF33"/>
          </w:tcPr>
          <w:p w:rsidR="0048041A" w:rsidRPr="00880004" w:rsidRDefault="0048041A" w:rsidP="006F27B1">
            <w:pPr>
              <w:keepLines/>
              <w:spacing w:before="40" w:after="40" w:line="200" w:lineRule="atLeast"/>
              <w:jc w:val="center"/>
              <w:rPr>
                <w:rFonts w:eastAsia="Times New Roman"/>
                <w:iCs/>
                <w:color w:val="FFFFFF" w:themeColor="background1"/>
                <w:szCs w:val="17"/>
              </w:rPr>
            </w:pPr>
            <w:r>
              <w:rPr>
                <w:rFonts w:asciiTheme="minorHAnsi" w:eastAsia="Times New Roman" w:hAnsiTheme="minorHAnsi"/>
                <w:iCs/>
                <w:color w:val="FFFFFF" w:themeColor="background1"/>
                <w:szCs w:val="17"/>
                <w:lang w:eastAsia="en-US"/>
              </w:rPr>
              <w:t>A</w:t>
            </w:r>
            <w:r w:rsidRPr="00880004">
              <w:rPr>
                <w:rFonts w:asciiTheme="minorHAnsi" w:eastAsia="Times New Roman" w:hAnsiTheme="minorHAnsi"/>
                <w:iCs/>
                <w:color w:val="FFFFFF" w:themeColor="background1"/>
                <w:szCs w:val="17"/>
                <w:lang w:eastAsia="en-US"/>
              </w:rPr>
              <w:t>chieved</w:t>
            </w:r>
          </w:p>
        </w:tc>
        <w:tc>
          <w:tcPr>
            <w:tcW w:w="2377" w:type="pct"/>
            <w:tcBorders>
              <w:top w:val="single" w:sz="4" w:space="0" w:color="auto"/>
              <w:bottom w:val="single" w:sz="4" w:space="0" w:color="auto"/>
            </w:tcBorders>
          </w:tcPr>
          <w:p w:rsidR="0048041A" w:rsidRPr="009A1822" w:rsidRDefault="005A4CEA" w:rsidP="0075292D">
            <w:pPr>
              <w:keepLines/>
              <w:spacing w:before="40" w:after="40" w:line="200" w:lineRule="atLeast"/>
              <w:rPr>
                <w:rFonts w:asciiTheme="minorHAnsi" w:eastAsia="Times New Roman" w:hAnsiTheme="minorHAnsi"/>
                <w:iCs/>
                <w:szCs w:val="17"/>
                <w:lang w:eastAsia="en-US"/>
              </w:rPr>
            </w:pPr>
            <w:r w:rsidRPr="00374D35">
              <w:rPr>
                <w:rFonts w:asciiTheme="minorHAnsi" w:eastAsia="Times New Roman" w:hAnsiTheme="minorHAnsi"/>
                <w:iCs/>
                <w:szCs w:val="17"/>
                <w:lang w:eastAsia="en-US"/>
              </w:rPr>
              <w:t>T</w:t>
            </w:r>
            <w:r w:rsidR="000160FC" w:rsidRPr="00374D35">
              <w:rPr>
                <w:rFonts w:asciiTheme="minorHAnsi" w:eastAsia="Times New Roman" w:hAnsiTheme="minorHAnsi"/>
                <w:iCs/>
                <w:szCs w:val="17"/>
                <w:lang w:eastAsia="en-US"/>
              </w:rPr>
              <w:t>arget exceeded</w:t>
            </w:r>
            <w:r w:rsidR="00651C21" w:rsidRPr="00374D35">
              <w:rPr>
                <w:rFonts w:asciiTheme="minorHAnsi" w:eastAsia="Times New Roman" w:hAnsiTheme="minorHAnsi"/>
                <w:iCs/>
                <w:szCs w:val="17"/>
                <w:lang w:eastAsia="en-US"/>
              </w:rPr>
              <w:t xml:space="preserve">. </w:t>
            </w:r>
            <w:r w:rsidR="008733CC" w:rsidRPr="00374D35">
              <w:rPr>
                <w:rFonts w:asciiTheme="minorHAnsi" w:eastAsia="Times New Roman" w:hAnsiTheme="minorHAnsi"/>
                <w:iCs/>
                <w:szCs w:val="17"/>
                <w:lang w:eastAsia="en-US"/>
              </w:rPr>
              <w:t>22</w:t>
            </w:r>
            <w:r w:rsidR="00651C21" w:rsidRPr="00374D35">
              <w:rPr>
                <w:rFonts w:asciiTheme="minorHAnsi" w:eastAsia="Times New Roman" w:hAnsiTheme="minorHAnsi"/>
                <w:iCs/>
                <w:szCs w:val="17"/>
                <w:lang w:eastAsia="en-US"/>
              </w:rPr>
              <w:t xml:space="preserve"> km</w:t>
            </w:r>
            <w:r w:rsidR="00FB5D09" w:rsidRPr="00522F47">
              <w:rPr>
                <w:rFonts w:asciiTheme="minorHAnsi" w:eastAsia="Times New Roman" w:hAnsiTheme="minorHAnsi"/>
                <w:iCs/>
                <w:szCs w:val="17"/>
                <w:vertAlign w:val="superscript"/>
                <w:lang w:eastAsia="en-US"/>
              </w:rPr>
              <w:t>2</w:t>
            </w:r>
            <w:r w:rsidR="00651C21" w:rsidRPr="00374D35">
              <w:rPr>
                <w:rFonts w:asciiTheme="minorHAnsi" w:eastAsia="Times New Roman" w:hAnsiTheme="minorHAnsi"/>
                <w:iCs/>
                <w:szCs w:val="17"/>
                <w:lang w:eastAsia="en-US"/>
              </w:rPr>
              <w:t xml:space="preserve"> of land was cleared using technical clearance. This exceeded the clearance target of 6.75</w:t>
            </w:r>
            <w:r w:rsidRPr="00374D35">
              <w:rPr>
                <w:rFonts w:asciiTheme="minorHAnsi" w:eastAsia="Times New Roman" w:hAnsiTheme="minorHAnsi"/>
                <w:iCs/>
                <w:szCs w:val="17"/>
                <w:lang w:eastAsia="en-US"/>
              </w:rPr>
              <w:t xml:space="preserve"> km</w:t>
            </w:r>
            <w:r w:rsidR="00FB5D09" w:rsidRPr="00522F47">
              <w:rPr>
                <w:rFonts w:asciiTheme="minorHAnsi" w:eastAsia="Times New Roman" w:hAnsiTheme="minorHAnsi"/>
                <w:iCs/>
                <w:szCs w:val="17"/>
                <w:vertAlign w:val="superscript"/>
                <w:lang w:eastAsia="en-US"/>
              </w:rPr>
              <w:t>2</w:t>
            </w:r>
            <w:r w:rsidR="008733CC" w:rsidRPr="00374D35">
              <w:rPr>
                <w:rFonts w:asciiTheme="minorHAnsi" w:eastAsia="Times New Roman" w:hAnsiTheme="minorHAnsi"/>
                <w:iCs/>
                <w:szCs w:val="17"/>
                <w:lang w:eastAsia="en-US"/>
              </w:rPr>
              <w:t xml:space="preserve"> (DFAT contribution is 40 per cent)</w:t>
            </w:r>
            <w:r w:rsidR="00651C21" w:rsidRPr="00374D35">
              <w:rPr>
                <w:rFonts w:asciiTheme="minorHAnsi" w:eastAsia="Times New Roman" w:hAnsiTheme="minorHAnsi"/>
                <w:iCs/>
                <w:szCs w:val="17"/>
                <w:lang w:eastAsia="en-US"/>
              </w:rPr>
              <w:t>.</w:t>
            </w:r>
          </w:p>
        </w:tc>
      </w:tr>
      <w:tr w:rsidR="0048041A" w:rsidRPr="00C61187" w:rsidTr="00726085">
        <w:tc>
          <w:tcPr>
            <w:tcW w:w="789" w:type="pct"/>
            <w:tcBorders>
              <w:top w:val="single" w:sz="4" w:space="0" w:color="auto"/>
            </w:tcBorders>
            <w:tcMar>
              <w:top w:w="57" w:type="dxa"/>
              <w:bottom w:w="57" w:type="dxa"/>
            </w:tcMar>
          </w:tcPr>
          <w:p w:rsidR="0048041A" w:rsidRDefault="0048041A" w:rsidP="006F27B1">
            <w:pPr>
              <w:keepLines/>
              <w:spacing w:before="40" w:after="40" w:line="200" w:lineRule="atLeast"/>
              <w:rPr>
                <w:rFonts w:eastAsia="Times New Roman"/>
                <w:iCs/>
                <w:szCs w:val="17"/>
              </w:rPr>
            </w:pPr>
            <w:r w:rsidRPr="00280CC1">
              <w:rPr>
                <w:rFonts w:asciiTheme="minorHAnsi" w:hAnsiTheme="minorHAnsi"/>
                <w:b/>
                <w:sz w:val="18"/>
              </w:rPr>
              <w:t>Better health and education outcomes</w:t>
            </w:r>
          </w:p>
        </w:tc>
        <w:tc>
          <w:tcPr>
            <w:tcW w:w="1340" w:type="pct"/>
            <w:tcBorders>
              <w:top w:val="single" w:sz="4" w:space="0" w:color="auto"/>
              <w:bottom w:val="single" w:sz="4" w:space="0" w:color="auto"/>
            </w:tcBorders>
          </w:tcPr>
          <w:p w:rsidR="0048041A" w:rsidRPr="00880004" w:rsidRDefault="0048041A" w:rsidP="00320251">
            <w:pPr>
              <w:keepLines/>
              <w:spacing w:before="40" w:after="40" w:line="200" w:lineRule="atLeast"/>
              <w:rPr>
                <w:rFonts w:eastAsia="Times New Roman"/>
                <w:iCs/>
                <w:szCs w:val="17"/>
              </w:rPr>
            </w:pPr>
            <w:r w:rsidRPr="0060518C">
              <w:rPr>
                <w:rFonts w:asciiTheme="minorHAnsi" w:eastAsia="Times New Roman" w:hAnsiTheme="minorHAnsi"/>
                <w:iCs/>
                <w:szCs w:val="17"/>
                <w:lang w:eastAsia="en-US"/>
              </w:rPr>
              <w:t>Number of health facilities exceeding 60 per cent score on the quality assessment of health facilities tool</w:t>
            </w:r>
            <w:r>
              <w:rPr>
                <w:rFonts w:asciiTheme="minorHAnsi" w:eastAsia="Times New Roman" w:hAnsiTheme="minorHAnsi"/>
                <w:iCs/>
                <w:szCs w:val="17"/>
                <w:lang w:eastAsia="en-US"/>
              </w:rPr>
              <w:t xml:space="preserve"> (</w:t>
            </w:r>
            <w:r w:rsidRPr="0060518C">
              <w:rPr>
                <w:rFonts w:asciiTheme="minorHAnsi" w:eastAsia="Times New Roman" w:hAnsiTheme="minorHAnsi"/>
                <w:iCs/>
                <w:szCs w:val="17"/>
                <w:lang w:eastAsia="en-US"/>
              </w:rPr>
              <w:t>Baseline + 20 per cent</w:t>
            </w:r>
            <w:r>
              <w:rPr>
                <w:rFonts w:asciiTheme="minorHAnsi" w:eastAsia="Times New Roman" w:hAnsiTheme="minorHAnsi"/>
                <w:iCs/>
                <w:szCs w:val="17"/>
                <w:lang w:eastAsia="en-US"/>
              </w:rPr>
              <w:t>)</w:t>
            </w:r>
          </w:p>
        </w:tc>
        <w:tc>
          <w:tcPr>
            <w:tcW w:w="495" w:type="pct"/>
            <w:tcBorders>
              <w:top w:val="single" w:sz="4" w:space="0" w:color="auto"/>
              <w:bottom w:val="single" w:sz="4" w:space="0" w:color="auto"/>
            </w:tcBorders>
            <w:shd w:val="clear" w:color="auto" w:fill="E36C0A"/>
          </w:tcPr>
          <w:p w:rsidR="0048041A" w:rsidRPr="00880004" w:rsidRDefault="00726085" w:rsidP="006F27B1">
            <w:pPr>
              <w:keepLines/>
              <w:spacing w:before="40" w:after="40" w:line="200" w:lineRule="atLeast"/>
              <w:jc w:val="center"/>
              <w:rPr>
                <w:rFonts w:eastAsia="Times New Roman"/>
                <w:iCs/>
                <w:color w:val="FFFFFF" w:themeColor="background1"/>
                <w:szCs w:val="17"/>
              </w:rPr>
            </w:pPr>
            <w:r>
              <w:rPr>
                <w:rFonts w:asciiTheme="minorHAnsi" w:eastAsia="Times New Roman" w:hAnsiTheme="minorHAnsi"/>
                <w:iCs/>
                <w:color w:val="FFFFFF" w:themeColor="background1"/>
                <w:szCs w:val="17"/>
                <w:lang w:eastAsia="en-US"/>
              </w:rPr>
              <w:t>Partly a</w:t>
            </w:r>
            <w:r w:rsidR="0048041A" w:rsidRPr="00880004">
              <w:rPr>
                <w:rFonts w:asciiTheme="minorHAnsi" w:eastAsia="Times New Roman" w:hAnsiTheme="minorHAnsi"/>
                <w:iCs/>
                <w:color w:val="FFFFFF" w:themeColor="background1"/>
                <w:szCs w:val="17"/>
                <w:lang w:eastAsia="en-US"/>
              </w:rPr>
              <w:t>chieved</w:t>
            </w:r>
          </w:p>
        </w:tc>
        <w:tc>
          <w:tcPr>
            <w:tcW w:w="2377" w:type="pct"/>
            <w:tcBorders>
              <w:top w:val="single" w:sz="4" w:space="0" w:color="auto"/>
              <w:bottom w:val="single" w:sz="4" w:space="0" w:color="auto"/>
            </w:tcBorders>
          </w:tcPr>
          <w:p w:rsidR="0048041A" w:rsidRPr="009A1822" w:rsidRDefault="00726085">
            <w:pPr>
              <w:keepLines/>
              <w:spacing w:before="40" w:after="40" w:line="200" w:lineRule="atLeast"/>
              <w:rPr>
                <w:rFonts w:asciiTheme="minorHAnsi" w:eastAsia="Times New Roman" w:hAnsiTheme="minorHAnsi"/>
                <w:iCs/>
                <w:szCs w:val="17"/>
                <w:lang w:eastAsia="en-US"/>
              </w:rPr>
            </w:pPr>
            <w:r w:rsidRPr="00374D35">
              <w:rPr>
                <w:rFonts w:asciiTheme="minorHAnsi" w:eastAsia="Times New Roman" w:hAnsiTheme="minorHAnsi"/>
                <w:iCs/>
                <w:szCs w:val="17"/>
                <w:lang w:eastAsia="en-US"/>
              </w:rPr>
              <w:t>The roll-out of the quality assessment was delayed in 2016-17. So the 2017-18 round is considered as the baseline (10</w:t>
            </w:r>
            <w:r w:rsidR="001A2BF9" w:rsidRPr="00374D35">
              <w:rPr>
                <w:rFonts w:asciiTheme="minorHAnsi" w:eastAsia="Times New Roman" w:hAnsiTheme="minorHAnsi"/>
                <w:iCs/>
                <w:szCs w:val="17"/>
                <w:lang w:eastAsia="en-US"/>
              </w:rPr>
              <w:t xml:space="preserve"> per cent</w:t>
            </w:r>
            <w:r w:rsidRPr="00374D35">
              <w:rPr>
                <w:rFonts w:asciiTheme="minorHAnsi" w:eastAsia="Times New Roman" w:hAnsiTheme="minorHAnsi"/>
                <w:iCs/>
                <w:szCs w:val="17"/>
                <w:lang w:eastAsia="en-US"/>
              </w:rPr>
              <w:t>).</w:t>
            </w:r>
          </w:p>
        </w:tc>
      </w:tr>
      <w:tr w:rsidR="0048041A" w:rsidRPr="00C61187" w:rsidTr="00374D35">
        <w:tc>
          <w:tcPr>
            <w:tcW w:w="789" w:type="pct"/>
            <w:tcMar>
              <w:top w:w="57" w:type="dxa"/>
              <w:bottom w:w="57" w:type="dxa"/>
            </w:tcMar>
          </w:tcPr>
          <w:p w:rsidR="0048041A" w:rsidRDefault="0048041A" w:rsidP="006F27B1">
            <w:pPr>
              <w:keepLines/>
              <w:spacing w:before="40" w:after="40" w:line="200" w:lineRule="atLeast"/>
              <w:rPr>
                <w:rFonts w:eastAsia="Times New Roman"/>
                <w:iCs/>
                <w:szCs w:val="17"/>
              </w:rPr>
            </w:pPr>
          </w:p>
        </w:tc>
        <w:tc>
          <w:tcPr>
            <w:tcW w:w="1340" w:type="pct"/>
            <w:tcBorders>
              <w:top w:val="single" w:sz="4" w:space="0" w:color="auto"/>
              <w:bottom w:val="single" w:sz="4" w:space="0" w:color="auto"/>
            </w:tcBorders>
          </w:tcPr>
          <w:p w:rsidR="0048041A" w:rsidRPr="00880004" w:rsidRDefault="0048041A">
            <w:pPr>
              <w:keepLines/>
              <w:spacing w:before="40" w:after="40" w:line="200" w:lineRule="atLeast"/>
              <w:rPr>
                <w:rFonts w:eastAsia="Times New Roman"/>
                <w:iCs/>
                <w:szCs w:val="17"/>
              </w:rPr>
            </w:pPr>
            <w:r w:rsidRPr="0060518C">
              <w:rPr>
                <w:rFonts w:asciiTheme="minorHAnsi" w:eastAsia="Times New Roman" w:hAnsiTheme="minorHAnsi"/>
                <w:iCs/>
                <w:szCs w:val="17"/>
                <w:lang w:eastAsia="en-US"/>
              </w:rPr>
              <w:t>Number and per cent of Australia Awards scholarships awarded to women and men</w:t>
            </w:r>
            <w:r>
              <w:rPr>
                <w:rFonts w:asciiTheme="minorHAnsi" w:eastAsia="Times New Roman" w:hAnsiTheme="minorHAnsi"/>
                <w:iCs/>
                <w:szCs w:val="17"/>
                <w:lang w:eastAsia="en-US"/>
              </w:rPr>
              <w:t xml:space="preserve"> </w:t>
            </w:r>
            <w:r w:rsidRPr="0060518C">
              <w:rPr>
                <w:rFonts w:asciiTheme="minorHAnsi" w:eastAsia="Times New Roman" w:hAnsiTheme="minorHAnsi"/>
                <w:iCs/>
                <w:szCs w:val="17"/>
                <w:lang w:eastAsia="en-US"/>
              </w:rPr>
              <w:t>(50 per cent women, 50 per cent men</w:t>
            </w:r>
            <w:r>
              <w:rPr>
                <w:rFonts w:asciiTheme="minorHAnsi" w:eastAsia="Times New Roman" w:hAnsiTheme="minorHAnsi"/>
                <w:iCs/>
                <w:szCs w:val="17"/>
                <w:lang w:eastAsia="en-US"/>
              </w:rPr>
              <w:t>)</w:t>
            </w:r>
          </w:p>
        </w:tc>
        <w:tc>
          <w:tcPr>
            <w:tcW w:w="495" w:type="pct"/>
            <w:tcBorders>
              <w:top w:val="single" w:sz="4" w:space="0" w:color="auto"/>
              <w:bottom w:val="single" w:sz="4" w:space="0" w:color="auto"/>
            </w:tcBorders>
            <w:shd w:val="clear" w:color="auto" w:fill="E36C0A"/>
          </w:tcPr>
          <w:p w:rsidR="0048041A" w:rsidRPr="00880004" w:rsidRDefault="00374D35" w:rsidP="006F27B1">
            <w:pPr>
              <w:keepLines/>
              <w:spacing w:before="40" w:after="40" w:line="200" w:lineRule="atLeast"/>
              <w:jc w:val="center"/>
              <w:rPr>
                <w:rFonts w:eastAsia="Times New Roman"/>
                <w:iCs/>
                <w:color w:val="FFFFFF" w:themeColor="background1"/>
                <w:szCs w:val="17"/>
              </w:rPr>
            </w:pPr>
            <w:r>
              <w:rPr>
                <w:rFonts w:asciiTheme="minorHAnsi" w:eastAsia="Times New Roman" w:hAnsiTheme="minorHAnsi"/>
                <w:iCs/>
                <w:color w:val="FFFFFF" w:themeColor="background1"/>
                <w:szCs w:val="17"/>
                <w:lang w:eastAsia="en-US"/>
              </w:rPr>
              <w:t>Partly a</w:t>
            </w:r>
            <w:r w:rsidRPr="00880004">
              <w:rPr>
                <w:rFonts w:asciiTheme="minorHAnsi" w:eastAsia="Times New Roman" w:hAnsiTheme="minorHAnsi"/>
                <w:iCs/>
                <w:color w:val="FFFFFF" w:themeColor="background1"/>
                <w:szCs w:val="17"/>
                <w:lang w:eastAsia="en-US"/>
              </w:rPr>
              <w:t>chieved</w:t>
            </w:r>
          </w:p>
        </w:tc>
        <w:tc>
          <w:tcPr>
            <w:tcW w:w="2377" w:type="pct"/>
            <w:tcBorders>
              <w:top w:val="single" w:sz="4" w:space="0" w:color="auto"/>
              <w:bottom w:val="single" w:sz="4" w:space="0" w:color="auto"/>
            </w:tcBorders>
          </w:tcPr>
          <w:p w:rsidR="0048041A" w:rsidRPr="009A1822" w:rsidRDefault="003C7DC7"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Some progress has been made towards awarding 50 per </w:t>
            </w:r>
            <w:r w:rsidR="006A49E8">
              <w:rPr>
                <w:rFonts w:asciiTheme="minorHAnsi" w:eastAsia="Times New Roman" w:hAnsiTheme="minorHAnsi"/>
                <w:iCs/>
                <w:szCs w:val="17"/>
                <w:lang w:eastAsia="en-US"/>
              </w:rPr>
              <w:t>cent of scholarships to women i</w:t>
            </w:r>
            <w:r>
              <w:rPr>
                <w:rFonts w:asciiTheme="minorHAnsi" w:eastAsia="Times New Roman" w:hAnsiTheme="minorHAnsi"/>
                <w:iCs/>
                <w:szCs w:val="17"/>
                <w:lang w:eastAsia="en-US"/>
              </w:rPr>
              <w:t xml:space="preserve">n 2017-18, </w:t>
            </w:r>
            <w:r w:rsidRPr="00374D35">
              <w:rPr>
                <w:rFonts w:asciiTheme="minorHAnsi" w:eastAsia="Times New Roman" w:hAnsiTheme="minorHAnsi"/>
                <w:iCs/>
                <w:szCs w:val="17"/>
                <w:lang w:eastAsia="en-US"/>
              </w:rPr>
              <w:t xml:space="preserve">48 per cent </w:t>
            </w:r>
            <w:r>
              <w:rPr>
                <w:rFonts w:asciiTheme="minorHAnsi" w:eastAsia="Times New Roman" w:hAnsiTheme="minorHAnsi"/>
                <w:iCs/>
                <w:szCs w:val="17"/>
                <w:lang w:eastAsia="en-US"/>
              </w:rPr>
              <w:t>of scholarships were offered to women, which is a 12 per cent increase from 2016-17.</w:t>
            </w:r>
            <w:r w:rsidR="00D91BC7">
              <w:rPr>
                <w:rFonts w:asciiTheme="minorHAnsi" w:eastAsia="Times New Roman" w:hAnsiTheme="minorHAnsi"/>
                <w:iCs/>
                <w:szCs w:val="17"/>
                <w:lang w:eastAsia="en-US"/>
              </w:rPr>
              <w:t xml:space="preserve"> As we did not reach the 50 percent target, this resulted in an amber rating.</w:t>
            </w:r>
          </w:p>
        </w:tc>
      </w:tr>
      <w:tr w:rsidR="0048041A" w:rsidRPr="00C61187" w:rsidTr="005E57E2">
        <w:tc>
          <w:tcPr>
            <w:tcW w:w="789" w:type="pct"/>
            <w:tcMar>
              <w:top w:w="57" w:type="dxa"/>
              <w:bottom w:w="57" w:type="dxa"/>
            </w:tcMar>
          </w:tcPr>
          <w:p w:rsidR="0048041A" w:rsidRDefault="0048041A" w:rsidP="006F27B1">
            <w:pPr>
              <w:keepLines/>
              <w:spacing w:before="40" w:after="40" w:line="200" w:lineRule="atLeast"/>
              <w:rPr>
                <w:rFonts w:eastAsia="Times New Roman"/>
                <w:iCs/>
                <w:szCs w:val="17"/>
              </w:rPr>
            </w:pPr>
            <w:r w:rsidRPr="00280CC1">
              <w:rPr>
                <w:rFonts w:asciiTheme="minorHAnsi" w:hAnsiTheme="minorHAnsi"/>
                <w:b/>
                <w:sz w:val="18"/>
              </w:rPr>
              <w:t>Reduced gender-based violence</w:t>
            </w:r>
          </w:p>
        </w:tc>
        <w:tc>
          <w:tcPr>
            <w:tcW w:w="1340" w:type="pct"/>
            <w:tcBorders>
              <w:top w:val="single" w:sz="4" w:space="0" w:color="auto"/>
            </w:tcBorders>
          </w:tcPr>
          <w:p w:rsidR="0048041A" w:rsidRPr="00880004" w:rsidRDefault="0048041A" w:rsidP="005E57E2">
            <w:pPr>
              <w:keepLines/>
              <w:spacing w:before="40" w:after="40" w:line="200" w:lineRule="atLeast"/>
              <w:rPr>
                <w:rFonts w:eastAsia="Times New Roman"/>
                <w:iCs/>
                <w:szCs w:val="17"/>
              </w:rPr>
            </w:pPr>
            <w:r w:rsidRPr="0060518C">
              <w:rPr>
                <w:rFonts w:asciiTheme="minorHAnsi" w:eastAsia="Times New Roman" w:hAnsiTheme="minorHAnsi"/>
                <w:iCs/>
                <w:szCs w:val="17"/>
                <w:lang w:eastAsia="en-US"/>
              </w:rPr>
              <w:t xml:space="preserve">Additional </w:t>
            </w:r>
            <w:r w:rsidR="005E57E2">
              <w:rPr>
                <w:rFonts w:asciiTheme="minorHAnsi" w:eastAsia="Times New Roman" w:hAnsiTheme="minorHAnsi"/>
                <w:iCs/>
                <w:szCs w:val="17"/>
                <w:lang w:eastAsia="en-US"/>
              </w:rPr>
              <w:t xml:space="preserve">1,000 </w:t>
            </w:r>
            <w:r w:rsidRPr="0060518C">
              <w:rPr>
                <w:rFonts w:asciiTheme="minorHAnsi" w:eastAsia="Times New Roman" w:hAnsiTheme="minorHAnsi"/>
                <w:iCs/>
                <w:szCs w:val="17"/>
                <w:lang w:eastAsia="en-US"/>
              </w:rPr>
              <w:t>women survivors of violence receiving services such as counselling</w:t>
            </w:r>
            <w:r w:rsidR="005E57E2">
              <w:rPr>
                <w:rFonts w:asciiTheme="minorHAnsi" w:eastAsia="Times New Roman" w:hAnsiTheme="minorHAnsi"/>
                <w:iCs/>
                <w:szCs w:val="17"/>
                <w:lang w:eastAsia="en-US"/>
              </w:rPr>
              <w:t>.</w:t>
            </w:r>
          </w:p>
        </w:tc>
        <w:tc>
          <w:tcPr>
            <w:tcW w:w="495" w:type="pct"/>
            <w:tcBorders>
              <w:top w:val="single" w:sz="4" w:space="0" w:color="auto"/>
            </w:tcBorders>
            <w:shd w:val="clear" w:color="auto" w:fill="E36C0A"/>
          </w:tcPr>
          <w:p w:rsidR="0048041A" w:rsidRPr="00880004" w:rsidRDefault="005E57E2" w:rsidP="006F27B1">
            <w:pPr>
              <w:keepLines/>
              <w:spacing w:before="40" w:after="40" w:line="200" w:lineRule="atLeast"/>
              <w:jc w:val="center"/>
              <w:rPr>
                <w:rFonts w:eastAsia="Times New Roman"/>
                <w:iCs/>
                <w:color w:val="FFFFFF" w:themeColor="background1"/>
                <w:szCs w:val="17"/>
              </w:rPr>
            </w:pPr>
            <w:r>
              <w:rPr>
                <w:rFonts w:asciiTheme="minorHAnsi" w:eastAsia="Times New Roman" w:hAnsiTheme="minorHAnsi"/>
                <w:iCs/>
                <w:color w:val="FFFFFF" w:themeColor="background1"/>
                <w:szCs w:val="17"/>
                <w:lang w:eastAsia="en-US"/>
              </w:rPr>
              <w:t>Partly a</w:t>
            </w:r>
            <w:r w:rsidR="0048041A" w:rsidRPr="00880004">
              <w:rPr>
                <w:rFonts w:asciiTheme="minorHAnsi" w:eastAsia="Times New Roman" w:hAnsiTheme="minorHAnsi"/>
                <w:iCs/>
                <w:color w:val="FFFFFF" w:themeColor="background1"/>
                <w:szCs w:val="17"/>
                <w:lang w:eastAsia="en-US"/>
              </w:rPr>
              <w:t>chieved</w:t>
            </w:r>
          </w:p>
        </w:tc>
        <w:tc>
          <w:tcPr>
            <w:tcW w:w="2377" w:type="pct"/>
            <w:tcBorders>
              <w:top w:val="single" w:sz="4" w:space="0" w:color="auto"/>
            </w:tcBorders>
          </w:tcPr>
          <w:p w:rsidR="0048041A" w:rsidRPr="009A1822" w:rsidRDefault="005E57E2" w:rsidP="006F27B1">
            <w:pPr>
              <w:keepLines/>
              <w:spacing w:before="40" w:after="40" w:line="200" w:lineRule="atLeast"/>
              <w:rPr>
                <w:rFonts w:asciiTheme="minorHAnsi" w:eastAsia="Times New Roman" w:hAnsiTheme="minorHAnsi"/>
                <w:iCs/>
                <w:szCs w:val="17"/>
                <w:lang w:eastAsia="en-US"/>
              </w:rPr>
            </w:pPr>
            <w:r w:rsidRPr="00374D35">
              <w:rPr>
                <w:rFonts w:asciiTheme="minorHAnsi" w:eastAsia="Times New Roman" w:hAnsiTheme="minorHAnsi"/>
                <w:iCs/>
                <w:szCs w:val="17"/>
                <w:lang w:eastAsia="en-US"/>
              </w:rPr>
              <w:t>761 women. EVAW Program completed in September 2017. Program is in transition to ACCESS</w:t>
            </w:r>
            <w:r w:rsidR="00D91BC7">
              <w:rPr>
                <w:rFonts w:asciiTheme="minorHAnsi" w:eastAsia="Times New Roman" w:hAnsiTheme="minorHAnsi"/>
                <w:iCs/>
                <w:szCs w:val="17"/>
                <w:lang w:eastAsia="en-US"/>
              </w:rPr>
              <w:t>, reflected in the amber rating.</w:t>
            </w:r>
          </w:p>
        </w:tc>
      </w:tr>
    </w:tbl>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sz w:val="16"/>
          <w:szCs w:val="14"/>
        </w:rPr>
        <w:t xml:space="preserve">Note: </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and the performance benchmark was achieved </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towards achieving the performance benchmark, but progress was less than anticipated. </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towards the performance benchmark has been significantly below expectations</w:t>
      </w:r>
    </w:p>
    <w:p w:rsidR="007B4865" w:rsidRDefault="007B4865" w:rsidP="007B4865">
      <w:pPr>
        <w:rPr>
          <w:rFonts w:ascii="Franklin Gothic Book" w:eastAsia="Times New Roman" w:hAnsi="Franklin Gothic Book"/>
          <w:b/>
          <w:sz w:val="24"/>
          <w:szCs w:val="24"/>
        </w:rPr>
      </w:pPr>
    </w:p>
    <w:p w:rsidR="002A51CA" w:rsidRDefault="002A51CA" w:rsidP="00600479">
      <w:pPr>
        <w:spacing w:after="120" w:line="280" w:lineRule="exact"/>
        <w:rPr>
          <w:rFonts w:ascii="Franklin Gothic Book" w:eastAsia="Times New Roman" w:hAnsi="Franklin Gothic Book"/>
          <w:sz w:val="21"/>
        </w:rPr>
      </w:pPr>
    </w:p>
    <w:p w:rsidR="00400B0F" w:rsidRPr="00784031" w:rsidRDefault="00400B0F" w:rsidP="00DE1AB6">
      <w:pPr>
        <w:pStyle w:val="Subtitle"/>
        <w:numPr>
          <w:ilvl w:val="0"/>
          <w:numId w:val="0"/>
        </w:numPr>
      </w:pPr>
      <w:r>
        <w:rPr>
          <w:rFonts w:ascii="Franklin Gothic Book" w:eastAsia="Times New Roman" w:hAnsi="Franklin Gothic Book"/>
          <w:sz w:val="21"/>
        </w:rPr>
        <w:br w:type="page"/>
      </w:r>
      <w:r w:rsidRPr="00784031">
        <w:lastRenderedPageBreak/>
        <w:t>Annex C - Evaluation Planning</w:t>
      </w:r>
    </w:p>
    <w:p w:rsidR="00400B0F" w:rsidRPr="008C2F58" w:rsidRDefault="00400B0F" w:rsidP="008C2F58">
      <w:pPr>
        <w:rPr>
          <w:b/>
          <w:sz w:val="24"/>
        </w:rPr>
      </w:pPr>
      <w:r w:rsidRPr="008C2F58">
        <w:rPr>
          <w:b/>
          <w:sz w:val="24"/>
        </w:rPr>
        <w:t xml:space="preserve">List of evaluations completed in the reporting period </w:t>
      </w:r>
    </w:p>
    <w:tbl>
      <w:tblPr>
        <w:tblStyle w:val="APPR"/>
        <w:tblW w:w="14453" w:type="dxa"/>
        <w:tblLayout w:type="fixed"/>
        <w:tblLook w:val="04A0" w:firstRow="1" w:lastRow="0" w:firstColumn="1" w:lastColumn="0" w:noHBand="0" w:noVBand="1"/>
      </w:tblPr>
      <w:tblGrid>
        <w:gridCol w:w="3106"/>
        <w:gridCol w:w="4685"/>
        <w:gridCol w:w="1425"/>
        <w:gridCol w:w="1981"/>
        <w:gridCol w:w="1699"/>
        <w:gridCol w:w="1557"/>
      </w:tblGrid>
      <w:tr w:rsidR="00400B0F" w:rsidRPr="00C61187" w:rsidTr="004C664B">
        <w:trPr>
          <w:cnfStyle w:val="100000000000" w:firstRow="1" w:lastRow="0" w:firstColumn="0" w:lastColumn="0" w:oddVBand="0" w:evenVBand="0" w:oddHBand="0" w:evenHBand="0" w:firstRowFirstColumn="0" w:firstRowLastColumn="0" w:lastRowFirstColumn="0" w:lastRowLastColumn="0"/>
        </w:trPr>
        <w:tc>
          <w:tcPr>
            <w:tcW w:w="3064" w:type="dxa"/>
            <w:tcBorders>
              <w:top w:val="single" w:sz="12" w:space="0" w:color="000000" w:themeColor="text1"/>
            </w:tcBorders>
          </w:tcPr>
          <w:p w:rsidR="00400B0F" w:rsidRPr="00880004" w:rsidRDefault="00400B0F" w:rsidP="006F27B1">
            <w:pPr>
              <w:keepLines/>
              <w:spacing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 xml:space="preserve">Investment number and name </w:t>
            </w:r>
          </w:p>
          <w:p w:rsidR="00400B0F" w:rsidRPr="00880004" w:rsidRDefault="00400B0F" w:rsidP="006F27B1">
            <w:pPr>
              <w:keepLines/>
              <w:spacing w:line="200" w:lineRule="atLeast"/>
              <w:rPr>
                <w:rFonts w:asciiTheme="minorHAnsi" w:eastAsia="Times New Roman" w:hAnsiTheme="minorHAnsi"/>
                <w:b w:val="0"/>
                <w:iCs/>
                <w:szCs w:val="17"/>
                <w:lang w:eastAsia="en-US"/>
              </w:rPr>
            </w:pPr>
            <w:r w:rsidRPr="00880004">
              <w:rPr>
                <w:rFonts w:asciiTheme="minorHAnsi" w:eastAsia="Times New Roman" w:hAnsiTheme="minorHAnsi"/>
                <w:iCs/>
                <w:szCs w:val="17"/>
                <w:lang w:eastAsia="en-US"/>
              </w:rPr>
              <w:t xml:space="preserve">(if applicable) </w:t>
            </w:r>
          </w:p>
        </w:tc>
        <w:tc>
          <w:tcPr>
            <w:tcW w:w="4657" w:type="dxa"/>
            <w:tcBorders>
              <w:top w:val="single" w:sz="12" w:space="0" w:color="000000" w:themeColor="text1"/>
            </w:tcBorders>
          </w:tcPr>
          <w:p w:rsidR="00400B0F" w:rsidRPr="00880004" w:rsidRDefault="00400B0F" w:rsidP="006F27B1">
            <w:pPr>
              <w:keepLines/>
              <w:spacing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Name of evaluation</w:t>
            </w:r>
          </w:p>
        </w:tc>
        <w:tc>
          <w:tcPr>
            <w:tcW w:w="1397" w:type="dxa"/>
            <w:tcBorders>
              <w:top w:val="single" w:sz="12" w:space="0" w:color="000000" w:themeColor="text1"/>
            </w:tcBorders>
          </w:tcPr>
          <w:p w:rsidR="00400B0F" w:rsidRPr="00880004" w:rsidRDefault="00400B0F" w:rsidP="006F27B1">
            <w:pPr>
              <w:keepLines/>
              <w:spacing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Date completed</w:t>
            </w:r>
          </w:p>
        </w:tc>
        <w:tc>
          <w:tcPr>
            <w:tcW w:w="1953" w:type="dxa"/>
            <w:tcBorders>
              <w:top w:val="single" w:sz="12" w:space="0" w:color="000000" w:themeColor="text1"/>
            </w:tcBorders>
          </w:tcPr>
          <w:p w:rsidR="00400B0F" w:rsidRPr="00880004" w:rsidRDefault="00400B0F" w:rsidP="006F27B1">
            <w:pPr>
              <w:keepLines/>
              <w:spacing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Date Evaluation report Uploaded into AidWorks</w:t>
            </w:r>
          </w:p>
        </w:tc>
        <w:tc>
          <w:tcPr>
            <w:tcW w:w="1671" w:type="dxa"/>
            <w:tcBorders>
              <w:top w:val="single" w:sz="12" w:space="0" w:color="000000" w:themeColor="text1"/>
            </w:tcBorders>
          </w:tcPr>
          <w:p w:rsidR="00400B0F" w:rsidRPr="00880004" w:rsidRDefault="00400B0F" w:rsidP="006F27B1">
            <w:pPr>
              <w:keepLines/>
              <w:spacing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Date Management response uploaded into AidWorks</w:t>
            </w:r>
          </w:p>
        </w:tc>
        <w:tc>
          <w:tcPr>
            <w:tcW w:w="1515" w:type="dxa"/>
            <w:tcBorders>
              <w:top w:val="single" w:sz="12" w:space="0" w:color="000000" w:themeColor="text1"/>
            </w:tcBorders>
          </w:tcPr>
          <w:p w:rsidR="00400B0F" w:rsidRPr="00880004" w:rsidRDefault="00400B0F" w:rsidP="006F27B1">
            <w:pPr>
              <w:keepLines/>
              <w:spacing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Published on website</w:t>
            </w:r>
          </w:p>
        </w:tc>
      </w:tr>
      <w:tr w:rsidR="00BA4790" w:rsidRPr="003B5EE5" w:rsidTr="004C664B">
        <w:trPr>
          <w:cnfStyle w:val="100000000000" w:firstRow="1" w:lastRow="0" w:firstColumn="0" w:lastColumn="0" w:oddVBand="0" w:evenVBand="0" w:oddHBand="0" w:evenHBand="0" w:firstRowFirstColumn="0" w:firstRowLastColumn="0" w:lastRowFirstColumn="0" w:lastRowLastColumn="0"/>
        </w:trPr>
        <w:tc>
          <w:tcPr>
            <w:tcW w:w="3064" w:type="dxa"/>
            <w:tcBorders>
              <w:top w:val="single" w:sz="4" w:space="0" w:color="auto"/>
            </w:tcBorders>
          </w:tcPr>
          <w:p w:rsidR="00BA4790" w:rsidRPr="00BA4790" w:rsidRDefault="00BA4790" w:rsidP="00BA4790">
            <w:pPr>
              <w:keepLines/>
              <w:spacing w:before="40" w:after="40" w:line="200" w:lineRule="atLeast"/>
              <w:rPr>
                <w:rFonts w:asciiTheme="minorHAnsi" w:eastAsia="Times New Roman" w:hAnsiTheme="minorHAnsi"/>
                <w:b w:val="0"/>
                <w:iCs/>
                <w:szCs w:val="17"/>
                <w:lang w:eastAsia="en-US"/>
              </w:rPr>
            </w:pPr>
            <w:r w:rsidRPr="00BA4790">
              <w:rPr>
                <w:rFonts w:asciiTheme="minorHAnsi" w:eastAsia="Times New Roman" w:hAnsiTheme="minorHAnsi"/>
                <w:b w:val="0"/>
                <w:iCs/>
                <w:szCs w:val="17"/>
                <w:lang w:eastAsia="en-US"/>
              </w:rPr>
              <w:t xml:space="preserve">3i Scalability Review </w:t>
            </w:r>
          </w:p>
        </w:tc>
        <w:tc>
          <w:tcPr>
            <w:tcW w:w="4657" w:type="dxa"/>
            <w:tcBorders>
              <w:top w:val="single" w:sz="4" w:space="0" w:color="auto"/>
            </w:tcBorders>
          </w:tcPr>
          <w:p w:rsidR="00BA4790" w:rsidRPr="00BA4790" w:rsidRDefault="00BA4790" w:rsidP="00BA4790">
            <w:pPr>
              <w:keepLines/>
              <w:spacing w:before="40" w:after="40" w:line="200" w:lineRule="atLeast"/>
              <w:rPr>
                <w:rFonts w:asciiTheme="minorHAnsi" w:eastAsia="Times New Roman" w:hAnsiTheme="minorHAnsi"/>
                <w:b w:val="0"/>
                <w:iCs/>
                <w:szCs w:val="17"/>
                <w:lang w:eastAsia="en-US"/>
              </w:rPr>
            </w:pPr>
            <w:r w:rsidRPr="00BA4790">
              <w:rPr>
                <w:rFonts w:asciiTheme="minorHAnsi" w:eastAsia="Times New Roman" w:hAnsiTheme="minorHAnsi"/>
                <w:b w:val="0"/>
                <w:iCs/>
                <w:szCs w:val="17"/>
                <w:lang w:eastAsia="en-US"/>
              </w:rPr>
              <w:t>INL435 Investing in Infrastructure (3i)</w:t>
            </w:r>
          </w:p>
        </w:tc>
        <w:tc>
          <w:tcPr>
            <w:tcW w:w="1397" w:type="dxa"/>
            <w:tcBorders>
              <w:top w:val="single" w:sz="4" w:space="0" w:color="auto"/>
            </w:tcBorders>
          </w:tcPr>
          <w:p w:rsidR="00BA4790" w:rsidRPr="00880004" w:rsidRDefault="00F30723" w:rsidP="00BA479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15 December 2017</w:t>
            </w:r>
          </w:p>
        </w:tc>
        <w:tc>
          <w:tcPr>
            <w:tcW w:w="1953" w:type="dxa"/>
            <w:tcBorders>
              <w:top w:val="single" w:sz="4" w:space="0" w:color="auto"/>
            </w:tcBorders>
          </w:tcPr>
          <w:p w:rsidR="00BA4790" w:rsidRPr="00880004" w:rsidRDefault="00F30723" w:rsidP="00BA479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15 February 2018</w:t>
            </w:r>
          </w:p>
        </w:tc>
        <w:tc>
          <w:tcPr>
            <w:tcW w:w="1671" w:type="dxa"/>
            <w:tcBorders>
              <w:top w:val="single" w:sz="4" w:space="0" w:color="auto"/>
            </w:tcBorders>
          </w:tcPr>
          <w:p w:rsidR="00BA4790" w:rsidRPr="00880004" w:rsidRDefault="00F30723" w:rsidP="00BA479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15 February 2018</w:t>
            </w:r>
          </w:p>
        </w:tc>
        <w:tc>
          <w:tcPr>
            <w:tcW w:w="1515" w:type="dxa"/>
            <w:tcBorders>
              <w:top w:val="single" w:sz="4" w:space="0" w:color="auto"/>
            </w:tcBorders>
          </w:tcPr>
          <w:p w:rsidR="00BA4790" w:rsidRPr="00880004" w:rsidRDefault="00F30723" w:rsidP="00BA479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22 December 2017</w:t>
            </w:r>
          </w:p>
        </w:tc>
      </w:tr>
      <w:tr w:rsidR="00CD3D64" w:rsidRPr="003B5EE5" w:rsidTr="004C664B">
        <w:trPr>
          <w:cnfStyle w:val="100000000000" w:firstRow="1" w:lastRow="0" w:firstColumn="0" w:lastColumn="0" w:oddVBand="0" w:evenVBand="0" w:oddHBand="0" w:evenHBand="0" w:firstRowFirstColumn="0" w:firstRowLastColumn="0" w:lastRowFirstColumn="0" w:lastRowLastColumn="0"/>
        </w:trPr>
        <w:tc>
          <w:tcPr>
            <w:tcW w:w="3064" w:type="dxa"/>
            <w:tcBorders>
              <w:top w:val="single" w:sz="4" w:space="0" w:color="auto"/>
            </w:tcBorders>
          </w:tcPr>
          <w:p w:rsidR="00CD3D64" w:rsidRPr="00BA4790" w:rsidRDefault="00CD3D64" w:rsidP="00BA4790">
            <w:pPr>
              <w:keepLines/>
              <w:spacing w:before="40" w:after="40" w:line="200" w:lineRule="atLeast"/>
              <w:rPr>
                <w:rFonts w:eastAsia="Times New Roman"/>
                <w:iCs/>
                <w:szCs w:val="17"/>
              </w:rPr>
            </w:pPr>
            <w:r w:rsidRPr="00CD3D64">
              <w:rPr>
                <w:rFonts w:asciiTheme="minorHAnsi" w:eastAsia="Times New Roman" w:hAnsiTheme="minorHAnsi"/>
                <w:b w:val="0"/>
                <w:iCs/>
                <w:szCs w:val="17"/>
                <w:lang w:eastAsia="en-US"/>
              </w:rPr>
              <w:t>n/a</w:t>
            </w:r>
          </w:p>
        </w:tc>
        <w:tc>
          <w:tcPr>
            <w:tcW w:w="4657" w:type="dxa"/>
            <w:tcBorders>
              <w:top w:val="single" w:sz="4" w:space="0" w:color="auto"/>
            </w:tcBorders>
          </w:tcPr>
          <w:p w:rsidR="00CD3D64" w:rsidRPr="00BA4790" w:rsidRDefault="00CD3D64" w:rsidP="00BA4790">
            <w:pPr>
              <w:keepLines/>
              <w:spacing w:before="40" w:after="40" w:line="200" w:lineRule="atLeast"/>
              <w:rPr>
                <w:rFonts w:eastAsia="Times New Roman"/>
                <w:iCs/>
                <w:szCs w:val="17"/>
              </w:rPr>
            </w:pPr>
            <w:r w:rsidRPr="00CD3D64">
              <w:rPr>
                <w:rFonts w:asciiTheme="minorHAnsi" w:eastAsia="Times New Roman" w:hAnsiTheme="minorHAnsi"/>
                <w:b w:val="0"/>
                <w:iCs/>
                <w:szCs w:val="17"/>
                <w:lang w:eastAsia="en-US"/>
              </w:rPr>
              <w:t>Supporting Effective Governance in Cambodia</w:t>
            </w:r>
          </w:p>
        </w:tc>
        <w:tc>
          <w:tcPr>
            <w:tcW w:w="1397" w:type="dxa"/>
            <w:tcBorders>
              <w:top w:val="single" w:sz="4" w:space="0" w:color="auto"/>
            </w:tcBorders>
          </w:tcPr>
          <w:p w:rsidR="00CD3D64" w:rsidRPr="00886068" w:rsidRDefault="00CD3D64" w:rsidP="00BA4790">
            <w:pPr>
              <w:keepLines/>
              <w:spacing w:before="40" w:after="40" w:line="200" w:lineRule="atLeast"/>
              <w:rPr>
                <w:rFonts w:eastAsia="Times New Roman"/>
                <w:iCs/>
                <w:szCs w:val="17"/>
              </w:rPr>
            </w:pPr>
            <w:r w:rsidRPr="00CD3D64">
              <w:rPr>
                <w:rFonts w:asciiTheme="minorHAnsi" w:eastAsia="Times New Roman" w:hAnsiTheme="minorHAnsi"/>
                <w:b w:val="0"/>
                <w:iCs/>
                <w:szCs w:val="17"/>
                <w:lang w:eastAsia="en-US"/>
              </w:rPr>
              <w:t>May 2018</w:t>
            </w:r>
          </w:p>
        </w:tc>
        <w:tc>
          <w:tcPr>
            <w:tcW w:w="1953" w:type="dxa"/>
            <w:tcBorders>
              <w:top w:val="single" w:sz="4" w:space="0" w:color="auto"/>
            </w:tcBorders>
          </w:tcPr>
          <w:p w:rsidR="00CD3D64" w:rsidRPr="00CD3D64" w:rsidRDefault="008409B1" w:rsidP="00BA479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n/a</w:t>
            </w:r>
          </w:p>
        </w:tc>
        <w:tc>
          <w:tcPr>
            <w:tcW w:w="1671" w:type="dxa"/>
            <w:tcBorders>
              <w:top w:val="single" w:sz="4" w:space="0" w:color="auto"/>
            </w:tcBorders>
          </w:tcPr>
          <w:p w:rsidR="00CD3D64" w:rsidRPr="00CD3D64" w:rsidRDefault="00CD3D64" w:rsidP="00BA479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n/a</w:t>
            </w:r>
          </w:p>
        </w:tc>
        <w:tc>
          <w:tcPr>
            <w:tcW w:w="1515" w:type="dxa"/>
            <w:tcBorders>
              <w:top w:val="single" w:sz="4" w:space="0" w:color="auto"/>
            </w:tcBorders>
          </w:tcPr>
          <w:p w:rsidR="00CD3D64" w:rsidRPr="00CD3D64" w:rsidRDefault="00F74E27" w:rsidP="00BA479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no</w:t>
            </w:r>
          </w:p>
        </w:tc>
      </w:tr>
      <w:tr w:rsidR="00BA4790" w:rsidRPr="003B5EE5" w:rsidTr="004C664B">
        <w:trPr>
          <w:cnfStyle w:val="100000000000" w:firstRow="1" w:lastRow="0" w:firstColumn="0" w:lastColumn="0" w:oddVBand="0" w:evenVBand="0" w:oddHBand="0" w:evenHBand="0" w:firstRowFirstColumn="0" w:firstRowLastColumn="0" w:lastRowFirstColumn="0" w:lastRowLastColumn="0"/>
        </w:trPr>
        <w:tc>
          <w:tcPr>
            <w:tcW w:w="3064" w:type="dxa"/>
            <w:tcBorders>
              <w:top w:val="single" w:sz="4" w:space="0" w:color="auto"/>
            </w:tcBorders>
          </w:tcPr>
          <w:p w:rsidR="00BA4790" w:rsidRPr="00BA4790" w:rsidRDefault="00BA4790" w:rsidP="00F74E27">
            <w:pPr>
              <w:keepLines/>
              <w:spacing w:before="40" w:after="40" w:line="200" w:lineRule="atLeast"/>
              <w:rPr>
                <w:rFonts w:asciiTheme="minorHAnsi" w:eastAsia="Times New Roman" w:hAnsiTheme="minorHAnsi"/>
                <w:b w:val="0"/>
                <w:iCs/>
                <w:szCs w:val="17"/>
                <w:lang w:eastAsia="en-US"/>
              </w:rPr>
            </w:pPr>
          </w:p>
        </w:tc>
        <w:tc>
          <w:tcPr>
            <w:tcW w:w="4657" w:type="dxa"/>
            <w:tcBorders>
              <w:top w:val="single" w:sz="4" w:space="0" w:color="auto"/>
            </w:tcBorders>
          </w:tcPr>
          <w:p w:rsidR="00BA4790" w:rsidRPr="00BA4790" w:rsidRDefault="00BA4790" w:rsidP="00BA4790">
            <w:pPr>
              <w:keepLines/>
              <w:spacing w:before="40" w:after="40" w:line="200" w:lineRule="atLeast"/>
              <w:rPr>
                <w:rFonts w:asciiTheme="minorHAnsi" w:eastAsia="Times New Roman" w:hAnsiTheme="minorHAnsi"/>
                <w:b w:val="0"/>
                <w:iCs/>
                <w:szCs w:val="17"/>
                <w:lang w:eastAsia="en-US"/>
              </w:rPr>
            </w:pPr>
          </w:p>
        </w:tc>
        <w:tc>
          <w:tcPr>
            <w:tcW w:w="1397" w:type="dxa"/>
            <w:tcBorders>
              <w:top w:val="single" w:sz="4" w:space="0" w:color="auto"/>
            </w:tcBorders>
          </w:tcPr>
          <w:p w:rsidR="00BA4790" w:rsidRPr="00886068" w:rsidRDefault="00BA4790" w:rsidP="00BA4790">
            <w:pPr>
              <w:keepLines/>
              <w:spacing w:before="40" w:after="40" w:line="200" w:lineRule="atLeast"/>
              <w:rPr>
                <w:rFonts w:asciiTheme="minorHAnsi" w:eastAsia="Times New Roman" w:hAnsiTheme="minorHAnsi"/>
                <w:b w:val="0"/>
                <w:iCs/>
                <w:szCs w:val="17"/>
                <w:lang w:eastAsia="en-US"/>
              </w:rPr>
            </w:pPr>
          </w:p>
        </w:tc>
        <w:tc>
          <w:tcPr>
            <w:tcW w:w="1953" w:type="dxa"/>
            <w:tcBorders>
              <w:top w:val="single" w:sz="4" w:space="0" w:color="auto"/>
            </w:tcBorders>
          </w:tcPr>
          <w:p w:rsidR="00BA4790" w:rsidRPr="00886068" w:rsidRDefault="00BA4790" w:rsidP="00BA4790">
            <w:pPr>
              <w:keepLines/>
              <w:spacing w:before="40" w:after="40" w:line="200" w:lineRule="atLeast"/>
              <w:rPr>
                <w:rFonts w:asciiTheme="minorHAnsi" w:eastAsia="Times New Roman" w:hAnsiTheme="minorHAnsi"/>
                <w:b w:val="0"/>
                <w:iCs/>
                <w:szCs w:val="17"/>
                <w:lang w:eastAsia="en-US"/>
              </w:rPr>
            </w:pPr>
          </w:p>
        </w:tc>
        <w:tc>
          <w:tcPr>
            <w:tcW w:w="1671" w:type="dxa"/>
            <w:tcBorders>
              <w:top w:val="single" w:sz="4" w:space="0" w:color="auto"/>
            </w:tcBorders>
          </w:tcPr>
          <w:p w:rsidR="00BA4790" w:rsidRPr="00886068" w:rsidRDefault="00BA4790" w:rsidP="00BA4790">
            <w:pPr>
              <w:keepLines/>
              <w:spacing w:before="40" w:after="40" w:line="200" w:lineRule="atLeast"/>
              <w:rPr>
                <w:rFonts w:asciiTheme="minorHAnsi" w:eastAsia="Times New Roman" w:hAnsiTheme="minorHAnsi"/>
                <w:b w:val="0"/>
                <w:iCs/>
                <w:szCs w:val="17"/>
                <w:lang w:eastAsia="en-US"/>
              </w:rPr>
            </w:pPr>
          </w:p>
        </w:tc>
        <w:tc>
          <w:tcPr>
            <w:tcW w:w="1515" w:type="dxa"/>
            <w:tcBorders>
              <w:top w:val="single" w:sz="4" w:space="0" w:color="auto"/>
            </w:tcBorders>
          </w:tcPr>
          <w:p w:rsidR="00BA4790" w:rsidRPr="00886068" w:rsidRDefault="00BA4790" w:rsidP="00BA4790">
            <w:pPr>
              <w:keepLines/>
              <w:spacing w:before="40" w:after="40" w:line="200" w:lineRule="atLeast"/>
              <w:rPr>
                <w:rFonts w:asciiTheme="minorHAnsi" w:eastAsia="Times New Roman" w:hAnsiTheme="minorHAnsi"/>
                <w:b w:val="0"/>
                <w:iCs/>
                <w:szCs w:val="17"/>
                <w:lang w:eastAsia="en-US"/>
              </w:rPr>
            </w:pPr>
          </w:p>
        </w:tc>
      </w:tr>
    </w:tbl>
    <w:p w:rsidR="008C2F58" w:rsidRDefault="008C2F58" w:rsidP="008C2F58">
      <w:pPr>
        <w:rPr>
          <w:b/>
          <w:sz w:val="24"/>
        </w:rPr>
      </w:pPr>
    </w:p>
    <w:p w:rsidR="00400B0F" w:rsidRPr="008C2F58" w:rsidRDefault="00400B0F" w:rsidP="008C2F58">
      <w:pPr>
        <w:rPr>
          <w:b/>
          <w:sz w:val="24"/>
        </w:rPr>
      </w:pPr>
      <w:r w:rsidRPr="008C2F58">
        <w:rPr>
          <w:b/>
          <w:sz w:val="24"/>
        </w:rPr>
        <w:t xml:space="preserve">List of program prioritised evaluations planned for the next 12 months </w:t>
      </w:r>
    </w:p>
    <w:tbl>
      <w:tblPr>
        <w:tblStyle w:val="APPR"/>
        <w:tblW w:w="0" w:type="auto"/>
        <w:tblLook w:val="0600" w:firstRow="0" w:lastRow="0" w:firstColumn="0" w:lastColumn="0" w:noHBand="1" w:noVBand="1"/>
      </w:tblPr>
      <w:tblGrid>
        <w:gridCol w:w="2454"/>
        <w:gridCol w:w="2366"/>
        <w:gridCol w:w="2436"/>
        <w:gridCol w:w="2205"/>
        <w:gridCol w:w="2352"/>
        <w:gridCol w:w="2360"/>
      </w:tblGrid>
      <w:tr w:rsidR="00400B0F" w:rsidRPr="00C61187" w:rsidTr="00F30723">
        <w:tc>
          <w:tcPr>
            <w:tcW w:w="2412" w:type="dxa"/>
            <w:tcBorders>
              <w:top w:val="single" w:sz="12" w:space="0" w:color="000000" w:themeColor="text1"/>
              <w:bottom w:val="single" w:sz="4" w:space="0" w:color="auto"/>
            </w:tcBorders>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Evaluation title</w:t>
            </w:r>
          </w:p>
        </w:tc>
        <w:tc>
          <w:tcPr>
            <w:tcW w:w="2338" w:type="dxa"/>
            <w:tcBorders>
              <w:top w:val="single" w:sz="12" w:space="0" w:color="000000" w:themeColor="text1"/>
              <w:bottom w:val="single" w:sz="4" w:space="0" w:color="auto"/>
            </w:tcBorders>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 xml:space="preserve">Investment number and name (if applicable) </w:t>
            </w:r>
          </w:p>
        </w:tc>
        <w:tc>
          <w:tcPr>
            <w:tcW w:w="2408" w:type="dxa"/>
            <w:tcBorders>
              <w:top w:val="single" w:sz="12" w:space="0" w:color="000000" w:themeColor="text1"/>
              <w:bottom w:val="single" w:sz="4" w:space="0" w:color="auto"/>
            </w:tcBorders>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Date – planned commencement (month/year)</w:t>
            </w:r>
          </w:p>
        </w:tc>
        <w:tc>
          <w:tcPr>
            <w:tcW w:w="2177" w:type="dxa"/>
            <w:tcBorders>
              <w:top w:val="single" w:sz="12" w:space="0" w:color="000000" w:themeColor="text1"/>
              <w:bottom w:val="single" w:sz="4" w:space="0" w:color="auto"/>
            </w:tcBorders>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Date – planned completion (month/year)</w:t>
            </w:r>
          </w:p>
        </w:tc>
        <w:tc>
          <w:tcPr>
            <w:tcW w:w="2324" w:type="dxa"/>
            <w:tcBorders>
              <w:top w:val="single" w:sz="12" w:space="0" w:color="000000" w:themeColor="text1"/>
              <w:bottom w:val="single" w:sz="4" w:space="0" w:color="auto"/>
            </w:tcBorders>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Purpose of evaluation</w:t>
            </w:r>
          </w:p>
        </w:tc>
        <w:tc>
          <w:tcPr>
            <w:tcW w:w="2318" w:type="dxa"/>
            <w:tcBorders>
              <w:top w:val="single" w:sz="12" w:space="0" w:color="000000" w:themeColor="text1"/>
              <w:bottom w:val="single" w:sz="4" w:space="0" w:color="auto"/>
            </w:tcBorders>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Evaluation type</w:t>
            </w:r>
          </w:p>
        </w:tc>
      </w:tr>
      <w:tr w:rsidR="00400B0F" w:rsidRPr="00C61187" w:rsidTr="00F30723">
        <w:tc>
          <w:tcPr>
            <w:tcW w:w="2412" w:type="dxa"/>
            <w:tcBorders>
              <w:top w:val="nil"/>
              <w:bottom w:val="single" w:sz="4" w:space="0" w:color="auto"/>
            </w:tcBorders>
          </w:tcPr>
          <w:p w:rsidR="00E06FCF" w:rsidRDefault="00E06FCF" w:rsidP="00E06FCF">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Rural Road Improvement Mid-term Review</w:t>
            </w:r>
          </w:p>
          <w:p w:rsidR="00400B0F" w:rsidRPr="00880004" w:rsidRDefault="00400B0F" w:rsidP="000D6533">
            <w:pPr>
              <w:keepLines/>
              <w:spacing w:before="40" w:after="40" w:line="200" w:lineRule="atLeast"/>
              <w:rPr>
                <w:rFonts w:asciiTheme="minorHAnsi" w:eastAsia="Times New Roman" w:hAnsiTheme="minorHAnsi"/>
                <w:iCs/>
                <w:szCs w:val="17"/>
                <w:lang w:eastAsia="en-US"/>
              </w:rPr>
            </w:pPr>
          </w:p>
        </w:tc>
        <w:tc>
          <w:tcPr>
            <w:tcW w:w="2338" w:type="dxa"/>
            <w:tcBorders>
              <w:top w:val="nil"/>
              <w:bottom w:val="single" w:sz="4" w:space="0" w:color="auto"/>
            </w:tcBorders>
          </w:tcPr>
          <w:p w:rsidR="00E06FCF" w:rsidRPr="00871267" w:rsidRDefault="00E06FCF" w:rsidP="00E06FCF">
            <w:pPr>
              <w:keepLines/>
              <w:spacing w:before="40" w:after="40" w:line="200" w:lineRule="atLeast"/>
              <w:rPr>
                <w:rFonts w:asciiTheme="minorHAnsi" w:eastAsia="Times New Roman" w:hAnsiTheme="minorHAnsi"/>
                <w:iCs/>
                <w:szCs w:val="17"/>
                <w:lang w:eastAsia="en-US"/>
              </w:rPr>
            </w:pPr>
            <w:r w:rsidRPr="00871267">
              <w:rPr>
                <w:rFonts w:asciiTheme="minorHAnsi" w:eastAsia="Times New Roman" w:hAnsiTheme="minorHAnsi"/>
                <w:iCs/>
                <w:szCs w:val="17"/>
                <w:lang w:eastAsia="en-US"/>
              </w:rPr>
              <w:t xml:space="preserve">INL044 </w:t>
            </w:r>
          </w:p>
          <w:p w:rsidR="00400B0F" w:rsidRPr="00880004" w:rsidRDefault="00E06FCF" w:rsidP="006F27B1">
            <w:pPr>
              <w:keepLines/>
              <w:spacing w:before="40" w:after="40" w:line="200" w:lineRule="atLeast"/>
              <w:rPr>
                <w:rFonts w:asciiTheme="minorHAnsi" w:eastAsia="Times New Roman" w:hAnsiTheme="minorHAnsi"/>
                <w:iCs/>
                <w:szCs w:val="17"/>
                <w:lang w:eastAsia="en-US"/>
              </w:rPr>
            </w:pPr>
            <w:r w:rsidRPr="00871267">
              <w:rPr>
                <w:rFonts w:asciiTheme="minorHAnsi" w:eastAsia="Times New Roman" w:hAnsiTheme="minorHAnsi"/>
                <w:iCs/>
                <w:szCs w:val="17"/>
                <w:lang w:eastAsia="en-US"/>
              </w:rPr>
              <w:t>Rural Road Improvement Project Phase II ( Name in Aid</w:t>
            </w:r>
            <w:r w:rsidR="00DE5DB5">
              <w:rPr>
                <w:rFonts w:asciiTheme="minorHAnsi" w:eastAsia="Times New Roman" w:hAnsiTheme="minorHAnsi"/>
                <w:iCs/>
                <w:szCs w:val="17"/>
                <w:lang w:eastAsia="en-US"/>
              </w:rPr>
              <w:t>W</w:t>
            </w:r>
            <w:r w:rsidRPr="00871267">
              <w:rPr>
                <w:rFonts w:asciiTheme="minorHAnsi" w:eastAsia="Times New Roman" w:hAnsiTheme="minorHAnsi"/>
                <w:iCs/>
                <w:szCs w:val="17"/>
                <w:lang w:eastAsia="en-US"/>
              </w:rPr>
              <w:t>orks- Cambodia Infrastructure Investment)</w:t>
            </w:r>
          </w:p>
        </w:tc>
        <w:tc>
          <w:tcPr>
            <w:tcW w:w="2408" w:type="dxa"/>
            <w:tcBorders>
              <w:top w:val="nil"/>
              <w:bottom w:val="single" w:sz="4" w:space="0" w:color="auto"/>
            </w:tcBorders>
          </w:tcPr>
          <w:p w:rsidR="00E06FCF" w:rsidRDefault="00E06FCF" w:rsidP="00E06FCF">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October/ November 2018</w:t>
            </w:r>
          </w:p>
          <w:p w:rsidR="00400B0F" w:rsidRPr="00880004" w:rsidRDefault="00400B0F" w:rsidP="006F27B1">
            <w:pPr>
              <w:keepLines/>
              <w:spacing w:before="40" w:after="40" w:line="200" w:lineRule="atLeast"/>
              <w:rPr>
                <w:rFonts w:asciiTheme="minorHAnsi" w:eastAsia="Times New Roman" w:hAnsiTheme="minorHAnsi"/>
                <w:iCs/>
                <w:szCs w:val="17"/>
                <w:lang w:eastAsia="en-US"/>
              </w:rPr>
            </w:pPr>
          </w:p>
        </w:tc>
        <w:tc>
          <w:tcPr>
            <w:tcW w:w="2177" w:type="dxa"/>
            <w:tcBorders>
              <w:top w:val="nil"/>
              <w:bottom w:val="single" w:sz="4" w:space="0" w:color="auto"/>
            </w:tcBorders>
          </w:tcPr>
          <w:p w:rsidR="00400B0F" w:rsidRPr="00880004" w:rsidRDefault="00E06FCF"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November/ December 2018</w:t>
            </w:r>
          </w:p>
        </w:tc>
        <w:tc>
          <w:tcPr>
            <w:tcW w:w="2324" w:type="dxa"/>
            <w:tcBorders>
              <w:top w:val="nil"/>
              <w:bottom w:val="single" w:sz="4" w:space="0" w:color="auto"/>
            </w:tcBorders>
          </w:tcPr>
          <w:p w:rsidR="00E06FCF" w:rsidRPr="00871267" w:rsidRDefault="00E06FCF" w:rsidP="00E06FCF">
            <w:pPr>
              <w:keepLines/>
              <w:spacing w:before="40" w:after="40" w:line="200" w:lineRule="atLeast"/>
              <w:rPr>
                <w:rFonts w:asciiTheme="minorHAnsi" w:eastAsia="Times New Roman" w:hAnsiTheme="minorHAnsi"/>
                <w:iCs/>
                <w:szCs w:val="17"/>
                <w:lang w:eastAsia="en-US"/>
              </w:rPr>
            </w:pPr>
            <w:r w:rsidRPr="00871267">
              <w:rPr>
                <w:rFonts w:asciiTheme="minorHAnsi" w:eastAsia="Times New Roman" w:hAnsiTheme="minorHAnsi"/>
                <w:iCs/>
                <w:szCs w:val="17"/>
                <w:lang w:eastAsia="en-US"/>
              </w:rPr>
              <w:t xml:space="preserve">Reviewing Progress Results </w:t>
            </w:r>
          </w:p>
          <w:p w:rsidR="00E06FCF" w:rsidRPr="00871267" w:rsidRDefault="00E06FCF" w:rsidP="00E06FCF">
            <w:pPr>
              <w:keepLines/>
              <w:spacing w:before="40" w:after="40" w:line="200" w:lineRule="atLeast"/>
              <w:rPr>
                <w:rFonts w:asciiTheme="minorHAnsi" w:eastAsia="Times New Roman" w:hAnsiTheme="minorHAnsi"/>
                <w:iCs/>
                <w:szCs w:val="17"/>
                <w:lang w:eastAsia="en-US"/>
              </w:rPr>
            </w:pPr>
            <w:r w:rsidRPr="00871267">
              <w:rPr>
                <w:rFonts w:asciiTheme="minorHAnsi" w:eastAsia="Times New Roman" w:hAnsiTheme="minorHAnsi"/>
                <w:iCs/>
                <w:szCs w:val="17"/>
                <w:lang w:eastAsia="en-US"/>
              </w:rPr>
              <w:t xml:space="preserve">Verifying Performance </w:t>
            </w:r>
          </w:p>
          <w:p w:rsidR="00400B0F" w:rsidRPr="00E06FCF" w:rsidRDefault="00E06FCF" w:rsidP="006F27B1">
            <w:pPr>
              <w:keepLines/>
              <w:spacing w:before="40" w:after="40" w:line="200" w:lineRule="atLeast"/>
              <w:rPr>
                <w:rFonts w:asciiTheme="minorHAnsi" w:eastAsia="Times New Roman" w:hAnsiTheme="minorHAnsi"/>
                <w:iCs/>
                <w:szCs w:val="17"/>
                <w:lang w:eastAsia="en-US"/>
              </w:rPr>
            </w:pPr>
            <w:r w:rsidRPr="00871267">
              <w:rPr>
                <w:rFonts w:asciiTheme="minorHAnsi" w:eastAsia="Times New Roman" w:hAnsiTheme="minorHAnsi"/>
                <w:iCs/>
                <w:szCs w:val="17"/>
                <w:lang w:eastAsia="en-US"/>
              </w:rPr>
              <w:t>Drawing lesson learned and recommendations where necessary project scope can be adjusted</w:t>
            </w:r>
          </w:p>
        </w:tc>
        <w:tc>
          <w:tcPr>
            <w:tcW w:w="2318" w:type="dxa"/>
            <w:tcBorders>
              <w:top w:val="nil"/>
              <w:bottom w:val="single" w:sz="4" w:space="0" w:color="auto"/>
            </w:tcBorders>
          </w:tcPr>
          <w:p w:rsidR="00E06FCF" w:rsidRDefault="00E06FCF" w:rsidP="00E06FCF">
            <w:pPr>
              <w:keepLines/>
              <w:spacing w:before="40" w:after="40" w:line="200" w:lineRule="atLeast"/>
              <w:rPr>
                <w:rFonts w:asciiTheme="minorHAnsi" w:eastAsia="Times New Roman" w:hAnsiTheme="minorHAnsi"/>
                <w:iCs/>
                <w:szCs w:val="17"/>
                <w:lang w:eastAsia="en-US"/>
              </w:rPr>
            </w:pPr>
            <w:r w:rsidRPr="00871267">
              <w:rPr>
                <w:rFonts w:asciiTheme="minorHAnsi" w:eastAsia="Times New Roman" w:hAnsiTheme="minorHAnsi"/>
                <w:iCs/>
                <w:szCs w:val="17"/>
                <w:lang w:eastAsia="en-US"/>
              </w:rPr>
              <w:t>Led by Asian Development Bank</w:t>
            </w:r>
          </w:p>
          <w:p w:rsidR="00400B0F" w:rsidRPr="00880004" w:rsidRDefault="00400B0F" w:rsidP="00E06FCF">
            <w:pPr>
              <w:keepLines/>
              <w:spacing w:before="40" w:after="40" w:line="200" w:lineRule="atLeast"/>
              <w:rPr>
                <w:rFonts w:asciiTheme="minorHAnsi" w:eastAsia="Times New Roman" w:hAnsiTheme="minorHAnsi"/>
                <w:iCs/>
                <w:szCs w:val="17"/>
                <w:lang w:eastAsia="en-US"/>
              </w:rPr>
            </w:pPr>
          </w:p>
        </w:tc>
      </w:tr>
      <w:tr w:rsidR="004C664B" w:rsidRPr="00C61187" w:rsidTr="00F30723">
        <w:tc>
          <w:tcPr>
            <w:tcW w:w="2412" w:type="dxa"/>
            <w:tcBorders>
              <w:top w:val="nil"/>
              <w:bottom w:val="single" w:sz="4" w:space="0" w:color="auto"/>
            </w:tcBorders>
          </w:tcPr>
          <w:p w:rsidR="00E06FCF" w:rsidRDefault="00E06FCF" w:rsidP="006F27B1">
            <w:pPr>
              <w:keepLines/>
              <w:spacing w:before="40" w:after="40" w:line="200" w:lineRule="atLeast"/>
              <w:rPr>
                <w:rFonts w:asciiTheme="minorHAnsi" w:eastAsia="Times New Roman" w:hAnsiTheme="minorHAnsi"/>
                <w:iCs/>
                <w:szCs w:val="17"/>
                <w:lang w:eastAsia="en-US"/>
              </w:rPr>
            </w:pPr>
            <w:r w:rsidRPr="000D6533">
              <w:rPr>
                <w:rFonts w:asciiTheme="minorHAnsi" w:eastAsia="Times New Roman" w:hAnsiTheme="minorHAnsi"/>
                <w:iCs/>
                <w:szCs w:val="17"/>
                <w:lang w:eastAsia="en-US"/>
              </w:rPr>
              <w:t xml:space="preserve">CAVAC Phase II Mid-term </w:t>
            </w:r>
            <w:r>
              <w:rPr>
                <w:rFonts w:asciiTheme="minorHAnsi" w:eastAsia="Times New Roman" w:hAnsiTheme="minorHAnsi"/>
                <w:iCs/>
                <w:szCs w:val="17"/>
                <w:lang w:eastAsia="en-US"/>
              </w:rPr>
              <w:t>Review</w:t>
            </w:r>
          </w:p>
          <w:p w:rsidR="00E06FCF" w:rsidRPr="00871267" w:rsidRDefault="00E06FCF" w:rsidP="006F27B1">
            <w:pPr>
              <w:keepLines/>
              <w:spacing w:before="40" w:after="40" w:line="200" w:lineRule="atLeast"/>
              <w:rPr>
                <w:rFonts w:asciiTheme="minorHAnsi" w:eastAsia="Times New Roman" w:hAnsiTheme="minorHAnsi"/>
                <w:iCs/>
                <w:szCs w:val="17"/>
                <w:lang w:eastAsia="en-US"/>
              </w:rPr>
            </w:pPr>
          </w:p>
        </w:tc>
        <w:tc>
          <w:tcPr>
            <w:tcW w:w="2338" w:type="dxa"/>
            <w:tcBorders>
              <w:top w:val="nil"/>
              <w:bottom w:val="single" w:sz="4" w:space="0" w:color="auto"/>
            </w:tcBorders>
          </w:tcPr>
          <w:p w:rsidR="00E06FCF" w:rsidRPr="00871267" w:rsidRDefault="00E06FCF" w:rsidP="00F30723">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INL089 Cambodia Agriculture Value Change Program</w:t>
            </w:r>
          </w:p>
        </w:tc>
        <w:tc>
          <w:tcPr>
            <w:tcW w:w="2408" w:type="dxa"/>
            <w:tcBorders>
              <w:top w:val="nil"/>
              <w:bottom w:val="single" w:sz="4" w:space="0" w:color="auto"/>
            </w:tcBorders>
          </w:tcPr>
          <w:p w:rsidR="00E06FCF" w:rsidRPr="00871267" w:rsidRDefault="00E06FCF"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February 2019</w:t>
            </w:r>
          </w:p>
        </w:tc>
        <w:tc>
          <w:tcPr>
            <w:tcW w:w="2177" w:type="dxa"/>
            <w:tcBorders>
              <w:top w:val="nil"/>
              <w:bottom w:val="single" w:sz="4" w:space="0" w:color="auto"/>
            </w:tcBorders>
          </w:tcPr>
          <w:p w:rsidR="00E06FCF" w:rsidRPr="00871267" w:rsidRDefault="00E06FCF"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May 2019</w:t>
            </w:r>
          </w:p>
        </w:tc>
        <w:tc>
          <w:tcPr>
            <w:tcW w:w="2324" w:type="dxa"/>
            <w:tcBorders>
              <w:top w:val="nil"/>
              <w:bottom w:val="single" w:sz="4" w:space="0" w:color="auto"/>
            </w:tcBorders>
          </w:tcPr>
          <w:p w:rsidR="00E06FCF" w:rsidRPr="00871267" w:rsidRDefault="00E06FCF" w:rsidP="00F30723">
            <w:pPr>
              <w:keepLines/>
              <w:spacing w:before="40" w:after="40" w:line="200" w:lineRule="atLeast"/>
              <w:rPr>
                <w:rFonts w:asciiTheme="minorHAnsi" w:eastAsia="Times New Roman" w:hAnsiTheme="minorHAnsi"/>
                <w:iCs/>
                <w:szCs w:val="17"/>
                <w:lang w:eastAsia="en-US"/>
              </w:rPr>
            </w:pPr>
            <w:r w:rsidRPr="000A79B7">
              <w:rPr>
                <w:rFonts w:asciiTheme="minorHAnsi" w:eastAsia="Times New Roman" w:hAnsiTheme="minorHAnsi"/>
                <w:bCs/>
                <w:iCs/>
                <w:szCs w:val="17"/>
                <w:lang w:eastAsia="en-US"/>
              </w:rPr>
              <w:t>Improve existing investment, with a focus on policy dialogue and strategic influence</w:t>
            </w:r>
          </w:p>
        </w:tc>
        <w:tc>
          <w:tcPr>
            <w:tcW w:w="2318" w:type="dxa"/>
            <w:tcBorders>
              <w:top w:val="nil"/>
              <w:bottom w:val="single" w:sz="4" w:space="0" w:color="auto"/>
            </w:tcBorders>
          </w:tcPr>
          <w:p w:rsidR="00E06FCF" w:rsidRPr="000A79B7" w:rsidRDefault="00E06FCF" w:rsidP="00E06FCF">
            <w:pPr>
              <w:keepLines/>
              <w:spacing w:before="40" w:after="40" w:line="200" w:lineRule="atLeast"/>
              <w:rPr>
                <w:rFonts w:asciiTheme="minorHAnsi" w:eastAsia="Times New Roman" w:hAnsiTheme="minorHAnsi"/>
                <w:bCs/>
                <w:iCs/>
                <w:szCs w:val="17"/>
                <w:lang w:eastAsia="en-US"/>
              </w:rPr>
            </w:pPr>
            <w:r w:rsidRPr="000A79B7">
              <w:rPr>
                <w:rFonts w:asciiTheme="minorHAnsi" w:eastAsia="Times New Roman" w:hAnsiTheme="minorHAnsi"/>
                <w:bCs/>
                <w:iCs/>
                <w:szCs w:val="17"/>
                <w:lang w:eastAsia="en-US"/>
              </w:rPr>
              <w:t>DFAT led (includes consultants engaged by DFAT)</w:t>
            </w:r>
          </w:p>
          <w:p w:rsidR="004C664B" w:rsidRPr="00871267" w:rsidRDefault="004C664B" w:rsidP="006F27B1">
            <w:pPr>
              <w:keepLines/>
              <w:spacing w:before="40" w:after="40" w:line="200" w:lineRule="atLeast"/>
              <w:rPr>
                <w:rFonts w:asciiTheme="minorHAnsi" w:eastAsia="Times New Roman" w:hAnsiTheme="minorHAnsi"/>
                <w:iCs/>
                <w:szCs w:val="17"/>
                <w:lang w:eastAsia="en-US"/>
              </w:rPr>
            </w:pPr>
          </w:p>
        </w:tc>
      </w:tr>
      <w:tr w:rsidR="00F30723" w:rsidRPr="00C61187" w:rsidTr="00F30723">
        <w:tc>
          <w:tcPr>
            <w:tcW w:w="2412" w:type="dxa"/>
          </w:tcPr>
          <w:p w:rsidR="00F30723" w:rsidRPr="00871267" w:rsidRDefault="001510E4" w:rsidP="00F30723">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H-EQIP</w:t>
            </w:r>
            <w:r w:rsidR="00F30723" w:rsidRPr="00871267">
              <w:rPr>
                <w:rFonts w:asciiTheme="minorHAnsi" w:eastAsia="Times New Roman" w:hAnsiTheme="minorHAnsi"/>
                <w:iCs/>
                <w:szCs w:val="17"/>
                <w:lang w:eastAsia="en-US"/>
              </w:rPr>
              <w:t xml:space="preserve"> Mid-term Review</w:t>
            </w:r>
          </w:p>
        </w:tc>
        <w:tc>
          <w:tcPr>
            <w:tcW w:w="2338" w:type="dxa"/>
          </w:tcPr>
          <w:p w:rsidR="00F30723" w:rsidRPr="00871267" w:rsidRDefault="00F30723" w:rsidP="00F30723">
            <w:pPr>
              <w:keepLines/>
              <w:spacing w:before="40" w:after="40" w:line="200" w:lineRule="atLeast"/>
              <w:rPr>
                <w:rFonts w:asciiTheme="minorHAnsi" w:eastAsia="Times New Roman" w:hAnsiTheme="minorHAnsi"/>
                <w:iCs/>
                <w:szCs w:val="17"/>
                <w:lang w:eastAsia="en-US"/>
              </w:rPr>
            </w:pPr>
            <w:r w:rsidRPr="00871267">
              <w:rPr>
                <w:rFonts w:asciiTheme="minorHAnsi" w:eastAsia="Times New Roman" w:hAnsiTheme="minorHAnsi"/>
                <w:iCs/>
                <w:szCs w:val="17"/>
                <w:lang w:eastAsia="en-US"/>
              </w:rPr>
              <w:t>INL968</w:t>
            </w:r>
          </w:p>
          <w:p w:rsidR="00F30723" w:rsidRPr="00871267" w:rsidRDefault="00F30723" w:rsidP="00F30723">
            <w:pPr>
              <w:keepLines/>
              <w:spacing w:before="40" w:after="40" w:line="200" w:lineRule="atLeast"/>
              <w:rPr>
                <w:rFonts w:asciiTheme="minorHAnsi" w:eastAsia="Times New Roman" w:hAnsiTheme="minorHAnsi"/>
                <w:iCs/>
                <w:szCs w:val="17"/>
                <w:lang w:eastAsia="en-US"/>
              </w:rPr>
            </w:pPr>
            <w:r w:rsidRPr="00871267">
              <w:rPr>
                <w:rFonts w:asciiTheme="minorHAnsi" w:eastAsia="Times New Roman" w:hAnsiTheme="minorHAnsi"/>
                <w:iCs/>
                <w:szCs w:val="17"/>
                <w:lang w:eastAsia="en-US"/>
              </w:rPr>
              <w:t>Health Equity and Quality Improvement Program</w:t>
            </w:r>
          </w:p>
        </w:tc>
        <w:tc>
          <w:tcPr>
            <w:tcW w:w="2408" w:type="dxa"/>
          </w:tcPr>
          <w:p w:rsidR="00F30723" w:rsidRPr="00871267" w:rsidRDefault="00F30723" w:rsidP="00F30723">
            <w:pPr>
              <w:keepLines/>
              <w:spacing w:before="40" w:after="40" w:line="200" w:lineRule="atLeast"/>
              <w:rPr>
                <w:rFonts w:asciiTheme="minorHAnsi" w:eastAsia="Times New Roman" w:hAnsiTheme="minorHAnsi"/>
                <w:iCs/>
                <w:szCs w:val="17"/>
                <w:lang w:eastAsia="en-US"/>
              </w:rPr>
            </w:pPr>
            <w:r w:rsidRPr="00871267">
              <w:rPr>
                <w:rFonts w:asciiTheme="minorHAnsi" w:eastAsia="Times New Roman" w:hAnsiTheme="minorHAnsi"/>
                <w:iCs/>
                <w:szCs w:val="17"/>
                <w:lang w:eastAsia="en-US"/>
              </w:rPr>
              <w:t>February-March 2019</w:t>
            </w:r>
          </w:p>
        </w:tc>
        <w:tc>
          <w:tcPr>
            <w:tcW w:w="2177" w:type="dxa"/>
          </w:tcPr>
          <w:p w:rsidR="00F30723" w:rsidRPr="00871267" w:rsidRDefault="00F30723" w:rsidP="00F30723">
            <w:pPr>
              <w:keepLines/>
              <w:spacing w:before="40" w:after="40" w:line="200" w:lineRule="atLeast"/>
              <w:rPr>
                <w:rFonts w:asciiTheme="minorHAnsi" w:eastAsia="Times New Roman" w:hAnsiTheme="minorHAnsi"/>
                <w:iCs/>
                <w:szCs w:val="17"/>
                <w:lang w:eastAsia="en-US"/>
              </w:rPr>
            </w:pPr>
            <w:r w:rsidRPr="00871267">
              <w:rPr>
                <w:rFonts w:asciiTheme="minorHAnsi" w:eastAsia="Times New Roman" w:hAnsiTheme="minorHAnsi"/>
                <w:iCs/>
                <w:szCs w:val="17"/>
                <w:lang w:eastAsia="en-US"/>
              </w:rPr>
              <w:t>June 2019</w:t>
            </w:r>
          </w:p>
        </w:tc>
        <w:tc>
          <w:tcPr>
            <w:tcW w:w="2324" w:type="dxa"/>
          </w:tcPr>
          <w:p w:rsidR="00F30723" w:rsidRPr="00871267" w:rsidRDefault="00F30723" w:rsidP="00F30723">
            <w:pPr>
              <w:keepLines/>
              <w:spacing w:before="40" w:after="40" w:line="200" w:lineRule="atLeast"/>
              <w:rPr>
                <w:rFonts w:asciiTheme="minorHAnsi" w:eastAsia="Times New Roman" w:hAnsiTheme="minorHAnsi"/>
                <w:iCs/>
                <w:szCs w:val="17"/>
                <w:lang w:eastAsia="en-US"/>
              </w:rPr>
            </w:pPr>
            <w:r w:rsidRPr="00871267">
              <w:rPr>
                <w:rFonts w:asciiTheme="minorHAnsi" w:eastAsia="Times New Roman" w:hAnsiTheme="minorHAnsi"/>
                <w:iCs/>
                <w:szCs w:val="17"/>
                <w:lang w:eastAsia="en-US"/>
              </w:rPr>
              <w:t>Review of the progress of the implementation of H-EQIP</w:t>
            </w:r>
          </w:p>
        </w:tc>
        <w:tc>
          <w:tcPr>
            <w:tcW w:w="2318" w:type="dxa"/>
          </w:tcPr>
          <w:p w:rsidR="00F30723" w:rsidRPr="00871267" w:rsidRDefault="00F30723" w:rsidP="00F30723">
            <w:pPr>
              <w:keepLines/>
              <w:spacing w:before="40" w:after="40" w:line="200" w:lineRule="atLeast"/>
              <w:rPr>
                <w:rFonts w:asciiTheme="minorHAnsi" w:eastAsia="Times New Roman" w:hAnsiTheme="minorHAnsi"/>
                <w:iCs/>
                <w:szCs w:val="17"/>
                <w:lang w:eastAsia="en-US"/>
              </w:rPr>
            </w:pPr>
            <w:r w:rsidRPr="00871267">
              <w:rPr>
                <w:rFonts w:asciiTheme="minorHAnsi" w:eastAsia="Times New Roman" w:hAnsiTheme="minorHAnsi"/>
                <w:iCs/>
                <w:szCs w:val="17"/>
                <w:lang w:eastAsia="en-US"/>
              </w:rPr>
              <w:t>Joint by H-EQIP Donors</w:t>
            </w:r>
          </w:p>
        </w:tc>
      </w:tr>
    </w:tbl>
    <w:p w:rsidR="00400B0F" w:rsidRPr="00C61187" w:rsidRDefault="00400B0F" w:rsidP="00400B0F">
      <w:pPr>
        <w:rPr>
          <w:b/>
        </w:rPr>
        <w:sectPr w:rsidR="00400B0F" w:rsidRPr="00C61187" w:rsidSect="008C2F58">
          <w:headerReference w:type="even" r:id="rId33"/>
          <w:headerReference w:type="default" r:id="rId34"/>
          <w:headerReference w:type="first" r:id="rId35"/>
          <w:footerReference w:type="first" r:id="rId36"/>
          <w:footnotePr>
            <w:numRestart w:val="eachPage"/>
          </w:footnotePr>
          <w:type w:val="continuous"/>
          <w:pgSz w:w="16838" w:h="11906" w:orient="landscape" w:code="9"/>
          <w:pgMar w:top="1272" w:right="1814" w:bottom="851" w:left="851" w:header="709" w:footer="230" w:gutter="0"/>
          <w:cols w:space="708"/>
          <w:titlePg/>
          <w:docGrid w:linePitch="360"/>
        </w:sectPr>
      </w:pPr>
    </w:p>
    <w:p w:rsidR="00400B0F" w:rsidRPr="00784031" w:rsidRDefault="00400B0F" w:rsidP="00400B0F">
      <w:pPr>
        <w:keepNext/>
        <w:tabs>
          <w:tab w:val="left" w:pos="1560"/>
        </w:tabs>
        <w:spacing w:before="360" w:after="120"/>
        <w:outlineLvl w:val="1"/>
        <w:rPr>
          <w:rFonts w:eastAsiaTheme="majorEastAsia" w:cstheme="majorBidi"/>
          <w:bCs/>
          <w:iCs/>
          <w:caps/>
          <w:spacing w:val="-10"/>
          <w:kern w:val="28"/>
          <w:sz w:val="38"/>
          <w:szCs w:val="24"/>
        </w:rPr>
      </w:pPr>
      <w:r w:rsidRPr="00784031">
        <w:rPr>
          <w:rFonts w:eastAsiaTheme="majorEastAsia" w:cstheme="majorBidi"/>
          <w:bCs/>
          <w:iCs/>
          <w:caps/>
          <w:spacing w:val="-10"/>
          <w:kern w:val="28"/>
          <w:sz w:val="38"/>
          <w:szCs w:val="24"/>
        </w:rPr>
        <w:lastRenderedPageBreak/>
        <w:t>Annex D - Aid Quality Check ratings</w:t>
      </w:r>
    </w:p>
    <w:p w:rsidR="00400B0F" w:rsidRPr="00784031" w:rsidRDefault="00400B0F" w:rsidP="00400B0F">
      <w:pPr>
        <w:keepNext/>
        <w:numPr>
          <w:ilvl w:val="2"/>
          <w:numId w:val="0"/>
        </w:numPr>
        <w:spacing w:before="240" w:after="120"/>
        <w:outlineLvl w:val="2"/>
        <w:rPr>
          <w:rFonts w:asciiTheme="majorHAnsi" w:eastAsiaTheme="majorEastAsia" w:hAnsiTheme="majorHAnsi" w:cstheme="majorBidi"/>
          <w:caps/>
          <w:sz w:val="38"/>
          <w:szCs w:val="26"/>
        </w:rPr>
      </w:pPr>
      <w:r w:rsidRPr="00784031">
        <w:rPr>
          <w:rFonts w:asciiTheme="majorHAnsi" w:eastAsiaTheme="majorEastAsia" w:hAnsiTheme="majorHAnsi" w:cstheme="majorBidi"/>
          <w:caps/>
          <w:sz w:val="38"/>
          <w:szCs w:val="26"/>
        </w:rPr>
        <w:t>AQC ratings</w:t>
      </w:r>
    </w:p>
    <w:p w:rsidR="00400B0F" w:rsidRPr="00C61187" w:rsidRDefault="00400B0F" w:rsidP="004E0264">
      <w:r w:rsidRPr="00C61187">
        <w:t>AQC investment performance over the previous 12 months and where available last year’s AQC ratings are included.</w:t>
      </w:r>
    </w:p>
    <w:tbl>
      <w:tblPr>
        <w:tblStyle w:val="APPR"/>
        <w:tblW w:w="5000" w:type="pct"/>
        <w:tblLook w:val="0000" w:firstRow="0" w:lastRow="0" w:firstColumn="0" w:lastColumn="0" w:noHBand="0" w:noVBand="0"/>
      </w:tblPr>
      <w:tblGrid>
        <w:gridCol w:w="2670"/>
        <w:gridCol w:w="1930"/>
        <w:gridCol w:w="1231"/>
        <w:gridCol w:w="1237"/>
        <w:gridCol w:w="1228"/>
        <w:gridCol w:w="1237"/>
        <w:gridCol w:w="1228"/>
        <w:gridCol w:w="1237"/>
        <w:gridCol w:w="1228"/>
        <w:gridCol w:w="1234"/>
      </w:tblGrid>
      <w:tr w:rsidR="00400B0F" w:rsidRPr="00C61187" w:rsidTr="00D65A4A">
        <w:trPr>
          <w:cnfStyle w:val="000000010000" w:firstRow="0" w:lastRow="0" w:firstColumn="0" w:lastColumn="0" w:oddVBand="0" w:evenVBand="0" w:oddHBand="0" w:evenHBand="1" w:firstRowFirstColumn="0" w:firstRowLastColumn="0" w:lastRowFirstColumn="0" w:lastRowLastColumn="0"/>
          <w:trHeight w:val="1183"/>
        </w:trPr>
        <w:tc>
          <w:tcPr>
            <w:tcW w:w="909" w:type="pct"/>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eastAsia="Times New Roman"/>
                <w:b/>
                <w:iCs/>
                <w:noProof/>
                <w:szCs w:val="17"/>
                <w:lang w:val="en-AU"/>
              </w:rPr>
              <w:drawing>
                <wp:anchor distT="0" distB="0" distL="114300" distR="114300" simplePos="0" relativeHeight="251676672" behindDoc="0" locked="0" layoutInCell="1" allowOverlap="1" wp14:anchorId="7C41FC46" wp14:editId="0A77F781">
                  <wp:simplePos x="0" y="0"/>
                  <wp:positionH relativeFrom="column">
                    <wp:posOffset>0</wp:posOffset>
                  </wp:positionH>
                  <wp:positionV relativeFrom="paragraph">
                    <wp:posOffset>0</wp:posOffset>
                  </wp:positionV>
                  <wp:extent cx="1857375" cy="228600"/>
                  <wp:effectExtent l="0" t="0" r="9525" b="0"/>
                  <wp:wrapNone/>
                  <wp:docPr id="14" name="Picture 1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004">
              <w:rPr>
                <w:rFonts w:asciiTheme="minorHAnsi" w:eastAsia="Times New Roman" w:hAnsiTheme="minorHAnsi"/>
                <w:b/>
                <w:iCs/>
                <w:szCs w:val="17"/>
                <w:lang w:eastAsia="en-US"/>
              </w:rPr>
              <w:t>Investment name</w:t>
            </w:r>
          </w:p>
        </w:tc>
        <w:tc>
          <w:tcPr>
            <w:tcW w:w="658" w:type="pct"/>
            <w:textDirection w:val="btLr"/>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Approved budget and duration</w:t>
            </w:r>
          </w:p>
        </w:tc>
        <w:tc>
          <w:tcPr>
            <w:tcW w:w="416" w:type="pct"/>
            <w:textDirection w:val="btLr"/>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year on year</w:t>
            </w:r>
          </w:p>
        </w:tc>
        <w:tc>
          <w:tcPr>
            <w:tcW w:w="418" w:type="pct"/>
            <w:textDirection w:val="btLr"/>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Relevance</w:t>
            </w:r>
          </w:p>
        </w:tc>
        <w:tc>
          <w:tcPr>
            <w:tcW w:w="415" w:type="pct"/>
            <w:textDirection w:val="btLr"/>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Effectiveness</w:t>
            </w:r>
          </w:p>
        </w:tc>
        <w:tc>
          <w:tcPr>
            <w:tcW w:w="418" w:type="pct"/>
            <w:textDirection w:val="btLr"/>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Efficiency</w:t>
            </w:r>
          </w:p>
        </w:tc>
        <w:tc>
          <w:tcPr>
            <w:tcW w:w="415" w:type="pct"/>
            <w:textDirection w:val="btLr"/>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Monitoring and Evaluation</w:t>
            </w:r>
          </w:p>
        </w:tc>
        <w:tc>
          <w:tcPr>
            <w:tcW w:w="418" w:type="pct"/>
            <w:textDirection w:val="btLr"/>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Sustainability</w:t>
            </w:r>
          </w:p>
        </w:tc>
        <w:tc>
          <w:tcPr>
            <w:tcW w:w="415" w:type="pct"/>
            <w:textDirection w:val="btLr"/>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Gender equality</w:t>
            </w:r>
          </w:p>
        </w:tc>
        <w:tc>
          <w:tcPr>
            <w:tcW w:w="412" w:type="pct"/>
            <w:textDirection w:val="btLr"/>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Risks  and Safeguards</w:t>
            </w:r>
          </w:p>
        </w:tc>
      </w:tr>
      <w:tr w:rsidR="0097374B" w:rsidRPr="00C61187" w:rsidTr="0097374B">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tcBorders>
              <w:top w:val="single" w:sz="4" w:space="0" w:color="auto"/>
            </w:tcBorders>
          </w:tcPr>
          <w:p w:rsidR="0097374B" w:rsidRPr="00D65A4A" w:rsidRDefault="0097374B" w:rsidP="00D65A4A">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 xml:space="preserve">Cambodia Infrastructure Investment </w:t>
            </w:r>
            <w:r w:rsidR="00D65A4A" w:rsidRPr="00D65A4A">
              <w:rPr>
                <w:rFonts w:asciiTheme="minorHAnsi" w:eastAsia="Times New Roman" w:hAnsiTheme="minorHAnsi"/>
                <w:iCs/>
                <w:szCs w:val="17"/>
                <w:lang w:eastAsia="en-US"/>
              </w:rPr>
              <w:t>2013-2020 (RRIP II)</w:t>
            </w:r>
          </w:p>
        </w:tc>
        <w:tc>
          <w:tcPr>
            <w:tcW w:w="658" w:type="pct"/>
            <w:vMerge w:val="restart"/>
            <w:tcBorders>
              <w:top w:val="single" w:sz="4" w:space="0" w:color="auto"/>
            </w:tcBorders>
          </w:tcPr>
          <w:p w:rsidR="0097374B" w:rsidRPr="00D65A4A" w:rsidRDefault="0097374B" w:rsidP="0097374B">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$40.0m</w:t>
            </w:r>
          </w:p>
          <w:p w:rsidR="0097374B" w:rsidRPr="00D65A4A" w:rsidRDefault="0097374B" w:rsidP="0097374B">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2013-20</w:t>
            </w:r>
          </w:p>
        </w:tc>
        <w:tc>
          <w:tcPr>
            <w:tcW w:w="416" w:type="pct"/>
            <w:tcBorders>
              <w:top w:val="single" w:sz="4" w:space="0" w:color="auto"/>
            </w:tcBorders>
          </w:tcPr>
          <w:p w:rsidR="0097374B" w:rsidRPr="00D65A4A" w:rsidRDefault="0097374B" w:rsidP="0097374B">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2018 AQC</w:t>
            </w:r>
          </w:p>
        </w:tc>
        <w:tc>
          <w:tcPr>
            <w:tcW w:w="418" w:type="pct"/>
            <w:tcBorders>
              <w:top w:val="single" w:sz="4" w:space="0" w:color="auto"/>
            </w:tcBorders>
            <w:shd w:val="clear" w:color="auto" w:fill="FFFF00"/>
            <w:noWrap/>
            <w:vAlign w:val="center"/>
          </w:tcPr>
          <w:p w:rsidR="0097374B" w:rsidRPr="00D65A4A" w:rsidRDefault="0097374B" w:rsidP="0097374B">
            <w:pPr>
              <w:spacing w:before="0" w:after="0" w:line="240" w:lineRule="auto"/>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5" w:type="pct"/>
            <w:tcBorders>
              <w:top w:val="single" w:sz="4" w:space="0" w:color="auto"/>
            </w:tcBorders>
            <w:shd w:val="clear" w:color="auto" w:fill="FFFF00"/>
            <w:noWrap/>
            <w:vAlign w:val="center"/>
          </w:tcPr>
          <w:p w:rsidR="0097374B" w:rsidRPr="00D65A4A" w:rsidRDefault="0097374B" w:rsidP="0097374B">
            <w:pPr>
              <w:spacing w:before="0" w:after="0" w:line="240" w:lineRule="auto"/>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8" w:type="pct"/>
            <w:tcBorders>
              <w:top w:val="single" w:sz="4" w:space="0" w:color="auto"/>
            </w:tcBorders>
            <w:shd w:val="clear" w:color="auto" w:fill="FFFF00"/>
            <w:noWrap/>
            <w:vAlign w:val="center"/>
          </w:tcPr>
          <w:p w:rsidR="0097374B" w:rsidRPr="00D65A4A" w:rsidRDefault="0097374B" w:rsidP="0097374B">
            <w:pPr>
              <w:spacing w:before="0" w:after="0" w:line="240" w:lineRule="auto"/>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5" w:type="pct"/>
            <w:tcBorders>
              <w:top w:val="single" w:sz="4" w:space="0" w:color="auto"/>
            </w:tcBorders>
            <w:shd w:val="clear" w:color="auto" w:fill="FFFF00"/>
            <w:noWrap/>
            <w:vAlign w:val="center"/>
          </w:tcPr>
          <w:p w:rsidR="0097374B" w:rsidRPr="00D65A4A" w:rsidRDefault="0097374B" w:rsidP="0097374B">
            <w:pPr>
              <w:spacing w:before="0" w:after="0" w:line="240" w:lineRule="auto"/>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8" w:type="pct"/>
            <w:tcBorders>
              <w:top w:val="single" w:sz="4" w:space="0" w:color="auto"/>
            </w:tcBorders>
            <w:shd w:val="clear" w:color="auto" w:fill="FFFF00"/>
            <w:noWrap/>
            <w:vAlign w:val="center"/>
          </w:tcPr>
          <w:p w:rsidR="0097374B" w:rsidRPr="00D65A4A" w:rsidRDefault="0097374B" w:rsidP="0097374B">
            <w:pPr>
              <w:spacing w:before="0" w:after="0" w:line="240" w:lineRule="auto"/>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5" w:type="pct"/>
            <w:tcBorders>
              <w:top w:val="single" w:sz="4" w:space="0" w:color="auto"/>
            </w:tcBorders>
            <w:shd w:val="clear" w:color="auto" w:fill="FFFF00"/>
            <w:noWrap/>
            <w:vAlign w:val="center"/>
          </w:tcPr>
          <w:p w:rsidR="0097374B" w:rsidRPr="00D65A4A" w:rsidRDefault="0097374B" w:rsidP="0097374B">
            <w:pPr>
              <w:spacing w:before="0" w:after="0" w:line="240" w:lineRule="auto"/>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2" w:type="pct"/>
            <w:tcBorders>
              <w:top w:val="single" w:sz="4" w:space="0" w:color="auto"/>
            </w:tcBorders>
            <w:shd w:val="clear" w:color="auto" w:fill="auto"/>
            <w:vAlign w:val="center"/>
          </w:tcPr>
          <w:p w:rsidR="0097374B" w:rsidRPr="00D65A4A" w:rsidRDefault="0097374B" w:rsidP="0097374B">
            <w:pPr>
              <w:spacing w:before="0" w:after="0" w:line="240" w:lineRule="auto"/>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n/a</w:t>
            </w:r>
          </w:p>
        </w:tc>
      </w:tr>
      <w:tr w:rsidR="0097374B" w:rsidRPr="00C61187" w:rsidTr="0097374B">
        <w:trPr>
          <w:cnfStyle w:val="000000010000" w:firstRow="0" w:lastRow="0" w:firstColumn="0" w:lastColumn="0" w:oddVBand="0" w:evenVBand="0" w:oddHBand="0" w:evenHBand="1" w:firstRowFirstColumn="0" w:firstRowLastColumn="0" w:lastRowFirstColumn="0" w:lastRowLastColumn="0"/>
          <w:trHeight w:val="284"/>
        </w:trPr>
        <w:tc>
          <w:tcPr>
            <w:tcW w:w="909" w:type="pct"/>
            <w:vMerge/>
          </w:tcPr>
          <w:p w:rsidR="0097374B" w:rsidRPr="00880004" w:rsidRDefault="0097374B" w:rsidP="0097374B">
            <w:pPr>
              <w:keepLines/>
              <w:spacing w:before="40" w:after="40" w:line="200" w:lineRule="atLeast"/>
              <w:rPr>
                <w:rFonts w:asciiTheme="minorHAnsi" w:eastAsia="Times New Roman" w:hAnsiTheme="minorHAnsi"/>
                <w:iCs/>
                <w:szCs w:val="17"/>
                <w:lang w:eastAsia="en-US"/>
              </w:rPr>
            </w:pPr>
          </w:p>
        </w:tc>
        <w:tc>
          <w:tcPr>
            <w:tcW w:w="658" w:type="pct"/>
            <w:vMerge/>
          </w:tcPr>
          <w:p w:rsidR="0097374B" w:rsidRPr="00880004" w:rsidRDefault="0097374B" w:rsidP="0097374B">
            <w:pPr>
              <w:keepLines/>
              <w:spacing w:before="40" w:after="40" w:line="200" w:lineRule="atLeast"/>
              <w:rPr>
                <w:rFonts w:asciiTheme="minorHAnsi" w:eastAsia="Times New Roman" w:hAnsiTheme="minorHAnsi"/>
                <w:iCs/>
                <w:szCs w:val="17"/>
                <w:lang w:eastAsia="en-US"/>
              </w:rPr>
            </w:pPr>
          </w:p>
        </w:tc>
        <w:tc>
          <w:tcPr>
            <w:tcW w:w="416" w:type="pct"/>
          </w:tcPr>
          <w:p w:rsidR="0097374B" w:rsidRPr="00880004" w:rsidRDefault="0097374B" w:rsidP="0097374B">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2017 AQC</w:t>
            </w:r>
          </w:p>
        </w:tc>
        <w:tc>
          <w:tcPr>
            <w:tcW w:w="418" w:type="pct"/>
            <w:shd w:val="clear" w:color="auto" w:fill="FFFF00"/>
            <w:noWrap/>
          </w:tcPr>
          <w:p w:rsidR="0097374B" w:rsidRPr="00880004" w:rsidRDefault="0097374B"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5" w:type="pct"/>
            <w:shd w:val="clear" w:color="auto" w:fill="FFC000"/>
            <w:noWrap/>
          </w:tcPr>
          <w:p w:rsidR="0097374B" w:rsidRPr="00880004" w:rsidRDefault="0097374B"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3</w:t>
            </w:r>
          </w:p>
        </w:tc>
        <w:tc>
          <w:tcPr>
            <w:tcW w:w="418" w:type="pct"/>
            <w:shd w:val="clear" w:color="auto" w:fill="FF0000"/>
            <w:noWrap/>
          </w:tcPr>
          <w:p w:rsidR="0097374B" w:rsidRPr="00880004" w:rsidRDefault="0097374B"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2</w:t>
            </w:r>
          </w:p>
        </w:tc>
        <w:tc>
          <w:tcPr>
            <w:tcW w:w="415" w:type="pct"/>
            <w:shd w:val="clear" w:color="auto" w:fill="FFC000"/>
            <w:noWrap/>
          </w:tcPr>
          <w:p w:rsidR="0097374B" w:rsidRPr="00880004" w:rsidRDefault="0097374B"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3</w:t>
            </w:r>
          </w:p>
        </w:tc>
        <w:tc>
          <w:tcPr>
            <w:tcW w:w="418" w:type="pct"/>
            <w:shd w:val="clear" w:color="auto" w:fill="FFFF00"/>
            <w:noWrap/>
          </w:tcPr>
          <w:p w:rsidR="0097374B" w:rsidRPr="00880004" w:rsidRDefault="0097374B"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5" w:type="pct"/>
            <w:shd w:val="clear" w:color="auto" w:fill="FFFF00"/>
            <w:noWrap/>
          </w:tcPr>
          <w:p w:rsidR="0097374B" w:rsidRPr="00880004" w:rsidRDefault="0097374B"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2" w:type="pct"/>
            <w:shd w:val="clear" w:color="auto" w:fill="auto"/>
          </w:tcPr>
          <w:p w:rsidR="0097374B" w:rsidRPr="00880004" w:rsidRDefault="0097374B"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n/a</w:t>
            </w:r>
          </w:p>
        </w:tc>
      </w:tr>
      <w:tr w:rsidR="0097374B" w:rsidRPr="00C61187" w:rsidTr="0097374B">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tcBorders>
              <w:top w:val="single" w:sz="4" w:space="0" w:color="auto"/>
            </w:tcBorders>
          </w:tcPr>
          <w:p w:rsidR="0097374B" w:rsidRPr="00D65A4A" w:rsidRDefault="0097374B" w:rsidP="0097374B">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3i - Investing In Infrastructure</w:t>
            </w:r>
          </w:p>
        </w:tc>
        <w:tc>
          <w:tcPr>
            <w:tcW w:w="658" w:type="pct"/>
            <w:vMerge w:val="restart"/>
            <w:tcBorders>
              <w:top w:val="single" w:sz="4" w:space="0" w:color="auto"/>
            </w:tcBorders>
          </w:tcPr>
          <w:p w:rsidR="0097374B" w:rsidRPr="00D65A4A" w:rsidRDefault="0097374B" w:rsidP="0097374B">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$45.4m</w:t>
            </w:r>
          </w:p>
          <w:p w:rsidR="0097374B" w:rsidRPr="00D65A4A" w:rsidRDefault="0097374B" w:rsidP="0097374B">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2015-21</w:t>
            </w:r>
          </w:p>
        </w:tc>
        <w:tc>
          <w:tcPr>
            <w:tcW w:w="416" w:type="pct"/>
            <w:tcBorders>
              <w:top w:val="single" w:sz="4" w:space="0" w:color="auto"/>
            </w:tcBorders>
          </w:tcPr>
          <w:p w:rsidR="0097374B" w:rsidRPr="00D65A4A" w:rsidRDefault="0097374B" w:rsidP="0097374B">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2018 AQC</w:t>
            </w:r>
          </w:p>
        </w:tc>
        <w:tc>
          <w:tcPr>
            <w:tcW w:w="418" w:type="pct"/>
            <w:tcBorders>
              <w:top w:val="single" w:sz="4" w:space="0" w:color="auto"/>
            </w:tcBorders>
            <w:shd w:val="clear" w:color="auto" w:fill="92D050"/>
            <w:noWrap/>
            <w:vAlign w:val="center"/>
          </w:tcPr>
          <w:p w:rsidR="0097374B" w:rsidRPr="00D65A4A" w:rsidRDefault="0097374B" w:rsidP="0097374B">
            <w:pPr>
              <w:spacing w:before="0" w:after="0" w:line="240" w:lineRule="auto"/>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5</w:t>
            </w:r>
          </w:p>
        </w:tc>
        <w:tc>
          <w:tcPr>
            <w:tcW w:w="415" w:type="pct"/>
            <w:tcBorders>
              <w:top w:val="single" w:sz="4" w:space="0" w:color="auto"/>
            </w:tcBorders>
            <w:shd w:val="clear" w:color="auto" w:fill="92D050"/>
            <w:noWrap/>
            <w:vAlign w:val="center"/>
          </w:tcPr>
          <w:p w:rsidR="0097374B" w:rsidRPr="00D65A4A" w:rsidRDefault="0097374B" w:rsidP="0097374B">
            <w:pPr>
              <w:spacing w:before="0" w:after="0" w:line="240" w:lineRule="auto"/>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5</w:t>
            </w:r>
          </w:p>
        </w:tc>
        <w:tc>
          <w:tcPr>
            <w:tcW w:w="418" w:type="pct"/>
            <w:tcBorders>
              <w:top w:val="single" w:sz="4" w:space="0" w:color="auto"/>
            </w:tcBorders>
            <w:shd w:val="clear" w:color="auto" w:fill="92D050"/>
            <w:noWrap/>
            <w:vAlign w:val="center"/>
          </w:tcPr>
          <w:p w:rsidR="0097374B" w:rsidRPr="00D65A4A" w:rsidRDefault="0097374B" w:rsidP="0097374B">
            <w:pPr>
              <w:spacing w:before="0" w:after="0" w:line="240" w:lineRule="auto"/>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5</w:t>
            </w:r>
          </w:p>
        </w:tc>
        <w:tc>
          <w:tcPr>
            <w:tcW w:w="415" w:type="pct"/>
            <w:tcBorders>
              <w:top w:val="single" w:sz="4" w:space="0" w:color="auto"/>
            </w:tcBorders>
            <w:shd w:val="clear" w:color="auto" w:fill="FFFF00"/>
            <w:noWrap/>
            <w:vAlign w:val="center"/>
          </w:tcPr>
          <w:p w:rsidR="0097374B" w:rsidRPr="00D65A4A" w:rsidRDefault="0097374B" w:rsidP="0097374B">
            <w:pPr>
              <w:spacing w:before="0" w:after="0" w:line="240" w:lineRule="auto"/>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8" w:type="pct"/>
            <w:tcBorders>
              <w:top w:val="single" w:sz="4" w:space="0" w:color="auto"/>
            </w:tcBorders>
            <w:shd w:val="clear" w:color="auto" w:fill="92D050"/>
            <w:noWrap/>
            <w:vAlign w:val="center"/>
          </w:tcPr>
          <w:p w:rsidR="0097374B" w:rsidRPr="00D65A4A" w:rsidRDefault="0097374B" w:rsidP="0097374B">
            <w:pPr>
              <w:spacing w:before="0" w:after="0" w:line="240" w:lineRule="auto"/>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5</w:t>
            </w:r>
          </w:p>
        </w:tc>
        <w:tc>
          <w:tcPr>
            <w:tcW w:w="415" w:type="pct"/>
            <w:tcBorders>
              <w:top w:val="single" w:sz="4" w:space="0" w:color="auto"/>
            </w:tcBorders>
            <w:shd w:val="clear" w:color="auto" w:fill="FFFF00"/>
            <w:noWrap/>
            <w:vAlign w:val="center"/>
          </w:tcPr>
          <w:p w:rsidR="0097374B" w:rsidRPr="00D65A4A" w:rsidRDefault="0097374B" w:rsidP="0097374B">
            <w:pPr>
              <w:spacing w:before="0" w:after="0" w:line="240" w:lineRule="auto"/>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2" w:type="pct"/>
            <w:tcBorders>
              <w:top w:val="single" w:sz="4" w:space="0" w:color="auto"/>
            </w:tcBorders>
            <w:shd w:val="clear" w:color="auto" w:fill="auto"/>
            <w:vAlign w:val="center"/>
          </w:tcPr>
          <w:p w:rsidR="0097374B" w:rsidRPr="00D65A4A" w:rsidRDefault="0097374B" w:rsidP="0097374B">
            <w:pPr>
              <w:spacing w:before="0" w:after="0" w:line="240" w:lineRule="auto"/>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n/a</w:t>
            </w:r>
          </w:p>
        </w:tc>
      </w:tr>
      <w:tr w:rsidR="0097374B" w:rsidRPr="00C61187" w:rsidTr="0097374B">
        <w:trPr>
          <w:cnfStyle w:val="000000010000" w:firstRow="0" w:lastRow="0" w:firstColumn="0" w:lastColumn="0" w:oddVBand="0" w:evenVBand="0" w:oddHBand="0" w:evenHBand="1" w:firstRowFirstColumn="0" w:firstRowLastColumn="0" w:lastRowFirstColumn="0" w:lastRowLastColumn="0"/>
          <w:trHeight w:val="284"/>
        </w:trPr>
        <w:tc>
          <w:tcPr>
            <w:tcW w:w="909" w:type="pct"/>
            <w:vMerge/>
          </w:tcPr>
          <w:p w:rsidR="0097374B" w:rsidRPr="00880004" w:rsidRDefault="0097374B" w:rsidP="0097374B">
            <w:pPr>
              <w:keepLines/>
              <w:spacing w:before="40" w:after="40" w:line="200" w:lineRule="atLeast"/>
              <w:rPr>
                <w:rFonts w:asciiTheme="minorHAnsi" w:eastAsia="Times New Roman" w:hAnsiTheme="minorHAnsi"/>
                <w:iCs/>
                <w:szCs w:val="17"/>
                <w:lang w:eastAsia="en-US"/>
              </w:rPr>
            </w:pPr>
          </w:p>
        </w:tc>
        <w:tc>
          <w:tcPr>
            <w:tcW w:w="658" w:type="pct"/>
            <w:vMerge/>
          </w:tcPr>
          <w:p w:rsidR="0097374B" w:rsidRPr="00880004" w:rsidRDefault="0097374B" w:rsidP="0097374B">
            <w:pPr>
              <w:keepLines/>
              <w:spacing w:before="40" w:after="40" w:line="200" w:lineRule="atLeast"/>
              <w:rPr>
                <w:rFonts w:asciiTheme="minorHAnsi" w:eastAsia="Times New Roman" w:hAnsiTheme="minorHAnsi"/>
                <w:iCs/>
                <w:szCs w:val="17"/>
                <w:lang w:eastAsia="en-US"/>
              </w:rPr>
            </w:pPr>
          </w:p>
        </w:tc>
        <w:tc>
          <w:tcPr>
            <w:tcW w:w="416" w:type="pct"/>
          </w:tcPr>
          <w:p w:rsidR="0097374B" w:rsidRPr="00880004" w:rsidRDefault="0097374B" w:rsidP="0097374B">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2017 AQC</w:t>
            </w:r>
          </w:p>
        </w:tc>
        <w:tc>
          <w:tcPr>
            <w:tcW w:w="418" w:type="pct"/>
            <w:shd w:val="clear" w:color="auto" w:fill="92D050"/>
            <w:noWrap/>
          </w:tcPr>
          <w:p w:rsidR="0097374B" w:rsidRPr="00880004" w:rsidRDefault="0097374B"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5</w:t>
            </w:r>
          </w:p>
        </w:tc>
        <w:tc>
          <w:tcPr>
            <w:tcW w:w="415" w:type="pct"/>
            <w:shd w:val="clear" w:color="auto" w:fill="92D050"/>
            <w:noWrap/>
          </w:tcPr>
          <w:p w:rsidR="0097374B" w:rsidRPr="00880004" w:rsidRDefault="0097374B"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5</w:t>
            </w:r>
          </w:p>
        </w:tc>
        <w:tc>
          <w:tcPr>
            <w:tcW w:w="418" w:type="pct"/>
            <w:shd w:val="clear" w:color="auto" w:fill="92D050"/>
            <w:noWrap/>
          </w:tcPr>
          <w:p w:rsidR="0097374B" w:rsidRPr="00880004" w:rsidRDefault="0097374B"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5</w:t>
            </w:r>
          </w:p>
        </w:tc>
        <w:tc>
          <w:tcPr>
            <w:tcW w:w="415" w:type="pct"/>
            <w:shd w:val="clear" w:color="auto" w:fill="FFFF00"/>
            <w:noWrap/>
          </w:tcPr>
          <w:p w:rsidR="0097374B" w:rsidRPr="00880004" w:rsidRDefault="0097374B"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8" w:type="pct"/>
            <w:shd w:val="clear" w:color="auto" w:fill="92D050"/>
            <w:noWrap/>
          </w:tcPr>
          <w:p w:rsidR="0097374B" w:rsidRPr="00880004" w:rsidRDefault="0097374B"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5</w:t>
            </w:r>
          </w:p>
        </w:tc>
        <w:tc>
          <w:tcPr>
            <w:tcW w:w="415" w:type="pct"/>
            <w:shd w:val="clear" w:color="auto" w:fill="FFFF00"/>
            <w:noWrap/>
          </w:tcPr>
          <w:p w:rsidR="0097374B" w:rsidRPr="00880004" w:rsidRDefault="0097374B"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2" w:type="pct"/>
            <w:shd w:val="clear" w:color="auto" w:fill="auto"/>
          </w:tcPr>
          <w:p w:rsidR="0097374B" w:rsidRPr="00880004" w:rsidRDefault="0097374B"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n/a</w:t>
            </w:r>
          </w:p>
        </w:tc>
      </w:tr>
      <w:tr w:rsidR="0097374B" w:rsidRPr="00C61187" w:rsidTr="00D65A4A">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tcBorders>
              <w:top w:val="single" w:sz="4" w:space="0" w:color="auto"/>
            </w:tcBorders>
          </w:tcPr>
          <w:p w:rsidR="0097374B" w:rsidRPr="00D65A4A" w:rsidRDefault="0097374B" w:rsidP="0097374B">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 xml:space="preserve">Cambodia Agricultural Value Chain </w:t>
            </w:r>
          </w:p>
          <w:p w:rsidR="0097374B" w:rsidRPr="00D65A4A" w:rsidRDefault="0097374B" w:rsidP="0097374B">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Program Phase 2</w:t>
            </w:r>
          </w:p>
        </w:tc>
        <w:tc>
          <w:tcPr>
            <w:tcW w:w="658" w:type="pct"/>
            <w:vMerge w:val="restart"/>
            <w:tcBorders>
              <w:top w:val="single" w:sz="4" w:space="0" w:color="auto"/>
            </w:tcBorders>
          </w:tcPr>
          <w:p w:rsidR="0097374B" w:rsidRPr="00D65A4A" w:rsidRDefault="0097374B" w:rsidP="0097374B">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$89.7m</w:t>
            </w:r>
          </w:p>
          <w:p w:rsidR="0097374B" w:rsidRPr="00D65A4A" w:rsidRDefault="0097374B" w:rsidP="0097374B">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2016-21</w:t>
            </w:r>
          </w:p>
        </w:tc>
        <w:tc>
          <w:tcPr>
            <w:tcW w:w="416" w:type="pct"/>
            <w:tcBorders>
              <w:top w:val="single" w:sz="4" w:space="0" w:color="auto"/>
            </w:tcBorders>
          </w:tcPr>
          <w:p w:rsidR="0097374B" w:rsidRPr="00D65A4A" w:rsidRDefault="0097374B" w:rsidP="0097374B">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2018 AQC</w:t>
            </w:r>
          </w:p>
        </w:tc>
        <w:tc>
          <w:tcPr>
            <w:tcW w:w="418" w:type="pct"/>
            <w:tcBorders>
              <w:top w:val="single" w:sz="4" w:space="0" w:color="auto"/>
            </w:tcBorders>
            <w:shd w:val="clear" w:color="auto" w:fill="FFFF00"/>
            <w:noWrap/>
            <w:vAlign w:val="center"/>
          </w:tcPr>
          <w:p w:rsidR="0097374B" w:rsidRPr="00D65A4A" w:rsidRDefault="0097374B" w:rsidP="0097374B">
            <w:pPr>
              <w:spacing w:before="0" w:after="0" w:line="240" w:lineRule="auto"/>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5" w:type="pct"/>
            <w:tcBorders>
              <w:top w:val="single" w:sz="4" w:space="0" w:color="auto"/>
            </w:tcBorders>
            <w:shd w:val="clear" w:color="auto" w:fill="FFFF00"/>
            <w:noWrap/>
            <w:vAlign w:val="center"/>
          </w:tcPr>
          <w:p w:rsidR="0097374B" w:rsidRPr="00D65A4A" w:rsidRDefault="0097374B" w:rsidP="0097374B">
            <w:pPr>
              <w:spacing w:before="0" w:after="0" w:line="240" w:lineRule="auto"/>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8" w:type="pct"/>
            <w:tcBorders>
              <w:top w:val="single" w:sz="4" w:space="0" w:color="auto"/>
            </w:tcBorders>
            <w:shd w:val="clear" w:color="auto" w:fill="FFC000"/>
            <w:noWrap/>
            <w:vAlign w:val="center"/>
          </w:tcPr>
          <w:p w:rsidR="0097374B" w:rsidRPr="00D65A4A" w:rsidRDefault="0097374B" w:rsidP="0097374B">
            <w:pPr>
              <w:spacing w:before="0" w:after="0" w:line="240" w:lineRule="auto"/>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3</w:t>
            </w:r>
          </w:p>
        </w:tc>
        <w:tc>
          <w:tcPr>
            <w:tcW w:w="415" w:type="pct"/>
            <w:tcBorders>
              <w:top w:val="single" w:sz="4" w:space="0" w:color="auto"/>
            </w:tcBorders>
            <w:shd w:val="clear" w:color="auto" w:fill="FFFF00"/>
            <w:noWrap/>
            <w:vAlign w:val="center"/>
          </w:tcPr>
          <w:p w:rsidR="0097374B" w:rsidRPr="00D65A4A" w:rsidRDefault="0097374B" w:rsidP="0097374B">
            <w:pPr>
              <w:spacing w:before="0" w:after="0" w:line="240" w:lineRule="auto"/>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8" w:type="pct"/>
            <w:tcBorders>
              <w:top w:val="single" w:sz="4" w:space="0" w:color="auto"/>
            </w:tcBorders>
            <w:shd w:val="clear" w:color="auto" w:fill="92D050"/>
            <w:noWrap/>
            <w:vAlign w:val="center"/>
          </w:tcPr>
          <w:p w:rsidR="0097374B" w:rsidRPr="00D65A4A" w:rsidRDefault="0097374B" w:rsidP="0097374B">
            <w:pPr>
              <w:spacing w:before="0" w:after="0" w:line="240" w:lineRule="auto"/>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5</w:t>
            </w:r>
          </w:p>
        </w:tc>
        <w:tc>
          <w:tcPr>
            <w:tcW w:w="415" w:type="pct"/>
            <w:tcBorders>
              <w:top w:val="single" w:sz="4" w:space="0" w:color="auto"/>
            </w:tcBorders>
            <w:shd w:val="clear" w:color="auto" w:fill="FFFF00"/>
            <w:noWrap/>
            <w:vAlign w:val="center"/>
          </w:tcPr>
          <w:p w:rsidR="0097374B" w:rsidRPr="00D65A4A" w:rsidRDefault="0097374B" w:rsidP="0097374B">
            <w:pPr>
              <w:spacing w:before="0" w:after="0" w:line="240" w:lineRule="auto"/>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2" w:type="pct"/>
            <w:tcBorders>
              <w:top w:val="single" w:sz="4" w:space="0" w:color="auto"/>
            </w:tcBorders>
            <w:shd w:val="clear" w:color="auto" w:fill="auto"/>
            <w:vAlign w:val="center"/>
          </w:tcPr>
          <w:p w:rsidR="0097374B" w:rsidRPr="00D65A4A" w:rsidRDefault="0097374B" w:rsidP="0097374B">
            <w:pPr>
              <w:spacing w:before="0" w:after="0" w:line="240" w:lineRule="auto"/>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n/a</w:t>
            </w:r>
          </w:p>
        </w:tc>
      </w:tr>
      <w:tr w:rsidR="0097374B" w:rsidRPr="00C61187" w:rsidTr="00D65A4A">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auto"/>
            </w:tcBorders>
          </w:tcPr>
          <w:p w:rsidR="0097374B" w:rsidRPr="00880004" w:rsidRDefault="0097374B" w:rsidP="0097374B">
            <w:pPr>
              <w:keepLines/>
              <w:spacing w:before="40" w:after="40" w:line="200" w:lineRule="atLeast"/>
              <w:rPr>
                <w:rFonts w:asciiTheme="minorHAnsi" w:eastAsia="Times New Roman" w:hAnsiTheme="minorHAnsi"/>
                <w:iCs/>
                <w:szCs w:val="17"/>
                <w:lang w:eastAsia="en-US"/>
              </w:rPr>
            </w:pPr>
          </w:p>
        </w:tc>
        <w:tc>
          <w:tcPr>
            <w:tcW w:w="658" w:type="pct"/>
            <w:vMerge/>
            <w:tcBorders>
              <w:bottom w:val="single" w:sz="4" w:space="0" w:color="auto"/>
            </w:tcBorders>
          </w:tcPr>
          <w:p w:rsidR="0097374B" w:rsidRPr="00880004" w:rsidRDefault="0097374B" w:rsidP="0097374B">
            <w:pPr>
              <w:keepLines/>
              <w:spacing w:before="40" w:after="40" w:line="200" w:lineRule="atLeast"/>
              <w:rPr>
                <w:rFonts w:asciiTheme="minorHAnsi" w:eastAsia="Times New Roman" w:hAnsiTheme="minorHAnsi"/>
                <w:iCs/>
                <w:szCs w:val="17"/>
                <w:lang w:eastAsia="en-US"/>
              </w:rPr>
            </w:pPr>
          </w:p>
        </w:tc>
        <w:tc>
          <w:tcPr>
            <w:tcW w:w="416" w:type="pct"/>
            <w:tcBorders>
              <w:bottom w:val="single" w:sz="4" w:space="0" w:color="auto"/>
            </w:tcBorders>
          </w:tcPr>
          <w:p w:rsidR="0097374B" w:rsidRPr="00880004" w:rsidRDefault="0097374B" w:rsidP="0097374B">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2017 AQC</w:t>
            </w:r>
          </w:p>
        </w:tc>
        <w:tc>
          <w:tcPr>
            <w:tcW w:w="418" w:type="pct"/>
            <w:tcBorders>
              <w:bottom w:val="single" w:sz="4" w:space="0" w:color="auto"/>
            </w:tcBorders>
            <w:shd w:val="clear" w:color="auto" w:fill="92D050"/>
            <w:noWrap/>
          </w:tcPr>
          <w:p w:rsidR="0097374B" w:rsidRPr="00880004" w:rsidRDefault="0097374B"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5</w:t>
            </w:r>
          </w:p>
        </w:tc>
        <w:tc>
          <w:tcPr>
            <w:tcW w:w="415" w:type="pct"/>
            <w:tcBorders>
              <w:bottom w:val="single" w:sz="4" w:space="0" w:color="auto"/>
            </w:tcBorders>
            <w:shd w:val="clear" w:color="auto" w:fill="FFFF00"/>
            <w:noWrap/>
          </w:tcPr>
          <w:p w:rsidR="0097374B" w:rsidRPr="00880004" w:rsidRDefault="0097374B"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8" w:type="pct"/>
            <w:tcBorders>
              <w:bottom w:val="single" w:sz="4" w:space="0" w:color="auto"/>
            </w:tcBorders>
            <w:shd w:val="clear" w:color="auto" w:fill="FFFF00"/>
            <w:noWrap/>
          </w:tcPr>
          <w:p w:rsidR="0097374B" w:rsidRPr="00880004" w:rsidRDefault="0097374B"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5" w:type="pct"/>
            <w:tcBorders>
              <w:bottom w:val="single" w:sz="4" w:space="0" w:color="auto"/>
            </w:tcBorders>
            <w:shd w:val="clear" w:color="auto" w:fill="FFFF00"/>
            <w:noWrap/>
          </w:tcPr>
          <w:p w:rsidR="0097374B" w:rsidRPr="00880004" w:rsidRDefault="0097374B"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8" w:type="pct"/>
            <w:tcBorders>
              <w:bottom w:val="single" w:sz="4" w:space="0" w:color="auto"/>
            </w:tcBorders>
            <w:shd w:val="clear" w:color="auto" w:fill="92D050"/>
            <w:noWrap/>
          </w:tcPr>
          <w:p w:rsidR="0097374B" w:rsidRPr="00880004" w:rsidRDefault="0097374B"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5</w:t>
            </w:r>
          </w:p>
        </w:tc>
        <w:tc>
          <w:tcPr>
            <w:tcW w:w="415" w:type="pct"/>
            <w:tcBorders>
              <w:bottom w:val="single" w:sz="4" w:space="0" w:color="auto"/>
            </w:tcBorders>
            <w:shd w:val="clear" w:color="auto" w:fill="FFFF00"/>
            <w:noWrap/>
          </w:tcPr>
          <w:p w:rsidR="0097374B" w:rsidRPr="00880004" w:rsidRDefault="0097374B"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2" w:type="pct"/>
            <w:tcBorders>
              <w:bottom w:val="single" w:sz="4" w:space="0" w:color="auto"/>
            </w:tcBorders>
            <w:shd w:val="clear" w:color="auto" w:fill="auto"/>
          </w:tcPr>
          <w:p w:rsidR="0097374B" w:rsidRPr="00880004" w:rsidRDefault="0097374B"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n/a</w:t>
            </w:r>
          </w:p>
        </w:tc>
      </w:tr>
      <w:tr w:rsidR="00D65A4A" w:rsidRPr="00C61187" w:rsidTr="0097374B">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tcPr>
          <w:p w:rsidR="00D65A4A" w:rsidRPr="00D65A4A" w:rsidRDefault="00D65A4A" w:rsidP="0097374B">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Clearing for Results Phase III</w:t>
            </w:r>
          </w:p>
        </w:tc>
        <w:tc>
          <w:tcPr>
            <w:tcW w:w="658" w:type="pct"/>
          </w:tcPr>
          <w:p w:rsidR="00D65A4A" w:rsidRPr="00D65A4A" w:rsidRDefault="00D65A4A" w:rsidP="0097374B">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$9.0m</w:t>
            </w:r>
          </w:p>
        </w:tc>
        <w:tc>
          <w:tcPr>
            <w:tcW w:w="416" w:type="pct"/>
          </w:tcPr>
          <w:p w:rsidR="00D65A4A" w:rsidRPr="00D65A4A" w:rsidRDefault="00D65A4A" w:rsidP="0097374B">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2018 AQC</w:t>
            </w:r>
          </w:p>
        </w:tc>
        <w:tc>
          <w:tcPr>
            <w:tcW w:w="418" w:type="pct"/>
            <w:shd w:val="clear" w:color="auto" w:fill="92D050"/>
            <w:noWrap/>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5</w:t>
            </w:r>
          </w:p>
        </w:tc>
        <w:tc>
          <w:tcPr>
            <w:tcW w:w="415" w:type="pct"/>
            <w:shd w:val="clear" w:color="auto" w:fill="FFFF00"/>
            <w:noWrap/>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8" w:type="pct"/>
            <w:shd w:val="clear" w:color="auto" w:fill="FFFF00"/>
            <w:noWrap/>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5" w:type="pct"/>
            <w:shd w:val="clear" w:color="auto" w:fill="FFFF00"/>
            <w:noWrap/>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8" w:type="pct"/>
            <w:shd w:val="clear" w:color="auto" w:fill="FFFF00"/>
            <w:noWrap/>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5" w:type="pct"/>
            <w:shd w:val="clear" w:color="auto" w:fill="FFFF00"/>
            <w:noWrap/>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2" w:type="pct"/>
            <w:shd w:val="clear" w:color="auto" w:fill="auto"/>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n/a</w:t>
            </w:r>
          </w:p>
        </w:tc>
      </w:tr>
      <w:tr w:rsidR="00D65A4A" w:rsidRPr="00C61187" w:rsidTr="0097374B">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auto"/>
            </w:tcBorders>
          </w:tcPr>
          <w:p w:rsidR="00D65A4A" w:rsidRPr="00D65A4A" w:rsidRDefault="00D65A4A" w:rsidP="0097374B">
            <w:pPr>
              <w:keepLines/>
              <w:spacing w:before="40" w:after="40" w:line="200" w:lineRule="atLeast"/>
              <w:rPr>
                <w:rFonts w:asciiTheme="minorHAnsi" w:eastAsia="Times New Roman" w:hAnsiTheme="minorHAnsi"/>
                <w:iCs/>
                <w:szCs w:val="17"/>
                <w:lang w:eastAsia="en-US"/>
              </w:rPr>
            </w:pPr>
          </w:p>
        </w:tc>
        <w:tc>
          <w:tcPr>
            <w:tcW w:w="658" w:type="pct"/>
            <w:tcBorders>
              <w:bottom w:val="single" w:sz="4" w:space="0" w:color="auto"/>
            </w:tcBorders>
          </w:tcPr>
          <w:p w:rsidR="00D65A4A" w:rsidRPr="00D65A4A" w:rsidRDefault="00D65A4A" w:rsidP="0097374B">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2016-18</w:t>
            </w:r>
          </w:p>
        </w:tc>
        <w:tc>
          <w:tcPr>
            <w:tcW w:w="416" w:type="pct"/>
            <w:tcBorders>
              <w:bottom w:val="single" w:sz="4" w:space="0" w:color="auto"/>
            </w:tcBorders>
          </w:tcPr>
          <w:p w:rsidR="00D65A4A" w:rsidRPr="00D65A4A" w:rsidRDefault="00D65A4A" w:rsidP="0097374B">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2017 AQC</w:t>
            </w:r>
          </w:p>
        </w:tc>
        <w:tc>
          <w:tcPr>
            <w:tcW w:w="418" w:type="pct"/>
            <w:tcBorders>
              <w:bottom w:val="single" w:sz="4" w:space="0" w:color="auto"/>
            </w:tcBorders>
            <w:shd w:val="clear" w:color="auto" w:fill="92D050"/>
            <w:noWrap/>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5</w:t>
            </w:r>
          </w:p>
        </w:tc>
        <w:tc>
          <w:tcPr>
            <w:tcW w:w="415" w:type="pct"/>
            <w:tcBorders>
              <w:bottom w:val="single" w:sz="4" w:space="0" w:color="auto"/>
            </w:tcBorders>
            <w:shd w:val="clear" w:color="auto" w:fill="FFC000"/>
            <w:noWrap/>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3</w:t>
            </w:r>
          </w:p>
        </w:tc>
        <w:tc>
          <w:tcPr>
            <w:tcW w:w="418" w:type="pct"/>
            <w:tcBorders>
              <w:bottom w:val="single" w:sz="4" w:space="0" w:color="auto"/>
            </w:tcBorders>
            <w:shd w:val="clear" w:color="auto" w:fill="FFC000"/>
            <w:noWrap/>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3</w:t>
            </w:r>
          </w:p>
        </w:tc>
        <w:tc>
          <w:tcPr>
            <w:tcW w:w="415" w:type="pct"/>
            <w:tcBorders>
              <w:bottom w:val="single" w:sz="4" w:space="0" w:color="auto"/>
            </w:tcBorders>
            <w:shd w:val="clear" w:color="auto" w:fill="FFFF00"/>
            <w:noWrap/>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8" w:type="pct"/>
            <w:tcBorders>
              <w:bottom w:val="single" w:sz="4" w:space="0" w:color="auto"/>
            </w:tcBorders>
            <w:shd w:val="clear" w:color="auto" w:fill="FFFF00"/>
            <w:noWrap/>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5" w:type="pct"/>
            <w:tcBorders>
              <w:bottom w:val="single" w:sz="4" w:space="0" w:color="auto"/>
            </w:tcBorders>
            <w:shd w:val="clear" w:color="auto" w:fill="FFFF00"/>
            <w:noWrap/>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2" w:type="pct"/>
            <w:tcBorders>
              <w:bottom w:val="single" w:sz="4" w:space="0" w:color="auto"/>
            </w:tcBorders>
            <w:shd w:val="clear" w:color="auto" w:fill="auto"/>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n/a</w:t>
            </w:r>
          </w:p>
        </w:tc>
      </w:tr>
      <w:tr w:rsidR="00D65A4A" w:rsidRPr="00C61187" w:rsidTr="0097374B">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tcPr>
          <w:p w:rsidR="00D65A4A" w:rsidRPr="00D65A4A" w:rsidRDefault="00D65A4A" w:rsidP="0097374B">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 xml:space="preserve">Delivering Better Health (includes </w:t>
            </w:r>
          </w:p>
          <w:p w:rsidR="00D65A4A" w:rsidRPr="00D65A4A" w:rsidRDefault="00D65A4A" w:rsidP="0097374B">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Partnering to Save Lives)</w:t>
            </w:r>
          </w:p>
        </w:tc>
        <w:tc>
          <w:tcPr>
            <w:tcW w:w="658" w:type="pct"/>
          </w:tcPr>
          <w:p w:rsidR="00D65A4A" w:rsidRPr="00D65A4A" w:rsidRDefault="00D65A4A" w:rsidP="0097374B">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$22.7m</w:t>
            </w:r>
          </w:p>
        </w:tc>
        <w:tc>
          <w:tcPr>
            <w:tcW w:w="416" w:type="pct"/>
          </w:tcPr>
          <w:p w:rsidR="00D65A4A" w:rsidRPr="00D65A4A" w:rsidRDefault="00D65A4A" w:rsidP="0097374B">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2018 AQC</w:t>
            </w:r>
          </w:p>
        </w:tc>
        <w:tc>
          <w:tcPr>
            <w:tcW w:w="418" w:type="pct"/>
            <w:shd w:val="clear" w:color="auto" w:fill="92D050"/>
            <w:noWrap/>
            <w:vAlign w:val="center"/>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5</w:t>
            </w:r>
          </w:p>
        </w:tc>
        <w:tc>
          <w:tcPr>
            <w:tcW w:w="415" w:type="pct"/>
            <w:shd w:val="clear" w:color="auto" w:fill="92D050"/>
            <w:noWrap/>
            <w:vAlign w:val="center"/>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5</w:t>
            </w:r>
          </w:p>
        </w:tc>
        <w:tc>
          <w:tcPr>
            <w:tcW w:w="418" w:type="pct"/>
            <w:shd w:val="clear" w:color="auto" w:fill="92D050"/>
            <w:noWrap/>
            <w:vAlign w:val="center"/>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5</w:t>
            </w:r>
          </w:p>
        </w:tc>
        <w:tc>
          <w:tcPr>
            <w:tcW w:w="415" w:type="pct"/>
            <w:shd w:val="clear" w:color="auto" w:fill="92D050"/>
            <w:noWrap/>
            <w:vAlign w:val="center"/>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5</w:t>
            </w:r>
          </w:p>
        </w:tc>
        <w:tc>
          <w:tcPr>
            <w:tcW w:w="418" w:type="pct"/>
            <w:shd w:val="clear" w:color="auto" w:fill="FFFF00"/>
            <w:noWrap/>
            <w:vAlign w:val="center"/>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5" w:type="pct"/>
            <w:shd w:val="clear" w:color="auto" w:fill="92D050"/>
            <w:noWrap/>
            <w:vAlign w:val="center"/>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5</w:t>
            </w:r>
          </w:p>
        </w:tc>
        <w:tc>
          <w:tcPr>
            <w:tcW w:w="412" w:type="pct"/>
            <w:shd w:val="clear" w:color="auto" w:fill="auto"/>
            <w:vAlign w:val="center"/>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n/a</w:t>
            </w:r>
          </w:p>
        </w:tc>
      </w:tr>
      <w:tr w:rsidR="00D65A4A" w:rsidRPr="00C61187" w:rsidTr="0097374B">
        <w:trPr>
          <w:cnfStyle w:val="000000010000" w:firstRow="0" w:lastRow="0" w:firstColumn="0" w:lastColumn="0" w:oddVBand="0" w:evenVBand="0" w:oddHBand="0" w:evenHBand="1" w:firstRowFirstColumn="0" w:firstRowLastColumn="0" w:lastRowFirstColumn="0" w:lastRowLastColumn="0"/>
          <w:trHeight w:val="284"/>
        </w:trPr>
        <w:tc>
          <w:tcPr>
            <w:tcW w:w="909" w:type="pct"/>
            <w:vMerge/>
          </w:tcPr>
          <w:p w:rsidR="00D65A4A" w:rsidRPr="00D65A4A" w:rsidRDefault="00D65A4A" w:rsidP="0097374B">
            <w:pPr>
              <w:keepLines/>
              <w:spacing w:before="40" w:after="40" w:line="200" w:lineRule="atLeast"/>
              <w:rPr>
                <w:rFonts w:asciiTheme="minorHAnsi" w:eastAsia="Times New Roman" w:hAnsiTheme="minorHAnsi"/>
                <w:iCs/>
                <w:szCs w:val="17"/>
                <w:lang w:eastAsia="en-US"/>
              </w:rPr>
            </w:pPr>
          </w:p>
        </w:tc>
        <w:tc>
          <w:tcPr>
            <w:tcW w:w="658" w:type="pct"/>
          </w:tcPr>
          <w:p w:rsidR="00D65A4A" w:rsidRPr="00D65A4A" w:rsidRDefault="00D65A4A" w:rsidP="0097374B">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2007-18</w:t>
            </w:r>
          </w:p>
        </w:tc>
        <w:tc>
          <w:tcPr>
            <w:tcW w:w="416" w:type="pct"/>
          </w:tcPr>
          <w:p w:rsidR="00D65A4A" w:rsidRPr="00D65A4A" w:rsidRDefault="00D65A4A" w:rsidP="0097374B">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2017 AQC</w:t>
            </w:r>
          </w:p>
        </w:tc>
        <w:tc>
          <w:tcPr>
            <w:tcW w:w="418" w:type="pct"/>
            <w:shd w:val="clear" w:color="auto" w:fill="92D050"/>
            <w:noWrap/>
            <w:vAlign w:val="center"/>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5</w:t>
            </w:r>
          </w:p>
        </w:tc>
        <w:tc>
          <w:tcPr>
            <w:tcW w:w="415" w:type="pct"/>
            <w:shd w:val="clear" w:color="auto" w:fill="92D050"/>
            <w:noWrap/>
            <w:vAlign w:val="center"/>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5</w:t>
            </w:r>
          </w:p>
        </w:tc>
        <w:tc>
          <w:tcPr>
            <w:tcW w:w="418" w:type="pct"/>
            <w:shd w:val="clear" w:color="auto" w:fill="92D050"/>
            <w:noWrap/>
            <w:vAlign w:val="center"/>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5</w:t>
            </w:r>
          </w:p>
        </w:tc>
        <w:tc>
          <w:tcPr>
            <w:tcW w:w="415" w:type="pct"/>
            <w:shd w:val="clear" w:color="auto" w:fill="92D050"/>
            <w:noWrap/>
            <w:vAlign w:val="center"/>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5</w:t>
            </w:r>
          </w:p>
        </w:tc>
        <w:tc>
          <w:tcPr>
            <w:tcW w:w="418" w:type="pct"/>
            <w:shd w:val="clear" w:color="auto" w:fill="FFFF00"/>
            <w:noWrap/>
            <w:vAlign w:val="center"/>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5" w:type="pct"/>
            <w:shd w:val="clear" w:color="auto" w:fill="92D050"/>
            <w:noWrap/>
            <w:vAlign w:val="center"/>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5</w:t>
            </w:r>
          </w:p>
        </w:tc>
        <w:tc>
          <w:tcPr>
            <w:tcW w:w="412" w:type="pct"/>
            <w:shd w:val="clear" w:color="auto" w:fill="auto"/>
            <w:vAlign w:val="center"/>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n/a</w:t>
            </w:r>
          </w:p>
        </w:tc>
      </w:tr>
      <w:tr w:rsidR="00D65A4A" w:rsidRPr="00C61187" w:rsidTr="00806138">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tcBorders>
              <w:top w:val="single" w:sz="4" w:space="0" w:color="auto"/>
            </w:tcBorders>
          </w:tcPr>
          <w:p w:rsidR="00D65A4A" w:rsidRPr="00D65A4A" w:rsidRDefault="00D65A4A" w:rsidP="00D65A4A">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Health Equity and Quality Improvement Program (IDPoor3)</w:t>
            </w:r>
          </w:p>
        </w:tc>
        <w:tc>
          <w:tcPr>
            <w:tcW w:w="658" w:type="pct"/>
            <w:tcBorders>
              <w:top w:val="single" w:sz="4" w:space="0" w:color="auto"/>
            </w:tcBorders>
          </w:tcPr>
          <w:p w:rsidR="00D65A4A" w:rsidRPr="00D65A4A" w:rsidRDefault="00D65A4A" w:rsidP="0097374B">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$55.3m</w:t>
            </w:r>
          </w:p>
        </w:tc>
        <w:tc>
          <w:tcPr>
            <w:tcW w:w="416" w:type="pct"/>
            <w:tcBorders>
              <w:top w:val="single" w:sz="4" w:space="0" w:color="auto"/>
            </w:tcBorders>
          </w:tcPr>
          <w:p w:rsidR="00D65A4A" w:rsidRPr="00D65A4A" w:rsidRDefault="00D65A4A" w:rsidP="0097374B">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2018 AQC</w:t>
            </w:r>
          </w:p>
        </w:tc>
        <w:tc>
          <w:tcPr>
            <w:tcW w:w="418" w:type="pct"/>
            <w:tcBorders>
              <w:top w:val="single" w:sz="4" w:space="0" w:color="auto"/>
            </w:tcBorders>
            <w:shd w:val="clear" w:color="auto" w:fill="7CBF33"/>
            <w:noWrap/>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6</w:t>
            </w:r>
          </w:p>
        </w:tc>
        <w:tc>
          <w:tcPr>
            <w:tcW w:w="415" w:type="pct"/>
            <w:tcBorders>
              <w:top w:val="single" w:sz="4" w:space="0" w:color="auto"/>
            </w:tcBorders>
            <w:shd w:val="clear" w:color="auto" w:fill="FFFF00"/>
            <w:noWrap/>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8" w:type="pct"/>
            <w:tcBorders>
              <w:top w:val="single" w:sz="4" w:space="0" w:color="auto"/>
            </w:tcBorders>
            <w:shd w:val="clear" w:color="auto" w:fill="92D050"/>
            <w:noWrap/>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5</w:t>
            </w:r>
          </w:p>
        </w:tc>
        <w:tc>
          <w:tcPr>
            <w:tcW w:w="415" w:type="pct"/>
            <w:tcBorders>
              <w:top w:val="single" w:sz="4" w:space="0" w:color="auto"/>
            </w:tcBorders>
            <w:shd w:val="clear" w:color="auto" w:fill="FFFF00"/>
            <w:noWrap/>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8" w:type="pct"/>
            <w:tcBorders>
              <w:top w:val="single" w:sz="4" w:space="0" w:color="auto"/>
            </w:tcBorders>
            <w:shd w:val="clear" w:color="auto" w:fill="92D050"/>
            <w:noWrap/>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5</w:t>
            </w:r>
          </w:p>
        </w:tc>
        <w:tc>
          <w:tcPr>
            <w:tcW w:w="415" w:type="pct"/>
            <w:tcBorders>
              <w:top w:val="single" w:sz="4" w:space="0" w:color="auto"/>
            </w:tcBorders>
            <w:shd w:val="clear" w:color="auto" w:fill="FFFF00"/>
            <w:noWrap/>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2" w:type="pct"/>
            <w:tcBorders>
              <w:top w:val="single" w:sz="4" w:space="0" w:color="auto"/>
            </w:tcBorders>
            <w:shd w:val="clear" w:color="auto" w:fill="auto"/>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n/a</w:t>
            </w:r>
          </w:p>
        </w:tc>
      </w:tr>
      <w:tr w:rsidR="00D65A4A" w:rsidRPr="00C61187" w:rsidTr="00806138">
        <w:trPr>
          <w:cnfStyle w:val="000000010000" w:firstRow="0" w:lastRow="0" w:firstColumn="0" w:lastColumn="0" w:oddVBand="0" w:evenVBand="0" w:oddHBand="0" w:evenHBand="1" w:firstRowFirstColumn="0" w:firstRowLastColumn="0" w:lastRowFirstColumn="0" w:lastRowLastColumn="0"/>
          <w:trHeight w:val="284"/>
        </w:trPr>
        <w:tc>
          <w:tcPr>
            <w:tcW w:w="909" w:type="pct"/>
            <w:vMerge/>
          </w:tcPr>
          <w:p w:rsidR="00D65A4A" w:rsidRPr="00D65A4A" w:rsidRDefault="00D65A4A" w:rsidP="0097374B">
            <w:pPr>
              <w:keepLines/>
              <w:spacing w:before="40" w:after="40" w:line="200" w:lineRule="atLeast"/>
              <w:rPr>
                <w:rFonts w:asciiTheme="minorHAnsi" w:eastAsia="Times New Roman" w:hAnsiTheme="minorHAnsi"/>
                <w:iCs/>
                <w:szCs w:val="17"/>
                <w:lang w:eastAsia="en-US"/>
              </w:rPr>
            </w:pPr>
          </w:p>
        </w:tc>
        <w:tc>
          <w:tcPr>
            <w:tcW w:w="658" w:type="pct"/>
          </w:tcPr>
          <w:p w:rsidR="00D65A4A" w:rsidRPr="00D65A4A" w:rsidRDefault="00D65A4A" w:rsidP="0097374B">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2016-20</w:t>
            </w:r>
          </w:p>
        </w:tc>
        <w:tc>
          <w:tcPr>
            <w:tcW w:w="416" w:type="pct"/>
          </w:tcPr>
          <w:p w:rsidR="00D65A4A" w:rsidRPr="00D65A4A" w:rsidRDefault="00D65A4A" w:rsidP="0097374B">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2017 AQC</w:t>
            </w:r>
          </w:p>
        </w:tc>
        <w:tc>
          <w:tcPr>
            <w:tcW w:w="418" w:type="pct"/>
            <w:shd w:val="clear" w:color="auto" w:fill="7CBF33"/>
            <w:noWrap/>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6</w:t>
            </w:r>
          </w:p>
        </w:tc>
        <w:tc>
          <w:tcPr>
            <w:tcW w:w="415" w:type="pct"/>
            <w:shd w:val="clear" w:color="auto" w:fill="FFFF00"/>
            <w:noWrap/>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8" w:type="pct"/>
            <w:shd w:val="clear" w:color="auto" w:fill="FFFF00"/>
            <w:noWrap/>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5" w:type="pct"/>
            <w:shd w:val="clear" w:color="auto" w:fill="FFFF00"/>
            <w:noWrap/>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8" w:type="pct"/>
            <w:shd w:val="clear" w:color="auto" w:fill="92D050"/>
            <w:noWrap/>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5</w:t>
            </w:r>
          </w:p>
        </w:tc>
        <w:tc>
          <w:tcPr>
            <w:tcW w:w="415" w:type="pct"/>
            <w:shd w:val="clear" w:color="auto" w:fill="FFFF00"/>
            <w:noWrap/>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2" w:type="pct"/>
            <w:shd w:val="clear" w:color="auto" w:fill="auto"/>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n/a</w:t>
            </w:r>
          </w:p>
        </w:tc>
      </w:tr>
      <w:tr w:rsidR="00D65A4A" w:rsidRPr="00C61187" w:rsidTr="00C97882">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tcBorders>
              <w:top w:val="single" w:sz="4" w:space="0" w:color="auto"/>
            </w:tcBorders>
          </w:tcPr>
          <w:p w:rsidR="00D65A4A" w:rsidRPr="00D65A4A" w:rsidRDefault="00D65A4A" w:rsidP="0097374B">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 xml:space="preserve">Cambodia Australian Scholarship </w:t>
            </w:r>
          </w:p>
          <w:p w:rsidR="00D65A4A" w:rsidRPr="00D65A4A" w:rsidRDefault="00D65A4A" w:rsidP="0097374B">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Initiative</w:t>
            </w:r>
          </w:p>
        </w:tc>
        <w:tc>
          <w:tcPr>
            <w:tcW w:w="658" w:type="pct"/>
            <w:tcBorders>
              <w:top w:val="single" w:sz="4" w:space="0" w:color="auto"/>
            </w:tcBorders>
          </w:tcPr>
          <w:p w:rsidR="00D65A4A" w:rsidRPr="00D65A4A" w:rsidRDefault="00D65A4A" w:rsidP="0097374B">
            <w:pPr>
              <w:keepLines/>
              <w:spacing w:before="80" w:after="8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$13.2m</w:t>
            </w:r>
          </w:p>
        </w:tc>
        <w:tc>
          <w:tcPr>
            <w:tcW w:w="416" w:type="pct"/>
            <w:tcBorders>
              <w:top w:val="single" w:sz="4" w:space="0" w:color="auto"/>
            </w:tcBorders>
            <w:shd w:val="clear" w:color="auto" w:fill="auto"/>
          </w:tcPr>
          <w:p w:rsidR="00D65A4A" w:rsidRPr="00D65A4A" w:rsidRDefault="00D65A4A" w:rsidP="0097374B">
            <w:pPr>
              <w:keepLines/>
              <w:spacing w:before="80" w:after="8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2018 AQC</w:t>
            </w:r>
          </w:p>
        </w:tc>
        <w:tc>
          <w:tcPr>
            <w:tcW w:w="418" w:type="pct"/>
            <w:tcBorders>
              <w:top w:val="single" w:sz="4" w:space="0" w:color="auto"/>
            </w:tcBorders>
            <w:shd w:val="clear" w:color="auto" w:fill="92D050"/>
            <w:noWrap/>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5</w:t>
            </w:r>
          </w:p>
        </w:tc>
        <w:tc>
          <w:tcPr>
            <w:tcW w:w="415" w:type="pct"/>
            <w:tcBorders>
              <w:top w:val="single" w:sz="4" w:space="0" w:color="auto"/>
            </w:tcBorders>
            <w:shd w:val="clear" w:color="auto" w:fill="FFFF00"/>
            <w:noWrap/>
          </w:tcPr>
          <w:p w:rsidR="00D65A4A" w:rsidRPr="00C41E2E" w:rsidRDefault="00D65A4A" w:rsidP="0097374B">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8" w:type="pct"/>
            <w:tcBorders>
              <w:top w:val="single" w:sz="4" w:space="0" w:color="auto"/>
            </w:tcBorders>
            <w:shd w:val="clear" w:color="auto" w:fill="92D050"/>
            <w:noWrap/>
          </w:tcPr>
          <w:p w:rsidR="00D65A4A" w:rsidRPr="00C41E2E" w:rsidRDefault="00D65A4A" w:rsidP="0097374B">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5" w:type="pct"/>
            <w:tcBorders>
              <w:top w:val="single" w:sz="4" w:space="0" w:color="auto"/>
            </w:tcBorders>
            <w:shd w:val="clear" w:color="auto" w:fill="92D050"/>
            <w:noWrap/>
          </w:tcPr>
          <w:p w:rsidR="00D65A4A" w:rsidRPr="00C41E2E" w:rsidRDefault="00D65A4A" w:rsidP="0097374B">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8" w:type="pct"/>
            <w:tcBorders>
              <w:top w:val="single" w:sz="4" w:space="0" w:color="auto"/>
            </w:tcBorders>
            <w:shd w:val="clear" w:color="auto" w:fill="FFFF00"/>
            <w:noWrap/>
          </w:tcPr>
          <w:p w:rsidR="00D65A4A" w:rsidRPr="00C41E2E" w:rsidRDefault="00D65A4A" w:rsidP="0097374B">
            <w:pPr>
              <w:keepLines/>
              <w:spacing w:before="40" w:after="40" w:line="200" w:lineRule="atLeast"/>
              <w:jc w:val="center"/>
              <w:rPr>
                <w:rFonts w:asciiTheme="minorHAnsi" w:eastAsia="Times New Roman" w:hAnsiTheme="minorHAnsi"/>
                <w:iCs/>
                <w:szCs w:val="17"/>
                <w:lang w:eastAsia="en-US"/>
              </w:rPr>
            </w:pPr>
            <w:r w:rsidRPr="00C41E2E">
              <w:rPr>
                <w:rFonts w:asciiTheme="minorHAnsi" w:eastAsia="Times New Roman" w:hAnsiTheme="minorHAnsi"/>
                <w:iCs/>
                <w:szCs w:val="17"/>
                <w:lang w:eastAsia="en-US"/>
              </w:rPr>
              <w:t>4</w:t>
            </w:r>
          </w:p>
        </w:tc>
        <w:tc>
          <w:tcPr>
            <w:tcW w:w="415" w:type="pct"/>
            <w:tcBorders>
              <w:top w:val="single" w:sz="4" w:space="0" w:color="auto"/>
            </w:tcBorders>
            <w:shd w:val="clear" w:color="auto" w:fill="92D050"/>
            <w:noWrap/>
          </w:tcPr>
          <w:p w:rsidR="00D65A4A" w:rsidRPr="00C41E2E" w:rsidRDefault="00D65A4A" w:rsidP="0097374B">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2" w:type="pct"/>
            <w:tcBorders>
              <w:top w:val="single" w:sz="4" w:space="0" w:color="auto"/>
            </w:tcBorders>
            <w:shd w:val="clear" w:color="auto" w:fill="auto"/>
          </w:tcPr>
          <w:p w:rsidR="00D65A4A" w:rsidRPr="00C41E2E" w:rsidRDefault="00D65A4A" w:rsidP="0097374B">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r>
      <w:tr w:rsidR="00D65A4A" w:rsidRPr="00C61187" w:rsidTr="00C97882">
        <w:trPr>
          <w:cnfStyle w:val="000000010000" w:firstRow="0" w:lastRow="0" w:firstColumn="0" w:lastColumn="0" w:oddVBand="0" w:evenVBand="0" w:oddHBand="0" w:evenHBand="1" w:firstRowFirstColumn="0" w:firstRowLastColumn="0" w:lastRowFirstColumn="0" w:lastRowLastColumn="0"/>
          <w:trHeight w:val="284"/>
        </w:trPr>
        <w:tc>
          <w:tcPr>
            <w:tcW w:w="909" w:type="pct"/>
            <w:vMerge/>
          </w:tcPr>
          <w:p w:rsidR="00D65A4A" w:rsidRPr="00D65A4A" w:rsidRDefault="00D65A4A" w:rsidP="0097374B">
            <w:pPr>
              <w:keepLines/>
              <w:spacing w:before="40" w:after="40" w:line="200" w:lineRule="atLeast"/>
              <w:rPr>
                <w:rFonts w:asciiTheme="minorHAnsi" w:eastAsia="Times New Roman" w:hAnsiTheme="minorHAnsi"/>
                <w:iCs/>
                <w:szCs w:val="17"/>
                <w:lang w:eastAsia="en-US"/>
              </w:rPr>
            </w:pPr>
          </w:p>
        </w:tc>
        <w:tc>
          <w:tcPr>
            <w:tcW w:w="658" w:type="pct"/>
          </w:tcPr>
          <w:p w:rsidR="00D65A4A" w:rsidRPr="00D65A4A" w:rsidRDefault="00D65A4A" w:rsidP="0097374B">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2013-18</w:t>
            </w:r>
          </w:p>
        </w:tc>
        <w:tc>
          <w:tcPr>
            <w:tcW w:w="416" w:type="pct"/>
          </w:tcPr>
          <w:p w:rsidR="00D65A4A" w:rsidRPr="00D65A4A" w:rsidRDefault="00D65A4A" w:rsidP="0097374B">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2017 AQC</w:t>
            </w:r>
          </w:p>
        </w:tc>
        <w:tc>
          <w:tcPr>
            <w:tcW w:w="418" w:type="pct"/>
            <w:shd w:val="clear" w:color="auto" w:fill="92D050"/>
            <w:noWrap/>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5</w:t>
            </w:r>
          </w:p>
        </w:tc>
        <w:tc>
          <w:tcPr>
            <w:tcW w:w="415" w:type="pct"/>
            <w:shd w:val="clear" w:color="auto" w:fill="92D050"/>
            <w:noWrap/>
          </w:tcPr>
          <w:p w:rsidR="00D65A4A" w:rsidRPr="00280CC1" w:rsidRDefault="00D65A4A" w:rsidP="0097374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5</w:t>
            </w:r>
          </w:p>
        </w:tc>
        <w:tc>
          <w:tcPr>
            <w:tcW w:w="418" w:type="pct"/>
            <w:shd w:val="clear" w:color="auto" w:fill="92D050"/>
            <w:noWrap/>
          </w:tcPr>
          <w:p w:rsidR="00D65A4A" w:rsidRPr="00280CC1" w:rsidRDefault="00D65A4A" w:rsidP="0097374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5</w:t>
            </w:r>
          </w:p>
        </w:tc>
        <w:tc>
          <w:tcPr>
            <w:tcW w:w="415" w:type="pct"/>
            <w:shd w:val="clear" w:color="auto" w:fill="92D050"/>
            <w:noWrap/>
          </w:tcPr>
          <w:p w:rsidR="00D65A4A" w:rsidRPr="00280CC1" w:rsidRDefault="00D65A4A" w:rsidP="0097374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5</w:t>
            </w:r>
          </w:p>
        </w:tc>
        <w:tc>
          <w:tcPr>
            <w:tcW w:w="418" w:type="pct"/>
            <w:shd w:val="clear" w:color="auto" w:fill="FFFF00"/>
            <w:noWrap/>
          </w:tcPr>
          <w:p w:rsidR="00D65A4A" w:rsidRPr="00280CC1" w:rsidRDefault="00D65A4A" w:rsidP="0097374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4</w:t>
            </w:r>
          </w:p>
        </w:tc>
        <w:tc>
          <w:tcPr>
            <w:tcW w:w="415" w:type="pct"/>
            <w:shd w:val="clear" w:color="auto" w:fill="FFFF00"/>
            <w:noWrap/>
          </w:tcPr>
          <w:p w:rsidR="00D65A4A" w:rsidRPr="00280CC1" w:rsidRDefault="00D65A4A" w:rsidP="0097374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4</w:t>
            </w:r>
          </w:p>
        </w:tc>
        <w:tc>
          <w:tcPr>
            <w:tcW w:w="412" w:type="pct"/>
            <w:shd w:val="clear" w:color="auto" w:fill="auto"/>
          </w:tcPr>
          <w:p w:rsidR="00D65A4A" w:rsidRPr="00280CC1" w:rsidRDefault="00D65A4A" w:rsidP="0097374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n/a</w:t>
            </w:r>
          </w:p>
        </w:tc>
      </w:tr>
      <w:tr w:rsidR="00D65A4A" w:rsidRPr="00C61187" w:rsidTr="00C97882">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tcBorders>
              <w:top w:val="single" w:sz="4" w:space="0" w:color="auto"/>
            </w:tcBorders>
          </w:tcPr>
          <w:p w:rsidR="00D65A4A" w:rsidRPr="00D65A4A" w:rsidRDefault="00D65A4A" w:rsidP="0097374B">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 xml:space="preserve">Community Policing Initiative in </w:t>
            </w:r>
          </w:p>
          <w:p w:rsidR="00D65A4A" w:rsidRPr="00D65A4A" w:rsidRDefault="00D65A4A" w:rsidP="0097374B">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Cambodia</w:t>
            </w:r>
          </w:p>
        </w:tc>
        <w:tc>
          <w:tcPr>
            <w:tcW w:w="658" w:type="pct"/>
            <w:tcBorders>
              <w:top w:val="single" w:sz="4" w:space="0" w:color="auto"/>
            </w:tcBorders>
          </w:tcPr>
          <w:p w:rsidR="00D65A4A" w:rsidRPr="00D65A4A" w:rsidRDefault="00D65A4A" w:rsidP="0097374B">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$4.4m</w:t>
            </w:r>
          </w:p>
        </w:tc>
        <w:tc>
          <w:tcPr>
            <w:tcW w:w="416" w:type="pct"/>
            <w:tcBorders>
              <w:top w:val="single" w:sz="4" w:space="0" w:color="auto"/>
            </w:tcBorders>
          </w:tcPr>
          <w:p w:rsidR="00D65A4A" w:rsidRPr="00D65A4A" w:rsidRDefault="00D65A4A" w:rsidP="0097374B">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2018 AQC</w:t>
            </w:r>
          </w:p>
        </w:tc>
        <w:tc>
          <w:tcPr>
            <w:tcW w:w="418" w:type="pct"/>
            <w:tcBorders>
              <w:top w:val="single" w:sz="4" w:space="0" w:color="auto"/>
            </w:tcBorders>
            <w:shd w:val="clear" w:color="auto" w:fill="FFFF00"/>
            <w:noWrap/>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5" w:type="pct"/>
            <w:tcBorders>
              <w:top w:val="single" w:sz="4" w:space="0" w:color="auto"/>
            </w:tcBorders>
            <w:shd w:val="clear" w:color="auto" w:fill="92D050"/>
            <w:noWrap/>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5</w:t>
            </w:r>
          </w:p>
        </w:tc>
        <w:tc>
          <w:tcPr>
            <w:tcW w:w="418" w:type="pct"/>
            <w:tcBorders>
              <w:top w:val="single" w:sz="4" w:space="0" w:color="auto"/>
            </w:tcBorders>
            <w:shd w:val="clear" w:color="auto" w:fill="92D050"/>
            <w:noWrap/>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5</w:t>
            </w:r>
          </w:p>
        </w:tc>
        <w:tc>
          <w:tcPr>
            <w:tcW w:w="415" w:type="pct"/>
            <w:tcBorders>
              <w:top w:val="single" w:sz="4" w:space="0" w:color="auto"/>
            </w:tcBorders>
            <w:shd w:val="clear" w:color="auto" w:fill="FFFF00"/>
            <w:noWrap/>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8" w:type="pct"/>
            <w:tcBorders>
              <w:top w:val="single" w:sz="4" w:space="0" w:color="auto"/>
            </w:tcBorders>
            <w:shd w:val="clear" w:color="auto" w:fill="92D050"/>
            <w:noWrap/>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5</w:t>
            </w:r>
          </w:p>
        </w:tc>
        <w:tc>
          <w:tcPr>
            <w:tcW w:w="415" w:type="pct"/>
            <w:tcBorders>
              <w:top w:val="single" w:sz="4" w:space="0" w:color="auto"/>
            </w:tcBorders>
            <w:shd w:val="clear" w:color="auto" w:fill="FFFF00"/>
            <w:noWrap/>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2" w:type="pct"/>
            <w:tcBorders>
              <w:top w:val="single" w:sz="4" w:space="0" w:color="auto"/>
            </w:tcBorders>
            <w:shd w:val="clear" w:color="auto" w:fill="auto"/>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n/a</w:t>
            </w:r>
          </w:p>
        </w:tc>
      </w:tr>
      <w:tr w:rsidR="00D65A4A" w:rsidRPr="00C61187" w:rsidTr="00C97882">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auto"/>
            </w:tcBorders>
          </w:tcPr>
          <w:p w:rsidR="00D65A4A" w:rsidRPr="00D65A4A" w:rsidRDefault="00D65A4A" w:rsidP="0097374B">
            <w:pPr>
              <w:keepLines/>
              <w:spacing w:before="40" w:after="40" w:line="200" w:lineRule="atLeast"/>
              <w:rPr>
                <w:rFonts w:asciiTheme="minorHAnsi" w:eastAsia="Times New Roman" w:hAnsiTheme="minorHAnsi"/>
                <w:iCs/>
                <w:szCs w:val="17"/>
                <w:lang w:eastAsia="en-US"/>
              </w:rPr>
            </w:pPr>
          </w:p>
        </w:tc>
        <w:tc>
          <w:tcPr>
            <w:tcW w:w="658" w:type="pct"/>
            <w:tcBorders>
              <w:bottom w:val="single" w:sz="4" w:space="0" w:color="auto"/>
            </w:tcBorders>
          </w:tcPr>
          <w:p w:rsidR="00D65A4A" w:rsidRPr="00D65A4A" w:rsidRDefault="00D65A4A" w:rsidP="0097374B">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2016-19</w:t>
            </w:r>
          </w:p>
        </w:tc>
        <w:tc>
          <w:tcPr>
            <w:tcW w:w="416" w:type="pct"/>
            <w:tcBorders>
              <w:bottom w:val="single" w:sz="4" w:space="0" w:color="auto"/>
            </w:tcBorders>
          </w:tcPr>
          <w:p w:rsidR="00D65A4A" w:rsidRPr="00D65A4A" w:rsidRDefault="00D65A4A" w:rsidP="0097374B">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2017 AQC</w:t>
            </w:r>
          </w:p>
        </w:tc>
        <w:tc>
          <w:tcPr>
            <w:tcW w:w="418" w:type="pct"/>
            <w:tcBorders>
              <w:bottom w:val="single" w:sz="4" w:space="0" w:color="auto"/>
            </w:tcBorders>
            <w:shd w:val="clear" w:color="auto" w:fill="92D050"/>
            <w:noWrap/>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5</w:t>
            </w:r>
          </w:p>
        </w:tc>
        <w:tc>
          <w:tcPr>
            <w:tcW w:w="415" w:type="pct"/>
            <w:tcBorders>
              <w:bottom w:val="single" w:sz="4" w:space="0" w:color="auto"/>
            </w:tcBorders>
            <w:shd w:val="clear" w:color="auto" w:fill="92D050"/>
            <w:noWrap/>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5</w:t>
            </w:r>
          </w:p>
        </w:tc>
        <w:tc>
          <w:tcPr>
            <w:tcW w:w="418" w:type="pct"/>
            <w:tcBorders>
              <w:bottom w:val="single" w:sz="4" w:space="0" w:color="auto"/>
            </w:tcBorders>
            <w:shd w:val="clear" w:color="auto" w:fill="FFFF00"/>
            <w:noWrap/>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5" w:type="pct"/>
            <w:tcBorders>
              <w:bottom w:val="single" w:sz="4" w:space="0" w:color="auto"/>
            </w:tcBorders>
            <w:shd w:val="clear" w:color="auto" w:fill="FFFF00"/>
            <w:noWrap/>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8" w:type="pct"/>
            <w:tcBorders>
              <w:bottom w:val="single" w:sz="4" w:space="0" w:color="auto"/>
            </w:tcBorders>
            <w:shd w:val="clear" w:color="auto" w:fill="92D050"/>
            <w:noWrap/>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5</w:t>
            </w:r>
          </w:p>
        </w:tc>
        <w:tc>
          <w:tcPr>
            <w:tcW w:w="415" w:type="pct"/>
            <w:tcBorders>
              <w:bottom w:val="single" w:sz="4" w:space="0" w:color="auto"/>
            </w:tcBorders>
            <w:shd w:val="clear" w:color="auto" w:fill="FFFF00"/>
            <w:noWrap/>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2" w:type="pct"/>
            <w:tcBorders>
              <w:bottom w:val="single" w:sz="4" w:space="0" w:color="auto"/>
            </w:tcBorders>
            <w:shd w:val="clear" w:color="auto" w:fill="auto"/>
          </w:tcPr>
          <w:p w:rsidR="00D65A4A" w:rsidRPr="00D65A4A" w:rsidRDefault="00D65A4A" w:rsidP="0097374B">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n/a</w:t>
            </w:r>
          </w:p>
        </w:tc>
      </w:tr>
      <w:tr w:rsidR="00D65A4A" w:rsidRPr="00C61187" w:rsidTr="002D083F">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tcPr>
          <w:p w:rsidR="00D65A4A" w:rsidRPr="003543C4" w:rsidRDefault="00D65A4A" w:rsidP="00D65A4A">
            <w:pPr>
              <w:keepLines/>
              <w:spacing w:before="40" w:after="40" w:line="200" w:lineRule="atLeast"/>
              <w:rPr>
                <w:rFonts w:asciiTheme="majorHAnsi" w:eastAsia="Times New Roman" w:hAnsiTheme="majorHAnsi"/>
                <w:iCs/>
                <w:szCs w:val="17"/>
              </w:rPr>
            </w:pPr>
            <w:r w:rsidRPr="00AF7382">
              <w:rPr>
                <w:rFonts w:asciiTheme="minorHAnsi" w:eastAsia="Times New Roman" w:hAnsiTheme="minorHAnsi"/>
                <w:iCs/>
                <w:szCs w:val="17"/>
              </w:rPr>
              <w:t>Cambodia Communication Assistance Project Phase 2</w:t>
            </w:r>
          </w:p>
        </w:tc>
        <w:tc>
          <w:tcPr>
            <w:tcW w:w="658" w:type="pct"/>
          </w:tcPr>
          <w:p w:rsidR="00D65A4A" w:rsidRPr="003543C4" w:rsidRDefault="00D65A4A" w:rsidP="00D65A4A">
            <w:pPr>
              <w:keepLines/>
              <w:spacing w:before="40" w:after="40" w:line="200" w:lineRule="atLeast"/>
              <w:rPr>
                <w:rFonts w:asciiTheme="majorHAnsi" w:eastAsia="Times New Roman" w:hAnsiTheme="majorHAnsi"/>
                <w:iCs/>
                <w:szCs w:val="17"/>
              </w:rPr>
            </w:pPr>
            <w:r w:rsidRPr="003543C4">
              <w:rPr>
                <w:rFonts w:asciiTheme="majorHAnsi" w:eastAsia="Times New Roman" w:hAnsiTheme="majorHAnsi"/>
                <w:iCs/>
                <w:szCs w:val="17"/>
                <w:lang w:eastAsia="en-US"/>
              </w:rPr>
              <w:t>$3.5m</w:t>
            </w:r>
          </w:p>
        </w:tc>
        <w:tc>
          <w:tcPr>
            <w:tcW w:w="416" w:type="pct"/>
          </w:tcPr>
          <w:p w:rsidR="00D65A4A" w:rsidRPr="003543C4" w:rsidRDefault="00D65A4A" w:rsidP="00D65A4A">
            <w:pPr>
              <w:keepLines/>
              <w:spacing w:before="40" w:after="40" w:line="200" w:lineRule="atLeast"/>
              <w:rPr>
                <w:rFonts w:asciiTheme="majorHAnsi" w:eastAsia="Times New Roman" w:hAnsiTheme="majorHAnsi"/>
                <w:iCs/>
                <w:szCs w:val="17"/>
                <w:lang w:eastAsia="en-US"/>
              </w:rPr>
            </w:pPr>
            <w:r w:rsidRPr="003543C4">
              <w:rPr>
                <w:rFonts w:asciiTheme="majorHAnsi" w:eastAsia="Times New Roman" w:hAnsiTheme="majorHAnsi"/>
                <w:iCs/>
                <w:szCs w:val="17"/>
                <w:lang w:eastAsia="en-US"/>
              </w:rPr>
              <w:t>2018 AQC</w:t>
            </w:r>
          </w:p>
        </w:tc>
        <w:tc>
          <w:tcPr>
            <w:tcW w:w="418" w:type="pct"/>
            <w:shd w:val="clear" w:color="auto" w:fill="92D050"/>
            <w:noWrap/>
          </w:tcPr>
          <w:p w:rsidR="00D65A4A" w:rsidRPr="003543C4" w:rsidRDefault="00D65A4A" w:rsidP="00D65A4A">
            <w:pPr>
              <w:keepLines/>
              <w:spacing w:before="40" w:after="40" w:line="200" w:lineRule="atLeast"/>
              <w:jc w:val="center"/>
              <w:rPr>
                <w:rFonts w:asciiTheme="majorHAnsi" w:eastAsia="Times New Roman" w:hAnsiTheme="majorHAnsi"/>
                <w:iCs/>
                <w:szCs w:val="17"/>
                <w:lang w:eastAsia="en-US"/>
              </w:rPr>
            </w:pPr>
            <w:r>
              <w:rPr>
                <w:rFonts w:asciiTheme="majorHAnsi" w:eastAsia="Times New Roman" w:hAnsiTheme="majorHAnsi"/>
                <w:iCs/>
                <w:szCs w:val="17"/>
                <w:lang w:eastAsia="en-US"/>
              </w:rPr>
              <w:t>5</w:t>
            </w:r>
          </w:p>
        </w:tc>
        <w:tc>
          <w:tcPr>
            <w:tcW w:w="415" w:type="pct"/>
            <w:shd w:val="clear" w:color="auto" w:fill="92D050"/>
            <w:noWrap/>
          </w:tcPr>
          <w:p w:rsidR="00D65A4A" w:rsidRPr="003543C4" w:rsidRDefault="00D65A4A" w:rsidP="00D65A4A">
            <w:pPr>
              <w:keepLines/>
              <w:spacing w:before="40" w:after="40" w:line="200" w:lineRule="atLeast"/>
              <w:jc w:val="center"/>
              <w:rPr>
                <w:rFonts w:asciiTheme="majorHAnsi" w:eastAsia="Times New Roman" w:hAnsiTheme="majorHAnsi"/>
                <w:iCs/>
                <w:szCs w:val="17"/>
                <w:lang w:eastAsia="en-US"/>
              </w:rPr>
            </w:pPr>
            <w:r>
              <w:rPr>
                <w:rFonts w:asciiTheme="majorHAnsi" w:eastAsia="Times New Roman" w:hAnsiTheme="majorHAnsi"/>
                <w:iCs/>
                <w:szCs w:val="17"/>
                <w:lang w:eastAsia="en-US"/>
              </w:rPr>
              <w:t>5</w:t>
            </w:r>
          </w:p>
        </w:tc>
        <w:tc>
          <w:tcPr>
            <w:tcW w:w="418" w:type="pct"/>
            <w:shd w:val="clear" w:color="auto" w:fill="92D050"/>
            <w:noWrap/>
          </w:tcPr>
          <w:p w:rsidR="00D65A4A" w:rsidRPr="003543C4" w:rsidRDefault="00D65A4A" w:rsidP="00D65A4A">
            <w:pPr>
              <w:keepLines/>
              <w:spacing w:before="40" w:after="40" w:line="200" w:lineRule="atLeast"/>
              <w:jc w:val="center"/>
              <w:rPr>
                <w:rFonts w:asciiTheme="majorHAnsi" w:eastAsia="Times New Roman" w:hAnsiTheme="majorHAnsi"/>
                <w:iCs/>
                <w:szCs w:val="17"/>
                <w:lang w:eastAsia="en-US"/>
              </w:rPr>
            </w:pPr>
            <w:r>
              <w:rPr>
                <w:rFonts w:asciiTheme="majorHAnsi" w:eastAsia="Times New Roman" w:hAnsiTheme="majorHAnsi"/>
                <w:iCs/>
                <w:szCs w:val="17"/>
                <w:lang w:eastAsia="en-US"/>
              </w:rPr>
              <w:t>5</w:t>
            </w:r>
          </w:p>
        </w:tc>
        <w:tc>
          <w:tcPr>
            <w:tcW w:w="415" w:type="pct"/>
            <w:shd w:val="clear" w:color="auto" w:fill="92D050"/>
            <w:noWrap/>
          </w:tcPr>
          <w:p w:rsidR="00D65A4A" w:rsidRPr="003543C4" w:rsidRDefault="00D65A4A" w:rsidP="00D65A4A">
            <w:pPr>
              <w:keepLines/>
              <w:spacing w:before="40" w:after="40" w:line="200" w:lineRule="atLeast"/>
              <w:jc w:val="center"/>
              <w:rPr>
                <w:rFonts w:asciiTheme="majorHAnsi" w:eastAsia="Times New Roman" w:hAnsiTheme="majorHAnsi"/>
                <w:iCs/>
                <w:szCs w:val="17"/>
                <w:lang w:eastAsia="en-US"/>
              </w:rPr>
            </w:pPr>
            <w:r>
              <w:rPr>
                <w:rFonts w:asciiTheme="majorHAnsi" w:eastAsia="Times New Roman" w:hAnsiTheme="majorHAnsi"/>
                <w:iCs/>
                <w:szCs w:val="17"/>
                <w:lang w:eastAsia="en-US"/>
              </w:rPr>
              <w:t>5</w:t>
            </w:r>
          </w:p>
        </w:tc>
        <w:tc>
          <w:tcPr>
            <w:tcW w:w="418" w:type="pct"/>
            <w:shd w:val="clear" w:color="auto" w:fill="FFFF00"/>
            <w:noWrap/>
          </w:tcPr>
          <w:p w:rsidR="00D65A4A" w:rsidRPr="003543C4" w:rsidRDefault="00D65A4A" w:rsidP="00D65A4A">
            <w:pPr>
              <w:keepLines/>
              <w:spacing w:before="40" w:after="40" w:line="200" w:lineRule="atLeast"/>
              <w:jc w:val="center"/>
              <w:rPr>
                <w:rFonts w:asciiTheme="majorHAnsi" w:eastAsia="Times New Roman" w:hAnsiTheme="majorHAnsi"/>
                <w:iCs/>
                <w:szCs w:val="17"/>
                <w:lang w:eastAsia="en-US"/>
              </w:rPr>
            </w:pPr>
            <w:r>
              <w:rPr>
                <w:rFonts w:asciiTheme="majorHAnsi" w:eastAsia="Times New Roman" w:hAnsiTheme="majorHAnsi"/>
                <w:iCs/>
                <w:szCs w:val="17"/>
                <w:lang w:eastAsia="en-US"/>
              </w:rPr>
              <w:t>4</w:t>
            </w:r>
          </w:p>
        </w:tc>
        <w:tc>
          <w:tcPr>
            <w:tcW w:w="415" w:type="pct"/>
            <w:shd w:val="clear" w:color="auto" w:fill="92D050"/>
            <w:noWrap/>
          </w:tcPr>
          <w:p w:rsidR="00D65A4A" w:rsidRPr="003543C4" w:rsidRDefault="00D65A4A" w:rsidP="00D65A4A">
            <w:pPr>
              <w:keepLines/>
              <w:spacing w:before="40" w:after="40" w:line="200" w:lineRule="atLeast"/>
              <w:jc w:val="center"/>
              <w:rPr>
                <w:rFonts w:asciiTheme="majorHAnsi" w:eastAsia="Times New Roman" w:hAnsiTheme="majorHAnsi"/>
                <w:iCs/>
                <w:szCs w:val="17"/>
                <w:lang w:eastAsia="en-US"/>
              </w:rPr>
            </w:pPr>
            <w:r>
              <w:rPr>
                <w:rFonts w:asciiTheme="majorHAnsi" w:eastAsia="Times New Roman" w:hAnsiTheme="majorHAnsi"/>
                <w:iCs/>
                <w:szCs w:val="17"/>
                <w:lang w:eastAsia="en-US"/>
              </w:rPr>
              <w:t>5</w:t>
            </w:r>
          </w:p>
        </w:tc>
        <w:tc>
          <w:tcPr>
            <w:tcW w:w="412" w:type="pct"/>
            <w:shd w:val="clear" w:color="auto" w:fill="FFFFFF" w:themeFill="background1"/>
          </w:tcPr>
          <w:p w:rsidR="00D65A4A" w:rsidRPr="003543C4" w:rsidRDefault="00D65A4A" w:rsidP="00D65A4A">
            <w:pPr>
              <w:keepLines/>
              <w:spacing w:before="40" w:after="40" w:line="200" w:lineRule="atLeast"/>
              <w:jc w:val="center"/>
              <w:rPr>
                <w:rFonts w:asciiTheme="majorHAnsi" w:eastAsia="Times New Roman" w:hAnsiTheme="majorHAnsi"/>
                <w:iCs/>
                <w:szCs w:val="17"/>
                <w:lang w:eastAsia="en-US"/>
              </w:rPr>
            </w:pPr>
            <w:r w:rsidRPr="003543C4">
              <w:rPr>
                <w:rFonts w:asciiTheme="majorHAnsi" w:eastAsia="Times New Roman" w:hAnsiTheme="majorHAnsi"/>
                <w:iCs/>
                <w:szCs w:val="17"/>
                <w:lang w:eastAsia="en-US"/>
              </w:rPr>
              <w:t>n/a</w:t>
            </w:r>
          </w:p>
        </w:tc>
      </w:tr>
      <w:tr w:rsidR="00D65A4A" w:rsidRPr="00C61187" w:rsidTr="002D083F">
        <w:trPr>
          <w:cnfStyle w:val="000000010000" w:firstRow="0" w:lastRow="0" w:firstColumn="0" w:lastColumn="0" w:oddVBand="0" w:evenVBand="0" w:oddHBand="0" w:evenHBand="1" w:firstRowFirstColumn="0" w:firstRowLastColumn="0" w:lastRowFirstColumn="0" w:lastRowLastColumn="0"/>
          <w:trHeight w:val="284"/>
        </w:trPr>
        <w:tc>
          <w:tcPr>
            <w:tcW w:w="909" w:type="pct"/>
            <w:vMerge/>
          </w:tcPr>
          <w:p w:rsidR="00D65A4A" w:rsidRPr="00880004" w:rsidRDefault="00D65A4A" w:rsidP="00D65A4A">
            <w:pPr>
              <w:keepLines/>
              <w:spacing w:before="40" w:after="40" w:line="200" w:lineRule="atLeast"/>
              <w:rPr>
                <w:rFonts w:asciiTheme="minorHAnsi" w:eastAsia="Times New Roman" w:hAnsiTheme="minorHAnsi"/>
                <w:iCs/>
                <w:szCs w:val="17"/>
                <w:lang w:eastAsia="en-US"/>
              </w:rPr>
            </w:pPr>
          </w:p>
        </w:tc>
        <w:tc>
          <w:tcPr>
            <w:tcW w:w="658" w:type="pct"/>
          </w:tcPr>
          <w:p w:rsidR="00D65A4A" w:rsidRPr="00880004" w:rsidRDefault="00D65A4A" w:rsidP="00D65A4A">
            <w:pPr>
              <w:keepLines/>
              <w:spacing w:before="40" w:after="40" w:line="200" w:lineRule="atLeast"/>
              <w:rPr>
                <w:rFonts w:asciiTheme="minorHAnsi" w:eastAsia="Times New Roman" w:hAnsiTheme="minorHAnsi"/>
                <w:iCs/>
                <w:szCs w:val="17"/>
                <w:lang w:eastAsia="en-US"/>
              </w:rPr>
            </w:pPr>
            <w:r w:rsidRPr="003543C4">
              <w:rPr>
                <w:rFonts w:asciiTheme="majorHAnsi" w:eastAsia="Times New Roman" w:hAnsiTheme="majorHAnsi"/>
                <w:iCs/>
                <w:szCs w:val="17"/>
                <w:lang w:eastAsia="en-US"/>
              </w:rPr>
              <w:t>2015-18</w:t>
            </w:r>
          </w:p>
        </w:tc>
        <w:tc>
          <w:tcPr>
            <w:tcW w:w="416" w:type="pct"/>
          </w:tcPr>
          <w:p w:rsidR="00D65A4A" w:rsidRPr="00880004" w:rsidRDefault="00D65A4A" w:rsidP="00D65A4A">
            <w:pPr>
              <w:keepLines/>
              <w:spacing w:before="40" w:after="40" w:line="200" w:lineRule="atLeast"/>
              <w:rPr>
                <w:rFonts w:asciiTheme="minorHAnsi" w:eastAsia="Times New Roman" w:hAnsiTheme="minorHAnsi"/>
                <w:iCs/>
                <w:szCs w:val="17"/>
                <w:lang w:eastAsia="en-US"/>
              </w:rPr>
            </w:pPr>
            <w:r w:rsidRPr="003543C4">
              <w:rPr>
                <w:rFonts w:asciiTheme="majorHAnsi" w:eastAsia="Times New Roman" w:hAnsiTheme="majorHAnsi"/>
                <w:iCs/>
                <w:szCs w:val="17"/>
                <w:lang w:eastAsia="en-US"/>
              </w:rPr>
              <w:t>2017 AQC</w:t>
            </w:r>
          </w:p>
        </w:tc>
        <w:tc>
          <w:tcPr>
            <w:tcW w:w="418" w:type="pct"/>
            <w:shd w:val="clear" w:color="auto" w:fill="92D050"/>
            <w:noWrap/>
          </w:tcPr>
          <w:p w:rsidR="00D65A4A" w:rsidRPr="00880004" w:rsidRDefault="00D65A4A" w:rsidP="00D65A4A">
            <w:pPr>
              <w:keepLines/>
              <w:spacing w:before="40" w:after="40" w:line="200" w:lineRule="atLeast"/>
              <w:jc w:val="center"/>
              <w:rPr>
                <w:rFonts w:asciiTheme="minorHAnsi" w:eastAsia="Times New Roman" w:hAnsiTheme="minorHAnsi"/>
                <w:iCs/>
                <w:szCs w:val="17"/>
                <w:lang w:eastAsia="en-US"/>
              </w:rPr>
            </w:pPr>
            <w:r w:rsidRPr="003543C4">
              <w:rPr>
                <w:rFonts w:asciiTheme="majorHAnsi" w:eastAsia="Times New Roman" w:hAnsiTheme="majorHAnsi"/>
                <w:iCs/>
                <w:szCs w:val="17"/>
                <w:lang w:eastAsia="en-US"/>
              </w:rPr>
              <w:t>5</w:t>
            </w:r>
          </w:p>
        </w:tc>
        <w:tc>
          <w:tcPr>
            <w:tcW w:w="415" w:type="pct"/>
            <w:shd w:val="clear" w:color="auto" w:fill="92D050"/>
            <w:noWrap/>
          </w:tcPr>
          <w:p w:rsidR="00D65A4A" w:rsidRPr="00880004" w:rsidRDefault="00D65A4A" w:rsidP="00D65A4A">
            <w:pPr>
              <w:keepLines/>
              <w:spacing w:before="40" w:after="40" w:line="200" w:lineRule="atLeast"/>
              <w:jc w:val="center"/>
              <w:rPr>
                <w:rFonts w:asciiTheme="minorHAnsi" w:eastAsia="Times New Roman" w:hAnsiTheme="minorHAnsi"/>
                <w:iCs/>
                <w:szCs w:val="17"/>
                <w:lang w:eastAsia="en-US"/>
              </w:rPr>
            </w:pPr>
            <w:r w:rsidRPr="003543C4">
              <w:rPr>
                <w:rFonts w:asciiTheme="majorHAnsi" w:eastAsia="Times New Roman" w:hAnsiTheme="majorHAnsi"/>
                <w:iCs/>
                <w:szCs w:val="17"/>
                <w:lang w:eastAsia="en-US"/>
              </w:rPr>
              <w:t>5</w:t>
            </w:r>
          </w:p>
        </w:tc>
        <w:tc>
          <w:tcPr>
            <w:tcW w:w="418" w:type="pct"/>
            <w:shd w:val="clear" w:color="auto" w:fill="92D050"/>
            <w:noWrap/>
          </w:tcPr>
          <w:p w:rsidR="00D65A4A" w:rsidRPr="00880004" w:rsidRDefault="00D65A4A" w:rsidP="00D65A4A">
            <w:pPr>
              <w:keepLines/>
              <w:spacing w:before="40" w:after="40" w:line="200" w:lineRule="atLeast"/>
              <w:jc w:val="center"/>
              <w:rPr>
                <w:rFonts w:asciiTheme="minorHAnsi" w:eastAsia="Times New Roman" w:hAnsiTheme="minorHAnsi"/>
                <w:iCs/>
                <w:szCs w:val="17"/>
                <w:lang w:eastAsia="en-US"/>
              </w:rPr>
            </w:pPr>
            <w:r w:rsidRPr="003543C4">
              <w:rPr>
                <w:rFonts w:asciiTheme="majorHAnsi" w:eastAsia="Times New Roman" w:hAnsiTheme="majorHAnsi"/>
                <w:iCs/>
                <w:szCs w:val="17"/>
                <w:lang w:eastAsia="en-US"/>
              </w:rPr>
              <w:t>5</w:t>
            </w:r>
          </w:p>
        </w:tc>
        <w:tc>
          <w:tcPr>
            <w:tcW w:w="415" w:type="pct"/>
            <w:shd w:val="clear" w:color="auto" w:fill="92D050"/>
            <w:noWrap/>
          </w:tcPr>
          <w:p w:rsidR="00D65A4A" w:rsidRPr="00880004" w:rsidRDefault="00D65A4A" w:rsidP="00D65A4A">
            <w:pPr>
              <w:keepLines/>
              <w:spacing w:before="40" w:after="40" w:line="200" w:lineRule="atLeast"/>
              <w:jc w:val="center"/>
              <w:rPr>
                <w:rFonts w:asciiTheme="minorHAnsi" w:eastAsia="Times New Roman" w:hAnsiTheme="minorHAnsi"/>
                <w:iCs/>
                <w:szCs w:val="17"/>
                <w:lang w:eastAsia="en-US"/>
              </w:rPr>
            </w:pPr>
            <w:r w:rsidRPr="003543C4">
              <w:rPr>
                <w:rFonts w:asciiTheme="majorHAnsi" w:eastAsia="Times New Roman" w:hAnsiTheme="majorHAnsi"/>
                <w:iCs/>
                <w:szCs w:val="17"/>
                <w:lang w:eastAsia="en-US"/>
              </w:rPr>
              <w:t>5</w:t>
            </w:r>
          </w:p>
        </w:tc>
        <w:tc>
          <w:tcPr>
            <w:tcW w:w="418" w:type="pct"/>
            <w:shd w:val="clear" w:color="auto" w:fill="FFFF00"/>
            <w:noWrap/>
          </w:tcPr>
          <w:p w:rsidR="00D65A4A" w:rsidRPr="00880004" w:rsidRDefault="00D65A4A" w:rsidP="00D65A4A">
            <w:pPr>
              <w:keepLines/>
              <w:spacing w:before="40" w:after="40" w:line="200" w:lineRule="atLeast"/>
              <w:jc w:val="center"/>
              <w:rPr>
                <w:rFonts w:asciiTheme="minorHAnsi" w:eastAsia="Times New Roman" w:hAnsiTheme="minorHAnsi"/>
                <w:iCs/>
                <w:szCs w:val="17"/>
                <w:lang w:eastAsia="en-US"/>
              </w:rPr>
            </w:pPr>
            <w:r w:rsidRPr="003543C4">
              <w:rPr>
                <w:rFonts w:asciiTheme="majorHAnsi" w:eastAsia="Times New Roman" w:hAnsiTheme="majorHAnsi"/>
                <w:iCs/>
                <w:szCs w:val="17"/>
                <w:lang w:eastAsia="en-US"/>
              </w:rPr>
              <w:t>4</w:t>
            </w:r>
          </w:p>
        </w:tc>
        <w:tc>
          <w:tcPr>
            <w:tcW w:w="415" w:type="pct"/>
            <w:shd w:val="clear" w:color="auto" w:fill="92D050"/>
            <w:noWrap/>
          </w:tcPr>
          <w:p w:rsidR="00D65A4A" w:rsidRPr="00880004" w:rsidRDefault="00D65A4A" w:rsidP="00D65A4A">
            <w:pPr>
              <w:keepLines/>
              <w:spacing w:before="40" w:after="40" w:line="200" w:lineRule="atLeast"/>
              <w:jc w:val="center"/>
              <w:rPr>
                <w:rFonts w:asciiTheme="minorHAnsi" w:eastAsia="Times New Roman" w:hAnsiTheme="minorHAnsi"/>
                <w:iCs/>
                <w:szCs w:val="17"/>
                <w:lang w:eastAsia="en-US"/>
              </w:rPr>
            </w:pPr>
            <w:r w:rsidRPr="003543C4">
              <w:rPr>
                <w:rFonts w:asciiTheme="majorHAnsi" w:eastAsia="Times New Roman" w:hAnsiTheme="majorHAnsi"/>
                <w:iCs/>
                <w:szCs w:val="17"/>
                <w:lang w:eastAsia="en-US"/>
              </w:rPr>
              <w:t>5</w:t>
            </w:r>
          </w:p>
        </w:tc>
        <w:tc>
          <w:tcPr>
            <w:tcW w:w="412" w:type="pct"/>
            <w:shd w:val="clear" w:color="auto" w:fill="auto"/>
          </w:tcPr>
          <w:p w:rsidR="00D65A4A" w:rsidRPr="00880004" w:rsidRDefault="00D65A4A" w:rsidP="00D65A4A">
            <w:pPr>
              <w:keepLines/>
              <w:spacing w:before="40" w:after="40" w:line="200" w:lineRule="atLeast"/>
              <w:jc w:val="center"/>
              <w:rPr>
                <w:rFonts w:asciiTheme="minorHAnsi" w:eastAsia="Times New Roman" w:hAnsiTheme="minorHAnsi"/>
                <w:iCs/>
                <w:szCs w:val="17"/>
                <w:lang w:eastAsia="en-US"/>
              </w:rPr>
            </w:pPr>
            <w:r w:rsidRPr="003543C4">
              <w:rPr>
                <w:rFonts w:asciiTheme="majorHAnsi" w:eastAsia="Times New Roman" w:hAnsiTheme="majorHAnsi"/>
                <w:iCs/>
                <w:szCs w:val="17"/>
                <w:lang w:eastAsia="en-US"/>
              </w:rPr>
              <w:t>n/a</w:t>
            </w:r>
          </w:p>
        </w:tc>
      </w:tr>
    </w:tbl>
    <w:p w:rsidR="00400B0F" w:rsidRPr="00C61187" w:rsidRDefault="00400B0F" w:rsidP="00400B0F">
      <w:pPr>
        <w:keepNext/>
        <w:numPr>
          <w:ilvl w:val="2"/>
          <w:numId w:val="0"/>
        </w:numPr>
        <w:spacing w:before="240" w:after="120"/>
        <w:outlineLvl w:val="2"/>
        <w:rPr>
          <w:rFonts w:ascii="Helvetica" w:eastAsia="Times New Roman" w:hAnsi="Helvetica" w:cs="Arial"/>
          <w:b/>
          <w:color w:val="124486"/>
          <w:kern w:val="28"/>
          <w:lang w:eastAsia="zh-CN"/>
        </w:rPr>
      </w:pPr>
      <w:r w:rsidRPr="00784031">
        <w:rPr>
          <w:rFonts w:asciiTheme="majorHAnsi" w:eastAsiaTheme="majorEastAsia" w:hAnsiTheme="majorHAnsi" w:cstheme="majorBidi"/>
          <w:caps/>
          <w:sz w:val="38"/>
          <w:szCs w:val="26"/>
        </w:rPr>
        <w:lastRenderedPageBreak/>
        <w:t>FAQC ratings</w:t>
      </w:r>
    </w:p>
    <w:p w:rsidR="00400B0F" w:rsidRPr="00C61187" w:rsidRDefault="00400B0F" w:rsidP="00784031">
      <w:r w:rsidRPr="00C61187">
        <w:t>Final AQCs assess performance over the lifetime of the investment (ratings are not compared to previous years).</w:t>
      </w:r>
    </w:p>
    <w:tbl>
      <w:tblPr>
        <w:tblStyle w:val="APPR"/>
        <w:tblW w:w="5000" w:type="pct"/>
        <w:tblLook w:val="0000" w:firstRow="0" w:lastRow="0" w:firstColumn="0" w:lastColumn="0" w:noHBand="0" w:noVBand="0"/>
      </w:tblPr>
      <w:tblGrid>
        <w:gridCol w:w="2670"/>
        <w:gridCol w:w="1927"/>
        <w:gridCol w:w="1234"/>
        <w:gridCol w:w="1231"/>
        <w:gridCol w:w="1234"/>
        <w:gridCol w:w="1231"/>
        <w:gridCol w:w="1234"/>
        <w:gridCol w:w="1231"/>
        <w:gridCol w:w="1234"/>
        <w:gridCol w:w="1234"/>
      </w:tblGrid>
      <w:tr w:rsidR="00400B0F" w:rsidRPr="00C61187" w:rsidTr="00BF225D">
        <w:trPr>
          <w:cnfStyle w:val="000000010000" w:firstRow="0" w:lastRow="0" w:firstColumn="0" w:lastColumn="0" w:oddVBand="0" w:evenVBand="0" w:oddHBand="0" w:evenHBand="1" w:firstRowFirstColumn="0" w:firstRowLastColumn="0" w:lastRowFirstColumn="0" w:lastRowLastColumn="0"/>
          <w:trHeight w:val="1505"/>
        </w:trPr>
        <w:tc>
          <w:tcPr>
            <w:tcW w:w="909" w:type="pct"/>
            <w:tcBorders>
              <w:top w:val="single" w:sz="12" w:space="0" w:color="000000" w:themeColor="text1"/>
              <w:bottom w:val="single" w:sz="4" w:space="0" w:color="auto"/>
            </w:tcBorders>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eastAsia="Times New Roman"/>
                <w:b/>
                <w:iCs/>
                <w:noProof/>
                <w:szCs w:val="17"/>
                <w:lang w:val="en-AU"/>
              </w:rPr>
              <w:drawing>
                <wp:anchor distT="0" distB="0" distL="114300" distR="114300" simplePos="0" relativeHeight="251679744" behindDoc="0" locked="0" layoutInCell="1" allowOverlap="1" wp14:anchorId="375EBCE5" wp14:editId="48817D66">
                  <wp:simplePos x="0" y="0"/>
                  <wp:positionH relativeFrom="column">
                    <wp:posOffset>0</wp:posOffset>
                  </wp:positionH>
                  <wp:positionV relativeFrom="paragraph">
                    <wp:posOffset>0</wp:posOffset>
                  </wp:positionV>
                  <wp:extent cx="1857375" cy="228600"/>
                  <wp:effectExtent l="0" t="0" r="9525" b="0"/>
                  <wp:wrapNone/>
                  <wp:docPr id="5" name="Picture 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004">
              <w:rPr>
                <w:rFonts w:asciiTheme="minorHAnsi" w:eastAsia="Times New Roman" w:hAnsiTheme="minorHAnsi"/>
                <w:b/>
                <w:iCs/>
                <w:szCs w:val="17"/>
                <w:lang w:eastAsia="en-US"/>
              </w:rPr>
              <w:t>Investment name</w:t>
            </w:r>
          </w:p>
        </w:tc>
        <w:tc>
          <w:tcPr>
            <w:tcW w:w="657" w:type="pct"/>
            <w:tcBorders>
              <w:top w:val="single" w:sz="12" w:space="0" w:color="000000" w:themeColor="text1"/>
              <w:bottom w:val="single" w:sz="4" w:space="0" w:color="auto"/>
            </w:tcBorders>
            <w:textDirection w:val="btLr"/>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Approved budget and duration</w:t>
            </w:r>
          </w:p>
        </w:tc>
        <w:tc>
          <w:tcPr>
            <w:tcW w:w="417" w:type="pct"/>
            <w:tcBorders>
              <w:top w:val="single" w:sz="12" w:space="0" w:color="000000" w:themeColor="text1"/>
              <w:bottom w:val="single" w:sz="4" w:space="0" w:color="auto"/>
            </w:tcBorders>
            <w:noWrap/>
            <w:textDirection w:val="btLr"/>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Overall rating</w:t>
            </w:r>
          </w:p>
        </w:tc>
        <w:tc>
          <w:tcPr>
            <w:tcW w:w="416" w:type="pct"/>
            <w:tcBorders>
              <w:top w:val="single" w:sz="12" w:space="0" w:color="000000" w:themeColor="text1"/>
              <w:bottom w:val="single" w:sz="4" w:space="0" w:color="auto"/>
            </w:tcBorders>
            <w:noWrap/>
            <w:textDirection w:val="btLr"/>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Relevance</w:t>
            </w:r>
          </w:p>
        </w:tc>
        <w:tc>
          <w:tcPr>
            <w:tcW w:w="417" w:type="pct"/>
            <w:tcBorders>
              <w:top w:val="single" w:sz="12" w:space="0" w:color="000000" w:themeColor="text1"/>
              <w:bottom w:val="single" w:sz="4" w:space="0" w:color="auto"/>
            </w:tcBorders>
            <w:noWrap/>
            <w:textDirection w:val="btLr"/>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Effectiveness</w:t>
            </w:r>
          </w:p>
        </w:tc>
        <w:tc>
          <w:tcPr>
            <w:tcW w:w="416" w:type="pct"/>
            <w:tcBorders>
              <w:top w:val="single" w:sz="12" w:space="0" w:color="000000" w:themeColor="text1"/>
              <w:bottom w:val="single" w:sz="4" w:space="0" w:color="auto"/>
            </w:tcBorders>
            <w:noWrap/>
            <w:textDirection w:val="btLr"/>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Efficiency</w:t>
            </w:r>
          </w:p>
        </w:tc>
        <w:tc>
          <w:tcPr>
            <w:tcW w:w="417" w:type="pct"/>
            <w:tcBorders>
              <w:top w:val="single" w:sz="12" w:space="0" w:color="000000" w:themeColor="text1"/>
              <w:bottom w:val="single" w:sz="4" w:space="0" w:color="auto"/>
            </w:tcBorders>
            <w:noWrap/>
            <w:textDirection w:val="btLr"/>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Monitoring and Evaluation</w:t>
            </w:r>
          </w:p>
        </w:tc>
        <w:tc>
          <w:tcPr>
            <w:tcW w:w="416" w:type="pct"/>
            <w:tcBorders>
              <w:top w:val="single" w:sz="12" w:space="0" w:color="000000" w:themeColor="text1"/>
              <w:bottom w:val="single" w:sz="4" w:space="0" w:color="auto"/>
            </w:tcBorders>
            <w:noWrap/>
            <w:textDirection w:val="btLr"/>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Sustainability</w:t>
            </w:r>
          </w:p>
        </w:tc>
        <w:tc>
          <w:tcPr>
            <w:tcW w:w="417" w:type="pct"/>
            <w:tcBorders>
              <w:top w:val="single" w:sz="12" w:space="0" w:color="000000" w:themeColor="text1"/>
              <w:bottom w:val="single" w:sz="4" w:space="0" w:color="auto"/>
            </w:tcBorders>
            <w:textDirection w:val="btLr"/>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Gender equality</w:t>
            </w:r>
          </w:p>
        </w:tc>
        <w:tc>
          <w:tcPr>
            <w:tcW w:w="412" w:type="pct"/>
            <w:tcBorders>
              <w:top w:val="single" w:sz="12" w:space="0" w:color="000000" w:themeColor="text1"/>
              <w:bottom w:val="single" w:sz="4" w:space="0" w:color="auto"/>
            </w:tcBorders>
            <w:textDirection w:val="btLr"/>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Risks and Safeguards</w:t>
            </w:r>
          </w:p>
        </w:tc>
      </w:tr>
      <w:tr w:rsidR="00BF225D" w:rsidRPr="00C61187" w:rsidTr="00944823">
        <w:trPr>
          <w:cnfStyle w:val="000000010000" w:firstRow="0" w:lastRow="0" w:firstColumn="0" w:lastColumn="0" w:oddVBand="0" w:evenVBand="0" w:oddHBand="0" w:evenHBand="1" w:firstRowFirstColumn="0" w:firstRowLastColumn="0" w:lastRowFirstColumn="0" w:lastRowLastColumn="0"/>
          <w:trHeight w:val="284"/>
        </w:trPr>
        <w:tc>
          <w:tcPr>
            <w:tcW w:w="909" w:type="pct"/>
          </w:tcPr>
          <w:p w:rsidR="00BF225D" w:rsidRPr="00880004" w:rsidRDefault="00BF225D" w:rsidP="00BF225D">
            <w:pPr>
              <w:keepLines/>
              <w:spacing w:before="40" w:after="40" w:line="200" w:lineRule="atLeast"/>
              <w:rPr>
                <w:rFonts w:asciiTheme="minorHAnsi" w:eastAsia="Times New Roman" w:hAnsiTheme="minorHAnsi"/>
                <w:iCs/>
                <w:szCs w:val="17"/>
                <w:lang w:eastAsia="en-US"/>
              </w:rPr>
            </w:pPr>
            <w:r w:rsidRPr="00263B1C">
              <w:rPr>
                <w:rFonts w:asciiTheme="majorHAnsi" w:eastAsia="Times New Roman" w:hAnsiTheme="majorHAnsi"/>
                <w:iCs/>
                <w:szCs w:val="17"/>
                <w:lang w:eastAsia="en-US"/>
              </w:rPr>
              <w:t>Disability Rights Initiative Cambodia</w:t>
            </w:r>
          </w:p>
        </w:tc>
        <w:tc>
          <w:tcPr>
            <w:tcW w:w="657" w:type="pct"/>
          </w:tcPr>
          <w:p w:rsidR="00BF225D" w:rsidRDefault="00BF225D" w:rsidP="00BF225D">
            <w:pPr>
              <w:keepLines/>
              <w:spacing w:before="40" w:after="40" w:line="200" w:lineRule="atLeast"/>
              <w:rPr>
                <w:rFonts w:asciiTheme="majorHAnsi" w:eastAsia="Times New Roman" w:hAnsiTheme="majorHAnsi"/>
                <w:iCs/>
                <w:szCs w:val="17"/>
                <w:lang w:eastAsia="en-US"/>
              </w:rPr>
            </w:pPr>
            <w:r w:rsidRPr="00263B1C">
              <w:rPr>
                <w:rFonts w:asciiTheme="majorHAnsi" w:eastAsia="Times New Roman" w:hAnsiTheme="majorHAnsi"/>
                <w:iCs/>
                <w:szCs w:val="17"/>
                <w:lang w:eastAsia="en-US"/>
              </w:rPr>
              <w:t>$10.4m</w:t>
            </w:r>
          </w:p>
          <w:p w:rsidR="00BF225D" w:rsidRPr="00880004" w:rsidRDefault="00BF225D" w:rsidP="00BF225D">
            <w:pPr>
              <w:keepLines/>
              <w:spacing w:before="40" w:after="40" w:line="200" w:lineRule="atLeast"/>
              <w:rPr>
                <w:rFonts w:asciiTheme="minorHAnsi" w:eastAsia="Times New Roman" w:hAnsiTheme="minorHAnsi"/>
                <w:iCs/>
                <w:szCs w:val="17"/>
                <w:lang w:eastAsia="en-US"/>
              </w:rPr>
            </w:pPr>
            <w:r w:rsidRPr="00263B1C">
              <w:rPr>
                <w:rFonts w:asciiTheme="majorHAnsi" w:eastAsia="Times New Roman" w:hAnsiTheme="majorHAnsi"/>
                <w:iCs/>
                <w:szCs w:val="17"/>
                <w:lang w:eastAsia="en-US"/>
              </w:rPr>
              <w:t>2014-17</w:t>
            </w:r>
          </w:p>
        </w:tc>
        <w:tc>
          <w:tcPr>
            <w:tcW w:w="417" w:type="pct"/>
            <w:shd w:val="clear" w:color="auto" w:fill="FFFF00"/>
            <w:noWrap/>
          </w:tcPr>
          <w:p w:rsidR="00BF225D" w:rsidRPr="00880004" w:rsidRDefault="00BF225D" w:rsidP="00BF225D">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6" w:type="pct"/>
            <w:shd w:val="clear" w:color="auto" w:fill="92D050"/>
            <w:noWrap/>
          </w:tcPr>
          <w:p w:rsidR="00BF225D" w:rsidRPr="00263B1C" w:rsidRDefault="00BF225D" w:rsidP="00BF225D">
            <w:pPr>
              <w:keepLines/>
              <w:spacing w:before="40" w:after="40" w:line="200" w:lineRule="atLeast"/>
              <w:jc w:val="center"/>
              <w:rPr>
                <w:rFonts w:asciiTheme="majorHAnsi" w:eastAsia="Times New Roman" w:hAnsiTheme="majorHAnsi"/>
                <w:iCs/>
                <w:szCs w:val="17"/>
                <w:lang w:eastAsia="en-US"/>
              </w:rPr>
            </w:pPr>
            <w:r>
              <w:rPr>
                <w:rFonts w:asciiTheme="majorHAnsi" w:eastAsia="Times New Roman" w:hAnsiTheme="majorHAnsi"/>
                <w:iCs/>
                <w:szCs w:val="17"/>
                <w:lang w:eastAsia="en-US"/>
              </w:rPr>
              <w:t>5</w:t>
            </w:r>
          </w:p>
        </w:tc>
        <w:tc>
          <w:tcPr>
            <w:tcW w:w="417" w:type="pct"/>
            <w:shd w:val="clear" w:color="auto" w:fill="FFFF00"/>
            <w:noWrap/>
          </w:tcPr>
          <w:p w:rsidR="00BF225D" w:rsidRPr="00263B1C" w:rsidRDefault="00BF225D" w:rsidP="00BF225D">
            <w:pPr>
              <w:keepLines/>
              <w:spacing w:before="40" w:after="40" w:line="200" w:lineRule="atLeast"/>
              <w:jc w:val="center"/>
              <w:rPr>
                <w:rFonts w:asciiTheme="majorHAnsi" w:eastAsia="Times New Roman" w:hAnsiTheme="majorHAnsi"/>
                <w:iCs/>
                <w:szCs w:val="17"/>
                <w:lang w:eastAsia="en-US"/>
              </w:rPr>
            </w:pPr>
            <w:r>
              <w:rPr>
                <w:rFonts w:asciiTheme="majorHAnsi" w:eastAsia="Times New Roman" w:hAnsiTheme="majorHAnsi"/>
                <w:iCs/>
                <w:szCs w:val="17"/>
                <w:lang w:eastAsia="en-US"/>
              </w:rPr>
              <w:t>4</w:t>
            </w:r>
          </w:p>
        </w:tc>
        <w:tc>
          <w:tcPr>
            <w:tcW w:w="416" w:type="pct"/>
            <w:shd w:val="clear" w:color="auto" w:fill="FFFF00"/>
            <w:noWrap/>
          </w:tcPr>
          <w:p w:rsidR="00BF225D" w:rsidRPr="00263B1C" w:rsidRDefault="00BF225D" w:rsidP="00BF225D">
            <w:pPr>
              <w:keepLines/>
              <w:spacing w:before="40" w:after="40" w:line="200" w:lineRule="atLeast"/>
              <w:jc w:val="center"/>
              <w:rPr>
                <w:rFonts w:asciiTheme="majorHAnsi" w:eastAsia="Times New Roman" w:hAnsiTheme="majorHAnsi"/>
                <w:iCs/>
                <w:szCs w:val="17"/>
                <w:lang w:eastAsia="en-US"/>
              </w:rPr>
            </w:pPr>
            <w:r>
              <w:rPr>
                <w:rFonts w:asciiTheme="majorHAnsi" w:eastAsia="Times New Roman" w:hAnsiTheme="majorHAnsi"/>
                <w:iCs/>
                <w:szCs w:val="17"/>
                <w:lang w:eastAsia="en-US"/>
              </w:rPr>
              <w:t>4</w:t>
            </w:r>
          </w:p>
        </w:tc>
        <w:tc>
          <w:tcPr>
            <w:tcW w:w="417" w:type="pct"/>
            <w:shd w:val="clear" w:color="auto" w:fill="FFFF00"/>
            <w:noWrap/>
          </w:tcPr>
          <w:p w:rsidR="00BF225D" w:rsidRPr="00263B1C" w:rsidRDefault="00BF225D" w:rsidP="00BF225D">
            <w:pPr>
              <w:keepLines/>
              <w:spacing w:before="40" w:after="40" w:line="200" w:lineRule="atLeast"/>
              <w:jc w:val="center"/>
              <w:rPr>
                <w:rFonts w:asciiTheme="majorHAnsi" w:eastAsia="Times New Roman" w:hAnsiTheme="majorHAnsi"/>
                <w:iCs/>
                <w:szCs w:val="17"/>
                <w:lang w:eastAsia="en-US"/>
              </w:rPr>
            </w:pPr>
            <w:r>
              <w:rPr>
                <w:rFonts w:asciiTheme="majorHAnsi" w:eastAsia="Times New Roman" w:hAnsiTheme="majorHAnsi"/>
                <w:iCs/>
                <w:szCs w:val="17"/>
                <w:lang w:eastAsia="en-US"/>
              </w:rPr>
              <w:t>4</w:t>
            </w:r>
          </w:p>
        </w:tc>
        <w:tc>
          <w:tcPr>
            <w:tcW w:w="416" w:type="pct"/>
            <w:shd w:val="clear" w:color="auto" w:fill="FFFF00"/>
            <w:noWrap/>
          </w:tcPr>
          <w:p w:rsidR="00BF225D" w:rsidRPr="00263B1C" w:rsidRDefault="00BF225D" w:rsidP="00BF225D">
            <w:pPr>
              <w:keepLines/>
              <w:spacing w:before="40" w:after="40" w:line="200" w:lineRule="atLeast"/>
              <w:jc w:val="center"/>
              <w:rPr>
                <w:rFonts w:asciiTheme="majorHAnsi" w:eastAsia="Times New Roman" w:hAnsiTheme="majorHAnsi"/>
                <w:iCs/>
                <w:szCs w:val="17"/>
                <w:lang w:eastAsia="en-US"/>
              </w:rPr>
            </w:pPr>
            <w:r>
              <w:rPr>
                <w:rFonts w:asciiTheme="majorHAnsi" w:eastAsia="Times New Roman" w:hAnsiTheme="majorHAnsi"/>
                <w:iCs/>
                <w:szCs w:val="17"/>
                <w:lang w:eastAsia="en-US"/>
              </w:rPr>
              <w:t>4</w:t>
            </w:r>
          </w:p>
        </w:tc>
        <w:tc>
          <w:tcPr>
            <w:tcW w:w="417" w:type="pct"/>
            <w:shd w:val="clear" w:color="auto" w:fill="FFFF00"/>
          </w:tcPr>
          <w:p w:rsidR="00BF225D" w:rsidRPr="00263B1C" w:rsidRDefault="00BF225D" w:rsidP="00BF225D">
            <w:pPr>
              <w:keepLines/>
              <w:spacing w:before="40" w:after="40" w:line="200" w:lineRule="atLeast"/>
              <w:jc w:val="center"/>
              <w:rPr>
                <w:rFonts w:asciiTheme="majorHAnsi" w:eastAsia="Times New Roman" w:hAnsiTheme="majorHAnsi"/>
                <w:iCs/>
                <w:szCs w:val="17"/>
                <w:lang w:eastAsia="en-US"/>
              </w:rPr>
            </w:pPr>
            <w:r>
              <w:rPr>
                <w:rFonts w:asciiTheme="majorHAnsi" w:eastAsia="Times New Roman" w:hAnsiTheme="majorHAnsi"/>
                <w:iCs/>
                <w:szCs w:val="17"/>
                <w:lang w:eastAsia="en-US"/>
              </w:rPr>
              <w:t>4</w:t>
            </w:r>
          </w:p>
        </w:tc>
        <w:tc>
          <w:tcPr>
            <w:tcW w:w="412" w:type="pct"/>
            <w:shd w:val="clear" w:color="auto" w:fill="auto"/>
          </w:tcPr>
          <w:p w:rsidR="00BF225D" w:rsidRPr="00263B1C" w:rsidRDefault="00BF225D" w:rsidP="00BF225D">
            <w:pPr>
              <w:keepLines/>
              <w:spacing w:before="40" w:after="40" w:line="200" w:lineRule="atLeast"/>
              <w:jc w:val="center"/>
              <w:rPr>
                <w:rFonts w:asciiTheme="majorHAnsi" w:eastAsia="Times New Roman" w:hAnsiTheme="majorHAnsi"/>
                <w:iCs/>
                <w:szCs w:val="17"/>
                <w:lang w:eastAsia="en-US"/>
              </w:rPr>
            </w:pPr>
            <w:r>
              <w:rPr>
                <w:rFonts w:asciiTheme="majorHAnsi" w:eastAsia="Times New Roman" w:hAnsiTheme="majorHAnsi"/>
                <w:iCs/>
                <w:szCs w:val="17"/>
                <w:lang w:eastAsia="en-US"/>
              </w:rPr>
              <w:t>n/a</w:t>
            </w:r>
          </w:p>
        </w:tc>
      </w:tr>
      <w:tr w:rsidR="00BF225D" w:rsidRPr="00C61187" w:rsidTr="00FB670A">
        <w:trPr>
          <w:cnfStyle w:val="000000010000" w:firstRow="0" w:lastRow="0" w:firstColumn="0" w:lastColumn="0" w:oddVBand="0" w:evenVBand="0" w:oddHBand="0" w:evenHBand="1" w:firstRowFirstColumn="0" w:firstRowLastColumn="0" w:lastRowFirstColumn="0" w:lastRowLastColumn="0"/>
          <w:trHeight w:val="284"/>
        </w:trPr>
        <w:tc>
          <w:tcPr>
            <w:tcW w:w="909" w:type="pct"/>
            <w:tcBorders>
              <w:top w:val="single" w:sz="4" w:space="0" w:color="auto"/>
            </w:tcBorders>
          </w:tcPr>
          <w:p w:rsidR="00BF225D" w:rsidRPr="00880004" w:rsidRDefault="00BF225D" w:rsidP="00BF225D">
            <w:pPr>
              <w:keepLines/>
              <w:spacing w:before="40" w:after="40" w:line="200" w:lineRule="atLeast"/>
              <w:rPr>
                <w:rFonts w:eastAsia="Times New Roman"/>
                <w:iCs/>
                <w:szCs w:val="17"/>
              </w:rPr>
            </w:pPr>
            <w:r w:rsidRPr="00263B1C">
              <w:rPr>
                <w:rFonts w:asciiTheme="majorHAnsi" w:eastAsia="Times New Roman" w:hAnsiTheme="majorHAnsi"/>
                <w:iCs/>
                <w:szCs w:val="17"/>
                <w:lang w:eastAsia="en-US"/>
              </w:rPr>
              <w:t>Ending Violence Against Women in Cambodia</w:t>
            </w:r>
          </w:p>
        </w:tc>
        <w:tc>
          <w:tcPr>
            <w:tcW w:w="657" w:type="pct"/>
            <w:tcBorders>
              <w:top w:val="single" w:sz="4" w:space="0" w:color="auto"/>
            </w:tcBorders>
          </w:tcPr>
          <w:p w:rsidR="00BF225D" w:rsidRDefault="00BF225D" w:rsidP="00BF225D">
            <w:pPr>
              <w:keepLines/>
              <w:spacing w:before="40" w:after="40" w:line="200" w:lineRule="atLeast"/>
              <w:rPr>
                <w:rFonts w:asciiTheme="majorHAnsi" w:eastAsia="Times New Roman" w:hAnsiTheme="majorHAnsi"/>
                <w:iCs/>
                <w:szCs w:val="17"/>
                <w:lang w:eastAsia="en-US"/>
              </w:rPr>
            </w:pPr>
            <w:r w:rsidRPr="00263B1C">
              <w:rPr>
                <w:rFonts w:asciiTheme="majorHAnsi" w:eastAsia="Times New Roman" w:hAnsiTheme="majorHAnsi"/>
                <w:iCs/>
                <w:szCs w:val="17"/>
                <w:lang w:eastAsia="en-US"/>
              </w:rPr>
              <w:t>$13.4m</w:t>
            </w:r>
          </w:p>
          <w:p w:rsidR="00BF225D" w:rsidRPr="00880004" w:rsidRDefault="00BF225D" w:rsidP="00BF225D">
            <w:pPr>
              <w:keepLines/>
              <w:spacing w:before="40" w:after="40" w:line="200" w:lineRule="atLeast"/>
              <w:rPr>
                <w:rFonts w:cs="Franklin Gothic Book"/>
                <w:color w:val="000000"/>
                <w:szCs w:val="17"/>
              </w:rPr>
            </w:pPr>
            <w:r w:rsidRPr="00263B1C">
              <w:rPr>
                <w:rFonts w:asciiTheme="majorHAnsi" w:eastAsia="Times New Roman" w:hAnsiTheme="majorHAnsi"/>
                <w:iCs/>
                <w:szCs w:val="17"/>
                <w:lang w:eastAsia="en-US"/>
              </w:rPr>
              <w:t>2012-17</w:t>
            </w:r>
          </w:p>
        </w:tc>
        <w:tc>
          <w:tcPr>
            <w:tcW w:w="417" w:type="pct"/>
            <w:tcBorders>
              <w:top w:val="single" w:sz="4" w:space="0" w:color="auto"/>
            </w:tcBorders>
            <w:shd w:val="clear" w:color="auto" w:fill="92D050"/>
            <w:noWrap/>
          </w:tcPr>
          <w:p w:rsidR="00BF225D" w:rsidRPr="00880004" w:rsidRDefault="00FB670A" w:rsidP="00BF225D">
            <w:pPr>
              <w:keepLines/>
              <w:spacing w:before="40" w:after="40" w:line="200" w:lineRule="atLeast"/>
              <w:jc w:val="center"/>
              <w:rPr>
                <w:rFonts w:eastAsia="Times New Roman"/>
                <w:iCs/>
                <w:szCs w:val="17"/>
              </w:rPr>
            </w:pPr>
            <w:r>
              <w:rPr>
                <w:rFonts w:eastAsia="Times New Roman"/>
                <w:iCs/>
                <w:szCs w:val="17"/>
              </w:rPr>
              <w:t>5</w:t>
            </w:r>
          </w:p>
        </w:tc>
        <w:tc>
          <w:tcPr>
            <w:tcW w:w="416" w:type="pct"/>
            <w:tcBorders>
              <w:top w:val="single" w:sz="4" w:space="0" w:color="auto"/>
            </w:tcBorders>
            <w:shd w:val="clear" w:color="auto" w:fill="92D050"/>
            <w:noWrap/>
          </w:tcPr>
          <w:p w:rsidR="00BF225D" w:rsidRPr="00263B1C" w:rsidRDefault="00BF225D" w:rsidP="00BF225D">
            <w:pPr>
              <w:keepLines/>
              <w:spacing w:before="40" w:after="40" w:line="200" w:lineRule="atLeast"/>
              <w:jc w:val="center"/>
              <w:rPr>
                <w:rFonts w:asciiTheme="majorHAnsi" w:eastAsia="Times New Roman" w:hAnsiTheme="majorHAnsi"/>
                <w:iCs/>
                <w:szCs w:val="17"/>
                <w:lang w:eastAsia="en-US"/>
              </w:rPr>
            </w:pPr>
            <w:r>
              <w:rPr>
                <w:rFonts w:asciiTheme="majorHAnsi" w:eastAsia="Times New Roman" w:hAnsiTheme="majorHAnsi"/>
                <w:iCs/>
                <w:szCs w:val="17"/>
                <w:lang w:eastAsia="en-US"/>
              </w:rPr>
              <w:t>5</w:t>
            </w:r>
          </w:p>
        </w:tc>
        <w:tc>
          <w:tcPr>
            <w:tcW w:w="417" w:type="pct"/>
            <w:tcBorders>
              <w:top w:val="single" w:sz="4" w:space="0" w:color="auto"/>
            </w:tcBorders>
            <w:shd w:val="clear" w:color="auto" w:fill="92D050"/>
            <w:noWrap/>
          </w:tcPr>
          <w:p w:rsidR="00BF225D" w:rsidRPr="00263B1C" w:rsidRDefault="00BF225D" w:rsidP="00BF225D">
            <w:pPr>
              <w:keepLines/>
              <w:spacing w:before="40" w:after="40" w:line="200" w:lineRule="atLeast"/>
              <w:jc w:val="center"/>
              <w:rPr>
                <w:rFonts w:asciiTheme="majorHAnsi" w:eastAsia="Times New Roman" w:hAnsiTheme="majorHAnsi"/>
                <w:iCs/>
                <w:szCs w:val="17"/>
                <w:lang w:eastAsia="en-US"/>
              </w:rPr>
            </w:pPr>
            <w:r w:rsidRPr="00263B1C">
              <w:rPr>
                <w:rFonts w:asciiTheme="majorHAnsi" w:eastAsia="Times New Roman" w:hAnsiTheme="majorHAnsi"/>
                <w:iCs/>
                <w:szCs w:val="17"/>
                <w:lang w:eastAsia="en-US"/>
              </w:rPr>
              <w:t>5</w:t>
            </w:r>
          </w:p>
        </w:tc>
        <w:tc>
          <w:tcPr>
            <w:tcW w:w="416" w:type="pct"/>
            <w:tcBorders>
              <w:top w:val="single" w:sz="4" w:space="0" w:color="auto"/>
            </w:tcBorders>
            <w:shd w:val="clear" w:color="auto" w:fill="FFFF00"/>
            <w:noWrap/>
          </w:tcPr>
          <w:p w:rsidR="00BF225D" w:rsidRPr="00263B1C" w:rsidRDefault="00BF225D" w:rsidP="00BF225D">
            <w:pPr>
              <w:keepLines/>
              <w:spacing w:before="40" w:after="40" w:line="200" w:lineRule="atLeast"/>
              <w:jc w:val="center"/>
              <w:rPr>
                <w:rFonts w:asciiTheme="majorHAnsi" w:eastAsia="Times New Roman" w:hAnsiTheme="majorHAnsi"/>
                <w:iCs/>
                <w:szCs w:val="17"/>
                <w:lang w:eastAsia="en-US"/>
              </w:rPr>
            </w:pPr>
            <w:r w:rsidRPr="00263B1C">
              <w:rPr>
                <w:rFonts w:asciiTheme="majorHAnsi" w:eastAsia="Times New Roman" w:hAnsiTheme="majorHAnsi"/>
                <w:iCs/>
                <w:szCs w:val="17"/>
                <w:lang w:eastAsia="en-US"/>
              </w:rPr>
              <w:t>4</w:t>
            </w:r>
          </w:p>
        </w:tc>
        <w:tc>
          <w:tcPr>
            <w:tcW w:w="417" w:type="pct"/>
            <w:tcBorders>
              <w:top w:val="single" w:sz="4" w:space="0" w:color="auto"/>
            </w:tcBorders>
            <w:shd w:val="clear" w:color="auto" w:fill="92D050"/>
            <w:noWrap/>
          </w:tcPr>
          <w:p w:rsidR="00BF225D" w:rsidRPr="00263B1C" w:rsidRDefault="00BF225D" w:rsidP="00BF225D">
            <w:pPr>
              <w:keepLines/>
              <w:spacing w:before="40" w:after="40" w:line="200" w:lineRule="atLeast"/>
              <w:jc w:val="center"/>
              <w:rPr>
                <w:rFonts w:asciiTheme="majorHAnsi" w:eastAsia="Times New Roman" w:hAnsiTheme="majorHAnsi"/>
                <w:iCs/>
                <w:szCs w:val="17"/>
                <w:lang w:eastAsia="en-US"/>
              </w:rPr>
            </w:pPr>
            <w:r w:rsidRPr="00263B1C">
              <w:rPr>
                <w:rFonts w:asciiTheme="majorHAnsi" w:eastAsia="Times New Roman" w:hAnsiTheme="majorHAnsi"/>
                <w:iCs/>
                <w:szCs w:val="17"/>
                <w:lang w:eastAsia="en-US"/>
              </w:rPr>
              <w:t>5</w:t>
            </w:r>
          </w:p>
        </w:tc>
        <w:tc>
          <w:tcPr>
            <w:tcW w:w="416" w:type="pct"/>
            <w:tcBorders>
              <w:top w:val="single" w:sz="4" w:space="0" w:color="auto"/>
            </w:tcBorders>
            <w:shd w:val="clear" w:color="auto" w:fill="FFFF00"/>
            <w:noWrap/>
          </w:tcPr>
          <w:p w:rsidR="00BF225D" w:rsidRPr="00263B1C" w:rsidRDefault="00BF225D" w:rsidP="00BF225D">
            <w:pPr>
              <w:keepLines/>
              <w:spacing w:before="40" w:after="40" w:line="200" w:lineRule="atLeast"/>
              <w:jc w:val="center"/>
              <w:rPr>
                <w:rFonts w:asciiTheme="majorHAnsi" w:eastAsia="Times New Roman" w:hAnsiTheme="majorHAnsi"/>
                <w:iCs/>
                <w:szCs w:val="17"/>
                <w:lang w:eastAsia="en-US"/>
              </w:rPr>
            </w:pPr>
            <w:r w:rsidRPr="00263B1C">
              <w:rPr>
                <w:rFonts w:asciiTheme="majorHAnsi" w:eastAsia="Times New Roman" w:hAnsiTheme="majorHAnsi"/>
                <w:iCs/>
                <w:szCs w:val="17"/>
                <w:lang w:eastAsia="en-US"/>
              </w:rPr>
              <w:t>4</w:t>
            </w:r>
          </w:p>
        </w:tc>
        <w:tc>
          <w:tcPr>
            <w:tcW w:w="417" w:type="pct"/>
            <w:tcBorders>
              <w:top w:val="single" w:sz="4" w:space="0" w:color="auto"/>
            </w:tcBorders>
            <w:shd w:val="clear" w:color="auto" w:fill="92D050"/>
          </w:tcPr>
          <w:p w:rsidR="00BF225D" w:rsidRPr="00263B1C" w:rsidRDefault="00BF225D" w:rsidP="00BF225D">
            <w:pPr>
              <w:keepLines/>
              <w:spacing w:before="40" w:after="40" w:line="200" w:lineRule="atLeast"/>
              <w:jc w:val="center"/>
              <w:rPr>
                <w:rFonts w:asciiTheme="majorHAnsi" w:eastAsia="Times New Roman" w:hAnsiTheme="majorHAnsi"/>
                <w:iCs/>
                <w:szCs w:val="17"/>
                <w:lang w:eastAsia="en-US"/>
              </w:rPr>
            </w:pPr>
            <w:r w:rsidRPr="00263B1C">
              <w:rPr>
                <w:rFonts w:asciiTheme="majorHAnsi" w:eastAsia="Times New Roman" w:hAnsiTheme="majorHAnsi"/>
                <w:iCs/>
                <w:szCs w:val="17"/>
                <w:lang w:eastAsia="en-US"/>
              </w:rPr>
              <w:t>5</w:t>
            </w:r>
          </w:p>
        </w:tc>
        <w:tc>
          <w:tcPr>
            <w:tcW w:w="412" w:type="pct"/>
            <w:tcBorders>
              <w:top w:val="single" w:sz="4" w:space="0" w:color="auto"/>
            </w:tcBorders>
            <w:shd w:val="clear" w:color="auto" w:fill="auto"/>
          </w:tcPr>
          <w:p w:rsidR="00BF225D" w:rsidRPr="00263B1C" w:rsidRDefault="00BF225D" w:rsidP="00BF225D">
            <w:pPr>
              <w:keepLines/>
              <w:spacing w:before="40" w:after="40" w:line="200" w:lineRule="atLeast"/>
              <w:jc w:val="center"/>
              <w:rPr>
                <w:rFonts w:asciiTheme="majorHAnsi" w:eastAsia="Times New Roman" w:hAnsiTheme="majorHAnsi"/>
                <w:iCs/>
                <w:szCs w:val="17"/>
                <w:lang w:eastAsia="en-US"/>
              </w:rPr>
            </w:pPr>
            <w:r w:rsidRPr="00263B1C">
              <w:rPr>
                <w:rFonts w:asciiTheme="majorHAnsi" w:eastAsia="Times New Roman" w:hAnsiTheme="majorHAnsi"/>
                <w:iCs/>
                <w:szCs w:val="17"/>
                <w:lang w:eastAsia="en-US"/>
              </w:rPr>
              <w:t>n/a</w:t>
            </w:r>
          </w:p>
        </w:tc>
      </w:tr>
      <w:tr w:rsidR="00BF225D" w:rsidRPr="00C61187" w:rsidTr="009B7A05">
        <w:trPr>
          <w:cnfStyle w:val="000000010000" w:firstRow="0" w:lastRow="0" w:firstColumn="0" w:lastColumn="0" w:oddVBand="0" w:evenVBand="0" w:oddHBand="0" w:evenHBand="1" w:firstRowFirstColumn="0" w:firstRowLastColumn="0" w:lastRowFirstColumn="0" w:lastRowLastColumn="0"/>
          <w:trHeight w:val="284"/>
        </w:trPr>
        <w:tc>
          <w:tcPr>
            <w:tcW w:w="909" w:type="pct"/>
            <w:tcBorders>
              <w:top w:val="single" w:sz="4" w:space="0" w:color="auto"/>
              <w:bottom w:val="single" w:sz="4" w:space="0" w:color="auto"/>
            </w:tcBorders>
          </w:tcPr>
          <w:p w:rsidR="00BF225D" w:rsidRPr="00880004" w:rsidRDefault="00BF225D" w:rsidP="00BF225D">
            <w:pPr>
              <w:keepLines/>
              <w:spacing w:before="40" w:after="40" w:line="200" w:lineRule="atLeast"/>
              <w:rPr>
                <w:rFonts w:eastAsia="Times New Roman"/>
                <w:iCs/>
                <w:szCs w:val="17"/>
              </w:rPr>
            </w:pPr>
            <w:r w:rsidRPr="0054343D">
              <w:rPr>
                <w:rFonts w:asciiTheme="majorHAnsi" w:eastAsia="Times New Roman" w:hAnsiTheme="majorHAnsi"/>
                <w:iCs/>
                <w:szCs w:val="17"/>
                <w:lang w:eastAsia="en-US"/>
              </w:rPr>
              <w:t>Rural Energy Project</w:t>
            </w:r>
          </w:p>
        </w:tc>
        <w:tc>
          <w:tcPr>
            <w:tcW w:w="657" w:type="pct"/>
            <w:tcBorders>
              <w:top w:val="single" w:sz="4" w:space="0" w:color="auto"/>
              <w:bottom w:val="single" w:sz="4" w:space="0" w:color="auto"/>
            </w:tcBorders>
          </w:tcPr>
          <w:p w:rsidR="00BF225D" w:rsidRDefault="00BF225D" w:rsidP="00BF225D">
            <w:pPr>
              <w:keepLines/>
              <w:spacing w:before="40" w:after="40" w:line="200" w:lineRule="atLeast"/>
              <w:rPr>
                <w:rFonts w:asciiTheme="majorHAnsi" w:eastAsia="Times New Roman" w:hAnsiTheme="majorHAnsi"/>
                <w:iCs/>
                <w:szCs w:val="17"/>
                <w:lang w:eastAsia="en-US"/>
              </w:rPr>
            </w:pPr>
            <w:r w:rsidRPr="0054343D">
              <w:rPr>
                <w:rFonts w:asciiTheme="majorHAnsi" w:eastAsia="Times New Roman" w:hAnsiTheme="majorHAnsi"/>
                <w:iCs/>
                <w:szCs w:val="17"/>
                <w:lang w:eastAsia="en-US"/>
              </w:rPr>
              <w:t>$7.8m</w:t>
            </w:r>
          </w:p>
          <w:p w:rsidR="00BF225D" w:rsidRPr="00880004" w:rsidRDefault="00BF225D" w:rsidP="00BF225D">
            <w:pPr>
              <w:keepLines/>
              <w:spacing w:before="40" w:after="40" w:line="200" w:lineRule="atLeast"/>
              <w:rPr>
                <w:rFonts w:cs="Franklin Gothic Book"/>
                <w:color w:val="000000"/>
                <w:szCs w:val="17"/>
              </w:rPr>
            </w:pPr>
            <w:r w:rsidRPr="0054343D">
              <w:rPr>
                <w:rFonts w:asciiTheme="majorHAnsi" w:eastAsia="Times New Roman" w:hAnsiTheme="majorHAnsi"/>
                <w:iCs/>
                <w:szCs w:val="17"/>
                <w:lang w:eastAsia="en-US"/>
              </w:rPr>
              <w:t>2014-18</w:t>
            </w:r>
          </w:p>
        </w:tc>
        <w:tc>
          <w:tcPr>
            <w:tcW w:w="417" w:type="pct"/>
            <w:tcBorders>
              <w:top w:val="single" w:sz="4" w:space="0" w:color="auto"/>
              <w:bottom w:val="single" w:sz="4" w:space="0" w:color="auto"/>
            </w:tcBorders>
            <w:shd w:val="clear" w:color="auto" w:fill="FFFF00"/>
            <w:noWrap/>
          </w:tcPr>
          <w:p w:rsidR="00BF225D" w:rsidRPr="00880004" w:rsidRDefault="00944823" w:rsidP="00BF225D">
            <w:pPr>
              <w:keepLines/>
              <w:spacing w:before="40" w:after="40" w:line="200" w:lineRule="atLeast"/>
              <w:jc w:val="center"/>
              <w:rPr>
                <w:rFonts w:eastAsia="Times New Roman"/>
                <w:iCs/>
                <w:szCs w:val="17"/>
              </w:rPr>
            </w:pPr>
            <w:r>
              <w:rPr>
                <w:rFonts w:eastAsia="Times New Roman"/>
                <w:iCs/>
                <w:szCs w:val="17"/>
              </w:rPr>
              <w:t>4</w:t>
            </w:r>
          </w:p>
        </w:tc>
        <w:tc>
          <w:tcPr>
            <w:tcW w:w="416" w:type="pct"/>
            <w:tcBorders>
              <w:top w:val="single" w:sz="4" w:space="0" w:color="auto"/>
              <w:bottom w:val="single" w:sz="4" w:space="0" w:color="auto"/>
            </w:tcBorders>
            <w:shd w:val="clear" w:color="auto" w:fill="FFFF00"/>
            <w:noWrap/>
          </w:tcPr>
          <w:p w:rsidR="00BF225D" w:rsidRPr="0054343D" w:rsidRDefault="009B7A05" w:rsidP="00BF225D">
            <w:pPr>
              <w:keepLines/>
              <w:spacing w:before="40" w:after="40" w:line="200" w:lineRule="atLeast"/>
              <w:jc w:val="center"/>
              <w:rPr>
                <w:rFonts w:asciiTheme="majorHAnsi" w:eastAsia="Times New Roman" w:hAnsiTheme="majorHAnsi"/>
                <w:iCs/>
                <w:szCs w:val="17"/>
                <w:lang w:eastAsia="en-US"/>
              </w:rPr>
            </w:pPr>
            <w:r>
              <w:rPr>
                <w:rFonts w:asciiTheme="majorHAnsi" w:eastAsia="Times New Roman" w:hAnsiTheme="majorHAnsi"/>
                <w:iCs/>
                <w:szCs w:val="17"/>
                <w:lang w:eastAsia="en-US"/>
              </w:rPr>
              <w:t>4</w:t>
            </w:r>
          </w:p>
        </w:tc>
        <w:tc>
          <w:tcPr>
            <w:tcW w:w="417" w:type="pct"/>
            <w:tcBorders>
              <w:top w:val="single" w:sz="4" w:space="0" w:color="auto"/>
              <w:bottom w:val="single" w:sz="4" w:space="0" w:color="auto"/>
            </w:tcBorders>
            <w:shd w:val="clear" w:color="auto" w:fill="FFFF00"/>
            <w:noWrap/>
          </w:tcPr>
          <w:p w:rsidR="00BF225D" w:rsidRPr="0054343D" w:rsidRDefault="00BF225D" w:rsidP="00BF225D">
            <w:pPr>
              <w:keepLines/>
              <w:spacing w:before="40" w:after="40" w:line="200" w:lineRule="atLeast"/>
              <w:jc w:val="center"/>
              <w:rPr>
                <w:rFonts w:asciiTheme="majorHAnsi" w:eastAsia="Times New Roman" w:hAnsiTheme="majorHAnsi"/>
                <w:iCs/>
                <w:szCs w:val="17"/>
                <w:lang w:eastAsia="en-US"/>
              </w:rPr>
            </w:pPr>
            <w:r w:rsidRPr="0054343D">
              <w:rPr>
                <w:rFonts w:asciiTheme="majorHAnsi" w:eastAsia="Times New Roman" w:hAnsiTheme="majorHAnsi"/>
                <w:iCs/>
                <w:szCs w:val="17"/>
                <w:lang w:eastAsia="en-US"/>
              </w:rPr>
              <w:t>4</w:t>
            </w:r>
          </w:p>
        </w:tc>
        <w:tc>
          <w:tcPr>
            <w:tcW w:w="416" w:type="pct"/>
            <w:tcBorders>
              <w:top w:val="single" w:sz="4" w:space="0" w:color="auto"/>
              <w:bottom w:val="single" w:sz="4" w:space="0" w:color="auto"/>
            </w:tcBorders>
            <w:shd w:val="clear" w:color="auto" w:fill="FFC000"/>
            <w:noWrap/>
          </w:tcPr>
          <w:p w:rsidR="00BF225D" w:rsidRPr="0054343D" w:rsidRDefault="009B7A05" w:rsidP="00BF225D">
            <w:pPr>
              <w:keepLines/>
              <w:spacing w:before="40" w:after="40" w:line="200" w:lineRule="atLeast"/>
              <w:jc w:val="center"/>
              <w:rPr>
                <w:rFonts w:asciiTheme="majorHAnsi" w:eastAsia="Times New Roman" w:hAnsiTheme="majorHAnsi"/>
                <w:iCs/>
                <w:szCs w:val="17"/>
                <w:lang w:eastAsia="en-US"/>
              </w:rPr>
            </w:pPr>
            <w:r>
              <w:rPr>
                <w:rFonts w:asciiTheme="majorHAnsi" w:eastAsia="Times New Roman" w:hAnsiTheme="majorHAnsi"/>
                <w:iCs/>
                <w:szCs w:val="17"/>
                <w:lang w:eastAsia="en-US"/>
              </w:rPr>
              <w:t>3</w:t>
            </w:r>
          </w:p>
        </w:tc>
        <w:tc>
          <w:tcPr>
            <w:tcW w:w="417" w:type="pct"/>
            <w:tcBorders>
              <w:top w:val="single" w:sz="4" w:space="0" w:color="auto"/>
              <w:bottom w:val="single" w:sz="4" w:space="0" w:color="auto"/>
            </w:tcBorders>
            <w:shd w:val="clear" w:color="auto" w:fill="FFFF00"/>
            <w:noWrap/>
          </w:tcPr>
          <w:p w:rsidR="00BF225D" w:rsidRPr="0054343D" w:rsidRDefault="009B7A05" w:rsidP="00BF225D">
            <w:pPr>
              <w:keepLines/>
              <w:spacing w:before="40" w:after="40" w:line="200" w:lineRule="atLeast"/>
              <w:jc w:val="center"/>
              <w:rPr>
                <w:rFonts w:asciiTheme="majorHAnsi" w:eastAsia="Times New Roman" w:hAnsiTheme="majorHAnsi"/>
                <w:iCs/>
                <w:szCs w:val="17"/>
                <w:lang w:eastAsia="en-US"/>
              </w:rPr>
            </w:pPr>
            <w:r>
              <w:rPr>
                <w:rFonts w:asciiTheme="majorHAnsi" w:eastAsia="Times New Roman" w:hAnsiTheme="majorHAnsi"/>
                <w:iCs/>
                <w:szCs w:val="17"/>
                <w:lang w:eastAsia="en-US"/>
              </w:rPr>
              <w:t>4</w:t>
            </w:r>
          </w:p>
        </w:tc>
        <w:tc>
          <w:tcPr>
            <w:tcW w:w="416" w:type="pct"/>
            <w:tcBorders>
              <w:top w:val="single" w:sz="4" w:space="0" w:color="auto"/>
              <w:bottom w:val="single" w:sz="4" w:space="0" w:color="auto"/>
            </w:tcBorders>
            <w:shd w:val="clear" w:color="auto" w:fill="92D050"/>
            <w:noWrap/>
          </w:tcPr>
          <w:p w:rsidR="00BF225D" w:rsidRPr="0054343D" w:rsidRDefault="00BF225D" w:rsidP="00BF225D">
            <w:pPr>
              <w:keepLines/>
              <w:spacing w:before="40" w:after="40" w:line="200" w:lineRule="atLeast"/>
              <w:jc w:val="center"/>
              <w:rPr>
                <w:rFonts w:asciiTheme="majorHAnsi" w:eastAsia="Times New Roman" w:hAnsiTheme="majorHAnsi"/>
                <w:iCs/>
                <w:szCs w:val="17"/>
                <w:lang w:eastAsia="en-US"/>
              </w:rPr>
            </w:pPr>
            <w:r w:rsidRPr="0054343D">
              <w:rPr>
                <w:rFonts w:asciiTheme="majorHAnsi" w:eastAsia="Times New Roman" w:hAnsiTheme="majorHAnsi"/>
                <w:iCs/>
                <w:szCs w:val="17"/>
                <w:lang w:eastAsia="en-US"/>
              </w:rPr>
              <w:t>5</w:t>
            </w:r>
          </w:p>
        </w:tc>
        <w:tc>
          <w:tcPr>
            <w:tcW w:w="417" w:type="pct"/>
            <w:tcBorders>
              <w:top w:val="single" w:sz="4" w:space="0" w:color="auto"/>
              <w:bottom w:val="single" w:sz="4" w:space="0" w:color="auto"/>
            </w:tcBorders>
            <w:shd w:val="clear" w:color="auto" w:fill="FFC000"/>
          </w:tcPr>
          <w:p w:rsidR="00BF225D" w:rsidRPr="0054343D" w:rsidRDefault="009B7A05" w:rsidP="00BF225D">
            <w:pPr>
              <w:keepLines/>
              <w:spacing w:before="40" w:after="40" w:line="200" w:lineRule="atLeast"/>
              <w:jc w:val="center"/>
              <w:rPr>
                <w:rFonts w:asciiTheme="majorHAnsi" w:eastAsia="Times New Roman" w:hAnsiTheme="majorHAnsi"/>
                <w:iCs/>
                <w:szCs w:val="17"/>
                <w:lang w:eastAsia="en-US"/>
              </w:rPr>
            </w:pPr>
            <w:r>
              <w:rPr>
                <w:rFonts w:asciiTheme="majorHAnsi" w:eastAsia="Times New Roman" w:hAnsiTheme="majorHAnsi"/>
                <w:iCs/>
                <w:szCs w:val="17"/>
                <w:lang w:eastAsia="en-US"/>
              </w:rPr>
              <w:t>3</w:t>
            </w:r>
          </w:p>
        </w:tc>
        <w:tc>
          <w:tcPr>
            <w:tcW w:w="412" w:type="pct"/>
            <w:tcBorders>
              <w:top w:val="single" w:sz="4" w:space="0" w:color="auto"/>
              <w:bottom w:val="single" w:sz="4" w:space="0" w:color="auto"/>
            </w:tcBorders>
            <w:shd w:val="clear" w:color="auto" w:fill="auto"/>
          </w:tcPr>
          <w:p w:rsidR="00BF225D" w:rsidRPr="0054343D" w:rsidRDefault="00BF225D" w:rsidP="00BF225D">
            <w:pPr>
              <w:keepLines/>
              <w:spacing w:before="40" w:after="40" w:line="200" w:lineRule="atLeast"/>
              <w:jc w:val="center"/>
              <w:rPr>
                <w:rFonts w:asciiTheme="majorHAnsi" w:eastAsia="Times New Roman" w:hAnsiTheme="majorHAnsi"/>
                <w:iCs/>
                <w:szCs w:val="17"/>
                <w:lang w:eastAsia="en-US"/>
              </w:rPr>
            </w:pPr>
            <w:r w:rsidRPr="0054343D">
              <w:rPr>
                <w:rFonts w:asciiTheme="majorHAnsi" w:eastAsia="Times New Roman" w:hAnsiTheme="majorHAnsi"/>
                <w:iCs/>
                <w:szCs w:val="17"/>
                <w:lang w:eastAsia="en-US"/>
              </w:rPr>
              <w:t>n/a</w:t>
            </w:r>
          </w:p>
        </w:tc>
      </w:tr>
      <w:tr w:rsidR="00BF225D" w:rsidRPr="00C61187" w:rsidTr="00806138">
        <w:trPr>
          <w:cnfStyle w:val="000000010000" w:firstRow="0" w:lastRow="0" w:firstColumn="0" w:lastColumn="0" w:oddVBand="0" w:evenVBand="0" w:oddHBand="0" w:evenHBand="1" w:firstRowFirstColumn="0" w:firstRowLastColumn="0" w:lastRowFirstColumn="0" w:lastRowLastColumn="0"/>
          <w:trHeight w:val="284"/>
        </w:trPr>
        <w:tc>
          <w:tcPr>
            <w:tcW w:w="909" w:type="pct"/>
          </w:tcPr>
          <w:p w:rsidR="00BF225D" w:rsidRPr="00880004" w:rsidRDefault="00BF225D" w:rsidP="00BF225D">
            <w:pPr>
              <w:keepLines/>
              <w:spacing w:before="40" w:after="40" w:line="200" w:lineRule="atLeast"/>
              <w:rPr>
                <w:rFonts w:eastAsia="Times New Roman"/>
                <w:iCs/>
                <w:szCs w:val="17"/>
              </w:rPr>
            </w:pPr>
            <w:r w:rsidRPr="00263B1C">
              <w:rPr>
                <w:rFonts w:asciiTheme="majorHAnsi" w:eastAsia="Times New Roman" w:hAnsiTheme="majorHAnsi"/>
                <w:iCs/>
                <w:szCs w:val="17"/>
                <w:lang w:eastAsia="en-US"/>
              </w:rPr>
              <w:t>Cambodia Public Financial Management</w:t>
            </w:r>
          </w:p>
        </w:tc>
        <w:tc>
          <w:tcPr>
            <w:tcW w:w="657" w:type="pct"/>
          </w:tcPr>
          <w:p w:rsidR="00BF225D" w:rsidRDefault="00BF225D" w:rsidP="00BF225D">
            <w:pPr>
              <w:keepLines/>
              <w:spacing w:before="40" w:after="40" w:line="200" w:lineRule="atLeast"/>
              <w:rPr>
                <w:rFonts w:asciiTheme="majorHAnsi" w:eastAsia="Times New Roman" w:hAnsiTheme="majorHAnsi"/>
                <w:iCs/>
                <w:szCs w:val="17"/>
                <w:lang w:eastAsia="en-US"/>
              </w:rPr>
            </w:pPr>
            <w:r w:rsidRPr="00263B1C">
              <w:rPr>
                <w:rFonts w:asciiTheme="majorHAnsi" w:eastAsia="Times New Roman" w:hAnsiTheme="majorHAnsi"/>
                <w:iCs/>
                <w:szCs w:val="17"/>
                <w:lang w:eastAsia="en-US"/>
              </w:rPr>
              <w:t>$3.3m</w:t>
            </w:r>
          </w:p>
          <w:p w:rsidR="00BF225D" w:rsidRPr="00880004" w:rsidRDefault="00BF225D" w:rsidP="00BF225D">
            <w:pPr>
              <w:keepLines/>
              <w:spacing w:before="40" w:after="40" w:line="200" w:lineRule="atLeast"/>
              <w:rPr>
                <w:rFonts w:cs="Franklin Gothic Book"/>
                <w:color w:val="000000"/>
                <w:szCs w:val="17"/>
              </w:rPr>
            </w:pPr>
            <w:r w:rsidRPr="00263B1C">
              <w:rPr>
                <w:rFonts w:asciiTheme="majorHAnsi" w:eastAsia="Times New Roman" w:hAnsiTheme="majorHAnsi"/>
                <w:iCs/>
                <w:szCs w:val="17"/>
                <w:lang w:eastAsia="en-US"/>
              </w:rPr>
              <w:t>2005-16</w:t>
            </w:r>
          </w:p>
        </w:tc>
        <w:tc>
          <w:tcPr>
            <w:tcW w:w="417" w:type="pct"/>
            <w:shd w:val="clear" w:color="auto" w:fill="92D050"/>
            <w:noWrap/>
          </w:tcPr>
          <w:p w:rsidR="00BF225D" w:rsidRPr="00880004" w:rsidRDefault="00BF225D" w:rsidP="00BF225D">
            <w:pPr>
              <w:keepLines/>
              <w:spacing w:before="40" w:after="40" w:line="200" w:lineRule="atLeast"/>
              <w:jc w:val="center"/>
              <w:rPr>
                <w:rFonts w:eastAsia="Times New Roman"/>
                <w:iCs/>
                <w:szCs w:val="17"/>
              </w:rPr>
            </w:pPr>
            <w:r>
              <w:rPr>
                <w:rFonts w:eastAsia="Times New Roman"/>
                <w:iCs/>
                <w:szCs w:val="17"/>
              </w:rPr>
              <w:t>5</w:t>
            </w:r>
          </w:p>
        </w:tc>
        <w:tc>
          <w:tcPr>
            <w:tcW w:w="416" w:type="pct"/>
            <w:shd w:val="clear" w:color="auto" w:fill="7CBF33"/>
            <w:noWrap/>
          </w:tcPr>
          <w:p w:rsidR="00BF225D" w:rsidRPr="00263B1C" w:rsidRDefault="00BF225D" w:rsidP="00BF225D">
            <w:pPr>
              <w:keepLines/>
              <w:spacing w:before="40" w:after="40" w:line="200" w:lineRule="atLeast"/>
              <w:jc w:val="center"/>
              <w:rPr>
                <w:rFonts w:asciiTheme="majorHAnsi" w:eastAsia="Times New Roman" w:hAnsiTheme="majorHAnsi"/>
                <w:iCs/>
                <w:szCs w:val="17"/>
                <w:lang w:eastAsia="en-US"/>
              </w:rPr>
            </w:pPr>
            <w:r w:rsidRPr="00263B1C">
              <w:rPr>
                <w:rFonts w:asciiTheme="majorHAnsi" w:eastAsia="Times New Roman" w:hAnsiTheme="majorHAnsi"/>
                <w:iCs/>
                <w:szCs w:val="17"/>
                <w:lang w:eastAsia="en-US"/>
              </w:rPr>
              <w:t>6</w:t>
            </w:r>
          </w:p>
        </w:tc>
        <w:tc>
          <w:tcPr>
            <w:tcW w:w="417" w:type="pct"/>
            <w:shd w:val="clear" w:color="auto" w:fill="92D050"/>
            <w:noWrap/>
          </w:tcPr>
          <w:p w:rsidR="00BF225D" w:rsidRPr="00263B1C" w:rsidRDefault="00BF225D" w:rsidP="00BF225D">
            <w:pPr>
              <w:keepLines/>
              <w:spacing w:before="40" w:after="40" w:line="200" w:lineRule="atLeast"/>
              <w:jc w:val="center"/>
              <w:rPr>
                <w:rFonts w:asciiTheme="majorHAnsi" w:eastAsia="Times New Roman" w:hAnsiTheme="majorHAnsi"/>
                <w:iCs/>
                <w:szCs w:val="17"/>
                <w:lang w:eastAsia="en-US"/>
              </w:rPr>
            </w:pPr>
            <w:r w:rsidRPr="00263B1C">
              <w:rPr>
                <w:rFonts w:asciiTheme="majorHAnsi" w:eastAsia="Times New Roman" w:hAnsiTheme="majorHAnsi"/>
                <w:iCs/>
                <w:szCs w:val="17"/>
                <w:lang w:eastAsia="en-US"/>
              </w:rPr>
              <w:t>5</w:t>
            </w:r>
          </w:p>
        </w:tc>
        <w:tc>
          <w:tcPr>
            <w:tcW w:w="416" w:type="pct"/>
            <w:shd w:val="clear" w:color="auto" w:fill="92D050"/>
            <w:noWrap/>
          </w:tcPr>
          <w:p w:rsidR="00BF225D" w:rsidRPr="00263B1C" w:rsidRDefault="00BF225D" w:rsidP="00BF225D">
            <w:pPr>
              <w:keepLines/>
              <w:spacing w:before="40" w:after="40" w:line="200" w:lineRule="atLeast"/>
              <w:jc w:val="center"/>
              <w:rPr>
                <w:rFonts w:asciiTheme="majorHAnsi" w:eastAsia="Times New Roman" w:hAnsiTheme="majorHAnsi"/>
                <w:iCs/>
                <w:szCs w:val="17"/>
                <w:lang w:eastAsia="en-US"/>
              </w:rPr>
            </w:pPr>
            <w:r w:rsidRPr="00263B1C">
              <w:rPr>
                <w:rFonts w:asciiTheme="majorHAnsi" w:eastAsia="Times New Roman" w:hAnsiTheme="majorHAnsi"/>
                <w:iCs/>
                <w:szCs w:val="17"/>
                <w:lang w:eastAsia="en-US"/>
              </w:rPr>
              <w:t>5</w:t>
            </w:r>
          </w:p>
        </w:tc>
        <w:tc>
          <w:tcPr>
            <w:tcW w:w="417" w:type="pct"/>
            <w:shd w:val="clear" w:color="auto" w:fill="92D050"/>
            <w:noWrap/>
          </w:tcPr>
          <w:p w:rsidR="00BF225D" w:rsidRPr="00263B1C" w:rsidRDefault="00BF225D" w:rsidP="00BF225D">
            <w:pPr>
              <w:keepLines/>
              <w:spacing w:before="40" w:after="40" w:line="200" w:lineRule="atLeast"/>
              <w:jc w:val="center"/>
              <w:rPr>
                <w:rFonts w:asciiTheme="majorHAnsi" w:eastAsia="Times New Roman" w:hAnsiTheme="majorHAnsi"/>
                <w:iCs/>
                <w:szCs w:val="17"/>
                <w:lang w:eastAsia="en-US"/>
              </w:rPr>
            </w:pPr>
            <w:r w:rsidRPr="00263B1C">
              <w:rPr>
                <w:rFonts w:asciiTheme="majorHAnsi" w:eastAsia="Times New Roman" w:hAnsiTheme="majorHAnsi"/>
                <w:iCs/>
                <w:szCs w:val="17"/>
                <w:lang w:eastAsia="en-US"/>
              </w:rPr>
              <w:t>5</w:t>
            </w:r>
          </w:p>
        </w:tc>
        <w:tc>
          <w:tcPr>
            <w:tcW w:w="416" w:type="pct"/>
            <w:shd w:val="clear" w:color="auto" w:fill="92D050"/>
            <w:noWrap/>
          </w:tcPr>
          <w:p w:rsidR="00BF225D" w:rsidRPr="00263B1C" w:rsidRDefault="00BF225D" w:rsidP="00BF225D">
            <w:pPr>
              <w:keepLines/>
              <w:spacing w:before="40" w:after="40" w:line="200" w:lineRule="atLeast"/>
              <w:jc w:val="center"/>
              <w:rPr>
                <w:rFonts w:asciiTheme="majorHAnsi" w:eastAsia="Times New Roman" w:hAnsiTheme="majorHAnsi"/>
                <w:iCs/>
                <w:szCs w:val="17"/>
                <w:lang w:eastAsia="en-US"/>
              </w:rPr>
            </w:pPr>
            <w:r w:rsidRPr="00263B1C">
              <w:rPr>
                <w:rFonts w:asciiTheme="majorHAnsi" w:eastAsia="Times New Roman" w:hAnsiTheme="majorHAnsi"/>
                <w:iCs/>
                <w:szCs w:val="17"/>
                <w:lang w:eastAsia="en-US"/>
              </w:rPr>
              <w:t>5</w:t>
            </w:r>
          </w:p>
        </w:tc>
        <w:tc>
          <w:tcPr>
            <w:tcW w:w="417" w:type="pct"/>
            <w:shd w:val="clear" w:color="auto" w:fill="FFC000"/>
          </w:tcPr>
          <w:p w:rsidR="00BF225D" w:rsidRPr="00263B1C" w:rsidRDefault="00BF225D" w:rsidP="00BF225D">
            <w:pPr>
              <w:keepLines/>
              <w:spacing w:before="40" w:after="40" w:line="200" w:lineRule="atLeast"/>
              <w:jc w:val="center"/>
              <w:rPr>
                <w:rFonts w:asciiTheme="majorHAnsi" w:eastAsia="Times New Roman" w:hAnsiTheme="majorHAnsi"/>
                <w:iCs/>
                <w:szCs w:val="17"/>
                <w:lang w:eastAsia="en-US"/>
              </w:rPr>
            </w:pPr>
            <w:r w:rsidRPr="00263B1C">
              <w:rPr>
                <w:rFonts w:asciiTheme="majorHAnsi" w:eastAsia="Times New Roman" w:hAnsiTheme="majorHAnsi"/>
                <w:iCs/>
                <w:szCs w:val="17"/>
                <w:lang w:eastAsia="en-US"/>
              </w:rPr>
              <w:t>3</w:t>
            </w:r>
          </w:p>
        </w:tc>
        <w:tc>
          <w:tcPr>
            <w:tcW w:w="412" w:type="pct"/>
            <w:shd w:val="clear" w:color="auto" w:fill="auto"/>
          </w:tcPr>
          <w:p w:rsidR="00BF225D" w:rsidRPr="00263B1C" w:rsidRDefault="00BF225D" w:rsidP="00BF225D">
            <w:pPr>
              <w:keepLines/>
              <w:spacing w:before="40" w:after="40" w:line="200" w:lineRule="atLeast"/>
              <w:jc w:val="center"/>
              <w:rPr>
                <w:rFonts w:asciiTheme="majorHAnsi" w:eastAsia="Times New Roman" w:hAnsiTheme="majorHAnsi"/>
                <w:iCs/>
                <w:szCs w:val="17"/>
                <w:lang w:eastAsia="en-US"/>
              </w:rPr>
            </w:pPr>
            <w:r w:rsidRPr="00263B1C">
              <w:rPr>
                <w:rFonts w:asciiTheme="majorHAnsi" w:eastAsia="Times New Roman" w:hAnsiTheme="majorHAnsi"/>
                <w:iCs/>
                <w:szCs w:val="17"/>
                <w:lang w:eastAsia="en-US"/>
              </w:rPr>
              <w:t>n/a</w:t>
            </w:r>
          </w:p>
        </w:tc>
      </w:tr>
    </w:tbl>
    <w:p w:rsidR="00400B0F" w:rsidRPr="00C61187" w:rsidRDefault="00400B0F" w:rsidP="00400B0F">
      <w:pPr>
        <w:spacing w:before="20" w:after="20" w:line="180" w:lineRule="atLeast"/>
        <w:jc w:val="both"/>
        <w:rPr>
          <w:rFonts w:ascii="Franklin Gothic Book" w:eastAsia="Times New Roman" w:hAnsi="Franklin Gothic Book"/>
          <w:b/>
          <w:sz w:val="14"/>
          <w:szCs w:val="14"/>
        </w:rPr>
      </w:pP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sz w:val="16"/>
          <w:szCs w:val="14"/>
        </w:rPr>
        <w:t>Definitions of rating scale:</w:t>
      </w:r>
      <w:r w:rsidRPr="00880004">
        <w:rPr>
          <w:rFonts w:eastAsia="Times New Roman"/>
          <w:b/>
          <w:sz w:val="16"/>
          <w:szCs w:val="14"/>
        </w:rPr>
        <w:tab/>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sz w:val="16"/>
          <w:szCs w:val="14"/>
        </w:rPr>
        <w:t>Satisfactory (4, 5 and 6)</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xml:space="preserve"> 6 = Very good; satisfies criteria in all areas.  </w:t>
      </w:r>
      <w:r w:rsidRPr="00880004">
        <w:rPr>
          <w:rFonts w:eastAsia="Times New Roman"/>
          <w:b/>
          <w:color w:val="72AF2F"/>
          <w:sz w:val="16"/>
          <w:szCs w:val="14"/>
        </w:rPr>
        <w:sym w:font="Webdings" w:char="F067"/>
      </w:r>
      <w:r w:rsidRPr="00880004">
        <w:rPr>
          <w:rFonts w:eastAsia="Times New Roman"/>
          <w:b/>
          <w:sz w:val="16"/>
          <w:szCs w:val="14"/>
        </w:rPr>
        <w:t xml:space="preserve"> 5 = Good; satisfies criteria in almost all areas.</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FFFF00"/>
          <w:sz w:val="16"/>
          <w:szCs w:val="14"/>
        </w:rPr>
        <w:sym w:font="Webdings" w:char="F067"/>
      </w:r>
      <w:r w:rsidRPr="00880004">
        <w:rPr>
          <w:rFonts w:eastAsia="Times New Roman"/>
          <w:b/>
          <w:sz w:val="16"/>
          <w:szCs w:val="14"/>
        </w:rPr>
        <w:t xml:space="preserve"> 4 = Adequate; on balance, satisfies criteria; does not fail in any major area.</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sz w:val="16"/>
          <w:szCs w:val="14"/>
        </w:rPr>
        <w:t>Less than satisfactory (1, 2 and 3)</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color w:val="E36C0A"/>
          <w:sz w:val="16"/>
          <w:szCs w:val="14"/>
        </w:rPr>
        <w:t xml:space="preserve"> </w:t>
      </w:r>
      <w:r w:rsidRPr="00880004">
        <w:rPr>
          <w:rFonts w:eastAsia="Times New Roman"/>
          <w:b/>
          <w:sz w:val="16"/>
          <w:szCs w:val="14"/>
        </w:rPr>
        <w:t>3 = Less than adequate; on balance does not satisfy criteria and/or fails in at least one major area.</w:t>
      </w:r>
    </w:p>
    <w:p w:rsidR="004E0264" w:rsidRPr="00880004" w:rsidRDefault="00400B0F" w:rsidP="00784031">
      <w:pPr>
        <w:spacing w:before="20" w:after="20" w:line="180" w:lineRule="atLeast"/>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xml:space="preserve"> 2 = Poor; does not satisfy criteria in major areas.  </w:t>
      </w:r>
      <w:r w:rsidRPr="00880004">
        <w:rPr>
          <w:rFonts w:eastAsia="Times New Roman"/>
          <w:b/>
          <w:color w:val="FF0000"/>
          <w:sz w:val="16"/>
          <w:szCs w:val="14"/>
        </w:rPr>
        <w:sym w:font="Webdings" w:char="F067"/>
      </w:r>
      <w:r w:rsidRPr="00880004">
        <w:rPr>
          <w:rFonts w:eastAsia="Times New Roman"/>
          <w:b/>
          <w:sz w:val="16"/>
          <w:szCs w:val="14"/>
        </w:rPr>
        <w:t xml:space="preserve"> 1 = Very poor; does not satisfy criteria in many major area.</w:t>
      </w:r>
    </w:p>
    <w:p w:rsidR="004E0264" w:rsidRDefault="004E0264" w:rsidP="004E0264">
      <w:r>
        <w:br w:type="page"/>
      </w:r>
    </w:p>
    <w:p w:rsidR="00400B0F" w:rsidRPr="00784031" w:rsidRDefault="00400B0F" w:rsidP="00400B0F">
      <w:pPr>
        <w:spacing w:before="20" w:after="20" w:line="180" w:lineRule="atLeast"/>
        <w:rPr>
          <w:rFonts w:eastAsiaTheme="majorEastAsia" w:cstheme="majorBidi"/>
          <w:bCs/>
          <w:iCs/>
          <w:caps/>
          <w:spacing w:val="-10"/>
          <w:kern w:val="28"/>
          <w:sz w:val="38"/>
          <w:szCs w:val="24"/>
        </w:rPr>
      </w:pPr>
      <w:r w:rsidRPr="00784031">
        <w:rPr>
          <w:rFonts w:eastAsiaTheme="majorEastAsia" w:cstheme="majorBidi"/>
          <w:bCs/>
          <w:iCs/>
          <w:caps/>
          <w:spacing w:val="-10"/>
          <w:kern w:val="28"/>
          <w:sz w:val="38"/>
          <w:szCs w:val="24"/>
        </w:rPr>
        <w:lastRenderedPageBreak/>
        <w:t>Annex E – Performance Assessment Framework</w:t>
      </w:r>
    </w:p>
    <w:p w:rsidR="00BA4790" w:rsidRPr="00BA4790" w:rsidRDefault="00BA4790" w:rsidP="00BA4790">
      <w:pPr>
        <w:rPr>
          <w:b/>
        </w:rPr>
      </w:pPr>
      <w:r w:rsidRPr="00BA4790">
        <w:rPr>
          <w:b/>
        </w:rPr>
        <w:t>Objective 1: Improving access to essential infrastructure</w:t>
      </w:r>
    </w:p>
    <w:tbl>
      <w:tblPr>
        <w:tblW w:w="4778" w:type="pct"/>
        <w:tblLook w:val="04A0" w:firstRow="1" w:lastRow="0" w:firstColumn="1" w:lastColumn="0" w:noHBand="0" w:noVBand="1"/>
      </w:tblPr>
      <w:tblGrid>
        <w:gridCol w:w="2363"/>
        <w:gridCol w:w="504"/>
        <w:gridCol w:w="3075"/>
        <w:gridCol w:w="2390"/>
        <w:gridCol w:w="2013"/>
        <w:gridCol w:w="3473"/>
      </w:tblGrid>
      <w:tr w:rsidR="00BA4790" w:rsidRPr="00BA4790" w:rsidTr="002D083F">
        <w:tc>
          <w:tcPr>
            <w:tcW w:w="3030" w:type="dxa"/>
            <w:gridSpan w:val="2"/>
            <w:tcBorders>
              <w:top w:val="single" w:sz="2" w:space="0" w:color="808080" w:themeColor="background1" w:themeShade="80"/>
              <w:bottom w:val="single" w:sz="4" w:space="0" w:color="808080" w:themeColor="background1" w:themeShade="80"/>
            </w:tcBorders>
          </w:tcPr>
          <w:p w:rsidR="00BA4790" w:rsidRPr="00BA4790" w:rsidRDefault="00BA4790" w:rsidP="00BA4790">
            <w:r w:rsidRPr="00BA4790">
              <w:br w:type="page"/>
            </w:r>
            <w:r w:rsidRPr="00BA4790">
              <w:br w:type="page"/>
            </w:r>
          </w:p>
        </w:tc>
        <w:tc>
          <w:tcPr>
            <w:tcW w:w="3278" w:type="dxa"/>
            <w:tcBorders>
              <w:top w:val="single" w:sz="2" w:space="0" w:color="808080" w:themeColor="background1" w:themeShade="80"/>
              <w:bottom w:val="single" w:sz="4" w:space="0" w:color="808080" w:themeColor="background1" w:themeShade="80"/>
            </w:tcBorders>
          </w:tcPr>
          <w:p w:rsidR="00BA4790" w:rsidRPr="00BA4790" w:rsidRDefault="00BA4790" w:rsidP="00BA4790">
            <w:r w:rsidRPr="00BA4790">
              <w:t xml:space="preserve">Indicator </w:t>
            </w:r>
          </w:p>
        </w:tc>
        <w:tc>
          <w:tcPr>
            <w:tcW w:w="2539" w:type="dxa"/>
            <w:tcBorders>
              <w:top w:val="single" w:sz="2" w:space="0" w:color="808080" w:themeColor="background1" w:themeShade="80"/>
              <w:bottom w:val="single" w:sz="4" w:space="0" w:color="808080" w:themeColor="background1" w:themeShade="80"/>
            </w:tcBorders>
          </w:tcPr>
          <w:p w:rsidR="00BA4790" w:rsidRPr="00BA4790" w:rsidRDefault="002D083F" w:rsidP="00BA4790">
            <w:r>
              <w:t>2017/18</w:t>
            </w:r>
            <w:r w:rsidR="00BA4790" w:rsidRPr="00BA4790">
              <w:t xml:space="preserve"> Targets</w:t>
            </w:r>
          </w:p>
        </w:tc>
        <w:tc>
          <w:tcPr>
            <w:tcW w:w="2115" w:type="dxa"/>
            <w:tcBorders>
              <w:top w:val="single" w:sz="2" w:space="0" w:color="808080" w:themeColor="background1" w:themeShade="80"/>
              <w:bottom w:val="single" w:sz="4" w:space="0" w:color="808080" w:themeColor="background1" w:themeShade="80"/>
            </w:tcBorders>
          </w:tcPr>
          <w:p w:rsidR="00BA4790" w:rsidRPr="00BA4790" w:rsidRDefault="002D083F" w:rsidP="00BA4790">
            <w:r>
              <w:t>2017/18</w:t>
            </w:r>
            <w:r w:rsidR="00BA4790" w:rsidRPr="00BA4790">
              <w:t xml:space="preserve"> Results</w:t>
            </w:r>
          </w:p>
        </w:tc>
        <w:tc>
          <w:tcPr>
            <w:tcW w:w="3639" w:type="dxa"/>
            <w:tcBorders>
              <w:top w:val="single" w:sz="2" w:space="0" w:color="808080" w:themeColor="background1" w:themeShade="80"/>
              <w:bottom w:val="single" w:sz="4" w:space="0" w:color="808080" w:themeColor="background1" w:themeShade="80"/>
            </w:tcBorders>
          </w:tcPr>
          <w:p w:rsidR="00BA4790" w:rsidRPr="00BA4790" w:rsidRDefault="00BA4790" w:rsidP="00BA4790">
            <w:r w:rsidRPr="00BA4790">
              <w:t>Explanation for Results</w:t>
            </w:r>
          </w:p>
        </w:tc>
      </w:tr>
      <w:tr w:rsidR="00BA4790" w:rsidRPr="00BA4790" w:rsidTr="002D083F">
        <w:tc>
          <w:tcPr>
            <w:tcW w:w="2475" w:type="dxa"/>
            <w:tcBorders>
              <w:bottom w:val="single" w:sz="2" w:space="0" w:color="808080" w:themeColor="background1" w:themeShade="80"/>
            </w:tcBorders>
            <w:shd w:val="clear" w:color="auto" w:fill="D5EEE0" w:themeFill="accent6" w:themeFillTint="33"/>
          </w:tcPr>
          <w:p w:rsidR="00BA4790" w:rsidRPr="00BA4790" w:rsidRDefault="00BA4790" w:rsidP="00BA4790">
            <w:r w:rsidRPr="00BA4790">
              <w:t>1. Improvements in infrastructure and the economic environment</w:t>
            </w:r>
          </w:p>
        </w:tc>
        <w:tc>
          <w:tcPr>
            <w:tcW w:w="3833" w:type="dxa"/>
            <w:gridSpan w:val="2"/>
            <w:tcBorders>
              <w:bottom w:val="single" w:sz="2" w:space="0" w:color="808080" w:themeColor="background1" w:themeShade="80"/>
            </w:tcBorders>
            <w:shd w:val="clear" w:color="auto" w:fill="D5EEE0" w:themeFill="accent6" w:themeFillTint="33"/>
          </w:tcPr>
          <w:p w:rsidR="00BA4790" w:rsidRPr="00BA4790" w:rsidRDefault="00BA4790" w:rsidP="00BA4790">
            <w:r w:rsidRPr="00BA4790">
              <w:t xml:space="preserve">1. Number of people (women and men) that will directly benefit from a new </w:t>
            </w:r>
            <w:r w:rsidR="001E3E0E">
              <w:t>committed household or business</w:t>
            </w:r>
            <w:r w:rsidRPr="00BA4790">
              <w:t xml:space="preserve"> connection to electricity and/or piped, treated water</w:t>
            </w:r>
            <w:r w:rsidRPr="00BA4790" w:rsidDel="00E97AAD">
              <w:t xml:space="preserve"> </w:t>
            </w:r>
            <w:r w:rsidRPr="005A4CEA">
              <w:rPr>
                <w:b/>
                <w:bCs/>
              </w:rPr>
              <w:t>(AIP Benchmark)</w:t>
            </w:r>
            <w:r w:rsidR="00516EC8" w:rsidRPr="005A4CEA">
              <w:rPr>
                <w:b/>
                <w:bCs/>
              </w:rPr>
              <w:t>.</w:t>
            </w:r>
          </w:p>
        </w:tc>
        <w:tc>
          <w:tcPr>
            <w:tcW w:w="2539" w:type="dxa"/>
            <w:tcBorders>
              <w:bottom w:val="single" w:sz="2" w:space="0" w:color="808080" w:themeColor="background1" w:themeShade="80"/>
            </w:tcBorders>
            <w:shd w:val="clear" w:color="auto" w:fill="D5EEE0" w:themeFill="accent6" w:themeFillTint="33"/>
          </w:tcPr>
          <w:p w:rsidR="00BA4790" w:rsidRPr="00BA4790" w:rsidRDefault="002D083F" w:rsidP="00BA4790">
            <w:r w:rsidRPr="00C40362">
              <w:t>486,000</w:t>
            </w:r>
          </w:p>
        </w:tc>
        <w:tc>
          <w:tcPr>
            <w:tcW w:w="2115" w:type="dxa"/>
            <w:tcBorders>
              <w:bottom w:val="single" w:sz="2" w:space="0" w:color="808080" w:themeColor="background1" w:themeShade="80"/>
            </w:tcBorders>
            <w:shd w:val="clear" w:color="auto" w:fill="D5EEE0" w:themeFill="accent6" w:themeFillTint="33"/>
          </w:tcPr>
          <w:p w:rsidR="00BA4790" w:rsidRPr="00C40362" w:rsidRDefault="009929CB" w:rsidP="00BA4790">
            <w:r w:rsidRPr="009929CB">
              <w:t>674,357</w:t>
            </w:r>
          </w:p>
        </w:tc>
        <w:tc>
          <w:tcPr>
            <w:tcW w:w="3639" w:type="dxa"/>
            <w:tcBorders>
              <w:bottom w:val="single" w:sz="2" w:space="0" w:color="808080" w:themeColor="background1" w:themeShade="80"/>
            </w:tcBorders>
            <w:shd w:val="clear" w:color="auto" w:fill="D5EEE0" w:themeFill="accent6" w:themeFillTint="33"/>
          </w:tcPr>
          <w:p w:rsidR="00BA4790" w:rsidRPr="009929CB" w:rsidRDefault="009929CB" w:rsidP="00BA4790">
            <w:pPr>
              <w:rPr>
                <w:iCs/>
              </w:rPr>
            </w:pPr>
            <w:r w:rsidRPr="009929CB">
              <w:t>Target exceeded. This is the expected number of people that will be reached by new private electricity and water networks being built by companies that have entered into output-based co-investment contracts with Investing in Infrastructure (3i)</w:t>
            </w:r>
            <w:r w:rsidR="00516EC8">
              <w:t>.</w:t>
            </w:r>
          </w:p>
        </w:tc>
      </w:tr>
      <w:tr w:rsidR="00BA4790" w:rsidRPr="00BA4790" w:rsidTr="002D083F">
        <w:tc>
          <w:tcPr>
            <w:tcW w:w="2475" w:type="dxa"/>
            <w:tcBorders>
              <w:top w:val="single" w:sz="2" w:space="0" w:color="808080" w:themeColor="background1" w:themeShade="80"/>
              <w:bottom w:val="nil"/>
            </w:tcBorders>
            <w:shd w:val="clear" w:color="auto" w:fill="D5EEE0" w:themeFill="accent6" w:themeFillTint="33"/>
          </w:tcPr>
          <w:p w:rsidR="00BA4790" w:rsidRPr="00BA4790" w:rsidRDefault="00BA4790" w:rsidP="00BA4790">
            <w:r w:rsidRPr="00BA4790">
              <w:t>2.  Improved access to schools, health care facilities and other essential services in targeted rural areas</w:t>
            </w:r>
          </w:p>
        </w:tc>
        <w:tc>
          <w:tcPr>
            <w:tcW w:w="3833" w:type="dxa"/>
            <w:gridSpan w:val="2"/>
            <w:tcBorders>
              <w:top w:val="single" w:sz="2" w:space="0" w:color="808080" w:themeColor="background1" w:themeShade="80"/>
              <w:bottom w:val="single" w:sz="2" w:space="0" w:color="808080" w:themeColor="background1" w:themeShade="80"/>
            </w:tcBorders>
            <w:shd w:val="clear" w:color="auto" w:fill="D5EEE0" w:themeFill="accent6" w:themeFillTint="33"/>
          </w:tcPr>
          <w:p w:rsidR="00BA4790" w:rsidRPr="00BA4790" w:rsidRDefault="00BA4790" w:rsidP="00BA4790">
            <w:r w:rsidRPr="00BA4790">
              <w:t>2. Satisfactory progress is achieved on the implementation of civil works and ‘soft work’ packages in rural road rehabilitation efforts.</w:t>
            </w:r>
          </w:p>
        </w:tc>
        <w:tc>
          <w:tcPr>
            <w:tcW w:w="2539" w:type="dxa"/>
            <w:tcBorders>
              <w:top w:val="single" w:sz="2" w:space="0" w:color="808080" w:themeColor="background1" w:themeShade="80"/>
              <w:bottom w:val="single" w:sz="2" w:space="0" w:color="808080" w:themeColor="background1" w:themeShade="80"/>
            </w:tcBorders>
            <w:shd w:val="clear" w:color="auto" w:fill="D5EEE0" w:themeFill="accent6" w:themeFillTint="33"/>
          </w:tcPr>
          <w:p w:rsidR="00BA4790" w:rsidRPr="00BA4790" w:rsidRDefault="002D083F" w:rsidP="00BA4790">
            <w:r w:rsidRPr="00C40362">
              <w:t>90 per cent of packages</w:t>
            </w:r>
          </w:p>
        </w:tc>
        <w:tc>
          <w:tcPr>
            <w:tcW w:w="2115" w:type="dxa"/>
            <w:tcBorders>
              <w:top w:val="single" w:sz="2" w:space="0" w:color="808080" w:themeColor="background1" w:themeShade="80"/>
              <w:bottom w:val="single" w:sz="2" w:space="0" w:color="808080" w:themeColor="background1" w:themeShade="80"/>
            </w:tcBorders>
            <w:shd w:val="clear" w:color="auto" w:fill="D5EEE0" w:themeFill="accent6" w:themeFillTint="33"/>
          </w:tcPr>
          <w:p w:rsidR="00BA4790" w:rsidRPr="00BA4790" w:rsidRDefault="00516EC8" w:rsidP="00BA4790">
            <w:r w:rsidRPr="00CB5B91">
              <w:t xml:space="preserve">Civil works progress +0.83 </w:t>
            </w:r>
            <w:r w:rsidR="00CB5B91">
              <w:t xml:space="preserve">per cent ahead of schedule, </w:t>
            </w:r>
            <w:r w:rsidRPr="00CB5B91">
              <w:t>with overall progress slippage of -2.5 per cent.</w:t>
            </w:r>
          </w:p>
        </w:tc>
        <w:tc>
          <w:tcPr>
            <w:tcW w:w="3639" w:type="dxa"/>
            <w:tcBorders>
              <w:top w:val="single" w:sz="2" w:space="0" w:color="808080" w:themeColor="background1" w:themeShade="80"/>
              <w:bottom w:val="single" w:sz="2" w:space="0" w:color="808080" w:themeColor="background1" w:themeShade="80"/>
            </w:tcBorders>
            <w:shd w:val="clear" w:color="auto" w:fill="D5EEE0" w:themeFill="accent6" w:themeFillTint="33"/>
          </w:tcPr>
          <w:p w:rsidR="00BA4790" w:rsidRPr="00BA4790" w:rsidRDefault="00516EC8">
            <w:r w:rsidRPr="00CB5B91">
              <w:t xml:space="preserve">Improved project coordination, and revised civil works plans are the basis of better progress scores. Three civil works packages remained &gt;10 per cent behind schedule, but with satisfactory catch-up plans in </w:t>
            </w:r>
            <w:r w:rsidR="00CB5B91">
              <w:t xml:space="preserve">place. This </w:t>
            </w:r>
            <w:r w:rsidR="00222BE1">
              <w:t xml:space="preserve">indicator </w:t>
            </w:r>
            <w:r w:rsidR="00CB5B91">
              <w:t xml:space="preserve">should be </w:t>
            </w:r>
            <w:r w:rsidRPr="00CB5B91">
              <w:t>considered ‘partially achieved’.</w:t>
            </w:r>
          </w:p>
        </w:tc>
      </w:tr>
      <w:tr w:rsidR="00BA4790" w:rsidRPr="00BA4790" w:rsidTr="002D083F">
        <w:tc>
          <w:tcPr>
            <w:tcW w:w="2475" w:type="dxa"/>
            <w:tcBorders>
              <w:top w:val="nil"/>
              <w:bottom w:val="single" w:sz="2" w:space="0" w:color="808080" w:themeColor="background1" w:themeShade="80"/>
            </w:tcBorders>
            <w:shd w:val="clear" w:color="auto" w:fill="D5EEE0" w:themeFill="accent6" w:themeFillTint="33"/>
          </w:tcPr>
          <w:p w:rsidR="00BA4790" w:rsidRPr="00BA4790" w:rsidRDefault="00BA4790" w:rsidP="00BA4790"/>
        </w:tc>
        <w:tc>
          <w:tcPr>
            <w:tcW w:w="3833" w:type="dxa"/>
            <w:gridSpan w:val="2"/>
            <w:tcBorders>
              <w:top w:val="single" w:sz="2" w:space="0" w:color="808080" w:themeColor="background1" w:themeShade="80"/>
              <w:bottom w:val="single" w:sz="2" w:space="0" w:color="808080" w:themeColor="background1" w:themeShade="80"/>
            </w:tcBorders>
            <w:shd w:val="clear" w:color="auto" w:fill="D5EEE0" w:themeFill="accent6" w:themeFillTint="33"/>
          </w:tcPr>
          <w:p w:rsidR="00BA4790" w:rsidRPr="00BA4790" w:rsidRDefault="00BA4790" w:rsidP="00BA4790">
            <w:r w:rsidRPr="00BA4790">
              <w:t>3. Proportion of unskilled labour days on Australian-funded rural road rehabilitation works performed by women.</w:t>
            </w:r>
          </w:p>
        </w:tc>
        <w:tc>
          <w:tcPr>
            <w:tcW w:w="2539" w:type="dxa"/>
            <w:tcBorders>
              <w:top w:val="single" w:sz="2" w:space="0" w:color="808080" w:themeColor="background1" w:themeShade="80"/>
              <w:bottom w:val="single" w:sz="2" w:space="0" w:color="808080" w:themeColor="background1" w:themeShade="80"/>
            </w:tcBorders>
            <w:shd w:val="clear" w:color="auto" w:fill="D5EEE0" w:themeFill="accent6" w:themeFillTint="33"/>
          </w:tcPr>
          <w:p w:rsidR="00BA4790" w:rsidRPr="00BA4790" w:rsidRDefault="002D083F" w:rsidP="00BA4790">
            <w:r w:rsidRPr="00C40362">
              <w:t>20 per cent</w:t>
            </w:r>
          </w:p>
        </w:tc>
        <w:tc>
          <w:tcPr>
            <w:tcW w:w="2115" w:type="dxa"/>
            <w:tcBorders>
              <w:top w:val="single" w:sz="2" w:space="0" w:color="808080" w:themeColor="background1" w:themeShade="80"/>
              <w:bottom w:val="single" w:sz="2" w:space="0" w:color="808080" w:themeColor="background1" w:themeShade="80"/>
            </w:tcBorders>
            <w:shd w:val="clear" w:color="auto" w:fill="D5EEE0" w:themeFill="accent6" w:themeFillTint="33"/>
          </w:tcPr>
          <w:p w:rsidR="00BA4790" w:rsidRPr="00BA4790" w:rsidRDefault="00516EC8" w:rsidP="00BA4790">
            <w:r w:rsidRPr="00CB5B91">
              <w:t>28 per cent</w:t>
            </w:r>
          </w:p>
        </w:tc>
        <w:tc>
          <w:tcPr>
            <w:tcW w:w="3639" w:type="dxa"/>
            <w:tcBorders>
              <w:top w:val="single" w:sz="2" w:space="0" w:color="808080" w:themeColor="background1" w:themeShade="80"/>
              <w:bottom w:val="single" w:sz="2" w:space="0" w:color="808080" w:themeColor="background1" w:themeShade="80"/>
            </w:tcBorders>
            <w:shd w:val="clear" w:color="auto" w:fill="D5EEE0" w:themeFill="accent6" w:themeFillTint="33"/>
          </w:tcPr>
          <w:p w:rsidR="00BA4790" w:rsidRPr="00BA4790" w:rsidRDefault="00516EC8" w:rsidP="00BA4790">
            <w:r w:rsidRPr="00CB5B91">
              <w:t>The project has exceed its target by employing 28</w:t>
            </w:r>
            <w:r w:rsidR="001A2BF9">
              <w:t xml:space="preserve"> per cent</w:t>
            </w:r>
            <w:r w:rsidRPr="00CB5B91">
              <w:t xml:space="preserve"> of women for unskilled labour days as of May 2018.</w:t>
            </w:r>
          </w:p>
        </w:tc>
      </w:tr>
      <w:tr w:rsidR="00BA4790" w:rsidRPr="00BA4790" w:rsidTr="002D083F">
        <w:tc>
          <w:tcPr>
            <w:tcW w:w="14601" w:type="dxa"/>
            <w:gridSpan w:val="6"/>
            <w:shd w:val="clear" w:color="auto" w:fill="FFFFFF" w:themeFill="background1"/>
          </w:tcPr>
          <w:p w:rsidR="00BA4790" w:rsidRPr="00BA4790" w:rsidRDefault="00BA4790" w:rsidP="00BA4790">
            <w:pPr>
              <w:rPr>
                <w:b/>
              </w:rPr>
            </w:pPr>
          </w:p>
          <w:p w:rsidR="00BA4790" w:rsidRPr="00BA4790" w:rsidRDefault="00BA4790" w:rsidP="00BA4790">
            <w:pPr>
              <w:rPr>
                <w:b/>
              </w:rPr>
            </w:pPr>
            <w:r w:rsidRPr="00BA4790">
              <w:rPr>
                <w:b/>
              </w:rPr>
              <w:t>Objective 2: Increasing agricultural productivity and farmer incomes</w:t>
            </w:r>
          </w:p>
        </w:tc>
      </w:tr>
      <w:tr w:rsidR="00BA4790" w:rsidRPr="00BA4790" w:rsidTr="002D083F">
        <w:tc>
          <w:tcPr>
            <w:tcW w:w="3030" w:type="dxa"/>
            <w:gridSpan w:val="2"/>
            <w:shd w:val="clear" w:color="auto" w:fill="D7DEE2" w:themeFill="text2" w:themeFillTint="33"/>
          </w:tcPr>
          <w:p w:rsidR="00BA4790" w:rsidRPr="00BA4790" w:rsidRDefault="00BA4790" w:rsidP="00BA4790">
            <w:r w:rsidRPr="00BA4790">
              <w:br w:type="page"/>
            </w:r>
            <w:r w:rsidRPr="00BA4790">
              <w:br w:type="page"/>
            </w:r>
          </w:p>
        </w:tc>
        <w:tc>
          <w:tcPr>
            <w:tcW w:w="3278" w:type="dxa"/>
            <w:shd w:val="clear" w:color="auto" w:fill="D7DEE2" w:themeFill="text2" w:themeFillTint="33"/>
          </w:tcPr>
          <w:p w:rsidR="00BA4790" w:rsidRPr="00BA4790" w:rsidRDefault="00BA4790" w:rsidP="00BA4790">
            <w:r w:rsidRPr="00BA4790">
              <w:t xml:space="preserve">Indicator </w:t>
            </w:r>
          </w:p>
        </w:tc>
        <w:tc>
          <w:tcPr>
            <w:tcW w:w="2539" w:type="dxa"/>
            <w:shd w:val="clear" w:color="auto" w:fill="D7DEE2" w:themeFill="text2" w:themeFillTint="33"/>
          </w:tcPr>
          <w:p w:rsidR="00BA4790" w:rsidRPr="00BA4790" w:rsidRDefault="007619A5" w:rsidP="00BA4790">
            <w:r>
              <w:t>2017/18</w:t>
            </w:r>
            <w:r w:rsidR="00BA4790" w:rsidRPr="00BA4790">
              <w:t xml:space="preserve"> Targets</w:t>
            </w:r>
          </w:p>
        </w:tc>
        <w:tc>
          <w:tcPr>
            <w:tcW w:w="2115" w:type="dxa"/>
            <w:shd w:val="clear" w:color="auto" w:fill="D7DEE2" w:themeFill="text2" w:themeFillTint="33"/>
          </w:tcPr>
          <w:p w:rsidR="00BA4790" w:rsidRPr="00BA4790" w:rsidRDefault="007619A5" w:rsidP="00BA4790">
            <w:r>
              <w:t>2017/18</w:t>
            </w:r>
            <w:r w:rsidR="00BA4790" w:rsidRPr="00BA4790">
              <w:t xml:space="preserve"> Results</w:t>
            </w:r>
          </w:p>
        </w:tc>
        <w:tc>
          <w:tcPr>
            <w:tcW w:w="3639" w:type="dxa"/>
            <w:shd w:val="clear" w:color="auto" w:fill="D7DEE2" w:themeFill="text2" w:themeFillTint="33"/>
          </w:tcPr>
          <w:p w:rsidR="00BA4790" w:rsidRPr="00BA4790" w:rsidRDefault="00BA4790" w:rsidP="00BA4790">
            <w:r w:rsidRPr="00BA4790">
              <w:t>Explanation for Results</w:t>
            </w:r>
          </w:p>
        </w:tc>
      </w:tr>
      <w:tr w:rsidR="00BA4790" w:rsidRPr="00BA4790" w:rsidTr="00A362D4">
        <w:tc>
          <w:tcPr>
            <w:tcW w:w="2475" w:type="dxa"/>
            <w:shd w:val="clear" w:color="auto" w:fill="EEF5E7" w:themeFill="accent3" w:themeFillTint="33"/>
          </w:tcPr>
          <w:p w:rsidR="00BA4790" w:rsidRPr="00BA4790" w:rsidRDefault="00BA4790" w:rsidP="002C4172">
            <w:r w:rsidRPr="002D083F">
              <w:lastRenderedPageBreak/>
              <w:t>3.  Farming households have knowledge of and apply improved farming practices</w:t>
            </w:r>
          </w:p>
        </w:tc>
        <w:tc>
          <w:tcPr>
            <w:tcW w:w="3833" w:type="dxa"/>
            <w:gridSpan w:val="2"/>
            <w:tcBorders>
              <w:bottom w:val="single" w:sz="4" w:space="0" w:color="auto"/>
            </w:tcBorders>
            <w:shd w:val="clear" w:color="auto" w:fill="EEF5E7" w:themeFill="accent3" w:themeFillTint="33"/>
          </w:tcPr>
          <w:p w:rsidR="00BA4790" w:rsidRPr="00BA4790" w:rsidRDefault="00BA4790" w:rsidP="00BA4790">
            <w:r w:rsidRPr="00BA4790">
              <w:t>4. Number of farming households that have changed farming practices due to DFAT interventions</w:t>
            </w:r>
          </w:p>
        </w:tc>
        <w:tc>
          <w:tcPr>
            <w:tcW w:w="2539" w:type="dxa"/>
            <w:tcBorders>
              <w:bottom w:val="single" w:sz="4" w:space="0" w:color="auto"/>
            </w:tcBorders>
            <w:shd w:val="clear" w:color="auto" w:fill="EEF5E7" w:themeFill="accent3" w:themeFillTint="33"/>
          </w:tcPr>
          <w:p w:rsidR="00BA4790" w:rsidRPr="00DC728B" w:rsidRDefault="002D083F" w:rsidP="00BA4790">
            <w:r w:rsidRPr="00DC728B">
              <w:t>20,601 Households</w:t>
            </w:r>
          </w:p>
        </w:tc>
        <w:tc>
          <w:tcPr>
            <w:tcW w:w="2115" w:type="dxa"/>
            <w:tcBorders>
              <w:bottom w:val="single" w:sz="4" w:space="0" w:color="auto"/>
            </w:tcBorders>
            <w:shd w:val="clear" w:color="auto" w:fill="EEF5E7" w:themeFill="accent3" w:themeFillTint="33"/>
          </w:tcPr>
          <w:p w:rsidR="00BA4790" w:rsidRPr="00DC728B" w:rsidRDefault="00DC728B" w:rsidP="00BA4790">
            <w:r w:rsidRPr="00DC728B">
              <w:t>12,243 households</w:t>
            </w:r>
          </w:p>
        </w:tc>
        <w:tc>
          <w:tcPr>
            <w:tcW w:w="3639" w:type="dxa"/>
            <w:tcBorders>
              <w:bottom w:val="single" w:sz="4" w:space="0" w:color="auto"/>
            </w:tcBorders>
            <w:shd w:val="clear" w:color="auto" w:fill="EEF5E7" w:themeFill="accent3" w:themeFillTint="33"/>
          </w:tcPr>
          <w:p w:rsidR="00BA4790" w:rsidRPr="00DC728B" w:rsidRDefault="00DC728B" w:rsidP="00BA4790">
            <w:r w:rsidRPr="00DC728B">
              <w:t>Partly achieved: total of 12,243 households benefitted from CAVAC activities in Productivity and Diversification (component 1) and Irrigation and Water management (component 2).</w:t>
            </w:r>
          </w:p>
        </w:tc>
      </w:tr>
      <w:tr w:rsidR="00BA4790" w:rsidRPr="00BA4790" w:rsidTr="00A362D4">
        <w:tc>
          <w:tcPr>
            <w:tcW w:w="2475" w:type="dxa"/>
            <w:tcBorders>
              <w:bottom w:val="single" w:sz="4" w:space="0" w:color="auto"/>
            </w:tcBorders>
            <w:shd w:val="clear" w:color="auto" w:fill="EEF5E7" w:themeFill="accent3" w:themeFillTint="33"/>
            <w:vAlign w:val="center"/>
          </w:tcPr>
          <w:p w:rsidR="00BA4790" w:rsidRPr="00BA4790" w:rsidRDefault="00BA4790" w:rsidP="00BA4790"/>
        </w:tc>
        <w:tc>
          <w:tcPr>
            <w:tcW w:w="3833" w:type="dxa"/>
            <w:gridSpan w:val="2"/>
            <w:tcBorders>
              <w:top w:val="single" w:sz="4" w:space="0" w:color="auto"/>
              <w:bottom w:val="single" w:sz="4" w:space="0" w:color="auto"/>
            </w:tcBorders>
            <w:shd w:val="clear" w:color="auto" w:fill="EEF5E7" w:themeFill="accent3" w:themeFillTint="33"/>
          </w:tcPr>
          <w:p w:rsidR="00BA4790" w:rsidRPr="00BA4790" w:rsidRDefault="00BA4790" w:rsidP="00BA4790">
            <w:r w:rsidRPr="00BA4790">
              <w:t xml:space="preserve">5. Additional production per year as a result of DFAT-supported irrigation schemes </w:t>
            </w:r>
            <w:r w:rsidRPr="00BA4790">
              <w:rPr>
                <w:b/>
              </w:rPr>
              <w:t>(AIP Benchmark)</w:t>
            </w:r>
          </w:p>
        </w:tc>
        <w:tc>
          <w:tcPr>
            <w:tcW w:w="2539" w:type="dxa"/>
            <w:tcBorders>
              <w:top w:val="single" w:sz="4" w:space="0" w:color="auto"/>
              <w:bottom w:val="single" w:sz="4" w:space="0" w:color="auto"/>
            </w:tcBorders>
            <w:shd w:val="clear" w:color="auto" w:fill="EEF5E7" w:themeFill="accent3" w:themeFillTint="33"/>
          </w:tcPr>
          <w:p w:rsidR="00BA4790" w:rsidRPr="00BA4790" w:rsidRDefault="002D083F" w:rsidP="00BA4790">
            <w:r w:rsidRPr="00DC728B">
              <w:t xml:space="preserve">29,000 </w:t>
            </w:r>
            <w:r w:rsidR="00F722ED">
              <w:t>tonne</w:t>
            </w:r>
            <w:r w:rsidRPr="00DC728B">
              <w:t xml:space="preserve"> of paddy</w:t>
            </w:r>
          </w:p>
        </w:tc>
        <w:tc>
          <w:tcPr>
            <w:tcW w:w="2115" w:type="dxa"/>
            <w:tcBorders>
              <w:top w:val="single" w:sz="4" w:space="0" w:color="auto"/>
              <w:bottom w:val="single" w:sz="4" w:space="0" w:color="auto"/>
            </w:tcBorders>
            <w:shd w:val="clear" w:color="auto" w:fill="EEF5E7" w:themeFill="accent3" w:themeFillTint="33"/>
          </w:tcPr>
          <w:p w:rsidR="00BA4790" w:rsidRPr="00DC728B" w:rsidRDefault="00DC728B" w:rsidP="00BA4790">
            <w:r w:rsidRPr="00DC728B">
              <w:t xml:space="preserve">28,769 </w:t>
            </w:r>
            <w:r w:rsidR="00F722ED">
              <w:t>tonne</w:t>
            </w:r>
            <w:r w:rsidRPr="00DC728B">
              <w:t xml:space="preserve"> of paddy</w:t>
            </w:r>
          </w:p>
        </w:tc>
        <w:tc>
          <w:tcPr>
            <w:tcW w:w="3639" w:type="dxa"/>
            <w:tcBorders>
              <w:top w:val="single" w:sz="4" w:space="0" w:color="auto"/>
              <w:bottom w:val="single" w:sz="4" w:space="0" w:color="auto"/>
            </w:tcBorders>
            <w:shd w:val="clear" w:color="auto" w:fill="EEF5E7" w:themeFill="accent3" w:themeFillTint="33"/>
          </w:tcPr>
          <w:p w:rsidR="00BA4790" w:rsidRPr="00DC728B" w:rsidRDefault="00871267" w:rsidP="00BA4790">
            <w:r>
              <w:t>Achieved</w:t>
            </w:r>
            <w:r w:rsidR="00222BE1">
              <w:t xml:space="preserve"> (within acceptable margin)</w:t>
            </w:r>
            <w:r>
              <w:t xml:space="preserve">: </w:t>
            </w:r>
            <w:r w:rsidR="00DC728B" w:rsidRPr="00DC728B">
              <w:t xml:space="preserve">In 2017-18, the irrigation activities through CAVAC resulted into additional production of 28,769 </w:t>
            </w:r>
            <w:r w:rsidR="00F722ED">
              <w:t>tonne</w:t>
            </w:r>
            <w:r w:rsidR="00DC728B" w:rsidRPr="00DC728B">
              <w:t xml:space="preserve"> of paddy.</w:t>
            </w:r>
          </w:p>
        </w:tc>
      </w:tr>
      <w:tr w:rsidR="00BA4790" w:rsidRPr="00BA4790" w:rsidTr="002D083F">
        <w:tc>
          <w:tcPr>
            <w:tcW w:w="2475" w:type="dxa"/>
            <w:tcBorders>
              <w:top w:val="single" w:sz="4" w:space="0" w:color="auto"/>
              <w:bottom w:val="single" w:sz="4" w:space="0" w:color="auto"/>
            </w:tcBorders>
            <w:shd w:val="clear" w:color="auto" w:fill="EEF5E7" w:themeFill="accent3" w:themeFillTint="33"/>
            <w:vAlign w:val="center"/>
          </w:tcPr>
          <w:p w:rsidR="00BA4790" w:rsidRPr="00BA4790" w:rsidRDefault="00BA4790" w:rsidP="00BA4790">
            <w:r w:rsidRPr="00BA4790">
              <w:t>4. Farming households have improved access to quality agricultural inputs</w:t>
            </w:r>
          </w:p>
        </w:tc>
        <w:tc>
          <w:tcPr>
            <w:tcW w:w="3833" w:type="dxa"/>
            <w:gridSpan w:val="2"/>
            <w:tcBorders>
              <w:top w:val="single" w:sz="4" w:space="0" w:color="auto"/>
              <w:bottom w:val="single" w:sz="4" w:space="0" w:color="auto"/>
            </w:tcBorders>
            <w:shd w:val="clear" w:color="auto" w:fill="EEF5E7" w:themeFill="accent3" w:themeFillTint="33"/>
          </w:tcPr>
          <w:p w:rsidR="00BA4790" w:rsidRPr="00BA4790" w:rsidRDefault="00BA4790" w:rsidP="00BA4790">
            <w:r w:rsidRPr="00BA4790">
              <w:t xml:space="preserve">6. Number of farming households that gain access to sustainable irrigation </w:t>
            </w:r>
          </w:p>
        </w:tc>
        <w:tc>
          <w:tcPr>
            <w:tcW w:w="2539" w:type="dxa"/>
            <w:tcBorders>
              <w:top w:val="single" w:sz="4" w:space="0" w:color="auto"/>
              <w:bottom w:val="single" w:sz="4" w:space="0" w:color="auto"/>
            </w:tcBorders>
            <w:shd w:val="clear" w:color="auto" w:fill="EEF5E7" w:themeFill="accent3" w:themeFillTint="33"/>
          </w:tcPr>
          <w:p w:rsidR="00BA4790" w:rsidRPr="00BA4790" w:rsidRDefault="002D083F" w:rsidP="00BA4790">
            <w:r w:rsidRPr="00C40362">
              <w:t>2,900 households</w:t>
            </w:r>
          </w:p>
        </w:tc>
        <w:tc>
          <w:tcPr>
            <w:tcW w:w="2115" w:type="dxa"/>
            <w:tcBorders>
              <w:top w:val="single" w:sz="4" w:space="0" w:color="auto"/>
              <w:bottom w:val="single" w:sz="4" w:space="0" w:color="auto"/>
            </w:tcBorders>
            <w:shd w:val="clear" w:color="auto" w:fill="EEF5E7" w:themeFill="accent3" w:themeFillTint="33"/>
          </w:tcPr>
          <w:p w:rsidR="00BA4790" w:rsidRPr="00BA4790" w:rsidRDefault="00DC728B" w:rsidP="00BA4790">
            <w:r w:rsidRPr="00C40362">
              <w:t>4,121 households</w:t>
            </w:r>
          </w:p>
        </w:tc>
        <w:tc>
          <w:tcPr>
            <w:tcW w:w="3639" w:type="dxa"/>
            <w:tcBorders>
              <w:top w:val="single" w:sz="4" w:space="0" w:color="auto"/>
              <w:bottom w:val="single" w:sz="4" w:space="0" w:color="auto"/>
            </w:tcBorders>
            <w:shd w:val="clear" w:color="auto" w:fill="EEF5E7" w:themeFill="accent3" w:themeFillTint="33"/>
          </w:tcPr>
          <w:p w:rsidR="00BA4790" w:rsidRPr="00BA4790" w:rsidRDefault="00DC728B" w:rsidP="00BA4790">
            <w:r>
              <w:t>Target exceeded</w:t>
            </w:r>
          </w:p>
        </w:tc>
      </w:tr>
      <w:tr w:rsidR="00BA4790" w:rsidRPr="00BA4790" w:rsidTr="00D876E3">
        <w:tc>
          <w:tcPr>
            <w:tcW w:w="2475" w:type="dxa"/>
            <w:tcBorders>
              <w:top w:val="single" w:sz="4" w:space="0" w:color="auto"/>
              <w:bottom w:val="single" w:sz="4" w:space="0" w:color="auto"/>
            </w:tcBorders>
            <w:shd w:val="clear" w:color="auto" w:fill="EEF5E7" w:themeFill="accent3" w:themeFillTint="33"/>
          </w:tcPr>
          <w:p w:rsidR="00BA4790" w:rsidRPr="00BA4790" w:rsidRDefault="00BA4790" w:rsidP="002C4172">
            <w:r w:rsidRPr="00BA4790">
              <w:t>5. More land available for productive use</w:t>
            </w:r>
          </w:p>
        </w:tc>
        <w:tc>
          <w:tcPr>
            <w:tcW w:w="3833" w:type="dxa"/>
            <w:gridSpan w:val="2"/>
            <w:tcBorders>
              <w:top w:val="single" w:sz="4" w:space="0" w:color="auto"/>
              <w:bottom w:val="single" w:sz="4" w:space="0" w:color="auto"/>
            </w:tcBorders>
            <w:shd w:val="clear" w:color="auto" w:fill="EEF5E7" w:themeFill="accent3" w:themeFillTint="33"/>
          </w:tcPr>
          <w:p w:rsidR="00BA4790" w:rsidRPr="00BA4790" w:rsidRDefault="00BA4790" w:rsidP="00BA4790">
            <w:pPr>
              <w:rPr>
                <w:b/>
              </w:rPr>
            </w:pPr>
            <w:r w:rsidRPr="00BA4790">
              <w:t xml:space="preserve">7. Land contaminated by landmines and other ERW released for productive use </w:t>
            </w:r>
            <w:r w:rsidRPr="00BA4790">
              <w:rPr>
                <w:b/>
              </w:rPr>
              <w:t>(AIP Benchmark)</w:t>
            </w:r>
          </w:p>
        </w:tc>
        <w:tc>
          <w:tcPr>
            <w:tcW w:w="2539" w:type="dxa"/>
            <w:tcBorders>
              <w:top w:val="single" w:sz="4" w:space="0" w:color="auto"/>
              <w:bottom w:val="single" w:sz="4" w:space="0" w:color="auto"/>
            </w:tcBorders>
            <w:shd w:val="clear" w:color="auto" w:fill="EEF5E7" w:themeFill="accent3" w:themeFillTint="33"/>
          </w:tcPr>
          <w:p w:rsidR="00BA4790" w:rsidRPr="00C40362" w:rsidRDefault="002D083F">
            <w:r w:rsidRPr="00C40362">
              <w:t>6.</w:t>
            </w:r>
            <w:r w:rsidR="007F041F">
              <w:t>67</w:t>
            </w:r>
            <w:r w:rsidR="005A4CEA">
              <w:t xml:space="preserve"> </w:t>
            </w:r>
            <w:r w:rsidRPr="00C40362">
              <w:t>km</w:t>
            </w:r>
            <w:r w:rsidR="00BE73DF" w:rsidRPr="00F34544">
              <w:rPr>
                <w:vertAlign w:val="superscript"/>
              </w:rPr>
              <w:t>2</w:t>
            </w:r>
          </w:p>
        </w:tc>
        <w:tc>
          <w:tcPr>
            <w:tcW w:w="2115" w:type="dxa"/>
            <w:tcBorders>
              <w:top w:val="single" w:sz="4" w:space="0" w:color="auto"/>
              <w:bottom w:val="single" w:sz="4" w:space="0" w:color="auto"/>
            </w:tcBorders>
            <w:shd w:val="clear" w:color="auto" w:fill="EEF5E7" w:themeFill="accent3" w:themeFillTint="33"/>
          </w:tcPr>
          <w:p w:rsidR="00BA4790" w:rsidRPr="00D876E3" w:rsidRDefault="00B40277">
            <w:pPr>
              <w:rPr>
                <w:vertAlign w:val="superscript"/>
              </w:rPr>
            </w:pPr>
            <w:r>
              <w:t xml:space="preserve">22 </w:t>
            </w:r>
            <w:r w:rsidR="00C60837" w:rsidRPr="00C40362">
              <w:t>km</w:t>
            </w:r>
            <w:r w:rsidR="008409B1">
              <w:rPr>
                <w:vertAlign w:val="superscript"/>
              </w:rPr>
              <w:t>2</w:t>
            </w:r>
          </w:p>
        </w:tc>
        <w:tc>
          <w:tcPr>
            <w:tcW w:w="3639" w:type="dxa"/>
            <w:tcBorders>
              <w:top w:val="single" w:sz="4" w:space="0" w:color="auto"/>
              <w:bottom w:val="single" w:sz="4" w:space="0" w:color="auto"/>
            </w:tcBorders>
            <w:shd w:val="clear" w:color="auto" w:fill="EEF5E7" w:themeFill="accent3" w:themeFillTint="33"/>
          </w:tcPr>
          <w:p w:rsidR="00BA4790" w:rsidRPr="00C40362" w:rsidRDefault="00C60837">
            <w:pPr>
              <w:spacing w:before="60" w:after="20"/>
            </w:pPr>
            <w:r w:rsidRPr="00C40362">
              <w:t xml:space="preserve">Target exceeded. </w:t>
            </w:r>
            <w:r w:rsidR="00B40277">
              <w:t xml:space="preserve">22 </w:t>
            </w:r>
            <w:r w:rsidR="00FD0E7B" w:rsidRPr="00FD0E7B">
              <w:t>km</w:t>
            </w:r>
            <w:r w:rsidR="00BE73DF" w:rsidRPr="00F34544">
              <w:rPr>
                <w:vertAlign w:val="superscript"/>
              </w:rPr>
              <w:t>2</w:t>
            </w:r>
            <w:r w:rsidR="00FD0E7B" w:rsidRPr="00FD0E7B">
              <w:t xml:space="preserve"> of land was cl</w:t>
            </w:r>
            <w:r w:rsidR="00B503C3">
              <w:t>eared using technical clearance. T</w:t>
            </w:r>
            <w:r w:rsidR="00FD0E7B" w:rsidRPr="00FD0E7B">
              <w:t xml:space="preserve">his exceeded the clearance target of </w:t>
            </w:r>
            <w:r w:rsidR="00FD0E7B" w:rsidRPr="00C40362">
              <w:t>6.</w:t>
            </w:r>
            <w:r w:rsidR="007F041F">
              <w:t>67</w:t>
            </w:r>
            <w:r w:rsidR="00FD0E7B">
              <w:t xml:space="preserve"> km</w:t>
            </w:r>
            <w:r w:rsidR="00BE73DF" w:rsidRPr="00F34544">
              <w:rPr>
                <w:vertAlign w:val="superscript"/>
              </w:rPr>
              <w:t>2</w:t>
            </w:r>
            <w:r w:rsidR="00B503C3">
              <w:t>.</w:t>
            </w:r>
            <w:r w:rsidR="000447A0">
              <w:t xml:space="preserve"> DFAT contribution is 40 per cent)</w:t>
            </w:r>
          </w:p>
        </w:tc>
      </w:tr>
    </w:tbl>
    <w:p w:rsidR="00355994" w:rsidRDefault="00355994" w:rsidP="00BA4790">
      <w:pPr>
        <w:rPr>
          <w:b/>
        </w:rPr>
      </w:pPr>
    </w:p>
    <w:p w:rsidR="00BA4790" w:rsidRPr="00BA4790" w:rsidRDefault="00BA4790" w:rsidP="00BA4790">
      <w:pPr>
        <w:rPr>
          <w:b/>
        </w:rPr>
      </w:pPr>
      <w:r w:rsidRPr="00BA4790">
        <w:rPr>
          <w:b/>
        </w:rPr>
        <w:t>Objective 3: Better health and education outcomes</w:t>
      </w:r>
    </w:p>
    <w:tbl>
      <w:tblPr>
        <w:tblW w:w="4769" w:type="pct"/>
        <w:tblLook w:val="04A0" w:firstRow="1" w:lastRow="0" w:firstColumn="1" w:lastColumn="0" w:noHBand="0" w:noVBand="1"/>
      </w:tblPr>
      <w:tblGrid>
        <w:gridCol w:w="2416"/>
        <w:gridCol w:w="3590"/>
        <w:gridCol w:w="2420"/>
        <w:gridCol w:w="1639"/>
        <w:gridCol w:w="3727"/>
      </w:tblGrid>
      <w:tr w:rsidR="00BA4790" w:rsidRPr="00BA4790" w:rsidTr="0015382B">
        <w:tc>
          <w:tcPr>
            <w:tcW w:w="2416" w:type="dxa"/>
            <w:tcBorders>
              <w:top w:val="single" w:sz="2" w:space="0" w:color="808080" w:themeColor="background1" w:themeShade="80"/>
              <w:bottom w:val="single" w:sz="4" w:space="0" w:color="808080" w:themeColor="background1" w:themeShade="80"/>
            </w:tcBorders>
            <w:shd w:val="clear" w:color="auto" w:fill="D7DEE2" w:themeFill="text2" w:themeFillTint="33"/>
          </w:tcPr>
          <w:p w:rsidR="00BA4790" w:rsidRPr="00BA4790" w:rsidRDefault="00BA4790" w:rsidP="00BA4790">
            <w:r w:rsidRPr="00BA4790">
              <w:br w:type="page"/>
            </w:r>
            <w:r w:rsidRPr="00BA4790">
              <w:br w:type="page"/>
            </w:r>
          </w:p>
        </w:tc>
        <w:tc>
          <w:tcPr>
            <w:tcW w:w="3590" w:type="dxa"/>
            <w:tcBorders>
              <w:top w:val="single" w:sz="2" w:space="0" w:color="808080" w:themeColor="background1" w:themeShade="80"/>
              <w:bottom w:val="single" w:sz="4" w:space="0" w:color="808080" w:themeColor="background1" w:themeShade="80"/>
            </w:tcBorders>
            <w:shd w:val="clear" w:color="auto" w:fill="D7DEE2" w:themeFill="text2" w:themeFillTint="33"/>
          </w:tcPr>
          <w:p w:rsidR="00BA4790" w:rsidRPr="00BA4790" w:rsidRDefault="00BA4790" w:rsidP="00BA4790">
            <w:r w:rsidRPr="00BA4790">
              <w:t xml:space="preserve">Indicator </w:t>
            </w:r>
          </w:p>
        </w:tc>
        <w:tc>
          <w:tcPr>
            <w:tcW w:w="2420" w:type="dxa"/>
            <w:tcBorders>
              <w:top w:val="single" w:sz="2" w:space="0" w:color="808080" w:themeColor="background1" w:themeShade="80"/>
              <w:bottom w:val="single" w:sz="4" w:space="0" w:color="808080" w:themeColor="background1" w:themeShade="80"/>
            </w:tcBorders>
            <w:shd w:val="clear" w:color="auto" w:fill="D7DEE2" w:themeFill="text2" w:themeFillTint="33"/>
          </w:tcPr>
          <w:p w:rsidR="00BA4790" w:rsidRPr="00BA4790" w:rsidRDefault="007619A5" w:rsidP="00BA4790">
            <w:r>
              <w:t>2017/18</w:t>
            </w:r>
            <w:r w:rsidR="00BA4790" w:rsidRPr="00BA4790">
              <w:t xml:space="preserve"> Targets</w:t>
            </w:r>
          </w:p>
        </w:tc>
        <w:tc>
          <w:tcPr>
            <w:tcW w:w="1639" w:type="dxa"/>
            <w:tcBorders>
              <w:top w:val="single" w:sz="2" w:space="0" w:color="808080" w:themeColor="background1" w:themeShade="80"/>
              <w:bottom w:val="single" w:sz="4" w:space="0" w:color="808080" w:themeColor="background1" w:themeShade="80"/>
            </w:tcBorders>
            <w:shd w:val="clear" w:color="auto" w:fill="D7DEE2" w:themeFill="text2" w:themeFillTint="33"/>
          </w:tcPr>
          <w:p w:rsidR="00BA4790" w:rsidRPr="00BA4790" w:rsidRDefault="007619A5" w:rsidP="00BA4790">
            <w:r>
              <w:t>2017/18</w:t>
            </w:r>
            <w:r w:rsidR="00BA4790" w:rsidRPr="00BA4790">
              <w:t xml:space="preserve"> Results</w:t>
            </w:r>
          </w:p>
        </w:tc>
        <w:tc>
          <w:tcPr>
            <w:tcW w:w="3727" w:type="dxa"/>
            <w:tcBorders>
              <w:top w:val="single" w:sz="2" w:space="0" w:color="808080" w:themeColor="background1" w:themeShade="80"/>
              <w:bottom w:val="single" w:sz="4" w:space="0" w:color="808080" w:themeColor="background1" w:themeShade="80"/>
            </w:tcBorders>
            <w:shd w:val="clear" w:color="auto" w:fill="D7DEE2" w:themeFill="text2" w:themeFillTint="33"/>
          </w:tcPr>
          <w:p w:rsidR="00BA4790" w:rsidRPr="00BA4790" w:rsidRDefault="00BA4790" w:rsidP="00BA4790">
            <w:r w:rsidRPr="00BA4790">
              <w:t>Explanation for Results</w:t>
            </w:r>
          </w:p>
        </w:tc>
      </w:tr>
      <w:tr w:rsidR="00BA4790" w:rsidRPr="00BA4790" w:rsidTr="0015382B">
        <w:tc>
          <w:tcPr>
            <w:tcW w:w="2416" w:type="dxa"/>
            <w:tcBorders>
              <w:top w:val="single" w:sz="4" w:space="0" w:color="808080" w:themeColor="background1" w:themeShade="80"/>
              <w:bottom w:val="nil"/>
            </w:tcBorders>
            <w:shd w:val="clear" w:color="auto" w:fill="F2F2F2" w:themeFill="background1" w:themeFillShade="F2"/>
          </w:tcPr>
          <w:p w:rsidR="00BA4790" w:rsidRPr="00BA4790" w:rsidRDefault="00BA4790" w:rsidP="00BA4790">
            <w:r w:rsidRPr="000E47C1">
              <w:t>6.  Increased access to quality health services for the poor, women and children</w:t>
            </w:r>
          </w:p>
        </w:tc>
        <w:tc>
          <w:tcPr>
            <w:tcW w:w="3590" w:type="dxa"/>
            <w:tcBorders>
              <w:top w:val="single" w:sz="4" w:space="0" w:color="808080" w:themeColor="background1" w:themeShade="80"/>
              <w:bottom w:val="single" w:sz="4" w:space="0" w:color="auto"/>
            </w:tcBorders>
            <w:shd w:val="clear" w:color="auto" w:fill="F2F2F2" w:themeFill="background1" w:themeFillShade="F2"/>
          </w:tcPr>
          <w:p w:rsidR="00BA4790" w:rsidRPr="00BA4790" w:rsidRDefault="00BA4790" w:rsidP="00BA4790">
            <w:r w:rsidRPr="00BA4790">
              <w:t xml:space="preserve">8. Number of health facilities exceeding 60 per cent score on the quality assessment of health facilities tool </w:t>
            </w:r>
            <w:r w:rsidRPr="00BA4790">
              <w:rPr>
                <w:b/>
              </w:rPr>
              <w:t>(AIP Benchmark)</w:t>
            </w:r>
          </w:p>
        </w:tc>
        <w:tc>
          <w:tcPr>
            <w:tcW w:w="2420" w:type="dxa"/>
            <w:tcBorders>
              <w:top w:val="single" w:sz="4" w:space="0" w:color="808080" w:themeColor="background1" w:themeShade="80"/>
              <w:bottom w:val="single" w:sz="4" w:space="0" w:color="auto"/>
            </w:tcBorders>
            <w:shd w:val="clear" w:color="auto" w:fill="F2F2F2" w:themeFill="background1" w:themeFillShade="F2"/>
          </w:tcPr>
          <w:p w:rsidR="00BA4790" w:rsidRPr="00BA4790" w:rsidRDefault="002D083F" w:rsidP="00BA4790">
            <w:r w:rsidRPr="00C40362">
              <w:t>Baseline + 20 per cent</w:t>
            </w:r>
          </w:p>
        </w:tc>
        <w:tc>
          <w:tcPr>
            <w:tcW w:w="1639" w:type="dxa"/>
            <w:tcBorders>
              <w:top w:val="single" w:sz="4" w:space="0" w:color="808080" w:themeColor="background1" w:themeShade="80"/>
              <w:bottom w:val="single" w:sz="4" w:space="0" w:color="auto"/>
            </w:tcBorders>
            <w:shd w:val="clear" w:color="auto" w:fill="F2F2F2" w:themeFill="background1" w:themeFillShade="F2"/>
          </w:tcPr>
          <w:p w:rsidR="00BA4790" w:rsidRPr="00BA4790" w:rsidRDefault="00B025C5" w:rsidP="00BA4790">
            <w:r w:rsidRPr="00B025C5">
              <w:t>10 per cent (baseline)</w:t>
            </w:r>
          </w:p>
        </w:tc>
        <w:tc>
          <w:tcPr>
            <w:tcW w:w="3727" w:type="dxa"/>
            <w:tcBorders>
              <w:top w:val="single" w:sz="4" w:space="0" w:color="808080" w:themeColor="background1" w:themeShade="80"/>
              <w:bottom w:val="single" w:sz="4" w:space="0" w:color="auto"/>
            </w:tcBorders>
            <w:shd w:val="clear" w:color="auto" w:fill="F2F2F2" w:themeFill="background1" w:themeFillShade="F2"/>
          </w:tcPr>
          <w:p w:rsidR="00BA4790" w:rsidRPr="00BA4790" w:rsidRDefault="00B025C5" w:rsidP="00BA4790">
            <w:r w:rsidRPr="00B025C5">
              <w:t>The roll-out of the quality assessment was delayed. 2017-18 is now the baseline.</w:t>
            </w:r>
          </w:p>
        </w:tc>
      </w:tr>
      <w:tr w:rsidR="00BA4790" w:rsidRPr="00BA4790" w:rsidTr="0015382B">
        <w:tc>
          <w:tcPr>
            <w:tcW w:w="2416" w:type="dxa"/>
            <w:tcBorders>
              <w:top w:val="nil"/>
              <w:bottom w:val="nil"/>
            </w:tcBorders>
            <w:shd w:val="clear" w:color="auto" w:fill="F2F2F2" w:themeFill="background1" w:themeFillShade="F2"/>
          </w:tcPr>
          <w:p w:rsidR="00BA4790" w:rsidRPr="00BA4790" w:rsidRDefault="00BA4790" w:rsidP="00BA4790"/>
        </w:tc>
        <w:tc>
          <w:tcPr>
            <w:tcW w:w="3590" w:type="dxa"/>
            <w:tcBorders>
              <w:top w:val="single" w:sz="4" w:space="0" w:color="auto"/>
              <w:bottom w:val="single" w:sz="4" w:space="0" w:color="auto"/>
            </w:tcBorders>
            <w:shd w:val="clear" w:color="auto" w:fill="F2F2F2" w:themeFill="background1" w:themeFillShade="F2"/>
          </w:tcPr>
          <w:p w:rsidR="00BA4790" w:rsidRDefault="00BA4790" w:rsidP="00BA4790">
            <w:r w:rsidRPr="00BA4790">
              <w:t>9. Utilisation of health services by Health Equity Fund</w:t>
            </w:r>
            <w:r w:rsidR="00177A59">
              <w:t xml:space="preserve"> (HEF)</w:t>
            </w:r>
            <w:r w:rsidRPr="00BA4790">
              <w:t xml:space="preserve"> beneficiaries</w:t>
            </w:r>
          </w:p>
          <w:p w:rsidR="00726085" w:rsidRDefault="00726085" w:rsidP="00BA4790"/>
          <w:p w:rsidR="00726085" w:rsidRPr="00BA4790" w:rsidRDefault="00726085" w:rsidP="00BA4790"/>
        </w:tc>
        <w:tc>
          <w:tcPr>
            <w:tcW w:w="2420" w:type="dxa"/>
            <w:tcBorders>
              <w:top w:val="single" w:sz="4" w:space="0" w:color="auto"/>
              <w:bottom w:val="single" w:sz="4" w:space="0" w:color="auto"/>
            </w:tcBorders>
            <w:shd w:val="clear" w:color="auto" w:fill="F2F2F2" w:themeFill="background1" w:themeFillShade="F2"/>
          </w:tcPr>
          <w:p w:rsidR="00BA4790" w:rsidRPr="00BA4790" w:rsidRDefault="002D083F" w:rsidP="00BA4790">
            <w:r w:rsidRPr="00C40362">
              <w:t>60 per cent</w:t>
            </w:r>
          </w:p>
        </w:tc>
        <w:tc>
          <w:tcPr>
            <w:tcW w:w="1639" w:type="dxa"/>
            <w:tcBorders>
              <w:top w:val="single" w:sz="4" w:space="0" w:color="auto"/>
              <w:bottom w:val="single" w:sz="4" w:space="0" w:color="auto"/>
            </w:tcBorders>
            <w:shd w:val="clear" w:color="auto" w:fill="F2F2F2" w:themeFill="background1" w:themeFillShade="F2"/>
          </w:tcPr>
          <w:p w:rsidR="00BA4790" w:rsidRPr="00177A59" w:rsidRDefault="00177A59" w:rsidP="00BA4790">
            <w:r w:rsidRPr="00177A59">
              <w:t>Data unavailable</w:t>
            </w:r>
          </w:p>
          <w:p w:rsidR="00726085" w:rsidRDefault="00726085" w:rsidP="00BA4790">
            <w:pPr>
              <w:rPr>
                <w:color w:val="0000CC"/>
                <w:lang w:eastAsia="en-AU"/>
              </w:rPr>
            </w:pPr>
          </w:p>
          <w:p w:rsidR="00726085" w:rsidRPr="00726085" w:rsidRDefault="00726085" w:rsidP="00726085">
            <w:pPr>
              <w:rPr>
                <w:color w:val="0000CC"/>
                <w:lang w:val="en-AU" w:eastAsia="en-AU"/>
              </w:rPr>
            </w:pPr>
          </w:p>
        </w:tc>
        <w:tc>
          <w:tcPr>
            <w:tcW w:w="3727" w:type="dxa"/>
            <w:tcBorders>
              <w:top w:val="single" w:sz="4" w:space="0" w:color="auto"/>
              <w:bottom w:val="single" w:sz="4" w:space="0" w:color="auto"/>
            </w:tcBorders>
            <w:shd w:val="clear" w:color="auto" w:fill="F2F2F2" w:themeFill="background1" w:themeFillShade="F2"/>
          </w:tcPr>
          <w:p w:rsidR="00BA4790" w:rsidRPr="00BA4790" w:rsidRDefault="00177A59" w:rsidP="00177A59">
            <w:pPr>
              <w:pStyle w:val="Default"/>
            </w:pPr>
            <w:r w:rsidRPr="00177A59">
              <w:rPr>
                <w:rFonts w:asciiTheme="minorHAnsi" w:hAnsiTheme="minorHAnsi" w:cstheme="minorBidi"/>
                <w:color w:val="495965" w:themeColor="text2"/>
                <w:sz w:val="22"/>
                <w:szCs w:val="22"/>
                <w:lang w:val="en-GB" w:eastAsia="en-US" w:bidi="ar-SA"/>
              </w:rPr>
              <w:t>Results for this indicator cannot be reported using current national health information systems. An alternative indicator is the number of outpatient services covered by HEF, which increased from 2.3 million cases in 2015-16 to 2.64 million cases in 2017-18.</w:t>
            </w:r>
          </w:p>
        </w:tc>
      </w:tr>
      <w:tr w:rsidR="00BA4790" w:rsidRPr="00BA4790" w:rsidTr="0015382B">
        <w:tc>
          <w:tcPr>
            <w:tcW w:w="2416" w:type="dxa"/>
            <w:tcBorders>
              <w:top w:val="nil"/>
            </w:tcBorders>
            <w:shd w:val="clear" w:color="auto" w:fill="F2F2F2" w:themeFill="background1" w:themeFillShade="F2"/>
          </w:tcPr>
          <w:p w:rsidR="00BA4790" w:rsidRPr="00BA4790" w:rsidRDefault="00BA4790" w:rsidP="00BA4790"/>
        </w:tc>
        <w:tc>
          <w:tcPr>
            <w:tcW w:w="3590" w:type="dxa"/>
            <w:tcBorders>
              <w:top w:val="single" w:sz="4" w:space="0" w:color="auto"/>
              <w:bottom w:val="single" w:sz="4" w:space="0" w:color="auto"/>
            </w:tcBorders>
            <w:shd w:val="clear" w:color="auto" w:fill="F2F2F2" w:themeFill="background1" w:themeFillShade="F2"/>
          </w:tcPr>
          <w:p w:rsidR="00BA4790" w:rsidRPr="00BA4790" w:rsidRDefault="00BA4790" w:rsidP="00BA4790">
            <w:r w:rsidRPr="00BA4790">
              <w:t>10. Percentage of women delivering in a health facility with a skilled attendant</w:t>
            </w:r>
          </w:p>
        </w:tc>
        <w:tc>
          <w:tcPr>
            <w:tcW w:w="2420" w:type="dxa"/>
            <w:tcBorders>
              <w:top w:val="single" w:sz="4" w:space="0" w:color="auto"/>
              <w:bottom w:val="single" w:sz="4" w:space="0" w:color="auto"/>
            </w:tcBorders>
            <w:shd w:val="clear" w:color="auto" w:fill="F2F2F2" w:themeFill="background1" w:themeFillShade="F2"/>
          </w:tcPr>
          <w:p w:rsidR="00BA4790" w:rsidRPr="00BA4790" w:rsidRDefault="002D083F" w:rsidP="00BA4790">
            <w:r w:rsidRPr="00C40362">
              <w:t>&gt;80 per cent</w:t>
            </w:r>
          </w:p>
        </w:tc>
        <w:tc>
          <w:tcPr>
            <w:tcW w:w="1639" w:type="dxa"/>
            <w:tcBorders>
              <w:top w:val="single" w:sz="4" w:space="0" w:color="auto"/>
              <w:bottom w:val="single" w:sz="4" w:space="0" w:color="auto"/>
            </w:tcBorders>
            <w:shd w:val="clear" w:color="auto" w:fill="F2F2F2" w:themeFill="background1" w:themeFillShade="F2"/>
          </w:tcPr>
          <w:p w:rsidR="00BA4790" w:rsidRPr="00BA4790" w:rsidRDefault="00726085" w:rsidP="00BA4790">
            <w:r w:rsidRPr="005B2DAB">
              <w:t>88.99</w:t>
            </w:r>
            <w:r w:rsidR="001A2BF9">
              <w:t xml:space="preserve"> per cent</w:t>
            </w:r>
          </w:p>
        </w:tc>
        <w:tc>
          <w:tcPr>
            <w:tcW w:w="3727" w:type="dxa"/>
            <w:tcBorders>
              <w:top w:val="single" w:sz="4" w:space="0" w:color="auto"/>
              <w:bottom w:val="single" w:sz="4" w:space="0" w:color="auto"/>
            </w:tcBorders>
            <w:shd w:val="clear" w:color="auto" w:fill="F2F2F2" w:themeFill="background1" w:themeFillShade="F2"/>
          </w:tcPr>
          <w:p w:rsidR="00BA4790" w:rsidRPr="00BA4790" w:rsidRDefault="00100D1D" w:rsidP="00BA4790">
            <w:r w:rsidRPr="005B2DAB">
              <w:t>Achieved</w:t>
            </w:r>
          </w:p>
        </w:tc>
      </w:tr>
      <w:tr w:rsidR="00BA4790" w:rsidRPr="00BA4790" w:rsidTr="0015382B">
        <w:tc>
          <w:tcPr>
            <w:tcW w:w="2416" w:type="dxa"/>
            <w:tcBorders>
              <w:top w:val="nil"/>
              <w:bottom w:val="single" w:sz="4" w:space="0" w:color="auto"/>
            </w:tcBorders>
            <w:shd w:val="clear" w:color="auto" w:fill="F2F2F2" w:themeFill="background1" w:themeFillShade="F2"/>
          </w:tcPr>
          <w:p w:rsidR="00BA4790" w:rsidRPr="00BA4790" w:rsidRDefault="00BA4790" w:rsidP="00BA4790"/>
        </w:tc>
        <w:tc>
          <w:tcPr>
            <w:tcW w:w="3590" w:type="dxa"/>
            <w:tcBorders>
              <w:top w:val="single" w:sz="4" w:space="0" w:color="auto"/>
              <w:bottom w:val="single" w:sz="4" w:space="0" w:color="auto"/>
            </w:tcBorders>
            <w:shd w:val="clear" w:color="auto" w:fill="F2F2F2" w:themeFill="background1" w:themeFillShade="F2"/>
          </w:tcPr>
          <w:p w:rsidR="00BA4790" w:rsidRPr="00BA4790" w:rsidRDefault="00BA4790" w:rsidP="00BA4790">
            <w:r w:rsidRPr="00BA4790">
              <w:t>11. Percentage of women aged 15-49 years who are married or in union and used modern contraceptive methods</w:t>
            </w:r>
          </w:p>
        </w:tc>
        <w:tc>
          <w:tcPr>
            <w:tcW w:w="2420" w:type="dxa"/>
            <w:tcBorders>
              <w:top w:val="single" w:sz="4" w:space="0" w:color="auto"/>
              <w:bottom w:val="single" w:sz="4" w:space="0" w:color="auto"/>
            </w:tcBorders>
            <w:shd w:val="clear" w:color="auto" w:fill="F2F2F2" w:themeFill="background1" w:themeFillShade="F2"/>
          </w:tcPr>
          <w:p w:rsidR="00BA4790" w:rsidRPr="00BA4790" w:rsidRDefault="002D083F" w:rsidP="00BA4790">
            <w:r w:rsidRPr="00C40362">
              <w:t>42 per cent</w:t>
            </w:r>
          </w:p>
        </w:tc>
        <w:tc>
          <w:tcPr>
            <w:tcW w:w="1639" w:type="dxa"/>
            <w:tcBorders>
              <w:top w:val="single" w:sz="4" w:space="0" w:color="auto"/>
              <w:bottom w:val="single" w:sz="4" w:space="0" w:color="auto"/>
            </w:tcBorders>
            <w:shd w:val="clear" w:color="auto" w:fill="F2F2F2" w:themeFill="background1" w:themeFillShade="F2"/>
          </w:tcPr>
          <w:p w:rsidR="00BA4790" w:rsidRPr="00BA4790" w:rsidRDefault="00726085" w:rsidP="00BA4790">
            <w:r w:rsidRPr="005B2DAB">
              <w:t>24.82</w:t>
            </w:r>
            <w:r w:rsidR="001A2BF9">
              <w:t xml:space="preserve"> per cent</w:t>
            </w:r>
          </w:p>
        </w:tc>
        <w:tc>
          <w:tcPr>
            <w:tcW w:w="3727" w:type="dxa"/>
            <w:tcBorders>
              <w:top w:val="single" w:sz="4" w:space="0" w:color="auto"/>
              <w:bottom w:val="single" w:sz="4" w:space="0" w:color="auto"/>
            </w:tcBorders>
            <w:shd w:val="clear" w:color="auto" w:fill="F2F2F2" w:themeFill="background1" w:themeFillShade="F2"/>
          </w:tcPr>
          <w:p w:rsidR="00BA4790" w:rsidRPr="00BA4790" w:rsidRDefault="005B2DAB" w:rsidP="002D083F">
            <w:r w:rsidRPr="005B2DAB">
              <w:t>This national indicator is routinely measured by the Ministry of Health’s Health Management Information System.  Reasons the national target was not achieved include: 1) some target women have moved from public health facility services to private providers where services were not properly recorded; and 2) reduction in number of community health volunteers whose roles were to distribute modern contraceptive commodities and services in the community.</w:t>
            </w:r>
          </w:p>
        </w:tc>
      </w:tr>
      <w:tr w:rsidR="00BA4790" w:rsidRPr="00BA4790" w:rsidTr="0015382B">
        <w:tc>
          <w:tcPr>
            <w:tcW w:w="2416" w:type="dxa"/>
            <w:tcBorders>
              <w:top w:val="single" w:sz="4" w:space="0" w:color="auto"/>
              <w:bottom w:val="nil"/>
            </w:tcBorders>
            <w:shd w:val="clear" w:color="auto" w:fill="F2F2F2" w:themeFill="background1" w:themeFillShade="F2"/>
          </w:tcPr>
          <w:p w:rsidR="00BA4790" w:rsidRPr="00BA4790" w:rsidRDefault="00BA4790" w:rsidP="00BA4790">
            <w:r w:rsidRPr="00BA4790">
              <w:t>7.  Australia Awards Alumni contribute to Cambodia’s development</w:t>
            </w:r>
          </w:p>
        </w:tc>
        <w:tc>
          <w:tcPr>
            <w:tcW w:w="3590" w:type="dxa"/>
            <w:tcBorders>
              <w:top w:val="single" w:sz="4" w:space="0" w:color="auto"/>
              <w:bottom w:val="single" w:sz="4" w:space="0" w:color="auto"/>
            </w:tcBorders>
            <w:shd w:val="clear" w:color="auto" w:fill="F2F2F2" w:themeFill="background1" w:themeFillShade="F2"/>
          </w:tcPr>
          <w:p w:rsidR="00BA4790" w:rsidRPr="00BA4790" w:rsidRDefault="00BA4790" w:rsidP="00BA4790">
            <w:r w:rsidRPr="00BA4790">
              <w:t xml:space="preserve">12. Number and percentage of Australia Awards scholarships awarded to women and men </w:t>
            </w:r>
            <w:r w:rsidRPr="00BA4790">
              <w:rPr>
                <w:b/>
              </w:rPr>
              <w:t>(AIP Benchmark)</w:t>
            </w:r>
          </w:p>
        </w:tc>
        <w:tc>
          <w:tcPr>
            <w:tcW w:w="2420" w:type="dxa"/>
            <w:tcBorders>
              <w:top w:val="single" w:sz="4" w:space="0" w:color="auto"/>
              <w:bottom w:val="single" w:sz="4" w:space="0" w:color="auto"/>
            </w:tcBorders>
            <w:shd w:val="clear" w:color="auto" w:fill="F2F2F2" w:themeFill="background1" w:themeFillShade="F2"/>
          </w:tcPr>
          <w:p w:rsidR="00BA4790" w:rsidRPr="00C40362" w:rsidRDefault="002D083F" w:rsidP="00C40362">
            <w:r w:rsidRPr="00C40362">
              <w:t>50 per cent women, 50 per cent men</w:t>
            </w:r>
          </w:p>
        </w:tc>
        <w:tc>
          <w:tcPr>
            <w:tcW w:w="1639" w:type="dxa"/>
            <w:tcBorders>
              <w:top w:val="single" w:sz="4" w:space="0" w:color="auto"/>
              <w:bottom w:val="single" w:sz="4" w:space="0" w:color="auto"/>
            </w:tcBorders>
            <w:shd w:val="clear" w:color="auto" w:fill="F2F2F2" w:themeFill="background1" w:themeFillShade="F2"/>
          </w:tcPr>
          <w:p w:rsidR="00BA4790" w:rsidRDefault="009425B2" w:rsidP="00BA4790">
            <w:r>
              <w:t>24/26</w:t>
            </w:r>
          </w:p>
          <w:p w:rsidR="009425B2" w:rsidRPr="00BA4790" w:rsidRDefault="009425B2" w:rsidP="00BA4790">
            <w:r>
              <w:t>(48 per cent women, 52 per cent men)</w:t>
            </w:r>
          </w:p>
        </w:tc>
        <w:tc>
          <w:tcPr>
            <w:tcW w:w="3727" w:type="dxa"/>
            <w:tcBorders>
              <w:top w:val="single" w:sz="4" w:space="0" w:color="auto"/>
              <w:bottom w:val="single" w:sz="4" w:space="0" w:color="auto"/>
            </w:tcBorders>
            <w:shd w:val="clear" w:color="auto" w:fill="F2F2F2" w:themeFill="background1" w:themeFillShade="F2"/>
          </w:tcPr>
          <w:p w:rsidR="00BA4790" w:rsidRPr="00BA4790" w:rsidRDefault="003C7DC7">
            <w:r>
              <w:rPr>
                <w:rFonts w:eastAsia="Times New Roman"/>
                <w:iCs/>
                <w:szCs w:val="17"/>
              </w:rPr>
              <w:t xml:space="preserve">Good progress has been made towards awarding 50 per cent of scholarships to women. In 2017-18, </w:t>
            </w:r>
            <w:r w:rsidRPr="00374D35">
              <w:rPr>
                <w:rFonts w:eastAsia="Times New Roman"/>
                <w:iCs/>
                <w:szCs w:val="17"/>
              </w:rPr>
              <w:t xml:space="preserve">48 per cent </w:t>
            </w:r>
            <w:r>
              <w:rPr>
                <w:rFonts w:eastAsia="Times New Roman"/>
                <w:iCs/>
                <w:szCs w:val="17"/>
              </w:rPr>
              <w:t xml:space="preserve">of scholarships were offered to women, which is a 12 per cent increase from 2016-17. Australia Awards Cambodia will continue to implement activities to </w:t>
            </w:r>
            <w:r>
              <w:rPr>
                <w:rFonts w:eastAsia="Times New Roman"/>
                <w:iCs/>
                <w:szCs w:val="17"/>
              </w:rPr>
              <w:lastRenderedPageBreak/>
              <w:t>better support women applicants in the pre-application stage to enhance the likelihood of women successfully applying and receiving a scholarship.</w:t>
            </w:r>
          </w:p>
        </w:tc>
      </w:tr>
      <w:tr w:rsidR="00BA4790" w:rsidRPr="00BA4790" w:rsidTr="0015382B">
        <w:tc>
          <w:tcPr>
            <w:tcW w:w="2416" w:type="dxa"/>
            <w:tcBorders>
              <w:top w:val="nil"/>
              <w:bottom w:val="single" w:sz="4" w:space="0" w:color="auto"/>
            </w:tcBorders>
            <w:shd w:val="clear" w:color="auto" w:fill="F2F2F2" w:themeFill="background1" w:themeFillShade="F2"/>
          </w:tcPr>
          <w:p w:rsidR="00BA4790" w:rsidRPr="00BA4790" w:rsidRDefault="00BA4790" w:rsidP="00BA4790"/>
        </w:tc>
        <w:tc>
          <w:tcPr>
            <w:tcW w:w="3590" w:type="dxa"/>
            <w:tcBorders>
              <w:top w:val="single" w:sz="4" w:space="0" w:color="auto"/>
              <w:bottom w:val="single" w:sz="4" w:space="0" w:color="auto"/>
            </w:tcBorders>
            <w:shd w:val="clear" w:color="auto" w:fill="F2F2F2" w:themeFill="background1" w:themeFillShade="F2"/>
          </w:tcPr>
          <w:p w:rsidR="00BA4790" w:rsidRPr="00BA4790" w:rsidRDefault="00BA4790" w:rsidP="00BA4790">
            <w:r w:rsidRPr="00BA4790">
              <w:t>13. Increase in percentage of applicants for an Australia Awards Scholarship who are women</w:t>
            </w:r>
          </w:p>
        </w:tc>
        <w:tc>
          <w:tcPr>
            <w:tcW w:w="2420" w:type="dxa"/>
            <w:tcBorders>
              <w:top w:val="single" w:sz="4" w:space="0" w:color="auto"/>
              <w:bottom w:val="single" w:sz="4" w:space="0" w:color="auto"/>
            </w:tcBorders>
            <w:shd w:val="clear" w:color="auto" w:fill="F2F2F2" w:themeFill="background1" w:themeFillShade="F2"/>
          </w:tcPr>
          <w:p w:rsidR="00BA4790" w:rsidRPr="00C40362" w:rsidRDefault="002D083F" w:rsidP="00BA4790">
            <w:r w:rsidRPr="00C40362">
              <w:t>40 per cent of applicants for Australia Awards Scholarships are women</w:t>
            </w:r>
          </w:p>
        </w:tc>
        <w:tc>
          <w:tcPr>
            <w:tcW w:w="1639" w:type="dxa"/>
            <w:tcBorders>
              <w:top w:val="single" w:sz="4" w:space="0" w:color="auto"/>
              <w:bottom w:val="single" w:sz="4" w:space="0" w:color="auto"/>
            </w:tcBorders>
            <w:shd w:val="clear" w:color="auto" w:fill="F2F2F2" w:themeFill="background1" w:themeFillShade="F2"/>
          </w:tcPr>
          <w:p w:rsidR="00BA4790" w:rsidRPr="00BA4790" w:rsidRDefault="00244E4E" w:rsidP="00BA4790">
            <w:r w:rsidRPr="00244E4E">
              <w:t>44 per cent of applicants for Australia Awards Scholarships are women.</w:t>
            </w:r>
          </w:p>
        </w:tc>
        <w:tc>
          <w:tcPr>
            <w:tcW w:w="3727" w:type="dxa"/>
            <w:tcBorders>
              <w:top w:val="single" w:sz="4" w:space="0" w:color="auto"/>
              <w:bottom w:val="single" w:sz="4" w:space="0" w:color="auto"/>
            </w:tcBorders>
            <w:shd w:val="clear" w:color="auto" w:fill="F2F2F2" w:themeFill="background1" w:themeFillShade="F2"/>
          </w:tcPr>
          <w:p w:rsidR="00BA4790" w:rsidRPr="00BA4790" w:rsidRDefault="003C7DC7" w:rsidP="00BA4790">
            <w:r>
              <w:t>Australia Awards Cambodia successfully met its target of having 40 per cent of applicants being women. Australia Awards Cambodia will continue its efforts to better support women applicants apply for and succeed in receiving an Australia Awards scholarship</w:t>
            </w:r>
          </w:p>
        </w:tc>
      </w:tr>
    </w:tbl>
    <w:p w:rsidR="00BA4790" w:rsidRPr="00BA4790" w:rsidRDefault="00BA4790" w:rsidP="00BA4790">
      <w:pPr>
        <w:rPr>
          <w:b/>
        </w:rPr>
      </w:pPr>
    </w:p>
    <w:p w:rsidR="00BA4790" w:rsidRPr="00BA4790" w:rsidRDefault="00BA4790" w:rsidP="00BA4790">
      <w:pPr>
        <w:rPr>
          <w:b/>
        </w:rPr>
      </w:pPr>
      <w:r w:rsidRPr="00BA4790">
        <w:rPr>
          <w:b/>
        </w:rPr>
        <w:t>Cross-cutting issues</w:t>
      </w:r>
    </w:p>
    <w:tbl>
      <w:tblPr>
        <w:tblW w:w="4778" w:type="pct"/>
        <w:tblLook w:val="04A0" w:firstRow="1" w:lastRow="0" w:firstColumn="1" w:lastColumn="0" w:noHBand="0" w:noVBand="1"/>
      </w:tblPr>
      <w:tblGrid>
        <w:gridCol w:w="2268"/>
        <w:gridCol w:w="666"/>
        <w:gridCol w:w="3091"/>
        <w:gridCol w:w="89"/>
        <w:gridCol w:w="2200"/>
        <w:gridCol w:w="1892"/>
        <w:gridCol w:w="364"/>
        <w:gridCol w:w="3248"/>
      </w:tblGrid>
      <w:tr w:rsidR="00BA4790" w:rsidRPr="00BA4790" w:rsidTr="00D876E3">
        <w:tc>
          <w:tcPr>
            <w:tcW w:w="2934" w:type="dxa"/>
            <w:gridSpan w:val="2"/>
            <w:tcBorders>
              <w:top w:val="single" w:sz="2" w:space="0" w:color="808080" w:themeColor="background1" w:themeShade="80"/>
              <w:bottom w:val="single" w:sz="4" w:space="0" w:color="auto"/>
            </w:tcBorders>
            <w:shd w:val="clear" w:color="auto" w:fill="D7DEE2" w:themeFill="text2" w:themeFillTint="33"/>
          </w:tcPr>
          <w:p w:rsidR="00BA4790" w:rsidRPr="00BA4790" w:rsidRDefault="00BA4790" w:rsidP="00BA4790">
            <w:r w:rsidRPr="00BA4790">
              <w:br w:type="page"/>
            </w:r>
            <w:r w:rsidRPr="00BA4790">
              <w:br w:type="page"/>
            </w:r>
          </w:p>
        </w:tc>
        <w:tc>
          <w:tcPr>
            <w:tcW w:w="3180" w:type="dxa"/>
            <w:gridSpan w:val="2"/>
            <w:tcBorders>
              <w:top w:val="single" w:sz="2" w:space="0" w:color="808080" w:themeColor="background1" w:themeShade="80"/>
              <w:bottom w:val="single" w:sz="4" w:space="0" w:color="auto"/>
            </w:tcBorders>
            <w:shd w:val="clear" w:color="auto" w:fill="D7DEE2" w:themeFill="text2" w:themeFillTint="33"/>
          </w:tcPr>
          <w:p w:rsidR="00BA4790" w:rsidRPr="00BA4790" w:rsidRDefault="00BA4790" w:rsidP="00BA4790">
            <w:r w:rsidRPr="00BA4790">
              <w:t xml:space="preserve">Indicator </w:t>
            </w:r>
          </w:p>
        </w:tc>
        <w:tc>
          <w:tcPr>
            <w:tcW w:w="2200" w:type="dxa"/>
            <w:tcBorders>
              <w:top w:val="single" w:sz="2" w:space="0" w:color="808080" w:themeColor="background1" w:themeShade="80"/>
              <w:bottom w:val="single" w:sz="4" w:space="0" w:color="auto"/>
            </w:tcBorders>
            <w:shd w:val="clear" w:color="auto" w:fill="D7DEE2" w:themeFill="text2" w:themeFillTint="33"/>
          </w:tcPr>
          <w:p w:rsidR="00BA4790" w:rsidRPr="00BA4790" w:rsidRDefault="007619A5" w:rsidP="00BA4790">
            <w:r>
              <w:t>2017/18</w:t>
            </w:r>
            <w:r w:rsidR="00BA4790" w:rsidRPr="00BA4790">
              <w:t xml:space="preserve"> Targets</w:t>
            </w:r>
          </w:p>
        </w:tc>
        <w:tc>
          <w:tcPr>
            <w:tcW w:w="2256" w:type="dxa"/>
            <w:gridSpan w:val="2"/>
            <w:tcBorders>
              <w:top w:val="single" w:sz="2" w:space="0" w:color="808080" w:themeColor="background1" w:themeShade="80"/>
              <w:bottom w:val="single" w:sz="4" w:space="0" w:color="auto"/>
            </w:tcBorders>
            <w:shd w:val="clear" w:color="auto" w:fill="D7DEE2" w:themeFill="text2" w:themeFillTint="33"/>
          </w:tcPr>
          <w:p w:rsidR="00BA4790" w:rsidRPr="00BA4790" w:rsidRDefault="00074CAF" w:rsidP="00BA4790">
            <w:r>
              <w:t>2017/18</w:t>
            </w:r>
            <w:r w:rsidR="007619A5">
              <w:t xml:space="preserve"> </w:t>
            </w:r>
            <w:r w:rsidR="00BA4790" w:rsidRPr="00BA4790">
              <w:t>Results</w:t>
            </w:r>
          </w:p>
        </w:tc>
        <w:tc>
          <w:tcPr>
            <w:tcW w:w="3248" w:type="dxa"/>
            <w:tcBorders>
              <w:top w:val="single" w:sz="2" w:space="0" w:color="808080" w:themeColor="background1" w:themeShade="80"/>
              <w:bottom w:val="single" w:sz="4" w:space="0" w:color="auto"/>
            </w:tcBorders>
            <w:shd w:val="clear" w:color="auto" w:fill="D7DEE2" w:themeFill="text2" w:themeFillTint="33"/>
          </w:tcPr>
          <w:p w:rsidR="00BA4790" w:rsidRPr="00BA4790" w:rsidRDefault="00BA4790" w:rsidP="00BA4790">
            <w:r w:rsidRPr="00BA4790">
              <w:t>Explanation for Results</w:t>
            </w:r>
          </w:p>
        </w:tc>
      </w:tr>
      <w:tr w:rsidR="00BA4790" w:rsidRPr="00BA4790" w:rsidTr="00D876E3">
        <w:tc>
          <w:tcPr>
            <w:tcW w:w="2268" w:type="dxa"/>
            <w:tcBorders>
              <w:top w:val="single" w:sz="4" w:space="0" w:color="auto"/>
              <w:bottom w:val="single" w:sz="4" w:space="0" w:color="auto"/>
            </w:tcBorders>
            <w:shd w:val="clear" w:color="auto" w:fill="D7DEE2" w:themeFill="text2" w:themeFillTint="33"/>
          </w:tcPr>
          <w:p w:rsidR="00BA4790" w:rsidRPr="00BA4790" w:rsidRDefault="00BA4790" w:rsidP="002C4172">
            <w:r w:rsidRPr="00BA4790">
              <w:t>8. Increased access to gender-based violence response services in targeted provinces</w:t>
            </w:r>
          </w:p>
        </w:tc>
        <w:tc>
          <w:tcPr>
            <w:tcW w:w="3757" w:type="dxa"/>
            <w:gridSpan w:val="2"/>
            <w:tcBorders>
              <w:top w:val="single" w:sz="4" w:space="0" w:color="auto"/>
              <w:bottom w:val="single" w:sz="4" w:space="0" w:color="auto"/>
            </w:tcBorders>
            <w:shd w:val="clear" w:color="auto" w:fill="D7DEE2" w:themeFill="text2" w:themeFillTint="33"/>
          </w:tcPr>
          <w:p w:rsidR="00BA4790" w:rsidRPr="00BA4790" w:rsidRDefault="00BA4790" w:rsidP="00BA4790">
            <w:r w:rsidRPr="00BA4790">
              <w:t xml:space="preserve">14. Additional women affected by violence receiving services such as counselling </w:t>
            </w:r>
            <w:r w:rsidRPr="00BA4790">
              <w:rPr>
                <w:b/>
              </w:rPr>
              <w:t>(AIP Benchmark)</w:t>
            </w:r>
          </w:p>
        </w:tc>
        <w:tc>
          <w:tcPr>
            <w:tcW w:w="2289" w:type="dxa"/>
            <w:gridSpan w:val="2"/>
            <w:tcBorders>
              <w:top w:val="single" w:sz="4" w:space="0" w:color="auto"/>
              <w:bottom w:val="single" w:sz="4" w:space="0" w:color="auto"/>
            </w:tcBorders>
            <w:shd w:val="clear" w:color="auto" w:fill="D7DEE2" w:themeFill="text2" w:themeFillTint="33"/>
          </w:tcPr>
          <w:p w:rsidR="00BA4790" w:rsidRPr="00BA4790" w:rsidRDefault="002D083F" w:rsidP="00BA4790">
            <w:r w:rsidRPr="00C40362">
              <w:t>1,000 women</w:t>
            </w:r>
          </w:p>
        </w:tc>
        <w:tc>
          <w:tcPr>
            <w:tcW w:w="1892" w:type="dxa"/>
            <w:tcBorders>
              <w:top w:val="single" w:sz="4" w:space="0" w:color="auto"/>
              <w:bottom w:val="single" w:sz="4" w:space="0" w:color="auto"/>
            </w:tcBorders>
            <w:shd w:val="clear" w:color="auto" w:fill="D7DEE2" w:themeFill="text2" w:themeFillTint="33"/>
          </w:tcPr>
          <w:p w:rsidR="00BA4790" w:rsidRPr="00BA4790" w:rsidRDefault="001A53CC" w:rsidP="00BA4790">
            <w:r w:rsidRPr="001A53CC">
              <w:t>761</w:t>
            </w:r>
            <w:r>
              <w:t xml:space="preserve"> women</w:t>
            </w:r>
          </w:p>
        </w:tc>
        <w:tc>
          <w:tcPr>
            <w:tcW w:w="3612" w:type="dxa"/>
            <w:gridSpan w:val="2"/>
            <w:tcBorders>
              <w:top w:val="single" w:sz="4" w:space="0" w:color="auto"/>
              <w:bottom w:val="single" w:sz="4" w:space="0" w:color="auto"/>
            </w:tcBorders>
            <w:shd w:val="clear" w:color="auto" w:fill="D7DEE2" w:themeFill="text2" w:themeFillTint="33"/>
          </w:tcPr>
          <w:p w:rsidR="00BA4790" w:rsidRPr="00BA4790" w:rsidRDefault="00C23A5C" w:rsidP="00BA4790">
            <w:r w:rsidRPr="00C23A5C">
              <w:t>Partly achieved. The achievement was slightly lower than the target because the E</w:t>
            </w:r>
            <w:r w:rsidR="005E2CD7">
              <w:t xml:space="preserve">VAW </w:t>
            </w:r>
            <w:r w:rsidRPr="00C23A5C">
              <w:t>program was winding down in 2017. However, overall, the EVAW program provided services to 12,907 women and their families in five years (exceeding targets more than two-fold).</w:t>
            </w:r>
          </w:p>
        </w:tc>
      </w:tr>
      <w:tr w:rsidR="00BA4790" w:rsidRPr="00BA4790" w:rsidTr="0015382B">
        <w:tc>
          <w:tcPr>
            <w:tcW w:w="2268" w:type="dxa"/>
            <w:tcBorders>
              <w:top w:val="single" w:sz="4" w:space="0" w:color="auto"/>
              <w:bottom w:val="single" w:sz="4" w:space="0" w:color="auto"/>
            </w:tcBorders>
            <w:shd w:val="clear" w:color="auto" w:fill="D7DEE2" w:themeFill="text2" w:themeFillTint="33"/>
          </w:tcPr>
          <w:p w:rsidR="00BA4790" w:rsidRPr="00BA4790" w:rsidRDefault="00BA4790" w:rsidP="00BA4790">
            <w:r w:rsidRPr="00BA4790">
              <w:t>9. Improved quality of life for people with a disability</w:t>
            </w:r>
          </w:p>
        </w:tc>
        <w:tc>
          <w:tcPr>
            <w:tcW w:w="3757" w:type="dxa"/>
            <w:gridSpan w:val="2"/>
            <w:tcBorders>
              <w:top w:val="single" w:sz="4" w:space="0" w:color="auto"/>
              <w:bottom w:val="single" w:sz="4" w:space="0" w:color="auto"/>
            </w:tcBorders>
            <w:shd w:val="clear" w:color="auto" w:fill="D7DEE2" w:themeFill="text2" w:themeFillTint="33"/>
          </w:tcPr>
          <w:p w:rsidR="00BA4790" w:rsidRPr="00BA4790" w:rsidRDefault="00BA4790" w:rsidP="00BA4790">
            <w:r w:rsidRPr="00BA4790">
              <w:t>15. Number of people (women/men) provided with disability services</w:t>
            </w:r>
          </w:p>
        </w:tc>
        <w:tc>
          <w:tcPr>
            <w:tcW w:w="2289" w:type="dxa"/>
            <w:gridSpan w:val="2"/>
            <w:tcBorders>
              <w:top w:val="single" w:sz="4" w:space="0" w:color="auto"/>
              <w:bottom w:val="single" w:sz="4" w:space="0" w:color="auto"/>
            </w:tcBorders>
            <w:shd w:val="clear" w:color="auto" w:fill="D7DEE2" w:themeFill="text2" w:themeFillTint="33"/>
          </w:tcPr>
          <w:p w:rsidR="00BA4790" w:rsidRPr="00BA4790" w:rsidRDefault="002D083F" w:rsidP="00BA4790">
            <w:r w:rsidRPr="00C40362">
              <w:t>15,000 people (7,500 women and 7,500 men)</w:t>
            </w:r>
          </w:p>
        </w:tc>
        <w:tc>
          <w:tcPr>
            <w:tcW w:w="1892" w:type="dxa"/>
            <w:tcBorders>
              <w:top w:val="single" w:sz="4" w:space="0" w:color="auto"/>
              <w:bottom w:val="single" w:sz="4" w:space="0" w:color="auto"/>
            </w:tcBorders>
            <w:shd w:val="clear" w:color="auto" w:fill="D7DEE2" w:themeFill="text2" w:themeFillTint="33"/>
          </w:tcPr>
          <w:p w:rsidR="00BA4790" w:rsidRPr="00BA4790" w:rsidRDefault="00BE224C" w:rsidP="00BA4790">
            <w:r w:rsidRPr="00BE224C">
              <w:t>26,243 people with disability, of them, 6,795 were women and girls.</w:t>
            </w:r>
          </w:p>
        </w:tc>
        <w:tc>
          <w:tcPr>
            <w:tcW w:w="3612" w:type="dxa"/>
            <w:gridSpan w:val="2"/>
            <w:tcBorders>
              <w:top w:val="single" w:sz="4" w:space="0" w:color="auto"/>
              <w:bottom w:val="single" w:sz="4" w:space="0" w:color="auto"/>
            </w:tcBorders>
            <w:shd w:val="clear" w:color="auto" w:fill="D7DEE2" w:themeFill="text2" w:themeFillTint="33"/>
          </w:tcPr>
          <w:p w:rsidR="00BA4790" w:rsidRPr="00BA4790" w:rsidRDefault="00222BE1">
            <w:r>
              <w:t>Target exceeded. H</w:t>
            </w:r>
            <w:r w:rsidR="00BE224C" w:rsidRPr="00BE224C">
              <w:t>owever</w:t>
            </w:r>
            <w:r>
              <w:t>,</w:t>
            </w:r>
            <w:r w:rsidR="00BE224C" w:rsidRPr="00BE224C">
              <w:t xml:space="preserve"> this figure shows that there is a lower proportion of female people with disability accessing physical rehabilitation services (26 per cent), due in part to the majority of the clients being </w:t>
            </w:r>
            <w:r w:rsidR="00BE224C" w:rsidRPr="00BE224C">
              <w:lastRenderedPageBreak/>
              <w:t>landmine survivors, who are predominately men.</w:t>
            </w:r>
          </w:p>
        </w:tc>
      </w:tr>
      <w:tr w:rsidR="00BA4790" w:rsidRPr="00BA4790" w:rsidTr="0015382B">
        <w:tc>
          <w:tcPr>
            <w:tcW w:w="2268" w:type="dxa"/>
            <w:tcBorders>
              <w:top w:val="single" w:sz="4" w:space="0" w:color="auto"/>
              <w:bottom w:val="nil"/>
            </w:tcBorders>
            <w:shd w:val="clear" w:color="auto" w:fill="D7DEE2" w:themeFill="text2" w:themeFillTint="33"/>
          </w:tcPr>
          <w:p w:rsidR="00BA4790" w:rsidRPr="00BA4790" w:rsidRDefault="00BA4790" w:rsidP="00BA4790">
            <w:r w:rsidRPr="00BA4790">
              <w:lastRenderedPageBreak/>
              <w:t>10.  Increased engagement with Cambodia’s Private Sector in the delivery of the aid program</w:t>
            </w:r>
          </w:p>
        </w:tc>
        <w:tc>
          <w:tcPr>
            <w:tcW w:w="3757" w:type="dxa"/>
            <w:gridSpan w:val="2"/>
            <w:tcBorders>
              <w:top w:val="single" w:sz="4" w:space="0" w:color="auto"/>
              <w:bottom w:val="single" w:sz="4" w:space="0" w:color="auto"/>
            </w:tcBorders>
            <w:shd w:val="clear" w:color="auto" w:fill="D7DEE2" w:themeFill="text2" w:themeFillTint="33"/>
          </w:tcPr>
          <w:p w:rsidR="00BA4790" w:rsidRPr="00BA4790" w:rsidRDefault="00BA4790" w:rsidP="00BA4790">
            <w:r w:rsidRPr="00BA4790">
              <w:t xml:space="preserve">16. Number of co-investment contracts signed with infrastructure SMEs and private equity or impact investors </w:t>
            </w:r>
          </w:p>
        </w:tc>
        <w:tc>
          <w:tcPr>
            <w:tcW w:w="2289" w:type="dxa"/>
            <w:gridSpan w:val="2"/>
            <w:tcBorders>
              <w:top w:val="single" w:sz="4" w:space="0" w:color="auto"/>
              <w:bottom w:val="single" w:sz="4" w:space="0" w:color="auto"/>
            </w:tcBorders>
            <w:shd w:val="clear" w:color="auto" w:fill="D7DEE2" w:themeFill="text2" w:themeFillTint="33"/>
          </w:tcPr>
          <w:p w:rsidR="002D083F" w:rsidRPr="00C40362" w:rsidRDefault="002D083F" w:rsidP="00C40362">
            <w:r w:rsidRPr="00C40362">
              <w:t xml:space="preserve">36 contracts signed </w:t>
            </w:r>
          </w:p>
          <w:p w:rsidR="00BA4790" w:rsidRPr="00BA4790" w:rsidRDefault="002D083F" w:rsidP="00C212CB">
            <w:r w:rsidRPr="00C40362">
              <w:t xml:space="preserve">(35 3i contracts; </w:t>
            </w:r>
            <w:r w:rsidR="00C212CB">
              <w:t>one</w:t>
            </w:r>
            <w:r w:rsidR="00C212CB" w:rsidRPr="00C40362">
              <w:t xml:space="preserve"> </w:t>
            </w:r>
            <w:r w:rsidRPr="00C40362">
              <w:t>CAVAC II contract)</w:t>
            </w:r>
          </w:p>
        </w:tc>
        <w:tc>
          <w:tcPr>
            <w:tcW w:w="1892" w:type="dxa"/>
            <w:tcBorders>
              <w:top w:val="single" w:sz="4" w:space="0" w:color="auto"/>
              <w:bottom w:val="single" w:sz="4" w:space="0" w:color="auto"/>
            </w:tcBorders>
            <w:shd w:val="clear" w:color="auto" w:fill="D7DEE2" w:themeFill="text2" w:themeFillTint="33"/>
          </w:tcPr>
          <w:p w:rsidR="00CB6724" w:rsidRDefault="003067A6" w:rsidP="00C40362">
            <w:r>
              <w:t>68 contracts si</w:t>
            </w:r>
            <w:r w:rsidR="00987CF7">
              <w:t>gn</w:t>
            </w:r>
            <w:r>
              <w:t>ed</w:t>
            </w:r>
          </w:p>
          <w:p w:rsidR="00CB6724" w:rsidRDefault="00CB6724" w:rsidP="00C40362"/>
          <w:p w:rsidR="00CB6724" w:rsidRDefault="00CB6724" w:rsidP="00C40362"/>
          <w:p w:rsidR="00CB6724" w:rsidRDefault="00CB6724" w:rsidP="00C40362"/>
          <w:p w:rsidR="00CB6724" w:rsidRDefault="00CB6724" w:rsidP="00C40362"/>
          <w:p w:rsidR="00BA4790" w:rsidRPr="00C40362" w:rsidRDefault="00BA4790" w:rsidP="00C40362"/>
        </w:tc>
        <w:tc>
          <w:tcPr>
            <w:tcW w:w="3612" w:type="dxa"/>
            <w:gridSpan w:val="2"/>
            <w:tcBorders>
              <w:top w:val="single" w:sz="4" w:space="0" w:color="auto"/>
              <w:bottom w:val="single" w:sz="4" w:space="0" w:color="auto"/>
            </w:tcBorders>
            <w:shd w:val="clear" w:color="auto" w:fill="D7DEE2" w:themeFill="text2" w:themeFillTint="33"/>
          </w:tcPr>
          <w:p w:rsidR="00ED759D" w:rsidRDefault="00ED759D" w:rsidP="00C40362">
            <w:r w:rsidRPr="00CB6724">
              <w:t>Target exceeded.</w:t>
            </w:r>
          </w:p>
          <w:p w:rsidR="00CB6724" w:rsidRDefault="003067A6" w:rsidP="00C40362">
            <w:r w:rsidRPr="00CB6724">
              <w:t xml:space="preserve">3i: </w:t>
            </w:r>
            <w:r w:rsidRPr="00DE5DB5">
              <w:t>49 contracts signed.</w:t>
            </w:r>
            <w:r w:rsidRPr="00CB6724">
              <w:t xml:space="preserve"> </w:t>
            </w:r>
            <w:r w:rsidR="00CB6724" w:rsidRPr="00CB6724">
              <w:t>Investing in Infrastructure (3i) signed 49 co-investment contracts (39 water and 10 electricity) as of 30 June 2018. Cumulatively, 3i had signed 71 contracts, exceeding the end of AIP target by 10.</w:t>
            </w:r>
          </w:p>
          <w:p w:rsidR="00BA4790" w:rsidRPr="00C40362" w:rsidRDefault="003067A6" w:rsidP="00C40362">
            <w:r w:rsidRPr="00C40362">
              <w:t>CAVAC: 19 contracts</w:t>
            </w:r>
            <w:r>
              <w:t xml:space="preserve"> signed.</w:t>
            </w:r>
          </w:p>
        </w:tc>
      </w:tr>
      <w:tr w:rsidR="00BA4790" w:rsidRPr="00BA4790" w:rsidTr="0015382B">
        <w:tc>
          <w:tcPr>
            <w:tcW w:w="2268" w:type="dxa"/>
            <w:tcBorders>
              <w:top w:val="nil"/>
              <w:bottom w:val="single" w:sz="4" w:space="0" w:color="auto"/>
            </w:tcBorders>
            <w:shd w:val="clear" w:color="auto" w:fill="D7DEE2" w:themeFill="text2" w:themeFillTint="33"/>
          </w:tcPr>
          <w:p w:rsidR="00BA4790" w:rsidRPr="00BA4790" w:rsidRDefault="00BA4790" w:rsidP="00BA4790"/>
        </w:tc>
        <w:tc>
          <w:tcPr>
            <w:tcW w:w="3757" w:type="dxa"/>
            <w:gridSpan w:val="2"/>
            <w:tcBorders>
              <w:top w:val="single" w:sz="4" w:space="0" w:color="auto"/>
              <w:bottom w:val="single" w:sz="4" w:space="0" w:color="auto"/>
            </w:tcBorders>
            <w:shd w:val="clear" w:color="auto" w:fill="D7DEE2" w:themeFill="text2" w:themeFillTint="33"/>
          </w:tcPr>
          <w:p w:rsidR="00BA4790" w:rsidRPr="00BA4790" w:rsidRDefault="00BA4790" w:rsidP="00BA4790">
            <w:r w:rsidRPr="00BA4790">
              <w:t>17. Value of private investment leveraged (AUD)</w:t>
            </w:r>
          </w:p>
        </w:tc>
        <w:tc>
          <w:tcPr>
            <w:tcW w:w="2289" w:type="dxa"/>
            <w:gridSpan w:val="2"/>
            <w:tcBorders>
              <w:top w:val="single" w:sz="4" w:space="0" w:color="auto"/>
              <w:bottom w:val="single" w:sz="4" w:space="0" w:color="auto"/>
            </w:tcBorders>
            <w:shd w:val="clear" w:color="auto" w:fill="D7DEE2" w:themeFill="text2" w:themeFillTint="33"/>
          </w:tcPr>
          <w:p w:rsidR="002D083F" w:rsidRPr="00C40362" w:rsidRDefault="00BA4790" w:rsidP="00C40362">
            <w:r w:rsidRPr="00BA4790">
              <w:t xml:space="preserve"> </w:t>
            </w:r>
            <w:r w:rsidR="002D083F" w:rsidRPr="00C40362">
              <w:t>AUD $5,300,000</w:t>
            </w:r>
          </w:p>
          <w:p w:rsidR="00BA4790" w:rsidRPr="00C40362" w:rsidRDefault="002D083F" w:rsidP="00C40362">
            <w:r w:rsidRPr="00C40362">
              <w:t>($4,550,000 attributable to 3i; $750,000 attributable to CAVAC II)</w:t>
            </w:r>
          </w:p>
        </w:tc>
        <w:tc>
          <w:tcPr>
            <w:tcW w:w="1892" w:type="dxa"/>
            <w:tcBorders>
              <w:top w:val="single" w:sz="4" w:space="0" w:color="auto"/>
              <w:bottom w:val="single" w:sz="4" w:space="0" w:color="auto"/>
            </w:tcBorders>
            <w:shd w:val="clear" w:color="auto" w:fill="D7DEE2" w:themeFill="text2" w:themeFillTint="33"/>
          </w:tcPr>
          <w:p w:rsidR="005C5D05" w:rsidRPr="00C40362" w:rsidRDefault="00CB6724" w:rsidP="00C40362">
            <w:r w:rsidRPr="00CB6724">
              <w:t>AUD</w:t>
            </w:r>
            <w:r w:rsidR="00B2269B">
              <w:t xml:space="preserve"> 26,556,504</w:t>
            </w:r>
          </w:p>
          <w:p w:rsidR="005C5D05" w:rsidRPr="00C40362" w:rsidRDefault="005C5D05" w:rsidP="00C40362"/>
          <w:p w:rsidR="00BA4790" w:rsidRPr="00C40362" w:rsidRDefault="00BA4790" w:rsidP="00C40362"/>
        </w:tc>
        <w:tc>
          <w:tcPr>
            <w:tcW w:w="3612" w:type="dxa"/>
            <w:gridSpan w:val="2"/>
            <w:tcBorders>
              <w:top w:val="single" w:sz="4" w:space="0" w:color="auto"/>
              <w:bottom w:val="single" w:sz="4" w:space="0" w:color="auto"/>
            </w:tcBorders>
            <w:shd w:val="clear" w:color="auto" w:fill="D7DEE2" w:themeFill="text2" w:themeFillTint="33"/>
          </w:tcPr>
          <w:p w:rsidR="00ED759D" w:rsidRDefault="00ED759D" w:rsidP="00C40362">
            <w:r>
              <w:t>Target exceeded.</w:t>
            </w:r>
          </w:p>
          <w:p w:rsidR="00BA4790" w:rsidRPr="00C40362" w:rsidRDefault="00B2269B" w:rsidP="00C40362">
            <w:r>
              <w:t xml:space="preserve">3i: </w:t>
            </w:r>
            <w:r w:rsidR="00F04F3A">
              <w:t xml:space="preserve">with </w:t>
            </w:r>
            <w:r w:rsidRPr="00CB6724">
              <w:t>AUD 25,738,909</w:t>
            </w:r>
            <w:r w:rsidR="005E2CD7">
              <w:rPr>
                <w:rStyle w:val="FootnoteReference"/>
              </w:rPr>
              <w:footnoteReference w:id="8"/>
            </w:r>
            <w:r>
              <w:t xml:space="preserve"> </w:t>
            </w:r>
            <w:r w:rsidR="00CB6724" w:rsidRPr="00CB6724">
              <w:t>3i leveraged this amount of private investment calculated as the total value of co-investment commitments across all 49 contracts as of 30 June 2018.</w:t>
            </w:r>
          </w:p>
          <w:p w:rsidR="00074CAF" w:rsidRPr="00C40362" w:rsidRDefault="00B2269B" w:rsidP="005E2CD7">
            <w:r>
              <w:t>CAVAC</w:t>
            </w:r>
            <w:r w:rsidR="00F04F3A">
              <w:t xml:space="preserve">: </w:t>
            </w:r>
            <w:r w:rsidR="00074CAF" w:rsidRPr="00C40362">
              <w:t xml:space="preserve">In partnership with private sector, CAVAC realized AUD 817,595 </w:t>
            </w:r>
            <w:r w:rsidR="005E2CD7">
              <w:t>of</w:t>
            </w:r>
            <w:r w:rsidR="00074CAF" w:rsidRPr="00C40362">
              <w:t xml:space="preserve"> leveraged funds</w:t>
            </w:r>
            <w:r w:rsidR="00FB5D09">
              <w:t>.</w:t>
            </w:r>
          </w:p>
        </w:tc>
      </w:tr>
    </w:tbl>
    <w:p w:rsidR="00355994" w:rsidRDefault="00355994" w:rsidP="002463B5">
      <w:pPr>
        <w:rPr>
          <w:rFonts w:eastAsiaTheme="majorEastAsia" w:cstheme="majorBidi"/>
          <w:bCs/>
          <w:iCs/>
          <w:caps/>
          <w:spacing w:val="-10"/>
          <w:kern w:val="28"/>
          <w:sz w:val="38"/>
          <w:szCs w:val="24"/>
        </w:rPr>
      </w:pPr>
    </w:p>
    <w:p w:rsidR="002463B5" w:rsidRPr="00355994" w:rsidRDefault="00355994" w:rsidP="00355994">
      <w:pPr>
        <w:suppressAutoHyphens w:val="0"/>
        <w:spacing w:before="0" w:after="120" w:line="440" w:lineRule="atLeast"/>
        <w:rPr>
          <w:rFonts w:eastAsiaTheme="majorEastAsia" w:cstheme="majorBidi"/>
          <w:bCs/>
          <w:iCs/>
          <w:caps/>
          <w:spacing w:val="-10"/>
          <w:kern w:val="28"/>
          <w:sz w:val="38"/>
          <w:szCs w:val="24"/>
        </w:rPr>
      </w:pPr>
      <w:r>
        <w:rPr>
          <w:rFonts w:eastAsiaTheme="majorEastAsia" w:cstheme="majorBidi"/>
          <w:bCs/>
          <w:iCs/>
          <w:caps/>
          <w:spacing w:val="-10"/>
          <w:kern w:val="28"/>
          <w:sz w:val="38"/>
          <w:szCs w:val="24"/>
        </w:rPr>
        <w:br w:type="page"/>
      </w:r>
      <w:r w:rsidR="002463B5" w:rsidRPr="002463B5">
        <w:rPr>
          <w:rFonts w:eastAsiaTheme="majorEastAsia" w:cstheme="majorBidi"/>
          <w:bCs/>
          <w:iCs/>
          <w:caps/>
          <w:spacing w:val="-10"/>
          <w:kern w:val="28"/>
          <w:sz w:val="38"/>
          <w:szCs w:val="24"/>
        </w:rPr>
        <w:lastRenderedPageBreak/>
        <w:t xml:space="preserve">ANNEX </w:t>
      </w:r>
      <w:r w:rsidR="002463B5">
        <w:rPr>
          <w:rFonts w:eastAsiaTheme="majorEastAsia" w:cstheme="majorBidi"/>
          <w:bCs/>
          <w:iCs/>
          <w:caps/>
          <w:spacing w:val="-10"/>
          <w:kern w:val="28"/>
          <w:sz w:val="38"/>
          <w:szCs w:val="24"/>
        </w:rPr>
        <w:t>F</w:t>
      </w:r>
      <w:r w:rsidR="002463B5" w:rsidRPr="002463B5">
        <w:rPr>
          <w:rFonts w:eastAsiaTheme="majorEastAsia" w:cstheme="majorBidi"/>
          <w:bCs/>
          <w:iCs/>
          <w:caps/>
          <w:spacing w:val="-10"/>
          <w:kern w:val="28"/>
          <w:sz w:val="38"/>
          <w:szCs w:val="24"/>
        </w:rPr>
        <w:t>:</w:t>
      </w:r>
      <w:r w:rsidR="002463B5">
        <w:rPr>
          <w:rFonts w:ascii="Franklin Gothic Book" w:eastAsia="Times New Roman" w:hAnsi="Franklin Gothic Book"/>
          <w:b/>
          <w:sz w:val="24"/>
          <w:szCs w:val="24"/>
        </w:rPr>
        <w:t xml:space="preserve"> </w:t>
      </w:r>
      <w:r w:rsidR="002463B5" w:rsidRPr="002463B5">
        <w:rPr>
          <w:rFonts w:eastAsiaTheme="majorEastAsia" w:cstheme="majorBidi"/>
          <w:bCs/>
          <w:iCs/>
          <w:caps/>
          <w:spacing w:val="-10"/>
          <w:kern w:val="28"/>
          <w:sz w:val="38"/>
          <w:szCs w:val="24"/>
        </w:rPr>
        <w:t>Performance Assessment Framework for the interim period 2018/19</w:t>
      </w:r>
    </w:p>
    <w:p w:rsidR="002463B5" w:rsidRDefault="002463B5" w:rsidP="002463B5">
      <w:pPr>
        <w:rPr>
          <w:b/>
        </w:rPr>
      </w:pPr>
      <w:r w:rsidRPr="00BA4790">
        <w:rPr>
          <w:b/>
        </w:rPr>
        <w:t>Objective 1: Improving access to essential infrastructure</w:t>
      </w:r>
    </w:p>
    <w:tbl>
      <w:tblPr>
        <w:tblW w:w="4951" w:type="pct"/>
        <w:tblLook w:val="04A0" w:firstRow="1" w:lastRow="0" w:firstColumn="1" w:lastColumn="0" w:noHBand="0" w:noVBand="1"/>
      </w:tblPr>
      <w:tblGrid>
        <w:gridCol w:w="3972"/>
        <w:gridCol w:w="5243"/>
        <w:gridCol w:w="2380"/>
        <w:gridCol w:w="2723"/>
      </w:tblGrid>
      <w:tr w:rsidR="002463B5" w:rsidRPr="00BA4790" w:rsidTr="00E43906">
        <w:trPr>
          <w:tblHeader/>
        </w:trPr>
        <w:tc>
          <w:tcPr>
            <w:tcW w:w="3972" w:type="dxa"/>
            <w:tcBorders>
              <w:top w:val="single" w:sz="2" w:space="0" w:color="808080" w:themeColor="background1" w:themeShade="80"/>
              <w:bottom w:val="single" w:sz="4" w:space="0" w:color="808080" w:themeColor="background1" w:themeShade="80"/>
            </w:tcBorders>
          </w:tcPr>
          <w:p w:rsidR="002463B5" w:rsidRPr="00BA4790" w:rsidRDefault="002463B5" w:rsidP="00CA6262">
            <w:r w:rsidRPr="00BA4790">
              <w:br w:type="page"/>
            </w:r>
            <w:r w:rsidRPr="00BA4790">
              <w:br w:type="page"/>
            </w:r>
          </w:p>
        </w:tc>
        <w:tc>
          <w:tcPr>
            <w:tcW w:w="5243" w:type="dxa"/>
            <w:tcBorders>
              <w:top w:val="single" w:sz="2" w:space="0" w:color="808080" w:themeColor="background1" w:themeShade="80"/>
              <w:bottom w:val="single" w:sz="4" w:space="0" w:color="808080" w:themeColor="background1" w:themeShade="80"/>
            </w:tcBorders>
          </w:tcPr>
          <w:p w:rsidR="002463B5" w:rsidRPr="00BA4790" w:rsidRDefault="002463B5" w:rsidP="00CA6262">
            <w:r w:rsidRPr="00BA4790">
              <w:t xml:space="preserve">Indicator </w:t>
            </w:r>
          </w:p>
        </w:tc>
        <w:tc>
          <w:tcPr>
            <w:tcW w:w="2380" w:type="dxa"/>
            <w:tcBorders>
              <w:top w:val="single" w:sz="2" w:space="0" w:color="808080" w:themeColor="background1" w:themeShade="80"/>
              <w:bottom w:val="single" w:sz="4" w:space="0" w:color="808080" w:themeColor="background1" w:themeShade="80"/>
            </w:tcBorders>
          </w:tcPr>
          <w:p w:rsidR="002463B5" w:rsidRPr="00BA4790" w:rsidRDefault="002463B5" w:rsidP="00CA6262">
            <w:r>
              <w:t>2018/19</w:t>
            </w:r>
            <w:r w:rsidRPr="00BA4790">
              <w:t xml:space="preserve"> Targets</w:t>
            </w:r>
          </w:p>
        </w:tc>
        <w:tc>
          <w:tcPr>
            <w:tcW w:w="2723" w:type="dxa"/>
            <w:tcBorders>
              <w:top w:val="single" w:sz="2" w:space="0" w:color="808080" w:themeColor="background1" w:themeShade="80"/>
              <w:bottom w:val="single" w:sz="4" w:space="0" w:color="808080" w:themeColor="background1" w:themeShade="80"/>
            </w:tcBorders>
          </w:tcPr>
          <w:p w:rsidR="002463B5" w:rsidRPr="00BA4790" w:rsidRDefault="002463B5" w:rsidP="00CA6262">
            <w:r>
              <w:t>Remarks</w:t>
            </w:r>
          </w:p>
        </w:tc>
      </w:tr>
      <w:tr w:rsidR="00E43906" w:rsidRPr="00C40362" w:rsidTr="00CA6262">
        <w:tc>
          <w:tcPr>
            <w:tcW w:w="3971" w:type="dxa"/>
            <w:tcBorders>
              <w:bottom w:val="single" w:sz="2" w:space="0" w:color="808080" w:themeColor="background1" w:themeShade="80"/>
            </w:tcBorders>
            <w:shd w:val="clear" w:color="auto" w:fill="D5EEE0" w:themeFill="accent6" w:themeFillTint="33"/>
          </w:tcPr>
          <w:p w:rsidR="00E43906" w:rsidRPr="00BA4790" w:rsidRDefault="00E43906" w:rsidP="00E43906">
            <w:r w:rsidRPr="00BA4790">
              <w:t>1. Improvements in infrastructure and the economic environment</w:t>
            </w:r>
          </w:p>
        </w:tc>
        <w:tc>
          <w:tcPr>
            <w:tcW w:w="5243" w:type="dxa"/>
            <w:tcBorders>
              <w:bottom w:val="single" w:sz="2" w:space="0" w:color="808080" w:themeColor="background1" w:themeShade="80"/>
            </w:tcBorders>
            <w:shd w:val="clear" w:color="auto" w:fill="D5EEE0" w:themeFill="accent6" w:themeFillTint="33"/>
          </w:tcPr>
          <w:p w:rsidR="00E43906" w:rsidRPr="00BA4790" w:rsidRDefault="00E43906" w:rsidP="00E43906">
            <w:r w:rsidRPr="00BA4790">
              <w:t>1. Number of people (women and men) that will directly benefit from a new committed household or business connection to electricity and/or piped, treated water</w:t>
            </w:r>
            <w:r w:rsidRPr="00BA4790" w:rsidDel="00E97AAD">
              <w:t xml:space="preserve"> </w:t>
            </w:r>
            <w:r w:rsidRPr="00056D20">
              <w:rPr>
                <w:b/>
                <w:bCs/>
              </w:rPr>
              <w:t>(AIP Benchmark)</w:t>
            </w:r>
          </w:p>
        </w:tc>
        <w:tc>
          <w:tcPr>
            <w:tcW w:w="2380" w:type="dxa"/>
            <w:tcBorders>
              <w:bottom w:val="single" w:sz="2" w:space="0" w:color="808080" w:themeColor="background1" w:themeShade="80"/>
            </w:tcBorders>
            <w:shd w:val="clear" w:color="auto" w:fill="D5EEE0" w:themeFill="accent6" w:themeFillTint="33"/>
          </w:tcPr>
          <w:p w:rsidR="00E43906" w:rsidRPr="00BA4790" w:rsidRDefault="00E43906" w:rsidP="00E43906">
            <w:r>
              <w:t>441,</w:t>
            </w:r>
            <w:r w:rsidRPr="00EB2CAE">
              <w:t xml:space="preserve">531 </w:t>
            </w:r>
            <w:r>
              <w:t>p</w:t>
            </w:r>
            <w:r w:rsidRPr="00EB2CAE">
              <w:t>eople</w:t>
            </w:r>
          </w:p>
        </w:tc>
        <w:tc>
          <w:tcPr>
            <w:tcW w:w="2723" w:type="dxa"/>
            <w:tcBorders>
              <w:bottom w:val="single" w:sz="2" w:space="0" w:color="808080" w:themeColor="background1" w:themeShade="80"/>
            </w:tcBorders>
            <w:shd w:val="clear" w:color="auto" w:fill="D5EEE0" w:themeFill="accent6" w:themeFillTint="33"/>
          </w:tcPr>
          <w:p w:rsidR="00E43906" w:rsidRPr="00C40362" w:rsidRDefault="00E43906" w:rsidP="00E43906"/>
        </w:tc>
      </w:tr>
      <w:tr w:rsidR="00E43906" w:rsidRPr="00BA4790" w:rsidTr="00E43906">
        <w:tc>
          <w:tcPr>
            <w:tcW w:w="3972" w:type="dxa"/>
            <w:tcBorders>
              <w:top w:val="single" w:sz="2" w:space="0" w:color="808080" w:themeColor="background1" w:themeShade="80"/>
              <w:bottom w:val="nil"/>
            </w:tcBorders>
            <w:shd w:val="clear" w:color="auto" w:fill="D5EEE0" w:themeFill="accent6" w:themeFillTint="33"/>
          </w:tcPr>
          <w:p w:rsidR="00E43906" w:rsidRPr="00BA4790" w:rsidRDefault="00E43906" w:rsidP="00E43906">
            <w:r w:rsidRPr="00BA4790">
              <w:t>2.  Improved access to schools, health care facilities and other essential services in targeted rural areas</w:t>
            </w:r>
          </w:p>
        </w:tc>
        <w:tc>
          <w:tcPr>
            <w:tcW w:w="5243" w:type="dxa"/>
            <w:tcBorders>
              <w:top w:val="single" w:sz="2" w:space="0" w:color="808080" w:themeColor="background1" w:themeShade="80"/>
              <w:bottom w:val="single" w:sz="2" w:space="0" w:color="808080" w:themeColor="background1" w:themeShade="80"/>
            </w:tcBorders>
            <w:shd w:val="clear" w:color="auto" w:fill="D5EEE0" w:themeFill="accent6" w:themeFillTint="33"/>
          </w:tcPr>
          <w:p w:rsidR="00E43906" w:rsidRPr="00BA4790" w:rsidRDefault="00E43906" w:rsidP="00E43906">
            <w:r w:rsidRPr="00BA4790">
              <w:t>2. Satisfactory progress is achieved on the implementation of civil works and ‘soft work’ packages in rural road rehabilitation efforts.</w:t>
            </w:r>
          </w:p>
        </w:tc>
        <w:tc>
          <w:tcPr>
            <w:tcW w:w="2380" w:type="dxa"/>
            <w:tcBorders>
              <w:top w:val="single" w:sz="2" w:space="0" w:color="808080" w:themeColor="background1" w:themeShade="80"/>
              <w:bottom w:val="single" w:sz="2" w:space="0" w:color="808080" w:themeColor="background1" w:themeShade="80"/>
            </w:tcBorders>
            <w:shd w:val="clear" w:color="auto" w:fill="D5EEE0" w:themeFill="accent6" w:themeFillTint="33"/>
          </w:tcPr>
          <w:p w:rsidR="00E43906" w:rsidRPr="00BA4790" w:rsidRDefault="00E43906" w:rsidP="00E43906">
            <w:r>
              <w:t>Overall slippage of less than five per cent</w:t>
            </w:r>
          </w:p>
        </w:tc>
        <w:tc>
          <w:tcPr>
            <w:tcW w:w="2723" w:type="dxa"/>
            <w:tcBorders>
              <w:top w:val="single" w:sz="2" w:space="0" w:color="808080" w:themeColor="background1" w:themeShade="80"/>
              <w:bottom w:val="single" w:sz="2" w:space="0" w:color="808080" w:themeColor="background1" w:themeShade="80"/>
            </w:tcBorders>
            <w:shd w:val="clear" w:color="auto" w:fill="D5EEE0" w:themeFill="accent6" w:themeFillTint="33"/>
          </w:tcPr>
          <w:p w:rsidR="00E43906" w:rsidRPr="00BA4790" w:rsidRDefault="00E43906" w:rsidP="00E43906">
            <w:r>
              <w:t>*Based on the revised project schedule agreed in March 2018</w:t>
            </w:r>
          </w:p>
        </w:tc>
      </w:tr>
      <w:tr w:rsidR="00E43906" w:rsidRPr="00BA4790" w:rsidTr="00E43906">
        <w:tc>
          <w:tcPr>
            <w:tcW w:w="3972" w:type="dxa"/>
            <w:tcBorders>
              <w:top w:val="nil"/>
              <w:bottom w:val="single" w:sz="2" w:space="0" w:color="808080" w:themeColor="background1" w:themeShade="80"/>
            </w:tcBorders>
            <w:shd w:val="clear" w:color="auto" w:fill="D5EEE0" w:themeFill="accent6" w:themeFillTint="33"/>
          </w:tcPr>
          <w:p w:rsidR="00E43906" w:rsidRPr="00BA4790" w:rsidRDefault="00E43906" w:rsidP="00E43906"/>
        </w:tc>
        <w:tc>
          <w:tcPr>
            <w:tcW w:w="5243" w:type="dxa"/>
            <w:tcBorders>
              <w:top w:val="single" w:sz="2" w:space="0" w:color="808080" w:themeColor="background1" w:themeShade="80"/>
              <w:bottom w:val="single" w:sz="2" w:space="0" w:color="808080" w:themeColor="background1" w:themeShade="80"/>
            </w:tcBorders>
            <w:shd w:val="clear" w:color="auto" w:fill="D5EEE0" w:themeFill="accent6" w:themeFillTint="33"/>
          </w:tcPr>
          <w:p w:rsidR="00E43906" w:rsidRPr="00BA4790" w:rsidRDefault="00E43906" w:rsidP="00E43906">
            <w:r w:rsidRPr="00BA4790">
              <w:t>3. Proportion of unskilled labour days on Australian-funded rural road rehabilitation works performed by women.</w:t>
            </w:r>
          </w:p>
        </w:tc>
        <w:tc>
          <w:tcPr>
            <w:tcW w:w="2380" w:type="dxa"/>
            <w:tcBorders>
              <w:top w:val="single" w:sz="2" w:space="0" w:color="808080" w:themeColor="background1" w:themeShade="80"/>
              <w:bottom w:val="single" w:sz="2" w:space="0" w:color="808080" w:themeColor="background1" w:themeShade="80"/>
            </w:tcBorders>
            <w:shd w:val="clear" w:color="auto" w:fill="D5EEE0" w:themeFill="accent6" w:themeFillTint="33"/>
          </w:tcPr>
          <w:p w:rsidR="00E43906" w:rsidRPr="00BA4790" w:rsidRDefault="00E43906" w:rsidP="00E43906">
            <w:r>
              <w:t>20 per cent</w:t>
            </w:r>
          </w:p>
        </w:tc>
        <w:tc>
          <w:tcPr>
            <w:tcW w:w="2723" w:type="dxa"/>
            <w:tcBorders>
              <w:top w:val="single" w:sz="2" w:space="0" w:color="808080" w:themeColor="background1" w:themeShade="80"/>
              <w:bottom w:val="single" w:sz="2" w:space="0" w:color="808080" w:themeColor="background1" w:themeShade="80"/>
            </w:tcBorders>
            <w:shd w:val="clear" w:color="auto" w:fill="D5EEE0" w:themeFill="accent6" w:themeFillTint="33"/>
          </w:tcPr>
          <w:p w:rsidR="00E43906" w:rsidRPr="00BA4790" w:rsidRDefault="00E43906" w:rsidP="00E43906"/>
        </w:tc>
      </w:tr>
    </w:tbl>
    <w:p w:rsidR="002463B5" w:rsidRDefault="002463B5" w:rsidP="002463B5">
      <w:pPr>
        <w:rPr>
          <w:b/>
        </w:rPr>
      </w:pPr>
    </w:p>
    <w:p w:rsidR="002463B5" w:rsidRDefault="002463B5" w:rsidP="002463B5">
      <w:pPr>
        <w:rPr>
          <w:b/>
        </w:rPr>
      </w:pPr>
      <w:r w:rsidRPr="00DE1AB6">
        <w:rPr>
          <w:b/>
        </w:rPr>
        <w:t>Objective 2: Increasing agricultural productivity and farmer incomes</w:t>
      </w:r>
    </w:p>
    <w:tbl>
      <w:tblPr>
        <w:tblW w:w="4951" w:type="pct"/>
        <w:tblLook w:val="04A0" w:firstRow="1" w:lastRow="0" w:firstColumn="1" w:lastColumn="0" w:noHBand="0" w:noVBand="1"/>
      </w:tblPr>
      <w:tblGrid>
        <w:gridCol w:w="3953"/>
        <w:gridCol w:w="5120"/>
        <w:gridCol w:w="2373"/>
        <w:gridCol w:w="2872"/>
      </w:tblGrid>
      <w:tr w:rsidR="002463B5" w:rsidRPr="00BA4790" w:rsidTr="00D876E3">
        <w:tc>
          <w:tcPr>
            <w:tcW w:w="3953" w:type="dxa"/>
            <w:tcBorders>
              <w:bottom w:val="single" w:sz="4" w:space="0" w:color="auto"/>
            </w:tcBorders>
            <w:shd w:val="clear" w:color="auto" w:fill="D7DEE2" w:themeFill="text2" w:themeFillTint="33"/>
          </w:tcPr>
          <w:p w:rsidR="002463B5" w:rsidRPr="00BA4790" w:rsidRDefault="002463B5" w:rsidP="00CA6262">
            <w:r w:rsidRPr="00BA4790">
              <w:br w:type="page"/>
            </w:r>
            <w:r w:rsidRPr="00BA4790">
              <w:br w:type="page"/>
            </w:r>
          </w:p>
        </w:tc>
        <w:tc>
          <w:tcPr>
            <w:tcW w:w="5120" w:type="dxa"/>
            <w:tcBorders>
              <w:bottom w:val="single" w:sz="4" w:space="0" w:color="auto"/>
            </w:tcBorders>
            <w:shd w:val="clear" w:color="auto" w:fill="D7DEE2" w:themeFill="text2" w:themeFillTint="33"/>
          </w:tcPr>
          <w:p w:rsidR="002463B5" w:rsidRPr="00BA4790" w:rsidRDefault="002463B5" w:rsidP="00CA6262">
            <w:r w:rsidRPr="00BA4790">
              <w:t xml:space="preserve">Indicator </w:t>
            </w:r>
          </w:p>
        </w:tc>
        <w:tc>
          <w:tcPr>
            <w:tcW w:w="2373" w:type="dxa"/>
            <w:tcBorders>
              <w:bottom w:val="single" w:sz="4" w:space="0" w:color="auto"/>
            </w:tcBorders>
            <w:shd w:val="clear" w:color="auto" w:fill="D7DEE2" w:themeFill="text2" w:themeFillTint="33"/>
          </w:tcPr>
          <w:p w:rsidR="002463B5" w:rsidRPr="00BA4790" w:rsidRDefault="002463B5" w:rsidP="00CA6262">
            <w:r>
              <w:t>2018/19</w:t>
            </w:r>
            <w:r w:rsidRPr="00BA4790">
              <w:t xml:space="preserve"> Targets</w:t>
            </w:r>
          </w:p>
        </w:tc>
        <w:tc>
          <w:tcPr>
            <w:tcW w:w="2872" w:type="dxa"/>
            <w:tcBorders>
              <w:bottom w:val="single" w:sz="4" w:space="0" w:color="auto"/>
            </w:tcBorders>
            <w:shd w:val="clear" w:color="auto" w:fill="D7DEE2" w:themeFill="text2" w:themeFillTint="33"/>
          </w:tcPr>
          <w:p w:rsidR="002463B5" w:rsidRPr="00BA4790" w:rsidRDefault="002463B5" w:rsidP="00CA6262">
            <w:r>
              <w:t>Remarks</w:t>
            </w:r>
          </w:p>
        </w:tc>
      </w:tr>
      <w:tr w:rsidR="002463B5" w:rsidRPr="00BA4790" w:rsidTr="00D876E3">
        <w:tc>
          <w:tcPr>
            <w:tcW w:w="3953" w:type="dxa"/>
            <w:tcBorders>
              <w:top w:val="single" w:sz="4" w:space="0" w:color="auto"/>
              <w:bottom w:val="single" w:sz="4" w:space="0" w:color="auto"/>
            </w:tcBorders>
            <w:shd w:val="clear" w:color="auto" w:fill="EEF5E7" w:themeFill="accent3" w:themeFillTint="33"/>
            <w:vAlign w:val="center"/>
          </w:tcPr>
          <w:p w:rsidR="002463B5" w:rsidRPr="00BA4790" w:rsidRDefault="002463B5" w:rsidP="00CA6262">
            <w:r w:rsidRPr="002D083F">
              <w:t>3.  Farming households have knowledge of and apply improved farming practices</w:t>
            </w:r>
          </w:p>
        </w:tc>
        <w:tc>
          <w:tcPr>
            <w:tcW w:w="5120" w:type="dxa"/>
            <w:tcBorders>
              <w:top w:val="single" w:sz="4" w:space="0" w:color="auto"/>
              <w:bottom w:val="single" w:sz="4" w:space="0" w:color="auto"/>
            </w:tcBorders>
            <w:shd w:val="clear" w:color="auto" w:fill="EEF5E7" w:themeFill="accent3" w:themeFillTint="33"/>
          </w:tcPr>
          <w:p w:rsidR="002463B5" w:rsidRPr="00BA4790" w:rsidRDefault="002463B5" w:rsidP="00CA6262">
            <w:r w:rsidRPr="00BA4790">
              <w:t>4. Number of farming households that have changed farming practices due to DFAT interventions</w:t>
            </w:r>
          </w:p>
        </w:tc>
        <w:tc>
          <w:tcPr>
            <w:tcW w:w="2373" w:type="dxa"/>
            <w:tcBorders>
              <w:top w:val="single" w:sz="4" w:space="0" w:color="auto"/>
              <w:bottom w:val="single" w:sz="4" w:space="0" w:color="auto"/>
            </w:tcBorders>
            <w:shd w:val="clear" w:color="auto" w:fill="EEF5E7" w:themeFill="accent3" w:themeFillTint="33"/>
          </w:tcPr>
          <w:p w:rsidR="002463B5" w:rsidRPr="00DC728B" w:rsidRDefault="002463B5" w:rsidP="00CA6262">
            <w:r w:rsidRPr="000D7BA4">
              <w:t>23,280 households</w:t>
            </w:r>
          </w:p>
        </w:tc>
        <w:tc>
          <w:tcPr>
            <w:tcW w:w="2872" w:type="dxa"/>
            <w:tcBorders>
              <w:top w:val="single" w:sz="4" w:space="0" w:color="auto"/>
              <w:bottom w:val="single" w:sz="4" w:space="0" w:color="auto"/>
            </w:tcBorders>
            <w:shd w:val="clear" w:color="auto" w:fill="EEF5E7" w:themeFill="accent3" w:themeFillTint="33"/>
          </w:tcPr>
          <w:p w:rsidR="002463B5" w:rsidRPr="00DC728B" w:rsidRDefault="002463B5" w:rsidP="00CA6262"/>
        </w:tc>
      </w:tr>
      <w:tr w:rsidR="002463B5" w:rsidRPr="00BA4790" w:rsidTr="00CA6262">
        <w:tc>
          <w:tcPr>
            <w:tcW w:w="3953" w:type="dxa"/>
            <w:tcBorders>
              <w:top w:val="single" w:sz="4" w:space="0" w:color="auto"/>
              <w:bottom w:val="single" w:sz="4" w:space="0" w:color="auto"/>
            </w:tcBorders>
            <w:shd w:val="clear" w:color="auto" w:fill="EEF5E7" w:themeFill="accent3" w:themeFillTint="33"/>
            <w:vAlign w:val="center"/>
          </w:tcPr>
          <w:p w:rsidR="002463B5" w:rsidRPr="00BA4790" w:rsidRDefault="002463B5" w:rsidP="00CA6262"/>
        </w:tc>
        <w:tc>
          <w:tcPr>
            <w:tcW w:w="5120" w:type="dxa"/>
            <w:tcBorders>
              <w:top w:val="single" w:sz="4" w:space="0" w:color="auto"/>
              <w:bottom w:val="single" w:sz="4" w:space="0" w:color="auto"/>
            </w:tcBorders>
            <w:shd w:val="clear" w:color="auto" w:fill="EEF5E7" w:themeFill="accent3" w:themeFillTint="33"/>
          </w:tcPr>
          <w:p w:rsidR="002463B5" w:rsidRPr="00BA4790" w:rsidRDefault="002463B5" w:rsidP="00CA6262">
            <w:r w:rsidRPr="00BA4790">
              <w:t xml:space="preserve">5. Additional production per year as a result of DFAT-supported irrigation schemes </w:t>
            </w:r>
            <w:r w:rsidRPr="00BA4790">
              <w:rPr>
                <w:b/>
              </w:rPr>
              <w:t>(AIP Benchmark)</w:t>
            </w:r>
          </w:p>
        </w:tc>
        <w:tc>
          <w:tcPr>
            <w:tcW w:w="2373" w:type="dxa"/>
            <w:tcBorders>
              <w:top w:val="single" w:sz="4" w:space="0" w:color="auto"/>
              <w:bottom w:val="single" w:sz="4" w:space="0" w:color="auto"/>
            </w:tcBorders>
            <w:shd w:val="clear" w:color="auto" w:fill="EEF5E7" w:themeFill="accent3" w:themeFillTint="33"/>
          </w:tcPr>
          <w:p w:rsidR="002463B5" w:rsidRPr="00BA4790" w:rsidRDefault="002463B5" w:rsidP="00CA6262">
            <w:r w:rsidRPr="000D7BA4">
              <w:t>30,000 ton</w:t>
            </w:r>
            <w:r w:rsidR="00F722ED">
              <w:t>ne</w:t>
            </w:r>
          </w:p>
        </w:tc>
        <w:tc>
          <w:tcPr>
            <w:tcW w:w="2872" w:type="dxa"/>
            <w:tcBorders>
              <w:top w:val="single" w:sz="4" w:space="0" w:color="auto"/>
              <w:bottom w:val="single" w:sz="4" w:space="0" w:color="auto"/>
            </w:tcBorders>
            <w:shd w:val="clear" w:color="auto" w:fill="EEF5E7" w:themeFill="accent3" w:themeFillTint="33"/>
          </w:tcPr>
          <w:p w:rsidR="002463B5" w:rsidRPr="00DC728B" w:rsidRDefault="002463B5" w:rsidP="00CA6262"/>
        </w:tc>
      </w:tr>
      <w:tr w:rsidR="002463B5" w:rsidRPr="00BA4790" w:rsidTr="00CA6262">
        <w:tc>
          <w:tcPr>
            <w:tcW w:w="3953" w:type="dxa"/>
            <w:tcBorders>
              <w:top w:val="single" w:sz="4" w:space="0" w:color="auto"/>
              <w:bottom w:val="single" w:sz="4" w:space="0" w:color="auto"/>
            </w:tcBorders>
            <w:shd w:val="clear" w:color="auto" w:fill="EEF5E7" w:themeFill="accent3" w:themeFillTint="33"/>
            <w:vAlign w:val="center"/>
          </w:tcPr>
          <w:p w:rsidR="002463B5" w:rsidRPr="00BA4790" w:rsidRDefault="002463B5" w:rsidP="00CA6262">
            <w:r w:rsidRPr="00BA4790">
              <w:t>4. Farming households have improved access to quality agricultural inputs</w:t>
            </w:r>
          </w:p>
        </w:tc>
        <w:tc>
          <w:tcPr>
            <w:tcW w:w="5120" w:type="dxa"/>
            <w:tcBorders>
              <w:top w:val="single" w:sz="4" w:space="0" w:color="auto"/>
              <w:bottom w:val="single" w:sz="4" w:space="0" w:color="auto"/>
            </w:tcBorders>
            <w:shd w:val="clear" w:color="auto" w:fill="EEF5E7" w:themeFill="accent3" w:themeFillTint="33"/>
          </w:tcPr>
          <w:p w:rsidR="002463B5" w:rsidRPr="00BA4790" w:rsidRDefault="002463B5" w:rsidP="00CA6262">
            <w:r w:rsidRPr="00BA4790">
              <w:t xml:space="preserve">6. Number of farming households that gain access to sustainable irrigation </w:t>
            </w:r>
          </w:p>
        </w:tc>
        <w:tc>
          <w:tcPr>
            <w:tcW w:w="2373" w:type="dxa"/>
            <w:tcBorders>
              <w:top w:val="single" w:sz="4" w:space="0" w:color="auto"/>
              <w:bottom w:val="single" w:sz="4" w:space="0" w:color="auto"/>
            </w:tcBorders>
            <w:shd w:val="clear" w:color="auto" w:fill="EEF5E7" w:themeFill="accent3" w:themeFillTint="33"/>
          </w:tcPr>
          <w:p w:rsidR="002463B5" w:rsidRPr="00BA4790" w:rsidRDefault="002463B5" w:rsidP="00CA6262">
            <w:r w:rsidRPr="000D7BA4">
              <w:t>10,666 households</w:t>
            </w:r>
          </w:p>
        </w:tc>
        <w:tc>
          <w:tcPr>
            <w:tcW w:w="2872" w:type="dxa"/>
            <w:tcBorders>
              <w:top w:val="single" w:sz="4" w:space="0" w:color="auto"/>
              <w:bottom w:val="single" w:sz="4" w:space="0" w:color="auto"/>
            </w:tcBorders>
            <w:shd w:val="clear" w:color="auto" w:fill="EEF5E7" w:themeFill="accent3" w:themeFillTint="33"/>
          </w:tcPr>
          <w:p w:rsidR="002463B5" w:rsidRPr="00BA4790" w:rsidRDefault="002463B5" w:rsidP="00CA6262">
            <w:r>
              <w:t xml:space="preserve">CAVAC will build </w:t>
            </w:r>
            <w:r w:rsidRPr="000D7BA4">
              <w:t xml:space="preserve">3 </w:t>
            </w:r>
            <w:r>
              <w:t>n</w:t>
            </w:r>
            <w:r w:rsidRPr="000D7BA4">
              <w:t>ew scheme</w:t>
            </w:r>
            <w:r>
              <w:t>s</w:t>
            </w:r>
          </w:p>
        </w:tc>
      </w:tr>
      <w:tr w:rsidR="002463B5" w:rsidRPr="00BA4790" w:rsidTr="00CA6262">
        <w:tc>
          <w:tcPr>
            <w:tcW w:w="3953" w:type="dxa"/>
            <w:tcBorders>
              <w:top w:val="single" w:sz="4" w:space="0" w:color="auto"/>
              <w:bottom w:val="single" w:sz="4" w:space="0" w:color="auto"/>
            </w:tcBorders>
            <w:shd w:val="clear" w:color="auto" w:fill="EEF5E7" w:themeFill="accent3" w:themeFillTint="33"/>
            <w:vAlign w:val="center"/>
          </w:tcPr>
          <w:p w:rsidR="002463B5" w:rsidRPr="00BA4790" w:rsidRDefault="002463B5" w:rsidP="00CA6262">
            <w:r w:rsidRPr="00BA4790">
              <w:t>5. More land available for productive use</w:t>
            </w:r>
          </w:p>
        </w:tc>
        <w:tc>
          <w:tcPr>
            <w:tcW w:w="5120" w:type="dxa"/>
            <w:tcBorders>
              <w:top w:val="single" w:sz="4" w:space="0" w:color="auto"/>
              <w:bottom w:val="single" w:sz="4" w:space="0" w:color="auto"/>
            </w:tcBorders>
            <w:shd w:val="clear" w:color="auto" w:fill="EEF5E7" w:themeFill="accent3" w:themeFillTint="33"/>
          </w:tcPr>
          <w:p w:rsidR="002463B5" w:rsidRPr="00BA4790" w:rsidRDefault="002463B5" w:rsidP="00CA6262">
            <w:pPr>
              <w:rPr>
                <w:b/>
              </w:rPr>
            </w:pPr>
            <w:r w:rsidRPr="00BA4790">
              <w:t xml:space="preserve">7. Land contaminated by landmines and other ERW released for productive use </w:t>
            </w:r>
            <w:r w:rsidRPr="00BA4790">
              <w:rPr>
                <w:b/>
              </w:rPr>
              <w:t>(AIP Benchmark)</w:t>
            </w:r>
          </w:p>
        </w:tc>
        <w:tc>
          <w:tcPr>
            <w:tcW w:w="2373" w:type="dxa"/>
            <w:tcBorders>
              <w:top w:val="single" w:sz="4" w:space="0" w:color="auto"/>
              <w:bottom w:val="single" w:sz="4" w:space="0" w:color="auto"/>
            </w:tcBorders>
            <w:shd w:val="clear" w:color="auto" w:fill="EEF5E7" w:themeFill="accent3" w:themeFillTint="33"/>
          </w:tcPr>
          <w:p w:rsidR="002463B5" w:rsidRPr="00D876E3" w:rsidRDefault="002463B5" w:rsidP="00CA6262">
            <w:pPr>
              <w:rPr>
                <w:vertAlign w:val="superscript"/>
              </w:rPr>
            </w:pPr>
            <w:r>
              <w:t>6.67 km</w:t>
            </w:r>
            <w:r w:rsidR="008409B1">
              <w:rPr>
                <w:vertAlign w:val="superscript"/>
              </w:rPr>
              <w:t>2</w:t>
            </w:r>
          </w:p>
        </w:tc>
        <w:tc>
          <w:tcPr>
            <w:tcW w:w="2872" w:type="dxa"/>
            <w:tcBorders>
              <w:top w:val="single" w:sz="4" w:space="0" w:color="auto"/>
              <w:bottom w:val="single" w:sz="4" w:space="0" w:color="auto"/>
            </w:tcBorders>
            <w:shd w:val="clear" w:color="auto" w:fill="EEF5E7" w:themeFill="accent3" w:themeFillTint="33"/>
          </w:tcPr>
          <w:p w:rsidR="002463B5" w:rsidRPr="00C40362" w:rsidRDefault="002463B5" w:rsidP="00CA6262">
            <w:pPr>
              <w:spacing w:before="60" w:after="20"/>
            </w:pPr>
          </w:p>
        </w:tc>
      </w:tr>
    </w:tbl>
    <w:p w:rsidR="002463B5" w:rsidRPr="00BA4790" w:rsidRDefault="002463B5" w:rsidP="002463B5">
      <w:pPr>
        <w:rPr>
          <w:b/>
        </w:rPr>
      </w:pPr>
      <w:r w:rsidRPr="00BA4790">
        <w:rPr>
          <w:b/>
        </w:rPr>
        <w:t>Objective 3: Better health and education outcomes</w:t>
      </w:r>
    </w:p>
    <w:tbl>
      <w:tblPr>
        <w:tblW w:w="4951" w:type="pct"/>
        <w:tblLook w:val="04A0" w:firstRow="1" w:lastRow="0" w:firstColumn="1" w:lastColumn="0" w:noHBand="0" w:noVBand="1"/>
      </w:tblPr>
      <w:tblGrid>
        <w:gridCol w:w="3973"/>
        <w:gridCol w:w="5809"/>
        <w:gridCol w:w="2434"/>
        <w:gridCol w:w="2102"/>
      </w:tblGrid>
      <w:tr w:rsidR="002463B5" w:rsidRPr="00BA4790" w:rsidTr="00D876E3">
        <w:tc>
          <w:tcPr>
            <w:tcW w:w="3972" w:type="dxa"/>
            <w:tcBorders>
              <w:top w:val="single" w:sz="2" w:space="0" w:color="808080" w:themeColor="background1" w:themeShade="80"/>
              <w:bottom w:val="single" w:sz="4" w:space="0" w:color="808080" w:themeColor="background1" w:themeShade="80"/>
            </w:tcBorders>
            <w:shd w:val="clear" w:color="auto" w:fill="D7DEE2" w:themeFill="text2" w:themeFillTint="33"/>
          </w:tcPr>
          <w:p w:rsidR="002463B5" w:rsidRPr="00BA4790" w:rsidRDefault="002463B5" w:rsidP="00CA6262">
            <w:r w:rsidRPr="00BA4790">
              <w:lastRenderedPageBreak/>
              <w:br w:type="page"/>
            </w:r>
            <w:r w:rsidRPr="00BA4790">
              <w:br w:type="page"/>
            </w:r>
          </w:p>
        </w:tc>
        <w:tc>
          <w:tcPr>
            <w:tcW w:w="5809" w:type="dxa"/>
            <w:tcBorders>
              <w:top w:val="single" w:sz="2" w:space="0" w:color="808080" w:themeColor="background1" w:themeShade="80"/>
              <w:bottom w:val="single" w:sz="4" w:space="0" w:color="808080" w:themeColor="background1" w:themeShade="80"/>
            </w:tcBorders>
            <w:shd w:val="clear" w:color="auto" w:fill="D7DEE2"/>
          </w:tcPr>
          <w:p w:rsidR="002463B5" w:rsidRPr="00BA4790" w:rsidRDefault="002463B5" w:rsidP="00CA6262">
            <w:r w:rsidRPr="00BA4790">
              <w:t xml:space="preserve">Indicator </w:t>
            </w:r>
          </w:p>
        </w:tc>
        <w:tc>
          <w:tcPr>
            <w:tcW w:w="2434" w:type="dxa"/>
            <w:tcBorders>
              <w:top w:val="single" w:sz="2" w:space="0" w:color="808080" w:themeColor="background1" w:themeShade="80"/>
              <w:bottom w:val="single" w:sz="4" w:space="0" w:color="808080" w:themeColor="background1" w:themeShade="80"/>
            </w:tcBorders>
            <w:shd w:val="clear" w:color="auto" w:fill="D7DEE2" w:themeFill="text2" w:themeFillTint="33"/>
          </w:tcPr>
          <w:p w:rsidR="002463B5" w:rsidRPr="00BA4790" w:rsidRDefault="002463B5" w:rsidP="00CA6262">
            <w:r>
              <w:t>2018/19</w:t>
            </w:r>
            <w:r w:rsidRPr="00BA4790">
              <w:t xml:space="preserve"> Targets</w:t>
            </w:r>
          </w:p>
        </w:tc>
        <w:tc>
          <w:tcPr>
            <w:tcW w:w="2102" w:type="dxa"/>
            <w:tcBorders>
              <w:top w:val="single" w:sz="2" w:space="0" w:color="808080" w:themeColor="background1" w:themeShade="80"/>
              <w:bottom w:val="single" w:sz="4" w:space="0" w:color="808080" w:themeColor="background1" w:themeShade="80"/>
            </w:tcBorders>
            <w:shd w:val="clear" w:color="auto" w:fill="D7DEE2" w:themeFill="text2" w:themeFillTint="33"/>
          </w:tcPr>
          <w:p w:rsidR="002463B5" w:rsidRPr="00BA4790" w:rsidRDefault="002463B5" w:rsidP="00CA6262">
            <w:r>
              <w:t>Remarks</w:t>
            </w:r>
          </w:p>
        </w:tc>
      </w:tr>
      <w:tr w:rsidR="002463B5" w:rsidRPr="00BA4790" w:rsidTr="00CA6262">
        <w:tc>
          <w:tcPr>
            <w:tcW w:w="3972" w:type="dxa"/>
            <w:tcBorders>
              <w:top w:val="single" w:sz="4" w:space="0" w:color="808080" w:themeColor="background1" w:themeShade="80"/>
              <w:bottom w:val="nil"/>
            </w:tcBorders>
            <w:shd w:val="clear" w:color="auto" w:fill="F2F2F2" w:themeFill="background1" w:themeFillShade="F2"/>
          </w:tcPr>
          <w:p w:rsidR="002463B5" w:rsidRPr="00BA4790" w:rsidRDefault="002463B5" w:rsidP="00CA6262">
            <w:r w:rsidRPr="00BA4790">
              <w:t>6.  Increased access to quality health services for the poor, women and children</w:t>
            </w:r>
          </w:p>
        </w:tc>
        <w:tc>
          <w:tcPr>
            <w:tcW w:w="5809" w:type="dxa"/>
            <w:tcBorders>
              <w:top w:val="single" w:sz="4" w:space="0" w:color="808080" w:themeColor="background1" w:themeShade="80"/>
              <w:bottom w:val="single" w:sz="4" w:space="0" w:color="auto"/>
            </w:tcBorders>
            <w:shd w:val="clear" w:color="auto" w:fill="F2F2F2" w:themeFill="background1" w:themeFillShade="F2"/>
          </w:tcPr>
          <w:p w:rsidR="002463B5" w:rsidRPr="00BA4790" w:rsidRDefault="002463B5" w:rsidP="00CA6262">
            <w:r w:rsidRPr="00BA4790">
              <w:t xml:space="preserve">8. Number of health facilities exceeding 60 per cent score on the quality assessment of health facilities tool </w:t>
            </w:r>
            <w:r w:rsidRPr="00BA4790">
              <w:rPr>
                <w:b/>
              </w:rPr>
              <w:t>(AIP Benchmark)</w:t>
            </w:r>
          </w:p>
        </w:tc>
        <w:tc>
          <w:tcPr>
            <w:tcW w:w="2434" w:type="dxa"/>
            <w:tcBorders>
              <w:top w:val="single" w:sz="4" w:space="0" w:color="808080" w:themeColor="background1" w:themeShade="80"/>
              <w:bottom w:val="single" w:sz="4" w:space="0" w:color="auto"/>
            </w:tcBorders>
            <w:shd w:val="clear" w:color="auto" w:fill="F2F2F2" w:themeFill="background1" w:themeFillShade="F2"/>
          </w:tcPr>
          <w:p w:rsidR="002463B5" w:rsidRPr="00BA4790" w:rsidRDefault="00F84BAF" w:rsidP="00CA6262">
            <w:r w:rsidRPr="00B47DA7">
              <w:t>30 per cent</w:t>
            </w:r>
            <w:r w:rsidR="002463B5">
              <w:t xml:space="preserve"> </w:t>
            </w:r>
          </w:p>
        </w:tc>
        <w:tc>
          <w:tcPr>
            <w:tcW w:w="2102" w:type="dxa"/>
            <w:tcBorders>
              <w:top w:val="single" w:sz="4" w:space="0" w:color="808080" w:themeColor="background1" w:themeShade="80"/>
              <w:bottom w:val="single" w:sz="4" w:space="0" w:color="auto"/>
            </w:tcBorders>
            <w:shd w:val="clear" w:color="auto" w:fill="F2F2F2" w:themeFill="background1" w:themeFillShade="F2"/>
          </w:tcPr>
          <w:p w:rsidR="002463B5" w:rsidRPr="00BA4790" w:rsidRDefault="002463B5" w:rsidP="00CA6262"/>
        </w:tc>
      </w:tr>
      <w:tr w:rsidR="002463B5" w:rsidRPr="00BA4790" w:rsidTr="00CA6262">
        <w:tc>
          <w:tcPr>
            <w:tcW w:w="3972" w:type="dxa"/>
            <w:tcBorders>
              <w:top w:val="nil"/>
              <w:bottom w:val="nil"/>
            </w:tcBorders>
            <w:shd w:val="clear" w:color="auto" w:fill="F2F2F2" w:themeFill="background1" w:themeFillShade="F2"/>
          </w:tcPr>
          <w:p w:rsidR="002463B5" w:rsidRPr="00BA4790" w:rsidRDefault="002463B5" w:rsidP="00CA6262"/>
        </w:tc>
        <w:tc>
          <w:tcPr>
            <w:tcW w:w="5809" w:type="dxa"/>
            <w:tcBorders>
              <w:top w:val="single" w:sz="4" w:space="0" w:color="auto"/>
              <w:bottom w:val="single" w:sz="4" w:space="0" w:color="auto"/>
            </w:tcBorders>
            <w:shd w:val="clear" w:color="auto" w:fill="F2F2F2" w:themeFill="background1" w:themeFillShade="F2"/>
          </w:tcPr>
          <w:p w:rsidR="00F84BAF" w:rsidRPr="009F56D6" w:rsidRDefault="002463B5" w:rsidP="00F84BAF">
            <w:r w:rsidRPr="00BA4790">
              <w:t xml:space="preserve">9. </w:t>
            </w:r>
            <w:r w:rsidR="00F84BAF" w:rsidRPr="009F56D6">
              <w:t xml:space="preserve">Number of outpatient services (episode) covered by Health Equity Fund </w:t>
            </w:r>
          </w:p>
          <w:p w:rsidR="002463B5" w:rsidRPr="00BA4790" w:rsidRDefault="002463B5" w:rsidP="00F84BAF"/>
        </w:tc>
        <w:tc>
          <w:tcPr>
            <w:tcW w:w="2434" w:type="dxa"/>
            <w:tcBorders>
              <w:top w:val="single" w:sz="4" w:space="0" w:color="auto"/>
              <w:bottom w:val="single" w:sz="4" w:space="0" w:color="auto"/>
            </w:tcBorders>
            <w:shd w:val="clear" w:color="auto" w:fill="F2F2F2" w:themeFill="background1" w:themeFillShade="F2"/>
          </w:tcPr>
          <w:p w:rsidR="002463B5" w:rsidRPr="00BA4790" w:rsidRDefault="00F84BAF" w:rsidP="00CA6262">
            <w:r>
              <w:t>2.80 million cases</w:t>
            </w:r>
          </w:p>
        </w:tc>
        <w:tc>
          <w:tcPr>
            <w:tcW w:w="2102" w:type="dxa"/>
            <w:tcBorders>
              <w:top w:val="single" w:sz="4" w:space="0" w:color="auto"/>
              <w:bottom w:val="single" w:sz="4" w:space="0" w:color="auto"/>
            </w:tcBorders>
            <w:shd w:val="clear" w:color="auto" w:fill="F2F2F2" w:themeFill="background1" w:themeFillShade="F2"/>
          </w:tcPr>
          <w:p w:rsidR="002463B5" w:rsidRPr="00BA4790" w:rsidRDefault="00F84BAF" w:rsidP="00CA6262">
            <w:r w:rsidRPr="009F56D6">
              <w:t>Achieved 2.64 million cases (2017/18) and end H-EQIP project target is 3.10 million cases (2020/21). Since there is no annual targets during 2019-2021 in the revised H-EQIP Project Appraisal Document (May 2018), based on the estimation, annual targets should be: 2.80 million (2018/19), 2.95 million (2019/20), and 3.10 million (2020/21)</w:t>
            </w:r>
          </w:p>
        </w:tc>
      </w:tr>
      <w:tr w:rsidR="002463B5" w:rsidRPr="00BA4790" w:rsidTr="00CA6262">
        <w:tc>
          <w:tcPr>
            <w:tcW w:w="3972" w:type="dxa"/>
            <w:tcBorders>
              <w:top w:val="nil"/>
            </w:tcBorders>
            <w:shd w:val="clear" w:color="auto" w:fill="F2F2F2" w:themeFill="background1" w:themeFillShade="F2"/>
          </w:tcPr>
          <w:p w:rsidR="002463B5" w:rsidRPr="00BA4790" w:rsidRDefault="002463B5" w:rsidP="00CA6262"/>
        </w:tc>
        <w:tc>
          <w:tcPr>
            <w:tcW w:w="5809" w:type="dxa"/>
            <w:tcBorders>
              <w:top w:val="single" w:sz="4" w:space="0" w:color="auto"/>
              <w:bottom w:val="single" w:sz="4" w:space="0" w:color="auto"/>
            </w:tcBorders>
            <w:shd w:val="clear" w:color="auto" w:fill="F2F2F2" w:themeFill="background1" w:themeFillShade="F2"/>
          </w:tcPr>
          <w:p w:rsidR="002463B5" w:rsidRPr="00BA4790" w:rsidRDefault="002463B5" w:rsidP="00CA6262">
            <w:r w:rsidRPr="00BA4790">
              <w:t>10. Percentage of women delivering in a health facility with a skilled attendant</w:t>
            </w:r>
          </w:p>
        </w:tc>
        <w:tc>
          <w:tcPr>
            <w:tcW w:w="2434" w:type="dxa"/>
            <w:tcBorders>
              <w:top w:val="single" w:sz="4" w:space="0" w:color="auto"/>
              <w:bottom w:val="single" w:sz="4" w:space="0" w:color="auto"/>
            </w:tcBorders>
            <w:shd w:val="clear" w:color="auto" w:fill="F2F2F2" w:themeFill="background1" w:themeFillShade="F2"/>
          </w:tcPr>
          <w:p w:rsidR="002463B5" w:rsidRPr="00BA4790" w:rsidRDefault="00F84BAF" w:rsidP="00CA6262">
            <w:r>
              <w:t>89 per cent</w:t>
            </w:r>
          </w:p>
        </w:tc>
        <w:tc>
          <w:tcPr>
            <w:tcW w:w="2102" w:type="dxa"/>
            <w:tcBorders>
              <w:top w:val="single" w:sz="4" w:space="0" w:color="auto"/>
              <w:bottom w:val="single" w:sz="4" w:space="0" w:color="auto"/>
            </w:tcBorders>
            <w:shd w:val="clear" w:color="auto" w:fill="F2F2F2" w:themeFill="background1" w:themeFillShade="F2"/>
          </w:tcPr>
          <w:p w:rsidR="002463B5" w:rsidRPr="00BA4790" w:rsidRDefault="002463B5" w:rsidP="00CA6262"/>
        </w:tc>
      </w:tr>
      <w:tr w:rsidR="002463B5" w:rsidRPr="00BA4790" w:rsidTr="00CA6262">
        <w:tc>
          <w:tcPr>
            <w:tcW w:w="3972" w:type="dxa"/>
            <w:tcBorders>
              <w:top w:val="nil"/>
              <w:bottom w:val="single" w:sz="4" w:space="0" w:color="auto"/>
            </w:tcBorders>
            <w:shd w:val="clear" w:color="auto" w:fill="F2F2F2" w:themeFill="background1" w:themeFillShade="F2"/>
          </w:tcPr>
          <w:p w:rsidR="002463B5" w:rsidRPr="00BA4790" w:rsidRDefault="002463B5" w:rsidP="00CA6262"/>
        </w:tc>
        <w:tc>
          <w:tcPr>
            <w:tcW w:w="5809" w:type="dxa"/>
            <w:tcBorders>
              <w:top w:val="single" w:sz="4" w:space="0" w:color="auto"/>
              <w:bottom w:val="single" w:sz="4" w:space="0" w:color="auto"/>
            </w:tcBorders>
            <w:shd w:val="clear" w:color="auto" w:fill="F2F2F2" w:themeFill="background1" w:themeFillShade="F2"/>
          </w:tcPr>
          <w:p w:rsidR="002463B5" w:rsidRPr="00BA4790" w:rsidRDefault="002463B5" w:rsidP="00CA6262">
            <w:r w:rsidRPr="00BA4790">
              <w:t>11. Percentage of women aged 15-49 years who are married or in union and used modern contraceptive methods</w:t>
            </w:r>
          </w:p>
        </w:tc>
        <w:tc>
          <w:tcPr>
            <w:tcW w:w="2434" w:type="dxa"/>
            <w:tcBorders>
              <w:top w:val="single" w:sz="4" w:space="0" w:color="auto"/>
              <w:bottom w:val="single" w:sz="4" w:space="0" w:color="auto"/>
            </w:tcBorders>
            <w:shd w:val="clear" w:color="auto" w:fill="F2F2F2" w:themeFill="background1" w:themeFillShade="F2"/>
          </w:tcPr>
          <w:p w:rsidR="002463B5" w:rsidRPr="00BA4790" w:rsidRDefault="00F84BAF" w:rsidP="00CA6262">
            <w:r>
              <w:t>43 per cent</w:t>
            </w:r>
          </w:p>
        </w:tc>
        <w:tc>
          <w:tcPr>
            <w:tcW w:w="2102" w:type="dxa"/>
            <w:tcBorders>
              <w:top w:val="single" w:sz="4" w:space="0" w:color="auto"/>
              <w:bottom w:val="single" w:sz="4" w:space="0" w:color="auto"/>
            </w:tcBorders>
            <w:shd w:val="clear" w:color="auto" w:fill="F2F2F2" w:themeFill="background1" w:themeFillShade="F2"/>
          </w:tcPr>
          <w:p w:rsidR="002463B5" w:rsidRPr="00BA4790" w:rsidRDefault="002463B5" w:rsidP="00CA6262"/>
        </w:tc>
      </w:tr>
      <w:tr w:rsidR="002463B5" w:rsidRPr="00BA4790" w:rsidTr="00CA6262">
        <w:tc>
          <w:tcPr>
            <w:tcW w:w="3972" w:type="dxa"/>
            <w:tcBorders>
              <w:top w:val="single" w:sz="4" w:space="0" w:color="auto"/>
              <w:bottom w:val="nil"/>
            </w:tcBorders>
            <w:shd w:val="clear" w:color="auto" w:fill="F2F2F2" w:themeFill="background1" w:themeFillShade="F2"/>
          </w:tcPr>
          <w:p w:rsidR="002463B5" w:rsidRPr="00BA4790" w:rsidRDefault="002463B5" w:rsidP="00CA6262">
            <w:r w:rsidRPr="00BA4790">
              <w:t>7.  Australia Awards Alumni contribute to Cambodia’s development</w:t>
            </w:r>
          </w:p>
        </w:tc>
        <w:tc>
          <w:tcPr>
            <w:tcW w:w="5809" w:type="dxa"/>
            <w:tcBorders>
              <w:top w:val="single" w:sz="4" w:space="0" w:color="auto"/>
              <w:bottom w:val="single" w:sz="4" w:space="0" w:color="auto"/>
            </w:tcBorders>
            <w:shd w:val="clear" w:color="auto" w:fill="F2F2F2" w:themeFill="background1" w:themeFillShade="F2"/>
          </w:tcPr>
          <w:p w:rsidR="002463B5" w:rsidRPr="00BA4790" w:rsidRDefault="002463B5" w:rsidP="00CA6262">
            <w:r w:rsidRPr="00BA4790">
              <w:t xml:space="preserve">12. </w:t>
            </w:r>
            <w:r w:rsidR="003C7DC7">
              <w:t>P</w:t>
            </w:r>
            <w:r w:rsidRPr="00BA4790">
              <w:t xml:space="preserve">ercentage of Australia Awards scholarships awarded to women and men </w:t>
            </w:r>
            <w:r w:rsidRPr="00BA4790">
              <w:rPr>
                <w:b/>
              </w:rPr>
              <w:t>(AIP Benchmark)</w:t>
            </w:r>
          </w:p>
        </w:tc>
        <w:tc>
          <w:tcPr>
            <w:tcW w:w="2434" w:type="dxa"/>
            <w:tcBorders>
              <w:top w:val="single" w:sz="4" w:space="0" w:color="auto"/>
              <w:bottom w:val="single" w:sz="4" w:space="0" w:color="auto"/>
            </w:tcBorders>
            <w:shd w:val="clear" w:color="auto" w:fill="F2F2F2" w:themeFill="background1" w:themeFillShade="F2"/>
          </w:tcPr>
          <w:p w:rsidR="002463B5" w:rsidRPr="00C40362" w:rsidRDefault="002463B5" w:rsidP="00CA6262">
            <w:r>
              <w:t>50 per cent women, 50 per cent men</w:t>
            </w:r>
          </w:p>
        </w:tc>
        <w:tc>
          <w:tcPr>
            <w:tcW w:w="2102" w:type="dxa"/>
            <w:tcBorders>
              <w:top w:val="single" w:sz="4" w:space="0" w:color="auto"/>
              <w:bottom w:val="single" w:sz="4" w:space="0" w:color="auto"/>
            </w:tcBorders>
            <w:shd w:val="clear" w:color="auto" w:fill="F2F2F2" w:themeFill="background1" w:themeFillShade="F2"/>
          </w:tcPr>
          <w:p w:rsidR="002463B5" w:rsidRPr="00BA4790" w:rsidRDefault="002463B5" w:rsidP="00CA6262"/>
        </w:tc>
      </w:tr>
      <w:tr w:rsidR="002463B5" w:rsidRPr="00BA4790" w:rsidTr="00CA6262">
        <w:tc>
          <w:tcPr>
            <w:tcW w:w="3972" w:type="dxa"/>
            <w:tcBorders>
              <w:top w:val="nil"/>
              <w:bottom w:val="single" w:sz="4" w:space="0" w:color="auto"/>
            </w:tcBorders>
            <w:shd w:val="clear" w:color="auto" w:fill="F2F2F2" w:themeFill="background1" w:themeFillShade="F2"/>
          </w:tcPr>
          <w:p w:rsidR="002463B5" w:rsidRPr="00BA4790" w:rsidRDefault="002463B5" w:rsidP="00CA6262"/>
        </w:tc>
        <w:tc>
          <w:tcPr>
            <w:tcW w:w="5809" w:type="dxa"/>
            <w:tcBorders>
              <w:top w:val="single" w:sz="4" w:space="0" w:color="auto"/>
              <w:bottom w:val="single" w:sz="4" w:space="0" w:color="auto"/>
            </w:tcBorders>
            <w:shd w:val="clear" w:color="auto" w:fill="F2F2F2" w:themeFill="background1" w:themeFillShade="F2"/>
          </w:tcPr>
          <w:p w:rsidR="002463B5" w:rsidRPr="00BA4790" w:rsidRDefault="002463B5" w:rsidP="00CA6262">
            <w:r w:rsidRPr="00BA4790">
              <w:t xml:space="preserve">13. </w:t>
            </w:r>
            <w:r w:rsidR="006A49E8">
              <w:t>Percentage of male and female alumni use their skills and knowledge to make a positive contribution to their field of expertise</w:t>
            </w:r>
          </w:p>
        </w:tc>
        <w:tc>
          <w:tcPr>
            <w:tcW w:w="2434" w:type="dxa"/>
            <w:tcBorders>
              <w:top w:val="single" w:sz="4" w:space="0" w:color="auto"/>
              <w:bottom w:val="single" w:sz="4" w:space="0" w:color="auto"/>
            </w:tcBorders>
            <w:shd w:val="clear" w:color="auto" w:fill="F2F2F2" w:themeFill="background1" w:themeFillShade="F2"/>
          </w:tcPr>
          <w:p w:rsidR="002463B5" w:rsidRPr="00C40362" w:rsidRDefault="006A49E8" w:rsidP="00CA6262">
            <w:r>
              <w:t>75 per cent of alumni are employed in a position relevant to their field of study after 2 years of return</w:t>
            </w:r>
          </w:p>
        </w:tc>
        <w:tc>
          <w:tcPr>
            <w:tcW w:w="2102" w:type="dxa"/>
            <w:tcBorders>
              <w:top w:val="single" w:sz="4" w:space="0" w:color="auto"/>
              <w:bottom w:val="single" w:sz="4" w:space="0" w:color="auto"/>
            </w:tcBorders>
            <w:shd w:val="clear" w:color="auto" w:fill="F2F2F2" w:themeFill="background1" w:themeFillShade="F2"/>
          </w:tcPr>
          <w:p w:rsidR="002463B5" w:rsidRPr="00BA4790" w:rsidRDefault="002463B5" w:rsidP="00CA6262"/>
        </w:tc>
      </w:tr>
    </w:tbl>
    <w:p w:rsidR="002463B5" w:rsidRPr="00BA4790" w:rsidRDefault="002463B5" w:rsidP="002463B5">
      <w:pPr>
        <w:rPr>
          <w:b/>
        </w:rPr>
      </w:pPr>
    </w:p>
    <w:p w:rsidR="002463B5" w:rsidRPr="00BA4790" w:rsidRDefault="002463B5" w:rsidP="002463B5">
      <w:pPr>
        <w:rPr>
          <w:b/>
        </w:rPr>
      </w:pPr>
      <w:r w:rsidRPr="00BA4790">
        <w:rPr>
          <w:b/>
        </w:rPr>
        <w:t>Cross-cutting issues</w:t>
      </w:r>
    </w:p>
    <w:tbl>
      <w:tblPr>
        <w:tblW w:w="4968" w:type="pct"/>
        <w:tblLook w:val="04A0" w:firstRow="1" w:lastRow="0" w:firstColumn="1" w:lastColumn="0" w:noHBand="0" w:noVBand="1"/>
      </w:tblPr>
      <w:tblGrid>
        <w:gridCol w:w="4078"/>
        <w:gridCol w:w="510"/>
        <w:gridCol w:w="5351"/>
        <w:gridCol w:w="98"/>
        <w:gridCol w:w="2192"/>
        <w:gridCol w:w="2138"/>
      </w:tblGrid>
      <w:tr w:rsidR="002463B5" w:rsidRPr="00BA4790" w:rsidTr="00D876E3">
        <w:tc>
          <w:tcPr>
            <w:tcW w:w="4588" w:type="dxa"/>
            <w:gridSpan w:val="2"/>
            <w:tcBorders>
              <w:top w:val="single" w:sz="2" w:space="0" w:color="808080" w:themeColor="background1" w:themeShade="80"/>
              <w:bottom w:val="single" w:sz="4" w:space="0" w:color="auto"/>
            </w:tcBorders>
            <w:shd w:val="clear" w:color="auto" w:fill="D7DEE2"/>
          </w:tcPr>
          <w:p w:rsidR="002463B5" w:rsidRPr="00BA4790" w:rsidRDefault="002463B5" w:rsidP="00CA6262">
            <w:r w:rsidRPr="00BA4790">
              <w:br w:type="page"/>
            </w:r>
            <w:r w:rsidRPr="00BA4790">
              <w:br w:type="page"/>
            </w:r>
          </w:p>
        </w:tc>
        <w:tc>
          <w:tcPr>
            <w:tcW w:w="5449" w:type="dxa"/>
            <w:gridSpan w:val="2"/>
            <w:tcBorders>
              <w:top w:val="single" w:sz="2" w:space="0" w:color="808080" w:themeColor="background1" w:themeShade="80"/>
              <w:bottom w:val="single" w:sz="4" w:space="0" w:color="auto"/>
            </w:tcBorders>
            <w:shd w:val="clear" w:color="auto" w:fill="D7DEE2"/>
          </w:tcPr>
          <w:p w:rsidR="002463B5" w:rsidRPr="00BA4790" w:rsidRDefault="002463B5" w:rsidP="00CA6262">
            <w:r w:rsidRPr="00BA4790">
              <w:t xml:space="preserve">Indicator </w:t>
            </w:r>
          </w:p>
        </w:tc>
        <w:tc>
          <w:tcPr>
            <w:tcW w:w="2192" w:type="dxa"/>
            <w:tcBorders>
              <w:top w:val="single" w:sz="2" w:space="0" w:color="808080" w:themeColor="background1" w:themeShade="80"/>
              <w:bottom w:val="single" w:sz="4" w:space="0" w:color="auto"/>
            </w:tcBorders>
            <w:shd w:val="clear" w:color="auto" w:fill="D7DEE2"/>
          </w:tcPr>
          <w:p w:rsidR="002463B5" w:rsidRPr="00BA4790" w:rsidRDefault="002463B5" w:rsidP="00CA6262">
            <w:r>
              <w:t>2018/19</w:t>
            </w:r>
            <w:r w:rsidRPr="00BA4790">
              <w:t xml:space="preserve"> Targets</w:t>
            </w:r>
          </w:p>
        </w:tc>
        <w:tc>
          <w:tcPr>
            <w:tcW w:w="2138" w:type="dxa"/>
            <w:tcBorders>
              <w:top w:val="single" w:sz="2" w:space="0" w:color="808080" w:themeColor="background1" w:themeShade="80"/>
              <w:bottom w:val="single" w:sz="4" w:space="0" w:color="auto"/>
            </w:tcBorders>
            <w:shd w:val="clear" w:color="auto" w:fill="D7DEE2"/>
          </w:tcPr>
          <w:p w:rsidR="002463B5" w:rsidRPr="00BA4790" w:rsidRDefault="002463B5" w:rsidP="00CA6262">
            <w:r>
              <w:t>Remarks</w:t>
            </w:r>
          </w:p>
        </w:tc>
      </w:tr>
      <w:tr w:rsidR="002463B5" w:rsidRPr="00BA4790" w:rsidTr="00D876E3">
        <w:tc>
          <w:tcPr>
            <w:tcW w:w="4078" w:type="dxa"/>
            <w:tcBorders>
              <w:top w:val="single" w:sz="4" w:space="0" w:color="auto"/>
              <w:bottom w:val="single" w:sz="4" w:space="0" w:color="auto"/>
            </w:tcBorders>
            <w:shd w:val="clear" w:color="auto" w:fill="D7DEE2" w:themeFill="text2" w:themeFillTint="33"/>
          </w:tcPr>
          <w:p w:rsidR="002463B5" w:rsidRPr="00BA4790" w:rsidRDefault="002463B5">
            <w:r w:rsidRPr="00BA4790">
              <w:t xml:space="preserve">8. Increased </w:t>
            </w:r>
            <w:r w:rsidR="00222BE1">
              <w:t xml:space="preserve">investment in quality services for women affected by </w:t>
            </w:r>
            <w:r w:rsidRPr="00BA4790">
              <w:t>gender-based violence</w:t>
            </w:r>
          </w:p>
        </w:tc>
        <w:tc>
          <w:tcPr>
            <w:tcW w:w="5861" w:type="dxa"/>
            <w:gridSpan w:val="2"/>
            <w:tcBorders>
              <w:top w:val="single" w:sz="4" w:space="0" w:color="auto"/>
              <w:bottom w:val="single" w:sz="4" w:space="0" w:color="auto"/>
            </w:tcBorders>
            <w:shd w:val="clear" w:color="auto" w:fill="D7DEE2" w:themeFill="text2" w:themeFillTint="33"/>
          </w:tcPr>
          <w:p w:rsidR="002463B5" w:rsidRPr="00BA4790" w:rsidRDefault="00044C03">
            <w:r>
              <w:t>14. [Indicator to be established in agreement with the Cambodian Government]</w:t>
            </w:r>
          </w:p>
        </w:tc>
        <w:tc>
          <w:tcPr>
            <w:tcW w:w="2290" w:type="dxa"/>
            <w:gridSpan w:val="2"/>
            <w:tcBorders>
              <w:top w:val="single" w:sz="4" w:space="0" w:color="auto"/>
              <w:bottom w:val="single" w:sz="4" w:space="0" w:color="auto"/>
            </w:tcBorders>
            <w:shd w:val="clear" w:color="auto" w:fill="D7DEE2" w:themeFill="text2" w:themeFillTint="33"/>
          </w:tcPr>
          <w:p w:rsidR="002463B5" w:rsidRPr="00BA4790" w:rsidRDefault="00222BE1">
            <w:r>
              <w:t>Baselines established</w:t>
            </w:r>
          </w:p>
        </w:tc>
        <w:tc>
          <w:tcPr>
            <w:tcW w:w="2138" w:type="dxa"/>
            <w:tcBorders>
              <w:top w:val="single" w:sz="4" w:space="0" w:color="auto"/>
              <w:bottom w:val="single" w:sz="4" w:space="0" w:color="auto"/>
            </w:tcBorders>
            <w:shd w:val="clear" w:color="auto" w:fill="D7DEE2" w:themeFill="text2" w:themeFillTint="33"/>
          </w:tcPr>
          <w:p w:rsidR="002463B5" w:rsidRPr="00BA4790" w:rsidRDefault="002463B5" w:rsidP="00CA6262">
            <w:r>
              <w:t>ACCESS Program</w:t>
            </w:r>
          </w:p>
        </w:tc>
      </w:tr>
      <w:tr w:rsidR="002463B5" w:rsidRPr="00BA4790" w:rsidTr="00CA6262">
        <w:tc>
          <w:tcPr>
            <w:tcW w:w="4078" w:type="dxa"/>
            <w:tcBorders>
              <w:top w:val="single" w:sz="4" w:space="0" w:color="auto"/>
              <w:bottom w:val="single" w:sz="4" w:space="0" w:color="auto"/>
            </w:tcBorders>
            <w:shd w:val="clear" w:color="auto" w:fill="D7DEE2" w:themeFill="text2" w:themeFillTint="33"/>
          </w:tcPr>
          <w:p w:rsidR="002463B5" w:rsidRPr="00BA4790" w:rsidRDefault="002463B5" w:rsidP="00CA6262">
            <w:r w:rsidRPr="00BA4790">
              <w:t>9. Improved quality of life for people with a disability</w:t>
            </w:r>
          </w:p>
        </w:tc>
        <w:tc>
          <w:tcPr>
            <w:tcW w:w="5861" w:type="dxa"/>
            <w:gridSpan w:val="2"/>
            <w:tcBorders>
              <w:top w:val="single" w:sz="4" w:space="0" w:color="auto"/>
              <w:bottom w:val="single" w:sz="4" w:space="0" w:color="auto"/>
            </w:tcBorders>
            <w:shd w:val="clear" w:color="auto" w:fill="D7DEE2" w:themeFill="text2" w:themeFillTint="33"/>
          </w:tcPr>
          <w:p w:rsidR="002463B5" w:rsidRPr="00BA4790" w:rsidRDefault="00044C03">
            <w:r>
              <w:t>15. [Indicator to be established in agreement with the Cambodian Government]</w:t>
            </w:r>
          </w:p>
        </w:tc>
        <w:tc>
          <w:tcPr>
            <w:tcW w:w="2290" w:type="dxa"/>
            <w:gridSpan w:val="2"/>
            <w:tcBorders>
              <w:top w:val="single" w:sz="4" w:space="0" w:color="auto"/>
              <w:bottom w:val="single" w:sz="4" w:space="0" w:color="auto"/>
            </w:tcBorders>
            <w:shd w:val="clear" w:color="auto" w:fill="D7DEE2" w:themeFill="text2" w:themeFillTint="33"/>
          </w:tcPr>
          <w:p w:rsidR="002463B5" w:rsidRPr="00BA4790" w:rsidRDefault="00222BE1" w:rsidP="00CA6262">
            <w:r>
              <w:t>Baselines established</w:t>
            </w:r>
          </w:p>
        </w:tc>
        <w:tc>
          <w:tcPr>
            <w:tcW w:w="2138" w:type="dxa"/>
            <w:tcBorders>
              <w:top w:val="single" w:sz="4" w:space="0" w:color="auto"/>
              <w:bottom w:val="single" w:sz="4" w:space="0" w:color="auto"/>
            </w:tcBorders>
            <w:shd w:val="clear" w:color="auto" w:fill="D7DEE2" w:themeFill="text2" w:themeFillTint="33"/>
          </w:tcPr>
          <w:p w:rsidR="002463B5" w:rsidRPr="00BA4790" w:rsidRDefault="002463B5" w:rsidP="00CA6262">
            <w:r>
              <w:t>ACCESS Program</w:t>
            </w:r>
          </w:p>
        </w:tc>
      </w:tr>
      <w:tr w:rsidR="002463B5" w:rsidRPr="00BA4790" w:rsidTr="00CA6262">
        <w:tc>
          <w:tcPr>
            <w:tcW w:w="4078" w:type="dxa"/>
            <w:tcBorders>
              <w:top w:val="single" w:sz="4" w:space="0" w:color="auto"/>
              <w:bottom w:val="nil"/>
            </w:tcBorders>
            <w:shd w:val="clear" w:color="auto" w:fill="D7DEE2" w:themeFill="text2" w:themeFillTint="33"/>
          </w:tcPr>
          <w:p w:rsidR="002463B5" w:rsidRPr="00BA4790" w:rsidRDefault="002463B5">
            <w:r w:rsidRPr="00BA4790">
              <w:t xml:space="preserve">10.  Increased </w:t>
            </w:r>
            <w:r w:rsidR="00222BE1">
              <w:t xml:space="preserve">opportunities for </w:t>
            </w:r>
            <w:r w:rsidRPr="00BA4790">
              <w:t xml:space="preserve">Cambodia’s </w:t>
            </w:r>
            <w:r w:rsidR="00222BE1">
              <w:t>p</w:t>
            </w:r>
            <w:r w:rsidRPr="00BA4790">
              <w:t xml:space="preserve">rivate </w:t>
            </w:r>
            <w:r w:rsidR="00222BE1">
              <w:t>s</w:t>
            </w:r>
            <w:r w:rsidRPr="00BA4790">
              <w:t>ector</w:t>
            </w:r>
            <w:r w:rsidR="00222BE1">
              <w:t xml:space="preserve"> (especially small- and medium-sized enterprises) to </w:t>
            </w:r>
            <w:r w:rsidR="0005671F">
              <w:t>part</w:t>
            </w:r>
            <w:r w:rsidR="00222BE1">
              <w:t xml:space="preserve">icipate in transparent </w:t>
            </w:r>
            <w:r w:rsidR="0005671F">
              <w:t xml:space="preserve">and effective </w:t>
            </w:r>
            <w:r w:rsidR="00222BE1">
              <w:t>public-private partnerships</w:t>
            </w:r>
          </w:p>
        </w:tc>
        <w:tc>
          <w:tcPr>
            <w:tcW w:w="5861" w:type="dxa"/>
            <w:gridSpan w:val="2"/>
            <w:tcBorders>
              <w:top w:val="single" w:sz="4" w:space="0" w:color="auto"/>
              <w:bottom w:val="single" w:sz="4" w:space="0" w:color="auto"/>
            </w:tcBorders>
            <w:shd w:val="clear" w:color="auto" w:fill="D7DEE2" w:themeFill="text2" w:themeFillTint="33"/>
          </w:tcPr>
          <w:p w:rsidR="002463B5" w:rsidRPr="00E43906" w:rsidRDefault="002463B5">
            <w:r w:rsidRPr="00E43906">
              <w:t xml:space="preserve">16. Number of </w:t>
            </w:r>
            <w:r w:rsidR="00E21DA0" w:rsidRPr="00E43906">
              <w:t xml:space="preserve">private </w:t>
            </w:r>
            <w:r w:rsidR="00222BE1" w:rsidRPr="00E43906">
              <w:t xml:space="preserve">industry associations </w:t>
            </w:r>
            <w:r w:rsidR="0005671F" w:rsidRPr="00E43906">
              <w:t>assisted to promote sustainable and inclusive development</w:t>
            </w:r>
            <w:r w:rsidRPr="00E43906">
              <w:t xml:space="preserve"> </w:t>
            </w:r>
          </w:p>
        </w:tc>
        <w:tc>
          <w:tcPr>
            <w:tcW w:w="2290" w:type="dxa"/>
            <w:gridSpan w:val="2"/>
            <w:tcBorders>
              <w:top w:val="single" w:sz="4" w:space="0" w:color="auto"/>
              <w:bottom w:val="single" w:sz="4" w:space="0" w:color="auto"/>
            </w:tcBorders>
            <w:shd w:val="clear" w:color="auto" w:fill="D7DEE2" w:themeFill="text2" w:themeFillTint="33"/>
          </w:tcPr>
          <w:p w:rsidR="0005671F" w:rsidRPr="00E43906" w:rsidRDefault="00D77A95">
            <w:r>
              <w:t xml:space="preserve"> 50</w:t>
            </w:r>
            <w:r w:rsidR="00E43906" w:rsidRPr="00D93435" w:rsidDel="00E43906">
              <w:t xml:space="preserve"> </w:t>
            </w:r>
          </w:p>
        </w:tc>
        <w:tc>
          <w:tcPr>
            <w:tcW w:w="2138" w:type="dxa"/>
            <w:tcBorders>
              <w:top w:val="single" w:sz="4" w:space="0" w:color="auto"/>
              <w:bottom w:val="single" w:sz="4" w:space="0" w:color="auto"/>
            </w:tcBorders>
            <w:shd w:val="clear" w:color="auto" w:fill="D7DEE2" w:themeFill="text2" w:themeFillTint="33"/>
          </w:tcPr>
          <w:p w:rsidR="00D77A95" w:rsidRPr="00E43906" w:rsidRDefault="00D77A95" w:rsidP="00D77A95">
            <w:r w:rsidRPr="00E43906">
              <w:t>CAVAC: 18</w:t>
            </w:r>
          </w:p>
          <w:p w:rsidR="002463B5" w:rsidRPr="00C40362" w:rsidRDefault="00D77A95" w:rsidP="00D77A95">
            <w:r w:rsidRPr="00D93435">
              <w:t xml:space="preserve">3i: </w:t>
            </w:r>
            <w:r w:rsidRPr="00E43906">
              <w:t>32 contracts</w:t>
            </w:r>
          </w:p>
        </w:tc>
      </w:tr>
      <w:tr w:rsidR="002463B5" w:rsidRPr="00BA4790" w:rsidTr="00CA6262">
        <w:tc>
          <w:tcPr>
            <w:tcW w:w="4078" w:type="dxa"/>
            <w:tcBorders>
              <w:top w:val="nil"/>
              <w:bottom w:val="single" w:sz="4" w:space="0" w:color="auto"/>
            </w:tcBorders>
            <w:shd w:val="clear" w:color="auto" w:fill="D7DEE2" w:themeFill="text2" w:themeFillTint="33"/>
          </w:tcPr>
          <w:p w:rsidR="002463B5" w:rsidRPr="00BA4790" w:rsidRDefault="002463B5" w:rsidP="00CA6262"/>
        </w:tc>
        <w:tc>
          <w:tcPr>
            <w:tcW w:w="5861" w:type="dxa"/>
            <w:gridSpan w:val="2"/>
            <w:tcBorders>
              <w:top w:val="single" w:sz="4" w:space="0" w:color="auto"/>
              <w:bottom w:val="single" w:sz="4" w:space="0" w:color="auto"/>
            </w:tcBorders>
            <w:shd w:val="clear" w:color="auto" w:fill="D7DEE2" w:themeFill="text2" w:themeFillTint="33"/>
          </w:tcPr>
          <w:p w:rsidR="002463B5" w:rsidRPr="00E43906" w:rsidRDefault="002463B5" w:rsidP="00CA6262">
            <w:r w:rsidRPr="00E43906">
              <w:t>17. Value of private investment leveraged</w:t>
            </w:r>
            <w:r w:rsidR="0005671F" w:rsidRPr="00E43906">
              <w:t xml:space="preserve"> for development purposes</w:t>
            </w:r>
            <w:r w:rsidRPr="00E43906">
              <w:t xml:space="preserve"> (AUD)</w:t>
            </w:r>
          </w:p>
        </w:tc>
        <w:tc>
          <w:tcPr>
            <w:tcW w:w="2290" w:type="dxa"/>
            <w:gridSpan w:val="2"/>
            <w:tcBorders>
              <w:top w:val="single" w:sz="4" w:space="0" w:color="auto"/>
              <w:bottom w:val="single" w:sz="4" w:space="0" w:color="auto"/>
            </w:tcBorders>
            <w:shd w:val="clear" w:color="auto" w:fill="D7DEE2" w:themeFill="text2" w:themeFillTint="33"/>
          </w:tcPr>
          <w:p w:rsidR="00D77A95" w:rsidRDefault="00D77A95" w:rsidP="00CA6262">
            <w:r>
              <w:t>AUD17,800,000</w:t>
            </w:r>
          </w:p>
          <w:p w:rsidR="0005671F" w:rsidRPr="00E43906" w:rsidRDefault="0005671F" w:rsidP="00CA6262"/>
        </w:tc>
        <w:tc>
          <w:tcPr>
            <w:tcW w:w="2138" w:type="dxa"/>
            <w:tcBorders>
              <w:top w:val="single" w:sz="4" w:space="0" w:color="auto"/>
              <w:bottom w:val="single" w:sz="4" w:space="0" w:color="auto"/>
            </w:tcBorders>
            <w:shd w:val="clear" w:color="auto" w:fill="D7DEE2" w:themeFill="text2" w:themeFillTint="33"/>
          </w:tcPr>
          <w:p w:rsidR="00D77A95" w:rsidRPr="00E43906" w:rsidRDefault="00D77A95" w:rsidP="00D77A95">
            <w:r w:rsidRPr="00E43906">
              <w:t>CAVAC: AUD 800,000</w:t>
            </w:r>
          </w:p>
          <w:p w:rsidR="002463B5" w:rsidRPr="00C40362" w:rsidRDefault="00D77A95" w:rsidP="00D77A95">
            <w:r w:rsidRPr="00D93435">
              <w:t xml:space="preserve">3i: </w:t>
            </w:r>
            <w:r w:rsidRPr="00E43906">
              <w:t>AUD 17</w:t>
            </w:r>
            <w:r>
              <w:t>,</w:t>
            </w:r>
            <w:r w:rsidRPr="00E43906">
              <w:t>000,000</w:t>
            </w:r>
          </w:p>
          <w:p w:rsidR="002463B5" w:rsidRPr="00C40362" w:rsidRDefault="002463B5" w:rsidP="00CA6262"/>
          <w:p w:rsidR="002463B5" w:rsidRPr="00C40362" w:rsidRDefault="002463B5" w:rsidP="00CA6262"/>
        </w:tc>
      </w:tr>
    </w:tbl>
    <w:p w:rsidR="002463B5" w:rsidRPr="005C78DB" w:rsidRDefault="002463B5" w:rsidP="009F56D6"/>
    <w:sectPr w:rsidR="002463B5" w:rsidRPr="005C78DB" w:rsidSect="0015382B">
      <w:headerReference w:type="default" r:id="rId37"/>
      <w:pgSz w:w="16838" w:h="11906" w:orient="landscape" w:code="9"/>
      <w:pgMar w:top="1134" w:right="1527" w:bottom="993" w:left="851" w:header="1418" w:footer="2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59B" w:rsidRDefault="00AB359B" w:rsidP="00EF4574">
      <w:pPr>
        <w:spacing w:before="0" w:after="0" w:line="240" w:lineRule="auto"/>
      </w:pPr>
      <w:r>
        <w:separator/>
      </w:r>
    </w:p>
  </w:endnote>
  <w:endnote w:type="continuationSeparator" w:id="0">
    <w:p w:rsidR="00AB359B" w:rsidRDefault="00AB359B"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aunPenh">
    <w:altName w:val="Times New Roman"/>
    <w:charset w:val="00"/>
    <w:family w:val="auto"/>
    <w:pitch w:val="variable"/>
    <w:sig w:usb0="00000001" w:usb1="5000204A" w:usb2="00010000" w:usb3="00000000" w:csb0="00000111"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DC8" w:rsidRDefault="00F65D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690059"/>
      <w:docPartObj>
        <w:docPartGallery w:val="Page Numbers (Bottom of Page)"/>
        <w:docPartUnique/>
      </w:docPartObj>
    </w:sdtPr>
    <w:sdtEndPr>
      <w:rPr>
        <w:noProof/>
      </w:rPr>
    </w:sdtEndPr>
    <w:sdtContent>
      <w:p w:rsidR="0092677C" w:rsidRDefault="0092677C">
        <w:pPr>
          <w:pStyle w:val="Footer"/>
        </w:pPr>
        <w:r>
          <w:fldChar w:fldCharType="begin"/>
        </w:r>
        <w:r>
          <w:instrText xml:space="preserve"> PAGE   \* MERGEFORMAT </w:instrText>
        </w:r>
        <w:r>
          <w:fldChar w:fldCharType="separate"/>
        </w:r>
        <w:r w:rsidR="00F65DC8">
          <w:rPr>
            <w:noProof/>
          </w:rPr>
          <w:t>4</w:t>
        </w:r>
        <w:r>
          <w:rPr>
            <w:noProof/>
          </w:rPr>
          <w:fldChar w:fldCharType="end"/>
        </w:r>
      </w:p>
    </w:sdtContent>
  </w:sdt>
  <w:p w:rsidR="0092677C" w:rsidRDefault="009267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DC8" w:rsidRDefault="00F65D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77C" w:rsidRPr="00CD0E4B" w:rsidRDefault="0092677C" w:rsidP="00784031">
    <w:pPr>
      <w:pStyle w:val="Footer"/>
    </w:pPr>
    <w:r w:rsidRPr="00CD0E4B">
      <w:rPr>
        <w:noProof/>
        <w:lang w:val="en-AU" w:eastAsia="en-AU"/>
      </w:rPr>
      <w:drawing>
        <wp:inline distT="0" distB="0" distL="0" distR="0" wp14:anchorId="58A21161" wp14:editId="5C81AAD3">
          <wp:extent cx="90000" cy="74520"/>
          <wp:effectExtent l="0" t="0" r="571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rsidR="0092677C" w:rsidRPr="00CD0E4B" w:rsidRDefault="0092677C" w:rsidP="00784031">
    <w:pPr>
      <w:pStyle w:val="Footer"/>
      <w:rPr>
        <w:color w:val="ACD08C" w:themeColor="accent3"/>
      </w:rPr>
    </w:pPr>
    <w:r w:rsidRPr="00CD0E4B">
      <w:rPr>
        <w:color w:val="ACD08C" w:themeColor="accent3"/>
      </w:rPr>
      <w:t>DFAT.GOV.AU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59B" w:rsidRPr="008C5A0E" w:rsidRDefault="00AB359B" w:rsidP="001D663E">
      <w:pPr>
        <w:pStyle w:val="Footer"/>
        <w:pBdr>
          <w:top w:val="single" w:sz="4" w:space="1" w:color="495965" w:themeColor="text2"/>
        </w:pBdr>
      </w:pPr>
    </w:p>
  </w:footnote>
  <w:footnote w:type="continuationSeparator" w:id="0">
    <w:p w:rsidR="00AB359B" w:rsidRDefault="00AB359B" w:rsidP="00EF4574">
      <w:pPr>
        <w:spacing w:before="0" w:after="0" w:line="240" w:lineRule="auto"/>
      </w:pPr>
      <w:r>
        <w:continuationSeparator/>
      </w:r>
    </w:p>
  </w:footnote>
  <w:footnote w:id="1">
    <w:p w:rsidR="0092677C" w:rsidRPr="00B47DA7" w:rsidRDefault="0092677C">
      <w:pPr>
        <w:pStyle w:val="FootnoteText"/>
        <w:rPr>
          <w:lang w:val="en-AU"/>
        </w:rPr>
      </w:pPr>
      <w:r>
        <w:rPr>
          <w:rStyle w:val="FootnoteReference"/>
        </w:rPr>
        <w:footnoteRef/>
      </w:r>
      <w:r>
        <w:t xml:space="preserve"> </w:t>
      </w:r>
      <w:hyperlink r:id="rId1" w:history="1">
        <w:r w:rsidRPr="00DC2676">
          <w:rPr>
            <w:rStyle w:val="Hyperlink"/>
            <w:rFonts w:cstheme="minorBidi"/>
            <w:lang w:val="en-AU"/>
          </w:rPr>
          <w:t>http://www.eastasiaforum.org/2018/07/24/cambodias-growth-metrics-need-nuance-to-uplift-citizens/</w:t>
        </w:r>
      </w:hyperlink>
      <w:r>
        <w:rPr>
          <w:lang w:val="en-AU"/>
        </w:rPr>
        <w:t xml:space="preserve"> </w:t>
      </w:r>
    </w:p>
  </w:footnote>
  <w:footnote w:id="2">
    <w:p w:rsidR="0092677C" w:rsidRPr="00F34544" w:rsidRDefault="0092677C">
      <w:pPr>
        <w:pStyle w:val="FootnoteText"/>
        <w:rPr>
          <w:lang w:val="en-AU"/>
        </w:rPr>
      </w:pPr>
      <w:r>
        <w:rPr>
          <w:rStyle w:val="FootnoteReference"/>
        </w:rPr>
        <w:footnoteRef/>
      </w:r>
      <w:r>
        <w:t xml:space="preserve"> </w:t>
      </w:r>
      <w:hyperlink r:id="rId2" w:history="1">
        <w:r w:rsidRPr="00DC2676">
          <w:rPr>
            <w:rStyle w:val="Hyperlink"/>
            <w:rFonts w:cstheme="minorBidi"/>
          </w:rPr>
          <w:t>http://documents.worldbank.org/curated/en/132951507537966126/pdf/120298-WBAR-v1-PUBLIC.pdf</w:t>
        </w:r>
      </w:hyperlink>
      <w:r>
        <w:t xml:space="preserve"> </w:t>
      </w:r>
    </w:p>
  </w:footnote>
  <w:footnote w:id="3">
    <w:p w:rsidR="0092677C" w:rsidRPr="00151652" w:rsidRDefault="0092677C">
      <w:pPr>
        <w:pStyle w:val="FootnoteText"/>
        <w:rPr>
          <w:lang w:val="en-AU"/>
        </w:rPr>
      </w:pPr>
      <w:r>
        <w:rPr>
          <w:rStyle w:val="FootnoteReference"/>
        </w:rPr>
        <w:footnoteRef/>
      </w:r>
      <w:r>
        <w:t xml:space="preserve"> </w:t>
      </w:r>
      <w:hyperlink r:id="rId3" w:history="1">
        <w:r w:rsidRPr="001F50FB">
          <w:rPr>
            <w:rStyle w:val="Hyperlink"/>
            <w:rFonts w:cstheme="minorBidi"/>
          </w:rPr>
          <w:t>https://dfat.gov.au/about-us/publications/Pages/aid-investment-plan-aip-cambodia-2015-2018.aspx</w:t>
        </w:r>
      </w:hyperlink>
      <w:r>
        <w:t xml:space="preserve"> </w:t>
      </w:r>
    </w:p>
  </w:footnote>
  <w:footnote w:id="4">
    <w:p w:rsidR="0092677C" w:rsidRPr="00F34544" w:rsidRDefault="0092677C">
      <w:pPr>
        <w:pStyle w:val="FootnoteText"/>
        <w:rPr>
          <w:lang w:val="en-AU"/>
        </w:rPr>
      </w:pPr>
      <w:r>
        <w:rPr>
          <w:rStyle w:val="FootnoteReference"/>
        </w:rPr>
        <w:footnoteRef/>
      </w:r>
      <w:r>
        <w:t xml:space="preserve"> </w:t>
      </w:r>
      <w:hyperlink r:id="rId4" w:history="1">
        <w:r w:rsidRPr="00DC2676">
          <w:rPr>
            <w:rStyle w:val="Hyperlink"/>
            <w:rFonts w:cstheme="minorBidi"/>
          </w:rPr>
          <w:t>http://www.pressreleasepoint.com/uspto-announces-2018-patents-humanity-winners</w:t>
        </w:r>
      </w:hyperlink>
      <w:r>
        <w:t xml:space="preserve"> </w:t>
      </w:r>
    </w:p>
  </w:footnote>
  <w:footnote w:id="5">
    <w:p w:rsidR="0092677C" w:rsidRPr="00D876E3" w:rsidRDefault="0092677C" w:rsidP="00C307A2">
      <w:pPr>
        <w:pStyle w:val="FootnoteText"/>
        <w:rPr>
          <w:lang w:val="en-AU"/>
        </w:rPr>
      </w:pPr>
      <w:r>
        <w:rPr>
          <w:rStyle w:val="FootnoteReference"/>
        </w:rPr>
        <w:footnoteRef/>
      </w:r>
      <w:r>
        <w:t xml:space="preserve"> </w:t>
      </w:r>
      <w:hyperlink r:id="rId5" w:history="1">
        <w:r w:rsidRPr="007A2BA8">
          <w:rPr>
            <w:rStyle w:val="Hyperlink"/>
            <w:rFonts w:cstheme="minorBidi"/>
          </w:rPr>
          <w:t>http://aciar.gov.au/country/cambodia</w:t>
        </w:r>
      </w:hyperlink>
    </w:p>
  </w:footnote>
  <w:footnote w:id="6">
    <w:p w:rsidR="0092677C" w:rsidRPr="00F34544" w:rsidRDefault="0092677C">
      <w:pPr>
        <w:pStyle w:val="FootnoteText"/>
        <w:rPr>
          <w:lang w:val="en-AU"/>
        </w:rPr>
      </w:pPr>
      <w:r>
        <w:rPr>
          <w:rStyle w:val="FootnoteReference"/>
        </w:rPr>
        <w:footnoteRef/>
      </w:r>
      <w:r>
        <w:t xml:space="preserve"> </w:t>
      </w:r>
      <w:hyperlink r:id="rId6" w:history="1">
        <w:r w:rsidRPr="00DC2676">
          <w:rPr>
            <w:rStyle w:val="Hyperlink"/>
            <w:rFonts w:cstheme="minorBidi"/>
          </w:rPr>
          <w:t>https://dfat.gov.au/aid/who-we-work-with/ngos/ancp/Pages/australian-ngo-cooperation-program.aspx</w:t>
        </w:r>
      </w:hyperlink>
      <w:r>
        <w:t xml:space="preserve"> </w:t>
      </w:r>
    </w:p>
  </w:footnote>
  <w:footnote w:id="7">
    <w:p w:rsidR="0092677C" w:rsidRPr="00522F47" w:rsidRDefault="0092677C" w:rsidP="005726C4">
      <w:pPr>
        <w:pStyle w:val="FootnoteText"/>
        <w:rPr>
          <w:lang w:val="en-AU"/>
        </w:rPr>
      </w:pPr>
      <w:r>
        <w:rPr>
          <w:rStyle w:val="FootnoteReference"/>
        </w:rPr>
        <w:footnoteRef/>
      </w:r>
      <w:r>
        <w:t xml:space="preserve"> </w:t>
      </w:r>
      <w:hyperlink r:id="rId7" w:history="1">
        <w:r w:rsidRPr="001F50FB">
          <w:rPr>
            <w:rStyle w:val="Hyperlink"/>
            <w:rFonts w:cstheme="minorBidi"/>
          </w:rPr>
          <w:t>https://dfat.gov.au/geo/east-asia/development-assistance/Pages/development-assistance-asean-mekong.aspx</w:t>
        </w:r>
      </w:hyperlink>
      <w:r>
        <w:t xml:space="preserve"> </w:t>
      </w:r>
    </w:p>
  </w:footnote>
  <w:footnote w:id="8">
    <w:p w:rsidR="0092677C" w:rsidRPr="00A362D4" w:rsidRDefault="0092677C">
      <w:pPr>
        <w:pStyle w:val="FootnoteText"/>
        <w:rPr>
          <w:lang w:val="en-AU"/>
        </w:rPr>
      </w:pPr>
      <w:r>
        <w:rPr>
          <w:rStyle w:val="FootnoteReference"/>
        </w:rPr>
        <w:footnoteRef/>
      </w:r>
      <w:r>
        <w:t xml:space="preserve"> </w:t>
      </w:r>
      <w:r w:rsidRPr="00E14A70">
        <w:rPr>
          <w:sz w:val="20"/>
        </w:rPr>
        <w:t>3i’s leverage ratio at June 2018 was 1.8</w:t>
      </w:r>
      <w:r>
        <w:rPr>
          <w:sz w:val="20"/>
        </w:rPr>
        <w:t>5</w:t>
      </w:r>
      <w:r w:rsidRPr="00E14A70">
        <w:rPr>
          <w:sz w:val="20"/>
        </w:rPr>
        <w:t xml:space="preserve"> (i.e. each dollar of 3i investm</w:t>
      </w:r>
      <w:r>
        <w:rPr>
          <w:sz w:val="20"/>
        </w:rPr>
        <w:t>ent leveraged 1.85</w:t>
      </w:r>
      <w:r w:rsidRPr="00E14A70">
        <w:rPr>
          <w:sz w:val="20"/>
        </w:rPr>
        <w:t xml:space="preserve"> dollars </w:t>
      </w:r>
      <w:r>
        <w:rPr>
          <w:sz w:val="20"/>
        </w:rPr>
        <w:t xml:space="preserve">of new </w:t>
      </w:r>
      <w:r w:rsidRPr="00E14A70">
        <w:rPr>
          <w:sz w:val="20"/>
        </w:rPr>
        <w:t>private investmen</w:t>
      </w:r>
      <w:r>
        <w:rPr>
          <w:sz w:val="20"/>
        </w:rPr>
        <w:t>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DC8" w:rsidRDefault="00F65D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77C" w:rsidRPr="00333501" w:rsidRDefault="0092677C" w:rsidP="008F56A8">
    <w:pPr>
      <w:pStyle w:val="Header"/>
      <w:jc w:val="left"/>
    </w:pPr>
    <w:r>
      <w:rPr>
        <w:noProof/>
        <w:lang w:val="en-AU" w:eastAsia="en-AU"/>
      </w:rPr>
      <w:drawing>
        <wp:anchor distT="0" distB="0" distL="114300" distR="114300" simplePos="0" relativeHeight="251681792" behindDoc="1" locked="1" layoutInCell="1" allowOverlap="1" wp14:anchorId="6F032AAC" wp14:editId="67890BD5">
          <wp:simplePos x="0" y="0"/>
          <wp:positionH relativeFrom="page">
            <wp:posOffset>7620</wp:posOffset>
          </wp:positionH>
          <wp:positionV relativeFrom="page">
            <wp:posOffset>55880</wp:posOffset>
          </wp:positionV>
          <wp:extent cx="7545705" cy="10702290"/>
          <wp:effectExtent l="0" t="0" r="0" b="381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5705" cy="10702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DC8" w:rsidRDefault="00F65D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77C" w:rsidRDefault="009267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77C" w:rsidRPr="00333501" w:rsidRDefault="0092677C" w:rsidP="008F56A8">
    <w:pPr>
      <w:pStyle w:val="Header"/>
      <w:jc w:val="left"/>
    </w:pPr>
    <w:r>
      <w:rPr>
        <w:noProof/>
        <w:lang w:val="en-AU" w:eastAsia="en-AU"/>
      </w:rPr>
      <w:drawing>
        <wp:anchor distT="0" distB="0" distL="114300" distR="114300" simplePos="0" relativeHeight="251697152" behindDoc="1" locked="1" layoutInCell="1" allowOverlap="1" wp14:anchorId="0F97D442" wp14:editId="4EB68E57">
          <wp:simplePos x="0" y="0"/>
          <wp:positionH relativeFrom="page">
            <wp:posOffset>160020</wp:posOffset>
          </wp:positionH>
          <wp:positionV relativeFrom="page">
            <wp:posOffset>160020</wp:posOffset>
          </wp:positionV>
          <wp:extent cx="10662285" cy="7545705"/>
          <wp:effectExtent l="0" t="0" r="5715"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77C" w:rsidRPr="003D352D" w:rsidRDefault="0092677C" w:rsidP="003D352D">
    <w:pPr>
      <w:pStyle w:val="Header"/>
      <w:jc w:val="left"/>
    </w:pPr>
    <w:r>
      <w:rPr>
        <w:noProof/>
        <w:lang w:val="en-AU" w:eastAsia="en-AU"/>
      </w:rPr>
      <w:drawing>
        <wp:anchor distT="0" distB="0" distL="114300" distR="114300" simplePos="0" relativeHeight="251695104" behindDoc="1" locked="1" layoutInCell="1" allowOverlap="1" wp14:anchorId="4C7F7972" wp14:editId="5162DC16">
          <wp:simplePos x="0" y="0"/>
          <wp:positionH relativeFrom="page">
            <wp:posOffset>7620</wp:posOffset>
          </wp:positionH>
          <wp:positionV relativeFrom="page">
            <wp:posOffset>7620</wp:posOffset>
          </wp:positionV>
          <wp:extent cx="10662285" cy="7545705"/>
          <wp:effectExtent l="0" t="0" r="5715"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77C" w:rsidRPr="00333501" w:rsidRDefault="0092677C" w:rsidP="008F56A8">
    <w:pPr>
      <w:pStyle w:val="Header"/>
      <w:jc w:val="left"/>
    </w:pPr>
    <w:r>
      <w:rPr>
        <w:noProof/>
        <w:lang w:val="en-AU" w:eastAsia="en-AU"/>
      </w:rPr>
      <w:drawing>
        <wp:anchor distT="0" distB="0" distL="114300" distR="114300" simplePos="0" relativeHeight="251703296" behindDoc="1" locked="1" layoutInCell="1" allowOverlap="1" wp14:anchorId="758352C4" wp14:editId="4A0B1B8B">
          <wp:simplePos x="0" y="0"/>
          <wp:positionH relativeFrom="page">
            <wp:posOffset>24130</wp:posOffset>
          </wp:positionH>
          <wp:positionV relativeFrom="page">
            <wp:align>top</wp:align>
          </wp:positionV>
          <wp:extent cx="10799445" cy="7559675"/>
          <wp:effectExtent l="0" t="0" r="1905" b="3175"/>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799445" cy="75596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13318"/>
    <w:multiLevelType w:val="hybridMultilevel"/>
    <w:tmpl w:val="BDDC27CE"/>
    <w:lvl w:ilvl="0" w:tplc="1512B240">
      <w:start w:val="2016"/>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51E49C7"/>
    <w:multiLevelType w:val="hybridMultilevel"/>
    <w:tmpl w:val="29C49024"/>
    <w:lvl w:ilvl="0" w:tplc="47225382">
      <w:numFmt w:val="bullet"/>
      <w:lvlText w:val="-"/>
      <w:lvlJc w:val="left"/>
      <w:pPr>
        <w:ind w:left="405" w:hanging="360"/>
      </w:pPr>
      <w:rPr>
        <w:rFonts w:ascii="Calibri Light" w:eastAsiaTheme="minorHAnsi" w:hAnsi="Calibri Light"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3B615A"/>
    <w:multiLevelType w:val="multilevel"/>
    <w:tmpl w:val="2DC0A4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8" w15:restartNumberingAfterBreak="0">
    <w:nsid w:val="5D3C1EA7"/>
    <w:multiLevelType w:val="multilevel"/>
    <w:tmpl w:val="43428892"/>
    <w:numStyleLink w:val="BulletsList"/>
  </w:abstractNum>
  <w:abstractNum w:abstractNumId="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0" w15:restartNumberingAfterBreak="0">
    <w:nsid w:val="5EEA716E"/>
    <w:multiLevelType w:val="hybridMultilevel"/>
    <w:tmpl w:val="B11E396A"/>
    <w:lvl w:ilvl="0" w:tplc="06C06CA6">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1"/>
  </w:num>
  <w:num w:numId="2">
    <w:abstractNumId w:val="1"/>
  </w:num>
  <w:num w:numId="3">
    <w:abstractNumId w:val="4"/>
  </w:num>
  <w:num w:numId="4">
    <w:abstractNumId w:val="7"/>
  </w:num>
  <w:num w:numId="5">
    <w:abstractNumId w:val="9"/>
  </w:num>
  <w:num w:numId="6">
    <w:abstractNumId w:val="4"/>
  </w:num>
  <w:num w:numId="7">
    <w:abstractNumId w:val="8"/>
  </w:num>
  <w:num w:numId="8">
    <w:abstractNumId w:val="1"/>
  </w:num>
  <w:num w:numId="9">
    <w:abstractNumId w:val="5"/>
  </w:num>
  <w:num w:numId="10">
    <w:abstractNumId w:val="3"/>
  </w:num>
  <w:num w:numId="11">
    <w:abstractNumId w:val="0"/>
  </w:num>
  <w:num w:numId="12">
    <w:abstractNumId w:val="2"/>
  </w:num>
  <w:num w:numId="13">
    <w:abstractNumId w:val="10"/>
  </w:num>
  <w:num w:numId="1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DA8"/>
    <w:rsid w:val="0000377B"/>
    <w:rsid w:val="0000439F"/>
    <w:rsid w:val="00012559"/>
    <w:rsid w:val="000143B5"/>
    <w:rsid w:val="00015316"/>
    <w:rsid w:val="000160FC"/>
    <w:rsid w:val="0002048E"/>
    <w:rsid w:val="0002080A"/>
    <w:rsid w:val="0002341E"/>
    <w:rsid w:val="0002782F"/>
    <w:rsid w:val="00027CF5"/>
    <w:rsid w:val="00027F29"/>
    <w:rsid w:val="00031512"/>
    <w:rsid w:val="00033AB7"/>
    <w:rsid w:val="00033E68"/>
    <w:rsid w:val="00036A49"/>
    <w:rsid w:val="000447A0"/>
    <w:rsid w:val="00044C03"/>
    <w:rsid w:val="00050BDC"/>
    <w:rsid w:val="00054E4D"/>
    <w:rsid w:val="00055688"/>
    <w:rsid w:val="0005671F"/>
    <w:rsid w:val="00056D20"/>
    <w:rsid w:val="00060073"/>
    <w:rsid w:val="00060268"/>
    <w:rsid w:val="000638C5"/>
    <w:rsid w:val="0006552E"/>
    <w:rsid w:val="000665A6"/>
    <w:rsid w:val="00072014"/>
    <w:rsid w:val="0007430A"/>
    <w:rsid w:val="00074CAF"/>
    <w:rsid w:val="00075A73"/>
    <w:rsid w:val="00083430"/>
    <w:rsid w:val="00084483"/>
    <w:rsid w:val="00086569"/>
    <w:rsid w:val="00087811"/>
    <w:rsid w:val="00093CFC"/>
    <w:rsid w:val="000A2665"/>
    <w:rsid w:val="000A53A5"/>
    <w:rsid w:val="000A5A49"/>
    <w:rsid w:val="000A5D2D"/>
    <w:rsid w:val="000B0D28"/>
    <w:rsid w:val="000B62C6"/>
    <w:rsid w:val="000B7531"/>
    <w:rsid w:val="000C19C0"/>
    <w:rsid w:val="000C4912"/>
    <w:rsid w:val="000C5E67"/>
    <w:rsid w:val="000C67AA"/>
    <w:rsid w:val="000D017A"/>
    <w:rsid w:val="000D12CA"/>
    <w:rsid w:val="000D18FC"/>
    <w:rsid w:val="000D4C23"/>
    <w:rsid w:val="000D5979"/>
    <w:rsid w:val="000D62A7"/>
    <w:rsid w:val="000D6533"/>
    <w:rsid w:val="000D66D6"/>
    <w:rsid w:val="000E2065"/>
    <w:rsid w:val="000E24AC"/>
    <w:rsid w:val="000E314A"/>
    <w:rsid w:val="000E47C1"/>
    <w:rsid w:val="000E70AA"/>
    <w:rsid w:val="000F0B86"/>
    <w:rsid w:val="000F4740"/>
    <w:rsid w:val="00100D1D"/>
    <w:rsid w:val="00105DDD"/>
    <w:rsid w:val="001103E6"/>
    <w:rsid w:val="00112B17"/>
    <w:rsid w:val="001133E3"/>
    <w:rsid w:val="00114D55"/>
    <w:rsid w:val="00122072"/>
    <w:rsid w:val="0012279D"/>
    <w:rsid w:val="00122CB7"/>
    <w:rsid w:val="0012334C"/>
    <w:rsid w:val="001356E5"/>
    <w:rsid w:val="00135BAA"/>
    <w:rsid w:val="001362D7"/>
    <w:rsid w:val="00136AB9"/>
    <w:rsid w:val="00137DAF"/>
    <w:rsid w:val="001474C8"/>
    <w:rsid w:val="001510E4"/>
    <w:rsid w:val="00151652"/>
    <w:rsid w:val="001532C4"/>
    <w:rsid w:val="0015382B"/>
    <w:rsid w:val="001541EA"/>
    <w:rsid w:val="00157EFA"/>
    <w:rsid w:val="00162218"/>
    <w:rsid w:val="00165A60"/>
    <w:rsid w:val="00166962"/>
    <w:rsid w:val="00174B8C"/>
    <w:rsid w:val="00177A59"/>
    <w:rsid w:val="00184818"/>
    <w:rsid w:val="0018483E"/>
    <w:rsid w:val="00186518"/>
    <w:rsid w:val="00186EA3"/>
    <w:rsid w:val="00195557"/>
    <w:rsid w:val="00196F04"/>
    <w:rsid w:val="001A0BBC"/>
    <w:rsid w:val="001A2BF9"/>
    <w:rsid w:val="001A3C9C"/>
    <w:rsid w:val="001A53CC"/>
    <w:rsid w:val="001B074F"/>
    <w:rsid w:val="001B21D3"/>
    <w:rsid w:val="001B22C8"/>
    <w:rsid w:val="001B3C09"/>
    <w:rsid w:val="001B5019"/>
    <w:rsid w:val="001B7CF2"/>
    <w:rsid w:val="001D4209"/>
    <w:rsid w:val="001D4957"/>
    <w:rsid w:val="001D6147"/>
    <w:rsid w:val="001D663E"/>
    <w:rsid w:val="001E0667"/>
    <w:rsid w:val="001E1DC0"/>
    <w:rsid w:val="001E3E0E"/>
    <w:rsid w:val="001F3D03"/>
    <w:rsid w:val="0020363F"/>
    <w:rsid w:val="0020744E"/>
    <w:rsid w:val="00213D80"/>
    <w:rsid w:val="00216109"/>
    <w:rsid w:val="0022106B"/>
    <w:rsid w:val="0022136A"/>
    <w:rsid w:val="002214B3"/>
    <w:rsid w:val="00222BE1"/>
    <w:rsid w:val="00222DA2"/>
    <w:rsid w:val="002309D8"/>
    <w:rsid w:val="00236A53"/>
    <w:rsid w:val="002370AA"/>
    <w:rsid w:val="00237C1E"/>
    <w:rsid w:val="00244E4E"/>
    <w:rsid w:val="0024512A"/>
    <w:rsid w:val="002463B5"/>
    <w:rsid w:val="00251C73"/>
    <w:rsid w:val="00254EA0"/>
    <w:rsid w:val="002553C0"/>
    <w:rsid w:val="00256A9B"/>
    <w:rsid w:val="002719D9"/>
    <w:rsid w:val="00275DB7"/>
    <w:rsid w:val="0027602A"/>
    <w:rsid w:val="0028281A"/>
    <w:rsid w:val="00283C8B"/>
    <w:rsid w:val="00284957"/>
    <w:rsid w:val="0028602A"/>
    <w:rsid w:val="0029114F"/>
    <w:rsid w:val="00291B3D"/>
    <w:rsid w:val="00294687"/>
    <w:rsid w:val="002A51CA"/>
    <w:rsid w:val="002A6AC8"/>
    <w:rsid w:val="002B2119"/>
    <w:rsid w:val="002B3E95"/>
    <w:rsid w:val="002B5E10"/>
    <w:rsid w:val="002B7ABF"/>
    <w:rsid w:val="002C4172"/>
    <w:rsid w:val="002C7BA1"/>
    <w:rsid w:val="002D083F"/>
    <w:rsid w:val="002D2B16"/>
    <w:rsid w:val="002D37BC"/>
    <w:rsid w:val="002D56DE"/>
    <w:rsid w:val="002D7B47"/>
    <w:rsid w:val="002E0D9B"/>
    <w:rsid w:val="002E532D"/>
    <w:rsid w:val="002F11B5"/>
    <w:rsid w:val="002F3399"/>
    <w:rsid w:val="002F43F6"/>
    <w:rsid w:val="002F7A44"/>
    <w:rsid w:val="003002C0"/>
    <w:rsid w:val="00300FD1"/>
    <w:rsid w:val="00301144"/>
    <w:rsid w:val="0030204D"/>
    <w:rsid w:val="00302315"/>
    <w:rsid w:val="003067A6"/>
    <w:rsid w:val="00310D72"/>
    <w:rsid w:val="00310DF9"/>
    <w:rsid w:val="00312125"/>
    <w:rsid w:val="003148B7"/>
    <w:rsid w:val="003158C3"/>
    <w:rsid w:val="00317E22"/>
    <w:rsid w:val="00320251"/>
    <w:rsid w:val="00324651"/>
    <w:rsid w:val="003274CD"/>
    <w:rsid w:val="00332EC9"/>
    <w:rsid w:val="00333501"/>
    <w:rsid w:val="003346B8"/>
    <w:rsid w:val="00341F4B"/>
    <w:rsid w:val="003457C4"/>
    <w:rsid w:val="0035119D"/>
    <w:rsid w:val="003539DB"/>
    <w:rsid w:val="00355994"/>
    <w:rsid w:val="00355B7F"/>
    <w:rsid w:val="00366B39"/>
    <w:rsid w:val="00373063"/>
    <w:rsid w:val="00374D35"/>
    <w:rsid w:val="00375468"/>
    <w:rsid w:val="00383937"/>
    <w:rsid w:val="003859FC"/>
    <w:rsid w:val="00385DFD"/>
    <w:rsid w:val="00386A62"/>
    <w:rsid w:val="00395301"/>
    <w:rsid w:val="003A2BA5"/>
    <w:rsid w:val="003A44F8"/>
    <w:rsid w:val="003A755E"/>
    <w:rsid w:val="003B4F12"/>
    <w:rsid w:val="003B57D7"/>
    <w:rsid w:val="003C29B9"/>
    <w:rsid w:val="003C7DC7"/>
    <w:rsid w:val="003D2904"/>
    <w:rsid w:val="003D352D"/>
    <w:rsid w:val="003D53FA"/>
    <w:rsid w:val="003D5479"/>
    <w:rsid w:val="003E1C6C"/>
    <w:rsid w:val="003E5886"/>
    <w:rsid w:val="003E7793"/>
    <w:rsid w:val="003F27A9"/>
    <w:rsid w:val="003F27CD"/>
    <w:rsid w:val="003F34A9"/>
    <w:rsid w:val="003F6617"/>
    <w:rsid w:val="00400B0F"/>
    <w:rsid w:val="00402ACC"/>
    <w:rsid w:val="00404086"/>
    <w:rsid w:val="00405B2F"/>
    <w:rsid w:val="004120EC"/>
    <w:rsid w:val="00420A5B"/>
    <w:rsid w:val="00423F31"/>
    <w:rsid w:val="004305FE"/>
    <w:rsid w:val="00431899"/>
    <w:rsid w:val="00431E2C"/>
    <w:rsid w:val="00434CAD"/>
    <w:rsid w:val="0043564E"/>
    <w:rsid w:val="004411E7"/>
    <w:rsid w:val="004442B9"/>
    <w:rsid w:val="004453F6"/>
    <w:rsid w:val="00445905"/>
    <w:rsid w:val="00445A0C"/>
    <w:rsid w:val="00450991"/>
    <w:rsid w:val="004622F4"/>
    <w:rsid w:val="00467643"/>
    <w:rsid w:val="00472DED"/>
    <w:rsid w:val="004803E5"/>
    <w:rsid w:val="0048041A"/>
    <w:rsid w:val="00486804"/>
    <w:rsid w:val="00487C91"/>
    <w:rsid w:val="004964CD"/>
    <w:rsid w:val="004977A1"/>
    <w:rsid w:val="004A451D"/>
    <w:rsid w:val="004A4A73"/>
    <w:rsid w:val="004A732A"/>
    <w:rsid w:val="004B18E2"/>
    <w:rsid w:val="004B1A08"/>
    <w:rsid w:val="004B3775"/>
    <w:rsid w:val="004B4E2A"/>
    <w:rsid w:val="004C04FD"/>
    <w:rsid w:val="004C4397"/>
    <w:rsid w:val="004C664B"/>
    <w:rsid w:val="004D045B"/>
    <w:rsid w:val="004D0BA0"/>
    <w:rsid w:val="004D10F2"/>
    <w:rsid w:val="004D43F3"/>
    <w:rsid w:val="004D4996"/>
    <w:rsid w:val="004D6357"/>
    <w:rsid w:val="004D72CA"/>
    <w:rsid w:val="004E0264"/>
    <w:rsid w:val="004E058F"/>
    <w:rsid w:val="004E3B87"/>
    <w:rsid w:val="004E4C52"/>
    <w:rsid w:val="004F437F"/>
    <w:rsid w:val="004F4AA0"/>
    <w:rsid w:val="004F6EF4"/>
    <w:rsid w:val="005040BD"/>
    <w:rsid w:val="00504275"/>
    <w:rsid w:val="005104A0"/>
    <w:rsid w:val="00510921"/>
    <w:rsid w:val="00510AD3"/>
    <w:rsid w:val="00510FAB"/>
    <w:rsid w:val="00513348"/>
    <w:rsid w:val="00513A9F"/>
    <w:rsid w:val="005144D8"/>
    <w:rsid w:val="00516EC8"/>
    <w:rsid w:val="00517F0A"/>
    <w:rsid w:val="005223F2"/>
    <w:rsid w:val="00522F47"/>
    <w:rsid w:val="00525E1B"/>
    <w:rsid w:val="00530BCB"/>
    <w:rsid w:val="0053119E"/>
    <w:rsid w:val="00533B5D"/>
    <w:rsid w:val="0053416F"/>
    <w:rsid w:val="00540F56"/>
    <w:rsid w:val="005418CA"/>
    <w:rsid w:val="0054240E"/>
    <w:rsid w:val="00551038"/>
    <w:rsid w:val="005511BF"/>
    <w:rsid w:val="0056348C"/>
    <w:rsid w:val="0057072A"/>
    <w:rsid w:val="005711BF"/>
    <w:rsid w:val="005726C4"/>
    <w:rsid w:val="005775B6"/>
    <w:rsid w:val="00581976"/>
    <w:rsid w:val="0058590E"/>
    <w:rsid w:val="00586860"/>
    <w:rsid w:val="00586973"/>
    <w:rsid w:val="00587A17"/>
    <w:rsid w:val="0059146A"/>
    <w:rsid w:val="0059150F"/>
    <w:rsid w:val="00594A67"/>
    <w:rsid w:val="005A4CEA"/>
    <w:rsid w:val="005A785B"/>
    <w:rsid w:val="005B119A"/>
    <w:rsid w:val="005B2DAB"/>
    <w:rsid w:val="005B3F26"/>
    <w:rsid w:val="005B5769"/>
    <w:rsid w:val="005B6068"/>
    <w:rsid w:val="005B6F57"/>
    <w:rsid w:val="005B7DBE"/>
    <w:rsid w:val="005C221E"/>
    <w:rsid w:val="005C5D05"/>
    <w:rsid w:val="005C68E1"/>
    <w:rsid w:val="005D1213"/>
    <w:rsid w:val="005D2F0B"/>
    <w:rsid w:val="005D3655"/>
    <w:rsid w:val="005D42F7"/>
    <w:rsid w:val="005E1062"/>
    <w:rsid w:val="005E18A3"/>
    <w:rsid w:val="005E2CD7"/>
    <w:rsid w:val="005E3343"/>
    <w:rsid w:val="005E57E2"/>
    <w:rsid w:val="005E606B"/>
    <w:rsid w:val="005E686D"/>
    <w:rsid w:val="005E7698"/>
    <w:rsid w:val="005F521F"/>
    <w:rsid w:val="005F5629"/>
    <w:rsid w:val="005F5CF1"/>
    <w:rsid w:val="00600479"/>
    <w:rsid w:val="00605CDD"/>
    <w:rsid w:val="00615669"/>
    <w:rsid w:val="00623283"/>
    <w:rsid w:val="00623BA1"/>
    <w:rsid w:val="006261E5"/>
    <w:rsid w:val="00627CC8"/>
    <w:rsid w:val="006346BC"/>
    <w:rsid w:val="006419B5"/>
    <w:rsid w:val="0064533C"/>
    <w:rsid w:val="00651C21"/>
    <w:rsid w:val="00657AEE"/>
    <w:rsid w:val="0066652A"/>
    <w:rsid w:val="0067626F"/>
    <w:rsid w:val="00677CE3"/>
    <w:rsid w:val="00680522"/>
    <w:rsid w:val="00681F08"/>
    <w:rsid w:val="00682167"/>
    <w:rsid w:val="00684839"/>
    <w:rsid w:val="00685F54"/>
    <w:rsid w:val="00690BD5"/>
    <w:rsid w:val="00691933"/>
    <w:rsid w:val="006926A1"/>
    <w:rsid w:val="006A49E8"/>
    <w:rsid w:val="006A5F02"/>
    <w:rsid w:val="006B6ADE"/>
    <w:rsid w:val="006C42AF"/>
    <w:rsid w:val="006C4505"/>
    <w:rsid w:val="006C4F09"/>
    <w:rsid w:val="006C58D4"/>
    <w:rsid w:val="006F0FE6"/>
    <w:rsid w:val="006F20A0"/>
    <w:rsid w:val="006F27B1"/>
    <w:rsid w:val="00711D8E"/>
    <w:rsid w:val="00712672"/>
    <w:rsid w:val="007176C2"/>
    <w:rsid w:val="00726085"/>
    <w:rsid w:val="00731050"/>
    <w:rsid w:val="00734E3F"/>
    <w:rsid w:val="00736985"/>
    <w:rsid w:val="00741021"/>
    <w:rsid w:val="0074330E"/>
    <w:rsid w:val="00745DF5"/>
    <w:rsid w:val="007513A0"/>
    <w:rsid w:val="00751EA8"/>
    <w:rsid w:val="0075292D"/>
    <w:rsid w:val="007539BE"/>
    <w:rsid w:val="00760C59"/>
    <w:rsid w:val="007619A5"/>
    <w:rsid w:val="0076250F"/>
    <w:rsid w:val="00767B5B"/>
    <w:rsid w:val="00771B53"/>
    <w:rsid w:val="00772B75"/>
    <w:rsid w:val="00773543"/>
    <w:rsid w:val="00773D48"/>
    <w:rsid w:val="0077682D"/>
    <w:rsid w:val="00777506"/>
    <w:rsid w:val="00784031"/>
    <w:rsid w:val="00787E1D"/>
    <w:rsid w:val="0079185A"/>
    <w:rsid w:val="00794D2C"/>
    <w:rsid w:val="007B100C"/>
    <w:rsid w:val="007B1552"/>
    <w:rsid w:val="007B246A"/>
    <w:rsid w:val="007B4865"/>
    <w:rsid w:val="007B6200"/>
    <w:rsid w:val="007B78E3"/>
    <w:rsid w:val="007C2540"/>
    <w:rsid w:val="007C6541"/>
    <w:rsid w:val="007C7418"/>
    <w:rsid w:val="007D0299"/>
    <w:rsid w:val="007D2C5E"/>
    <w:rsid w:val="007D2E25"/>
    <w:rsid w:val="007D3D41"/>
    <w:rsid w:val="007D672C"/>
    <w:rsid w:val="007D6731"/>
    <w:rsid w:val="007E11A5"/>
    <w:rsid w:val="007E6B58"/>
    <w:rsid w:val="007F041F"/>
    <w:rsid w:val="007F04A4"/>
    <w:rsid w:val="007F0A01"/>
    <w:rsid w:val="007F2F0B"/>
    <w:rsid w:val="007F3395"/>
    <w:rsid w:val="007F575D"/>
    <w:rsid w:val="00800AF1"/>
    <w:rsid w:val="00801B9F"/>
    <w:rsid w:val="00802F48"/>
    <w:rsid w:val="008057FD"/>
    <w:rsid w:val="00806138"/>
    <w:rsid w:val="0080764A"/>
    <w:rsid w:val="00807EFE"/>
    <w:rsid w:val="00813693"/>
    <w:rsid w:val="00816903"/>
    <w:rsid w:val="00820456"/>
    <w:rsid w:val="0082139B"/>
    <w:rsid w:val="00826A66"/>
    <w:rsid w:val="00831D45"/>
    <w:rsid w:val="00833F84"/>
    <w:rsid w:val="008409B1"/>
    <w:rsid w:val="00842D03"/>
    <w:rsid w:val="0084744E"/>
    <w:rsid w:val="008475F0"/>
    <w:rsid w:val="00847B4A"/>
    <w:rsid w:val="008518C3"/>
    <w:rsid w:val="00852B88"/>
    <w:rsid w:val="00860578"/>
    <w:rsid w:val="00862158"/>
    <w:rsid w:val="00864210"/>
    <w:rsid w:val="00866D4F"/>
    <w:rsid w:val="00871267"/>
    <w:rsid w:val="008733CC"/>
    <w:rsid w:val="00873DCC"/>
    <w:rsid w:val="00877EE8"/>
    <w:rsid w:val="00880004"/>
    <w:rsid w:val="00880F7D"/>
    <w:rsid w:val="00883A4B"/>
    <w:rsid w:val="00886068"/>
    <w:rsid w:val="00890D54"/>
    <w:rsid w:val="00891631"/>
    <w:rsid w:val="00891F09"/>
    <w:rsid w:val="00893F7A"/>
    <w:rsid w:val="008A2855"/>
    <w:rsid w:val="008A5AFE"/>
    <w:rsid w:val="008B039C"/>
    <w:rsid w:val="008B68D7"/>
    <w:rsid w:val="008B7D42"/>
    <w:rsid w:val="008C16F0"/>
    <w:rsid w:val="008C2F58"/>
    <w:rsid w:val="008C3218"/>
    <w:rsid w:val="008C3B71"/>
    <w:rsid w:val="008C4C40"/>
    <w:rsid w:val="008C5A0E"/>
    <w:rsid w:val="008E5A89"/>
    <w:rsid w:val="008E5BDB"/>
    <w:rsid w:val="008F0C31"/>
    <w:rsid w:val="008F56A8"/>
    <w:rsid w:val="00916770"/>
    <w:rsid w:val="0092138A"/>
    <w:rsid w:val="0092587C"/>
    <w:rsid w:val="0092677C"/>
    <w:rsid w:val="00926BFE"/>
    <w:rsid w:val="00926E60"/>
    <w:rsid w:val="00927D94"/>
    <w:rsid w:val="00930625"/>
    <w:rsid w:val="00930CA5"/>
    <w:rsid w:val="00934337"/>
    <w:rsid w:val="0094041F"/>
    <w:rsid w:val="009425B2"/>
    <w:rsid w:val="00943848"/>
    <w:rsid w:val="00944823"/>
    <w:rsid w:val="00953B22"/>
    <w:rsid w:val="0095486E"/>
    <w:rsid w:val="0096168A"/>
    <w:rsid w:val="00962C24"/>
    <w:rsid w:val="00970924"/>
    <w:rsid w:val="0097374B"/>
    <w:rsid w:val="00974F35"/>
    <w:rsid w:val="0098585D"/>
    <w:rsid w:val="00987966"/>
    <w:rsid w:val="00987CF7"/>
    <w:rsid w:val="009903F3"/>
    <w:rsid w:val="009929CB"/>
    <w:rsid w:val="00992C76"/>
    <w:rsid w:val="00995955"/>
    <w:rsid w:val="00997EBF"/>
    <w:rsid w:val="009A1822"/>
    <w:rsid w:val="009A1D1D"/>
    <w:rsid w:val="009A708E"/>
    <w:rsid w:val="009A7A8B"/>
    <w:rsid w:val="009B4D3B"/>
    <w:rsid w:val="009B55DE"/>
    <w:rsid w:val="009B7A05"/>
    <w:rsid w:val="009C1523"/>
    <w:rsid w:val="009D7321"/>
    <w:rsid w:val="009D7407"/>
    <w:rsid w:val="009E0866"/>
    <w:rsid w:val="009E0D12"/>
    <w:rsid w:val="009E17A3"/>
    <w:rsid w:val="009E3DDE"/>
    <w:rsid w:val="009E6EBC"/>
    <w:rsid w:val="009E720D"/>
    <w:rsid w:val="009E7BB8"/>
    <w:rsid w:val="009F5488"/>
    <w:rsid w:val="009F56D6"/>
    <w:rsid w:val="009F6423"/>
    <w:rsid w:val="009F7213"/>
    <w:rsid w:val="009F7F43"/>
    <w:rsid w:val="00A034B9"/>
    <w:rsid w:val="00A04781"/>
    <w:rsid w:val="00A06F7A"/>
    <w:rsid w:val="00A071E3"/>
    <w:rsid w:val="00A119A2"/>
    <w:rsid w:val="00A22D83"/>
    <w:rsid w:val="00A24A62"/>
    <w:rsid w:val="00A24D06"/>
    <w:rsid w:val="00A2681A"/>
    <w:rsid w:val="00A31C9F"/>
    <w:rsid w:val="00A362D4"/>
    <w:rsid w:val="00A4144F"/>
    <w:rsid w:val="00A470B8"/>
    <w:rsid w:val="00A5106F"/>
    <w:rsid w:val="00A52AFA"/>
    <w:rsid w:val="00A54034"/>
    <w:rsid w:val="00A55084"/>
    <w:rsid w:val="00A55354"/>
    <w:rsid w:val="00A56594"/>
    <w:rsid w:val="00A56F14"/>
    <w:rsid w:val="00A63FB4"/>
    <w:rsid w:val="00A64588"/>
    <w:rsid w:val="00A6615F"/>
    <w:rsid w:val="00A80F95"/>
    <w:rsid w:val="00A8197B"/>
    <w:rsid w:val="00A826F1"/>
    <w:rsid w:val="00A830B9"/>
    <w:rsid w:val="00A87ACA"/>
    <w:rsid w:val="00A907CD"/>
    <w:rsid w:val="00A936E9"/>
    <w:rsid w:val="00A94578"/>
    <w:rsid w:val="00A94CF2"/>
    <w:rsid w:val="00A9714F"/>
    <w:rsid w:val="00AA07E2"/>
    <w:rsid w:val="00AA4E6E"/>
    <w:rsid w:val="00AA7BE3"/>
    <w:rsid w:val="00AB359B"/>
    <w:rsid w:val="00AB5E7F"/>
    <w:rsid w:val="00AB775B"/>
    <w:rsid w:val="00AC164A"/>
    <w:rsid w:val="00AC302F"/>
    <w:rsid w:val="00AC438F"/>
    <w:rsid w:val="00AC6999"/>
    <w:rsid w:val="00AD6E91"/>
    <w:rsid w:val="00AD74E8"/>
    <w:rsid w:val="00AE463D"/>
    <w:rsid w:val="00AE4F07"/>
    <w:rsid w:val="00AF1B85"/>
    <w:rsid w:val="00AF2050"/>
    <w:rsid w:val="00AF7382"/>
    <w:rsid w:val="00B023CA"/>
    <w:rsid w:val="00B025C5"/>
    <w:rsid w:val="00B03CA8"/>
    <w:rsid w:val="00B070A3"/>
    <w:rsid w:val="00B13B29"/>
    <w:rsid w:val="00B17CA2"/>
    <w:rsid w:val="00B20E84"/>
    <w:rsid w:val="00B2269B"/>
    <w:rsid w:val="00B238D9"/>
    <w:rsid w:val="00B3200F"/>
    <w:rsid w:val="00B331DC"/>
    <w:rsid w:val="00B34FCD"/>
    <w:rsid w:val="00B37C19"/>
    <w:rsid w:val="00B40277"/>
    <w:rsid w:val="00B438D3"/>
    <w:rsid w:val="00B46FA7"/>
    <w:rsid w:val="00B47DA7"/>
    <w:rsid w:val="00B503C3"/>
    <w:rsid w:val="00B51A4A"/>
    <w:rsid w:val="00B55E19"/>
    <w:rsid w:val="00B57825"/>
    <w:rsid w:val="00B623A2"/>
    <w:rsid w:val="00B81B7B"/>
    <w:rsid w:val="00B85CD7"/>
    <w:rsid w:val="00B937B9"/>
    <w:rsid w:val="00BA4790"/>
    <w:rsid w:val="00BA4B6D"/>
    <w:rsid w:val="00BB199C"/>
    <w:rsid w:val="00BB254C"/>
    <w:rsid w:val="00BB26C5"/>
    <w:rsid w:val="00BB2DBB"/>
    <w:rsid w:val="00BB2E70"/>
    <w:rsid w:val="00BC13B1"/>
    <w:rsid w:val="00BC337C"/>
    <w:rsid w:val="00BC3DA6"/>
    <w:rsid w:val="00BC50E8"/>
    <w:rsid w:val="00BC7E0D"/>
    <w:rsid w:val="00BD4E8F"/>
    <w:rsid w:val="00BE0B27"/>
    <w:rsid w:val="00BE224C"/>
    <w:rsid w:val="00BE6C6D"/>
    <w:rsid w:val="00BE737D"/>
    <w:rsid w:val="00BE73DF"/>
    <w:rsid w:val="00BF225D"/>
    <w:rsid w:val="00BF2A97"/>
    <w:rsid w:val="00BF2FE6"/>
    <w:rsid w:val="00BF4DE6"/>
    <w:rsid w:val="00BF4E1C"/>
    <w:rsid w:val="00C0372D"/>
    <w:rsid w:val="00C11E37"/>
    <w:rsid w:val="00C13083"/>
    <w:rsid w:val="00C15AAB"/>
    <w:rsid w:val="00C212CB"/>
    <w:rsid w:val="00C23A5C"/>
    <w:rsid w:val="00C23B44"/>
    <w:rsid w:val="00C248F4"/>
    <w:rsid w:val="00C24B41"/>
    <w:rsid w:val="00C26AC1"/>
    <w:rsid w:val="00C26DC9"/>
    <w:rsid w:val="00C307A2"/>
    <w:rsid w:val="00C34F14"/>
    <w:rsid w:val="00C37399"/>
    <w:rsid w:val="00C40362"/>
    <w:rsid w:val="00C406F0"/>
    <w:rsid w:val="00C42CDE"/>
    <w:rsid w:val="00C440AB"/>
    <w:rsid w:val="00C44213"/>
    <w:rsid w:val="00C4553C"/>
    <w:rsid w:val="00C46275"/>
    <w:rsid w:val="00C500D7"/>
    <w:rsid w:val="00C5182A"/>
    <w:rsid w:val="00C55FB2"/>
    <w:rsid w:val="00C60837"/>
    <w:rsid w:val="00C6202A"/>
    <w:rsid w:val="00C63EE9"/>
    <w:rsid w:val="00C6626C"/>
    <w:rsid w:val="00C7297E"/>
    <w:rsid w:val="00C732FD"/>
    <w:rsid w:val="00C76523"/>
    <w:rsid w:val="00C77375"/>
    <w:rsid w:val="00C84EB8"/>
    <w:rsid w:val="00C84FE2"/>
    <w:rsid w:val="00C90AA1"/>
    <w:rsid w:val="00C921D5"/>
    <w:rsid w:val="00C97882"/>
    <w:rsid w:val="00CA37B1"/>
    <w:rsid w:val="00CA6262"/>
    <w:rsid w:val="00CA7DD8"/>
    <w:rsid w:val="00CB1959"/>
    <w:rsid w:val="00CB24FC"/>
    <w:rsid w:val="00CB5B91"/>
    <w:rsid w:val="00CB66AA"/>
    <w:rsid w:val="00CB6724"/>
    <w:rsid w:val="00CC15CD"/>
    <w:rsid w:val="00CC7E56"/>
    <w:rsid w:val="00CD0E4B"/>
    <w:rsid w:val="00CD3D64"/>
    <w:rsid w:val="00CD63A8"/>
    <w:rsid w:val="00CE0155"/>
    <w:rsid w:val="00CE5DF0"/>
    <w:rsid w:val="00CF22DA"/>
    <w:rsid w:val="00CF2E14"/>
    <w:rsid w:val="00CF375E"/>
    <w:rsid w:val="00CF3CE5"/>
    <w:rsid w:val="00CF51BF"/>
    <w:rsid w:val="00D00802"/>
    <w:rsid w:val="00D01271"/>
    <w:rsid w:val="00D0296C"/>
    <w:rsid w:val="00D05080"/>
    <w:rsid w:val="00D075E4"/>
    <w:rsid w:val="00D11437"/>
    <w:rsid w:val="00D124A9"/>
    <w:rsid w:val="00D146A2"/>
    <w:rsid w:val="00D15A00"/>
    <w:rsid w:val="00D2044B"/>
    <w:rsid w:val="00D2172A"/>
    <w:rsid w:val="00D217B7"/>
    <w:rsid w:val="00D3315E"/>
    <w:rsid w:val="00D33BF8"/>
    <w:rsid w:val="00D40AEB"/>
    <w:rsid w:val="00D44334"/>
    <w:rsid w:val="00D460DC"/>
    <w:rsid w:val="00D46517"/>
    <w:rsid w:val="00D64BD1"/>
    <w:rsid w:val="00D65A4A"/>
    <w:rsid w:val="00D65C74"/>
    <w:rsid w:val="00D71998"/>
    <w:rsid w:val="00D72760"/>
    <w:rsid w:val="00D73EFE"/>
    <w:rsid w:val="00D75AA8"/>
    <w:rsid w:val="00D75DF2"/>
    <w:rsid w:val="00D75E48"/>
    <w:rsid w:val="00D77A95"/>
    <w:rsid w:val="00D82629"/>
    <w:rsid w:val="00D85CF3"/>
    <w:rsid w:val="00D86954"/>
    <w:rsid w:val="00D871AC"/>
    <w:rsid w:val="00D8721C"/>
    <w:rsid w:val="00D876E3"/>
    <w:rsid w:val="00D91BC7"/>
    <w:rsid w:val="00D93435"/>
    <w:rsid w:val="00D97D72"/>
    <w:rsid w:val="00DA040F"/>
    <w:rsid w:val="00DA1A7A"/>
    <w:rsid w:val="00DA7D78"/>
    <w:rsid w:val="00DB5366"/>
    <w:rsid w:val="00DC5E65"/>
    <w:rsid w:val="00DC728B"/>
    <w:rsid w:val="00DD0BFB"/>
    <w:rsid w:val="00DD1986"/>
    <w:rsid w:val="00DD198E"/>
    <w:rsid w:val="00DD5613"/>
    <w:rsid w:val="00DE084C"/>
    <w:rsid w:val="00DE0CD3"/>
    <w:rsid w:val="00DE1AB6"/>
    <w:rsid w:val="00DE2330"/>
    <w:rsid w:val="00DE5DB5"/>
    <w:rsid w:val="00DF3B14"/>
    <w:rsid w:val="00E051D3"/>
    <w:rsid w:val="00E0662F"/>
    <w:rsid w:val="00E06FCF"/>
    <w:rsid w:val="00E0719C"/>
    <w:rsid w:val="00E21DA0"/>
    <w:rsid w:val="00E245D7"/>
    <w:rsid w:val="00E25CE2"/>
    <w:rsid w:val="00E33407"/>
    <w:rsid w:val="00E33C30"/>
    <w:rsid w:val="00E357B7"/>
    <w:rsid w:val="00E36F91"/>
    <w:rsid w:val="00E41C03"/>
    <w:rsid w:val="00E43906"/>
    <w:rsid w:val="00E47CE3"/>
    <w:rsid w:val="00E53800"/>
    <w:rsid w:val="00E6081F"/>
    <w:rsid w:val="00E619AA"/>
    <w:rsid w:val="00E65776"/>
    <w:rsid w:val="00E70926"/>
    <w:rsid w:val="00E8710B"/>
    <w:rsid w:val="00E87383"/>
    <w:rsid w:val="00EA04B2"/>
    <w:rsid w:val="00EA167E"/>
    <w:rsid w:val="00EA20F3"/>
    <w:rsid w:val="00EA22D4"/>
    <w:rsid w:val="00EA54C9"/>
    <w:rsid w:val="00EB03AB"/>
    <w:rsid w:val="00EB1C75"/>
    <w:rsid w:val="00EB2D0F"/>
    <w:rsid w:val="00ED18CC"/>
    <w:rsid w:val="00ED2831"/>
    <w:rsid w:val="00ED43D1"/>
    <w:rsid w:val="00ED560F"/>
    <w:rsid w:val="00ED665A"/>
    <w:rsid w:val="00ED759D"/>
    <w:rsid w:val="00EE334A"/>
    <w:rsid w:val="00EE4EE1"/>
    <w:rsid w:val="00EE72AC"/>
    <w:rsid w:val="00EF2730"/>
    <w:rsid w:val="00EF4574"/>
    <w:rsid w:val="00EF4CD0"/>
    <w:rsid w:val="00EF6543"/>
    <w:rsid w:val="00EF6CE6"/>
    <w:rsid w:val="00F03CF2"/>
    <w:rsid w:val="00F04393"/>
    <w:rsid w:val="00F04F3A"/>
    <w:rsid w:val="00F22FBE"/>
    <w:rsid w:val="00F26475"/>
    <w:rsid w:val="00F2684E"/>
    <w:rsid w:val="00F30723"/>
    <w:rsid w:val="00F32FF1"/>
    <w:rsid w:val="00F34544"/>
    <w:rsid w:val="00F51302"/>
    <w:rsid w:val="00F51D72"/>
    <w:rsid w:val="00F53EB0"/>
    <w:rsid w:val="00F5404C"/>
    <w:rsid w:val="00F5492C"/>
    <w:rsid w:val="00F57611"/>
    <w:rsid w:val="00F61E7B"/>
    <w:rsid w:val="00F64F32"/>
    <w:rsid w:val="00F65DC8"/>
    <w:rsid w:val="00F709C9"/>
    <w:rsid w:val="00F722ED"/>
    <w:rsid w:val="00F729EF"/>
    <w:rsid w:val="00F74E27"/>
    <w:rsid w:val="00F76913"/>
    <w:rsid w:val="00F77CAE"/>
    <w:rsid w:val="00F77ECA"/>
    <w:rsid w:val="00F82271"/>
    <w:rsid w:val="00F83428"/>
    <w:rsid w:val="00F84BAF"/>
    <w:rsid w:val="00F92C22"/>
    <w:rsid w:val="00F96BB9"/>
    <w:rsid w:val="00FA2343"/>
    <w:rsid w:val="00FA4E71"/>
    <w:rsid w:val="00FB59E2"/>
    <w:rsid w:val="00FB5AAC"/>
    <w:rsid w:val="00FB5D09"/>
    <w:rsid w:val="00FB670A"/>
    <w:rsid w:val="00FC4E8A"/>
    <w:rsid w:val="00FD0E7B"/>
    <w:rsid w:val="00FD5597"/>
    <w:rsid w:val="00FE123F"/>
    <w:rsid w:val="00FE6D51"/>
    <w:rsid w:val="00FF09F3"/>
    <w:rsid w:val="00FF1B4F"/>
  </w:rsids>
  <m:mathPr>
    <m:mathFont m:val="Cambria Math"/>
    <m:brkBin m:val="before"/>
    <m:brkBinSub m:val="--"/>
    <m:smallFrac m:val="0"/>
    <m:dispDef/>
    <m:lMargin m:val="0"/>
    <m:rMargin m:val="0"/>
    <m:defJc m:val="centerGroup"/>
    <m:wrapIndent m:val="1440"/>
    <m:intLim m:val="subSup"/>
    <m:naryLim m:val="undOvr"/>
  </m:mathPr>
  <w:themeFontLang w:val="en-AU" w:bidi="km-K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7"/>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8"/>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before="480"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uiPriority w:val="39"/>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9"/>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10"/>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paragraph" w:styleId="ListParagraph">
    <w:name w:val="List Paragraph"/>
    <w:aliases w:val="List Paragraph (numbered (a)),Normal 2,Main numbered paragraph,Bullet Paragraph,NumberedParas,Akapit z listą BS,List Paragraph 1,Bullets,References,ANNEX,List Paragraph1,List Paragraph2,Numbered List Paragraph,ReferencesCxSpLast,Liste 1,L"/>
    <w:basedOn w:val="Normal"/>
    <w:link w:val="ListParagraphChar"/>
    <w:uiPriority w:val="34"/>
    <w:qFormat/>
    <w:rsid w:val="00E36F91"/>
    <w:pPr>
      <w:suppressAutoHyphens w:val="0"/>
      <w:spacing w:before="0" w:after="0" w:line="240" w:lineRule="auto"/>
      <w:ind w:left="720"/>
      <w:contextualSpacing/>
    </w:pPr>
    <w:rPr>
      <w:rFonts w:ascii="Times New Roman" w:eastAsia="Times New Roman" w:hAnsi="Times New Roman" w:cs="Times New Roman"/>
      <w:color w:val="auto"/>
      <w:sz w:val="24"/>
      <w:szCs w:val="24"/>
      <w:lang w:val="en-AU"/>
    </w:rPr>
  </w:style>
  <w:style w:type="character" w:customStyle="1" w:styleId="ListParagraphChar">
    <w:name w:val="List Paragraph Char"/>
    <w:aliases w:val="List Paragraph (numbered (a)) Char,Normal 2 Char,Main numbered paragraph Char,Bullet Paragraph Char,NumberedParas Char,Akapit z listą BS Char,List Paragraph 1 Char,Bullets Char,References Char,ANNEX Char,List Paragraph1 Char,L Char"/>
    <w:basedOn w:val="DefaultParagraphFont"/>
    <w:link w:val="ListParagraph"/>
    <w:uiPriority w:val="34"/>
    <w:qFormat/>
    <w:locked/>
    <w:rsid w:val="00E36F91"/>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C7418"/>
    <w:rPr>
      <w:color w:val="800080" w:themeColor="followedHyperlink"/>
      <w:u w:val="single"/>
    </w:rPr>
  </w:style>
  <w:style w:type="paragraph" w:customStyle="1" w:styleId="Default">
    <w:name w:val="Default"/>
    <w:basedOn w:val="Normal"/>
    <w:uiPriority w:val="99"/>
    <w:rsid w:val="00726085"/>
    <w:pPr>
      <w:suppressAutoHyphens w:val="0"/>
      <w:autoSpaceDE w:val="0"/>
      <w:autoSpaceDN w:val="0"/>
      <w:spacing w:before="0" w:after="0" w:line="240" w:lineRule="auto"/>
    </w:pPr>
    <w:rPr>
      <w:rFonts w:ascii="Calibri" w:hAnsi="Calibri" w:cs="Times New Roman"/>
      <w:color w:val="000000"/>
      <w:sz w:val="24"/>
      <w:szCs w:val="24"/>
      <w:lang w:val="en-AU" w:eastAsia="en-AU" w:bidi="km-KH"/>
    </w:rPr>
  </w:style>
  <w:style w:type="character" w:styleId="CommentReference">
    <w:name w:val="annotation reference"/>
    <w:basedOn w:val="DefaultParagraphFont"/>
    <w:uiPriority w:val="99"/>
    <w:semiHidden/>
    <w:unhideWhenUsed/>
    <w:rsid w:val="00112B17"/>
    <w:rPr>
      <w:sz w:val="16"/>
      <w:szCs w:val="16"/>
    </w:rPr>
  </w:style>
  <w:style w:type="paragraph" w:styleId="CommentText">
    <w:name w:val="annotation text"/>
    <w:basedOn w:val="Normal"/>
    <w:link w:val="CommentTextChar"/>
    <w:uiPriority w:val="99"/>
    <w:semiHidden/>
    <w:unhideWhenUsed/>
    <w:rsid w:val="00112B17"/>
    <w:pPr>
      <w:spacing w:line="240" w:lineRule="auto"/>
    </w:pPr>
    <w:rPr>
      <w:sz w:val="20"/>
      <w:szCs w:val="20"/>
    </w:rPr>
  </w:style>
  <w:style w:type="character" w:customStyle="1" w:styleId="CommentTextChar">
    <w:name w:val="Comment Text Char"/>
    <w:basedOn w:val="DefaultParagraphFont"/>
    <w:link w:val="CommentText"/>
    <w:uiPriority w:val="99"/>
    <w:semiHidden/>
    <w:rsid w:val="00112B17"/>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112B17"/>
    <w:rPr>
      <w:b/>
      <w:bCs/>
    </w:rPr>
  </w:style>
  <w:style w:type="character" w:customStyle="1" w:styleId="CommentSubjectChar">
    <w:name w:val="Comment Subject Char"/>
    <w:basedOn w:val="CommentTextChar"/>
    <w:link w:val="CommentSubject"/>
    <w:uiPriority w:val="99"/>
    <w:semiHidden/>
    <w:rsid w:val="00112B17"/>
    <w:rPr>
      <w:b/>
      <w:bCs/>
      <w:color w:val="495965" w:themeColor="text2"/>
      <w:sz w:val="20"/>
      <w:szCs w:val="20"/>
      <w:lang w:val="en-GB"/>
    </w:rPr>
  </w:style>
  <w:style w:type="paragraph" w:styleId="Revision">
    <w:name w:val="Revision"/>
    <w:hidden/>
    <w:uiPriority w:val="99"/>
    <w:semiHidden/>
    <w:rsid w:val="00CF3CE5"/>
    <w:pPr>
      <w:spacing w:after="0" w:line="240" w:lineRule="auto"/>
    </w:pPr>
    <w:rPr>
      <w:color w:val="495965" w:themeColor="text2"/>
      <w:lang w:val="en-GB"/>
    </w:rPr>
  </w:style>
  <w:style w:type="paragraph" w:styleId="EndnoteText">
    <w:name w:val="endnote text"/>
    <w:basedOn w:val="Normal"/>
    <w:link w:val="EndnoteTextChar"/>
    <w:uiPriority w:val="99"/>
    <w:semiHidden/>
    <w:unhideWhenUsed/>
    <w:rsid w:val="00C26DC9"/>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C26DC9"/>
    <w:rPr>
      <w:color w:val="495965" w:themeColor="text2"/>
      <w:sz w:val="20"/>
      <w:szCs w:val="20"/>
      <w:lang w:val="en-GB"/>
    </w:rPr>
  </w:style>
  <w:style w:type="character" w:styleId="EndnoteReference">
    <w:name w:val="endnote reference"/>
    <w:basedOn w:val="DefaultParagraphFont"/>
    <w:uiPriority w:val="99"/>
    <w:semiHidden/>
    <w:unhideWhenUsed/>
    <w:rsid w:val="00C26D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007">
      <w:bodyDiv w:val="1"/>
      <w:marLeft w:val="0"/>
      <w:marRight w:val="0"/>
      <w:marTop w:val="0"/>
      <w:marBottom w:val="0"/>
      <w:divBdr>
        <w:top w:val="none" w:sz="0" w:space="0" w:color="auto"/>
        <w:left w:val="none" w:sz="0" w:space="0" w:color="auto"/>
        <w:bottom w:val="none" w:sz="0" w:space="0" w:color="auto"/>
        <w:right w:val="none" w:sz="0" w:space="0" w:color="auto"/>
      </w:divBdr>
    </w:div>
    <w:div w:id="60251449">
      <w:bodyDiv w:val="1"/>
      <w:marLeft w:val="0"/>
      <w:marRight w:val="0"/>
      <w:marTop w:val="0"/>
      <w:marBottom w:val="0"/>
      <w:divBdr>
        <w:top w:val="none" w:sz="0" w:space="0" w:color="auto"/>
        <w:left w:val="none" w:sz="0" w:space="0" w:color="auto"/>
        <w:bottom w:val="none" w:sz="0" w:space="0" w:color="auto"/>
        <w:right w:val="none" w:sz="0" w:space="0" w:color="auto"/>
      </w:divBdr>
    </w:div>
    <w:div w:id="172956458">
      <w:bodyDiv w:val="1"/>
      <w:marLeft w:val="0"/>
      <w:marRight w:val="0"/>
      <w:marTop w:val="0"/>
      <w:marBottom w:val="0"/>
      <w:divBdr>
        <w:top w:val="none" w:sz="0" w:space="0" w:color="auto"/>
        <w:left w:val="none" w:sz="0" w:space="0" w:color="auto"/>
        <w:bottom w:val="none" w:sz="0" w:space="0" w:color="auto"/>
        <w:right w:val="none" w:sz="0" w:space="0" w:color="auto"/>
      </w:divBdr>
    </w:div>
    <w:div w:id="242878027">
      <w:bodyDiv w:val="1"/>
      <w:marLeft w:val="0"/>
      <w:marRight w:val="0"/>
      <w:marTop w:val="0"/>
      <w:marBottom w:val="0"/>
      <w:divBdr>
        <w:top w:val="none" w:sz="0" w:space="0" w:color="auto"/>
        <w:left w:val="none" w:sz="0" w:space="0" w:color="auto"/>
        <w:bottom w:val="none" w:sz="0" w:space="0" w:color="auto"/>
        <w:right w:val="none" w:sz="0" w:space="0" w:color="auto"/>
      </w:divBdr>
    </w:div>
    <w:div w:id="259142372">
      <w:bodyDiv w:val="1"/>
      <w:marLeft w:val="0"/>
      <w:marRight w:val="0"/>
      <w:marTop w:val="0"/>
      <w:marBottom w:val="0"/>
      <w:divBdr>
        <w:top w:val="none" w:sz="0" w:space="0" w:color="auto"/>
        <w:left w:val="none" w:sz="0" w:space="0" w:color="auto"/>
        <w:bottom w:val="none" w:sz="0" w:space="0" w:color="auto"/>
        <w:right w:val="none" w:sz="0" w:space="0" w:color="auto"/>
      </w:divBdr>
    </w:div>
    <w:div w:id="271741573">
      <w:bodyDiv w:val="1"/>
      <w:marLeft w:val="0"/>
      <w:marRight w:val="0"/>
      <w:marTop w:val="0"/>
      <w:marBottom w:val="0"/>
      <w:divBdr>
        <w:top w:val="none" w:sz="0" w:space="0" w:color="auto"/>
        <w:left w:val="none" w:sz="0" w:space="0" w:color="auto"/>
        <w:bottom w:val="none" w:sz="0" w:space="0" w:color="auto"/>
        <w:right w:val="none" w:sz="0" w:space="0" w:color="auto"/>
      </w:divBdr>
    </w:div>
    <w:div w:id="401610330">
      <w:bodyDiv w:val="1"/>
      <w:marLeft w:val="0"/>
      <w:marRight w:val="0"/>
      <w:marTop w:val="0"/>
      <w:marBottom w:val="0"/>
      <w:divBdr>
        <w:top w:val="none" w:sz="0" w:space="0" w:color="auto"/>
        <w:left w:val="none" w:sz="0" w:space="0" w:color="auto"/>
        <w:bottom w:val="none" w:sz="0" w:space="0" w:color="auto"/>
        <w:right w:val="none" w:sz="0" w:space="0" w:color="auto"/>
      </w:divBdr>
    </w:div>
    <w:div w:id="544417319">
      <w:bodyDiv w:val="1"/>
      <w:marLeft w:val="0"/>
      <w:marRight w:val="0"/>
      <w:marTop w:val="0"/>
      <w:marBottom w:val="0"/>
      <w:divBdr>
        <w:top w:val="none" w:sz="0" w:space="0" w:color="auto"/>
        <w:left w:val="none" w:sz="0" w:space="0" w:color="auto"/>
        <w:bottom w:val="none" w:sz="0" w:space="0" w:color="auto"/>
        <w:right w:val="none" w:sz="0" w:space="0" w:color="auto"/>
      </w:divBdr>
    </w:div>
    <w:div w:id="556010558">
      <w:bodyDiv w:val="1"/>
      <w:marLeft w:val="0"/>
      <w:marRight w:val="0"/>
      <w:marTop w:val="0"/>
      <w:marBottom w:val="0"/>
      <w:divBdr>
        <w:top w:val="none" w:sz="0" w:space="0" w:color="auto"/>
        <w:left w:val="none" w:sz="0" w:space="0" w:color="auto"/>
        <w:bottom w:val="none" w:sz="0" w:space="0" w:color="auto"/>
        <w:right w:val="none" w:sz="0" w:space="0" w:color="auto"/>
      </w:divBdr>
    </w:div>
    <w:div w:id="586420427">
      <w:bodyDiv w:val="1"/>
      <w:marLeft w:val="0"/>
      <w:marRight w:val="0"/>
      <w:marTop w:val="0"/>
      <w:marBottom w:val="0"/>
      <w:divBdr>
        <w:top w:val="none" w:sz="0" w:space="0" w:color="auto"/>
        <w:left w:val="none" w:sz="0" w:space="0" w:color="auto"/>
        <w:bottom w:val="none" w:sz="0" w:space="0" w:color="auto"/>
        <w:right w:val="none" w:sz="0" w:space="0" w:color="auto"/>
      </w:divBdr>
    </w:div>
    <w:div w:id="796027484">
      <w:bodyDiv w:val="1"/>
      <w:marLeft w:val="0"/>
      <w:marRight w:val="0"/>
      <w:marTop w:val="0"/>
      <w:marBottom w:val="0"/>
      <w:divBdr>
        <w:top w:val="none" w:sz="0" w:space="0" w:color="auto"/>
        <w:left w:val="none" w:sz="0" w:space="0" w:color="auto"/>
        <w:bottom w:val="none" w:sz="0" w:space="0" w:color="auto"/>
        <w:right w:val="none" w:sz="0" w:space="0" w:color="auto"/>
      </w:divBdr>
    </w:div>
    <w:div w:id="805197833">
      <w:bodyDiv w:val="1"/>
      <w:marLeft w:val="0"/>
      <w:marRight w:val="0"/>
      <w:marTop w:val="0"/>
      <w:marBottom w:val="0"/>
      <w:divBdr>
        <w:top w:val="none" w:sz="0" w:space="0" w:color="auto"/>
        <w:left w:val="none" w:sz="0" w:space="0" w:color="auto"/>
        <w:bottom w:val="none" w:sz="0" w:space="0" w:color="auto"/>
        <w:right w:val="none" w:sz="0" w:space="0" w:color="auto"/>
      </w:divBdr>
    </w:div>
    <w:div w:id="839465809">
      <w:bodyDiv w:val="1"/>
      <w:marLeft w:val="0"/>
      <w:marRight w:val="0"/>
      <w:marTop w:val="0"/>
      <w:marBottom w:val="0"/>
      <w:divBdr>
        <w:top w:val="none" w:sz="0" w:space="0" w:color="auto"/>
        <w:left w:val="none" w:sz="0" w:space="0" w:color="auto"/>
        <w:bottom w:val="none" w:sz="0" w:space="0" w:color="auto"/>
        <w:right w:val="none" w:sz="0" w:space="0" w:color="auto"/>
      </w:divBdr>
    </w:div>
    <w:div w:id="872613478">
      <w:bodyDiv w:val="1"/>
      <w:marLeft w:val="0"/>
      <w:marRight w:val="0"/>
      <w:marTop w:val="0"/>
      <w:marBottom w:val="0"/>
      <w:divBdr>
        <w:top w:val="none" w:sz="0" w:space="0" w:color="auto"/>
        <w:left w:val="none" w:sz="0" w:space="0" w:color="auto"/>
        <w:bottom w:val="none" w:sz="0" w:space="0" w:color="auto"/>
        <w:right w:val="none" w:sz="0" w:space="0" w:color="auto"/>
      </w:divBdr>
    </w:div>
    <w:div w:id="919220369">
      <w:bodyDiv w:val="1"/>
      <w:marLeft w:val="0"/>
      <w:marRight w:val="0"/>
      <w:marTop w:val="0"/>
      <w:marBottom w:val="0"/>
      <w:divBdr>
        <w:top w:val="none" w:sz="0" w:space="0" w:color="auto"/>
        <w:left w:val="none" w:sz="0" w:space="0" w:color="auto"/>
        <w:bottom w:val="none" w:sz="0" w:space="0" w:color="auto"/>
        <w:right w:val="none" w:sz="0" w:space="0" w:color="auto"/>
      </w:divBdr>
    </w:div>
    <w:div w:id="986083474">
      <w:bodyDiv w:val="1"/>
      <w:marLeft w:val="0"/>
      <w:marRight w:val="0"/>
      <w:marTop w:val="0"/>
      <w:marBottom w:val="0"/>
      <w:divBdr>
        <w:top w:val="none" w:sz="0" w:space="0" w:color="auto"/>
        <w:left w:val="none" w:sz="0" w:space="0" w:color="auto"/>
        <w:bottom w:val="none" w:sz="0" w:space="0" w:color="auto"/>
        <w:right w:val="none" w:sz="0" w:space="0" w:color="auto"/>
      </w:divBdr>
    </w:div>
    <w:div w:id="1164129777">
      <w:bodyDiv w:val="1"/>
      <w:marLeft w:val="0"/>
      <w:marRight w:val="0"/>
      <w:marTop w:val="0"/>
      <w:marBottom w:val="0"/>
      <w:divBdr>
        <w:top w:val="none" w:sz="0" w:space="0" w:color="auto"/>
        <w:left w:val="none" w:sz="0" w:space="0" w:color="auto"/>
        <w:bottom w:val="none" w:sz="0" w:space="0" w:color="auto"/>
        <w:right w:val="none" w:sz="0" w:space="0" w:color="auto"/>
      </w:divBdr>
    </w:div>
    <w:div w:id="1485733043">
      <w:bodyDiv w:val="1"/>
      <w:marLeft w:val="0"/>
      <w:marRight w:val="0"/>
      <w:marTop w:val="0"/>
      <w:marBottom w:val="0"/>
      <w:divBdr>
        <w:top w:val="none" w:sz="0" w:space="0" w:color="auto"/>
        <w:left w:val="none" w:sz="0" w:space="0" w:color="auto"/>
        <w:bottom w:val="none" w:sz="0" w:space="0" w:color="auto"/>
        <w:right w:val="none" w:sz="0" w:space="0" w:color="auto"/>
      </w:divBdr>
    </w:div>
    <w:div w:id="1510366142">
      <w:bodyDiv w:val="1"/>
      <w:marLeft w:val="0"/>
      <w:marRight w:val="0"/>
      <w:marTop w:val="0"/>
      <w:marBottom w:val="0"/>
      <w:divBdr>
        <w:top w:val="none" w:sz="0" w:space="0" w:color="auto"/>
        <w:left w:val="none" w:sz="0" w:space="0" w:color="auto"/>
        <w:bottom w:val="none" w:sz="0" w:space="0" w:color="auto"/>
        <w:right w:val="none" w:sz="0" w:space="0" w:color="auto"/>
      </w:divBdr>
    </w:div>
    <w:div w:id="1510868859">
      <w:bodyDiv w:val="1"/>
      <w:marLeft w:val="0"/>
      <w:marRight w:val="0"/>
      <w:marTop w:val="0"/>
      <w:marBottom w:val="0"/>
      <w:divBdr>
        <w:top w:val="none" w:sz="0" w:space="0" w:color="auto"/>
        <w:left w:val="none" w:sz="0" w:space="0" w:color="auto"/>
        <w:bottom w:val="none" w:sz="0" w:space="0" w:color="auto"/>
        <w:right w:val="none" w:sz="0" w:space="0" w:color="auto"/>
      </w:divBdr>
    </w:div>
    <w:div w:id="1618558709">
      <w:bodyDiv w:val="1"/>
      <w:marLeft w:val="0"/>
      <w:marRight w:val="0"/>
      <w:marTop w:val="0"/>
      <w:marBottom w:val="0"/>
      <w:divBdr>
        <w:top w:val="none" w:sz="0" w:space="0" w:color="auto"/>
        <w:left w:val="none" w:sz="0" w:space="0" w:color="auto"/>
        <w:bottom w:val="none" w:sz="0" w:space="0" w:color="auto"/>
        <w:right w:val="none" w:sz="0" w:space="0" w:color="auto"/>
      </w:divBdr>
    </w:div>
    <w:div w:id="1619798228">
      <w:bodyDiv w:val="1"/>
      <w:marLeft w:val="0"/>
      <w:marRight w:val="0"/>
      <w:marTop w:val="0"/>
      <w:marBottom w:val="0"/>
      <w:divBdr>
        <w:top w:val="none" w:sz="0" w:space="0" w:color="auto"/>
        <w:left w:val="none" w:sz="0" w:space="0" w:color="auto"/>
        <w:bottom w:val="none" w:sz="0" w:space="0" w:color="auto"/>
        <w:right w:val="none" w:sz="0" w:space="0" w:color="auto"/>
      </w:divBdr>
    </w:div>
    <w:div w:id="1684354430">
      <w:bodyDiv w:val="1"/>
      <w:marLeft w:val="0"/>
      <w:marRight w:val="0"/>
      <w:marTop w:val="0"/>
      <w:marBottom w:val="0"/>
      <w:divBdr>
        <w:top w:val="none" w:sz="0" w:space="0" w:color="auto"/>
        <w:left w:val="none" w:sz="0" w:space="0" w:color="auto"/>
        <w:bottom w:val="none" w:sz="0" w:space="0" w:color="auto"/>
        <w:right w:val="none" w:sz="0" w:space="0" w:color="auto"/>
      </w:divBdr>
    </w:div>
    <w:div w:id="1688562217">
      <w:bodyDiv w:val="1"/>
      <w:marLeft w:val="0"/>
      <w:marRight w:val="0"/>
      <w:marTop w:val="0"/>
      <w:marBottom w:val="0"/>
      <w:divBdr>
        <w:top w:val="none" w:sz="0" w:space="0" w:color="auto"/>
        <w:left w:val="none" w:sz="0" w:space="0" w:color="auto"/>
        <w:bottom w:val="none" w:sz="0" w:space="0" w:color="auto"/>
        <w:right w:val="none" w:sz="0" w:space="0" w:color="auto"/>
      </w:divBdr>
    </w:div>
    <w:div w:id="1953591535">
      <w:bodyDiv w:val="1"/>
      <w:marLeft w:val="0"/>
      <w:marRight w:val="0"/>
      <w:marTop w:val="0"/>
      <w:marBottom w:val="0"/>
      <w:divBdr>
        <w:top w:val="none" w:sz="0" w:space="0" w:color="auto"/>
        <w:left w:val="none" w:sz="0" w:space="0" w:color="auto"/>
        <w:bottom w:val="none" w:sz="0" w:space="0" w:color="auto"/>
        <w:right w:val="none" w:sz="0" w:space="0" w:color="auto"/>
      </w:divBdr>
    </w:div>
    <w:div w:id="1972401551">
      <w:bodyDiv w:val="1"/>
      <w:marLeft w:val="0"/>
      <w:marRight w:val="0"/>
      <w:marTop w:val="0"/>
      <w:marBottom w:val="0"/>
      <w:divBdr>
        <w:top w:val="none" w:sz="0" w:space="0" w:color="auto"/>
        <w:left w:val="none" w:sz="0" w:space="0" w:color="auto"/>
        <w:bottom w:val="none" w:sz="0" w:space="0" w:color="auto"/>
        <w:right w:val="none" w:sz="0" w:space="0" w:color="auto"/>
      </w:divBdr>
    </w:div>
    <w:div w:id="2018998694">
      <w:bodyDiv w:val="1"/>
      <w:marLeft w:val="0"/>
      <w:marRight w:val="0"/>
      <w:marTop w:val="0"/>
      <w:marBottom w:val="0"/>
      <w:divBdr>
        <w:top w:val="none" w:sz="0" w:space="0" w:color="auto"/>
        <w:left w:val="none" w:sz="0" w:space="0" w:color="auto"/>
        <w:bottom w:val="none" w:sz="0" w:space="0" w:color="auto"/>
        <w:right w:val="none" w:sz="0" w:space="0" w:color="auto"/>
      </w:divBdr>
    </w:div>
    <w:div w:id="203222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5.JPG"/><Relationship Id="rId26" Type="http://schemas.openxmlformats.org/officeDocument/2006/relationships/image" Target="media/image12.png"/><Relationship Id="rId39" Type="http://schemas.openxmlformats.org/officeDocument/2006/relationships/theme" Target="theme/theme1.xml"/><Relationship Id="rId21" Type="http://schemas.openxmlformats.org/officeDocument/2006/relationships/image" Target="media/image8.png"/><Relationship Id="rId34" Type="http://schemas.openxmlformats.org/officeDocument/2006/relationships/header" Target="header5.xml"/><Relationship Id="rId42"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fat.gov.au/about-us/publications/Pages/aid-investment-plan-aip-cambodia-2015-2018.aspx" TargetMode="External"/><Relationship Id="rId20" Type="http://schemas.openxmlformats.org/officeDocument/2006/relationships/image" Target="media/image7.jpeg"/><Relationship Id="rId29" Type="http://schemas.openxmlformats.org/officeDocument/2006/relationships/image" Target="media/image15.png"/><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aciar.gov.au/country/cambodia" TargetMode="External"/><Relationship Id="rId32" Type="http://schemas.openxmlformats.org/officeDocument/2006/relationships/hyperlink" Target="https://dfat.gov.au/geo/east-asia/development-assistance/Pages/development-assistance-asean-mekong.aspx" TargetMode="External"/><Relationship Id="rId37" Type="http://schemas.openxmlformats.org/officeDocument/2006/relationships/header" Target="header7.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0.png"/><Relationship Id="rId28" Type="http://schemas.openxmlformats.org/officeDocument/2006/relationships/image" Target="media/image14.png"/><Relationship Id="rId36" Type="http://schemas.openxmlformats.org/officeDocument/2006/relationships/footer" Target="footer4.xml"/><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hyperlink" Target="https://dfat.gov.au/aid/who-we-work-with/ngos/ancp/Pages/australian-ngo-cooperation-program.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9.png"/><Relationship Id="rId27" Type="http://schemas.openxmlformats.org/officeDocument/2006/relationships/image" Target="media/image13.jpeg"/><Relationship Id="rId30" Type="http://schemas.openxmlformats.org/officeDocument/2006/relationships/image" Target="media/image16.png"/><Relationship Id="rId35" Type="http://schemas.openxmlformats.org/officeDocument/2006/relationships/header" Target="header6.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4.wmf"/><Relationship Id="rId25" Type="http://schemas.openxmlformats.org/officeDocument/2006/relationships/image" Target="media/image11.jpeg"/><Relationship Id="rId33" Type="http://schemas.openxmlformats.org/officeDocument/2006/relationships/header" Target="header4.xml"/><Relationship Id="rId38"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17.png"/></Relationships>
</file>

<file path=word/_rels/footnotes.xml.rels><?xml version="1.0" encoding="UTF-8" standalone="yes"?>
<Relationships xmlns="http://schemas.openxmlformats.org/package/2006/relationships"><Relationship Id="rId3" Type="http://schemas.openxmlformats.org/officeDocument/2006/relationships/hyperlink" Target="https://dfat.gov.au/about-us/publications/Pages/aid-investment-plan-aip-cambodia-2015-2018.aspx" TargetMode="External"/><Relationship Id="rId7" Type="http://schemas.openxmlformats.org/officeDocument/2006/relationships/hyperlink" Target="https://dfat.gov.au/geo/east-asia/development-assistance/Pages/development-assistance-asean-mekong.aspx" TargetMode="External"/><Relationship Id="rId2" Type="http://schemas.openxmlformats.org/officeDocument/2006/relationships/hyperlink" Target="http://documents.worldbank.org/curated/en/132951507537966126/pdf/120298-WBAR-v1-PUBLIC.pdf" TargetMode="External"/><Relationship Id="rId1" Type="http://schemas.openxmlformats.org/officeDocument/2006/relationships/hyperlink" Target="http://www.eastasiaforum.org/2018/07/24/cambodias-growth-metrics-need-nuance-to-uplift-citizens/" TargetMode="External"/><Relationship Id="rId6" Type="http://schemas.openxmlformats.org/officeDocument/2006/relationships/hyperlink" Target="https://dfat.gov.au/aid/who-we-work-with/ngos/ancp/Pages/australian-ngo-cooperation-program.aspx" TargetMode="External"/><Relationship Id="rId5" Type="http://schemas.openxmlformats.org/officeDocument/2006/relationships/hyperlink" Target="http://aciar.gov.au/country/cambodia" TargetMode="External"/><Relationship Id="rId4" Type="http://schemas.openxmlformats.org/officeDocument/2006/relationships/hyperlink" Target="http://www.pressreleasepoint.com/uspto-announces-2018-patents-humanity-winne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9F736A0-B546-489C-B3A6-F1CCE6375E64}"/>
</file>

<file path=customXml/itemProps2.xml><?xml version="1.0" encoding="utf-8"?>
<ds:datastoreItem xmlns:ds="http://schemas.openxmlformats.org/officeDocument/2006/customXml" ds:itemID="{9A6189B5-E710-4488-991E-BBDA8418DFB9}"/>
</file>

<file path=customXml/itemProps3.xml><?xml version="1.0" encoding="utf-8"?>
<ds:datastoreItem xmlns:ds="http://schemas.openxmlformats.org/officeDocument/2006/customXml" ds:itemID="{B994FB09-70B5-4993-9D0A-0849D0D609B3}"/>
</file>

<file path=customXml/itemProps4.xml><?xml version="1.0" encoding="utf-8"?>
<ds:datastoreItem xmlns:ds="http://schemas.openxmlformats.org/officeDocument/2006/customXml" ds:itemID="{3433D090-B971-499C-9E8F-CF06AF16EAA5}"/>
</file>

<file path=docProps/app.xml><?xml version="1.0" encoding="utf-8"?>
<Properties xmlns="http://schemas.openxmlformats.org/officeDocument/2006/extended-properties" xmlns:vt="http://schemas.openxmlformats.org/officeDocument/2006/docPropsVTypes">
  <Template>Normal.dotm</Template>
  <TotalTime>0</TotalTime>
  <Pages>30</Pages>
  <Words>12143</Words>
  <Characters>69219</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Cambodia Aid Program Performance Report 2017-18</dc:title>
  <dc:creator/>
  <cp:lastModifiedBy/>
  <cp:revision>1</cp:revision>
  <dcterms:created xsi:type="dcterms:W3CDTF">2018-09-18T04:58:00Z</dcterms:created>
  <dcterms:modified xsi:type="dcterms:W3CDTF">2018-09-18T04:58:00Z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0bd6dbd6-52b6-4ca6-b00e-16fb9b2515e8</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1195400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