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21653" w14:textId="77777777" w:rsidR="0059146A" w:rsidRDefault="0059146A" w:rsidP="005B5769">
      <w:pPr>
        <w:pStyle w:val="ListBullet"/>
        <w:tabs>
          <w:tab w:val="clear" w:pos="284"/>
        </w:tabs>
      </w:pPr>
    </w:p>
    <w:p w14:paraId="1D1F6391" w14:textId="77777777" w:rsidR="0059146A" w:rsidRDefault="0059146A" w:rsidP="005B5769">
      <w:pPr>
        <w:pStyle w:val="ListBullet"/>
        <w:tabs>
          <w:tab w:val="clear" w:pos="284"/>
        </w:tabs>
      </w:pPr>
    </w:p>
    <w:p w14:paraId="583B7D5A" w14:textId="77777777" w:rsidR="0059146A" w:rsidRPr="0059146A" w:rsidRDefault="0059146A" w:rsidP="005B5769">
      <w:pPr>
        <w:pStyle w:val="ListBullet"/>
        <w:tabs>
          <w:tab w:val="clear" w:pos="284"/>
        </w:tabs>
      </w:pPr>
    </w:p>
    <w:p w14:paraId="7D44D110" w14:textId="77777777" w:rsidR="00A56F14" w:rsidRPr="0059146A" w:rsidRDefault="00A56F14" w:rsidP="0059146A">
      <w:pPr>
        <w:pStyle w:val="ListBullet"/>
        <w:tabs>
          <w:tab w:val="clear" w:pos="284"/>
        </w:tabs>
      </w:pPr>
    </w:p>
    <w:p w14:paraId="54155E2E" w14:textId="77777777" w:rsidR="00A56F14" w:rsidRDefault="00A56F14" w:rsidP="00A56F14">
      <w:pPr>
        <w:spacing w:after="200" w:line="276" w:lineRule="auto"/>
        <w:rPr>
          <w:b/>
        </w:rPr>
      </w:pPr>
    </w:p>
    <w:p w14:paraId="52CADEDB" w14:textId="77777777" w:rsidR="00A56F14" w:rsidRDefault="00A56F14" w:rsidP="00A56F14">
      <w:pPr>
        <w:spacing w:after="200" w:line="276" w:lineRule="auto"/>
        <w:rPr>
          <w:b/>
        </w:rPr>
      </w:pPr>
    </w:p>
    <w:p w14:paraId="4BD450B9" w14:textId="77777777" w:rsidR="00C6626C" w:rsidRDefault="00C6626C" w:rsidP="00A56F14"/>
    <w:p w14:paraId="2B29A8E4" w14:textId="77777777" w:rsidR="00C6626C" w:rsidRDefault="00C6626C" w:rsidP="00A56F14"/>
    <w:p w14:paraId="78410AF1" w14:textId="77777777" w:rsidR="00C6626C" w:rsidRDefault="00C6626C" w:rsidP="00A56F14"/>
    <w:p w14:paraId="724DB0C4" w14:textId="77777777" w:rsidR="00C6626C" w:rsidRDefault="00C6626C" w:rsidP="00A56F14"/>
    <w:p w14:paraId="29833ABA" w14:textId="77777777" w:rsidR="00C6626C" w:rsidRDefault="00C6626C" w:rsidP="00A56F14"/>
    <w:p w14:paraId="2A70BE39" w14:textId="77777777" w:rsidR="00C6626C" w:rsidRDefault="00C6626C" w:rsidP="00A56F14"/>
    <w:p w14:paraId="423E6394" w14:textId="77777777" w:rsidR="00C6626C" w:rsidRDefault="00C6626C" w:rsidP="00A56F14"/>
    <w:p w14:paraId="6E7EFA8E" w14:textId="77777777" w:rsidR="00C6626C" w:rsidRDefault="00C6626C" w:rsidP="00A56F14"/>
    <w:p w14:paraId="185F18F7" w14:textId="77777777" w:rsidR="00C6626C" w:rsidRDefault="00C6626C" w:rsidP="00A56F14"/>
    <w:p w14:paraId="134D8D7B" w14:textId="77777777" w:rsidR="00C6626C" w:rsidRDefault="00C6626C" w:rsidP="00A56F14"/>
    <w:p w14:paraId="213961AE" w14:textId="77777777" w:rsidR="00C6626C" w:rsidRDefault="00C6626C" w:rsidP="00A56F14"/>
    <w:p w14:paraId="31651A51" w14:textId="77777777" w:rsidR="00C6626C" w:rsidRDefault="00C6626C" w:rsidP="00A56F14"/>
    <w:p w14:paraId="0EAF618E" w14:textId="77777777" w:rsidR="00C6626C" w:rsidRDefault="00C6626C" w:rsidP="00A56F14"/>
    <w:p w14:paraId="793E4D0A" w14:textId="77777777" w:rsidR="00C6626C" w:rsidRDefault="00C6626C" w:rsidP="00A56F14"/>
    <w:p w14:paraId="661E6B45" w14:textId="77777777" w:rsidR="00C6626C" w:rsidRDefault="00C6626C" w:rsidP="00A56F14"/>
    <w:p w14:paraId="380632F9" w14:textId="77777777" w:rsidR="00C6626C" w:rsidRDefault="00C6626C" w:rsidP="00A56F14"/>
    <w:p w14:paraId="60DE4C6D" w14:textId="77777777" w:rsidR="00C6626C" w:rsidRDefault="00C6626C" w:rsidP="00A56F14"/>
    <w:p w14:paraId="4B26E6DC" w14:textId="77777777" w:rsidR="00C6626C" w:rsidRDefault="00C6626C" w:rsidP="00A56F14"/>
    <w:p w14:paraId="2E736A07" w14:textId="77777777" w:rsidR="00C6626C" w:rsidRDefault="00C6626C" w:rsidP="00A56F14"/>
    <w:p w14:paraId="1CB75BCC" w14:textId="77777777" w:rsidR="00C6626C" w:rsidRDefault="00C6626C" w:rsidP="00A56F14"/>
    <w:p w14:paraId="41495F00" w14:textId="77777777" w:rsidR="00C6626C" w:rsidRDefault="00C6626C" w:rsidP="00A56F14"/>
    <w:p w14:paraId="36CE5E30" w14:textId="77777777" w:rsidR="00A56F14" w:rsidRPr="00280CC1" w:rsidRDefault="00A56F14" w:rsidP="002A51CA">
      <w:pPr>
        <w:pStyle w:val="Title"/>
        <w:spacing w:after="120" w:line="600" w:lineRule="exact"/>
        <w:rPr>
          <w:spacing w:val="-20"/>
          <w:sz w:val="60"/>
        </w:rPr>
      </w:pPr>
      <w:r w:rsidRPr="00280CC1">
        <w:rPr>
          <w:noProof/>
          <w:spacing w:val="-20"/>
          <w:sz w:val="60"/>
          <w:lang w:val="en-AU" w:eastAsia="en-AU" w:bidi="km-KH"/>
        </w:rPr>
        <w:drawing>
          <wp:anchor distT="0" distB="0" distL="114300" distR="114300" simplePos="0" relativeHeight="251664384" behindDoc="1" locked="1" layoutInCell="1" allowOverlap="1" wp14:anchorId="65EDA4C8" wp14:editId="68D77FE5">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80CC1">
        <w:rPr>
          <w:noProof/>
          <w:spacing w:val="-20"/>
          <w:sz w:val="60"/>
          <w:lang w:val="en-AU" w:eastAsia="en-AU" w:bidi="km-KH"/>
        </w:rPr>
        <w:drawing>
          <wp:anchor distT="0" distB="0" distL="114300" distR="114300" simplePos="0" relativeHeight="251663360" behindDoc="1" locked="1" layoutInCell="1" allowOverlap="1" wp14:anchorId="2E525BF8" wp14:editId="289F0286">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3">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280CC1">
        <w:rPr>
          <w:spacing w:val="-20"/>
          <w:sz w:val="60"/>
        </w:rPr>
        <w:t xml:space="preserve">Aid Program Performance </w:t>
      </w:r>
    </w:p>
    <w:p w14:paraId="26003374" w14:textId="77777777" w:rsidR="00C6626C" w:rsidRPr="00280CC1" w:rsidRDefault="00C6626C" w:rsidP="002A51CA">
      <w:pPr>
        <w:pStyle w:val="Title"/>
        <w:spacing w:after="120" w:line="600" w:lineRule="exact"/>
        <w:rPr>
          <w:spacing w:val="-20"/>
          <w:sz w:val="60"/>
        </w:rPr>
      </w:pPr>
      <w:r w:rsidRPr="00280CC1">
        <w:rPr>
          <w:spacing w:val="-20"/>
          <w:sz w:val="60"/>
        </w:rPr>
        <w:t>Report 201</w:t>
      </w:r>
      <w:r w:rsidR="002309D8" w:rsidRPr="00280CC1">
        <w:rPr>
          <w:spacing w:val="-20"/>
          <w:sz w:val="60"/>
        </w:rPr>
        <w:t>6</w:t>
      </w:r>
      <w:r w:rsidRPr="00280CC1">
        <w:rPr>
          <w:spacing w:val="-20"/>
          <w:sz w:val="60"/>
        </w:rPr>
        <w:t>-1</w:t>
      </w:r>
      <w:r w:rsidR="002309D8" w:rsidRPr="00280CC1">
        <w:rPr>
          <w:spacing w:val="-20"/>
          <w:sz w:val="60"/>
        </w:rPr>
        <w:t>7</w:t>
      </w:r>
    </w:p>
    <w:p w14:paraId="70C29EB6" w14:textId="77777777" w:rsidR="00C6626C" w:rsidRPr="00280CC1" w:rsidRDefault="00901B6A" w:rsidP="00A56F14">
      <w:r w:rsidRPr="00280CC1">
        <w:rPr>
          <w:sz w:val="40"/>
        </w:rPr>
        <w:t>Cambodia</w:t>
      </w:r>
    </w:p>
    <w:p w14:paraId="754FA772" w14:textId="77777777" w:rsidR="00C6626C" w:rsidRPr="00280CC1" w:rsidRDefault="00C6626C" w:rsidP="00A56F14">
      <w:pPr>
        <w:rPr>
          <w:sz w:val="24"/>
        </w:rPr>
      </w:pPr>
      <w:r w:rsidRPr="00280CC1">
        <w:rPr>
          <w:sz w:val="24"/>
        </w:rPr>
        <w:t>September 201</w:t>
      </w:r>
      <w:r w:rsidR="002309D8" w:rsidRPr="00280CC1">
        <w:rPr>
          <w:sz w:val="24"/>
        </w:rPr>
        <w:t>7</w:t>
      </w:r>
    </w:p>
    <w:p w14:paraId="0BD7C005" w14:textId="77777777" w:rsidR="00C6626C" w:rsidRPr="00280CC1" w:rsidRDefault="00C6626C" w:rsidP="00A56F14">
      <w:pPr>
        <w:sectPr w:rsidR="00C6626C" w:rsidRPr="00280CC1" w:rsidSect="00C6626C">
          <w:headerReference w:type="default" r:id="rId14"/>
          <w:footerReference w:type="default" r:id="rId15"/>
          <w:pgSz w:w="11906" w:h="16838" w:code="9"/>
          <w:pgMar w:top="1952" w:right="1134" w:bottom="851" w:left="1134" w:header="1814" w:footer="567" w:gutter="0"/>
          <w:cols w:space="397"/>
          <w:docGrid w:linePitch="360"/>
        </w:sectPr>
      </w:pPr>
    </w:p>
    <w:p w14:paraId="6EEE402D" w14:textId="77777777" w:rsidR="00C6626C" w:rsidRPr="00280CC1" w:rsidRDefault="00C6626C" w:rsidP="002A51CA">
      <w:pPr>
        <w:pStyle w:val="ListBullet"/>
        <w:tabs>
          <w:tab w:val="clear" w:pos="284"/>
        </w:tabs>
        <w:spacing w:before="360"/>
        <w:rPr>
          <w:kern w:val="28"/>
        </w:rPr>
      </w:pPr>
      <w:r w:rsidRPr="00280CC1">
        <w:rPr>
          <w:rFonts w:asciiTheme="majorHAnsi" w:eastAsiaTheme="majorEastAsia" w:hAnsiTheme="majorHAnsi" w:cstheme="majorBidi"/>
          <w:caps/>
          <w:color w:val="495965" w:themeColor="text2"/>
          <w:sz w:val="38"/>
          <w:szCs w:val="26"/>
          <w:lang w:val="en-GB" w:eastAsia="en-US"/>
        </w:rPr>
        <w:lastRenderedPageBreak/>
        <w:t>Key Messages</w:t>
      </w:r>
      <w:r w:rsidRPr="00280CC1">
        <w:rPr>
          <w:rFonts w:ascii="Helvetica" w:hAnsi="Helvetica" w:cs="Arial"/>
          <w:color w:val="007FAD"/>
          <w:kern w:val="28"/>
          <w:sz w:val="28"/>
          <w:szCs w:val="28"/>
        </w:rPr>
        <w:tab/>
      </w:r>
      <w:r w:rsidRPr="00280CC1">
        <w:rPr>
          <w:rFonts w:ascii="Helvetica" w:hAnsi="Helvetica" w:cs="Arial"/>
          <w:color w:val="007FAD"/>
          <w:kern w:val="28"/>
          <w:sz w:val="24"/>
          <w:szCs w:val="28"/>
        </w:rPr>
        <w:tab/>
      </w:r>
      <w:r w:rsidRPr="00280CC1">
        <w:rPr>
          <w:rFonts w:ascii="Helvetica" w:hAnsi="Helvetica" w:cs="Arial"/>
          <w:color w:val="007FAD"/>
          <w:kern w:val="28"/>
          <w:sz w:val="32"/>
          <w:szCs w:val="32"/>
        </w:rPr>
        <w:tab/>
      </w:r>
      <w:r w:rsidRPr="00280CC1">
        <w:rPr>
          <w:rFonts w:ascii="Helvetica" w:hAnsi="Helvetica" w:cs="Arial"/>
          <w:color w:val="007FAD"/>
          <w:kern w:val="28"/>
          <w:sz w:val="32"/>
          <w:szCs w:val="32"/>
        </w:rPr>
        <w:tab/>
      </w:r>
      <w:r w:rsidRPr="00280CC1">
        <w:rPr>
          <w:rFonts w:ascii="Helvetica" w:hAnsi="Helvetica" w:cs="Arial"/>
          <w:color w:val="007FAD"/>
          <w:kern w:val="28"/>
          <w:sz w:val="32"/>
          <w:szCs w:val="32"/>
        </w:rPr>
        <w:tab/>
      </w:r>
      <w:r w:rsidRPr="00280CC1">
        <w:rPr>
          <w:rFonts w:ascii="Helvetica" w:hAnsi="Helvetica" w:cs="Arial"/>
          <w:color w:val="007FAD"/>
          <w:kern w:val="28"/>
          <w:sz w:val="32"/>
          <w:szCs w:val="32"/>
        </w:rPr>
        <w:tab/>
      </w:r>
    </w:p>
    <w:p w14:paraId="4520FFAD" w14:textId="0DA26BCD" w:rsidR="00C800AD" w:rsidRPr="006B4ADF" w:rsidRDefault="000931C0" w:rsidP="0029092A">
      <w:pPr>
        <w:pStyle w:val="Default"/>
        <w:spacing w:before="120" w:after="60" w:line="230" w:lineRule="atLeast"/>
        <w:rPr>
          <w:sz w:val="22"/>
          <w:szCs w:val="22"/>
        </w:rPr>
      </w:pPr>
      <w:r w:rsidRPr="006B4ADF">
        <w:rPr>
          <w:sz w:val="22"/>
          <w:szCs w:val="22"/>
        </w:rPr>
        <w:t xml:space="preserve">Australia’s aid program </w:t>
      </w:r>
      <w:r w:rsidRPr="00A0645B">
        <w:rPr>
          <w:sz w:val="22"/>
          <w:szCs w:val="22"/>
        </w:rPr>
        <w:t>in Cambodia is a key component of the bilateral relationship</w:t>
      </w:r>
      <w:r w:rsidRPr="0063119A">
        <w:rPr>
          <w:sz w:val="22"/>
          <w:szCs w:val="22"/>
        </w:rPr>
        <w:t>. It sits within a broader suit</w:t>
      </w:r>
      <w:r w:rsidRPr="00C93EAC">
        <w:rPr>
          <w:sz w:val="22"/>
          <w:szCs w:val="22"/>
        </w:rPr>
        <w:t>e of foreign, trade and aid policies</w:t>
      </w:r>
      <w:r w:rsidRPr="002A55D2">
        <w:rPr>
          <w:sz w:val="22"/>
          <w:szCs w:val="22"/>
        </w:rPr>
        <w:t xml:space="preserve"> which aim to strengthen the relationship and contribute to greater prosperity and reduced poverty within our region</w:t>
      </w:r>
      <w:r w:rsidR="003D6685">
        <w:rPr>
          <w:sz w:val="22"/>
          <w:szCs w:val="22"/>
        </w:rPr>
        <w:t xml:space="preserve">. </w:t>
      </w:r>
      <w:r w:rsidRPr="006B4ADF">
        <w:rPr>
          <w:sz w:val="22"/>
          <w:szCs w:val="22"/>
        </w:rPr>
        <w:t>Our aid program allows Aus</w:t>
      </w:r>
      <w:r w:rsidR="00BD077D">
        <w:rPr>
          <w:sz w:val="22"/>
          <w:szCs w:val="22"/>
        </w:rPr>
        <w:t>tralia to engage the Cambodian G</w:t>
      </w:r>
      <w:r w:rsidRPr="006B4ADF">
        <w:rPr>
          <w:sz w:val="22"/>
          <w:szCs w:val="22"/>
        </w:rPr>
        <w:t xml:space="preserve">overnment across a broad spectrum of ministries, </w:t>
      </w:r>
      <w:r w:rsidR="00DB4BEE" w:rsidRPr="006B4ADF">
        <w:rPr>
          <w:sz w:val="22"/>
          <w:szCs w:val="22"/>
        </w:rPr>
        <w:t xml:space="preserve">and </w:t>
      </w:r>
      <w:r w:rsidRPr="006B4ADF">
        <w:rPr>
          <w:sz w:val="22"/>
          <w:szCs w:val="22"/>
        </w:rPr>
        <w:t xml:space="preserve">work constructively to influence </w:t>
      </w:r>
      <w:r w:rsidR="000571F8">
        <w:rPr>
          <w:sz w:val="22"/>
          <w:szCs w:val="22"/>
        </w:rPr>
        <w:br/>
      </w:r>
      <w:r w:rsidRPr="006B4ADF">
        <w:rPr>
          <w:sz w:val="22"/>
          <w:szCs w:val="22"/>
        </w:rPr>
        <w:t>system-wide policy change</w:t>
      </w:r>
      <w:r w:rsidR="00E11C5B" w:rsidRPr="006B4ADF">
        <w:rPr>
          <w:sz w:val="22"/>
          <w:szCs w:val="22"/>
        </w:rPr>
        <w:t>, most notably</w:t>
      </w:r>
      <w:r w:rsidRPr="006B4ADF">
        <w:rPr>
          <w:sz w:val="22"/>
          <w:szCs w:val="22"/>
        </w:rPr>
        <w:t xml:space="preserve"> in areas like health financing</w:t>
      </w:r>
      <w:r w:rsidR="00DB4BEE" w:rsidRPr="006B4ADF">
        <w:rPr>
          <w:sz w:val="22"/>
          <w:szCs w:val="22"/>
        </w:rPr>
        <w:t xml:space="preserve">. </w:t>
      </w:r>
      <w:r w:rsidR="00E11C5B" w:rsidRPr="006B4ADF">
        <w:rPr>
          <w:sz w:val="22"/>
          <w:szCs w:val="22"/>
        </w:rPr>
        <w:t>While development needs in Cambodia remain high, o</w:t>
      </w:r>
      <w:r w:rsidR="00DB4BEE" w:rsidRPr="006B4ADF">
        <w:rPr>
          <w:sz w:val="22"/>
          <w:szCs w:val="22"/>
        </w:rPr>
        <w:t>ur aid program encourages Cambodia to increasingly take charge of its own development needs, and empower the private sector to play its part in Cambodia’s ongoing development</w:t>
      </w:r>
      <w:r w:rsidR="003D6685">
        <w:rPr>
          <w:sz w:val="22"/>
          <w:szCs w:val="22"/>
        </w:rPr>
        <w:t xml:space="preserve">. </w:t>
      </w:r>
    </w:p>
    <w:p w14:paraId="4D1593D8" w14:textId="767C142D" w:rsidR="000931C0" w:rsidRPr="006B4ADF" w:rsidRDefault="000931C0" w:rsidP="0029092A">
      <w:pPr>
        <w:pStyle w:val="Default"/>
        <w:spacing w:before="120" w:after="60" w:line="230" w:lineRule="atLeast"/>
        <w:rPr>
          <w:sz w:val="22"/>
          <w:szCs w:val="22"/>
        </w:rPr>
      </w:pPr>
      <w:r w:rsidRPr="00762380">
        <w:rPr>
          <w:sz w:val="22"/>
          <w:szCs w:val="22"/>
        </w:rPr>
        <w:t xml:space="preserve">This report summarises the progress of Australia’s aid program in Cambodia from July 2016 to June 2017, the second year of the </w:t>
      </w:r>
      <w:r w:rsidRPr="000571F8">
        <w:rPr>
          <w:sz w:val="22"/>
          <w:szCs w:val="22"/>
        </w:rPr>
        <w:t>Cambodia Aid Investment Plan (AIP) 2015-2018</w:t>
      </w:r>
      <w:r w:rsidR="003D6685">
        <w:rPr>
          <w:sz w:val="22"/>
          <w:szCs w:val="22"/>
        </w:rPr>
        <w:t xml:space="preserve">. </w:t>
      </w:r>
      <w:r w:rsidRPr="006B4ADF">
        <w:rPr>
          <w:sz w:val="22"/>
          <w:szCs w:val="22"/>
        </w:rPr>
        <w:t>In 201</w:t>
      </w:r>
      <w:r w:rsidR="000571F8">
        <w:rPr>
          <w:sz w:val="22"/>
          <w:szCs w:val="22"/>
        </w:rPr>
        <w:t xml:space="preserve">6-17, </w:t>
      </w:r>
      <w:r w:rsidRPr="006B4ADF">
        <w:rPr>
          <w:sz w:val="22"/>
          <w:szCs w:val="22"/>
        </w:rPr>
        <w:t xml:space="preserve">we </w:t>
      </w:r>
      <w:r w:rsidR="0029092A" w:rsidRPr="006B4ADF">
        <w:rPr>
          <w:sz w:val="22"/>
          <w:szCs w:val="22"/>
        </w:rPr>
        <w:t>provided</w:t>
      </w:r>
      <w:r w:rsidR="001D0960" w:rsidRPr="006B4ADF">
        <w:rPr>
          <w:sz w:val="22"/>
          <w:szCs w:val="22"/>
        </w:rPr>
        <w:t xml:space="preserve"> </w:t>
      </w:r>
      <w:r w:rsidR="00BD077D">
        <w:rPr>
          <w:sz w:val="22"/>
          <w:szCs w:val="22"/>
        </w:rPr>
        <w:br/>
      </w:r>
      <w:r w:rsidR="001D0960" w:rsidRPr="006B4ADF">
        <w:rPr>
          <w:sz w:val="22"/>
          <w:szCs w:val="22"/>
        </w:rPr>
        <w:t>$</w:t>
      </w:r>
      <w:r w:rsidR="0029092A" w:rsidRPr="006B4ADF">
        <w:rPr>
          <w:sz w:val="22"/>
          <w:szCs w:val="22"/>
        </w:rPr>
        <w:t>89.1 million in development assistance to Cambodia</w:t>
      </w:r>
      <w:r w:rsidRPr="006B4ADF">
        <w:rPr>
          <w:sz w:val="22"/>
          <w:szCs w:val="22"/>
        </w:rPr>
        <w:t xml:space="preserve"> </w:t>
      </w:r>
      <w:r w:rsidR="0029092A" w:rsidRPr="006B4ADF">
        <w:rPr>
          <w:sz w:val="22"/>
          <w:szCs w:val="22"/>
        </w:rPr>
        <w:t xml:space="preserve">through a variety of partners </w:t>
      </w:r>
      <w:r w:rsidR="00C21F30" w:rsidRPr="006B4ADF">
        <w:rPr>
          <w:sz w:val="22"/>
          <w:szCs w:val="22"/>
        </w:rPr>
        <w:t>including</w:t>
      </w:r>
      <w:r w:rsidR="0029092A" w:rsidRPr="006B4ADF">
        <w:rPr>
          <w:sz w:val="22"/>
          <w:szCs w:val="22"/>
        </w:rPr>
        <w:t xml:space="preserve"> multilateral organisations, managing contractors</w:t>
      </w:r>
      <w:r w:rsidR="00AC7DE5" w:rsidRPr="006B4ADF">
        <w:rPr>
          <w:sz w:val="22"/>
          <w:szCs w:val="22"/>
        </w:rPr>
        <w:t>, the private sector</w:t>
      </w:r>
      <w:r w:rsidR="0029092A" w:rsidRPr="006B4ADF">
        <w:rPr>
          <w:sz w:val="22"/>
          <w:szCs w:val="22"/>
        </w:rPr>
        <w:t xml:space="preserve"> and non-government organisations</w:t>
      </w:r>
      <w:r w:rsidR="00E1731D">
        <w:rPr>
          <w:sz w:val="22"/>
          <w:szCs w:val="22"/>
        </w:rPr>
        <w:t xml:space="preserve"> (NGOs)</w:t>
      </w:r>
      <w:r w:rsidR="0029092A" w:rsidRPr="006B4ADF">
        <w:rPr>
          <w:sz w:val="22"/>
          <w:szCs w:val="22"/>
        </w:rPr>
        <w:t xml:space="preserve">. </w:t>
      </w:r>
    </w:p>
    <w:p w14:paraId="1DFD571B" w14:textId="59D4CD9B" w:rsidR="00165DB7" w:rsidRPr="002A55D2" w:rsidRDefault="00E11C5B" w:rsidP="0029092A">
      <w:pPr>
        <w:pStyle w:val="Default"/>
        <w:spacing w:before="120" w:after="60" w:line="230" w:lineRule="atLeast"/>
        <w:rPr>
          <w:sz w:val="22"/>
          <w:szCs w:val="22"/>
        </w:rPr>
      </w:pPr>
      <w:r w:rsidRPr="006B4ADF">
        <w:rPr>
          <w:sz w:val="22"/>
          <w:szCs w:val="22"/>
        </w:rPr>
        <w:t xml:space="preserve">Bilateral </w:t>
      </w:r>
      <w:r w:rsidR="00165DB7" w:rsidRPr="006B4ADF">
        <w:rPr>
          <w:sz w:val="22"/>
          <w:szCs w:val="22"/>
        </w:rPr>
        <w:t xml:space="preserve">High Level Consultations on Aid, held in October 2016, confirmed </w:t>
      </w:r>
      <w:r w:rsidR="00B97623" w:rsidRPr="006B4ADF">
        <w:rPr>
          <w:sz w:val="22"/>
          <w:szCs w:val="22"/>
        </w:rPr>
        <w:t>Australia remains a trusted, responsive and respected partner. It also confirmed</w:t>
      </w:r>
      <w:r w:rsidR="00B97623" w:rsidRPr="00A43E00">
        <w:rPr>
          <w:sz w:val="22"/>
          <w:szCs w:val="22"/>
        </w:rPr>
        <w:t xml:space="preserve"> </w:t>
      </w:r>
      <w:r w:rsidR="00165DB7" w:rsidRPr="00A0645B">
        <w:rPr>
          <w:sz w:val="22"/>
          <w:szCs w:val="22"/>
        </w:rPr>
        <w:t>our aid investments are strongly responsive to Cambodia’s needs</w:t>
      </w:r>
      <w:r w:rsidRPr="00A0645B">
        <w:rPr>
          <w:sz w:val="22"/>
          <w:szCs w:val="22"/>
        </w:rPr>
        <w:t>,</w:t>
      </w:r>
      <w:r w:rsidR="00165DB7" w:rsidRPr="0063119A">
        <w:rPr>
          <w:sz w:val="22"/>
          <w:szCs w:val="22"/>
        </w:rPr>
        <w:t xml:space="preserve"> aligned to the Cambodian Government’s development priorities </w:t>
      </w:r>
      <w:r w:rsidRPr="00C93EAC">
        <w:rPr>
          <w:sz w:val="22"/>
          <w:szCs w:val="22"/>
        </w:rPr>
        <w:t>and</w:t>
      </w:r>
      <w:r w:rsidRPr="002A55D2">
        <w:rPr>
          <w:sz w:val="22"/>
          <w:szCs w:val="22"/>
        </w:rPr>
        <w:t xml:space="preserve"> with </w:t>
      </w:r>
      <w:r w:rsidR="00165DB7" w:rsidRPr="002A55D2">
        <w:rPr>
          <w:sz w:val="22"/>
          <w:szCs w:val="22"/>
        </w:rPr>
        <w:t xml:space="preserve">Australia’s national interests. </w:t>
      </w:r>
    </w:p>
    <w:p w14:paraId="1B0376AF" w14:textId="6BDDF695" w:rsidR="00C21F30" w:rsidRPr="006B4ADF" w:rsidRDefault="00C21F30" w:rsidP="00C21F30">
      <w:pPr>
        <w:pStyle w:val="Default"/>
        <w:spacing w:before="120" w:after="60" w:line="230" w:lineRule="atLeast"/>
        <w:rPr>
          <w:sz w:val="22"/>
          <w:szCs w:val="22"/>
        </w:rPr>
      </w:pPr>
      <w:r w:rsidRPr="006B4ADF">
        <w:rPr>
          <w:sz w:val="22"/>
          <w:szCs w:val="22"/>
        </w:rPr>
        <w:t xml:space="preserve">The past year was one of continuing </w:t>
      </w:r>
      <w:r w:rsidRPr="00762380">
        <w:rPr>
          <w:sz w:val="22"/>
          <w:szCs w:val="22"/>
        </w:rPr>
        <w:t>consolidation</w:t>
      </w:r>
      <w:r w:rsidR="00E11C5B" w:rsidRPr="00762380">
        <w:rPr>
          <w:sz w:val="22"/>
          <w:szCs w:val="22"/>
        </w:rPr>
        <w:t xml:space="preserve">. </w:t>
      </w:r>
      <w:r w:rsidRPr="006B4ADF">
        <w:rPr>
          <w:sz w:val="22"/>
          <w:szCs w:val="22"/>
        </w:rPr>
        <w:t>We reduced our active portfolio of agreements to 31, down from 53</w:t>
      </w:r>
      <w:r w:rsidR="00B97623" w:rsidRPr="006B4ADF">
        <w:rPr>
          <w:sz w:val="22"/>
          <w:szCs w:val="22"/>
        </w:rPr>
        <w:t xml:space="preserve"> agreements</w:t>
      </w:r>
      <w:r w:rsidRPr="006B4ADF">
        <w:rPr>
          <w:sz w:val="22"/>
          <w:szCs w:val="22"/>
        </w:rPr>
        <w:t xml:space="preserve"> last year. All the while maintaining funding levels. </w:t>
      </w:r>
    </w:p>
    <w:p w14:paraId="6EECE32D" w14:textId="77777777" w:rsidR="0029092A" w:rsidRPr="006B4ADF" w:rsidRDefault="0029092A" w:rsidP="0029092A">
      <w:pPr>
        <w:pStyle w:val="Default"/>
        <w:spacing w:before="120" w:after="60" w:line="230" w:lineRule="atLeast"/>
        <w:rPr>
          <w:sz w:val="22"/>
          <w:szCs w:val="22"/>
        </w:rPr>
      </w:pPr>
      <w:r w:rsidRPr="006B4ADF">
        <w:rPr>
          <w:sz w:val="22"/>
          <w:szCs w:val="22"/>
        </w:rPr>
        <w:t>Australia continued to ma</w:t>
      </w:r>
      <w:r w:rsidR="00D60545" w:rsidRPr="006B4ADF">
        <w:rPr>
          <w:sz w:val="22"/>
          <w:szCs w:val="22"/>
        </w:rPr>
        <w:t>k</w:t>
      </w:r>
      <w:r w:rsidRPr="006B4ADF">
        <w:rPr>
          <w:sz w:val="22"/>
          <w:szCs w:val="22"/>
        </w:rPr>
        <w:t>e sound progress against our objectives in agriculture, health and education. However, performance against our infrastructure objective remain</w:t>
      </w:r>
      <w:r w:rsidR="005E3274" w:rsidRPr="006B4ADF">
        <w:rPr>
          <w:sz w:val="22"/>
          <w:szCs w:val="22"/>
        </w:rPr>
        <w:t>ed</w:t>
      </w:r>
      <w:r w:rsidRPr="006B4ADF">
        <w:rPr>
          <w:sz w:val="22"/>
          <w:szCs w:val="22"/>
        </w:rPr>
        <w:t xml:space="preserve"> mixed. </w:t>
      </w:r>
    </w:p>
    <w:p w14:paraId="10D419C1" w14:textId="3D499FAD" w:rsidR="0029092A" w:rsidRPr="006B4ADF" w:rsidRDefault="00165DB7" w:rsidP="00D65268">
      <w:pPr>
        <w:pStyle w:val="Default"/>
        <w:spacing w:before="120" w:after="60" w:line="230" w:lineRule="atLeast"/>
        <w:rPr>
          <w:sz w:val="22"/>
          <w:szCs w:val="22"/>
        </w:rPr>
      </w:pPr>
      <w:r w:rsidRPr="006B4ADF">
        <w:rPr>
          <w:sz w:val="22"/>
          <w:szCs w:val="22"/>
        </w:rPr>
        <w:t xml:space="preserve">Investments to promote private sector development, aid-for-trade and inclusive growth performed strongly. </w:t>
      </w:r>
      <w:r w:rsidR="0029092A" w:rsidRPr="006B4ADF">
        <w:rPr>
          <w:sz w:val="22"/>
          <w:szCs w:val="22"/>
        </w:rPr>
        <w:t xml:space="preserve">Our major investments in agriculture and infrastructure have an explicit focus on working directly with the private sector to improve access to essential services in rural areas. The Cambodian Government and other partners </w:t>
      </w:r>
      <w:r w:rsidR="00B53719">
        <w:rPr>
          <w:sz w:val="22"/>
          <w:szCs w:val="22"/>
        </w:rPr>
        <w:t xml:space="preserve">value our role </w:t>
      </w:r>
      <w:r w:rsidR="0029092A" w:rsidRPr="00A0645B">
        <w:rPr>
          <w:sz w:val="22"/>
          <w:szCs w:val="22"/>
        </w:rPr>
        <w:t>as a pragmatic donor willing to engage with risk to leverage development results in close collaboration with private sector actors</w:t>
      </w:r>
      <w:r w:rsidR="00B35FE3" w:rsidRPr="00C93EAC">
        <w:rPr>
          <w:sz w:val="22"/>
          <w:szCs w:val="22"/>
        </w:rPr>
        <w:t xml:space="preserve">. </w:t>
      </w:r>
      <w:r w:rsidR="00CE1957" w:rsidRPr="00C93EAC">
        <w:rPr>
          <w:sz w:val="22"/>
          <w:szCs w:val="22"/>
        </w:rPr>
        <w:t>We leveraged over</w:t>
      </w:r>
      <w:r w:rsidR="00D65268" w:rsidRPr="002A55D2">
        <w:rPr>
          <w:sz w:val="22"/>
          <w:szCs w:val="22"/>
        </w:rPr>
        <w:t xml:space="preserve"> </w:t>
      </w:r>
      <w:r w:rsidR="00357727" w:rsidRPr="002A55D2">
        <w:rPr>
          <w:sz w:val="22"/>
          <w:szCs w:val="22"/>
        </w:rPr>
        <w:t>$6</w:t>
      </w:r>
      <w:r w:rsidR="00D65268" w:rsidRPr="002A55D2">
        <w:rPr>
          <w:sz w:val="22"/>
          <w:szCs w:val="22"/>
        </w:rPr>
        <w:t>.3</w:t>
      </w:r>
      <w:r w:rsidR="00ED2CEC" w:rsidRPr="002A55D2">
        <w:rPr>
          <w:sz w:val="22"/>
          <w:szCs w:val="22"/>
        </w:rPr>
        <w:t xml:space="preserve"> </w:t>
      </w:r>
      <w:r w:rsidR="00357727" w:rsidRPr="002A55D2">
        <w:rPr>
          <w:sz w:val="22"/>
          <w:szCs w:val="22"/>
        </w:rPr>
        <w:t>million of private sector funds into Cambodia’s infrastructure sector</w:t>
      </w:r>
      <w:r w:rsidR="00CE1957" w:rsidRPr="006B4ADF">
        <w:rPr>
          <w:sz w:val="22"/>
          <w:szCs w:val="22"/>
        </w:rPr>
        <w:t xml:space="preserve"> in 2016-17</w:t>
      </w:r>
      <w:r w:rsidR="00D65268" w:rsidRPr="006B4ADF">
        <w:rPr>
          <w:sz w:val="22"/>
          <w:szCs w:val="22"/>
        </w:rPr>
        <w:t>, almost doubling our performance target.</w:t>
      </w:r>
    </w:p>
    <w:p w14:paraId="33ECC3E0" w14:textId="0353C967" w:rsidR="0029092A" w:rsidRPr="00A43E00" w:rsidRDefault="0029092A" w:rsidP="000D2D3F">
      <w:pPr>
        <w:pStyle w:val="Default"/>
        <w:spacing w:before="120" w:after="60" w:line="230" w:lineRule="atLeast"/>
        <w:rPr>
          <w:sz w:val="22"/>
          <w:szCs w:val="22"/>
        </w:rPr>
      </w:pPr>
      <w:r w:rsidRPr="00A43E00">
        <w:rPr>
          <w:sz w:val="22"/>
          <w:szCs w:val="22"/>
        </w:rPr>
        <w:t xml:space="preserve">With the majority of </w:t>
      </w:r>
      <w:r w:rsidRPr="00A0645B">
        <w:rPr>
          <w:sz w:val="22"/>
          <w:szCs w:val="22"/>
        </w:rPr>
        <w:t xml:space="preserve">Cambodians still dependent on agriculture and the rural economy for jobs and income, Australia maintains a high performing portfolio of aid investments to provide better access to food, jobs and services for rural Cambodians. </w:t>
      </w:r>
      <w:r w:rsidR="001B0EAB" w:rsidRPr="00C93EAC">
        <w:rPr>
          <w:sz w:val="22"/>
          <w:szCs w:val="22"/>
        </w:rPr>
        <w:t>Cambodia’s dependence on agriculture makes it particularly vulnerable to disasters and</w:t>
      </w:r>
      <w:r w:rsidR="001B0EAB" w:rsidRPr="006B4ADF">
        <w:rPr>
          <w:sz w:val="22"/>
          <w:szCs w:val="22"/>
        </w:rPr>
        <w:t xml:space="preserve"> the impacts of climate change and our development assistance takes these risks into account. </w:t>
      </w:r>
      <w:r w:rsidRPr="006B4ADF">
        <w:rPr>
          <w:sz w:val="22"/>
          <w:szCs w:val="22"/>
        </w:rPr>
        <w:t xml:space="preserve">An independent evaluation of </w:t>
      </w:r>
      <w:r w:rsidR="00B53719">
        <w:rPr>
          <w:sz w:val="22"/>
          <w:szCs w:val="22"/>
        </w:rPr>
        <w:t xml:space="preserve">the first phase of </w:t>
      </w:r>
      <w:r w:rsidRPr="00A0645B">
        <w:rPr>
          <w:sz w:val="22"/>
          <w:szCs w:val="22"/>
        </w:rPr>
        <w:t xml:space="preserve">our flagship agriculture investment—the Cambodian Agriculture Value Chain Program (CAVAC)—found the program to be an innovative, efficient and effective approach to improving the livelihoods of smallholder farmers. </w:t>
      </w:r>
      <w:r w:rsidR="00CE1957" w:rsidRPr="00C93EAC">
        <w:rPr>
          <w:sz w:val="22"/>
          <w:szCs w:val="22"/>
        </w:rPr>
        <w:t xml:space="preserve">The second phase </w:t>
      </w:r>
      <w:r w:rsidRPr="002A55D2">
        <w:rPr>
          <w:sz w:val="22"/>
          <w:szCs w:val="22"/>
        </w:rPr>
        <w:t xml:space="preserve">continues </w:t>
      </w:r>
      <w:r w:rsidRPr="006B4ADF">
        <w:rPr>
          <w:sz w:val="22"/>
          <w:szCs w:val="22"/>
        </w:rPr>
        <w:t xml:space="preserve">this approach, while increasingly using its successes and knowledge as a platform to influence </w:t>
      </w:r>
      <w:r w:rsidR="00B53719">
        <w:rPr>
          <w:sz w:val="22"/>
          <w:szCs w:val="22"/>
        </w:rPr>
        <w:t>policy reforms</w:t>
      </w:r>
      <w:r w:rsidRPr="002A55D2">
        <w:rPr>
          <w:sz w:val="22"/>
          <w:szCs w:val="22"/>
        </w:rPr>
        <w:t xml:space="preserve">. </w:t>
      </w:r>
    </w:p>
    <w:p w14:paraId="1D233C26" w14:textId="18D95958" w:rsidR="0029092A" w:rsidRPr="00A43E00" w:rsidRDefault="001A755C" w:rsidP="000D2D3F">
      <w:pPr>
        <w:pStyle w:val="Default"/>
        <w:spacing w:before="120" w:after="60" w:line="230" w:lineRule="atLeast"/>
        <w:rPr>
          <w:sz w:val="22"/>
          <w:szCs w:val="22"/>
        </w:rPr>
      </w:pPr>
      <w:r w:rsidRPr="00A0645B">
        <w:rPr>
          <w:sz w:val="22"/>
          <w:szCs w:val="22"/>
        </w:rPr>
        <w:t>Cambodia</w:t>
      </w:r>
      <w:r w:rsidR="00FA44A4">
        <w:rPr>
          <w:sz w:val="22"/>
          <w:szCs w:val="22"/>
        </w:rPr>
        <w:t>’s economy is strengthening</w:t>
      </w:r>
      <w:r w:rsidRPr="00A0645B">
        <w:rPr>
          <w:sz w:val="22"/>
          <w:szCs w:val="22"/>
        </w:rPr>
        <w:t xml:space="preserve">, and </w:t>
      </w:r>
      <w:r w:rsidRPr="00A43E00">
        <w:rPr>
          <w:sz w:val="22"/>
          <w:szCs w:val="22"/>
        </w:rPr>
        <w:t>becoming less reliant on donors</w:t>
      </w:r>
      <w:r w:rsidR="0029092A" w:rsidRPr="00A43E00">
        <w:rPr>
          <w:sz w:val="22"/>
          <w:szCs w:val="22"/>
        </w:rPr>
        <w:t xml:space="preserve">. A major accomplishment of </w:t>
      </w:r>
      <w:r w:rsidR="005E3274" w:rsidRPr="00A43E00">
        <w:rPr>
          <w:sz w:val="22"/>
          <w:szCs w:val="22"/>
        </w:rPr>
        <w:t xml:space="preserve">our </w:t>
      </w:r>
      <w:r w:rsidR="0029092A" w:rsidRPr="00A43E00">
        <w:rPr>
          <w:sz w:val="22"/>
          <w:szCs w:val="22"/>
        </w:rPr>
        <w:t xml:space="preserve">health programs </w:t>
      </w:r>
      <w:r w:rsidR="00690F45" w:rsidRPr="00A43E00">
        <w:rPr>
          <w:sz w:val="22"/>
          <w:szCs w:val="22"/>
        </w:rPr>
        <w:t>this year</w:t>
      </w:r>
      <w:r w:rsidR="0029092A" w:rsidRPr="00A43E00">
        <w:rPr>
          <w:sz w:val="22"/>
          <w:szCs w:val="22"/>
        </w:rPr>
        <w:t xml:space="preserve"> has been the degree to which </w:t>
      </w:r>
      <w:r w:rsidR="005E3274" w:rsidRPr="00A43E00">
        <w:rPr>
          <w:sz w:val="22"/>
          <w:szCs w:val="22"/>
        </w:rPr>
        <w:t xml:space="preserve">the </w:t>
      </w:r>
      <w:r w:rsidR="00CE1957" w:rsidRPr="00A43E00">
        <w:rPr>
          <w:sz w:val="22"/>
          <w:szCs w:val="22"/>
        </w:rPr>
        <w:t>Government of Cambodia</w:t>
      </w:r>
      <w:r w:rsidR="0029092A" w:rsidRPr="00A43E00">
        <w:rPr>
          <w:sz w:val="22"/>
          <w:szCs w:val="22"/>
        </w:rPr>
        <w:t xml:space="preserve"> has taken on responsibility for implementing and financing key health system components, particularly those focused on providing services to the poorest. Guidelines developed and launched this year under the Ending Violence </w:t>
      </w:r>
      <w:proofErr w:type="gramStart"/>
      <w:r w:rsidR="0029092A" w:rsidRPr="00A43E00">
        <w:rPr>
          <w:sz w:val="22"/>
          <w:szCs w:val="22"/>
        </w:rPr>
        <w:t>Against</w:t>
      </w:r>
      <w:proofErr w:type="gramEnd"/>
      <w:r w:rsidR="0029092A" w:rsidRPr="00A43E00">
        <w:rPr>
          <w:sz w:val="22"/>
          <w:szCs w:val="22"/>
        </w:rPr>
        <w:t xml:space="preserve"> Women program have </w:t>
      </w:r>
      <w:r w:rsidR="00D60545" w:rsidRPr="00A43E00">
        <w:rPr>
          <w:sz w:val="22"/>
          <w:szCs w:val="22"/>
        </w:rPr>
        <w:t xml:space="preserve">benefited from </w:t>
      </w:r>
      <w:r w:rsidR="0029092A" w:rsidRPr="00A43E00">
        <w:rPr>
          <w:sz w:val="22"/>
          <w:szCs w:val="22"/>
        </w:rPr>
        <w:t xml:space="preserve">similar </w:t>
      </w:r>
      <w:r w:rsidR="008F61A4" w:rsidRPr="00A43E00">
        <w:rPr>
          <w:sz w:val="22"/>
          <w:szCs w:val="22"/>
        </w:rPr>
        <w:t xml:space="preserve">strong </w:t>
      </w:r>
      <w:r w:rsidR="0029092A" w:rsidRPr="00A43E00">
        <w:rPr>
          <w:sz w:val="22"/>
          <w:szCs w:val="22"/>
        </w:rPr>
        <w:t xml:space="preserve">ownership from key Cambodian </w:t>
      </w:r>
      <w:r w:rsidR="005E3274" w:rsidRPr="00A43E00">
        <w:rPr>
          <w:sz w:val="22"/>
          <w:szCs w:val="22"/>
        </w:rPr>
        <w:t>G</w:t>
      </w:r>
      <w:r w:rsidR="0029092A" w:rsidRPr="00A43E00">
        <w:rPr>
          <w:sz w:val="22"/>
          <w:szCs w:val="22"/>
        </w:rPr>
        <w:t xml:space="preserve">overnment ministries. </w:t>
      </w:r>
    </w:p>
    <w:p w14:paraId="6BC73420" w14:textId="77777777" w:rsidR="0029092A" w:rsidRPr="00762380" w:rsidRDefault="0029092A" w:rsidP="0029092A">
      <w:pPr>
        <w:rPr>
          <w:rFonts w:ascii="Calibri Light" w:hAnsi="Calibri Light" w:cs="Calibri Light"/>
          <w:color w:val="000000"/>
          <w:lang w:val="en-AU"/>
        </w:rPr>
      </w:pPr>
      <w:r w:rsidRPr="00762380">
        <w:rPr>
          <w:rFonts w:ascii="Calibri Light" w:hAnsi="Calibri Light" w:cs="Calibri Light"/>
          <w:color w:val="000000"/>
          <w:lang w:val="en-AU"/>
        </w:rPr>
        <w:t xml:space="preserve">This report outlines the tangible results the Australian aid program to Cambodia achieved in 2016-17. Highlights </w:t>
      </w:r>
      <w:r w:rsidR="00535EEA" w:rsidRPr="00762380">
        <w:rPr>
          <w:rFonts w:ascii="Calibri Light" w:hAnsi="Calibri Light" w:cs="Calibri Light"/>
          <w:color w:val="000000"/>
          <w:lang w:val="en-AU"/>
        </w:rPr>
        <w:t>include:</w:t>
      </w:r>
    </w:p>
    <w:p w14:paraId="5427A3EA" w14:textId="740CFFF2" w:rsidR="0029092A" w:rsidRPr="00280CC1" w:rsidRDefault="0029092A" w:rsidP="009E1C8A">
      <w:pPr>
        <w:pStyle w:val="ListParagraph"/>
        <w:numPr>
          <w:ilvl w:val="0"/>
          <w:numId w:val="11"/>
        </w:numPr>
        <w:ind w:left="284" w:hanging="284"/>
        <w:rPr>
          <w:rFonts w:ascii="Calibri Light" w:eastAsiaTheme="minorHAnsi" w:hAnsi="Calibri Light" w:cs="Calibri Light"/>
          <w:color w:val="000000"/>
          <w:sz w:val="22"/>
          <w:szCs w:val="22"/>
        </w:rPr>
      </w:pPr>
      <w:r w:rsidRPr="00280CC1">
        <w:rPr>
          <w:rFonts w:ascii="Calibri Light" w:eastAsiaTheme="minorHAnsi" w:hAnsi="Calibri Light" w:cs="Calibri Light"/>
          <w:color w:val="000000"/>
          <w:sz w:val="22"/>
          <w:szCs w:val="22"/>
        </w:rPr>
        <w:t>Support to 11 water and 14 energy</w:t>
      </w:r>
      <w:r w:rsidR="00280CC1" w:rsidRPr="00280CC1">
        <w:rPr>
          <w:rFonts w:ascii="Calibri Light" w:eastAsiaTheme="minorHAnsi" w:hAnsi="Calibri Light" w:cs="Calibri Light"/>
          <w:color w:val="000000"/>
          <w:sz w:val="22"/>
          <w:szCs w:val="22"/>
        </w:rPr>
        <w:t xml:space="preserve"> companies</w:t>
      </w:r>
      <w:r w:rsidRPr="00280CC1">
        <w:rPr>
          <w:rFonts w:ascii="Calibri Light" w:eastAsiaTheme="minorHAnsi" w:hAnsi="Calibri Light" w:cs="Calibri Light"/>
          <w:color w:val="000000"/>
          <w:sz w:val="22"/>
          <w:szCs w:val="22"/>
        </w:rPr>
        <w:t xml:space="preserve"> to increase the financial viability </w:t>
      </w:r>
      <w:r w:rsidR="00D60545" w:rsidRPr="00280CC1">
        <w:rPr>
          <w:rFonts w:ascii="Calibri Light" w:eastAsiaTheme="minorHAnsi" w:hAnsi="Calibri Light" w:cs="Calibri Light"/>
          <w:color w:val="000000"/>
          <w:sz w:val="22"/>
          <w:szCs w:val="22"/>
        </w:rPr>
        <w:t>of</w:t>
      </w:r>
      <w:r w:rsidRPr="00280CC1">
        <w:rPr>
          <w:rFonts w:ascii="Calibri Light" w:eastAsiaTheme="minorHAnsi" w:hAnsi="Calibri Light" w:cs="Calibri Light"/>
          <w:color w:val="000000"/>
          <w:sz w:val="22"/>
          <w:szCs w:val="22"/>
        </w:rPr>
        <w:t xml:space="preserve"> bring</w:t>
      </w:r>
      <w:r w:rsidR="00D60545" w:rsidRPr="00280CC1">
        <w:rPr>
          <w:rFonts w:ascii="Calibri Light" w:eastAsiaTheme="minorHAnsi" w:hAnsi="Calibri Light" w:cs="Calibri Light"/>
          <w:color w:val="000000"/>
          <w:sz w:val="22"/>
          <w:szCs w:val="22"/>
        </w:rPr>
        <w:t>ing</w:t>
      </w:r>
      <w:r w:rsidRPr="00280CC1">
        <w:rPr>
          <w:rFonts w:ascii="Calibri Light" w:eastAsiaTheme="minorHAnsi" w:hAnsi="Calibri Light" w:cs="Calibri Light"/>
          <w:color w:val="000000"/>
          <w:sz w:val="22"/>
          <w:szCs w:val="22"/>
        </w:rPr>
        <w:t xml:space="preserve"> piped, treated water and reliable electricity to rural communities</w:t>
      </w:r>
      <w:r w:rsidR="00ED2CEC">
        <w:rPr>
          <w:rFonts w:ascii="Calibri Light" w:eastAsiaTheme="minorHAnsi" w:hAnsi="Calibri Light" w:cs="Calibri Light"/>
          <w:color w:val="000000"/>
          <w:sz w:val="22"/>
          <w:szCs w:val="22"/>
        </w:rPr>
        <w:t xml:space="preserve">, </w:t>
      </w:r>
      <w:r w:rsidR="00451D65">
        <w:rPr>
          <w:rFonts w:ascii="Calibri Light" w:eastAsiaTheme="minorHAnsi" w:hAnsi="Calibri Light" w:cs="Calibri Light"/>
          <w:color w:val="000000"/>
          <w:sz w:val="22"/>
          <w:szCs w:val="22"/>
        </w:rPr>
        <w:t>benefitting over 212</w:t>
      </w:r>
      <w:r w:rsidR="00ED2CEC">
        <w:rPr>
          <w:rFonts w:ascii="Calibri Light" w:eastAsiaTheme="minorHAnsi" w:hAnsi="Calibri Light" w:cs="Calibri Light"/>
          <w:color w:val="000000"/>
          <w:sz w:val="22"/>
          <w:szCs w:val="22"/>
        </w:rPr>
        <w:t>,000 Cambodians</w:t>
      </w:r>
      <w:r w:rsidR="00451D65">
        <w:rPr>
          <w:rFonts w:ascii="Calibri Light" w:eastAsiaTheme="minorHAnsi" w:hAnsi="Calibri Light" w:cs="Calibri Light"/>
          <w:color w:val="000000"/>
          <w:sz w:val="22"/>
          <w:szCs w:val="22"/>
        </w:rPr>
        <w:t>,</w:t>
      </w:r>
      <w:r w:rsidR="00AC7DE5" w:rsidRPr="00762380">
        <w:rPr>
          <w:rFonts w:ascii="Calibri Light" w:eastAsiaTheme="minorHAnsi" w:hAnsi="Calibri Light" w:cs="Calibri Light"/>
          <w:color w:val="000000"/>
          <w:sz w:val="22"/>
          <w:szCs w:val="22"/>
        </w:rPr>
        <w:t xml:space="preserve"> </w:t>
      </w:r>
      <w:r w:rsidR="00AC7DE5" w:rsidRPr="00AC7DE5">
        <w:rPr>
          <w:rFonts w:ascii="Calibri Light" w:eastAsiaTheme="minorHAnsi" w:hAnsi="Calibri Light" w:cs="Calibri Light"/>
          <w:color w:val="000000"/>
          <w:sz w:val="22"/>
          <w:szCs w:val="22"/>
        </w:rPr>
        <w:t>(51</w:t>
      </w:r>
      <w:r w:rsidR="000571F8">
        <w:rPr>
          <w:rFonts w:ascii="Calibri Light" w:eastAsiaTheme="minorHAnsi" w:hAnsi="Calibri Light" w:cs="Calibri Light"/>
          <w:color w:val="000000"/>
          <w:sz w:val="22"/>
          <w:szCs w:val="22"/>
        </w:rPr>
        <w:t xml:space="preserve"> per cent</w:t>
      </w:r>
      <w:r w:rsidR="00AC7DE5" w:rsidRPr="00AC7DE5">
        <w:rPr>
          <w:rFonts w:ascii="Calibri Light" w:eastAsiaTheme="minorHAnsi" w:hAnsi="Calibri Light" w:cs="Calibri Light"/>
          <w:color w:val="000000"/>
          <w:sz w:val="22"/>
          <w:szCs w:val="22"/>
        </w:rPr>
        <w:t xml:space="preserve"> of who were women),</w:t>
      </w:r>
      <w:r w:rsidR="00AC7DE5">
        <w:rPr>
          <w:rFonts w:ascii="Calibri Light" w:eastAsiaTheme="minorHAnsi" w:hAnsi="Calibri Light" w:cs="Calibri Light"/>
          <w:color w:val="000000"/>
          <w:sz w:val="22"/>
          <w:szCs w:val="22"/>
        </w:rPr>
        <w:t xml:space="preserve"> </w:t>
      </w:r>
      <w:r w:rsidR="00C21F30">
        <w:rPr>
          <w:rFonts w:ascii="Calibri Light" w:eastAsiaTheme="minorHAnsi" w:hAnsi="Calibri Light" w:cs="Calibri Light"/>
          <w:color w:val="000000"/>
          <w:sz w:val="22"/>
          <w:szCs w:val="22"/>
        </w:rPr>
        <w:t>exceeding</w:t>
      </w:r>
      <w:r w:rsidR="00451D65">
        <w:rPr>
          <w:rFonts w:ascii="Calibri Light" w:eastAsiaTheme="minorHAnsi" w:hAnsi="Calibri Light" w:cs="Calibri Light"/>
          <w:color w:val="000000"/>
          <w:sz w:val="22"/>
          <w:szCs w:val="22"/>
        </w:rPr>
        <w:t xml:space="preserve"> </w:t>
      </w:r>
      <w:r w:rsidR="00C21F30">
        <w:rPr>
          <w:rFonts w:ascii="Calibri Light" w:eastAsiaTheme="minorHAnsi" w:hAnsi="Calibri Light" w:cs="Calibri Light"/>
          <w:color w:val="000000"/>
          <w:sz w:val="22"/>
          <w:szCs w:val="22"/>
        </w:rPr>
        <w:t xml:space="preserve">targets. </w:t>
      </w:r>
    </w:p>
    <w:p w14:paraId="0FC81E41" w14:textId="681E906B" w:rsidR="007A2857" w:rsidRDefault="0029092A" w:rsidP="009E1C8A">
      <w:pPr>
        <w:pStyle w:val="ListParagraph"/>
        <w:numPr>
          <w:ilvl w:val="0"/>
          <w:numId w:val="11"/>
        </w:numPr>
        <w:ind w:left="284" w:hanging="284"/>
        <w:rPr>
          <w:rFonts w:ascii="Calibri Light" w:eastAsiaTheme="minorHAnsi" w:hAnsi="Calibri Light" w:cs="Calibri Light"/>
          <w:color w:val="000000"/>
          <w:sz w:val="22"/>
          <w:szCs w:val="22"/>
        </w:rPr>
      </w:pPr>
      <w:r w:rsidRPr="00280CC1">
        <w:rPr>
          <w:rFonts w:ascii="Calibri Light" w:eastAsiaTheme="minorHAnsi" w:hAnsi="Calibri Light" w:cs="Calibri Light"/>
          <w:color w:val="000000"/>
          <w:sz w:val="22"/>
          <w:szCs w:val="22"/>
        </w:rPr>
        <w:lastRenderedPageBreak/>
        <w:t>Rehabilitation of flood damaged roads and drainage infrastructure</w:t>
      </w:r>
      <w:r w:rsidR="00294B2F">
        <w:rPr>
          <w:rFonts w:ascii="Calibri Light" w:eastAsiaTheme="minorHAnsi" w:hAnsi="Calibri Light" w:cs="Calibri Light"/>
          <w:color w:val="000000"/>
          <w:sz w:val="22"/>
          <w:szCs w:val="22"/>
        </w:rPr>
        <w:t>,</w:t>
      </w:r>
      <w:r w:rsidR="001B0EAB" w:rsidRPr="001B0EAB">
        <w:rPr>
          <w:rFonts w:ascii="Calibri Light" w:eastAsiaTheme="minorHAnsi" w:hAnsi="Calibri Light" w:cs="Calibri Light"/>
          <w:color w:val="000000"/>
          <w:sz w:val="22"/>
          <w:szCs w:val="22"/>
        </w:rPr>
        <w:t xml:space="preserve"> </w:t>
      </w:r>
      <w:r w:rsidR="001B0EAB">
        <w:rPr>
          <w:rFonts w:ascii="Calibri Light" w:eastAsiaTheme="minorHAnsi" w:hAnsi="Calibri Light" w:cs="Calibri Light"/>
          <w:color w:val="000000"/>
          <w:sz w:val="22"/>
          <w:szCs w:val="22"/>
        </w:rPr>
        <w:t>which enhanced resilience to flooding in the future</w:t>
      </w:r>
      <w:r w:rsidRPr="00280CC1">
        <w:rPr>
          <w:rFonts w:ascii="Calibri Light" w:eastAsiaTheme="minorHAnsi" w:hAnsi="Calibri Light" w:cs="Calibri Light"/>
          <w:color w:val="000000"/>
          <w:sz w:val="22"/>
          <w:szCs w:val="22"/>
        </w:rPr>
        <w:t xml:space="preserve"> </w:t>
      </w:r>
      <w:r w:rsidR="001B0EAB">
        <w:rPr>
          <w:rFonts w:ascii="Calibri Light" w:eastAsiaTheme="minorHAnsi" w:hAnsi="Calibri Light" w:cs="Calibri Light"/>
          <w:color w:val="000000"/>
          <w:sz w:val="22"/>
          <w:szCs w:val="22"/>
        </w:rPr>
        <w:t>and</w:t>
      </w:r>
      <w:r w:rsidR="005C3C3E">
        <w:rPr>
          <w:rFonts w:ascii="Calibri Light" w:eastAsiaTheme="minorHAnsi" w:hAnsi="Calibri Light" w:cs="Calibri Light"/>
          <w:color w:val="000000"/>
          <w:sz w:val="22"/>
          <w:szCs w:val="22"/>
        </w:rPr>
        <w:t xml:space="preserve"> provid</w:t>
      </w:r>
      <w:r w:rsidR="001B0EAB">
        <w:rPr>
          <w:rFonts w:ascii="Calibri Light" w:eastAsiaTheme="minorHAnsi" w:hAnsi="Calibri Light" w:cs="Calibri Light"/>
          <w:color w:val="000000"/>
          <w:sz w:val="22"/>
          <w:szCs w:val="22"/>
        </w:rPr>
        <w:t>ed</w:t>
      </w:r>
      <w:r w:rsidRPr="00280CC1">
        <w:rPr>
          <w:rFonts w:ascii="Calibri Light" w:eastAsiaTheme="minorHAnsi" w:hAnsi="Calibri Light" w:cs="Calibri Light"/>
          <w:color w:val="000000"/>
          <w:sz w:val="22"/>
          <w:szCs w:val="22"/>
        </w:rPr>
        <w:t xml:space="preserve"> employment for unskilled labourers</w:t>
      </w:r>
      <w:r w:rsidR="000571F8">
        <w:rPr>
          <w:rFonts w:ascii="Calibri Light" w:eastAsiaTheme="minorHAnsi" w:hAnsi="Calibri Light" w:cs="Calibri Light"/>
          <w:color w:val="000000"/>
          <w:sz w:val="22"/>
          <w:szCs w:val="22"/>
        </w:rPr>
        <w:t>, 32 per cent</w:t>
      </w:r>
      <w:r w:rsidR="004653E3">
        <w:rPr>
          <w:rFonts w:ascii="Calibri Light" w:eastAsiaTheme="minorHAnsi" w:hAnsi="Calibri Light" w:cs="Calibri Light"/>
          <w:color w:val="000000"/>
          <w:sz w:val="22"/>
          <w:szCs w:val="22"/>
        </w:rPr>
        <w:t xml:space="preserve"> of who</w:t>
      </w:r>
      <w:r w:rsidR="005E3274">
        <w:rPr>
          <w:rFonts w:ascii="Calibri Light" w:eastAsiaTheme="minorHAnsi" w:hAnsi="Calibri Light" w:cs="Calibri Light"/>
          <w:color w:val="000000"/>
          <w:sz w:val="22"/>
          <w:szCs w:val="22"/>
        </w:rPr>
        <w:t>m</w:t>
      </w:r>
      <w:r w:rsidR="004653E3">
        <w:rPr>
          <w:rFonts w:ascii="Calibri Light" w:eastAsiaTheme="minorHAnsi" w:hAnsi="Calibri Light" w:cs="Calibri Light"/>
          <w:color w:val="000000"/>
          <w:sz w:val="22"/>
          <w:szCs w:val="22"/>
        </w:rPr>
        <w:t xml:space="preserve"> were women</w:t>
      </w:r>
      <w:r w:rsidR="00D65268">
        <w:rPr>
          <w:rFonts w:ascii="Calibri Light" w:eastAsiaTheme="minorHAnsi" w:hAnsi="Calibri Light" w:cs="Calibri Light"/>
          <w:color w:val="000000"/>
          <w:sz w:val="22"/>
          <w:szCs w:val="22"/>
        </w:rPr>
        <w:t>.</w:t>
      </w:r>
    </w:p>
    <w:p w14:paraId="0B3D59B7" w14:textId="77777777" w:rsidR="0029092A" w:rsidRPr="007A2857" w:rsidRDefault="0029092A" w:rsidP="009E1C8A">
      <w:pPr>
        <w:pStyle w:val="ListParagraph"/>
        <w:numPr>
          <w:ilvl w:val="0"/>
          <w:numId w:val="11"/>
        </w:numPr>
        <w:ind w:left="284" w:hanging="284"/>
        <w:rPr>
          <w:rFonts w:ascii="Calibri Light" w:eastAsiaTheme="minorHAnsi" w:hAnsi="Calibri Light" w:cs="Calibri Light"/>
          <w:color w:val="000000"/>
          <w:sz w:val="22"/>
          <w:szCs w:val="22"/>
        </w:rPr>
      </w:pPr>
      <w:r w:rsidRPr="007A2857">
        <w:rPr>
          <w:rFonts w:ascii="Calibri Light" w:eastAsiaTheme="minorHAnsi" w:hAnsi="Calibri Light" w:cs="Calibri Light"/>
          <w:color w:val="000000"/>
          <w:sz w:val="22"/>
          <w:szCs w:val="22"/>
        </w:rPr>
        <w:t xml:space="preserve">Completion of seven </w:t>
      </w:r>
      <w:r w:rsidR="007A2857" w:rsidRPr="007A2857">
        <w:rPr>
          <w:rFonts w:ascii="Calibri Light" w:eastAsiaTheme="minorHAnsi" w:hAnsi="Calibri Light" w:cs="Calibri Light"/>
          <w:color w:val="000000"/>
          <w:sz w:val="22"/>
          <w:szCs w:val="22"/>
        </w:rPr>
        <w:t xml:space="preserve">new </w:t>
      </w:r>
      <w:r w:rsidRPr="007A2857">
        <w:rPr>
          <w:rFonts w:ascii="Calibri Light" w:eastAsiaTheme="minorHAnsi" w:hAnsi="Calibri Light" w:cs="Calibri Light"/>
          <w:color w:val="000000"/>
          <w:sz w:val="22"/>
          <w:szCs w:val="22"/>
        </w:rPr>
        <w:t>irrigation schemes</w:t>
      </w:r>
      <w:r w:rsidR="00535EEA">
        <w:rPr>
          <w:rFonts w:ascii="Calibri Light" w:eastAsiaTheme="minorHAnsi" w:hAnsi="Calibri Light" w:cs="Calibri Light"/>
          <w:color w:val="000000"/>
          <w:sz w:val="22"/>
          <w:szCs w:val="22"/>
        </w:rPr>
        <w:t xml:space="preserve"> as planned</w:t>
      </w:r>
      <w:r w:rsidR="00656768" w:rsidRPr="00535EEA">
        <w:rPr>
          <w:rFonts w:ascii="Calibri Light" w:eastAsiaTheme="minorHAnsi" w:hAnsi="Calibri Light" w:cs="Calibri Light"/>
          <w:color w:val="000000"/>
          <w:sz w:val="22"/>
          <w:szCs w:val="22"/>
        </w:rPr>
        <w:t>,</w:t>
      </w:r>
      <w:r w:rsidRPr="007A2857">
        <w:rPr>
          <w:rFonts w:ascii="Calibri Light" w:eastAsiaTheme="minorHAnsi" w:hAnsi="Calibri Light" w:cs="Calibri Light"/>
          <w:color w:val="000000"/>
          <w:sz w:val="22"/>
          <w:szCs w:val="22"/>
        </w:rPr>
        <w:t xml:space="preserve"> to provide smallholder farmers</w:t>
      </w:r>
      <w:r w:rsidR="007A2857" w:rsidRPr="007A2857">
        <w:rPr>
          <w:rFonts w:ascii="Calibri Light" w:eastAsiaTheme="minorHAnsi" w:hAnsi="Calibri Light" w:cs="Calibri Light"/>
          <w:color w:val="000000"/>
          <w:sz w:val="22"/>
          <w:szCs w:val="22"/>
        </w:rPr>
        <w:t xml:space="preserve"> (8,368</w:t>
      </w:r>
      <w:r w:rsidR="00CE1957">
        <w:rPr>
          <w:rFonts w:ascii="Calibri Light" w:eastAsiaTheme="minorHAnsi" w:hAnsi="Calibri Light" w:cs="Calibri Light"/>
          <w:color w:val="000000"/>
          <w:sz w:val="22"/>
          <w:szCs w:val="22"/>
        </w:rPr>
        <w:t> </w:t>
      </w:r>
      <w:r w:rsidR="007A2857" w:rsidRPr="007A2857">
        <w:rPr>
          <w:rFonts w:ascii="Calibri Light" w:eastAsiaTheme="minorHAnsi" w:hAnsi="Calibri Light" w:cs="Calibri Light"/>
          <w:color w:val="000000"/>
          <w:sz w:val="22"/>
          <w:szCs w:val="22"/>
        </w:rPr>
        <w:t xml:space="preserve">households) </w:t>
      </w:r>
      <w:r w:rsidRPr="007A2857">
        <w:rPr>
          <w:rFonts w:ascii="Calibri Light" w:eastAsiaTheme="minorHAnsi" w:hAnsi="Calibri Light" w:cs="Calibri Light"/>
          <w:color w:val="000000"/>
          <w:sz w:val="22"/>
          <w:szCs w:val="22"/>
        </w:rPr>
        <w:t>w</w:t>
      </w:r>
      <w:r w:rsidR="007A2857" w:rsidRPr="007A2857">
        <w:rPr>
          <w:rFonts w:ascii="Calibri Light" w:eastAsiaTheme="minorHAnsi" w:hAnsi="Calibri Light" w:cs="Calibri Light"/>
          <w:color w:val="000000"/>
          <w:sz w:val="22"/>
          <w:szCs w:val="22"/>
        </w:rPr>
        <w:t>ith reliable, affordable water</w:t>
      </w:r>
      <w:r w:rsidR="00DC521C">
        <w:rPr>
          <w:rFonts w:ascii="Calibri Light" w:eastAsiaTheme="minorHAnsi" w:hAnsi="Calibri Light" w:cs="Calibri Light"/>
          <w:color w:val="000000"/>
          <w:sz w:val="22"/>
          <w:szCs w:val="22"/>
        </w:rPr>
        <w:t xml:space="preserve"> throughout the seasons and climatic changes</w:t>
      </w:r>
      <w:r w:rsidR="007A2857" w:rsidRPr="007A2857">
        <w:rPr>
          <w:rFonts w:ascii="Calibri Light" w:eastAsiaTheme="minorHAnsi" w:hAnsi="Calibri Light" w:cs="Calibri Light"/>
          <w:color w:val="000000"/>
          <w:sz w:val="22"/>
          <w:szCs w:val="22"/>
        </w:rPr>
        <w:t>.</w:t>
      </w:r>
    </w:p>
    <w:p w14:paraId="4BA77A80" w14:textId="00334E44" w:rsidR="0029092A" w:rsidRPr="00280CC1" w:rsidRDefault="000717B8" w:rsidP="009E1C8A">
      <w:pPr>
        <w:pStyle w:val="ListParagraph"/>
        <w:numPr>
          <w:ilvl w:val="0"/>
          <w:numId w:val="11"/>
        </w:numPr>
        <w:ind w:left="284" w:hanging="284"/>
        <w:rPr>
          <w:rFonts w:ascii="Calibri Light" w:eastAsiaTheme="minorHAnsi" w:hAnsi="Calibri Light" w:cs="Calibri Light"/>
          <w:color w:val="000000"/>
          <w:sz w:val="22"/>
          <w:szCs w:val="22"/>
        </w:rPr>
      </w:pPr>
      <w:r>
        <w:rPr>
          <w:rFonts w:ascii="Calibri Light" w:eastAsiaTheme="minorHAnsi" w:hAnsi="Calibri Light" w:cs="Calibri Light"/>
          <w:color w:val="000000"/>
          <w:sz w:val="22"/>
          <w:szCs w:val="22"/>
        </w:rPr>
        <w:t xml:space="preserve">Successfully transitioned management and implementation </w:t>
      </w:r>
      <w:r w:rsidR="00D011F6">
        <w:rPr>
          <w:rFonts w:ascii="Calibri Light" w:eastAsiaTheme="minorHAnsi" w:hAnsi="Calibri Light" w:cs="Calibri Light"/>
          <w:color w:val="000000"/>
          <w:sz w:val="22"/>
          <w:szCs w:val="22"/>
        </w:rPr>
        <w:t xml:space="preserve">of the Health Equity Fund, the program that subsidises health care for the poorest 20 </w:t>
      </w:r>
      <w:r w:rsidR="000571F8">
        <w:rPr>
          <w:rFonts w:ascii="Calibri Light" w:eastAsiaTheme="minorHAnsi" w:hAnsi="Calibri Light" w:cs="Calibri Light"/>
          <w:color w:val="000000"/>
          <w:sz w:val="22"/>
          <w:szCs w:val="22"/>
        </w:rPr>
        <w:t>per cent</w:t>
      </w:r>
      <w:r w:rsidR="00D011F6">
        <w:rPr>
          <w:rFonts w:ascii="Calibri Light" w:eastAsiaTheme="minorHAnsi" w:hAnsi="Calibri Light" w:cs="Calibri Light"/>
          <w:color w:val="000000"/>
          <w:sz w:val="22"/>
          <w:szCs w:val="22"/>
        </w:rPr>
        <w:t xml:space="preserve"> of the Cambodian population, </w:t>
      </w:r>
      <w:r>
        <w:rPr>
          <w:rFonts w:ascii="Calibri Light" w:eastAsiaTheme="minorHAnsi" w:hAnsi="Calibri Light" w:cs="Calibri Light"/>
          <w:color w:val="000000"/>
          <w:sz w:val="22"/>
          <w:szCs w:val="22"/>
        </w:rPr>
        <w:t xml:space="preserve">from external donors </w:t>
      </w:r>
      <w:r w:rsidR="00D011F6">
        <w:rPr>
          <w:rFonts w:ascii="Calibri Light" w:eastAsiaTheme="minorHAnsi" w:hAnsi="Calibri Light" w:cs="Calibri Light"/>
          <w:color w:val="000000"/>
          <w:sz w:val="22"/>
          <w:szCs w:val="22"/>
        </w:rPr>
        <w:t>to Government of Cambodia.</w:t>
      </w:r>
    </w:p>
    <w:p w14:paraId="7313631A" w14:textId="77777777" w:rsidR="007A2857" w:rsidRDefault="00D011F6" w:rsidP="009E1C8A">
      <w:pPr>
        <w:pStyle w:val="ListParagraph"/>
        <w:numPr>
          <w:ilvl w:val="0"/>
          <w:numId w:val="11"/>
        </w:numPr>
        <w:ind w:left="284" w:hanging="284"/>
        <w:rPr>
          <w:rFonts w:ascii="Calibri Light" w:eastAsiaTheme="minorHAnsi" w:hAnsi="Calibri Light" w:cs="Calibri Light"/>
          <w:color w:val="000000"/>
          <w:sz w:val="22"/>
          <w:szCs w:val="22"/>
        </w:rPr>
      </w:pPr>
      <w:r>
        <w:rPr>
          <w:rFonts w:ascii="Calibri Light" w:eastAsiaTheme="minorHAnsi" w:hAnsi="Calibri Light" w:cs="Calibri Light"/>
          <w:color w:val="000000"/>
          <w:sz w:val="22"/>
          <w:szCs w:val="22"/>
        </w:rPr>
        <w:t>S</w:t>
      </w:r>
      <w:r w:rsidR="0029092A" w:rsidRPr="00280CC1">
        <w:rPr>
          <w:rFonts w:ascii="Calibri Light" w:eastAsiaTheme="minorHAnsi" w:hAnsi="Calibri Light" w:cs="Calibri Light"/>
          <w:color w:val="000000"/>
          <w:sz w:val="22"/>
          <w:szCs w:val="22"/>
        </w:rPr>
        <w:t xml:space="preserve">helter, counselling, legal aid and peer support services </w:t>
      </w:r>
      <w:r>
        <w:rPr>
          <w:rFonts w:ascii="Calibri Light" w:eastAsiaTheme="minorHAnsi" w:hAnsi="Calibri Light" w:cs="Calibri Light"/>
          <w:color w:val="000000"/>
          <w:sz w:val="22"/>
          <w:szCs w:val="22"/>
        </w:rPr>
        <w:t xml:space="preserve">provided </w:t>
      </w:r>
      <w:r w:rsidR="0029092A" w:rsidRPr="00280CC1">
        <w:rPr>
          <w:rFonts w:ascii="Calibri Light" w:eastAsiaTheme="minorHAnsi" w:hAnsi="Calibri Light" w:cs="Calibri Light"/>
          <w:color w:val="000000"/>
          <w:sz w:val="22"/>
          <w:szCs w:val="22"/>
        </w:rPr>
        <w:t>to over 7,000 women and their families affected by violence</w:t>
      </w:r>
      <w:r w:rsidR="00D65268">
        <w:rPr>
          <w:rFonts w:ascii="Calibri Light" w:eastAsiaTheme="minorHAnsi" w:hAnsi="Calibri Light" w:cs="Calibri Light"/>
          <w:color w:val="000000"/>
          <w:sz w:val="22"/>
          <w:szCs w:val="22"/>
        </w:rPr>
        <w:t>.</w:t>
      </w:r>
    </w:p>
    <w:p w14:paraId="49CDDE25" w14:textId="77777777" w:rsidR="007A2857" w:rsidRPr="007A2857" w:rsidRDefault="007A2857" w:rsidP="009E1C8A">
      <w:pPr>
        <w:pStyle w:val="ListParagraph"/>
        <w:numPr>
          <w:ilvl w:val="0"/>
          <w:numId w:val="11"/>
        </w:numPr>
        <w:ind w:left="284" w:hanging="284"/>
        <w:rPr>
          <w:rFonts w:ascii="Calibri Light" w:eastAsiaTheme="minorHAnsi" w:hAnsi="Calibri Light" w:cs="Calibri Light"/>
          <w:color w:val="000000"/>
          <w:sz w:val="22"/>
          <w:szCs w:val="22"/>
        </w:rPr>
      </w:pPr>
      <w:r w:rsidRPr="007A2857">
        <w:rPr>
          <w:rFonts w:ascii="Calibri Light" w:eastAsiaTheme="minorHAnsi" w:hAnsi="Calibri Light" w:cs="Calibri Light"/>
          <w:color w:val="000000"/>
          <w:sz w:val="22"/>
          <w:szCs w:val="22"/>
        </w:rPr>
        <w:t xml:space="preserve">Support to over 12,000 people (5,311 women) with a disability to vote in the 2017 commune elections, and disability services to 26,447 people (6,590 female), </w:t>
      </w:r>
      <w:r w:rsidR="00AA0A6E">
        <w:rPr>
          <w:rFonts w:ascii="Calibri Light" w:eastAsiaTheme="minorHAnsi" w:hAnsi="Calibri Light" w:cs="Calibri Light"/>
          <w:color w:val="000000"/>
          <w:sz w:val="22"/>
          <w:szCs w:val="22"/>
        </w:rPr>
        <w:t>surpassing our</w:t>
      </w:r>
      <w:r>
        <w:rPr>
          <w:rFonts w:ascii="Calibri Light" w:eastAsiaTheme="minorHAnsi" w:hAnsi="Calibri Light" w:cs="Calibri Light"/>
          <w:color w:val="000000"/>
          <w:sz w:val="22"/>
          <w:szCs w:val="22"/>
        </w:rPr>
        <w:t xml:space="preserve"> goal by more than 40 per cent.</w:t>
      </w:r>
      <w:r w:rsidRPr="007A2857">
        <w:rPr>
          <w:rFonts w:ascii="Calibri Light" w:eastAsiaTheme="minorHAnsi" w:hAnsi="Calibri Light" w:cs="Calibri Light"/>
          <w:color w:val="000000"/>
          <w:sz w:val="22"/>
          <w:szCs w:val="22"/>
        </w:rPr>
        <w:t xml:space="preserve"> </w:t>
      </w:r>
    </w:p>
    <w:p w14:paraId="79D01B76" w14:textId="51C47C02" w:rsidR="0029092A" w:rsidRPr="00762380" w:rsidRDefault="0029092A" w:rsidP="0029092A">
      <w:pPr>
        <w:rPr>
          <w:rFonts w:ascii="Calibri Light" w:hAnsi="Calibri Light" w:cs="Calibri Light"/>
          <w:color w:val="000000"/>
          <w:lang w:val="en-AU"/>
        </w:rPr>
      </w:pPr>
      <w:r w:rsidRPr="00762380">
        <w:rPr>
          <w:rFonts w:ascii="Calibri Light" w:hAnsi="Calibri Light" w:cs="Calibri Light"/>
          <w:color w:val="000000"/>
          <w:lang w:val="en-AU"/>
        </w:rPr>
        <w:t>Consistent with the Australian Government’s commitment to an effective aid program that delivers value for money, we took decisive steps to identify and address aid investments that were performing poorly. As a result, two aid investments are now subject to detailed</w:t>
      </w:r>
      <w:r w:rsidR="005E3274" w:rsidRPr="00762380">
        <w:rPr>
          <w:rFonts w:ascii="Calibri Light" w:hAnsi="Calibri Light" w:cs="Calibri Light"/>
          <w:color w:val="000000"/>
          <w:lang w:val="en-AU"/>
        </w:rPr>
        <w:t xml:space="preserve"> </w:t>
      </w:r>
      <w:r w:rsidRPr="00762380">
        <w:rPr>
          <w:rFonts w:ascii="Calibri Light" w:hAnsi="Calibri Light" w:cs="Calibri Light"/>
          <w:color w:val="000000"/>
          <w:lang w:val="en-AU"/>
        </w:rPr>
        <w:t>remediation plans to improve their performance</w:t>
      </w:r>
      <w:r w:rsidR="00B35FE3" w:rsidRPr="00762380">
        <w:rPr>
          <w:rFonts w:ascii="Calibri Light" w:hAnsi="Calibri Light" w:cs="Calibri Light"/>
          <w:color w:val="000000"/>
          <w:lang w:val="en-AU"/>
        </w:rPr>
        <w:t>.</w:t>
      </w:r>
      <w:r w:rsidR="00D65268" w:rsidRPr="00762380">
        <w:rPr>
          <w:rFonts w:ascii="Calibri Light" w:hAnsi="Calibri Light" w:cs="Calibri Light"/>
          <w:color w:val="000000"/>
          <w:lang w:val="en-AU"/>
        </w:rPr>
        <w:t xml:space="preserve"> In addition, </w:t>
      </w:r>
      <w:r w:rsidR="00535EEA" w:rsidRPr="00762380">
        <w:rPr>
          <w:rFonts w:ascii="Calibri Light" w:hAnsi="Calibri Light" w:cs="Calibri Light"/>
          <w:color w:val="000000"/>
          <w:lang w:val="en-AU"/>
        </w:rPr>
        <w:t>an updated robust Performance Assessment Framework now supports our assessment of individual investment performance and the program as a whol</w:t>
      </w:r>
      <w:r w:rsidR="00D011F6" w:rsidRPr="00762380">
        <w:rPr>
          <w:rFonts w:ascii="Calibri Light" w:hAnsi="Calibri Light" w:cs="Calibri Light"/>
          <w:color w:val="000000"/>
          <w:lang w:val="en-AU"/>
        </w:rPr>
        <w:t>e</w:t>
      </w:r>
      <w:r w:rsidR="006617BA" w:rsidRPr="00762380">
        <w:rPr>
          <w:rFonts w:ascii="Calibri Light" w:hAnsi="Calibri Light" w:cs="Calibri Light"/>
          <w:color w:val="000000"/>
          <w:lang w:val="en-AU"/>
        </w:rPr>
        <w:t xml:space="preserve"> </w:t>
      </w:r>
      <w:r w:rsidR="005E3274" w:rsidRPr="00762380">
        <w:rPr>
          <w:rFonts w:ascii="Calibri Light" w:hAnsi="Calibri Light" w:cs="Calibri Light"/>
          <w:color w:val="000000"/>
          <w:lang w:val="en-AU"/>
        </w:rPr>
        <w:t xml:space="preserve">(see </w:t>
      </w:r>
      <w:r w:rsidR="003F3294">
        <w:rPr>
          <w:rFonts w:ascii="Calibri Light" w:hAnsi="Calibri Light" w:cs="Calibri Light"/>
          <w:color w:val="000000"/>
          <w:lang w:val="en-AU"/>
        </w:rPr>
        <w:t>Annex</w:t>
      </w:r>
      <w:r w:rsidR="00054275">
        <w:rPr>
          <w:rFonts w:ascii="Calibri Light" w:hAnsi="Calibri Light" w:cs="Calibri Light"/>
          <w:color w:val="000000"/>
          <w:lang w:val="en-AU"/>
        </w:rPr>
        <w:t xml:space="preserve"> E</w:t>
      </w:r>
      <w:r w:rsidR="005E3274" w:rsidRPr="00054275">
        <w:rPr>
          <w:rFonts w:ascii="Calibri Light" w:hAnsi="Calibri Light" w:cs="Calibri Light"/>
          <w:color w:val="000000"/>
          <w:lang w:val="en-AU"/>
        </w:rPr>
        <w:t>).</w:t>
      </w:r>
      <w:r w:rsidR="005E3274" w:rsidRPr="00762380">
        <w:rPr>
          <w:rFonts w:ascii="Calibri Light" w:hAnsi="Calibri Light" w:cs="Calibri Light"/>
          <w:color w:val="000000"/>
          <w:lang w:val="en-AU"/>
        </w:rPr>
        <w:t xml:space="preserve"> </w:t>
      </w:r>
    </w:p>
    <w:p w14:paraId="3FBA7EE5" w14:textId="77777777" w:rsidR="00E41BEF" w:rsidRPr="00280CC1" w:rsidRDefault="00E41BEF" w:rsidP="0079595A">
      <w:pPr>
        <w:pStyle w:val="ListBullet"/>
        <w:tabs>
          <w:tab w:val="clear" w:pos="284"/>
        </w:tabs>
        <w:spacing w:before="360"/>
        <w:rPr>
          <w:kern w:val="28"/>
        </w:rPr>
      </w:pPr>
      <w:r w:rsidRPr="00535EEA">
        <w:rPr>
          <w:rFonts w:asciiTheme="majorHAnsi" w:eastAsiaTheme="majorEastAsia" w:hAnsiTheme="majorHAnsi" w:cstheme="majorBidi"/>
          <w:caps/>
          <w:color w:val="495965" w:themeColor="text2"/>
          <w:sz w:val="38"/>
          <w:szCs w:val="26"/>
          <w:lang w:val="en-GB" w:eastAsia="en-US"/>
        </w:rPr>
        <w:t>Context</w:t>
      </w:r>
      <w:r w:rsidRPr="00280CC1">
        <w:rPr>
          <w:rFonts w:asciiTheme="majorHAnsi" w:eastAsiaTheme="majorEastAsia" w:hAnsiTheme="majorHAnsi" w:cstheme="majorBidi"/>
          <w:caps/>
          <w:color w:val="495965" w:themeColor="text2"/>
          <w:sz w:val="38"/>
          <w:szCs w:val="26"/>
          <w:lang w:val="en-GB" w:eastAsia="en-US"/>
        </w:rPr>
        <w:t xml:space="preserve"> </w:t>
      </w:r>
      <w:r w:rsidRPr="00280CC1">
        <w:rPr>
          <w:rFonts w:asciiTheme="majorHAnsi" w:eastAsiaTheme="majorEastAsia" w:hAnsiTheme="majorHAnsi" w:cstheme="majorBidi"/>
          <w:caps/>
          <w:color w:val="495965" w:themeColor="text2"/>
          <w:sz w:val="38"/>
          <w:szCs w:val="26"/>
          <w:lang w:val="en-GB" w:eastAsia="en-US"/>
        </w:rPr>
        <w:tab/>
      </w:r>
      <w:r w:rsidRPr="00280CC1">
        <w:rPr>
          <w:rFonts w:ascii="Helvetica" w:hAnsi="Helvetica" w:cs="Arial"/>
          <w:color w:val="007FAD"/>
          <w:kern w:val="28"/>
          <w:sz w:val="32"/>
          <w:szCs w:val="32"/>
        </w:rPr>
        <w:tab/>
      </w:r>
      <w:r w:rsidRPr="00280CC1">
        <w:rPr>
          <w:color w:val="007FAD"/>
          <w:kern w:val="28"/>
        </w:rPr>
        <w:tab/>
      </w:r>
      <w:r w:rsidRPr="00280CC1">
        <w:rPr>
          <w:color w:val="007FAD"/>
          <w:kern w:val="28"/>
        </w:rPr>
        <w:tab/>
      </w:r>
      <w:r w:rsidRPr="00280CC1">
        <w:rPr>
          <w:color w:val="007FAD"/>
          <w:kern w:val="28"/>
        </w:rPr>
        <w:tab/>
      </w:r>
      <w:r w:rsidRPr="00280CC1">
        <w:rPr>
          <w:color w:val="007FAD"/>
          <w:kern w:val="28"/>
        </w:rPr>
        <w:tab/>
      </w:r>
      <w:r w:rsidRPr="00280CC1">
        <w:rPr>
          <w:color w:val="007FAD"/>
          <w:kern w:val="28"/>
        </w:rPr>
        <w:tab/>
      </w:r>
    </w:p>
    <w:p w14:paraId="70A2E8EF" w14:textId="307D7C6D" w:rsidR="00217161" w:rsidRPr="00762380" w:rsidRDefault="00141AF0" w:rsidP="00F22567">
      <w:pPr>
        <w:ind w:right="-329"/>
        <w:rPr>
          <w:rFonts w:ascii="Calibri Light" w:hAnsi="Calibri Light" w:cs="Calibri Light"/>
          <w:color w:val="000000"/>
          <w:lang w:val="en-AU"/>
        </w:rPr>
      </w:pPr>
      <w:r w:rsidRPr="00762380">
        <w:rPr>
          <w:rFonts w:ascii="Calibri Light" w:hAnsi="Calibri Light" w:cs="Calibri Light"/>
          <w:color w:val="000000"/>
          <w:lang w:val="en-AU"/>
        </w:rPr>
        <w:t xml:space="preserve">Cambodia has made impressive gains in poverty reduction: from </w:t>
      </w:r>
      <w:r w:rsidR="00217161" w:rsidRPr="00762380">
        <w:rPr>
          <w:rFonts w:ascii="Calibri Light" w:hAnsi="Calibri Light" w:cs="Calibri Light"/>
          <w:color w:val="000000"/>
          <w:lang w:val="en-AU"/>
        </w:rPr>
        <w:t>53</w:t>
      </w:r>
      <w:r w:rsidR="00C21F30" w:rsidRPr="00762380">
        <w:rPr>
          <w:rFonts w:ascii="Calibri Light" w:hAnsi="Calibri Light" w:cs="Calibri Light"/>
          <w:color w:val="000000"/>
          <w:lang w:val="en-AU"/>
        </w:rPr>
        <w:t>.0</w:t>
      </w:r>
      <w:r w:rsidR="00217161" w:rsidRPr="00762380">
        <w:rPr>
          <w:rFonts w:ascii="Calibri Light" w:hAnsi="Calibri Light" w:cs="Calibri Light"/>
          <w:color w:val="000000"/>
          <w:lang w:val="en-AU"/>
        </w:rPr>
        <w:t xml:space="preserve"> per cent in 2004, down </w:t>
      </w:r>
      <w:r w:rsidR="005E3274" w:rsidRPr="00762380">
        <w:rPr>
          <w:rFonts w:ascii="Calibri Light" w:hAnsi="Calibri Light" w:cs="Calibri Light"/>
          <w:color w:val="000000"/>
          <w:lang w:val="en-AU"/>
        </w:rPr>
        <w:t xml:space="preserve">to </w:t>
      </w:r>
      <w:r w:rsidRPr="00762380">
        <w:rPr>
          <w:rFonts w:ascii="Calibri Light" w:hAnsi="Calibri Light" w:cs="Calibri Light"/>
          <w:color w:val="000000"/>
          <w:lang w:val="en-AU"/>
        </w:rPr>
        <w:t>13.5 per cent in 2014.</w:t>
      </w:r>
      <w:r w:rsidR="00493A3A" w:rsidRPr="00550E94">
        <w:rPr>
          <w:rFonts w:ascii="Calibri Light" w:hAnsi="Calibri Light" w:cs="Calibri Light"/>
          <w:color w:val="000000"/>
          <w:vertAlign w:val="superscript"/>
          <w:lang w:val="en-AU"/>
        </w:rPr>
        <w:footnoteReference w:id="2"/>
      </w:r>
      <w:r w:rsidRPr="00762380">
        <w:rPr>
          <w:rFonts w:ascii="Calibri Light" w:hAnsi="Calibri Light" w:cs="Calibri Light"/>
          <w:color w:val="000000"/>
          <w:lang w:val="en-AU"/>
        </w:rPr>
        <w:t xml:space="preserve"> </w:t>
      </w:r>
      <w:r w:rsidR="00217161" w:rsidRPr="00762380">
        <w:rPr>
          <w:rFonts w:ascii="Calibri Light" w:hAnsi="Calibri Light" w:cs="Calibri Light"/>
          <w:color w:val="000000"/>
          <w:lang w:val="en-AU"/>
        </w:rPr>
        <w:t>Driving this poverty reduction is Cambodia’s economic growth record - it</w:t>
      </w:r>
      <w:r w:rsidRPr="00762380">
        <w:rPr>
          <w:rFonts w:ascii="Calibri Light" w:hAnsi="Calibri Light" w:cs="Calibri Light"/>
          <w:color w:val="000000"/>
          <w:lang w:val="en-AU"/>
        </w:rPr>
        <w:t xml:space="preserve"> has been among the fastest growing</w:t>
      </w:r>
      <w:r w:rsidR="00B35FE3" w:rsidRPr="00762380">
        <w:rPr>
          <w:rFonts w:ascii="Calibri Light" w:hAnsi="Calibri Light" w:cs="Calibri Light"/>
          <w:color w:val="000000"/>
          <w:lang w:val="en-AU"/>
        </w:rPr>
        <w:t xml:space="preserve"> economies</w:t>
      </w:r>
      <w:r w:rsidRPr="00762380">
        <w:rPr>
          <w:rFonts w:ascii="Calibri Light" w:hAnsi="Calibri Light" w:cs="Calibri Light"/>
          <w:color w:val="000000"/>
          <w:lang w:val="en-AU"/>
        </w:rPr>
        <w:t xml:space="preserve"> in the world</w:t>
      </w:r>
      <w:r w:rsidR="00B35FE3" w:rsidRPr="00762380">
        <w:rPr>
          <w:rFonts w:ascii="Calibri Light" w:hAnsi="Calibri Light" w:cs="Calibri Light"/>
          <w:color w:val="000000"/>
          <w:lang w:val="en-AU"/>
        </w:rPr>
        <w:t xml:space="preserve"> over the last two decades</w:t>
      </w:r>
      <w:r w:rsidRPr="00762380">
        <w:rPr>
          <w:rFonts w:ascii="Calibri Light" w:hAnsi="Calibri Light" w:cs="Calibri Light"/>
          <w:color w:val="000000"/>
          <w:lang w:val="en-AU"/>
        </w:rPr>
        <w:t xml:space="preserve">, </w:t>
      </w:r>
      <w:r w:rsidR="00F65131" w:rsidRPr="00762380">
        <w:rPr>
          <w:rFonts w:ascii="Calibri Light" w:hAnsi="Calibri Light" w:cs="Calibri Light"/>
          <w:color w:val="000000"/>
          <w:lang w:val="en-AU"/>
        </w:rPr>
        <w:t>a particularly impressive result for a post-conflict society.</w:t>
      </w:r>
      <w:r w:rsidR="000571F8">
        <w:rPr>
          <w:rFonts w:ascii="Calibri Light" w:hAnsi="Calibri Light" w:cs="Calibri Light"/>
          <w:color w:val="000000"/>
          <w:lang w:val="en-AU"/>
        </w:rPr>
        <w:t xml:space="preserve"> </w:t>
      </w:r>
      <w:r w:rsidR="00217161" w:rsidRPr="00762380">
        <w:rPr>
          <w:rFonts w:ascii="Calibri Light" w:hAnsi="Calibri Light" w:cs="Calibri Light"/>
          <w:color w:val="000000"/>
          <w:lang w:val="en-AU"/>
        </w:rPr>
        <w:t>This</w:t>
      </w:r>
      <w:r w:rsidR="00F22567" w:rsidRPr="00762380">
        <w:rPr>
          <w:rFonts w:ascii="Calibri Light" w:hAnsi="Calibri Light" w:cs="Calibri Light"/>
          <w:color w:val="000000"/>
          <w:lang w:val="en-AU"/>
        </w:rPr>
        <w:t xml:space="preserve"> grow</w:t>
      </w:r>
      <w:r w:rsidR="00D727CD" w:rsidRPr="00762380">
        <w:rPr>
          <w:rFonts w:ascii="Calibri Light" w:hAnsi="Calibri Light" w:cs="Calibri Light"/>
          <w:color w:val="000000"/>
          <w:lang w:val="en-AU"/>
        </w:rPr>
        <w:t>th remained strong in 2016</w:t>
      </w:r>
      <w:r w:rsidR="006C5F18" w:rsidRPr="00762380">
        <w:rPr>
          <w:rFonts w:ascii="Calibri Light" w:hAnsi="Calibri Light" w:cs="Calibri Light"/>
          <w:color w:val="000000"/>
          <w:lang w:val="en-AU"/>
        </w:rPr>
        <w:t xml:space="preserve"> at seven</w:t>
      </w:r>
      <w:r w:rsidR="00D727CD" w:rsidRPr="00762380">
        <w:rPr>
          <w:rFonts w:ascii="Calibri Light" w:hAnsi="Calibri Light" w:cs="Calibri Light"/>
          <w:color w:val="000000"/>
          <w:lang w:val="en-AU"/>
        </w:rPr>
        <w:t xml:space="preserve"> per cent. </w:t>
      </w:r>
      <w:r w:rsidR="00535EEA" w:rsidRPr="00762380">
        <w:rPr>
          <w:rFonts w:ascii="Calibri Light" w:hAnsi="Calibri Light" w:cs="Calibri Light"/>
          <w:color w:val="000000"/>
          <w:lang w:val="en-AU"/>
        </w:rPr>
        <w:t>On the back of growing foreign direct investment and manufacturing exports, t</w:t>
      </w:r>
      <w:r w:rsidR="00D727CD" w:rsidRPr="00762380">
        <w:rPr>
          <w:rFonts w:ascii="Calibri Light" w:hAnsi="Calibri Light" w:cs="Calibri Light"/>
          <w:color w:val="000000"/>
          <w:lang w:val="en-AU"/>
        </w:rPr>
        <w:t xml:space="preserve">he forecast is for </w:t>
      </w:r>
      <w:r w:rsidR="00217161" w:rsidRPr="00762380">
        <w:rPr>
          <w:rFonts w:ascii="Calibri Light" w:hAnsi="Calibri Light" w:cs="Calibri Light"/>
          <w:color w:val="000000"/>
          <w:lang w:val="en-AU"/>
        </w:rPr>
        <w:t>continue</w:t>
      </w:r>
      <w:r w:rsidR="00D727CD" w:rsidRPr="00762380">
        <w:rPr>
          <w:rFonts w:ascii="Calibri Light" w:hAnsi="Calibri Light" w:cs="Calibri Light"/>
          <w:color w:val="000000"/>
          <w:lang w:val="en-AU"/>
        </w:rPr>
        <w:t>d strong growth</w:t>
      </w:r>
      <w:r w:rsidR="00217161" w:rsidRPr="00762380">
        <w:rPr>
          <w:rFonts w:ascii="Calibri Light" w:hAnsi="Calibri Light" w:cs="Calibri Light"/>
          <w:color w:val="000000"/>
          <w:lang w:val="en-AU"/>
        </w:rPr>
        <w:t xml:space="preserve"> in the coming years</w:t>
      </w:r>
      <w:r w:rsidR="00535EEA" w:rsidRPr="00762380">
        <w:rPr>
          <w:rFonts w:ascii="Calibri Light" w:hAnsi="Calibri Light" w:cs="Calibri Light"/>
          <w:color w:val="000000"/>
          <w:lang w:val="en-AU"/>
        </w:rPr>
        <w:t>.</w:t>
      </w:r>
      <w:r w:rsidR="00217161" w:rsidRPr="00762380">
        <w:rPr>
          <w:rFonts w:ascii="Calibri Light" w:hAnsi="Calibri Light" w:cs="Calibri Light"/>
          <w:color w:val="000000"/>
          <w:lang w:val="en-AU"/>
        </w:rPr>
        <w:t xml:space="preserve"> </w:t>
      </w:r>
    </w:p>
    <w:p w14:paraId="34CF1F8C" w14:textId="2845FB3B" w:rsidR="00F22567" w:rsidRPr="00762380" w:rsidRDefault="00F22567" w:rsidP="00F22567">
      <w:pPr>
        <w:ind w:right="-329"/>
        <w:rPr>
          <w:rFonts w:ascii="Calibri Light" w:hAnsi="Calibri Light" w:cs="Calibri Light"/>
          <w:color w:val="000000"/>
          <w:lang w:val="en-AU"/>
        </w:rPr>
      </w:pPr>
      <w:r w:rsidRPr="00762380">
        <w:rPr>
          <w:rFonts w:ascii="Calibri Light" w:hAnsi="Calibri Light" w:cs="Calibri Light"/>
          <w:color w:val="000000"/>
          <w:lang w:val="en-AU"/>
        </w:rPr>
        <w:t xml:space="preserve">Cambodian Government revenue is growing, and remained at a similar proportion of GDP (18.5 per cent) in 2016 </w:t>
      </w:r>
      <w:r w:rsidR="009110FF" w:rsidRPr="00762380">
        <w:rPr>
          <w:rFonts w:ascii="Calibri Light" w:hAnsi="Calibri Light" w:cs="Calibri Light"/>
          <w:color w:val="000000"/>
          <w:lang w:val="en-AU"/>
        </w:rPr>
        <w:t>as</w:t>
      </w:r>
      <w:r w:rsidRPr="00762380">
        <w:rPr>
          <w:rFonts w:ascii="Calibri Light" w:hAnsi="Calibri Light" w:cs="Calibri Light"/>
          <w:color w:val="000000"/>
          <w:lang w:val="en-AU"/>
        </w:rPr>
        <w:t xml:space="preserve"> previous years.</w:t>
      </w:r>
      <w:r w:rsidR="00493A3A" w:rsidRPr="000571F8">
        <w:rPr>
          <w:rFonts w:ascii="Calibri Light" w:hAnsi="Calibri Light" w:cs="Calibri Light"/>
          <w:color w:val="000000"/>
          <w:vertAlign w:val="superscript"/>
          <w:lang w:val="en-AU"/>
        </w:rPr>
        <w:footnoteReference w:id="3"/>
      </w:r>
      <w:r w:rsidR="00493A3A" w:rsidRPr="00762380">
        <w:rPr>
          <w:rFonts w:ascii="Calibri Light" w:hAnsi="Calibri Light" w:cs="Calibri Light"/>
          <w:color w:val="000000"/>
          <w:lang w:val="en-AU"/>
        </w:rPr>
        <w:t xml:space="preserve"> </w:t>
      </w:r>
      <w:r w:rsidRPr="00762380">
        <w:rPr>
          <w:rFonts w:ascii="Calibri Light" w:hAnsi="Calibri Light" w:cs="Calibri Light"/>
          <w:color w:val="000000"/>
          <w:lang w:val="en-AU"/>
        </w:rPr>
        <w:t xml:space="preserve">Though the national budget remains small, the Cambodian Government’s ability to use its own resources to meet public needs is steadily improving. </w:t>
      </w:r>
    </w:p>
    <w:p w14:paraId="08FA081E" w14:textId="16856F16" w:rsidR="00F22567" w:rsidRPr="00762380" w:rsidRDefault="00F22567" w:rsidP="00F22567">
      <w:pPr>
        <w:ind w:right="-330"/>
        <w:rPr>
          <w:rFonts w:ascii="Calibri Light" w:hAnsi="Calibri Light" w:cs="Calibri Light"/>
          <w:color w:val="000000"/>
          <w:lang w:val="en-AU"/>
        </w:rPr>
      </w:pPr>
      <w:r w:rsidRPr="00762380">
        <w:rPr>
          <w:rFonts w:ascii="Calibri Light" w:hAnsi="Calibri Light" w:cs="Calibri Light"/>
          <w:color w:val="000000"/>
          <w:lang w:val="en-AU"/>
        </w:rPr>
        <w:t>Incomes beyond the agriculture sector are improving due to high levels of investment in the garment and construction sectors. However, income inequality—particularly between urban and rural areas—remains high</w:t>
      </w:r>
      <w:r w:rsidR="00D5129A" w:rsidRPr="00762380">
        <w:rPr>
          <w:rFonts w:ascii="Calibri Light" w:hAnsi="Calibri Light" w:cs="Calibri Light"/>
          <w:color w:val="000000"/>
          <w:lang w:val="en-AU"/>
        </w:rPr>
        <w:t xml:space="preserve"> and risks widening</w:t>
      </w:r>
      <w:r w:rsidRPr="00762380">
        <w:rPr>
          <w:rFonts w:ascii="Calibri Light" w:hAnsi="Calibri Light" w:cs="Calibri Light"/>
          <w:color w:val="000000"/>
          <w:lang w:val="en-AU"/>
        </w:rPr>
        <w:t xml:space="preserve">. Indebtedness among low-income households is growing due to </w:t>
      </w:r>
      <w:r w:rsidR="00C430F1" w:rsidRPr="00762380">
        <w:rPr>
          <w:rFonts w:ascii="Calibri Light" w:hAnsi="Calibri Light" w:cs="Calibri Light"/>
          <w:color w:val="000000"/>
          <w:lang w:val="en-AU"/>
        </w:rPr>
        <w:t xml:space="preserve">low </w:t>
      </w:r>
      <w:r w:rsidR="001D0960" w:rsidRPr="00762380">
        <w:rPr>
          <w:rFonts w:ascii="Calibri Light" w:hAnsi="Calibri Light" w:cs="Calibri Light"/>
          <w:color w:val="000000"/>
          <w:lang w:val="en-AU"/>
        </w:rPr>
        <w:t xml:space="preserve">agricultural </w:t>
      </w:r>
      <w:r w:rsidR="00C430F1" w:rsidRPr="00762380">
        <w:rPr>
          <w:rFonts w:ascii="Calibri Light" w:hAnsi="Calibri Light" w:cs="Calibri Light"/>
          <w:color w:val="000000"/>
          <w:lang w:val="en-AU"/>
        </w:rPr>
        <w:t xml:space="preserve">commodity prices and </w:t>
      </w:r>
      <w:r w:rsidRPr="00762380">
        <w:rPr>
          <w:rFonts w:ascii="Calibri Light" w:hAnsi="Calibri Light" w:cs="Calibri Light"/>
          <w:color w:val="000000"/>
          <w:lang w:val="en-AU"/>
        </w:rPr>
        <w:t>rapid credit growth in recent years</w:t>
      </w:r>
      <w:r w:rsidR="00535EEA" w:rsidRPr="00762380">
        <w:rPr>
          <w:rFonts w:ascii="Calibri Light" w:hAnsi="Calibri Light" w:cs="Calibri Light"/>
          <w:color w:val="000000"/>
          <w:lang w:val="en-AU"/>
        </w:rPr>
        <w:t xml:space="preserve">. This </w:t>
      </w:r>
      <w:r w:rsidRPr="00762380">
        <w:rPr>
          <w:rFonts w:ascii="Calibri Light" w:hAnsi="Calibri Light" w:cs="Calibri Light"/>
          <w:color w:val="000000"/>
          <w:lang w:val="en-AU"/>
        </w:rPr>
        <w:t xml:space="preserve">leaves many Cambodians exposed to financial shocks that can result in basic needs gaps. </w:t>
      </w:r>
      <w:r w:rsidR="00535EEA" w:rsidRPr="00762380">
        <w:rPr>
          <w:rFonts w:ascii="Calibri Light" w:hAnsi="Calibri Light" w:cs="Calibri Light"/>
          <w:color w:val="000000"/>
          <w:lang w:val="en-AU"/>
        </w:rPr>
        <w:t xml:space="preserve">Other inequalities, </w:t>
      </w:r>
      <w:r w:rsidR="00CA2BFE" w:rsidRPr="00762380">
        <w:rPr>
          <w:rFonts w:ascii="Calibri Light" w:hAnsi="Calibri Light" w:cs="Calibri Light"/>
          <w:color w:val="000000"/>
          <w:lang w:val="en-AU"/>
        </w:rPr>
        <w:t xml:space="preserve">based </w:t>
      </w:r>
      <w:r w:rsidR="00AA0A6E" w:rsidRPr="00762380">
        <w:rPr>
          <w:rFonts w:ascii="Calibri Light" w:hAnsi="Calibri Light" w:cs="Calibri Light"/>
          <w:color w:val="000000"/>
          <w:lang w:val="en-AU"/>
        </w:rPr>
        <w:t>on gender and disability, remain</w:t>
      </w:r>
      <w:r w:rsidR="00535EEA" w:rsidRPr="00762380">
        <w:rPr>
          <w:rFonts w:ascii="Calibri Light" w:hAnsi="Calibri Light" w:cs="Calibri Light"/>
          <w:color w:val="000000"/>
          <w:lang w:val="en-AU"/>
        </w:rPr>
        <w:t xml:space="preserve"> </w:t>
      </w:r>
      <w:r w:rsidR="00CA2BFE" w:rsidRPr="00762380">
        <w:rPr>
          <w:rFonts w:ascii="Calibri Light" w:hAnsi="Calibri Light" w:cs="Calibri Light"/>
          <w:color w:val="000000"/>
          <w:lang w:val="en-AU"/>
        </w:rPr>
        <w:t>pressing concerns</w:t>
      </w:r>
      <w:r w:rsidR="00535EEA" w:rsidRPr="00762380">
        <w:rPr>
          <w:rFonts w:ascii="Calibri Light" w:hAnsi="Calibri Light" w:cs="Calibri Light"/>
          <w:color w:val="000000"/>
          <w:lang w:val="en-AU"/>
        </w:rPr>
        <w:t xml:space="preserve"> </w:t>
      </w:r>
      <w:r w:rsidR="00C21F30" w:rsidRPr="00762380">
        <w:rPr>
          <w:rFonts w:ascii="Calibri Light" w:hAnsi="Calibri Light" w:cs="Calibri Light"/>
          <w:color w:val="000000"/>
          <w:lang w:val="en-AU"/>
        </w:rPr>
        <w:t>particularly with the focus of the Sustainable Development Goals on leaving no one behind</w:t>
      </w:r>
      <w:r w:rsidR="00CA2BFE" w:rsidRPr="00762380">
        <w:rPr>
          <w:rFonts w:ascii="Calibri Light" w:hAnsi="Calibri Light" w:cs="Calibri Light"/>
          <w:color w:val="000000"/>
          <w:lang w:val="en-AU"/>
        </w:rPr>
        <w:t>.</w:t>
      </w:r>
    </w:p>
    <w:p w14:paraId="7B161A98" w14:textId="1C878D26" w:rsidR="00F22567" w:rsidRPr="00762380" w:rsidRDefault="00F22567" w:rsidP="00F22567">
      <w:pPr>
        <w:rPr>
          <w:rFonts w:ascii="Calibri Light" w:hAnsi="Calibri Light" w:cs="Calibri Light"/>
          <w:color w:val="000000"/>
          <w:lang w:val="en-AU"/>
        </w:rPr>
      </w:pPr>
      <w:r w:rsidRPr="00762380">
        <w:rPr>
          <w:rFonts w:ascii="Calibri Light" w:hAnsi="Calibri Light" w:cs="Calibri Light"/>
          <w:color w:val="000000"/>
          <w:lang w:val="en-AU"/>
        </w:rPr>
        <w:t xml:space="preserve">The political environment in Cambodia </w:t>
      </w:r>
      <w:r w:rsidR="00D5129A" w:rsidRPr="00762380">
        <w:rPr>
          <w:rFonts w:ascii="Calibri Light" w:hAnsi="Calibri Light" w:cs="Calibri Light"/>
          <w:color w:val="000000"/>
          <w:lang w:val="en-AU"/>
        </w:rPr>
        <w:t xml:space="preserve">over the period of this report </w:t>
      </w:r>
      <w:r w:rsidRPr="00762380">
        <w:rPr>
          <w:rFonts w:ascii="Calibri Light" w:hAnsi="Calibri Light" w:cs="Calibri Light"/>
          <w:color w:val="000000"/>
          <w:lang w:val="en-AU"/>
        </w:rPr>
        <w:t>remain</w:t>
      </w:r>
      <w:r w:rsidR="00D5129A" w:rsidRPr="00762380">
        <w:rPr>
          <w:rFonts w:ascii="Calibri Light" w:hAnsi="Calibri Light" w:cs="Calibri Light"/>
          <w:color w:val="000000"/>
          <w:lang w:val="en-AU"/>
        </w:rPr>
        <w:t>ed</w:t>
      </w:r>
      <w:r w:rsidRPr="00762380">
        <w:rPr>
          <w:rFonts w:ascii="Calibri Light" w:hAnsi="Calibri Light" w:cs="Calibri Light"/>
          <w:color w:val="000000"/>
          <w:lang w:val="en-AU"/>
        </w:rPr>
        <w:t xml:space="preserve"> fraught. Preparations for the 2017 commune council elections and the 2018 national elections dominated the political discourse</w:t>
      </w:r>
      <w:r w:rsidR="00D5129A" w:rsidRPr="00762380">
        <w:rPr>
          <w:rFonts w:ascii="Calibri Light" w:hAnsi="Calibri Light" w:cs="Calibri Light"/>
          <w:color w:val="000000"/>
          <w:lang w:val="en-AU"/>
        </w:rPr>
        <w:t>. While t</w:t>
      </w:r>
      <w:r w:rsidRPr="00762380">
        <w:rPr>
          <w:rFonts w:ascii="Calibri Light" w:hAnsi="Calibri Light" w:cs="Calibri Light"/>
          <w:color w:val="000000"/>
          <w:lang w:val="en-AU"/>
        </w:rPr>
        <w:t xml:space="preserve">he </w:t>
      </w:r>
      <w:r w:rsidR="00A42287" w:rsidRPr="00762380">
        <w:rPr>
          <w:rFonts w:ascii="Calibri Light" w:hAnsi="Calibri Light" w:cs="Calibri Light"/>
          <w:color w:val="000000"/>
          <w:lang w:val="en-AU"/>
        </w:rPr>
        <w:t xml:space="preserve">conduct of the </w:t>
      </w:r>
      <w:r w:rsidR="00535EEA" w:rsidRPr="00762380">
        <w:rPr>
          <w:rFonts w:ascii="Calibri Light" w:hAnsi="Calibri Light" w:cs="Calibri Light"/>
          <w:color w:val="000000"/>
          <w:lang w:val="en-AU"/>
        </w:rPr>
        <w:t xml:space="preserve">June 2017 </w:t>
      </w:r>
      <w:r w:rsidRPr="00762380">
        <w:rPr>
          <w:rFonts w:ascii="Calibri Light" w:hAnsi="Calibri Light" w:cs="Calibri Light"/>
          <w:color w:val="000000"/>
          <w:lang w:val="en-AU"/>
        </w:rPr>
        <w:t>commune council elections</w:t>
      </w:r>
      <w:r w:rsidR="00A42287" w:rsidRPr="00762380">
        <w:rPr>
          <w:rFonts w:ascii="Calibri Light" w:hAnsi="Calibri Light" w:cs="Calibri Light"/>
          <w:color w:val="000000"/>
          <w:lang w:val="en-AU"/>
        </w:rPr>
        <w:t xml:space="preserve"> was smooth</w:t>
      </w:r>
      <w:r w:rsidR="00D5129A" w:rsidRPr="00762380">
        <w:rPr>
          <w:rFonts w:ascii="Calibri Light" w:hAnsi="Calibri Light" w:cs="Calibri Light"/>
          <w:color w:val="000000"/>
          <w:lang w:val="en-AU"/>
        </w:rPr>
        <w:t>,</w:t>
      </w:r>
      <w:r w:rsidRPr="00762380">
        <w:rPr>
          <w:rFonts w:ascii="Calibri Light" w:hAnsi="Calibri Light" w:cs="Calibri Light"/>
          <w:color w:val="000000"/>
          <w:lang w:val="en-AU"/>
        </w:rPr>
        <w:t xml:space="preserve"> </w:t>
      </w:r>
      <w:r w:rsidR="008F61A4" w:rsidRPr="00762380">
        <w:rPr>
          <w:rFonts w:ascii="Calibri Light" w:hAnsi="Calibri Light" w:cs="Calibri Light"/>
          <w:color w:val="000000"/>
          <w:lang w:val="en-AU"/>
        </w:rPr>
        <w:t xml:space="preserve">the political atmosphere in the lead up to the election was tense, characterised by frequent legal skirmishes involving Opposition politicians, amendments to political </w:t>
      </w:r>
      <w:r w:rsidR="00D5129A" w:rsidRPr="00762380">
        <w:rPr>
          <w:rFonts w:ascii="Calibri Light" w:hAnsi="Calibri Light" w:cs="Calibri Light"/>
          <w:color w:val="000000"/>
          <w:lang w:val="en-AU"/>
        </w:rPr>
        <w:t xml:space="preserve">party </w:t>
      </w:r>
      <w:r w:rsidR="008F61A4" w:rsidRPr="00762380">
        <w:rPr>
          <w:rFonts w:ascii="Calibri Light" w:hAnsi="Calibri Light" w:cs="Calibri Light"/>
          <w:color w:val="000000"/>
          <w:lang w:val="en-AU"/>
        </w:rPr>
        <w:t>laws and heightened rhetoric. The</w:t>
      </w:r>
      <w:r w:rsidRPr="00762380">
        <w:rPr>
          <w:rFonts w:ascii="Calibri Light" w:hAnsi="Calibri Light" w:cs="Calibri Light"/>
          <w:color w:val="000000"/>
          <w:lang w:val="en-AU"/>
        </w:rPr>
        <w:t xml:space="preserve"> </w:t>
      </w:r>
      <w:r w:rsidR="00D5129A" w:rsidRPr="00762380">
        <w:rPr>
          <w:rFonts w:ascii="Calibri Light" w:hAnsi="Calibri Light" w:cs="Calibri Light"/>
          <w:color w:val="000000"/>
          <w:lang w:val="en-AU"/>
        </w:rPr>
        <w:t xml:space="preserve">situation deteriorated in September </w:t>
      </w:r>
      <w:r w:rsidR="00731C94" w:rsidRPr="00762380">
        <w:rPr>
          <w:rFonts w:ascii="Calibri Light" w:hAnsi="Calibri Light" w:cs="Calibri Light"/>
          <w:color w:val="000000"/>
          <w:lang w:val="en-AU"/>
        </w:rPr>
        <w:t xml:space="preserve">2017 and </w:t>
      </w:r>
      <w:r w:rsidRPr="00762380">
        <w:rPr>
          <w:rFonts w:ascii="Calibri Light" w:hAnsi="Calibri Light" w:cs="Calibri Light"/>
          <w:color w:val="000000"/>
          <w:lang w:val="en-AU"/>
        </w:rPr>
        <w:t xml:space="preserve">will remain unpredictable </w:t>
      </w:r>
      <w:r w:rsidR="00731C94" w:rsidRPr="00762380">
        <w:rPr>
          <w:rFonts w:ascii="Calibri Light" w:hAnsi="Calibri Light" w:cs="Calibri Light"/>
          <w:color w:val="000000"/>
          <w:lang w:val="en-AU"/>
        </w:rPr>
        <w:t>in coming months</w:t>
      </w:r>
      <w:r w:rsidRPr="00762380">
        <w:rPr>
          <w:rFonts w:ascii="Calibri Light" w:hAnsi="Calibri Light" w:cs="Calibri Light"/>
          <w:color w:val="000000"/>
          <w:lang w:val="en-AU"/>
        </w:rPr>
        <w:t xml:space="preserve">, with national elections scheduled to take place in </w:t>
      </w:r>
      <w:r w:rsidR="000571F8">
        <w:rPr>
          <w:rFonts w:ascii="Calibri Light" w:hAnsi="Calibri Light" w:cs="Calibri Light"/>
          <w:color w:val="000000"/>
          <w:lang w:val="en-AU"/>
        </w:rPr>
        <w:br/>
      </w:r>
      <w:r w:rsidRPr="00762380">
        <w:rPr>
          <w:rFonts w:ascii="Calibri Light" w:hAnsi="Calibri Light" w:cs="Calibri Light"/>
          <w:color w:val="000000"/>
          <w:lang w:val="en-AU"/>
        </w:rPr>
        <w:t>July</w:t>
      </w:r>
      <w:r w:rsidR="000571F8">
        <w:rPr>
          <w:rFonts w:ascii="Calibri Light" w:hAnsi="Calibri Light" w:cs="Calibri Light"/>
          <w:color w:val="000000"/>
          <w:lang w:val="en-AU"/>
        </w:rPr>
        <w:t xml:space="preserve"> 2018</w:t>
      </w:r>
      <w:r w:rsidRPr="00762380">
        <w:rPr>
          <w:rFonts w:ascii="Calibri Light" w:hAnsi="Calibri Light" w:cs="Calibri Light"/>
          <w:color w:val="000000"/>
          <w:lang w:val="en-AU"/>
        </w:rPr>
        <w:t>.</w:t>
      </w:r>
    </w:p>
    <w:p w14:paraId="1A074629" w14:textId="6C3A35D6" w:rsidR="00AC4C69" w:rsidRPr="00762380" w:rsidRDefault="00AC4C69" w:rsidP="00F22567">
      <w:pPr>
        <w:ind w:right="-330"/>
        <w:rPr>
          <w:rFonts w:ascii="Calibri Light" w:hAnsi="Calibri Light" w:cs="Calibri Light"/>
          <w:color w:val="000000"/>
          <w:lang w:val="en-AU"/>
        </w:rPr>
      </w:pPr>
      <w:r w:rsidRPr="00762380">
        <w:rPr>
          <w:rFonts w:ascii="Calibri Light" w:hAnsi="Calibri Light" w:cs="Calibri Light"/>
          <w:color w:val="000000"/>
          <w:lang w:val="en-AU"/>
        </w:rPr>
        <w:t xml:space="preserve">As outlined in </w:t>
      </w:r>
      <w:r w:rsidR="00BD077D">
        <w:rPr>
          <w:rFonts w:ascii="Calibri Light" w:hAnsi="Calibri Light" w:cs="Calibri Light"/>
          <w:color w:val="000000"/>
          <w:lang w:val="en-AU"/>
        </w:rPr>
        <w:t>the</w:t>
      </w:r>
      <w:r w:rsidRPr="00762380">
        <w:rPr>
          <w:rFonts w:ascii="Calibri Light" w:hAnsi="Calibri Light" w:cs="Calibri Light"/>
          <w:color w:val="000000"/>
          <w:lang w:val="en-AU"/>
        </w:rPr>
        <w:t xml:space="preserve"> </w:t>
      </w:r>
      <w:r w:rsidR="000571F8">
        <w:rPr>
          <w:rFonts w:ascii="Calibri Light" w:hAnsi="Calibri Light" w:cs="Calibri Light"/>
          <w:color w:val="000000"/>
          <w:lang w:val="en-AU"/>
        </w:rPr>
        <w:t xml:space="preserve">Cambodia </w:t>
      </w:r>
      <w:r w:rsidR="00BD077D">
        <w:rPr>
          <w:rFonts w:ascii="Calibri Light" w:hAnsi="Calibri Light" w:cs="Calibri Light"/>
          <w:color w:val="000000"/>
          <w:lang w:val="en-AU"/>
        </w:rPr>
        <w:t>AIP</w:t>
      </w:r>
      <w:r w:rsidR="00DC521C" w:rsidRPr="00762380">
        <w:rPr>
          <w:rFonts w:ascii="Calibri Light" w:hAnsi="Calibri Light" w:cs="Calibri Light"/>
          <w:color w:val="000000"/>
          <w:lang w:val="en-AU"/>
        </w:rPr>
        <w:t xml:space="preserve"> </w:t>
      </w:r>
      <w:r w:rsidRPr="00762380">
        <w:rPr>
          <w:rFonts w:ascii="Calibri Light" w:hAnsi="Calibri Light" w:cs="Calibri Light"/>
          <w:color w:val="000000"/>
          <w:lang w:val="en-AU"/>
        </w:rPr>
        <w:t xml:space="preserve">2015-2018, Australia’s aid program prioritises three key objectives: improving access to infrastructure; increasing agricultural productivity; and, better health and education. Across all our </w:t>
      </w:r>
      <w:r w:rsidR="00365361" w:rsidRPr="00762380">
        <w:rPr>
          <w:rFonts w:ascii="Calibri Light" w:hAnsi="Calibri Light" w:cs="Calibri Light"/>
          <w:color w:val="000000"/>
          <w:lang w:val="en-AU"/>
        </w:rPr>
        <w:t xml:space="preserve">aid </w:t>
      </w:r>
      <w:r w:rsidR="002A4B77" w:rsidRPr="00762380">
        <w:rPr>
          <w:rFonts w:ascii="Calibri Light" w:hAnsi="Calibri Light" w:cs="Calibri Light"/>
          <w:color w:val="000000"/>
          <w:lang w:val="en-AU"/>
        </w:rPr>
        <w:t xml:space="preserve">investments </w:t>
      </w:r>
      <w:r w:rsidRPr="00762380">
        <w:rPr>
          <w:rFonts w:ascii="Calibri Light" w:hAnsi="Calibri Light" w:cs="Calibri Light"/>
          <w:color w:val="000000"/>
          <w:lang w:val="en-AU"/>
        </w:rPr>
        <w:t xml:space="preserve">we </w:t>
      </w:r>
      <w:r w:rsidR="00A73FAE" w:rsidRPr="00762380">
        <w:rPr>
          <w:rFonts w:ascii="Calibri Light" w:hAnsi="Calibri Light" w:cs="Calibri Light"/>
          <w:color w:val="000000"/>
          <w:lang w:val="en-AU"/>
        </w:rPr>
        <w:t>focus on</w:t>
      </w:r>
      <w:r w:rsidR="002A4B77" w:rsidRPr="00762380">
        <w:rPr>
          <w:rFonts w:ascii="Calibri Light" w:hAnsi="Calibri Light" w:cs="Calibri Light"/>
          <w:color w:val="000000"/>
          <w:lang w:val="en-AU"/>
        </w:rPr>
        <w:t xml:space="preserve"> </w:t>
      </w:r>
      <w:r w:rsidRPr="00762380">
        <w:rPr>
          <w:rFonts w:ascii="Calibri Light" w:hAnsi="Calibri Light" w:cs="Calibri Light"/>
          <w:color w:val="000000"/>
          <w:lang w:val="en-AU"/>
        </w:rPr>
        <w:t>inclusive participation, governance, women’s empowerment and disability. Our support prioritise</w:t>
      </w:r>
      <w:r w:rsidR="00365361" w:rsidRPr="00762380">
        <w:rPr>
          <w:rFonts w:ascii="Calibri Light" w:hAnsi="Calibri Light" w:cs="Calibri Light"/>
          <w:color w:val="000000"/>
          <w:lang w:val="en-AU"/>
        </w:rPr>
        <w:t>s</w:t>
      </w:r>
      <w:r w:rsidRPr="00762380">
        <w:rPr>
          <w:rFonts w:ascii="Calibri Light" w:hAnsi="Calibri Light" w:cs="Calibri Light"/>
          <w:color w:val="000000"/>
          <w:lang w:val="en-AU"/>
        </w:rPr>
        <w:t xml:space="preserve"> innovati</w:t>
      </w:r>
      <w:r w:rsidR="00365361" w:rsidRPr="00762380">
        <w:rPr>
          <w:rFonts w:ascii="Calibri Light" w:hAnsi="Calibri Light" w:cs="Calibri Light"/>
          <w:color w:val="000000"/>
          <w:lang w:val="en-AU"/>
        </w:rPr>
        <w:t xml:space="preserve">ve approaches to delivering aid, particularly working </w:t>
      </w:r>
      <w:r w:rsidRPr="00762380">
        <w:rPr>
          <w:rFonts w:ascii="Calibri Light" w:hAnsi="Calibri Light" w:cs="Calibri Light"/>
          <w:color w:val="000000"/>
          <w:lang w:val="en-AU"/>
        </w:rPr>
        <w:t>closely with the private sector to dri</w:t>
      </w:r>
      <w:r w:rsidR="00365361" w:rsidRPr="00762380">
        <w:rPr>
          <w:rFonts w:ascii="Calibri Light" w:hAnsi="Calibri Light" w:cs="Calibri Light"/>
          <w:color w:val="000000"/>
          <w:lang w:val="en-AU"/>
        </w:rPr>
        <w:t>ve growth and reduce poverty</w:t>
      </w:r>
      <w:r w:rsidR="00A73FAE" w:rsidRPr="00762380">
        <w:rPr>
          <w:rFonts w:ascii="Calibri Light" w:hAnsi="Calibri Light" w:cs="Calibri Light"/>
          <w:color w:val="000000"/>
          <w:lang w:val="en-AU"/>
        </w:rPr>
        <w:t xml:space="preserve">. At the mid-point of our AIP, </w:t>
      </w:r>
      <w:r w:rsidRPr="00762380">
        <w:rPr>
          <w:rFonts w:ascii="Calibri Light" w:hAnsi="Calibri Light" w:cs="Calibri Light"/>
          <w:color w:val="000000"/>
          <w:lang w:val="en-AU"/>
        </w:rPr>
        <w:t xml:space="preserve">we judge our aid program to Cambodia </w:t>
      </w:r>
      <w:r w:rsidR="00365361" w:rsidRPr="00762380">
        <w:rPr>
          <w:rFonts w:ascii="Calibri Light" w:hAnsi="Calibri Light" w:cs="Calibri Light"/>
          <w:color w:val="000000"/>
          <w:lang w:val="en-AU"/>
        </w:rPr>
        <w:t xml:space="preserve">is </w:t>
      </w:r>
      <w:r w:rsidR="00365361" w:rsidRPr="00762380">
        <w:rPr>
          <w:rFonts w:ascii="Calibri Light" w:hAnsi="Calibri Light" w:cs="Calibri Light"/>
          <w:color w:val="000000"/>
          <w:lang w:val="en-AU"/>
        </w:rPr>
        <w:lastRenderedPageBreak/>
        <w:t>delivering on these commitment</w:t>
      </w:r>
      <w:r w:rsidR="00A42287" w:rsidRPr="00762380">
        <w:rPr>
          <w:rFonts w:ascii="Calibri Light" w:hAnsi="Calibri Light" w:cs="Calibri Light"/>
          <w:color w:val="000000"/>
          <w:lang w:val="en-AU"/>
        </w:rPr>
        <w:t>s</w:t>
      </w:r>
      <w:r w:rsidR="00A73FAE" w:rsidRPr="00762380">
        <w:rPr>
          <w:rFonts w:ascii="Calibri Light" w:hAnsi="Calibri Light" w:cs="Calibri Light"/>
          <w:color w:val="000000"/>
          <w:lang w:val="en-AU"/>
        </w:rPr>
        <w:t xml:space="preserve">. Our aid program </w:t>
      </w:r>
      <w:r w:rsidR="00365361" w:rsidRPr="00762380">
        <w:rPr>
          <w:rFonts w:ascii="Calibri Light" w:hAnsi="Calibri Light" w:cs="Calibri Light"/>
          <w:color w:val="000000"/>
          <w:lang w:val="en-AU"/>
        </w:rPr>
        <w:t xml:space="preserve">remains relevant to </w:t>
      </w:r>
      <w:r w:rsidR="00A42287" w:rsidRPr="00762380">
        <w:rPr>
          <w:rFonts w:ascii="Calibri Light" w:hAnsi="Calibri Light" w:cs="Calibri Light"/>
          <w:color w:val="000000"/>
          <w:lang w:val="en-AU"/>
        </w:rPr>
        <w:t>development needs and aligns</w:t>
      </w:r>
      <w:r w:rsidR="00365361" w:rsidRPr="00762380">
        <w:rPr>
          <w:rFonts w:ascii="Calibri Light" w:hAnsi="Calibri Light" w:cs="Calibri Light"/>
          <w:color w:val="000000"/>
          <w:lang w:val="en-AU"/>
        </w:rPr>
        <w:t xml:space="preserve"> strongly to the </w:t>
      </w:r>
      <w:r w:rsidR="00A73FAE" w:rsidRPr="00762380">
        <w:rPr>
          <w:rFonts w:ascii="Calibri Light" w:hAnsi="Calibri Light" w:cs="Calibri Light"/>
          <w:color w:val="000000"/>
          <w:lang w:val="en-AU"/>
        </w:rPr>
        <w:t>Cambodian G</w:t>
      </w:r>
      <w:r w:rsidR="00365361" w:rsidRPr="00762380">
        <w:rPr>
          <w:rFonts w:ascii="Calibri Light" w:hAnsi="Calibri Light" w:cs="Calibri Light"/>
          <w:color w:val="000000"/>
          <w:lang w:val="en-AU"/>
        </w:rPr>
        <w:t xml:space="preserve">overnment’s priorities for development. </w:t>
      </w:r>
    </w:p>
    <w:p w14:paraId="241B5FFF" w14:textId="77777777" w:rsidR="00F22567" w:rsidRPr="00762380" w:rsidRDefault="00F22567" w:rsidP="00F22567">
      <w:pPr>
        <w:ind w:right="-330"/>
        <w:rPr>
          <w:rFonts w:ascii="Calibri Light" w:hAnsi="Calibri Light" w:cs="Calibri Light"/>
          <w:color w:val="000000"/>
          <w:lang w:val="en-AU"/>
        </w:rPr>
      </w:pPr>
      <w:r w:rsidRPr="00762380">
        <w:rPr>
          <w:rFonts w:ascii="Calibri Light" w:hAnsi="Calibri Light" w:cs="Calibri Light"/>
          <w:color w:val="000000"/>
          <w:lang w:val="en-AU"/>
        </w:rPr>
        <w:t>Our aid program has influenced how Cambodian Government revenue is budgeted. Our policy dialogue on health budget issues has translated to more equitable and higher-quality public health services. Long-standing Australian support to public financial management reform has also helped establish electronic systems for more robust financial management, and better</w:t>
      </w:r>
      <w:r w:rsidR="008C4810" w:rsidRPr="00762380">
        <w:rPr>
          <w:rFonts w:ascii="Calibri Light" w:hAnsi="Calibri Light" w:cs="Calibri Light"/>
          <w:color w:val="000000"/>
          <w:lang w:val="en-AU"/>
        </w:rPr>
        <w:t xml:space="preserve"> links between budget processes and</w:t>
      </w:r>
      <w:r w:rsidRPr="00762380">
        <w:rPr>
          <w:rFonts w:ascii="Calibri Light" w:hAnsi="Calibri Light" w:cs="Calibri Light"/>
          <w:color w:val="000000"/>
          <w:lang w:val="en-AU"/>
        </w:rPr>
        <w:t xml:space="preserve"> policy priorities. Such reforms </w:t>
      </w:r>
      <w:r w:rsidR="004653E3" w:rsidRPr="00762380">
        <w:rPr>
          <w:rFonts w:ascii="Calibri Light" w:hAnsi="Calibri Light" w:cs="Calibri Light"/>
          <w:color w:val="000000"/>
          <w:lang w:val="en-AU"/>
        </w:rPr>
        <w:t>underpin</w:t>
      </w:r>
      <w:r w:rsidR="008F61A4" w:rsidRPr="00762380">
        <w:rPr>
          <w:rFonts w:ascii="Calibri Light" w:hAnsi="Calibri Light" w:cs="Calibri Light"/>
          <w:color w:val="000000"/>
          <w:lang w:val="en-AU"/>
        </w:rPr>
        <w:t xml:space="preserve"> economic</w:t>
      </w:r>
      <w:r w:rsidRPr="00762380">
        <w:rPr>
          <w:rFonts w:ascii="Calibri Light" w:hAnsi="Calibri Light" w:cs="Calibri Light"/>
          <w:color w:val="000000"/>
          <w:lang w:val="en-AU"/>
        </w:rPr>
        <w:t xml:space="preserve"> stability and broad-based prosperity. </w:t>
      </w:r>
    </w:p>
    <w:p w14:paraId="493E8FF4" w14:textId="67E78944" w:rsidR="00F22567" w:rsidRPr="00762380" w:rsidRDefault="00F22567" w:rsidP="00F22567">
      <w:pPr>
        <w:ind w:right="-330"/>
        <w:rPr>
          <w:rFonts w:ascii="Calibri Light" w:hAnsi="Calibri Light" w:cs="Calibri Light"/>
          <w:color w:val="000000"/>
          <w:lang w:val="en-AU"/>
        </w:rPr>
      </w:pPr>
      <w:r w:rsidRPr="00762380">
        <w:rPr>
          <w:rFonts w:ascii="Calibri Light" w:hAnsi="Calibri Light" w:cs="Calibri Light"/>
          <w:color w:val="000000"/>
          <w:lang w:val="en-AU"/>
        </w:rPr>
        <w:t>Australia contributes to areas outside the scope of the Cambodian Government’s national budget through our support to civil society and private sector focused aid investments. Australia’s proactive approach to private sector development</w:t>
      </w:r>
      <w:r w:rsidR="001D0960" w:rsidRPr="00762380">
        <w:rPr>
          <w:rFonts w:ascii="Calibri Light" w:hAnsi="Calibri Light" w:cs="Calibri Light"/>
          <w:color w:val="000000"/>
          <w:lang w:val="en-AU"/>
        </w:rPr>
        <w:t>—</w:t>
      </w:r>
      <w:r w:rsidRPr="00762380">
        <w:rPr>
          <w:rFonts w:ascii="Calibri Light" w:hAnsi="Calibri Light" w:cs="Calibri Light"/>
          <w:color w:val="000000"/>
          <w:lang w:val="en-AU"/>
        </w:rPr>
        <w:t>through</w:t>
      </w:r>
      <w:r w:rsidR="001D0960" w:rsidRPr="00762380">
        <w:rPr>
          <w:rFonts w:ascii="Calibri Light" w:hAnsi="Calibri Light" w:cs="Calibri Light"/>
          <w:color w:val="000000"/>
          <w:lang w:val="en-AU"/>
        </w:rPr>
        <w:t xml:space="preserve"> </w:t>
      </w:r>
      <w:r w:rsidRPr="00762380">
        <w:rPr>
          <w:rFonts w:ascii="Calibri Light" w:hAnsi="Calibri Light" w:cs="Calibri Light"/>
          <w:color w:val="000000"/>
          <w:lang w:val="en-AU"/>
        </w:rPr>
        <w:t>our agriculture and infrastructure aid investments</w:t>
      </w:r>
      <w:r w:rsidR="001D0960" w:rsidRPr="00762380">
        <w:rPr>
          <w:rFonts w:ascii="Calibri Light" w:hAnsi="Calibri Light" w:cs="Calibri Light"/>
          <w:color w:val="000000"/>
          <w:lang w:val="en-AU"/>
        </w:rPr>
        <w:t>—</w:t>
      </w:r>
      <w:r w:rsidRPr="00762380">
        <w:rPr>
          <w:rFonts w:ascii="Calibri Light" w:hAnsi="Calibri Light" w:cs="Calibri Light"/>
          <w:color w:val="000000"/>
          <w:lang w:val="en-AU"/>
        </w:rPr>
        <w:t>is</w:t>
      </w:r>
      <w:r w:rsidR="001D0960" w:rsidRPr="00762380">
        <w:rPr>
          <w:rFonts w:ascii="Calibri Light" w:hAnsi="Calibri Light" w:cs="Calibri Light"/>
          <w:color w:val="000000"/>
          <w:lang w:val="en-AU"/>
        </w:rPr>
        <w:t xml:space="preserve"> </w:t>
      </w:r>
      <w:r w:rsidR="00CA2BFE" w:rsidRPr="00762380">
        <w:rPr>
          <w:rFonts w:ascii="Calibri Light" w:hAnsi="Calibri Light" w:cs="Calibri Light"/>
          <w:color w:val="000000"/>
          <w:lang w:val="en-AU"/>
        </w:rPr>
        <w:t>achieving strong results</w:t>
      </w:r>
      <w:r w:rsidR="005D30D1" w:rsidRPr="00762380">
        <w:rPr>
          <w:rFonts w:ascii="Calibri Light" w:hAnsi="Calibri Light" w:cs="Calibri Light"/>
          <w:color w:val="000000"/>
          <w:lang w:val="en-AU"/>
        </w:rPr>
        <w:t xml:space="preserve">. </w:t>
      </w:r>
      <w:r w:rsidR="00A42287" w:rsidRPr="00762380">
        <w:rPr>
          <w:rFonts w:ascii="Calibri Light" w:hAnsi="Calibri Light" w:cs="Calibri Light"/>
          <w:color w:val="000000"/>
          <w:lang w:val="en-AU"/>
        </w:rPr>
        <w:t xml:space="preserve">This </w:t>
      </w:r>
      <w:r w:rsidR="00C7593D" w:rsidRPr="00762380">
        <w:rPr>
          <w:rFonts w:ascii="Calibri Light" w:hAnsi="Calibri Light" w:cs="Calibri Light"/>
          <w:color w:val="000000"/>
          <w:lang w:val="en-AU"/>
        </w:rPr>
        <w:t xml:space="preserve">is </w:t>
      </w:r>
      <w:r w:rsidRPr="00762380">
        <w:rPr>
          <w:rFonts w:ascii="Calibri Light" w:hAnsi="Calibri Light" w:cs="Calibri Light"/>
          <w:color w:val="000000"/>
          <w:lang w:val="en-AU"/>
        </w:rPr>
        <w:t xml:space="preserve">valued by </w:t>
      </w:r>
      <w:r w:rsidR="00A42287" w:rsidRPr="00762380">
        <w:rPr>
          <w:rFonts w:ascii="Calibri Light" w:hAnsi="Calibri Light" w:cs="Calibri Light"/>
          <w:color w:val="000000"/>
          <w:lang w:val="en-AU"/>
        </w:rPr>
        <w:t>civil society and</w:t>
      </w:r>
      <w:r w:rsidR="00C7593D" w:rsidRPr="00762380">
        <w:rPr>
          <w:rFonts w:ascii="Calibri Light" w:hAnsi="Calibri Light" w:cs="Calibri Light"/>
          <w:color w:val="000000"/>
          <w:lang w:val="en-AU"/>
        </w:rPr>
        <w:t xml:space="preserve"> increasingly by </w:t>
      </w:r>
      <w:r w:rsidRPr="00762380">
        <w:rPr>
          <w:rFonts w:ascii="Calibri Light" w:hAnsi="Calibri Light" w:cs="Calibri Light"/>
          <w:color w:val="000000"/>
          <w:lang w:val="en-AU"/>
        </w:rPr>
        <w:t>the Cambodian Government. While there are risks with this approach, and impacts are difficult to predict at the outset of new programs, a focus on the private sector has proved to be effective.</w:t>
      </w:r>
    </w:p>
    <w:p w14:paraId="00256713" w14:textId="6BA4BCBB" w:rsidR="00F22567" w:rsidRPr="00762380" w:rsidRDefault="00F22567" w:rsidP="00F22567">
      <w:pPr>
        <w:rPr>
          <w:rFonts w:ascii="Calibri Light" w:hAnsi="Calibri Light" w:cs="Calibri Light"/>
          <w:color w:val="000000"/>
          <w:lang w:val="en-AU"/>
        </w:rPr>
      </w:pPr>
      <w:r w:rsidRPr="00762380">
        <w:rPr>
          <w:rFonts w:ascii="Calibri Light" w:hAnsi="Calibri Light" w:cs="Calibri Light"/>
          <w:color w:val="000000"/>
          <w:lang w:val="en-AU"/>
        </w:rPr>
        <w:t xml:space="preserve">In 2016-17, Australia </w:t>
      </w:r>
      <w:r w:rsidR="00690F45" w:rsidRPr="00762380">
        <w:rPr>
          <w:rFonts w:ascii="Calibri Light" w:hAnsi="Calibri Light" w:cs="Calibri Light"/>
          <w:color w:val="000000"/>
          <w:lang w:val="en-AU"/>
        </w:rPr>
        <w:t xml:space="preserve">was </w:t>
      </w:r>
      <w:r w:rsidRPr="00762380">
        <w:rPr>
          <w:rFonts w:ascii="Calibri Light" w:hAnsi="Calibri Light" w:cs="Calibri Light"/>
          <w:color w:val="000000"/>
          <w:lang w:val="en-AU"/>
        </w:rPr>
        <w:t>Ca</w:t>
      </w:r>
      <w:r w:rsidR="00805D0C">
        <w:rPr>
          <w:rFonts w:ascii="Calibri Light" w:hAnsi="Calibri Light" w:cs="Calibri Light"/>
          <w:color w:val="000000"/>
          <w:lang w:val="en-AU"/>
        </w:rPr>
        <w:t>mbodia’s fourth largest bilateral</w:t>
      </w:r>
      <w:r w:rsidRPr="00762380">
        <w:rPr>
          <w:rFonts w:ascii="Calibri Light" w:hAnsi="Calibri Light" w:cs="Calibri Light"/>
          <w:color w:val="000000"/>
          <w:lang w:val="en-AU"/>
        </w:rPr>
        <w:t xml:space="preserve"> donor. China consolidated its position as Cambodia’s largest donor, while Japan</w:t>
      </w:r>
      <w:r w:rsidR="00805D0C">
        <w:rPr>
          <w:rFonts w:ascii="Calibri Light" w:hAnsi="Calibri Light" w:cs="Calibri Light"/>
          <w:color w:val="000000"/>
          <w:lang w:val="en-AU"/>
        </w:rPr>
        <w:t xml:space="preserve"> (USD $120</w:t>
      </w:r>
      <w:r w:rsidR="00C834DE" w:rsidRPr="00762380">
        <w:rPr>
          <w:rFonts w:ascii="Calibri Light" w:hAnsi="Calibri Light" w:cs="Calibri Light"/>
          <w:color w:val="000000"/>
          <w:lang w:val="en-AU"/>
        </w:rPr>
        <w:t xml:space="preserve"> million)</w:t>
      </w:r>
      <w:r w:rsidRPr="00762380">
        <w:rPr>
          <w:rFonts w:ascii="Calibri Light" w:hAnsi="Calibri Light" w:cs="Calibri Light"/>
          <w:color w:val="000000"/>
          <w:lang w:val="en-AU"/>
        </w:rPr>
        <w:t xml:space="preserve"> and the United States</w:t>
      </w:r>
      <w:r w:rsidR="00C834DE" w:rsidRPr="00762380">
        <w:rPr>
          <w:rFonts w:ascii="Calibri Light" w:hAnsi="Calibri Light" w:cs="Calibri Light"/>
          <w:color w:val="000000"/>
          <w:lang w:val="en-AU"/>
        </w:rPr>
        <w:t xml:space="preserve"> (USD</w:t>
      </w:r>
      <w:r w:rsidR="00EB5081" w:rsidRPr="00762380">
        <w:rPr>
          <w:rFonts w:ascii="Calibri Light" w:hAnsi="Calibri Light" w:cs="Calibri Light"/>
          <w:color w:val="000000"/>
          <w:lang w:val="en-AU"/>
        </w:rPr>
        <w:t xml:space="preserve"> </w:t>
      </w:r>
      <w:r w:rsidR="00805D0C">
        <w:rPr>
          <w:rFonts w:ascii="Calibri Light" w:hAnsi="Calibri Light" w:cs="Calibri Light"/>
          <w:color w:val="000000"/>
          <w:lang w:val="en-AU"/>
        </w:rPr>
        <w:t>$71</w:t>
      </w:r>
      <w:r w:rsidR="00C834DE" w:rsidRPr="00762380">
        <w:rPr>
          <w:rFonts w:ascii="Calibri Light" w:hAnsi="Calibri Light" w:cs="Calibri Light"/>
          <w:color w:val="000000"/>
          <w:lang w:val="en-AU"/>
        </w:rPr>
        <w:t xml:space="preserve"> million)</w:t>
      </w:r>
      <w:r w:rsidRPr="00762380">
        <w:rPr>
          <w:rFonts w:ascii="Calibri Light" w:hAnsi="Calibri Light" w:cs="Calibri Light"/>
          <w:color w:val="000000"/>
          <w:lang w:val="en-AU"/>
        </w:rPr>
        <w:t xml:space="preserve"> remained significant bilateral development partners for Cambodia</w:t>
      </w:r>
      <w:r w:rsidR="00A1210C">
        <w:rPr>
          <w:rStyle w:val="FootnoteReference"/>
          <w:rFonts w:ascii="Calibri Light" w:hAnsi="Calibri Light" w:cs="Calibri Light"/>
          <w:color w:val="000000"/>
          <w:lang w:val="en-AU"/>
        </w:rPr>
        <w:footnoteReference w:id="4"/>
      </w:r>
      <w:r w:rsidRPr="00762380">
        <w:rPr>
          <w:rFonts w:ascii="Calibri Light" w:hAnsi="Calibri Light" w:cs="Calibri Light"/>
          <w:color w:val="000000"/>
          <w:lang w:val="en-AU"/>
        </w:rPr>
        <w:t xml:space="preserve">. </w:t>
      </w:r>
    </w:p>
    <w:p w14:paraId="35EFF8CD" w14:textId="77777777" w:rsidR="00F22567" w:rsidRPr="00762380" w:rsidRDefault="00F22567" w:rsidP="00F22567">
      <w:pPr>
        <w:rPr>
          <w:rFonts w:ascii="Calibri Light" w:hAnsi="Calibri Light" w:cs="Calibri Light"/>
          <w:color w:val="000000"/>
          <w:lang w:val="en-AU"/>
        </w:rPr>
      </w:pPr>
      <w:r w:rsidRPr="00762380">
        <w:rPr>
          <w:rFonts w:ascii="Calibri Light" w:hAnsi="Calibri Light" w:cs="Calibri Light"/>
          <w:color w:val="000000"/>
          <w:lang w:val="en-AU"/>
        </w:rPr>
        <w:t>Australia’s long-term, constructive relationship with Cambodia is broader than just our aid program and is allowing our two countries to work together effectively on complex and shared challenges, maximising opportunities for Cambodia and Australia.</w:t>
      </w:r>
    </w:p>
    <w:p w14:paraId="5228B374" w14:textId="77777777" w:rsidR="00C6626C" w:rsidRPr="00280CC1" w:rsidRDefault="00C6626C"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80CC1">
        <w:rPr>
          <w:rFonts w:asciiTheme="majorHAnsi" w:eastAsiaTheme="majorEastAsia" w:hAnsiTheme="majorHAnsi" w:cstheme="majorBidi"/>
          <w:caps/>
          <w:color w:val="495965" w:themeColor="text2"/>
          <w:sz w:val="38"/>
          <w:szCs w:val="26"/>
          <w:lang w:val="en-GB" w:eastAsia="en-US"/>
        </w:rPr>
        <w:t>Expenditure</w:t>
      </w:r>
    </w:p>
    <w:p w14:paraId="7E794F57" w14:textId="77777777" w:rsidR="00184818" w:rsidRPr="00762380" w:rsidRDefault="002313C8" w:rsidP="002A51CA">
      <w:pPr>
        <w:rPr>
          <w:rFonts w:ascii="Calibri Light" w:hAnsi="Calibri Light" w:cs="Calibri Light"/>
          <w:color w:val="000000"/>
          <w:lang w:val="en-AU"/>
        </w:rPr>
      </w:pPr>
      <w:r w:rsidRPr="00762380">
        <w:rPr>
          <w:rFonts w:ascii="Calibri Light" w:hAnsi="Calibri Light" w:cs="Calibri Light"/>
          <w:color w:val="000000"/>
          <w:lang w:val="en-AU"/>
        </w:rPr>
        <w:t>Total official development assistance (ODA)</w:t>
      </w:r>
      <w:r w:rsidR="00C6626C" w:rsidRPr="00762380">
        <w:rPr>
          <w:rFonts w:ascii="Calibri Light" w:hAnsi="Calibri Light" w:cs="Calibri Light"/>
          <w:color w:val="000000"/>
          <w:lang w:val="en-AU"/>
        </w:rPr>
        <w:t xml:space="preserve"> expenditure for </w:t>
      </w:r>
      <w:r w:rsidRPr="00762380">
        <w:rPr>
          <w:rFonts w:ascii="Calibri Light" w:hAnsi="Calibri Light" w:cs="Calibri Light"/>
          <w:color w:val="000000"/>
          <w:lang w:val="en-AU"/>
        </w:rPr>
        <w:t xml:space="preserve">2016-17 is set out in Table </w:t>
      </w:r>
      <w:r w:rsidR="00455638" w:rsidRPr="00762380">
        <w:rPr>
          <w:rFonts w:ascii="Calibri Light" w:hAnsi="Calibri Light" w:cs="Calibri Light"/>
          <w:color w:val="000000"/>
          <w:lang w:val="en-AU"/>
        </w:rPr>
        <w:t xml:space="preserve">1. </w:t>
      </w:r>
      <w:r w:rsidR="008E2FE0" w:rsidRPr="00762380">
        <w:rPr>
          <w:rFonts w:ascii="Calibri Light" w:hAnsi="Calibri Light" w:cs="Calibri Light"/>
          <w:color w:val="000000"/>
          <w:lang w:val="en-AU"/>
        </w:rPr>
        <w:t>Regional and Global Programs i</w:t>
      </w:r>
      <w:r w:rsidRPr="00762380">
        <w:rPr>
          <w:rFonts w:ascii="Calibri Light" w:hAnsi="Calibri Light" w:cs="Calibri Light"/>
          <w:color w:val="000000"/>
          <w:lang w:val="en-AU"/>
        </w:rPr>
        <w:t>nclude the Australian NGO Cooperation Program</w:t>
      </w:r>
      <w:r w:rsidR="008E2FE0" w:rsidRPr="00762380">
        <w:rPr>
          <w:rFonts w:ascii="Calibri Light" w:hAnsi="Calibri Light" w:cs="Calibri Light"/>
          <w:color w:val="000000"/>
          <w:lang w:val="en-AU"/>
        </w:rPr>
        <w:t xml:space="preserve"> (ANCP)</w:t>
      </w:r>
      <w:r w:rsidR="00B97623" w:rsidRPr="00762380">
        <w:rPr>
          <w:rFonts w:ascii="Calibri Light" w:hAnsi="Calibri Light" w:cs="Calibri Light"/>
          <w:color w:val="000000"/>
          <w:lang w:val="en-AU"/>
        </w:rPr>
        <w:t>, global contribution to the Australia Awards program</w:t>
      </w:r>
      <w:r w:rsidR="00C6626C" w:rsidRPr="00762380">
        <w:rPr>
          <w:rFonts w:ascii="Calibri Light" w:hAnsi="Calibri Light" w:cs="Calibri Light"/>
          <w:color w:val="000000"/>
          <w:lang w:val="en-AU"/>
        </w:rPr>
        <w:t xml:space="preserve"> and </w:t>
      </w:r>
      <w:r w:rsidR="00B97623" w:rsidRPr="00762380">
        <w:rPr>
          <w:rFonts w:ascii="Calibri Light" w:hAnsi="Calibri Light" w:cs="Calibri Light"/>
          <w:color w:val="000000"/>
          <w:lang w:val="en-AU"/>
        </w:rPr>
        <w:t xml:space="preserve">the </w:t>
      </w:r>
      <w:r w:rsidRPr="00762380">
        <w:rPr>
          <w:rFonts w:ascii="Calibri Light" w:hAnsi="Calibri Light" w:cs="Calibri Light"/>
          <w:color w:val="000000"/>
          <w:lang w:val="en-AU"/>
        </w:rPr>
        <w:t>Australian</w:t>
      </w:r>
      <w:r w:rsidR="00A73FAE" w:rsidRPr="00762380">
        <w:rPr>
          <w:rFonts w:ascii="Calibri Light" w:hAnsi="Calibri Light" w:cs="Calibri Light"/>
          <w:color w:val="000000"/>
          <w:lang w:val="en-AU"/>
        </w:rPr>
        <w:t xml:space="preserve"> Volunteer p</w:t>
      </w:r>
      <w:r w:rsidR="008E2FE0" w:rsidRPr="00762380">
        <w:rPr>
          <w:rFonts w:ascii="Calibri Light" w:hAnsi="Calibri Light" w:cs="Calibri Light"/>
          <w:color w:val="000000"/>
          <w:lang w:val="en-AU"/>
        </w:rPr>
        <w:t xml:space="preserve">rogram. </w:t>
      </w:r>
    </w:p>
    <w:p w14:paraId="0EE5B385" w14:textId="61843DA9" w:rsidR="00D40AEB" w:rsidRPr="00280CC1" w:rsidRDefault="002A51CA" w:rsidP="002A51CA">
      <w:pPr>
        <w:rPr>
          <w:b/>
          <w:sz w:val="24"/>
        </w:rPr>
      </w:pPr>
      <w:r w:rsidRPr="00280CC1">
        <w:rPr>
          <w:b/>
          <w:sz w:val="24"/>
        </w:rPr>
        <w:t xml:space="preserve">Table </w:t>
      </w:r>
      <w:r w:rsidRPr="00280CC1">
        <w:rPr>
          <w:b/>
          <w:sz w:val="24"/>
        </w:rPr>
        <w:fldChar w:fldCharType="begin"/>
      </w:r>
      <w:r w:rsidRPr="00280CC1">
        <w:rPr>
          <w:b/>
          <w:sz w:val="24"/>
        </w:rPr>
        <w:instrText xml:space="preserve"> SEQ Table \* ARABIC </w:instrText>
      </w:r>
      <w:r w:rsidRPr="00280CC1">
        <w:rPr>
          <w:b/>
          <w:sz w:val="24"/>
        </w:rPr>
        <w:fldChar w:fldCharType="separate"/>
      </w:r>
      <w:r w:rsidR="00C17BD2">
        <w:rPr>
          <w:b/>
          <w:noProof/>
          <w:sz w:val="24"/>
        </w:rPr>
        <w:t>1</w:t>
      </w:r>
      <w:r w:rsidRPr="00280CC1">
        <w:rPr>
          <w:b/>
          <w:noProof/>
          <w:sz w:val="24"/>
        </w:rPr>
        <w:fldChar w:fldCharType="end"/>
      </w:r>
      <w:r w:rsidRPr="00280CC1">
        <w:rPr>
          <w:b/>
          <w:sz w:val="24"/>
        </w:rPr>
        <w:t xml:space="preserve"> Total ODA Expenditure in FY 201</w:t>
      </w:r>
      <w:r w:rsidR="001103E6" w:rsidRPr="00280CC1">
        <w:rPr>
          <w:b/>
          <w:sz w:val="24"/>
        </w:rPr>
        <w:t>6</w:t>
      </w:r>
      <w:r w:rsidRPr="00280CC1">
        <w:rPr>
          <w:b/>
          <w:sz w:val="24"/>
        </w:rPr>
        <w:t>-1</w:t>
      </w:r>
      <w:r w:rsidR="001103E6" w:rsidRPr="00280CC1">
        <w:rPr>
          <w:b/>
          <w:sz w:val="24"/>
        </w:rPr>
        <w:t>7</w:t>
      </w:r>
    </w:p>
    <w:tbl>
      <w:tblPr>
        <w:tblStyle w:val="TableGrid"/>
        <w:tblW w:w="963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842"/>
      </w:tblGrid>
      <w:tr w:rsidR="00184818" w:rsidRPr="00280CC1" w14:paraId="6F9EBB23" w14:textId="77777777" w:rsidTr="00F77ECA">
        <w:tc>
          <w:tcPr>
            <w:tcW w:w="6374" w:type="dxa"/>
          </w:tcPr>
          <w:p w14:paraId="1D24B2FC" w14:textId="77777777" w:rsidR="00184818" w:rsidRPr="00280CC1" w:rsidRDefault="001D0960" w:rsidP="002A51CA">
            <w:pPr>
              <w:rPr>
                <w:b/>
                <w:sz w:val="24"/>
              </w:rPr>
            </w:pPr>
            <w:r>
              <w:rPr>
                <w:b/>
                <w:sz w:val="20"/>
              </w:rPr>
              <w:t xml:space="preserve">AIP </w:t>
            </w:r>
            <w:r w:rsidR="00184818" w:rsidRPr="00280CC1">
              <w:rPr>
                <w:b/>
                <w:sz w:val="20"/>
              </w:rPr>
              <w:t>Objective</w:t>
            </w:r>
            <w:r>
              <w:rPr>
                <w:b/>
                <w:sz w:val="20"/>
              </w:rPr>
              <w:t>s</w:t>
            </w:r>
          </w:p>
        </w:tc>
        <w:tc>
          <w:tcPr>
            <w:tcW w:w="1423" w:type="dxa"/>
          </w:tcPr>
          <w:p w14:paraId="23F333D5" w14:textId="77777777" w:rsidR="00184818" w:rsidRPr="00280CC1" w:rsidRDefault="00184818" w:rsidP="009E1C8A">
            <w:pPr>
              <w:jc w:val="right"/>
              <w:rPr>
                <w:b/>
                <w:sz w:val="24"/>
              </w:rPr>
            </w:pPr>
            <w:r w:rsidRPr="00280CC1">
              <w:rPr>
                <w:b/>
                <w:sz w:val="20"/>
              </w:rPr>
              <w:t>A$ million</w:t>
            </w:r>
          </w:p>
        </w:tc>
        <w:tc>
          <w:tcPr>
            <w:tcW w:w="1842" w:type="dxa"/>
          </w:tcPr>
          <w:p w14:paraId="44183464" w14:textId="77777777" w:rsidR="00184818" w:rsidRPr="00280CC1" w:rsidRDefault="00184818">
            <w:pPr>
              <w:ind w:right="-546"/>
              <w:jc w:val="center"/>
              <w:rPr>
                <w:b/>
                <w:sz w:val="24"/>
              </w:rPr>
            </w:pPr>
            <w:r w:rsidRPr="00280CC1">
              <w:rPr>
                <w:b/>
                <w:sz w:val="20"/>
              </w:rPr>
              <w:t>% of total ODA</w:t>
            </w:r>
          </w:p>
        </w:tc>
      </w:tr>
      <w:tr w:rsidR="00184818" w:rsidRPr="00280CC1" w14:paraId="4522F2A4" w14:textId="77777777" w:rsidTr="00F77ECA">
        <w:tc>
          <w:tcPr>
            <w:tcW w:w="6374" w:type="dxa"/>
          </w:tcPr>
          <w:p w14:paraId="377E339D" w14:textId="77777777" w:rsidR="00184818" w:rsidRPr="00280CC1" w:rsidRDefault="00184818" w:rsidP="002A51CA">
            <w:pPr>
              <w:rPr>
                <w:sz w:val="20"/>
              </w:rPr>
            </w:pPr>
            <w:r w:rsidRPr="00280CC1">
              <w:rPr>
                <w:sz w:val="20"/>
              </w:rPr>
              <w:t>Objective 1</w:t>
            </w:r>
            <w:r w:rsidR="002B39CD" w:rsidRPr="00280CC1">
              <w:rPr>
                <w:sz w:val="20"/>
              </w:rPr>
              <w:t>: Improving access to essential infrastructure</w:t>
            </w:r>
          </w:p>
        </w:tc>
        <w:tc>
          <w:tcPr>
            <w:tcW w:w="1423" w:type="dxa"/>
          </w:tcPr>
          <w:p w14:paraId="7F8ED849" w14:textId="77777777" w:rsidR="00184818" w:rsidRPr="00280CC1" w:rsidRDefault="004961BC" w:rsidP="009E1C8A">
            <w:pPr>
              <w:jc w:val="right"/>
              <w:rPr>
                <w:sz w:val="20"/>
              </w:rPr>
            </w:pPr>
            <w:r w:rsidRPr="00280CC1">
              <w:rPr>
                <w:sz w:val="20"/>
              </w:rPr>
              <w:t>4.92</w:t>
            </w:r>
          </w:p>
        </w:tc>
        <w:tc>
          <w:tcPr>
            <w:tcW w:w="1842" w:type="dxa"/>
          </w:tcPr>
          <w:p w14:paraId="260C68F3" w14:textId="77777777" w:rsidR="00184818" w:rsidRPr="00280CC1" w:rsidRDefault="002A1993" w:rsidP="009E1C8A">
            <w:pPr>
              <w:jc w:val="right"/>
              <w:rPr>
                <w:sz w:val="20"/>
              </w:rPr>
            </w:pPr>
            <w:r w:rsidRPr="00280CC1">
              <w:rPr>
                <w:sz w:val="20"/>
              </w:rPr>
              <w:t>5.5</w:t>
            </w:r>
          </w:p>
        </w:tc>
      </w:tr>
      <w:tr w:rsidR="00184818" w:rsidRPr="00280CC1" w14:paraId="40F33BBB" w14:textId="77777777" w:rsidTr="00F77ECA">
        <w:tc>
          <w:tcPr>
            <w:tcW w:w="6374" w:type="dxa"/>
          </w:tcPr>
          <w:p w14:paraId="68C3588A" w14:textId="77777777" w:rsidR="00184818" w:rsidRPr="00280CC1" w:rsidRDefault="00184818" w:rsidP="002A51CA">
            <w:pPr>
              <w:rPr>
                <w:sz w:val="20"/>
              </w:rPr>
            </w:pPr>
            <w:r w:rsidRPr="00280CC1">
              <w:rPr>
                <w:sz w:val="20"/>
              </w:rPr>
              <w:t>Objective 2</w:t>
            </w:r>
            <w:r w:rsidR="002B39CD" w:rsidRPr="00280CC1">
              <w:rPr>
                <w:sz w:val="20"/>
              </w:rPr>
              <w:t>: Increasing agricultural productivity and farmer incomes</w:t>
            </w:r>
          </w:p>
        </w:tc>
        <w:tc>
          <w:tcPr>
            <w:tcW w:w="1423" w:type="dxa"/>
          </w:tcPr>
          <w:p w14:paraId="2928939B" w14:textId="77777777" w:rsidR="00184818" w:rsidRPr="00280CC1" w:rsidRDefault="004961BC" w:rsidP="009E1C8A">
            <w:pPr>
              <w:jc w:val="right"/>
              <w:rPr>
                <w:sz w:val="20"/>
              </w:rPr>
            </w:pPr>
            <w:r w:rsidRPr="00280CC1">
              <w:rPr>
                <w:sz w:val="20"/>
              </w:rPr>
              <w:t>21.73</w:t>
            </w:r>
          </w:p>
        </w:tc>
        <w:tc>
          <w:tcPr>
            <w:tcW w:w="1842" w:type="dxa"/>
          </w:tcPr>
          <w:p w14:paraId="14B36340" w14:textId="77777777" w:rsidR="00184818" w:rsidRPr="00280CC1" w:rsidRDefault="002A1993" w:rsidP="009E1C8A">
            <w:pPr>
              <w:jc w:val="right"/>
              <w:rPr>
                <w:sz w:val="20"/>
              </w:rPr>
            </w:pPr>
            <w:r w:rsidRPr="00280CC1">
              <w:rPr>
                <w:sz w:val="20"/>
              </w:rPr>
              <w:t>24.4</w:t>
            </w:r>
          </w:p>
        </w:tc>
      </w:tr>
      <w:tr w:rsidR="00184818" w:rsidRPr="00280CC1" w14:paraId="785B8007" w14:textId="77777777" w:rsidTr="00F77ECA">
        <w:tc>
          <w:tcPr>
            <w:tcW w:w="6374" w:type="dxa"/>
          </w:tcPr>
          <w:p w14:paraId="4E475896" w14:textId="77777777" w:rsidR="00184818" w:rsidRPr="00280CC1" w:rsidRDefault="00184818" w:rsidP="002A51CA">
            <w:pPr>
              <w:rPr>
                <w:sz w:val="20"/>
              </w:rPr>
            </w:pPr>
            <w:r w:rsidRPr="00280CC1">
              <w:rPr>
                <w:sz w:val="20"/>
              </w:rPr>
              <w:t>Objective 3</w:t>
            </w:r>
            <w:r w:rsidR="002B39CD" w:rsidRPr="00280CC1">
              <w:rPr>
                <w:sz w:val="20"/>
              </w:rPr>
              <w:t>: Better health and education outcomes</w:t>
            </w:r>
          </w:p>
        </w:tc>
        <w:tc>
          <w:tcPr>
            <w:tcW w:w="1423" w:type="dxa"/>
          </w:tcPr>
          <w:p w14:paraId="221E62A9" w14:textId="77777777" w:rsidR="00184818" w:rsidRPr="00280CC1" w:rsidRDefault="004961BC" w:rsidP="009E1C8A">
            <w:pPr>
              <w:jc w:val="right"/>
              <w:rPr>
                <w:sz w:val="20"/>
              </w:rPr>
            </w:pPr>
            <w:r w:rsidRPr="00280CC1">
              <w:rPr>
                <w:sz w:val="20"/>
              </w:rPr>
              <w:t>28.26</w:t>
            </w:r>
          </w:p>
        </w:tc>
        <w:tc>
          <w:tcPr>
            <w:tcW w:w="1842" w:type="dxa"/>
          </w:tcPr>
          <w:p w14:paraId="02BBC404" w14:textId="77777777" w:rsidR="00184818" w:rsidRPr="00280CC1" w:rsidRDefault="002A1993" w:rsidP="009E1C8A">
            <w:pPr>
              <w:jc w:val="right"/>
              <w:rPr>
                <w:sz w:val="20"/>
              </w:rPr>
            </w:pPr>
            <w:r w:rsidRPr="00280CC1">
              <w:rPr>
                <w:sz w:val="20"/>
              </w:rPr>
              <w:t>31.7</w:t>
            </w:r>
          </w:p>
        </w:tc>
      </w:tr>
      <w:tr w:rsidR="002B39CD" w:rsidRPr="00280CC1" w14:paraId="75D5A0E5" w14:textId="77777777" w:rsidTr="00F77ECA">
        <w:tc>
          <w:tcPr>
            <w:tcW w:w="6374" w:type="dxa"/>
          </w:tcPr>
          <w:p w14:paraId="694B7DAF" w14:textId="77777777" w:rsidR="002B39CD" w:rsidRPr="00280CC1" w:rsidRDefault="002B39CD" w:rsidP="002A51CA">
            <w:pPr>
              <w:rPr>
                <w:sz w:val="20"/>
              </w:rPr>
            </w:pPr>
            <w:r w:rsidRPr="00280CC1">
              <w:rPr>
                <w:sz w:val="20"/>
              </w:rPr>
              <w:t>Others: Inclusive participation and governance</w:t>
            </w:r>
          </w:p>
        </w:tc>
        <w:tc>
          <w:tcPr>
            <w:tcW w:w="1423" w:type="dxa"/>
          </w:tcPr>
          <w:p w14:paraId="10219E22" w14:textId="77777777" w:rsidR="002B39CD" w:rsidRPr="00280CC1" w:rsidRDefault="004961BC" w:rsidP="009E1C8A">
            <w:pPr>
              <w:jc w:val="right"/>
              <w:rPr>
                <w:sz w:val="20"/>
              </w:rPr>
            </w:pPr>
            <w:r w:rsidRPr="00280CC1">
              <w:rPr>
                <w:sz w:val="20"/>
              </w:rPr>
              <w:t>7.</w:t>
            </w:r>
            <w:r w:rsidR="001A6A03" w:rsidRPr="00280CC1">
              <w:rPr>
                <w:sz w:val="20"/>
              </w:rPr>
              <w:t>39</w:t>
            </w:r>
          </w:p>
        </w:tc>
        <w:tc>
          <w:tcPr>
            <w:tcW w:w="1842" w:type="dxa"/>
          </w:tcPr>
          <w:p w14:paraId="74BC45FB" w14:textId="77777777" w:rsidR="002B39CD" w:rsidRPr="00280CC1" w:rsidRDefault="002A1993" w:rsidP="009E1C8A">
            <w:pPr>
              <w:jc w:val="right"/>
              <w:rPr>
                <w:sz w:val="20"/>
              </w:rPr>
            </w:pPr>
            <w:r w:rsidRPr="00280CC1">
              <w:rPr>
                <w:sz w:val="20"/>
              </w:rPr>
              <w:t>8.3</w:t>
            </w:r>
          </w:p>
        </w:tc>
      </w:tr>
      <w:tr w:rsidR="00184818" w:rsidRPr="00280CC1" w14:paraId="5B4CCE32" w14:textId="77777777" w:rsidTr="00F77ECA">
        <w:tc>
          <w:tcPr>
            <w:tcW w:w="6374" w:type="dxa"/>
          </w:tcPr>
          <w:p w14:paraId="1F8A74FE" w14:textId="77777777" w:rsidR="00184818" w:rsidRPr="00280CC1" w:rsidRDefault="00184818" w:rsidP="002A51CA">
            <w:pPr>
              <w:rPr>
                <w:b/>
                <w:sz w:val="20"/>
              </w:rPr>
            </w:pPr>
            <w:r w:rsidRPr="00280CC1">
              <w:rPr>
                <w:b/>
                <w:sz w:val="20"/>
              </w:rPr>
              <w:t>Sub-Total Bilateral</w:t>
            </w:r>
          </w:p>
        </w:tc>
        <w:tc>
          <w:tcPr>
            <w:tcW w:w="1423" w:type="dxa"/>
          </w:tcPr>
          <w:p w14:paraId="1DB6FB3C" w14:textId="77777777" w:rsidR="00184818" w:rsidRPr="00280CC1" w:rsidRDefault="0085685F" w:rsidP="009E1C8A">
            <w:pPr>
              <w:jc w:val="right"/>
              <w:rPr>
                <w:b/>
                <w:sz w:val="24"/>
              </w:rPr>
            </w:pPr>
            <w:r w:rsidRPr="00280CC1">
              <w:rPr>
                <w:b/>
                <w:sz w:val="20"/>
              </w:rPr>
              <w:t>62.3</w:t>
            </w:r>
          </w:p>
        </w:tc>
        <w:tc>
          <w:tcPr>
            <w:tcW w:w="1842" w:type="dxa"/>
          </w:tcPr>
          <w:p w14:paraId="0FD0E0CD" w14:textId="77777777" w:rsidR="00184818" w:rsidRPr="00280CC1" w:rsidRDefault="004C0AAA" w:rsidP="009E1C8A">
            <w:pPr>
              <w:jc w:val="right"/>
              <w:rPr>
                <w:b/>
                <w:sz w:val="20"/>
              </w:rPr>
            </w:pPr>
            <w:r w:rsidRPr="00280CC1">
              <w:rPr>
                <w:b/>
                <w:sz w:val="20"/>
              </w:rPr>
              <w:t>69.9</w:t>
            </w:r>
          </w:p>
        </w:tc>
      </w:tr>
      <w:tr w:rsidR="00184818" w:rsidRPr="00280CC1" w14:paraId="16CED228" w14:textId="77777777" w:rsidTr="00F77ECA">
        <w:tc>
          <w:tcPr>
            <w:tcW w:w="6374" w:type="dxa"/>
          </w:tcPr>
          <w:p w14:paraId="2C8F3712" w14:textId="77777777" w:rsidR="00184818" w:rsidRPr="00280CC1" w:rsidRDefault="00184818" w:rsidP="002A51CA">
            <w:pPr>
              <w:rPr>
                <w:sz w:val="20"/>
              </w:rPr>
            </w:pPr>
            <w:r w:rsidRPr="00280CC1">
              <w:rPr>
                <w:sz w:val="20"/>
              </w:rPr>
              <w:t>Regional and Global</w:t>
            </w:r>
          </w:p>
        </w:tc>
        <w:tc>
          <w:tcPr>
            <w:tcW w:w="1423" w:type="dxa"/>
          </w:tcPr>
          <w:p w14:paraId="0D407E64" w14:textId="77777777" w:rsidR="00184818" w:rsidRPr="00280CC1" w:rsidRDefault="00E22F0A" w:rsidP="009E1C8A">
            <w:pPr>
              <w:jc w:val="right"/>
              <w:rPr>
                <w:sz w:val="20"/>
              </w:rPr>
            </w:pPr>
            <w:r w:rsidRPr="00280CC1">
              <w:rPr>
                <w:sz w:val="20"/>
              </w:rPr>
              <w:t>23.5</w:t>
            </w:r>
          </w:p>
        </w:tc>
        <w:tc>
          <w:tcPr>
            <w:tcW w:w="1842" w:type="dxa"/>
          </w:tcPr>
          <w:p w14:paraId="7E3D756D" w14:textId="77777777" w:rsidR="00184818" w:rsidRPr="00280CC1" w:rsidRDefault="001A6A03" w:rsidP="009E1C8A">
            <w:pPr>
              <w:jc w:val="right"/>
              <w:rPr>
                <w:b/>
                <w:sz w:val="20"/>
              </w:rPr>
            </w:pPr>
            <w:r w:rsidRPr="00280CC1">
              <w:rPr>
                <w:b/>
                <w:bCs/>
                <w:sz w:val="20"/>
              </w:rPr>
              <w:t>26.3</w:t>
            </w:r>
          </w:p>
        </w:tc>
      </w:tr>
      <w:tr w:rsidR="00184818" w:rsidRPr="00280CC1" w14:paraId="58164E63" w14:textId="77777777" w:rsidTr="00F77ECA">
        <w:tc>
          <w:tcPr>
            <w:tcW w:w="6374" w:type="dxa"/>
          </w:tcPr>
          <w:p w14:paraId="1761103E" w14:textId="77777777" w:rsidR="00184818" w:rsidRPr="00280CC1" w:rsidRDefault="00B97623" w:rsidP="002A51CA">
            <w:pPr>
              <w:rPr>
                <w:sz w:val="20"/>
              </w:rPr>
            </w:pPr>
            <w:r w:rsidRPr="00C773A2">
              <w:rPr>
                <w:sz w:val="20"/>
              </w:rPr>
              <w:t>Australian Centre for International Agriculture Research (ACIAR)</w:t>
            </w:r>
          </w:p>
        </w:tc>
        <w:tc>
          <w:tcPr>
            <w:tcW w:w="1423" w:type="dxa"/>
          </w:tcPr>
          <w:p w14:paraId="01B8C77C" w14:textId="77777777" w:rsidR="00184818" w:rsidRPr="00280CC1" w:rsidRDefault="00E22F0A" w:rsidP="009E1C8A">
            <w:pPr>
              <w:jc w:val="right"/>
              <w:rPr>
                <w:sz w:val="20"/>
              </w:rPr>
            </w:pPr>
            <w:r w:rsidRPr="00280CC1">
              <w:rPr>
                <w:sz w:val="20"/>
              </w:rPr>
              <w:t>3.3</w:t>
            </w:r>
          </w:p>
        </w:tc>
        <w:tc>
          <w:tcPr>
            <w:tcW w:w="1842" w:type="dxa"/>
          </w:tcPr>
          <w:p w14:paraId="28C992ED" w14:textId="77777777" w:rsidR="00184818" w:rsidRPr="00280CC1" w:rsidRDefault="001A6A03" w:rsidP="009E1C8A">
            <w:pPr>
              <w:jc w:val="right"/>
              <w:rPr>
                <w:b/>
                <w:sz w:val="20"/>
              </w:rPr>
            </w:pPr>
            <w:r w:rsidRPr="00280CC1">
              <w:rPr>
                <w:b/>
                <w:bCs/>
                <w:sz w:val="20"/>
              </w:rPr>
              <w:t>3.8</w:t>
            </w:r>
          </w:p>
        </w:tc>
      </w:tr>
      <w:tr w:rsidR="00184818" w:rsidRPr="00280CC1" w14:paraId="24B8E6EE" w14:textId="77777777" w:rsidTr="00F77ECA">
        <w:tc>
          <w:tcPr>
            <w:tcW w:w="6374" w:type="dxa"/>
          </w:tcPr>
          <w:p w14:paraId="6ACA16F6" w14:textId="77777777" w:rsidR="00184818" w:rsidRPr="00280CC1" w:rsidRDefault="00184818" w:rsidP="002A51CA">
            <w:pPr>
              <w:rPr>
                <w:b/>
                <w:sz w:val="20"/>
              </w:rPr>
            </w:pPr>
            <w:r w:rsidRPr="00280CC1">
              <w:rPr>
                <w:b/>
                <w:sz w:val="20"/>
              </w:rPr>
              <w:t>Total ODA Expenditure</w:t>
            </w:r>
          </w:p>
        </w:tc>
        <w:tc>
          <w:tcPr>
            <w:tcW w:w="1423" w:type="dxa"/>
          </w:tcPr>
          <w:p w14:paraId="65DFC3E4" w14:textId="77777777" w:rsidR="00184818" w:rsidRPr="00280CC1" w:rsidRDefault="004A67AD" w:rsidP="009E1C8A">
            <w:pPr>
              <w:jc w:val="right"/>
              <w:rPr>
                <w:b/>
                <w:sz w:val="24"/>
              </w:rPr>
            </w:pPr>
            <w:r w:rsidRPr="00280CC1">
              <w:rPr>
                <w:b/>
                <w:sz w:val="20"/>
              </w:rPr>
              <w:t>89.1</w:t>
            </w:r>
          </w:p>
        </w:tc>
        <w:tc>
          <w:tcPr>
            <w:tcW w:w="1842" w:type="dxa"/>
          </w:tcPr>
          <w:p w14:paraId="546AEAA7" w14:textId="77777777" w:rsidR="00184818" w:rsidRPr="00280CC1" w:rsidRDefault="006B6F5F" w:rsidP="009E1C8A">
            <w:pPr>
              <w:jc w:val="right"/>
              <w:rPr>
                <w:b/>
                <w:sz w:val="20"/>
              </w:rPr>
            </w:pPr>
            <w:r w:rsidRPr="00280CC1">
              <w:rPr>
                <w:b/>
                <w:sz w:val="20"/>
              </w:rPr>
              <w:t>100</w:t>
            </w:r>
            <w:r w:rsidR="00CD7310">
              <w:rPr>
                <w:b/>
                <w:sz w:val="20"/>
              </w:rPr>
              <w:t>.0</w:t>
            </w:r>
          </w:p>
        </w:tc>
      </w:tr>
    </w:tbl>
    <w:p w14:paraId="647FFF44" w14:textId="77777777" w:rsidR="002A51CA" w:rsidRPr="00280CC1" w:rsidRDefault="002A51CA"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80CC1">
        <w:rPr>
          <w:rFonts w:asciiTheme="majorHAnsi" w:eastAsiaTheme="majorEastAsia" w:hAnsiTheme="majorHAnsi" w:cstheme="majorBidi"/>
          <w:caps/>
          <w:color w:val="495965" w:themeColor="text2"/>
          <w:sz w:val="38"/>
          <w:szCs w:val="26"/>
          <w:lang w:val="en-GB" w:eastAsia="en-US"/>
        </w:rPr>
        <w:t xml:space="preserve">Progress towards </w:t>
      </w:r>
      <w:r w:rsidR="00162218" w:rsidRPr="00280CC1">
        <w:rPr>
          <w:rFonts w:asciiTheme="majorHAnsi" w:eastAsiaTheme="majorEastAsia" w:hAnsiTheme="majorHAnsi" w:cstheme="majorBidi"/>
          <w:caps/>
          <w:color w:val="495965" w:themeColor="text2"/>
          <w:sz w:val="38"/>
          <w:szCs w:val="26"/>
          <w:lang w:val="en-GB" w:eastAsia="en-US"/>
        </w:rPr>
        <w:t xml:space="preserve">AIP </w:t>
      </w:r>
      <w:r w:rsidRPr="00280CC1">
        <w:rPr>
          <w:rFonts w:asciiTheme="majorHAnsi" w:eastAsiaTheme="majorEastAsia" w:hAnsiTheme="majorHAnsi" w:cstheme="majorBidi"/>
          <w:caps/>
          <w:color w:val="495965" w:themeColor="text2"/>
          <w:sz w:val="38"/>
          <w:szCs w:val="26"/>
          <w:lang w:val="en-GB" w:eastAsia="en-US"/>
        </w:rPr>
        <w:t>Objectives</w:t>
      </w:r>
      <w:r w:rsidRPr="00280CC1">
        <w:rPr>
          <w:rFonts w:asciiTheme="majorHAnsi" w:eastAsiaTheme="majorEastAsia" w:hAnsiTheme="majorHAnsi" w:cstheme="majorBidi"/>
          <w:caps/>
          <w:color w:val="495965" w:themeColor="text2"/>
          <w:sz w:val="38"/>
          <w:szCs w:val="26"/>
          <w:lang w:val="en-GB" w:eastAsia="en-US"/>
        </w:rPr>
        <w:tab/>
      </w:r>
    </w:p>
    <w:p w14:paraId="1D70C67F" w14:textId="77777777" w:rsidR="008B1A80" w:rsidRPr="00762380" w:rsidRDefault="005C3C3E" w:rsidP="00B51FA7">
      <w:pPr>
        <w:rPr>
          <w:rFonts w:ascii="Calibri Light" w:hAnsi="Calibri Light" w:cs="Calibri Light"/>
          <w:color w:val="000000"/>
          <w:lang w:val="en-AU"/>
        </w:rPr>
      </w:pPr>
      <w:r w:rsidRPr="00762380">
        <w:rPr>
          <w:rFonts w:ascii="Calibri Light" w:hAnsi="Calibri Light" w:cs="Calibri Light"/>
          <w:color w:val="000000"/>
          <w:lang w:val="en-AU"/>
        </w:rPr>
        <w:t>This report marks the h</w:t>
      </w:r>
      <w:r w:rsidR="002B17E4" w:rsidRPr="00762380">
        <w:rPr>
          <w:rFonts w:ascii="Calibri Light" w:hAnsi="Calibri Light" w:cs="Calibri Light"/>
          <w:color w:val="000000"/>
          <w:lang w:val="en-AU"/>
        </w:rPr>
        <w:t>alf</w:t>
      </w:r>
      <w:r w:rsidRPr="00762380">
        <w:rPr>
          <w:rFonts w:ascii="Calibri Light" w:hAnsi="Calibri Light" w:cs="Calibri Light"/>
          <w:color w:val="000000"/>
          <w:lang w:val="en-AU"/>
        </w:rPr>
        <w:t>-</w:t>
      </w:r>
      <w:r w:rsidR="002B17E4" w:rsidRPr="00762380">
        <w:rPr>
          <w:rFonts w:ascii="Calibri Light" w:hAnsi="Calibri Light" w:cs="Calibri Light"/>
          <w:color w:val="000000"/>
          <w:lang w:val="en-AU"/>
        </w:rPr>
        <w:t xml:space="preserve">way </w:t>
      </w:r>
      <w:r w:rsidRPr="00762380">
        <w:rPr>
          <w:rFonts w:ascii="Calibri Light" w:hAnsi="Calibri Light" w:cs="Calibri Light"/>
          <w:color w:val="000000"/>
          <w:lang w:val="en-AU"/>
        </w:rPr>
        <w:t xml:space="preserve">point of the </w:t>
      </w:r>
      <w:r w:rsidR="008B1A80" w:rsidRPr="00762380">
        <w:rPr>
          <w:rFonts w:ascii="Calibri Light" w:hAnsi="Calibri Light" w:cs="Calibri Light"/>
          <w:color w:val="000000"/>
          <w:lang w:val="en-AU"/>
        </w:rPr>
        <w:t xml:space="preserve">Cambodia AIP </w:t>
      </w:r>
      <w:r w:rsidR="00213DE2" w:rsidRPr="00762380">
        <w:rPr>
          <w:rFonts w:ascii="Calibri Light" w:hAnsi="Calibri Light" w:cs="Calibri Light"/>
          <w:color w:val="000000"/>
          <w:lang w:val="en-AU"/>
        </w:rPr>
        <w:t>2015-2018</w:t>
      </w:r>
      <w:r w:rsidRPr="00762380">
        <w:rPr>
          <w:rFonts w:ascii="Calibri Light" w:hAnsi="Calibri Light" w:cs="Calibri Light"/>
          <w:color w:val="000000"/>
          <w:lang w:val="en-AU"/>
        </w:rPr>
        <w:t>.</w:t>
      </w:r>
      <w:r w:rsidR="00201BDB" w:rsidRPr="00762380">
        <w:rPr>
          <w:rFonts w:ascii="Calibri Light" w:hAnsi="Calibri Light" w:cs="Calibri Light"/>
          <w:color w:val="000000"/>
          <w:lang w:val="en-AU"/>
        </w:rPr>
        <w:t xml:space="preserve"> </w:t>
      </w:r>
    </w:p>
    <w:p w14:paraId="0A7BB41B" w14:textId="5AC109AA" w:rsidR="008B1A80" w:rsidRPr="00762380" w:rsidRDefault="008F61A4" w:rsidP="00B35FE3">
      <w:pPr>
        <w:rPr>
          <w:rFonts w:ascii="Calibri Light" w:hAnsi="Calibri Light" w:cs="Calibri Light"/>
          <w:color w:val="000000"/>
          <w:lang w:val="en-AU"/>
        </w:rPr>
      </w:pPr>
      <w:r w:rsidRPr="00762380">
        <w:rPr>
          <w:rFonts w:ascii="Calibri Light" w:hAnsi="Calibri Light" w:cs="Calibri Light"/>
          <w:color w:val="000000"/>
          <w:lang w:val="en-AU"/>
        </w:rPr>
        <w:t>T</w:t>
      </w:r>
      <w:r w:rsidR="008B1A80" w:rsidRPr="00762380">
        <w:rPr>
          <w:rFonts w:ascii="Calibri Light" w:hAnsi="Calibri Light" w:cs="Calibri Light"/>
          <w:color w:val="000000"/>
          <w:lang w:val="en-AU"/>
        </w:rPr>
        <w:t xml:space="preserve">he need for access to basic transport and energy </w:t>
      </w:r>
      <w:r w:rsidR="008B1A80" w:rsidRPr="00762380">
        <w:rPr>
          <w:rFonts w:ascii="Calibri Light" w:hAnsi="Calibri Light" w:cs="Calibri Light"/>
          <w:b/>
          <w:color w:val="000000"/>
          <w:lang w:val="en-AU"/>
        </w:rPr>
        <w:t>infrastructure</w:t>
      </w:r>
      <w:r w:rsidR="008B1A80" w:rsidRPr="00762380">
        <w:rPr>
          <w:rFonts w:ascii="Calibri Light" w:hAnsi="Calibri Light" w:cs="Calibri Light"/>
          <w:color w:val="000000"/>
          <w:lang w:val="en-AU"/>
        </w:rPr>
        <w:t xml:space="preserve"> remains highly relevant. Str</w:t>
      </w:r>
      <w:r w:rsidR="009909EE" w:rsidRPr="00762380">
        <w:rPr>
          <w:rFonts w:ascii="Calibri Light" w:hAnsi="Calibri Light" w:cs="Calibri Light"/>
          <w:color w:val="000000"/>
          <w:lang w:val="en-AU"/>
        </w:rPr>
        <w:t>ong results with our Investing i</w:t>
      </w:r>
      <w:r w:rsidR="008B1A80" w:rsidRPr="00762380">
        <w:rPr>
          <w:rFonts w:ascii="Calibri Light" w:hAnsi="Calibri Light" w:cs="Calibri Light"/>
          <w:color w:val="000000"/>
          <w:lang w:val="en-AU"/>
        </w:rPr>
        <w:t>n Infrastructure</w:t>
      </w:r>
      <w:r w:rsidRPr="00762380">
        <w:rPr>
          <w:rFonts w:ascii="Calibri Light" w:hAnsi="Calibri Light" w:cs="Calibri Light"/>
          <w:color w:val="000000"/>
          <w:lang w:val="en-AU"/>
        </w:rPr>
        <w:t xml:space="preserve"> </w:t>
      </w:r>
      <w:r w:rsidR="003D0240" w:rsidRPr="00762380">
        <w:rPr>
          <w:rFonts w:ascii="Calibri Light" w:hAnsi="Calibri Light" w:cs="Calibri Light"/>
          <w:color w:val="000000"/>
          <w:lang w:val="en-AU"/>
        </w:rPr>
        <w:t>program</w:t>
      </w:r>
      <w:r w:rsidR="008B1A80" w:rsidRPr="00762380">
        <w:rPr>
          <w:rFonts w:ascii="Calibri Light" w:hAnsi="Calibri Light" w:cs="Calibri Light"/>
          <w:color w:val="000000"/>
          <w:lang w:val="en-AU"/>
        </w:rPr>
        <w:t xml:space="preserve"> and </w:t>
      </w:r>
      <w:r w:rsidR="003D0240" w:rsidRPr="00762380">
        <w:rPr>
          <w:rFonts w:ascii="Calibri Light" w:hAnsi="Calibri Light" w:cs="Calibri Light"/>
          <w:color w:val="000000"/>
          <w:lang w:val="en-AU"/>
        </w:rPr>
        <w:t xml:space="preserve">the </w:t>
      </w:r>
      <w:r w:rsidR="008B1A80" w:rsidRPr="00762380">
        <w:rPr>
          <w:rFonts w:ascii="Calibri Light" w:hAnsi="Calibri Light" w:cs="Calibri Light"/>
          <w:color w:val="000000"/>
          <w:lang w:val="en-AU"/>
        </w:rPr>
        <w:t xml:space="preserve">Flood Damage Emergency Reconstruction Project show that </w:t>
      </w:r>
      <w:r w:rsidR="008B1A80" w:rsidRPr="00762380">
        <w:rPr>
          <w:rFonts w:ascii="Calibri Light" w:hAnsi="Calibri Light" w:cs="Calibri Light"/>
          <w:color w:val="000000"/>
          <w:lang w:val="en-AU"/>
        </w:rPr>
        <w:lastRenderedPageBreak/>
        <w:t xml:space="preserve">we have been able to deliver results. </w:t>
      </w:r>
      <w:r w:rsidR="004A3C4C" w:rsidRPr="00762380">
        <w:rPr>
          <w:rFonts w:ascii="Calibri Light" w:hAnsi="Calibri Light" w:cs="Calibri Light"/>
          <w:color w:val="000000"/>
          <w:lang w:val="en-AU"/>
        </w:rPr>
        <w:t xml:space="preserve">Our on-going irrigation work in the CAVAC program is providing essential economic infrastructure to improve the incomes of smallholder farmers. </w:t>
      </w:r>
      <w:r w:rsidR="00A42287" w:rsidRPr="00762380">
        <w:rPr>
          <w:rFonts w:ascii="Calibri Light" w:hAnsi="Calibri Light" w:cs="Calibri Light"/>
          <w:color w:val="000000"/>
          <w:lang w:val="en-AU"/>
        </w:rPr>
        <w:t>However,</w:t>
      </w:r>
      <w:r w:rsidR="008B1A80" w:rsidRPr="00762380">
        <w:rPr>
          <w:rFonts w:ascii="Calibri Light" w:hAnsi="Calibri Light" w:cs="Calibri Light"/>
          <w:color w:val="000000"/>
          <w:lang w:val="en-AU"/>
        </w:rPr>
        <w:t xml:space="preserve"> delays in the ADB-managed Rural Roads Improvement Project Phase 2</w:t>
      </w:r>
      <w:r w:rsidR="00B51FA7" w:rsidRPr="00762380">
        <w:rPr>
          <w:rFonts w:ascii="Calibri Light" w:hAnsi="Calibri Light" w:cs="Calibri Light"/>
          <w:color w:val="000000"/>
          <w:lang w:val="en-AU"/>
        </w:rPr>
        <w:t xml:space="preserve"> </w:t>
      </w:r>
      <w:r w:rsidR="008B1A80" w:rsidRPr="00762380">
        <w:rPr>
          <w:rFonts w:ascii="Calibri Light" w:hAnsi="Calibri Light" w:cs="Calibri Light"/>
          <w:color w:val="000000"/>
          <w:lang w:val="en-AU"/>
        </w:rPr>
        <w:t xml:space="preserve">shows the importance of strong performance management </w:t>
      </w:r>
      <w:r w:rsidR="007A2857" w:rsidRPr="00762380">
        <w:rPr>
          <w:rFonts w:ascii="Calibri Light" w:hAnsi="Calibri Light" w:cs="Calibri Light"/>
          <w:color w:val="000000"/>
          <w:lang w:val="en-AU"/>
        </w:rPr>
        <w:t>by all</w:t>
      </w:r>
      <w:r w:rsidR="008B1A80" w:rsidRPr="00762380">
        <w:rPr>
          <w:rFonts w:ascii="Calibri Light" w:hAnsi="Calibri Light" w:cs="Calibri Light"/>
          <w:color w:val="000000"/>
          <w:lang w:val="en-AU"/>
        </w:rPr>
        <w:t xml:space="preserve"> implementing partners.</w:t>
      </w:r>
    </w:p>
    <w:p w14:paraId="46B92B9A" w14:textId="522EB67E" w:rsidR="00213DE2" w:rsidRPr="00762380" w:rsidRDefault="008B1A80" w:rsidP="00B51FA7">
      <w:pPr>
        <w:rPr>
          <w:rFonts w:ascii="Calibri Light" w:hAnsi="Calibri Light" w:cs="Calibri Light"/>
          <w:color w:val="000000"/>
          <w:lang w:val="en-AU"/>
        </w:rPr>
      </w:pPr>
      <w:r w:rsidRPr="00762380">
        <w:rPr>
          <w:rFonts w:ascii="Calibri Light" w:hAnsi="Calibri Light" w:cs="Calibri Light"/>
          <w:color w:val="000000"/>
          <w:lang w:val="en-AU"/>
        </w:rPr>
        <w:t xml:space="preserve">In </w:t>
      </w:r>
      <w:r w:rsidRPr="00762380">
        <w:rPr>
          <w:rFonts w:ascii="Calibri Light" w:hAnsi="Calibri Light" w:cs="Calibri Light"/>
          <w:b/>
          <w:color w:val="000000"/>
          <w:lang w:val="en-AU"/>
        </w:rPr>
        <w:t>agriculture</w:t>
      </w:r>
      <w:r w:rsidRPr="00762380">
        <w:rPr>
          <w:rFonts w:ascii="Calibri Light" w:hAnsi="Calibri Light" w:cs="Calibri Light"/>
          <w:color w:val="000000"/>
          <w:lang w:val="en-AU"/>
        </w:rPr>
        <w:t xml:space="preserve">, </w:t>
      </w:r>
      <w:r w:rsidR="00A42287" w:rsidRPr="00762380">
        <w:rPr>
          <w:rFonts w:ascii="Calibri Light" w:hAnsi="Calibri Light" w:cs="Calibri Light"/>
          <w:color w:val="000000"/>
          <w:lang w:val="en-AU"/>
        </w:rPr>
        <w:t xml:space="preserve">engagement will need </w:t>
      </w:r>
      <w:r w:rsidR="009909EE" w:rsidRPr="00762380">
        <w:rPr>
          <w:rFonts w:ascii="Calibri Light" w:hAnsi="Calibri Light" w:cs="Calibri Light"/>
          <w:color w:val="000000"/>
          <w:lang w:val="en-AU"/>
        </w:rPr>
        <w:t>careful</w:t>
      </w:r>
      <w:r w:rsidR="00213DE2" w:rsidRPr="00762380">
        <w:rPr>
          <w:rFonts w:ascii="Calibri Light" w:hAnsi="Calibri Light" w:cs="Calibri Light"/>
          <w:color w:val="000000"/>
          <w:lang w:val="en-AU"/>
        </w:rPr>
        <w:t xml:space="preserve"> </w:t>
      </w:r>
      <w:r w:rsidR="00BD077D">
        <w:rPr>
          <w:rFonts w:ascii="Calibri Light" w:hAnsi="Calibri Light" w:cs="Calibri Light"/>
          <w:color w:val="000000"/>
          <w:lang w:val="en-AU"/>
        </w:rPr>
        <w:t>management</w:t>
      </w:r>
      <w:r w:rsidR="00213DE2" w:rsidRPr="00762380">
        <w:rPr>
          <w:rFonts w:ascii="Calibri Light" w:hAnsi="Calibri Light" w:cs="Calibri Light"/>
          <w:color w:val="000000"/>
          <w:lang w:val="en-AU"/>
        </w:rPr>
        <w:t xml:space="preserve"> </w:t>
      </w:r>
      <w:r w:rsidR="006A591E" w:rsidRPr="00762380">
        <w:rPr>
          <w:rFonts w:ascii="Calibri Light" w:hAnsi="Calibri Light" w:cs="Calibri Light"/>
          <w:color w:val="000000"/>
          <w:lang w:val="en-AU"/>
        </w:rPr>
        <w:t xml:space="preserve">as the sector is vulnerable </w:t>
      </w:r>
      <w:r w:rsidR="005245DB">
        <w:rPr>
          <w:rFonts w:ascii="Calibri Light" w:hAnsi="Calibri Light" w:cs="Calibri Light"/>
          <w:color w:val="000000"/>
          <w:lang w:val="en-AU"/>
        </w:rPr>
        <w:t xml:space="preserve">to </w:t>
      </w:r>
      <w:r w:rsidR="006A591E" w:rsidRPr="00762380">
        <w:rPr>
          <w:rFonts w:ascii="Calibri Light" w:hAnsi="Calibri Light" w:cs="Calibri Light"/>
          <w:color w:val="000000"/>
          <w:lang w:val="en-AU"/>
        </w:rPr>
        <w:t>external shocks caused by climate events (floods and droughts) and volatile food prices. N</w:t>
      </w:r>
      <w:r w:rsidR="00213DE2" w:rsidRPr="00762380">
        <w:rPr>
          <w:rFonts w:ascii="Calibri Light" w:hAnsi="Calibri Light" w:cs="Calibri Light"/>
          <w:color w:val="000000"/>
          <w:lang w:val="en-AU"/>
        </w:rPr>
        <w:t xml:space="preserve">eeds in agriculture remain and the sector is still crucial for livelihoods. </w:t>
      </w:r>
      <w:r w:rsidR="00A42287" w:rsidRPr="00762380">
        <w:rPr>
          <w:rFonts w:ascii="Calibri Light" w:hAnsi="Calibri Light" w:cs="Calibri Light"/>
          <w:color w:val="000000"/>
          <w:lang w:val="en-AU"/>
        </w:rPr>
        <w:t>However,</w:t>
      </w:r>
      <w:r w:rsidR="00213DE2" w:rsidRPr="00762380">
        <w:rPr>
          <w:rFonts w:ascii="Calibri Light" w:hAnsi="Calibri Light" w:cs="Calibri Light"/>
          <w:color w:val="000000"/>
          <w:lang w:val="en-AU"/>
        </w:rPr>
        <w:t xml:space="preserve"> </w:t>
      </w:r>
      <w:r w:rsidR="006A591E" w:rsidRPr="00762380">
        <w:rPr>
          <w:rFonts w:ascii="Calibri Light" w:hAnsi="Calibri Light" w:cs="Calibri Light"/>
          <w:color w:val="000000"/>
          <w:lang w:val="en-AU"/>
        </w:rPr>
        <w:t>shocks and government plans to rapidly modernise the sector</w:t>
      </w:r>
      <w:r w:rsidR="00371723" w:rsidRPr="00762380">
        <w:rPr>
          <w:rFonts w:ascii="Calibri Light" w:hAnsi="Calibri Light" w:cs="Calibri Light"/>
          <w:color w:val="000000"/>
          <w:lang w:val="en-AU"/>
        </w:rPr>
        <w:t xml:space="preserve"> could</w:t>
      </w:r>
      <w:r w:rsidR="003D0240" w:rsidRPr="00762380">
        <w:rPr>
          <w:rFonts w:ascii="Calibri Light" w:hAnsi="Calibri Light" w:cs="Calibri Light"/>
          <w:color w:val="000000"/>
          <w:lang w:val="en-AU"/>
        </w:rPr>
        <w:t xml:space="preserve"> </w:t>
      </w:r>
      <w:r w:rsidR="00213DE2" w:rsidRPr="00762380">
        <w:rPr>
          <w:rFonts w:ascii="Calibri Light" w:hAnsi="Calibri Light" w:cs="Calibri Light"/>
          <w:color w:val="000000"/>
          <w:lang w:val="en-AU"/>
        </w:rPr>
        <w:t xml:space="preserve">make it difficult for programs to remain effective. The </w:t>
      </w:r>
      <w:r w:rsidR="00371723" w:rsidRPr="00762380">
        <w:rPr>
          <w:rFonts w:ascii="Calibri Light" w:hAnsi="Calibri Light" w:cs="Calibri Light"/>
          <w:color w:val="000000"/>
          <w:lang w:val="en-AU"/>
        </w:rPr>
        <w:t xml:space="preserve">flexible approach of the </w:t>
      </w:r>
      <w:r w:rsidR="00213DE2" w:rsidRPr="00762380">
        <w:rPr>
          <w:rFonts w:ascii="Calibri Light" w:hAnsi="Calibri Light" w:cs="Calibri Light"/>
          <w:color w:val="000000"/>
          <w:lang w:val="en-AU"/>
        </w:rPr>
        <w:t>C</w:t>
      </w:r>
      <w:r w:rsidR="00391867" w:rsidRPr="00762380">
        <w:rPr>
          <w:rFonts w:ascii="Calibri Light" w:hAnsi="Calibri Light" w:cs="Calibri Light"/>
          <w:color w:val="000000"/>
          <w:lang w:val="en-AU"/>
        </w:rPr>
        <w:t>ambodia Agriculture Value Chain Phase 2</w:t>
      </w:r>
      <w:r w:rsidR="00213DE2" w:rsidRPr="00762380">
        <w:rPr>
          <w:rFonts w:ascii="Calibri Light" w:hAnsi="Calibri Light" w:cs="Calibri Light"/>
          <w:color w:val="000000"/>
          <w:lang w:val="en-AU"/>
        </w:rPr>
        <w:t xml:space="preserve"> helps mitigate these risks.</w:t>
      </w:r>
      <w:r w:rsidR="006A591E" w:rsidRPr="00762380">
        <w:rPr>
          <w:rFonts w:ascii="Calibri Light" w:hAnsi="Calibri Light" w:cs="Calibri Light"/>
          <w:color w:val="000000"/>
          <w:lang w:val="en-AU"/>
        </w:rPr>
        <w:t xml:space="preserve"> O</w:t>
      </w:r>
      <w:r w:rsidR="00C834DE" w:rsidRPr="00762380">
        <w:rPr>
          <w:rFonts w:ascii="Calibri Light" w:hAnsi="Calibri Light" w:cs="Calibri Light"/>
          <w:color w:val="000000"/>
          <w:lang w:val="en-AU"/>
        </w:rPr>
        <w:t xml:space="preserve">ur landmine clearance </w:t>
      </w:r>
      <w:r w:rsidR="006A591E" w:rsidRPr="00762380">
        <w:rPr>
          <w:rFonts w:ascii="Calibri Light" w:hAnsi="Calibri Light" w:cs="Calibri Light"/>
          <w:color w:val="000000"/>
          <w:lang w:val="en-AU"/>
        </w:rPr>
        <w:t>project</w:t>
      </w:r>
      <w:r w:rsidR="00C834DE" w:rsidRPr="00762380">
        <w:rPr>
          <w:rFonts w:ascii="Calibri Light" w:hAnsi="Calibri Light" w:cs="Calibri Light"/>
          <w:color w:val="000000"/>
          <w:lang w:val="en-AU"/>
        </w:rPr>
        <w:t xml:space="preserve"> continues to achieve our benchmarks (8.8 km2 of primarily agricultural land cleared this year) and is highly valu</w:t>
      </w:r>
      <w:r w:rsidR="006A591E" w:rsidRPr="00762380">
        <w:rPr>
          <w:rFonts w:ascii="Calibri Light" w:hAnsi="Calibri Light" w:cs="Calibri Light"/>
          <w:color w:val="000000"/>
          <w:lang w:val="en-AU"/>
        </w:rPr>
        <w:t xml:space="preserve">ed by the Cambodian Government. Despite these successes, </w:t>
      </w:r>
      <w:r w:rsidR="00C834DE" w:rsidRPr="00762380">
        <w:rPr>
          <w:rFonts w:ascii="Calibri Light" w:hAnsi="Calibri Light" w:cs="Calibri Light"/>
          <w:color w:val="000000"/>
          <w:lang w:val="en-AU"/>
        </w:rPr>
        <w:t>other performance</w:t>
      </w:r>
      <w:r w:rsidR="006A591E" w:rsidRPr="00762380">
        <w:rPr>
          <w:rFonts w:ascii="Calibri Light" w:hAnsi="Calibri Light" w:cs="Calibri Light"/>
          <w:color w:val="000000"/>
          <w:lang w:val="en-AU"/>
        </w:rPr>
        <w:t xml:space="preserve"> issues</w:t>
      </w:r>
      <w:r w:rsidR="00C834DE" w:rsidRPr="00762380">
        <w:rPr>
          <w:rFonts w:ascii="Calibri Light" w:hAnsi="Calibri Light" w:cs="Calibri Light"/>
          <w:color w:val="000000"/>
          <w:lang w:val="en-AU"/>
        </w:rPr>
        <w:t xml:space="preserve"> </w:t>
      </w:r>
      <w:r w:rsidR="006A591E" w:rsidRPr="00762380">
        <w:rPr>
          <w:rFonts w:ascii="Calibri Light" w:hAnsi="Calibri Light" w:cs="Calibri Light"/>
          <w:color w:val="000000"/>
          <w:lang w:val="en-AU"/>
        </w:rPr>
        <w:t>with th</w:t>
      </w:r>
      <w:r w:rsidR="005245DB">
        <w:rPr>
          <w:rFonts w:ascii="Calibri Light" w:hAnsi="Calibri Light" w:cs="Calibri Light"/>
          <w:color w:val="000000"/>
          <w:lang w:val="en-AU"/>
        </w:rPr>
        <w:t>is</w:t>
      </w:r>
      <w:r w:rsidR="006A591E" w:rsidRPr="00762380">
        <w:rPr>
          <w:rFonts w:ascii="Calibri Light" w:hAnsi="Calibri Light" w:cs="Calibri Light"/>
          <w:color w:val="000000"/>
          <w:lang w:val="en-AU"/>
        </w:rPr>
        <w:t xml:space="preserve"> project </w:t>
      </w:r>
      <w:r w:rsidR="00C834DE" w:rsidRPr="00762380">
        <w:rPr>
          <w:rFonts w:ascii="Calibri Light" w:hAnsi="Calibri Light" w:cs="Calibri Light"/>
          <w:color w:val="000000"/>
          <w:lang w:val="en-AU"/>
        </w:rPr>
        <w:t>remain a concern.</w:t>
      </w:r>
    </w:p>
    <w:p w14:paraId="48CA8AD6" w14:textId="1C993C2B" w:rsidR="00956638" w:rsidRPr="00762380" w:rsidRDefault="00A42287" w:rsidP="00B35FE3">
      <w:pPr>
        <w:rPr>
          <w:rFonts w:ascii="Calibri Light" w:hAnsi="Calibri Light" w:cs="Calibri Light"/>
          <w:color w:val="000000"/>
          <w:lang w:val="en-AU"/>
        </w:rPr>
      </w:pPr>
      <w:r w:rsidRPr="00762380">
        <w:rPr>
          <w:rFonts w:ascii="Calibri Light" w:hAnsi="Calibri Light" w:cs="Calibri Light"/>
          <w:color w:val="000000"/>
          <w:lang w:val="en-AU"/>
        </w:rPr>
        <w:t>Australia’s</w:t>
      </w:r>
      <w:r w:rsidR="00956638" w:rsidRPr="00762380">
        <w:rPr>
          <w:rFonts w:ascii="Calibri Light" w:hAnsi="Calibri Light" w:cs="Calibri Light"/>
          <w:color w:val="000000"/>
          <w:lang w:val="en-AU"/>
        </w:rPr>
        <w:t xml:space="preserve"> </w:t>
      </w:r>
      <w:r w:rsidR="00956638" w:rsidRPr="00762380">
        <w:rPr>
          <w:rFonts w:ascii="Calibri Light" w:hAnsi="Calibri Light" w:cs="Calibri Light"/>
          <w:b/>
          <w:color w:val="000000"/>
          <w:lang w:val="en-AU"/>
        </w:rPr>
        <w:t xml:space="preserve">health and education </w:t>
      </w:r>
      <w:r w:rsidR="00956638" w:rsidRPr="00762380">
        <w:rPr>
          <w:rFonts w:ascii="Calibri Light" w:hAnsi="Calibri Light" w:cs="Calibri Light"/>
          <w:color w:val="000000"/>
          <w:lang w:val="en-AU"/>
        </w:rPr>
        <w:t>programs</w:t>
      </w:r>
      <w:r w:rsidRPr="00762380">
        <w:rPr>
          <w:rFonts w:ascii="Calibri Light" w:hAnsi="Calibri Light" w:cs="Calibri Light"/>
          <w:color w:val="000000"/>
          <w:lang w:val="en-AU"/>
        </w:rPr>
        <w:t xml:space="preserve"> made good progress</w:t>
      </w:r>
      <w:r w:rsidR="00956638" w:rsidRPr="00762380">
        <w:rPr>
          <w:rFonts w:ascii="Calibri Light" w:hAnsi="Calibri Light" w:cs="Calibri Light"/>
          <w:color w:val="000000"/>
          <w:lang w:val="en-AU"/>
        </w:rPr>
        <w:t xml:space="preserve"> this year. Our </w:t>
      </w:r>
      <w:r w:rsidR="008F61A4" w:rsidRPr="00762380">
        <w:rPr>
          <w:rFonts w:ascii="Calibri Light" w:hAnsi="Calibri Light" w:cs="Calibri Light"/>
          <w:color w:val="000000"/>
          <w:lang w:val="en-AU"/>
        </w:rPr>
        <w:t>h</w:t>
      </w:r>
      <w:r w:rsidR="00956638" w:rsidRPr="00762380">
        <w:rPr>
          <w:rFonts w:ascii="Calibri Light" w:hAnsi="Calibri Light" w:cs="Calibri Light"/>
          <w:color w:val="000000"/>
          <w:lang w:val="en-AU"/>
        </w:rPr>
        <w:t xml:space="preserve">ealth investments continue to assist the </w:t>
      </w:r>
      <w:r w:rsidR="008664AF" w:rsidRPr="00762380">
        <w:rPr>
          <w:rFonts w:ascii="Calibri Light" w:hAnsi="Calibri Light" w:cs="Calibri Light"/>
          <w:color w:val="000000"/>
          <w:lang w:val="en-AU"/>
        </w:rPr>
        <w:t>Cambodian Government</w:t>
      </w:r>
      <w:r w:rsidR="00956638" w:rsidRPr="00762380">
        <w:rPr>
          <w:rFonts w:ascii="Calibri Light" w:hAnsi="Calibri Light" w:cs="Calibri Light"/>
          <w:color w:val="000000"/>
          <w:lang w:val="en-AU"/>
        </w:rPr>
        <w:t xml:space="preserve"> to deliver strong improvements in health outcomes </w:t>
      </w:r>
      <w:r w:rsidR="00371723" w:rsidRPr="00762380">
        <w:rPr>
          <w:rFonts w:ascii="Calibri Light" w:hAnsi="Calibri Light" w:cs="Calibri Light"/>
          <w:color w:val="000000"/>
          <w:lang w:val="en-AU"/>
        </w:rPr>
        <w:t xml:space="preserve">by </w:t>
      </w:r>
      <w:r w:rsidR="00956638" w:rsidRPr="00762380">
        <w:rPr>
          <w:rFonts w:ascii="Calibri Light" w:hAnsi="Calibri Light" w:cs="Calibri Light"/>
          <w:color w:val="000000"/>
          <w:lang w:val="en-AU"/>
        </w:rPr>
        <w:t>improv</w:t>
      </w:r>
      <w:r w:rsidR="00371723" w:rsidRPr="00762380">
        <w:rPr>
          <w:rFonts w:ascii="Calibri Light" w:hAnsi="Calibri Light" w:cs="Calibri Light"/>
          <w:color w:val="000000"/>
          <w:lang w:val="en-AU"/>
        </w:rPr>
        <w:t>ing</w:t>
      </w:r>
      <w:r w:rsidR="00956638" w:rsidRPr="00762380">
        <w:rPr>
          <w:rFonts w:ascii="Calibri Light" w:hAnsi="Calibri Light" w:cs="Calibri Light"/>
          <w:color w:val="000000"/>
          <w:lang w:val="en-AU"/>
        </w:rPr>
        <w:t xml:space="preserve"> the quality of public health services, particularly for the poorest Cambodians. In 2016-17, the major achievement was </w:t>
      </w:r>
      <w:r w:rsidR="00371723" w:rsidRPr="00762380">
        <w:rPr>
          <w:rFonts w:ascii="Calibri Light" w:hAnsi="Calibri Light" w:cs="Calibri Light"/>
          <w:color w:val="000000"/>
          <w:lang w:val="en-AU"/>
        </w:rPr>
        <w:t xml:space="preserve">to </w:t>
      </w:r>
      <w:r w:rsidR="00956638" w:rsidRPr="00762380">
        <w:rPr>
          <w:rFonts w:ascii="Calibri Light" w:hAnsi="Calibri Light" w:cs="Calibri Light"/>
          <w:color w:val="000000"/>
          <w:lang w:val="en-AU"/>
        </w:rPr>
        <w:t>secur</w:t>
      </w:r>
      <w:r w:rsidR="00371723" w:rsidRPr="00762380">
        <w:rPr>
          <w:rFonts w:ascii="Calibri Light" w:hAnsi="Calibri Light" w:cs="Calibri Light"/>
          <w:color w:val="000000"/>
          <w:lang w:val="en-AU"/>
        </w:rPr>
        <w:t>e</w:t>
      </w:r>
      <w:r w:rsidR="00BD077D">
        <w:rPr>
          <w:rFonts w:ascii="Calibri Light" w:hAnsi="Calibri Light" w:cs="Calibri Light"/>
          <w:color w:val="000000"/>
          <w:lang w:val="en-AU"/>
        </w:rPr>
        <w:t xml:space="preserve"> additional Cambodian G</w:t>
      </w:r>
      <w:r w:rsidR="00956638" w:rsidRPr="00762380">
        <w:rPr>
          <w:rFonts w:ascii="Calibri Light" w:hAnsi="Calibri Light" w:cs="Calibri Light"/>
          <w:color w:val="000000"/>
          <w:lang w:val="en-AU"/>
        </w:rPr>
        <w:t>overnment resources to implement public health services, reducing reliance on donors</w:t>
      </w:r>
      <w:r w:rsidR="00B35FE3" w:rsidRPr="00762380">
        <w:rPr>
          <w:rFonts w:ascii="Calibri Light" w:hAnsi="Calibri Light" w:cs="Calibri Light"/>
          <w:color w:val="000000"/>
          <w:lang w:val="en-AU"/>
        </w:rPr>
        <w:t xml:space="preserve">. </w:t>
      </w:r>
    </w:p>
    <w:p w14:paraId="1D3D100E" w14:textId="77777777" w:rsidR="002A51CA" w:rsidRPr="00762380" w:rsidRDefault="009F4589" w:rsidP="00B35FE3">
      <w:pPr>
        <w:rPr>
          <w:rFonts w:ascii="Calibri Light" w:hAnsi="Calibri Light" w:cs="Calibri Light"/>
          <w:color w:val="000000"/>
          <w:lang w:val="en-AU"/>
        </w:rPr>
      </w:pPr>
      <w:r w:rsidRPr="00762380">
        <w:rPr>
          <w:rFonts w:ascii="Calibri Light" w:hAnsi="Calibri Light" w:cs="Calibri Light"/>
          <w:color w:val="000000"/>
          <w:lang w:val="en-AU"/>
        </w:rPr>
        <w:t xml:space="preserve">Australia Awards Scholarships continue to provide opportunities for Cambodians to further their studies in fields that are vital for development. </w:t>
      </w:r>
      <w:r w:rsidR="00690F45" w:rsidRPr="00762380">
        <w:rPr>
          <w:rFonts w:ascii="Calibri Light" w:hAnsi="Calibri Light" w:cs="Calibri Light"/>
          <w:color w:val="000000"/>
          <w:lang w:val="en-AU"/>
        </w:rPr>
        <w:t>This year</w:t>
      </w:r>
      <w:r w:rsidR="005C3C3E" w:rsidRPr="00762380">
        <w:rPr>
          <w:rFonts w:ascii="Calibri Light" w:hAnsi="Calibri Light" w:cs="Calibri Light"/>
          <w:color w:val="000000"/>
          <w:lang w:val="en-AU"/>
        </w:rPr>
        <w:t>,</w:t>
      </w:r>
      <w:r w:rsidRPr="00762380">
        <w:rPr>
          <w:rFonts w:ascii="Calibri Light" w:hAnsi="Calibri Light" w:cs="Calibri Light"/>
          <w:color w:val="000000"/>
          <w:lang w:val="en-AU"/>
        </w:rPr>
        <w:t xml:space="preserve"> </w:t>
      </w:r>
      <w:r w:rsidR="00A42287" w:rsidRPr="00762380">
        <w:rPr>
          <w:rFonts w:ascii="Calibri Light" w:hAnsi="Calibri Light" w:cs="Calibri Light"/>
          <w:color w:val="000000"/>
          <w:lang w:val="en-AU"/>
        </w:rPr>
        <w:t>46 Cambodians were offered scholarships to pursue</w:t>
      </w:r>
      <w:r w:rsidRPr="00762380">
        <w:rPr>
          <w:rFonts w:ascii="Calibri Light" w:hAnsi="Calibri Light" w:cs="Calibri Light"/>
          <w:color w:val="000000"/>
          <w:lang w:val="en-AU"/>
        </w:rPr>
        <w:t xml:space="preserve"> Masters</w:t>
      </w:r>
      <w:r w:rsidR="00C53256" w:rsidRPr="00762380">
        <w:rPr>
          <w:rFonts w:ascii="Calibri Light" w:hAnsi="Calibri Light" w:cs="Calibri Light"/>
          <w:color w:val="000000"/>
          <w:lang w:val="en-AU"/>
        </w:rPr>
        <w:t xml:space="preserve"> </w:t>
      </w:r>
      <w:proofErr w:type="gramStart"/>
      <w:r w:rsidR="00C53256" w:rsidRPr="00762380">
        <w:rPr>
          <w:rFonts w:ascii="Calibri Light" w:hAnsi="Calibri Light" w:cs="Calibri Light"/>
          <w:color w:val="000000"/>
          <w:lang w:val="en-AU"/>
        </w:rPr>
        <w:t>degree</w:t>
      </w:r>
      <w:r w:rsidR="00A42287" w:rsidRPr="00762380">
        <w:rPr>
          <w:rFonts w:ascii="Calibri Light" w:hAnsi="Calibri Light" w:cs="Calibri Light"/>
          <w:color w:val="000000"/>
          <w:lang w:val="en-AU"/>
        </w:rPr>
        <w:t>s</w:t>
      </w:r>
      <w:proofErr w:type="gramEnd"/>
      <w:r w:rsidRPr="00762380">
        <w:rPr>
          <w:rFonts w:ascii="Calibri Light" w:hAnsi="Calibri Light" w:cs="Calibri Light"/>
          <w:color w:val="000000"/>
          <w:lang w:val="en-AU"/>
        </w:rPr>
        <w:t xml:space="preserve"> in </w:t>
      </w:r>
      <w:r w:rsidR="000A284B" w:rsidRPr="00762380">
        <w:rPr>
          <w:rFonts w:ascii="Calibri Light" w:hAnsi="Calibri Light" w:cs="Calibri Light"/>
          <w:color w:val="000000"/>
          <w:lang w:val="en-AU"/>
        </w:rPr>
        <w:t xml:space="preserve">areas such as </w:t>
      </w:r>
      <w:r w:rsidRPr="00762380">
        <w:rPr>
          <w:rFonts w:ascii="Calibri Light" w:hAnsi="Calibri Light" w:cs="Calibri Light"/>
          <w:color w:val="000000"/>
          <w:lang w:val="en-AU"/>
        </w:rPr>
        <w:t xml:space="preserve">epidemiology, agribusiness, molecular biology, public policy and health informatics. However, awarding at least 50 </w:t>
      </w:r>
      <w:r w:rsidR="00467C0D" w:rsidRPr="00762380">
        <w:rPr>
          <w:rFonts w:ascii="Calibri Light" w:hAnsi="Calibri Light" w:cs="Calibri Light"/>
          <w:color w:val="000000"/>
          <w:lang w:val="en-AU"/>
        </w:rPr>
        <w:t>per cent</w:t>
      </w:r>
      <w:r w:rsidRPr="00762380">
        <w:rPr>
          <w:rFonts w:ascii="Calibri Light" w:hAnsi="Calibri Light" w:cs="Calibri Light"/>
          <w:color w:val="000000"/>
          <w:lang w:val="en-AU"/>
        </w:rPr>
        <w:t xml:space="preserve"> of scholarships to women remains a challenge.</w:t>
      </w:r>
    </w:p>
    <w:p w14:paraId="4A9DBA88" w14:textId="3ECDE18E" w:rsidR="002A51CA" w:rsidRPr="00280CC1" w:rsidRDefault="002A51CA" w:rsidP="002A51CA">
      <w:pPr>
        <w:rPr>
          <w:b/>
          <w:sz w:val="24"/>
        </w:rPr>
      </w:pPr>
      <w:r w:rsidRPr="00280CC1">
        <w:rPr>
          <w:b/>
          <w:sz w:val="24"/>
        </w:rPr>
        <w:t xml:space="preserve">Table </w:t>
      </w:r>
      <w:r w:rsidRPr="00280CC1">
        <w:rPr>
          <w:b/>
          <w:sz w:val="24"/>
        </w:rPr>
        <w:fldChar w:fldCharType="begin"/>
      </w:r>
      <w:r w:rsidRPr="00280CC1">
        <w:rPr>
          <w:b/>
          <w:sz w:val="24"/>
        </w:rPr>
        <w:instrText xml:space="preserve"> SEQ Table \* ARABIC </w:instrText>
      </w:r>
      <w:r w:rsidRPr="00280CC1">
        <w:rPr>
          <w:b/>
          <w:sz w:val="24"/>
        </w:rPr>
        <w:fldChar w:fldCharType="separate"/>
      </w:r>
      <w:r w:rsidR="00C17BD2">
        <w:rPr>
          <w:b/>
          <w:noProof/>
          <w:sz w:val="24"/>
        </w:rPr>
        <w:t>2</w:t>
      </w:r>
      <w:r w:rsidRPr="00280CC1">
        <w:rPr>
          <w:b/>
          <w:noProof/>
          <w:sz w:val="24"/>
        </w:rPr>
        <w:fldChar w:fldCharType="end"/>
      </w:r>
      <w:r w:rsidRPr="00280CC1">
        <w:rPr>
          <w:b/>
          <w:sz w:val="24"/>
        </w:rPr>
        <w:t xml:space="preserve"> Rating of the Program's Progress towards Australia’s Aid Objectives</w:t>
      </w:r>
    </w:p>
    <w:tbl>
      <w:tblPr>
        <w:tblStyle w:val="APPR"/>
        <w:tblW w:w="4854" w:type="pct"/>
        <w:tblLook w:val="0000" w:firstRow="0" w:lastRow="0" w:firstColumn="0" w:lastColumn="0" w:noHBand="0" w:noVBand="0"/>
      </w:tblPr>
      <w:tblGrid>
        <w:gridCol w:w="6759"/>
        <w:gridCol w:w="1321"/>
        <w:gridCol w:w="1277"/>
      </w:tblGrid>
      <w:tr w:rsidR="00DA040F" w:rsidRPr="00280CC1" w14:paraId="2A4F93DC" w14:textId="77777777" w:rsidTr="00B45401">
        <w:trPr>
          <w:cnfStyle w:val="000000010000" w:firstRow="0" w:lastRow="0" w:firstColumn="0" w:lastColumn="0" w:oddVBand="0" w:evenVBand="0" w:oddHBand="0" w:evenHBand="1" w:firstRowFirstColumn="0" w:firstRowLastColumn="0" w:lastRowFirstColumn="0" w:lastRowLastColumn="0"/>
          <w:trHeight w:val="651"/>
        </w:trPr>
        <w:tc>
          <w:tcPr>
            <w:tcW w:w="6717" w:type="dxa"/>
          </w:tcPr>
          <w:p w14:paraId="2009DE42" w14:textId="77777777" w:rsidR="00DA040F" w:rsidRPr="00280CC1" w:rsidRDefault="00DA040F" w:rsidP="00BE6C6D">
            <w:pPr>
              <w:pStyle w:val="NormalIndented"/>
              <w:rPr>
                <w:sz w:val="18"/>
                <w:lang w:eastAsia="en-US"/>
              </w:rPr>
            </w:pPr>
            <w:r w:rsidRPr="00280CC1">
              <w:rPr>
                <w:noProof/>
                <w:sz w:val="18"/>
                <w:lang w:val="en-AU" w:bidi="km-KH"/>
              </w:rPr>
              <w:drawing>
                <wp:anchor distT="0" distB="0" distL="114300" distR="114300" simplePos="0" relativeHeight="251685888" behindDoc="0" locked="0" layoutInCell="1" allowOverlap="1" wp14:anchorId="7730A8D1" wp14:editId="20C94779">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CC1">
              <w:rPr>
                <w:sz w:val="18"/>
                <w:lang w:eastAsia="en-US"/>
              </w:rPr>
              <w:t>Objective</w:t>
            </w:r>
          </w:p>
        </w:tc>
        <w:tc>
          <w:tcPr>
            <w:tcW w:w="1293" w:type="dxa"/>
          </w:tcPr>
          <w:p w14:paraId="35A03E34" w14:textId="77777777" w:rsidR="00DA040F" w:rsidRPr="00280CC1" w:rsidRDefault="00DA040F" w:rsidP="00BE6C6D">
            <w:pPr>
              <w:pStyle w:val="NormalIndented"/>
              <w:rPr>
                <w:sz w:val="18"/>
                <w:lang w:eastAsia="en-US"/>
              </w:rPr>
            </w:pPr>
            <w:r w:rsidRPr="00280CC1">
              <w:rPr>
                <w:sz w:val="18"/>
                <w:lang w:eastAsia="en-US"/>
              </w:rPr>
              <w:t>Previous Rating</w:t>
            </w:r>
          </w:p>
        </w:tc>
        <w:tc>
          <w:tcPr>
            <w:tcW w:w="1235" w:type="dxa"/>
          </w:tcPr>
          <w:p w14:paraId="5F7F1B85" w14:textId="77777777" w:rsidR="00DA040F" w:rsidRPr="00280CC1" w:rsidRDefault="00DA040F" w:rsidP="00BE6C6D">
            <w:pPr>
              <w:pStyle w:val="NormalIndented"/>
              <w:rPr>
                <w:sz w:val="18"/>
                <w:lang w:eastAsia="en-US"/>
              </w:rPr>
            </w:pPr>
            <w:r w:rsidRPr="00280CC1">
              <w:rPr>
                <w:sz w:val="18"/>
                <w:lang w:eastAsia="en-US"/>
              </w:rPr>
              <w:t>Current Rating</w:t>
            </w:r>
          </w:p>
        </w:tc>
      </w:tr>
      <w:tr w:rsidR="00DA040F" w:rsidRPr="00280CC1" w14:paraId="467ACA1E" w14:textId="77777777" w:rsidTr="008F1162">
        <w:trPr>
          <w:cnfStyle w:val="000000010000" w:firstRow="0" w:lastRow="0" w:firstColumn="0" w:lastColumn="0" w:oddVBand="0" w:evenVBand="0" w:oddHBand="0" w:evenHBand="1" w:firstRowFirstColumn="0" w:firstRowLastColumn="0" w:lastRowFirstColumn="0" w:lastRowLastColumn="0"/>
        </w:trPr>
        <w:tc>
          <w:tcPr>
            <w:tcW w:w="67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E830E5" w14:textId="77777777" w:rsidR="00DA040F" w:rsidRPr="00280CC1" w:rsidRDefault="00DA040F" w:rsidP="00BE6C6D">
            <w:pPr>
              <w:pStyle w:val="NormalIndented"/>
              <w:rPr>
                <w:sz w:val="16"/>
                <w:lang w:eastAsia="en-US"/>
              </w:rPr>
            </w:pPr>
            <w:r w:rsidRPr="00280CC1">
              <w:rPr>
                <w:sz w:val="16"/>
                <w:lang w:eastAsia="en-US"/>
              </w:rPr>
              <w:t>Objective 1</w:t>
            </w:r>
            <w:r w:rsidR="009560FF" w:rsidRPr="00280CC1">
              <w:rPr>
                <w:sz w:val="16"/>
                <w:lang w:eastAsia="en-US"/>
              </w:rPr>
              <w:t>: Improving access to essential infrastructure</w:t>
            </w:r>
          </w:p>
        </w:tc>
        <w:tc>
          <w:tcPr>
            <w:tcW w:w="129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8701A"/>
            <w:noWrap/>
          </w:tcPr>
          <w:p w14:paraId="6BA89017" w14:textId="77777777" w:rsidR="00DA040F" w:rsidRPr="00280CC1" w:rsidRDefault="005B75D7" w:rsidP="00BE6C6D">
            <w:pPr>
              <w:pStyle w:val="NormalIndented"/>
              <w:rPr>
                <w:color w:val="FFFFFF" w:themeColor="background1"/>
                <w:sz w:val="16"/>
                <w:lang w:eastAsia="en-US"/>
              </w:rPr>
            </w:pPr>
            <w:r w:rsidRPr="00280CC1">
              <w:rPr>
                <w:color w:val="FFFFFF" w:themeColor="background1"/>
                <w:sz w:val="16"/>
                <w:lang w:eastAsia="en-US"/>
              </w:rPr>
              <w:t>Amber</w:t>
            </w:r>
          </w:p>
        </w:tc>
        <w:tc>
          <w:tcPr>
            <w:tcW w:w="123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8701A"/>
            <w:noWrap/>
          </w:tcPr>
          <w:p w14:paraId="3CACA676" w14:textId="77777777" w:rsidR="00DA040F" w:rsidRPr="00280CC1" w:rsidRDefault="00B45401" w:rsidP="00BE6C6D">
            <w:pPr>
              <w:pStyle w:val="NormalIndented"/>
              <w:rPr>
                <w:color w:val="FFFFFF" w:themeColor="background1"/>
                <w:sz w:val="16"/>
                <w:lang w:eastAsia="en-US"/>
              </w:rPr>
            </w:pPr>
            <w:r w:rsidRPr="00280CC1">
              <w:rPr>
                <w:color w:val="FFFFFF" w:themeColor="background1"/>
                <w:sz w:val="16"/>
                <w:lang w:eastAsia="en-US"/>
              </w:rPr>
              <w:t>Amber</w:t>
            </w:r>
          </w:p>
        </w:tc>
      </w:tr>
      <w:tr w:rsidR="00DA040F" w:rsidRPr="00280CC1" w14:paraId="6695F558" w14:textId="77777777" w:rsidTr="00B45401">
        <w:trPr>
          <w:cnfStyle w:val="000000010000" w:firstRow="0" w:lastRow="0" w:firstColumn="0" w:lastColumn="0" w:oddVBand="0" w:evenVBand="0" w:oddHBand="0" w:evenHBand="1" w:firstRowFirstColumn="0" w:firstRowLastColumn="0" w:lastRowFirstColumn="0" w:lastRowLastColumn="0"/>
        </w:trPr>
        <w:tc>
          <w:tcPr>
            <w:tcW w:w="6717" w:type="dxa"/>
          </w:tcPr>
          <w:p w14:paraId="6FA8C526" w14:textId="77777777" w:rsidR="00DA040F" w:rsidRPr="00280CC1" w:rsidRDefault="00DA040F" w:rsidP="00BE6C6D">
            <w:pPr>
              <w:pStyle w:val="NormalIndented"/>
              <w:rPr>
                <w:sz w:val="16"/>
                <w:lang w:eastAsia="en-US"/>
              </w:rPr>
            </w:pPr>
            <w:r w:rsidRPr="00280CC1">
              <w:rPr>
                <w:sz w:val="16"/>
                <w:lang w:eastAsia="en-US"/>
              </w:rPr>
              <w:t>Objective 2</w:t>
            </w:r>
            <w:r w:rsidR="009560FF" w:rsidRPr="00280CC1">
              <w:rPr>
                <w:sz w:val="16"/>
                <w:lang w:eastAsia="en-US"/>
              </w:rPr>
              <w:t>: Increasing agricultural productivity and farmer incomes</w:t>
            </w:r>
          </w:p>
        </w:tc>
        <w:tc>
          <w:tcPr>
            <w:tcW w:w="1293" w:type="dxa"/>
            <w:shd w:val="clear" w:color="auto" w:fill="92D050"/>
            <w:noWrap/>
          </w:tcPr>
          <w:p w14:paraId="38A0445B" w14:textId="77777777" w:rsidR="00DA040F" w:rsidRPr="00280CC1" w:rsidRDefault="005B75D7" w:rsidP="00BE6C6D">
            <w:pPr>
              <w:pStyle w:val="NormalIndented"/>
              <w:rPr>
                <w:color w:val="FFFFFF" w:themeColor="background1"/>
                <w:sz w:val="16"/>
                <w:lang w:eastAsia="en-US"/>
              </w:rPr>
            </w:pPr>
            <w:r w:rsidRPr="00280CC1">
              <w:rPr>
                <w:color w:val="FFFFFF" w:themeColor="background1"/>
                <w:sz w:val="16"/>
                <w:lang w:eastAsia="en-US"/>
              </w:rPr>
              <w:t>Green</w:t>
            </w:r>
          </w:p>
        </w:tc>
        <w:tc>
          <w:tcPr>
            <w:tcW w:w="1235" w:type="dxa"/>
            <w:shd w:val="clear" w:color="auto" w:fill="92D050"/>
            <w:noWrap/>
          </w:tcPr>
          <w:p w14:paraId="776B3324" w14:textId="77777777" w:rsidR="00DA040F" w:rsidRPr="00280CC1" w:rsidRDefault="00DA040F" w:rsidP="00BE6C6D">
            <w:pPr>
              <w:pStyle w:val="NormalIndented"/>
              <w:rPr>
                <w:color w:val="FFFFFF" w:themeColor="background1"/>
                <w:sz w:val="16"/>
                <w:lang w:eastAsia="en-US"/>
              </w:rPr>
            </w:pPr>
            <w:r w:rsidRPr="00280CC1">
              <w:rPr>
                <w:color w:val="FFFFFF" w:themeColor="background1"/>
                <w:sz w:val="16"/>
                <w:lang w:eastAsia="en-US"/>
              </w:rPr>
              <w:t>Green</w:t>
            </w:r>
          </w:p>
        </w:tc>
      </w:tr>
      <w:tr w:rsidR="00DA040F" w:rsidRPr="00280CC1" w14:paraId="41D0F921" w14:textId="77777777" w:rsidTr="00B45401">
        <w:trPr>
          <w:cnfStyle w:val="000000010000" w:firstRow="0" w:lastRow="0" w:firstColumn="0" w:lastColumn="0" w:oddVBand="0" w:evenVBand="0" w:oddHBand="0" w:evenHBand="1" w:firstRowFirstColumn="0" w:firstRowLastColumn="0" w:lastRowFirstColumn="0" w:lastRowLastColumn="0"/>
        </w:trPr>
        <w:tc>
          <w:tcPr>
            <w:tcW w:w="6717" w:type="dxa"/>
          </w:tcPr>
          <w:p w14:paraId="21F2282F" w14:textId="77777777" w:rsidR="00DA040F" w:rsidRPr="00280CC1" w:rsidRDefault="00DA040F" w:rsidP="00BE6C6D">
            <w:pPr>
              <w:pStyle w:val="NormalIndented"/>
              <w:rPr>
                <w:sz w:val="16"/>
                <w:lang w:eastAsia="en-US"/>
              </w:rPr>
            </w:pPr>
            <w:r w:rsidRPr="00280CC1">
              <w:rPr>
                <w:sz w:val="16"/>
                <w:lang w:eastAsia="en-US"/>
              </w:rPr>
              <w:t>Objective 3</w:t>
            </w:r>
            <w:r w:rsidR="009560FF" w:rsidRPr="00280CC1">
              <w:rPr>
                <w:sz w:val="16"/>
                <w:lang w:eastAsia="en-US"/>
              </w:rPr>
              <w:t>: Better health and education outcomes</w:t>
            </w:r>
          </w:p>
        </w:tc>
        <w:tc>
          <w:tcPr>
            <w:tcW w:w="1293" w:type="dxa"/>
            <w:shd w:val="clear" w:color="auto" w:fill="92D050"/>
            <w:noWrap/>
          </w:tcPr>
          <w:p w14:paraId="61FC462C" w14:textId="77777777" w:rsidR="00DA040F" w:rsidRPr="00280CC1" w:rsidRDefault="005B75D7" w:rsidP="00BE6C6D">
            <w:pPr>
              <w:pStyle w:val="NormalIndented"/>
              <w:ind w:left="2"/>
              <w:jc w:val="center"/>
              <w:rPr>
                <w:color w:val="FFFFFF" w:themeColor="background1"/>
                <w:sz w:val="16"/>
                <w:lang w:eastAsia="en-US"/>
              </w:rPr>
            </w:pPr>
            <w:r w:rsidRPr="00280CC1">
              <w:rPr>
                <w:color w:val="FFFFFF" w:themeColor="background1"/>
                <w:sz w:val="16"/>
                <w:lang w:eastAsia="en-US"/>
              </w:rPr>
              <w:t>Green</w:t>
            </w:r>
          </w:p>
        </w:tc>
        <w:tc>
          <w:tcPr>
            <w:tcW w:w="1235" w:type="dxa"/>
            <w:shd w:val="clear" w:color="auto" w:fill="92D050"/>
            <w:noWrap/>
          </w:tcPr>
          <w:p w14:paraId="261D018B" w14:textId="77777777" w:rsidR="00DA040F" w:rsidRPr="00280CC1" w:rsidRDefault="005B75D7" w:rsidP="00BE6C6D">
            <w:pPr>
              <w:pStyle w:val="NormalIndented"/>
              <w:rPr>
                <w:color w:val="FFFFFF" w:themeColor="background1"/>
                <w:sz w:val="16"/>
                <w:lang w:eastAsia="en-US"/>
              </w:rPr>
            </w:pPr>
            <w:r w:rsidRPr="00280CC1">
              <w:rPr>
                <w:color w:val="FFFFFF" w:themeColor="background1"/>
                <w:sz w:val="16"/>
                <w:lang w:eastAsia="en-US"/>
              </w:rPr>
              <w:t>Green</w:t>
            </w:r>
          </w:p>
        </w:tc>
      </w:tr>
    </w:tbl>
    <w:p w14:paraId="08F23358" w14:textId="77777777" w:rsidR="002A51CA" w:rsidRPr="00280CC1" w:rsidRDefault="002A51CA" w:rsidP="00BE6C6D">
      <w:pPr>
        <w:pStyle w:val="NormalIndented"/>
        <w:rPr>
          <w:sz w:val="16"/>
        </w:rPr>
      </w:pPr>
      <w:r w:rsidRPr="00280CC1">
        <w:rPr>
          <w:color w:val="72AF2F"/>
          <w:sz w:val="16"/>
        </w:rPr>
        <w:sym w:font="Webdings" w:char="F067"/>
      </w:r>
      <w:r w:rsidRPr="00280CC1">
        <w:rPr>
          <w:sz w:val="16"/>
        </w:rPr>
        <w:t> </w:t>
      </w:r>
      <w:r w:rsidRPr="00280CC1">
        <w:rPr>
          <w:sz w:val="16"/>
        </w:rPr>
        <w:t xml:space="preserve"> </w:t>
      </w:r>
      <w:r w:rsidRPr="00280CC1">
        <w:rPr>
          <w:b/>
          <w:sz w:val="16"/>
        </w:rPr>
        <w:t>Green</w:t>
      </w:r>
      <w:r w:rsidRPr="00280CC1">
        <w:rPr>
          <w:sz w:val="16"/>
        </w:rPr>
        <w:t>. Progress is as expected at this stage of implementation and it is likely that the objective will be achieved. Standard program management practices are sufficient.</w:t>
      </w:r>
    </w:p>
    <w:p w14:paraId="4EA86DF7" w14:textId="77777777" w:rsidR="002A51CA" w:rsidRPr="00280CC1" w:rsidRDefault="002A51CA" w:rsidP="00BE6C6D">
      <w:pPr>
        <w:pStyle w:val="NormalIndented"/>
        <w:rPr>
          <w:sz w:val="16"/>
        </w:rPr>
      </w:pPr>
      <w:r w:rsidRPr="00280CC1">
        <w:rPr>
          <w:color w:val="E36C0A"/>
          <w:sz w:val="16"/>
        </w:rPr>
        <w:sym w:font="Webdings" w:char="F067"/>
      </w:r>
      <w:r w:rsidRPr="00280CC1">
        <w:rPr>
          <w:sz w:val="16"/>
        </w:rPr>
        <w:t> </w:t>
      </w:r>
      <w:r w:rsidRPr="00280CC1">
        <w:rPr>
          <w:sz w:val="16"/>
        </w:rPr>
        <w:t xml:space="preserve"> </w:t>
      </w:r>
      <w:r w:rsidRPr="00280CC1">
        <w:rPr>
          <w:b/>
          <w:sz w:val="16"/>
        </w:rPr>
        <w:t>Amber</w:t>
      </w:r>
      <w:r w:rsidRPr="00280CC1">
        <w:rPr>
          <w:sz w:val="16"/>
        </w:rPr>
        <w:t>. Progress is somewhat less than expected at this stage of implementation and restorative action will be necessary if the objective is to be achieved. Close performance monitoring is recommended.</w:t>
      </w:r>
    </w:p>
    <w:p w14:paraId="2E8F8302" w14:textId="77777777" w:rsidR="003D0240" w:rsidRPr="00280CC1" w:rsidRDefault="002A51CA" w:rsidP="00902241">
      <w:pPr>
        <w:pStyle w:val="NormalIndented"/>
        <w:rPr>
          <w:sz w:val="16"/>
        </w:rPr>
      </w:pPr>
      <w:r w:rsidRPr="00280CC1">
        <w:rPr>
          <w:color w:val="FF0000"/>
          <w:sz w:val="16"/>
        </w:rPr>
        <w:sym w:font="Webdings" w:char="F067"/>
      </w:r>
      <w:r w:rsidRPr="00280CC1">
        <w:rPr>
          <w:sz w:val="16"/>
        </w:rPr>
        <w:t> </w:t>
      </w:r>
      <w:r w:rsidRPr="00280CC1">
        <w:rPr>
          <w:sz w:val="16"/>
        </w:rPr>
        <w:t xml:space="preserve"> </w:t>
      </w:r>
      <w:r w:rsidRPr="00280CC1">
        <w:rPr>
          <w:b/>
          <w:sz w:val="16"/>
        </w:rPr>
        <w:t>Red.</w:t>
      </w:r>
      <w:r w:rsidRPr="00280CC1">
        <w:rPr>
          <w:sz w:val="16"/>
        </w:rPr>
        <w:t xml:space="preserve"> Progress is significantly less than expected at this stage of implementation and the objective is not likely to be met given available resources and priorities. Recasting the objective may be required.</w:t>
      </w:r>
    </w:p>
    <w:p w14:paraId="52A1BB3E" w14:textId="77777777" w:rsidR="002A51CA" w:rsidRPr="00280CC1" w:rsidRDefault="002A51CA" w:rsidP="00DA040F">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sidRPr="00280CC1">
        <w:rPr>
          <w:rFonts w:asciiTheme="majorHAnsi" w:eastAsiaTheme="majorEastAsia" w:hAnsiTheme="majorHAnsi" w:cstheme="majorBidi"/>
          <w:caps/>
          <w:color w:val="495965" w:themeColor="text2"/>
          <w:sz w:val="38"/>
          <w:szCs w:val="26"/>
          <w:lang w:val="en-GB" w:eastAsia="en-US"/>
        </w:rPr>
        <w:t>Objective 1</w:t>
      </w:r>
      <w:r w:rsidR="00901B6A" w:rsidRPr="00280CC1">
        <w:rPr>
          <w:rFonts w:asciiTheme="majorHAnsi" w:eastAsiaTheme="majorEastAsia" w:hAnsiTheme="majorHAnsi" w:cstheme="majorBidi"/>
          <w:caps/>
          <w:color w:val="495965" w:themeColor="text2"/>
          <w:sz w:val="38"/>
          <w:szCs w:val="26"/>
          <w:lang w:val="en-GB" w:eastAsia="en-US"/>
        </w:rPr>
        <w:t>: Improving access to essential infrastructure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9"/>
        <w:gridCol w:w="1911"/>
        <w:gridCol w:w="1911"/>
        <w:gridCol w:w="1891"/>
      </w:tblGrid>
      <w:tr w:rsidR="00D10AAE" w:rsidRPr="00280CC1" w14:paraId="487616B1" w14:textId="77777777" w:rsidTr="00E41BEF">
        <w:tc>
          <w:tcPr>
            <w:tcW w:w="2016" w:type="dxa"/>
          </w:tcPr>
          <w:p w14:paraId="2199195C" w14:textId="77777777" w:rsidR="00901B6A" w:rsidRPr="00280CC1" w:rsidRDefault="00901B6A" w:rsidP="009D2415">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sidRPr="00280CC1">
              <w:rPr>
                <w:rFonts w:asciiTheme="majorHAnsi" w:eastAsiaTheme="majorEastAsia" w:hAnsiTheme="majorHAnsi" w:cstheme="majorBidi"/>
                <w:caps/>
                <w:noProof/>
                <w:color w:val="495965" w:themeColor="text2"/>
                <w:sz w:val="38"/>
                <w:szCs w:val="26"/>
                <w:lang w:bidi="km-KH"/>
              </w:rPr>
              <w:drawing>
                <wp:inline distT="0" distB="0" distL="0" distR="0" wp14:anchorId="64C7B603" wp14:editId="0F9C846B">
                  <wp:extent cx="1137600" cy="720000"/>
                  <wp:effectExtent l="0" t="0" r="5715" b="4445"/>
                  <wp:docPr id="40" name="Picture 40" title="Sustainable Development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9" w:type="dxa"/>
          </w:tcPr>
          <w:p w14:paraId="096E9E1D" w14:textId="77777777" w:rsidR="00901B6A" w:rsidRPr="00280CC1" w:rsidRDefault="00901B6A" w:rsidP="009D241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280CC1">
              <w:rPr>
                <w:noProof/>
                <w:lang w:bidi="km-KH"/>
              </w:rPr>
              <w:drawing>
                <wp:inline distT="0" distB="0" distL="0" distR="0" wp14:anchorId="450B978A" wp14:editId="103E7D64">
                  <wp:extent cx="612000" cy="612000"/>
                  <wp:effectExtent l="0" t="0" r="0" b="0"/>
                  <wp:docPr id="46" name="Picture 46" title="6: Clean water and San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1" w:type="dxa"/>
          </w:tcPr>
          <w:p w14:paraId="73B48125" w14:textId="77777777" w:rsidR="00901B6A" w:rsidRPr="00280CC1" w:rsidRDefault="00901B6A" w:rsidP="009D241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280CC1">
              <w:rPr>
                <w:noProof/>
                <w:lang w:bidi="km-KH"/>
              </w:rPr>
              <w:drawing>
                <wp:inline distT="0" distB="0" distL="0" distR="0" wp14:anchorId="5B2D3C97" wp14:editId="3D6D19DF">
                  <wp:extent cx="612000" cy="612000"/>
                  <wp:effectExtent l="0" t="0" r="0" b="0"/>
                  <wp:docPr id="47" name="Picture 47" title="7: affordable and clean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1" w:type="dxa"/>
          </w:tcPr>
          <w:p w14:paraId="6ECB54A3" w14:textId="317C4FD8" w:rsidR="00901B6A" w:rsidRPr="00280CC1" w:rsidRDefault="00D10AAE" w:rsidP="009D241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lang w:bidi="km-KH"/>
              </w:rPr>
              <w:drawing>
                <wp:inline distT="0" distB="0" distL="0" distR="0" wp14:anchorId="7F306DB2" wp14:editId="699C003F">
                  <wp:extent cx="651163" cy="651163"/>
                  <wp:effectExtent l="0" t="0" r="0" b="0"/>
                  <wp:docPr id="7" name="Picture 7" title="9: Industry, innovation and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hanks\AppData\Local\Microsoft\Windows\INetCache\Content.Word\sdg-09.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2042" cy="692042"/>
                          </a:xfrm>
                          <a:prstGeom prst="rect">
                            <a:avLst/>
                          </a:prstGeom>
                          <a:noFill/>
                          <a:ln>
                            <a:noFill/>
                          </a:ln>
                        </pic:spPr>
                      </pic:pic>
                    </a:graphicData>
                  </a:graphic>
                </wp:inline>
              </w:drawing>
            </w:r>
          </w:p>
        </w:tc>
        <w:tc>
          <w:tcPr>
            <w:tcW w:w="1891" w:type="dxa"/>
          </w:tcPr>
          <w:p w14:paraId="097AD626" w14:textId="77777777" w:rsidR="00901B6A" w:rsidRPr="00280CC1" w:rsidRDefault="00D613B4" w:rsidP="009D241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lang w:bidi="km-KH"/>
              </w:rPr>
              <w:drawing>
                <wp:inline distT="0" distB="0" distL="0" distR="0" wp14:anchorId="5F10B7F4" wp14:editId="41F9EBB7">
                  <wp:extent cx="612000" cy="612000"/>
                  <wp:effectExtent l="0" t="0" r="0" b="0"/>
                  <wp:docPr id="1" name="Picture 1" title="13: climat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7551688D" w14:textId="77777777" w:rsidR="00937342" w:rsidRPr="00762380" w:rsidRDefault="00937342" w:rsidP="00937342">
      <w:pPr>
        <w:rPr>
          <w:rFonts w:ascii="Calibri Light" w:hAnsi="Calibri Light" w:cs="Calibri Light"/>
          <w:color w:val="000000"/>
          <w:lang w:val="en-AU"/>
        </w:rPr>
      </w:pPr>
      <w:r w:rsidRPr="00762380">
        <w:rPr>
          <w:rFonts w:ascii="Calibri Light" w:hAnsi="Calibri Light" w:cs="Calibri Light"/>
          <w:color w:val="000000"/>
          <w:lang w:val="en-AU"/>
        </w:rPr>
        <w:t xml:space="preserve">Overall progress against Objective 1 remains </w:t>
      </w:r>
      <w:r w:rsidRPr="005611B4">
        <w:rPr>
          <w:rFonts w:ascii="Calibri Light" w:hAnsi="Calibri Light" w:cs="Calibri Light"/>
          <w:color w:val="000000"/>
          <w:u w:val="single"/>
          <w:lang w:val="en-AU"/>
        </w:rPr>
        <w:t>amber</w:t>
      </w:r>
      <w:r w:rsidRPr="00762380">
        <w:rPr>
          <w:rFonts w:ascii="Calibri Light" w:hAnsi="Calibri Light" w:cs="Calibri Light"/>
          <w:color w:val="000000"/>
          <w:lang w:val="en-AU"/>
        </w:rPr>
        <w:t xml:space="preserve"> for 2016-17. Our private sector focussed program made positive gains since the previous Aid Program Performance Report (APPR). Progress was slower than expected in 2016 on a major multi-donor rural road improvement project. Our infrastructure investments </w:t>
      </w:r>
      <w:r w:rsidRPr="00762380">
        <w:rPr>
          <w:rFonts w:ascii="Calibri Light" w:hAnsi="Calibri Light" w:cs="Calibri Light"/>
          <w:color w:val="000000"/>
          <w:lang w:val="en-AU"/>
        </w:rPr>
        <w:lastRenderedPageBreak/>
        <w:t>support the Sust</w:t>
      </w:r>
      <w:r w:rsidR="00B35FE3" w:rsidRPr="00762380">
        <w:rPr>
          <w:rFonts w:ascii="Calibri Light" w:hAnsi="Calibri Light" w:cs="Calibri Light"/>
          <w:color w:val="000000"/>
          <w:lang w:val="en-AU"/>
        </w:rPr>
        <w:t>ainable Development Goals</w:t>
      </w:r>
      <w:r w:rsidRPr="00762380">
        <w:rPr>
          <w:rFonts w:ascii="Calibri Light" w:hAnsi="Calibri Light" w:cs="Calibri Light"/>
          <w:color w:val="000000"/>
          <w:lang w:val="en-AU"/>
        </w:rPr>
        <w:t xml:space="preserve"> 6 - Clean Water and Sanitation, 7 - Affordable and Clean Energy, 9 - Industry, Innovation and Infrastructure</w:t>
      </w:r>
      <w:r w:rsidR="00DC521C" w:rsidRPr="00762380">
        <w:rPr>
          <w:rFonts w:ascii="Calibri Light" w:hAnsi="Calibri Light" w:cs="Calibri Light"/>
          <w:color w:val="000000"/>
          <w:lang w:val="en-AU"/>
        </w:rPr>
        <w:t>, and 13 - Climate Action</w:t>
      </w:r>
      <w:r w:rsidRPr="00762380">
        <w:rPr>
          <w:rFonts w:ascii="Calibri Light" w:hAnsi="Calibri Light" w:cs="Calibri Light"/>
          <w:color w:val="000000"/>
          <w:lang w:val="en-AU"/>
        </w:rPr>
        <w:t>.</w:t>
      </w:r>
    </w:p>
    <w:p w14:paraId="4F24EAC6" w14:textId="42B2FDEF" w:rsidR="00937342" w:rsidRPr="00762380" w:rsidRDefault="00937342" w:rsidP="00937342">
      <w:pPr>
        <w:rPr>
          <w:rFonts w:ascii="Calibri Light" w:hAnsi="Calibri Light" w:cs="Calibri Light"/>
          <w:color w:val="000000"/>
          <w:lang w:val="en-AU"/>
        </w:rPr>
      </w:pPr>
      <w:r w:rsidRPr="00762380">
        <w:rPr>
          <w:rFonts w:ascii="Calibri Light" w:hAnsi="Calibri Light" w:cs="Calibri Light"/>
          <w:color w:val="000000"/>
          <w:lang w:val="en-AU"/>
        </w:rPr>
        <w:t xml:space="preserve">Infrastructure </w:t>
      </w:r>
      <w:r w:rsidRPr="00F71549">
        <w:rPr>
          <w:rFonts w:ascii="Calibri Light" w:hAnsi="Calibri Light" w:cs="Calibri Light"/>
          <w:color w:val="000000"/>
          <w:lang w:val="en-AU"/>
        </w:rPr>
        <w:t>development</w:t>
      </w:r>
      <w:r w:rsidRPr="00762380">
        <w:rPr>
          <w:rFonts w:ascii="Calibri Light" w:hAnsi="Calibri Light" w:cs="Calibri Light"/>
          <w:color w:val="000000"/>
          <w:lang w:val="en-AU"/>
        </w:rPr>
        <w:t xml:space="preserve"> is a key priority for the Cambodian Government. While revenue growth has been strong in recent years, infrastructure investment in the national budget remains low by both regional and global standards. </w:t>
      </w:r>
      <w:r w:rsidR="00F743C2" w:rsidRPr="00762380">
        <w:rPr>
          <w:rFonts w:ascii="Calibri Light" w:hAnsi="Calibri Light" w:cs="Calibri Light"/>
          <w:color w:val="000000"/>
          <w:lang w:val="en-AU"/>
        </w:rPr>
        <w:t>N</w:t>
      </w:r>
      <w:r w:rsidRPr="00762380">
        <w:rPr>
          <w:rFonts w:ascii="Calibri Light" w:hAnsi="Calibri Light" w:cs="Calibri Light"/>
          <w:color w:val="000000"/>
          <w:lang w:val="en-AU"/>
        </w:rPr>
        <w:t>on-concessional and concessional loans from China, Japan and the Asian Development</w:t>
      </w:r>
      <w:r w:rsidRPr="0029505D">
        <w:rPr>
          <w:rFonts w:eastAsia="Times New Roman"/>
        </w:rPr>
        <w:t xml:space="preserve"> </w:t>
      </w:r>
      <w:r w:rsidRPr="00762380">
        <w:rPr>
          <w:rFonts w:ascii="Calibri Light" w:hAnsi="Calibri Light" w:cs="Calibri Light"/>
          <w:color w:val="000000"/>
          <w:lang w:val="en-AU"/>
        </w:rPr>
        <w:t>Bank (ADB)</w:t>
      </w:r>
      <w:r w:rsidR="00F743C2" w:rsidRPr="00762380">
        <w:rPr>
          <w:rFonts w:ascii="Calibri Light" w:hAnsi="Calibri Light" w:cs="Calibri Light"/>
          <w:color w:val="000000"/>
          <w:lang w:val="en-AU"/>
        </w:rPr>
        <w:t xml:space="preserve"> fund most large-scale infrastructure</w:t>
      </w:r>
      <w:r w:rsidRPr="00762380">
        <w:rPr>
          <w:rFonts w:ascii="Calibri Light" w:hAnsi="Calibri Light" w:cs="Calibri Light"/>
          <w:color w:val="000000"/>
          <w:lang w:val="en-AU"/>
        </w:rPr>
        <w:t>. To improve the prioritisation and efficiency of investment in economic infrastructure, the Cambodian Government is aiming to establish a framework for Public Private Partnerships</w:t>
      </w:r>
      <w:r w:rsidR="000B5190" w:rsidRPr="00762380">
        <w:rPr>
          <w:rFonts w:ascii="Calibri Light" w:hAnsi="Calibri Light" w:cs="Calibri Light"/>
          <w:color w:val="000000"/>
          <w:lang w:val="en-AU"/>
        </w:rPr>
        <w:t xml:space="preserve"> (PPPs)</w:t>
      </w:r>
      <w:r w:rsidRPr="00762380">
        <w:rPr>
          <w:rFonts w:ascii="Calibri Light" w:hAnsi="Calibri Light" w:cs="Calibri Light"/>
          <w:color w:val="000000"/>
          <w:lang w:val="en-AU"/>
        </w:rPr>
        <w:t xml:space="preserve"> by 2020. </w:t>
      </w:r>
      <w:r w:rsidR="000B5190" w:rsidRPr="00762380">
        <w:rPr>
          <w:rFonts w:ascii="Calibri Light" w:hAnsi="Calibri Light" w:cs="Calibri Light"/>
          <w:color w:val="000000"/>
          <w:lang w:val="en-AU"/>
        </w:rPr>
        <w:t>Australia is a respected partner in this field and responded to a high level of interest by the Cambodian Government by delivering a workshop on PPPs at the High Level Consultations on Aid in 2016</w:t>
      </w:r>
      <w:r w:rsidR="003D6685">
        <w:rPr>
          <w:rFonts w:ascii="Calibri Light" w:hAnsi="Calibri Light" w:cs="Calibri Light"/>
          <w:color w:val="000000"/>
          <w:lang w:val="en-AU"/>
        </w:rPr>
        <w:t xml:space="preserve">. </w:t>
      </w:r>
    </w:p>
    <w:p w14:paraId="564F8A04" w14:textId="649910F5" w:rsidR="00937342" w:rsidRPr="00762380" w:rsidRDefault="00937342" w:rsidP="00774320">
      <w:pPr>
        <w:rPr>
          <w:rFonts w:ascii="Calibri Light" w:hAnsi="Calibri Light" w:cs="Calibri Light"/>
          <w:color w:val="000000"/>
          <w:lang w:val="en-AU"/>
        </w:rPr>
      </w:pPr>
      <w:r w:rsidRPr="00762380">
        <w:rPr>
          <w:rFonts w:ascii="Calibri Light" w:hAnsi="Calibri Light" w:cs="Calibri Light"/>
          <w:color w:val="000000"/>
          <w:lang w:val="en-AU"/>
        </w:rPr>
        <w:t>Access to basic infrastructure—such as grid-quality electricity and piped, treated water—has been steadily improving but remains limited in the rural areas where most Cambodians live</w:t>
      </w:r>
      <w:r w:rsidR="00C834DE" w:rsidRPr="00762380">
        <w:rPr>
          <w:rFonts w:ascii="Calibri Light" w:hAnsi="Calibri Light" w:cs="Calibri Light"/>
          <w:color w:val="000000"/>
          <w:lang w:val="en-AU"/>
        </w:rPr>
        <w:t xml:space="preserve"> and where the burden of household tasks often fall on women</w:t>
      </w:r>
      <w:r w:rsidRPr="00762380">
        <w:rPr>
          <w:rFonts w:ascii="Calibri Light" w:hAnsi="Calibri Light" w:cs="Calibri Light"/>
          <w:color w:val="000000"/>
          <w:lang w:val="en-AU"/>
        </w:rPr>
        <w:t xml:space="preserve">. Adequate national spending and institutional capacity to deliver public utilities in these areas will still take time to develop. To accelerate coverage of essential infrastructure, Australia is leveraging the private sector to deliver reliable energy and treated water to households through our </w:t>
      </w:r>
      <w:r w:rsidRPr="00762380">
        <w:rPr>
          <w:rFonts w:ascii="Calibri Light" w:hAnsi="Calibri Light" w:cs="Calibri Light"/>
          <w:b/>
          <w:color w:val="000000"/>
          <w:lang w:val="en-AU"/>
        </w:rPr>
        <w:t>Investing in Infrastructure (3i</w:t>
      </w:r>
      <w:r w:rsidR="00F743C2" w:rsidRPr="00762380">
        <w:rPr>
          <w:rFonts w:ascii="Calibri Light" w:hAnsi="Calibri Light" w:cs="Calibri Light"/>
          <w:b/>
          <w:color w:val="000000"/>
          <w:lang w:val="en-AU"/>
        </w:rPr>
        <w:t>)</w:t>
      </w:r>
      <w:r w:rsidR="007570E6">
        <w:rPr>
          <w:rFonts w:ascii="Calibri Light" w:hAnsi="Calibri Light" w:cs="Calibri Light"/>
          <w:color w:val="000000"/>
          <w:lang w:val="en-AU"/>
        </w:rPr>
        <w:t xml:space="preserve"> </w:t>
      </w:r>
      <w:r w:rsidR="00F71549">
        <w:rPr>
          <w:rFonts w:ascii="Calibri Light" w:hAnsi="Calibri Light" w:cs="Calibri Light"/>
          <w:b/>
          <w:color w:val="000000"/>
          <w:lang w:val="en-AU"/>
        </w:rPr>
        <w:t>P</w:t>
      </w:r>
      <w:r w:rsidR="007570E6" w:rsidRPr="00F71549">
        <w:rPr>
          <w:rFonts w:ascii="Calibri Light" w:hAnsi="Calibri Light" w:cs="Calibri Light"/>
          <w:b/>
          <w:color w:val="000000"/>
          <w:lang w:val="en-AU"/>
        </w:rPr>
        <w:t>rogram</w:t>
      </w:r>
      <w:r w:rsidR="007570E6">
        <w:rPr>
          <w:rFonts w:ascii="Calibri Light" w:hAnsi="Calibri Light" w:cs="Calibri Light"/>
          <w:color w:val="000000"/>
          <w:lang w:val="en-AU"/>
        </w:rPr>
        <w:t xml:space="preserve"> ($45.4</w:t>
      </w:r>
      <w:r w:rsidR="00F743C2" w:rsidRPr="00762380">
        <w:rPr>
          <w:rFonts w:ascii="Calibri Light" w:hAnsi="Calibri Light" w:cs="Calibri Light"/>
          <w:color w:val="000000"/>
          <w:lang w:val="en-AU"/>
        </w:rPr>
        <w:t xml:space="preserve"> </w:t>
      </w:r>
      <w:r w:rsidRPr="00762380">
        <w:rPr>
          <w:rFonts w:ascii="Calibri Light" w:hAnsi="Calibri Light" w:cs="Calibri Light"/>
          <w:color w:val="000000"/>
          <w:lang w:val="en-AU"/>
        </w:rPr>
        <w:t>million, 2015 – 2021)</w:t>
      </w:r>
      <w:r w:rsidR="005D30D1" w:rsidRPr="00762380">
        <w:rPr>
          <w:rFonts w:ascii="Calibri Light" w:hAnsi="Calibri Light" w:cs="Calibri Light"/>
          <w:color w:val="000000"/>
          <w:lang w:val="en-AU"/>
        </w:rPr>
        <w:t xml:space="preserve">. </w:t>
      </w:r>
    </w:p>
    <w:p w14:paraId="446E9E5C" w14:textId="77777777" w:rsidR="00937342" w:rsidRPr="00762380" w:rsidRDefault="00937342" w:rsidP="001C1015">
      <w:pPr>
        <w:rPr>
          <w:rFonts w:ascii="Calibri Light" w:hAnsi="Calibri Light" w:cs="Calibri Light"/>
          <w:color w:val="000000"/>
          <w:lang w:val="en-AU"/>
        </w:rPr>
      </w:pPr>
      <w:r w:rsidRPr="00762380">
        <w:rPr>
          <w:rFonts w:ascii="Calibri Light" w:hAnsi="Calibri Light" w:cs="Calibri Light"/>
          <w:color w:val="000000"/>
          <w:lang w:val="en-AU"/>
        </w:rPr>
        <w:t>In 2016-17</w:t>
      </w:r>
      <w:r w:rsidR="008C4810" w:rsidRPr="00762380">
        <w:rPr>
          <w:rFonts w:ascii="Calibri Light" w:hAnsi="Calibri Light" w:cs="Calibri Light"/>
          <w:color w:val="000000"/>
          <w:lang w:val="en-AU"/>
        </w:rPr>
        <w:t>, 3i provided technical support</w:t>
      </w:r>
      <w:r w:rsidRPr="00762380">
        <w:rPr>
          <w:rFonts w:ascii="Calibri Light" w:hAnsi="Calibri Light" w:cs="Calibri Light"/>
          <w:color w:val="000000"/>
          <w:lang w:val="en-AU"/>
        </w:rPr>
        <w:t xml:space="preserve"> and entered into ‘last mile’ funding contracts with 11 water companies and 14 energy companies. Through overall contract commitments of $3.8 million, 3i has leveraged $6.3 million of additional private inv</w:t>
      </w:r>
      <w:r w:rsidR="00261D61" w:rsidRPr="00762380">
        <w:rPr>
          <w:rFonts w:ascii="Calibri Light" w:hAnsi="Calibri Light" w:cs="Calibri Light"/>
          <w:color w:val="000000"/>
          <w:lang w:val="en-AU"/>
        </w:rPr>
        <w:t>estment (a leverage ratio of 1.6</w:t>
      </w:r>
      <w:r w:rsidRPr="00762380">
        <w:rPr>
          <w:rFonts w:ascii="Calibri Light" w:hAnsi="Calibri Light" w:cs="Calibri Light"/>
          <w:color w:val="000000"/>
          <w:lang w:val="en-AU"/>
        </w:rPr>
        <w:t xml:space="preserve">) which will bring piped, treated water or reliable electricity to over </w:t>
      </w:r>
      <w:r w:rsidR="00774320" w:rsidRPr="00762380">
        <w:rPr>
          <w:rFonts w:ascii="Calibri Light" w:hAnsi="Calibri Light" w:cs="Calibri Light"/>
          <w:color w:val="000000"/>
          <w:lang w:val="en-AU"/>
        </w:rPr>
        <w:t xml:space="preserve">210,000 people. </w:t>
      </w:r>
      <w:r w:rsidR="00F743C2" w:rsidRPr="00762380">
        <w:rPr>
          <w:rFonts w:ascii="Calibri Light" w:hAnsi="Calibri Light" w:cs="Calibri Light"/>
          <w:color w:val="000000"/>
          <w:lang w:val="en-AU"/>
        </w:rPr>
        <w:t>P</w:t>
      </w:r>
      <w:r w:rsidRPr="00762380">
        <w:rPr>
          <w:rFonts w:ascii="Calibri Light" w:hAnsi="Calibri Light" w:cs="Calibri Light"/>
          <w:color w:val="000000"/>
          <w:lang w:val="en-AU"/>
        </w:rPr>
        <w:t xml:space="preserve">oorer </w:t>
      </w:r>
      <w:r w:rsidR="00F743C2" w:rsidRPr="00762380">
        <w:rPr>
          <w:rFonts w:ascii="Calibri Light" w:hAnsi="Calibri Light" w:cs="Calibri Light"/>
          <w:color w:val="000000"/>
          <w:lang w:val="en-AU"/>
        </w:rPr>
        <w:t>households receive subsidies to meet modest connection fees</w:t>
      </w:r>
      <w:r w:rsidRPr="00762380">
        <w:rPr>
          <w:rFonts w:ascii="Calibri Light" w:hAnsi="Calibri Light" w:cs="Calibri Light"/>
          <w:color w:val="000000"/>
          <w:lang w:val="en-AU"/>
        </w:rPr>
        <w:t>. This support improv</w:t>
      </w:r>
      <w:r w:rsidR="00C53256" w:rsidRPr="00762380">
        <w:rPr>
          <w:rFonts w:ascii="Calibri Light" w:hAnsi="Calibri Light" w:cs="Calibri Light"/>
          <w:color w:val="000000"/>
          <w:lang w:val="en-AU"/>
        </w:rPr>
        <w:t>es</w:t>
      </w:r>
      <w:r w:rsidRPr="00762380">
        <w:rPr>
          <w:rFonts w:ascii="Calibri Light" w:hAnsi="Calibri Light" w:cs="Calibri Light"/>
          <w:color w:val="000000"/>
          <w:lang w:val="en-AU"/>
        </w:rPr>
        <w:t xml:space="preserve"> the quality of water and energy used by households</w:t>
      </w:r>
      <w:r w:rsidR="00C53256" w:rsidRPr="00762380">
        <w:rPr>
          <w:rFonts w:ascii="Calibri Light" w:hAnsi="Calibri Light" w:cs="Calibri Light"/>
          <w:color w:val="000000"/>
          <w:lang w:val="en-AU"/>
        </w:rPr>
        <w:t>. I</w:t>
      </w:r>
      <w:r w:rsidRPr="00762380">
        <w:rPr>
          <w:rFonts w:ascii="Calibri Light" w:hAnsi="Calibri Light" w:cs="Calibri Light"/>
          <w:color w:val="000000"/>
          <w:lang w:val="en-AU"/>
        </w:rPr>
        <w:t>t is also making consumption cheaper</w:t>
      </w:r>
      <w:r w:rsidR="00C53256" w:rsidRPr="00762380">
        <w:rPr>
          <w:rFonts w:ascii="Calibri Light" w:hAnsi="Calibri Light" w:cs="Calibri Light"/>
          <w:color w:val="000000"/>
          <w:lang w:val="en-AU"/>
        </w:rPr>
        <w:t xml:space="preserve"> as it enables a move </w:t>
      </w:r>
      <w:r w:rsidRPr="00762380">
        <w:rPr>
          <w:rFonts w:ascii="Calibri Light" w:hAnsi="Calibri Light" w:cs="Calibri Light"/>
          <w:color w:val="000000"/>
          <w:lang w:val="en-AU"/>
        </w:rPr>
        <w:t xml:space="preserve">away from expensive carted water, or inefficient diesel generators and car batteries. </w:t>
      </w:r>
      <w:r w:rsidR="001C1015" w:rsidRPr="00762380">
        <w:rPr>
          <w:rFonts w:ascii="Calibri Light" w:hAnsi="Calibri Light" w:cs="Calibri Light"/>
          <w:color w:val="000000"/>
          <w:lang w:val="en-AU"/>
        </w:rPr>
        <w:t>3i has developed a gender sensitive approach to maximise the impact of energy and water connections on all members of the household.</w:t>
      </w:r>
    </w:p>
    <w:p w14:paraId="62BE0045" w14:textId="15DF1874" w:rsidR="00937342" w:rsidRPr="00762380" w:rsidRDefault="00937342" w:rsidP="00937342">
      <w:pPr>
        <w:rPr>
          <w:rFonts w:ascii="Calibri Light" w:hAnsi="Calibri Light" w:cs="Calibri Light"/>
          <w:color w:val="000000"/>
          <w:lang w:val="en-AU"/>
        </w:rPr>
      </w:pPr>
      <w:r w:rsidRPr="00762380">
        <w:rPr>
          <w:rFonts w:ascii="Calibri Light" w:hAnsi="Calibri Light" w:cs="Calibri Light"/>
          <w:color w:val="000000"/>
          <w:lang w:val="en-AU"/>
        </w:rPr>
        <w:t xml:space="preserve">Our support to the </w:t>
      </w:r>
      <w:r w:rsidRPr="00762380">
        <w:rPr>
          <w:rFonts w:ascii="Calibri Light" w:hAnsi="Calibri Light" w:cs="Calibri Light"/>
          <w:b/>
          <w:color w:val="000000"/>
          <w:lang w:val="en-AU"/>
        </w:rPr>
        <w:t>Flood Damage Emergency Reconstruction Project</w:t>
      </w:r>
      <w:r w:rsidRPr="00762380">
        <w:rPr>
          <w:rFonts w:ascii="Calibri Light" w:hAnsi="Calibri Light" w:cs="Calibri Light"/>
          <w:color w:val="000000"/>
          <w:lang w:val="en-AU"/>
        </w:rPr>
        <w:t xml:space="preserve"> ($12.6 million, 2012 – 2018)</w:t>
      </w:r>
      <w:r w:rsidR="00C71D50" w:rsidRPr="00762380">
        <w:rPr>
          <w:rFonts w:ascii="Calibri Light" w:hAnsi="Calibri Light" w:cs="Calibri Light"/>
          <w:color w:val="000000"/>
          <w:lang w:val="en-AU"/>
        </w:rPr>
        <w:t>,</w:t>
      </w:r>
      <w:r w:rsidRPr="00762380">
        <w:rPr>
          <w:rFonts w:ascii="Calibri Light" w:hAnsi="Calibri Light" w:cs="Calibri Light"/>
          <w:color w:val="000000"/>
          <w:lang w:val="en-AU"/>
        </w:rPr>
        <w:t xml:space="preserve"> in partnership with the ADB</w:t>
      </w:r>
      <w:r w:rsidR="00C71D50" w:rsidRPr="00762380">
        <w:rPr>
          <w:rFonts w:ascii="Calibri Light" w:hAnsi="Calibri Light" w:cs="Calibri Light"/>
          <w:color w:val="000000"/>
          <w:lang w:val="en-AU"/>
        </w:rPr>
        <w:t>,</w:t>
      </w:r>
      <w:r w:rsidRPr="00762380">
        <w:rPr>
          <w:rFonts w:ascii="Calibri Light" w:hAnsi="Calibri Light" w:cs="Calibri Light"/>
          <w:color w:val="000000"/>
          <w:lang w:val="en-AU"/>
        </w:rPr>
        <w:t xml:space="preserve"> saw millions of dollars of roads and drainage infrastructure rehabilitat</w:t>
      </w:r>
      <w:r w:rsidR="00C53523" w:rsidRPr="00762380">
        <w:rPr>
          <w:rFonts w:ascii="Calibri Light" w:hAnsi="Calibri Light" w:cs="Calibri Light"/>
          <w:color w:val="000000"/>
          <w:lang w:val="en-AU"/>
        </w:rPr>
        <w:t>ion</w:t>
      </w:r>
      <w:r w:rsidRPr="00762380">
        <w:rPr>
          <w:rFonts w:ascii="Calibri Light" w:hAnsi="Calibri Light" w:cs="Calibri Light"/>
          <w:color w:val="000000"/>
          <w:lang w:val="en-AU"/>
        </w:rPr>
        <w:t xml:space="preserve"> complete</w:t>
      </w:r>
      <w:r w:rsidR="00C71D50" w:rsidRPr="00762380">
        <w:rPr>
          <w:rFonts w:ascii="Calibri Light" w:hAnsi="Calibri Light" w:cs="Calibri Light"/>
          <w:color w:val="000000"/>
          <w:lang w:val="en-AU"/>
        </w:rPr>
        <w:t>d</w:t>
      </w:r>
      <w:r w:rsidRPr="00762380">
        <w:rPr>
          <w:rFonts w:ascii="Calibri Light" w:hAnsi="Calibri Light" w:cs="Calibri Light"/>
          <w:color w:val="000000"/>
          <w:lang w:val="en-AU"/>
        </w:rPr>
        <w:t xml:space="preserve"> </w:t>
      </w:r>
      <w:r w:rsidR="008C4810" w:rsidRPr="00762380">
        <w:rPr>
          <w:rFonts w:ascii="Calibri Light" w:hAnsi="Calibri Light" w:cs="Calibri Light"/>
          <w:color w:val="000000"/>
          <w:lang w:val="en-AU"/>
        </w:rPr>
        <w:t>to help communities a</w:t>
      </w:r>
      <w:r w:rsidRPr="00762380">
        <w:rPr>
          <w:rFonts w:ascii="Calibri Light" w:hAnsi="Calibri Light" w:cs="Calibri Light"/>
          <w:color w:val="000000"/>
          <w:lang w:val="en-AU"/>
        </w:rPr>
        <w:t>ffected by severe flooding in 2011 and 2013.</w:t>
      </w:r>
      <w:r w:rsidR="006D5C5C" w:rsidRPr="00762380">
        <w:rPr>
          <w:rFonts w:ascii="Calibri Light" w:hAnsi="Calibri Light" w:cs="Calibri Light"/>
          <w:color w:val="000000"/>
          <w:lang w:val="en-AU"/>
        </w:rPr>
        <w:t xml:space="preserve"> A more resilient and </w:t>
      </w:r>
      <w:r w:rsidR="005245DB">
        <w:rPr>
          <w:rFonts w:ascii="Calibri Light" w:hAnsi="Calibri Light" w:cs="Calibri Light"/>
          <w:color w:val="000000"/>
          <w:lang w:val="en-AU"/>
        </w:rPr>
        <w:br/>
      </w:r>
      <w:r w:rsidR="006D5C5C" w:rsidRPr="00762380">
        <w:rPr>
          <w:rFonts w:ascii="Calibri Light" w:hAnsi="Calibri Light" w:cs="Calibri Light"/>
          <w:color w:val="000000"/>
          <w:lang w:val="en-AU"/>
        </w:rPr>
        <w:t>climate-proofed road network in Cambodia is essential for limiting the social and economic costs of extreme weather events. The project employed the ‘build-back-better’ philosophy</w:t>
      </w:r>
      <w:r w:rsidR="00C71D50" w:rsidRPr="00762380">
        <w:rPr>
          <w:rFonts w:ascii="Calibri Light" w:hAnsi="Calibri Light" w:cs="Calibri Light"/>
          <w:color w:val="000000"/>
          <w:lang w:val="en-AU"/>
        </w:rPr>
        <w:t>,</w:t>
      </w:r>
      <w:r w:rsidR="006D5C5C" w:rsidRPr="00762380">
        <w:rPr>
          <w:rFonts w:ascii="Calibri Light" w:hAnsi="Calibri Light" w:cs="Calibri Light"/>
          <w:color w:val="000000"/>
          <w:lang w:val="en-AU"/>
        </w:rPr>
        <w:t xml:space="preserve"> incorporating climate resilient design informed by a hydrology study. </w:t>
      </w:r>
      <w:r w:rsidRPr="00762380">
        <w:rPr>
          <w:rFonts w:ascii="Calibri Light" w:hAnsi="Calibri Light" w:cs="Calibri Light"/>
          <w:color w:val="000000"/>
          <w:lang w:val="en-AU"/>
        </w:rPr>
        <w:t>Progress</w:t>
      </w:r>
      <w:r w:rsidR="006D5C5C" w:rsidRPr="00762380">
        <w:rPr>
          <w:rFonts w:ascii="Calibri Light" w:hAnsi="Calibri Light" w:cs="Calibri Light"/>
          <w:color w:val="000000"/>
          <w:lang w:val="en-AU"/>
        </w:rPr>
        <w:t xml:space="preserve"> in this last year</w:t>
      </w:r>
      <w:r w:rsidRPr="00762380">
        <w:rPr>
          <w:rFonts w:ascii="Calibri Light" w:hAnsi="Calibri Light" w:cs="Calibri Light"/>
          <w:color w:val="000000"/>
          <w:lang w:val="en-AU"/>
        </w:rPr>
        <w:t xml:space="preserve"> was ahead of schedule with 96</w:t>
      </w:r>
      <w:r w:rsidR="00774320" w:rsidRPr="00762380">
        <w:rPr>
          <w:rFonts w:ascii="Calibri Light" w:hAnsi="Calibri Light" w:cs="Calibri Light"/>
          <w:color w:val="000000"/>
          <w:lang w:val="en-AU"/>
        </w:rPr>
        <w:t> </w:t>
      </w:r>
      <w:r w:rsidRPr="00762380">
        <w:rPr>
          <w:rFonts w:ascii="Calibri Light" w:hAnsi="Calibri Light" w:cs="Calibri Light"/>
          <w:color w:val="000000"/>
          <w:lang w:val="en-AU"/>
        </w:rPr>
        <w:t>per cent of physical works completed against a target of 93 per cent. On average</w:t>
      </w:r>
      <w:r w:rsidR="008C4810" w:rsidRPr="00762380">
        <w:rPr>
          <w:rFonts w:ascii="Calibri Light" w:hAnsi="Calibri Light" w:cs="Calibri Light"/>
          <w:color w:val="000000"/>
          <w:lang w:val="en-AU"/>
        </w:rPr>
        <w:t>,</w:t>
      </w:r>
      <w:r w:rsidRPr="00762380">
        <w:rPr>
          <w:rFonts w:ascii="Calibri Light" w:hAnsi="Calibri Light" w:cs="Calibri Light"/>
          <w:color w:val="000000"/>
          <w:lang w:val="en-AU"/>
        </w:rPr>
        <w:t xml:space="preserve"> 32 per cent of unskilled labourers were women exceeding the target of 25 per cent. Our grant contribution closed on time and on budget in March 2017. </w:t>
      </w:r>
    </w:p>
    <w:p w14:paraId="2E1D3088" w14:textId="3439E341" w:rsidR="00B35FE3" w:rsidRPr="00762380" w:rsidRDefault="00937342" w:rsidP="00F743C2">
      <w:pPr>
        <w:ind w:right="-329"/>
        <w:rPr>
          <w:rFonts w:ascii="Calibri Light" w:hAnsi="Calibri Light" w:cs="Calibri Light"/>
          <w:color w:val="000000"/>
          <w:lang w:val="en-AU"/>
        </w:rPr>
      </w:pPr>
      <w:r w:rsidRPr="00762380">
        <w:rPr>
          <w:rFonts w:ascii="Calibri Light" w:hAnsi="Calibri Light" w:cs="Calibri Light"/>
          <w:color w:val="000000"/>
          <w:lang w:val="en-AU"/>
        </w:rPr>
        <w:t xml:space="preserve">Approval of several major procurements under the ADB-managed </w:t>
      </w:r>
      <w:r w:rsidRPr="00762380">
        <w:rPr>
          <w:rFonts w:ascii="Calibri Light" w:hAnsi="Calibri Light" w:cs="Calibri Light"/>
          <w:b/>
          <w:color w:val="000000"/>
          <w:lang w:val="en-AU"/>
        </w:rPr>
        <w:t xml:space="preserve">Rural Roads Improvement Program </w:t>
      </w:r>
      <w:r w:rsidRPr="00762380">
        <w:rPr>
          <w:rFonts w:ascii="Calibri Light" w:hAnsi="Calibri Light" w:cs="Calibri Light"/>
          <w:b/>
          <w:color w:val="000000"/>
          <w:lang w:val="en-AU"/>
        </w:rPr>
        <w:br/>
        <w:t>Phase 2</w:t>
      </w:r>
      <w:r w:rsidRPr="00762380">
        <w:rPr>
          <w:rFonts w:ascii="Calibri Light" w:hAnsi="Calibri Light" w:cs="Calibri Light"/>
          <w:color w:val="000000"/>
          <w:lang w:val="en-AU"/>
        </w:rPr>
        <w:t xml:space="preserve"> </w:t>
      </w:r>
      <w:r w:rsidR="001C1015" w:rsidRPr="00762380">
        <w:rPr>
          <w:rFonts w:ascii="Calibri Light" w:hAnsi="Calibri Light" w:cs="Calibri Light"/>
          <w:color w:val="000000"/>
          <w:lang w:val="en-AU"/>
        </w:rPr>
        <w:t xml:space="preserve">(RRIP II, </w:t>
      </w:r>
      <w:r w:rsidRPr="00762380">
        <w:rPr>
          <w:rFonts w:ascii="Calibri Light" w:hAnsi="Calibri Light" w:cs="Calibri Light"/>
          <w:color w:val="000000"/>
          <w:lang w:val="en-AU"/>
        </w:rPr>
        <w:t>$22.6 million, 2014 – 2020) experienced substanti</w:t>
      </w:r>
      <w:r w:rsidR="00F743C2" w:rsidRPr="00762380">
        <w:rPr>
          <w:rFonts w:ascii="Calibri Light" w:hAnsi="Calibri Light" w:cs="Calibri Light"/>
          <w:color w:val="000000"/>
          <w:lang w:val="en-AU"/>
        </w:rPr>
        <w:t xml:space="preserve">al delays in 2016, leading to </w:t>
      </w:r>
      <w:r w:rsidR="00774320" w:rsidRPr="00762380">
        <w:rPr>
          <w:rFonts w:ascii="Calibri Light" w:hAnsi="Calibri Light" w:cs="Calibri Light"/>
          <w:color w:val="000000"/>
          <w:lang w:val="en-AU"/>
        </w:rPr>
        <w:t xml:space="preserve">the program being rated as an </w:t>
      </w:r>
      <w:r w:rsidRPr="00762380">
        <w:rPr>
          <w:rFonts w:ascii="Calibri Light" w:hAnsi="Calibri Light" w:cs="Calibri Light"/>
          <w:color w:val="000000"/>
          <w:lang w:val="en-AU"/>
        </w:rPr>
        <w:t>‘Initiative Requiring Improvement’</w:t>
      </w:r>
      <w:r w:rsidR="00774320" w:rsidRPr="00762380">
        <w:rPr>
          <w:rFonts w:ascii="Calibri Light" w:hAnsi="Calibri Light" w:cs="Calibri Light"/>
          <w:color w:val="000000"/>
          <w:lang w:val="en-AU"/>
        </w:rPr>
        <w:t xml:space="preserve"> (IRI)</w:t>
      </w:r>
      <w:r w:rsidRPr="00762380">
        <w:rPr>
          <w:rFonts w:ascii="Calibri Light" w:hAnsi="Calibri Light" w:cs="Calibri Light"/>
          <w:color w:val="000000"/>
          <w:lang w:val="en-AU"/>
        </w:rPr>
        <w:t xml:space="preserve"> in the </w:t>
      </w:r>
      <w:r w:rsidR="00B35FE3" w:rsidRPr="00762380">
        <w:rPr>
          <w:rFonts w:ascii="Calibri Light" w:hAnsi="Calibri Light" w:cs="Calibri Light"/>
          <w:color w:val="000000"/>
          <w:lang w:val="en-AU"/>
        </w:rPr>
        <w:t>2016 Aid Quality Check</w:t>
      </w:r>
      <w:r w:rsidRPr="00762380">
        <w:rPr>
          <w:rFonts w:ascii="Calibri Light" w:hAnsi="Calibri Light" w:cs="Calibri Light"/>
          <w:color w:val="000000"/>
          <w:lang w:val="en-AU"/>
        </w:rPr>
        <w:t>. To address delays, civil works catch up plans were implemented reducing overall project slippage</w:t>
      </w:r>
      <w:r w:rsidR="00BF55DC" w:rsidRPr="00762380">
        <w:rPr>
          <w:rFonts w:ascii="Calibri Light" w:hAnsi="Calibri Light" w:cs="Calibri Light"/>
          <w:color w:val="000000"/>
          <w:lang w:val="en-AU"/>
        </w:rPr>
        <w:t xml:space="preserve"> from -6 per cent in </w:t>
      </w:r>
      <w:r w:rsidR="00B72DB2" w:rsidRPr="00762380">
        <w:rPr>
          <w:rFonts w:ascii="Calibri Light" w:hAnsi="Calibri Light" w:cs="Calibri Light"/>
          <w:color w:val="000000"/>
          <w:lang w:val="en-AU"/>
        </w:rPr>
        <w:t xml:space="preserve">December 2016 </w:t>
      </w:r>
      <w:r w:rsidRPr="00762380">
        <w:rPr>
          <w:rFonts w:ascii="Calibri Light" w:hAnsi="Calibri Light" w:cs="Calibri Light"/>
          <w:color w:val="000000"/>
          <w:lang w:val="en-AU"/>
        </w:rPr>
        <w:t xml:space="preserve">to only -1.3 per cent by June 2017. </w:t>
      </w:r>
    </w:p>
    <w:p w14:paraId="30DBA69A" w14:textId="0B3B1F55" w:rsidR="00937342" w:rsidRPr="00762380" w:rsidRDefault="00237DB0" w:rsidP="004A6D18">
      <w:pPr>
        <w:rPr>
          <w:rFonts w:ascii="Calibri Light" w:hAnsi="Calibri Light" w:cs="Calibri Light"/>
          <w:color w:val="000000"/>
          <w:lang w:val="en-AU"/>
        </w:rPr>
      </w:pPr>
      <w:r w:rsidRPr="00762380">
        <w:rPr>
          <w:rFonts w:ascii="Calibri Light" w:hAnsi="Calibri Light" w:cs="Calibri Light"/>
          <w:color w:val="000000"/>
          <w:lang w:val="en-AU"/>
        </w:rPr>
        <w:t>P</w:t>
      </w:r>
      <w:r w:rsidR="00937342" w:rsidRPr="00762380">
        <w:rPr>
          <w:rFonts w:ascii="Calibri Light" w:hAnsi="Calibri Light" w:cs="Calibri Light"/>
          <w:color w:val="000000"/>
          <w:lang w:val="en-AU"/>
        </w:rPr>
        <w:t xml:space="preserve">hysical works on our </w:t>
      </w:r>
      <w:r w:rsidR="00937342" w:rsidRPr="00762380">
        <w:rPr>
          <w:rFonts w:ascii="Calibri Light" w:hAnsi="Calibri Light" w:cs="Calibri Light"/>
          <w:b/>
          <w:color w:val="000000"/>
          <w:lang w:val="en-AU"/>
        </w:rPr>
        <w:t>Rural Energy Project</w:t>
      </w:r>
      <w:r w:rsidR="00937342" w:rsidRPr="00762380">
        <w:rPr>
          <w:rFonts w:ascii="Calibri Light" w:hAnsi="Calibri Light" w:cs="Calibri Light"/>
          <w:color w:val="000000"/>
          <w:lang w:val="en-AU"/>
        </w:rPr>
        <w:t xml:space="preserve"> (</w:t>
      </w:r>
      <w:r w:rsidR="00665AFD" w:rsidRPr="00762380">
        <w:rPr>
          <w:rFonts w:ascii="Calibri Light" w:hAnsi="Calibri Light" w:cs="Calibri Light"/>
          <w:color w:val="000000"/>
          <w:lang w:val="en-AU"/>
        </w:rPr>
        <w:t xml:space="preserve">REP, </w:t>
      </w:r>
      <w:r w:rsidR="00FE7377">
        <w:rPr>
          <w:rFonts w:ascii="Calibri Light" w:hAnsi="Calibri Light" w:cs="Calibri Light"/>
          <w:color w:val="000000"/>
          <w:lang w:val="en-AU"/>
        </w:rPr>
        <w:t xml:space="preserve">$7.8 million, </w:t>
      </w:r>
      <w:proofErr w:type="gramStart"/>
      <w:r w:rsidR="00FE7377">
        <w:rPr>
          <w:rFonts w:ascii="Calibri Light" w:hAnsi="Calibri Light" w:cs="Calibri Light"/>
          <w:color w:val="000000"/>
          <w:lang w:val="en-AU"/>
        </w:rPr>
        <w:t>2014</w:t>
      </w:r>
      <w:proofErr w:type="gramEnd"/>
      <w:r w:rsidR="00FE7377">
        <w:rPr>
          <w:rFonts w:ascii="Calibri Light" w:hAnsi="Calibri Light" w:cs="Calibri Light"/>
          <w:color w:val="000000"/>
          <w:lang w:val="en-AU"/>
        </w:rPr>
        <w:t xml:space="preserve"> </w:t>
      </w:r>
      <w:r w:rsidR="00970E48" w:rsidRPr="00762380">
        <w:rPr>
          <w:rFonts w:ascii="Calibri Light" w:hAnsi="Calibri Light" w:cs="Calibri Light"/>
          <w:color w:val="000000"/>
          <w:lang w:val="en-AU"/>
        </w:rPr>
        <w:t xml:space="preserve">– 2018) </w:t>
      </w:r>
      <w:r w:rsidR="004A6D18" w:rsidRPr="00762380">
        <w:rPr>
          <w:rFonts w:ascii="Calibri Light" w:hAnsi="Calibri Light" w:cs="Calibri Light"/>
          <w:color w:val="000000"/>
          <w:lang w:val="en-AU"/>
        </w:rPr>
        <w:t xml:space="preserve">experienced some delays this year. The rollout of transmission infrastructure, to connect up to 8,000 households to the electricity grid, was slower than expected. While the tempo of physical works improved in the second half of the year, a </w:t>
      </w:r>
      <w:r w:rsidR="005245DB">
        <w:rPr>
          <w:rFonts w:ascii="Calibri Light" w:hAnsi="Calibri Light" w:cs="Calibri Light"/>
          <w:color w:val="000000"/>
          <w:lang w:val="en-AU"/>
        </w:rPr>
        <w:br/>
      </w:r>
      <w:r w:rsidR="004A6D18" w:rsidRPr="00762380">
        <w:rPr>
          <w:rFonts w:ascii="Calibri Light" w:hAnsi="Calibri Light" w:cs="Calibri Light"/>
          <w:color w:val="000000"/>
          <w:lang w:val="en-AU"/>
        </w:rPr>
        <w:t xml:space="preserve">12-month no-cost extension (to June 2018) was necessary </w:t>
      </w:r>
      <w:r w:rsidR="00666F0C" w:rsidRPr="00762380">
        <w:rPr>
          <w:rFonts w:ascii="Calibri Light" w:hAnsi="Calibri Light" w:cs="Calibri Light"/>
          <w:color w:val="000000"/>
          <w:lang w:val="en-AU"/>
        </w:rPr>
        <w:t xml:space="preserve">to </w:t>
      </w:r>
      <w:r w:rsidR="004A6D18" w:rsidRPr="00762380">
        <w:rPr>
          <w:rFonts w:ascii="Calibri Light" w:hAnsi="Calibri Light" w:cs="Calibri Light"/>
          <w:color w:val="000000"/>
          <w:lang w:val="en-AU"/>
        </w:rPr>
        <w:t>secure household connection outcomes. The project’s work to promote improved cook stoves (ICS), in partnership with NGO GERES, concluded successfully. By December 2016, REP had facilitated the sale of 85,000 ICS by working directly with stove manufactures, distributors and retailers. These ICSs provide health and economic benefits at the household level, particularly for women who accessed 63,000 of the ICSs provided by the project</w:t>
      </w:r>
      <w:r w:rsidR="003D6685">
        <w:rPr>
          <w:rFonts w:ascii="Calibri Light" w:hAnsi="Calibri Light" w:cs="Calibri Light"/>
          <w:color w:val="000000"/>
          <w:lang w:val="en-AU"/>
        </w:rPr>
        <w:t xml:space="preserve">. </w:t>
      </w:r>
      <w:r w:rsidR="004A6D18" w:rsidRPr="00762380">
        <w:rPr>
          <w:rFonts w:ascii="Calibri Light" w:hAnsi="Calibri Light" w:cs="Calibri Light"/>
          <w:color w:val="000000"/>
          <w:lang w:val="en-AU"/>
        </w:rPr>
        <w:t>  </w:t>
      </w:r>
    </w:p>
    <w:p w14:paraId="01407BD6" w14:textId="77777777" w:rsidR="00C71D50" w:rsidRDefault="00C71D50">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75932993" w14:textId="2D21B599" w:rsidR="00901B6A" w:rsidRPr="00280CC1" w:rsidRDefault="008727F6" w:rsidP="00901B6A">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sidRPr="00280CC1">
        <w:rPr>
          <w:rFonts w:asciiTheme="majorHAnsi" w:eastAsiaTheme="majorEastAsia" w:hAnsiTheme="majorHAnsi" w:cstheme="majorBidi"/>
          <w:caps/>
          <w:color w:val="495965" w:themeColor="text2"/>
          <w:sz w:val="38"/>
          <w:szCs w:val="26"/>
          <w:lang w:val="en-GB" w:eastAsia="en-US"/>
        </w:rPr>
        <w:lastRenderedPageBreak/>
        <w:t>O</w:t>
      </w:r>
      <w:r w:rsidR="00901B6A" w:rsidRPr="00280CC1">
        <w:rPr>
          <w:rFonts w:asciiTheme="majorHAnsi" w:eastAsiaTheme="majorEastAsia" w:hAnsiTheme="majorHAnsi" w:cstheme="majorBidi"/>
          <w:caps/>
          <w:color w:val="495965" w:themeColor="text2"/>
          <w:sz w:val="38"/>
          <w:szCs w:val="26"/>
          <w:lang w:val="en-GB" w:eastAsia="en-US"/>
        </w:rPr>
        <w:t xml:space="preserve">bjective 2: Increasing agricultural productivity and farmer incomes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1915"/>
        <w:gridCol w:w="1902"/>
        <w:gridCol w:w="1902"/>
        <w:gridCol w:w="1902"/>
      </w:tblGrid>
      <w:tr w:rsidR="00901B6A" w:rsidRPr="00280CC1" w14:paraId="3522A0B6" w14:textId="77777777" w:rsidTr="00BA61A7">
        <w:tc>
          <w:tcPr>
            <w:tcW w:w="2017" w:type="dxa"/>
          </w:tcPr>
          <w:p w14:paraId="29AEDF1F" w14:textId="77777777" w:rsidR="00901B6A" w:rsidRPr="00280CC1" w:rsidRDefault="00901B6A" w:rsidP="009D2415">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sidRPr="00280CC1">
              <w:rPr>
                <w:rFonts w:asciiTheme="majorHAnsi" w:eastAsiaTheme="majorEastAsia" w:hAnsiTheme="majorHAnsi" w:cstheme="majorBidi"/>
                <w:caps/>
                <w:noProof/>
                <w:color w:val="495965" w:themeColor="text2"/>
                <w:sz w:val="38"/>
                <w:szCs w:val="26"/>
                <w:lang w:bidi="km-KH"/>
              </w:rPr>
              <w:drawing>
                <wp:inline distT="0" distB="0" distL="0" distR="0" wp14:anchorId="560C513A" wp14:editId="3A2664AF">
                  <wp:extent cx="1137600" cy="720000"/>
                  <wp:effectExtent l="0" t="0" r="5715" b="4445"/>
                  <wp:docPr id="49" name="Picture 49" title="Sustainable developmetn 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15" w:type="dxa"/>
          </w:tcPr>
          <w:p w14:paraId="34B25F56" w14:textId="77777777" w:rsidR="00901B6A" w:rsidRPr="00280CC1" w:rsidRDefault="00585AC4" w:rsidP="009D241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280CC1">
              <w:rPr>
                <w:noProof/>
                <w:lang w:bidi="km-KH"/>
              </w:rPr>
              <w:drawing>
                <wp:inline distT="0" distB="0" distL="0" distR="0" wp14:anchorId="3A481F35" wp14:editId="656817F8">
                  <wp:extent cx="612000" cy="612000"/>
                  <wp:effectExtent l="0" t="0" r="0" b="0"/>
                  <wp:docPr id="58" name="Picture 58" title="2: zero hu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2" w:type="dxa"/>
          </w:tcPr>
          <w:p w14:paraId="3A002D20" w14:textId="77777777" w:rsidR="00901B6A" w:rsidRPr="00D613B4" w:rsidRDefault="00D613B4" w:rsidP="009D2415">
            <w:pPr>
              <w:pStyle w:val="ListBullet"/>
              <w:tabs>
                <w:tab w:val="clear" w:pos="284"/>
              </w:tabs>
              <w:spacing w:before="160" w:after="80" w:line="240" w:lineRule="auto"/>
              <w:jc w:val="center"/>
              <w:rPr>
                <w:rFonts w:asciiTheme="majorHAnsi" w:eastAsiaTheme="majorEastAsia" w:hAnsiTheme="majorHAnsi" w:cstheme="majorBidi"/>
                <w:b/>
                <w:caps/>
                <w:color w:val="495965" w:themeColor="text2"/>
                <w:sz w:val="38"/>
                <w:szCs w:val="26"/>
                <w:lang w:val="en-GB" w:eastAsia="en-US"/>
              </w:rPr>
            </w:pPr>
            <w:r>
              <w:rPr>
                <w:noProof/>
                <w:lang w:bidi="km-KH"/>
              </w:rPr>
              <w:drawing>
                <wp:inline distT="0" distB="0" distL="0" distR="0" wp14:anchorId="279FFEC9" wp14:editId="1ABDC882">
                  <wp:extent cx="612000" cy="612000"/>
                  <wp:effectExtent l="0" t="0" r="0" b="0"/>
                  <wp:docPr id="3" name="Picture 3" title="13: climat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2" w:type="dxa"/>
          </w:tcPr>
          <w:p w14:paraId="33CFF805" w14:textId="77777777" w:rsidR="00901B6A" w:rsidRPr="00280CC1" w:rsidRDefault="00901B6A" w:rsidP="009D241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c>
          <w:tcPr>
            <w:tcW w:w="1902" w:type="dxa"/>
          </w:tcPr>
          <w:p w14:paraId="4C6AB806" w14:textId="77777777" w:rsidR="00901B6A" w:rsidRPr="00280CC1" w:rsidRDefault="00901B6A" w:rsidP="009D241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r>
    </w:tbl>
    <w:p w14:paraId="0C7C3A7D" w14:textId="32549B91" w:rsidR="0080681D" w:rsidRPr="00FE7377" w:rsidRDefault="0080681D" w:rsidP="00E86380">
      <w:pPr>
        <w:ind w:right="-329"/>
        <w:rPr>
          <w:color w:val="auto"/>
        </w:rPr>
      </w:pPr>
      <w:r w:rsidRPr="00FE7377">
        <w:rPr>
          <w:color w:val="auto"/>
        </w:rPr>
        <w:t xml:space="preserve">Progress towards Objective </w:t>
      </w:r>
      <w:r w:rsidR="00774320" w:rsidRPr="00FE7377">
        <w:rPr>
          <w:color w:val="auto"/>
        </w:rPr>
        <w:t xml:space="preserve">2 </w:t>
      </w:r>
      <w:r w:rsidR="009909EE" w:rsidRPr="00FE7377">
        <w:rPr>
          <w:color w:val="auto"/>
        </w:rPr>
        <w:t>remains</w:t>
      </w:r>
      <w:r w:rsidRPr="00FE7377">
        <w:rPr>
          <w:color w:val="auto"/>
        </w:rPr>
        <w:t xml:space="preserve"> on track through the continued good performance of </w:t>
      </w:r>
      <w:r w:rsidR="00B35FE3" w:rsidRPr="00FE7377">
        <w:rPr>
          <w:color w:val="auto"/>
        </w:rPr>
        <w:t>our flagship agriculture program</w:t>
      </w:r>
      <w:r w:rsidRPr="00FE7377">
        <w:rPr>
          <w:color w:val="auto"/>
        </w:rPr>
        <w:t xml:space="preserve">, </w:t>
      </w:r>
      <w:r w:rsidR="00C71D50" w:rsidRPr="00FE7377">
        <w:rPr>
          <w:color w:val="auto"/>
        </w:rPr>
        <w:t xml:space="preserve">CAVAC, </w:t>
      </w:r>
      <w:r w:rsidRPr="00FE7377">
        <w:rPr>
          <w:color w:val="auto"/>
        </w:rPr>
        <w:t xml:space="preserve">and </w:t>
      </w:r>
      <w:r w:rsidR="009909EE" w:rsidRPr="00FE7377">
        <w:rPr>
          <w:color w:val="auto"/>
        </w:rPr>
        <w:t>i</w:t>
      </w:r>
      <w:r w:rsidRPr="00FE7377">
        <w:rPr>
          <w:color w:val="auto"/>
        </w:rPr>
        <w:t xml:space="preserve">s rated </w:t>
      </w:r>
      <w:r w:rsidRPr="00FE7377">
        <w:rPr>
          <w:color w:val="auto"/>
          <w:u w:val="single"/>
        </w:rPr>
        <w:t>green</w:t>
      </w:r>
      <w:r w:rsidRPr="00FE7377">
        <w:rPr>
          <w:color w:val="auto"/>
        </w:rPr>
        <w:t>. Two aid investme</w:t>
      </w:r>
      <w:r w:rsidR="00795BBC" w:rsidRPr="00FE7377">
        <w:rPr>
          <w:color w:val="auto"/>
        </w:rPr>
        <w:t>nts support Objective</w:t>
      </w:r>
      <w:r w:rsidR="001C1015" w:rsidRPr="00FE7377">
        <w:rPr>
          <w:color w:val="auto"/>
        </w:rPr>
        <w:t xml:space="preserve"> 2</w:t>
      </w:r>
      <w:r w:rsidR="005245DB" w:rsidRPr="00FE7377">
        <w:rPr>
          <w:color w:val="auto"/>
        </w:rPr>
        <w:t xml:space="preserve">; </w:t>
      </w:r>
      <w:r w:rsidR="00795BBC" w:rsidRPr="00FE7377">
        <w:rPr>
          <w:color w:val="auto"/>
        </w:rPr>
        <w:t xml:space="preserve">both align </w:t>
      </w:r>
      <w:r w:rsidRPr="00FE7377">
        <w:rPr>
          <w:color w:val="auto"/>
        </w:rPr>
        <w:t>with Sustainable Development Goal 2 - Zero Hunger</w:t>
      </w:r>
      <w:r w:rsidR="00F13257" w:rsidRPr="00FE7377">
        <w:rPr>
          <w:color w:val="auto"/>
        </w:rPr>
        <w:t xml:space="preserve"> and our agriculture value chain program aligns closely to Goal 13 - Climate Action</w:t>
      </w:r>
      <w:r w:rsidRPr="00FE7377">
        <w:rPr>
          <w:color w:val="auto"/>
        </w:rPr>
        <w:t>.</w:t>
      </w:r>
    </w:p>
    <w:p w14:paraId="14DC951F" w14:textId="089077E9" w:rsidR="0080681D" w:rsidRPr="00FE7377" w:rsidRDefault="0059363D" w:rsidP="00E86380">
      <w:pPr>
        <w:ind w:right="-329"/>
        <w:rPr>
          <w:color w:val="auto"/>
        </w:rPr>
      </w:pPr>
      <w:r w:rsidRPr="00FE7377">
        <w:rPr>
          <w:color w:val="auto"/>
        </w:rPr>
        <w:t>A</w:t>
      </w:r>
      <w:r w:rsidR="0080681D" w:rsidRPr="00FE7377">
        <w:rPr>
          <w:color w:val="auto"/>
        </w:rPr>
        <w:t>ccelerated migration away from rural communities in search of jobs is having both positive and negative impacts</w:t>
      </w:r>
      <w:r w:rsidR="001C1015" w:rsidRPr="00FE7377">
        <w:rPr>
          <w:color w:val="auto"/>
        </w:rPr>
        <w:t xml:space="preserve"> on the agriculture sector</w:t>
      </w:r>
      <w:r w:rsidR="0080681D" w:rsidRPr="00FE7377">
        <w:rPr>
          <w:color w:val="auto"/>
        </w:rPr>
        <w:t xml:space="preserve">. Off-farm jobs in the </w:t>
      </w:r>
      <w:r w:rsidR="001C1015" w:rsidRPr="00FE7377">
        <w:rPr>
          <w:color w:val="auto"/>
        </w:rPr>
        <w:t xml:space="preserve">Cambodian </w:t>
      </w:r>
      <w:r w:rsidR="0080681D" w:rsidRPr="00FE7377">
        <w:rPr>
          <w:color w:val="auto"/>
        </w:rPr>
        <w:t xml:space="preserve">construction and manufacturing sectors, </w:t>
      </w:r>
      <w:r w:rsidR="00F743C2" w:rsidRPr="00FE7377">
        <w:rPr>
          <w:color w:val="auto"/>
        </w:rPr>
        <w:t>and</w:t>
      </w:r>
      <w:r w:rsidR="0080681D" w:rsidRPr="00FE7377">
        <w:rPr>
          <w:color w:val="auto"/>
        </w:rPr>
        <w:t xml:space="preserve"> migration to Thailand and </w:t>
      </w:r>
      <w:r w:rsidR="00C71D50" w:rsidRPr="00FE7377">
        <w:rPr>
          <w:color w:val="auto"/>
        </w:rPr>
        <w:t>elsewhere</w:t>
      </w:r>
      <w:r w:rsidR="0080681D" w:rsidRPr="00FE7377">
        <w:rPr>
          <w:color w:val="auto"/>
        </w:rPr>
        <w:t>, creates financial benefits through remittances</w:t>
      </w:r>
      <w:r w:rsidR="00467C0D" w:rsidRPr="00FE7377">
        <w:rPr>
          <w:color w:val="auto"/>
        </w:rPr>
        <w:t xml:space="preserve">. </w:t>
      </w:r>
      <w:r w:rsidR="00F743C2" w:rsidRPr="00FE7377">
        <w:rPr>
          <w:color w:val="auto"/>
        </w:rPr>
        <w:t xml:space="preserve">However, </w:t>
      </w:r>
      <w:r w:rsidR="0080681D" w:rsidRPr="00FE7377">
        <w:rPr>
          <w:color w:val="auto"/>
        </w:rPr>
        <w:t>this is also causing chronic</w:t>
      </w:r>
      <w:r w:rsidR="00F71549" w:rsidRPr="00FE7377">
        <w:rPr>
          <w:color w:val="auto"/>
        </w:rPr>
        <w:t xml:space="preserve"> and</w:t>
      </w:r>
      <w:r w:rsidR="0080681D" w:rsidRPr="00FE7377">
        <w:rPr>
          <w:color w:val="auto"/>
        </w:rPr>
        <w:t xml:space="preserve"> acute labour sho</w:t>
      </w:r>
      <w:r w:rsidR="006C6640" w:rsidRPr="00FE7377">
        <w:rPr>
          <w:color w:val="auto"/>
        </w:rPr>
        <w:t xml:space="preserve">rtages on </w:t>
      </w:r>
      <w:r w:rsidR="00F71549" w:rsidRPr="00FE7377">
        <w:rPr>
          <w:color w:val="auto"/>
        </w:rPr>
        <w:t xml:space="preserve">many </w:t>
      </w:r>
      <w:r w:rsidR="006C6640" w:rsidRPr="00FE7377">
        <w:rPr>
          <w:color w:val="auto"/>
        </w:rPr>
        <w:t xml:space="preserve">smallholder farms. </w:t>
      </w:r>
      <w:r w:rsidR="00F71549" w:rsidRPr="00FE7377">
        <w:rPr>
          <w:color w:val="auto"/>
        </w:rPr>
        <w:t>N</w:t>
      </w:r>
      <w:r w:rsidR="0080681D" w:rsidRPr="00FE7377">
        <w:rPr>
          <w:color w:val="auto"/>
        </w:rPr>
        <w:t>egative social impacts</w:t>
      </w:r>
      <w:r w:rsidR="001C5041" w:rsidRPr="00FE7377">
        <w:rPr>
          <w:color w:val="auto"/>
        </w:rPr>
        <w:t xml:space="preserve">, such as </w:t>
      </w:r>
      <w:r w:rsidR="006C6640" w:rsidRPr="00FE7377">
        <w:rPr>
          <w:color w:val="auto"/>
        </w:rPr>
        <w:t xml:space="preserve">childhood </w:t>
      </w:r>
      <w:r w:rsidR="001C5041" w:rsidRPr="00FE7377">
        <w:rPr>
          <w:color w:val="auto"/>
        </w:rPr>
        <w:t>mal</w:t>
      </w:r>
      <w:r w:rsidR="006C6640" w:rsidRPr="00FE7377">
        <w:rPr>
          <w:color w:val="auto"/>
        </w:rPr>
        <w:t>nutrition and child protection</w:t>
      </w:r>
      <w:r w:rsidR="001C5041" w:rsidRPr="00FE7377">
        <w:rPr>
          <w:color w:val="auto"/>
        </w:rPr>
        <w:t xml:space="preserve"> issues, can be exacerbated when parents leave children behind as they search for off-farm jobs</w:t>
      </w:r>
      <w:r w:rsidR="0080681D" w:rsidRPr="00FE7377">
        <w:rPr>
          <w:color w:val="auto"/>
        </w:rPr>
        <w:t>. This is transforming the rural economy and the structure of agricultural households.</w:t>
      </w:r>
    </w:p>
    <w:p w14:paraId="6D517337" w14:textId="4F1D53C8" w:rsidR="0080681D" w:rsidRPr="00FE7377" w:rsidRDefault="0080681D" w:rsidP="00E86380">
      <w:pPr>
        <w:ind w:right="-329"/>
        <w:rPr>
          <w:color w:val="auto"/>
        </w:rPr>
      </w:pPr>
      <w:r w:rsidRPr="00FE7377">
        <w:rPr>
          <w:color w:val="auto"/>
        </w:rPr>
        <w:t>External shocks—such as the collapse of the price for rice and other produce</w:t>
      </w:r>
      <w:r w:rsidR="001C1015" w:rsidRPr="00FE7377">
        <w:rPr>
          <w:color w:val="auto"/>
        </w:rPr>
        <w:t xml:space="preserve">, as well as </w:t>
      </w:r>
      <w:r w:rsidRPr="00FE7377">
        <w:rPr>
          <w:color w:val="auto"/>
        </w:rPr>
        <w:t xml:space="preserve">a severe drought—confirmed deep weaknesses remain in the agricultural sector. The price for the 2016 wet season </w:t>
      </w:r>
      <w:r w:rsidR="00F71549" w:rsidRPr="00FE7377">
        <w:rPr>
          <w:color w:val="auto"/>
        </w:rPr>
        <w:t xml:space="preserve">rice </w:t>
      </w:r>
      <w:r w:rsidRPr="00FE7377">
        <w:rPr>
          <w:color w:val="auto"/>
        </w:rPr>
        <w:t xml:space="preserve">harvest collapsed from US$235 per tonne in 2015 to less than US$130 in 2016. This caused profound hardship and </w:t>
      </w:r>
      <w:r w:rsidR="00EA4D07" w:rsidRPr="00FE7377">
        <w:rPr>
          <w:color w:val="auto"/>
        </w:rPr>
        <w:t xml:space="preserve">anger </w:t>
      </w:r>
      <w:r w:rsidRPr="00FE7377">
        <w:rPr>
          <w:color w:val="auto"/>
        </w:rPr>
        <w:t>from farmers nationwide. A severe drought in late 2016</w:t>
      </w:r>
      <w:r w:rsidR="006E25C0" w:rsidRPr="00FE7377">
        <w:rPr>
          <w:color w:val="auto"/>
        </w:rPr>
        <w:t xml:space="preserve"> </w:t>
      </w:r>
      <w:r w:rsidRPr="00FE7377">
        <w:rPr>
          <w:color w:val="auto"/>
        </w:rPr>
        <w:t xml:space="preserve">compounded hardship for farming communities and underscored the lack of sufficient irrigation and water </w:t>
      </w:r>
      <w:r w:rsidR="00E648D1" w:rsidRPr="00FE7377">
        <w:rPr>
          <w:color w:val="auto"/>
        </w:rPr>
        <w:t xml:space="preserve">storage </w:t>
      </w:r>
      <w:r w:rsidRPr="00FE7377">
        <w:rPr>
          <w:color w:val="auto"/>
        </w:rPr>
        <w:t xml:space="preserve">across Cambodia. Both events drove increased indebtedness </w:t>
      </w:r>
      <w:r w:rsidR="00EA4D07" w:rsidRPr="00FE7377">
        <w:rPr>
          <w:color w:val="auto"/>
        </w:rPr>
        <w:t xml:space="preserve">in </w:t>
      </w:r>
      <w:r w:rsidRPr="00FE7377">
        <w:rPr>
          <w:color w:val="auto"/>
        </w:rPr>
        <w:t>many farming households.</w:t>
      </w:r>
    </w:p>
    <w:p w14:paraId="68BE0495" w14:textId="2BECC8C3" w:rsidR="0080681D" w:rsidRPr="00FE7377" w:rsidRDefault="003E1E6F" w:rsidP="00E86380">
      <w:pPr>
        <w:ind w:right="-329"/>
        <w:rPr>
          <w:color w:val="auto"/>
        </w:rPr>
      </w:pPr>
      <w:r w:rsidRPr="00FE7377">
        <w:rPr>
          <w:b/>
          <w:color w:val="auto"/>
        </w:rPr>
        <w:t xml:space="preserve">Cambodia Agricultural </w:t>
      </w:r>
      <w:r w:rsidR="00B535FD" w:rsidRPr="00FE7377">
        <w:rPr>
          <w:b/>
          <w:color w:val="auto"/>
        </w:rPr>
        <w:t xml:space="preserve">Value </w:t>
      </w:r>
      <w:r w:rsidRPr="00FE7377">
        <w:rPr>
          <w:b/>
          <w:color w:val="auto"/>
        </w:rPr>
        <w:t>Chain Program Phase 2</w:t>
      </w:r>
      <w:r w:rsidRPr="00FE7377">
        <w:rPr>
          <w:color w:val="auto"/>
        </w:rPr>
        <w:t xml:space="preserve"> (</w:t>
      </w:r>
      <w:r w:rsidR="0080681D" w:rsidRPr="00FE7377">
        <w:rPr>
          <w:color w:val="auto"/>
        </w:rPr>
        <w:t>CAVAC II</w:t>
      </w:r>
      <w:r w:rsidR="00DF012F" w:rsidRPr="00FE7377">
        <w:rPr>
          <w:color w:val="auto"/>
        </w:rPr>
        <w:t>, $</w:t>
      </w:r>
      <w:r w:rsidR="00DE2016" w:rsidRPr="00FE7377">
        <w:rPr>
          <w:color w:val="auto"/>
        </w:rPr>
        <w:t>89.7</w:t>
      </w:r>
      <w:r w:rsidR="00DF012F" w:rsidRPr="00FE7377">
        <w:rPr>
          <w:color w:val="auto"/>
        </w:rPr>
        <w:t xml:space="preserve"> million, </w:t>
      </w:r>
      <w:proofErr w:type="gramStart"/>
      <w:r w:rsidR="00DF012F" w:rsidRPr="00FE7377">
        <w:rPr>
          <w:color w:val="auto"/>
        </w:rPr>
        <w:t>2016</w:t>
      </w:r>
      <w:proofErr w:type="gramEnd"/>
      <w:r w:rsidR="001C1015" w:rsidRPr="00FE7377">
        <w:rPr>
          <w:color w:val="auto"/>
        </w:rPr>
        <w:t xml:space="preserve"> – </w:t>
      </w:r>
      <w:r w:rsidR="00DF012F" w:rsidRPr="00FE7377">
        <w:rPr>
          <w:color w:val="auto"/>
        </w:rPr>
        <w:t>2021</w:t>
      </w:r>
      <w:r w:rsidRPr="00FE7377">
        <w:rPr>
          <w:color w:val="auto"/>
        </w:rPr>
        <w:t>)</w:t>
      </w:r>
      <w:r w:rsidR="0080681D" w:rsidRPr="00FE7377">
        <w:rPr>
          <w:color w:val="auto"/>
        </w:rPr>
        <w:t>, Australia’s largest aid investment in Cambodia, responded effectively to these challenges. The program deliver</w:t>
      </w:r>
      <w:r w:rsidR="00C374D0" w:rsidRPr="00FE7377">
        <w:rPr>
          <w:color w:val="auto"/>
        </w:rPr>
        <w:t>s</w:t>
      </w:r>
      <w:r w:rsidR="0080681D" w:rsidRPr="00FE7377">
        <w:rPr>
          <w:color w:val="auto"/>
        </w:rPr>
        <w:t xml:space="preserve"> irrigation infrastructure and knowledge to smallholder farmers </w:t>
      </w:r>
      <w:r w:rsidR="00C430F1" w:rsidRPr="00FE7377">
        <w:rPr>
          <w:color w:val="auto"/>
        </w:rPr>
        <w:t>to enable</w:t>
      </w:r>
      <w:r w:rsidR="0080681D" w:rsidRPr="00FE7377">
        <w:rPr>
          <w:color w:val="auto"/>
        </w:rPr>
        <w:t xml:space="preserve"> improved productivity, crop diversification and ultimately household incomes. </w:t>
      </w:r>
      <w:r w:rsidR="001C1015" w:rsidRPr="00FE7377">
        <w:rPr>
          <w:color w:val="auto"/>
        </w:rPr>
        <w:t>The building o</w:t>
      </w:r>
      <w:r w:rsidR="00C374D0" w:rsidRPr="00FE7377">
        <w:rPr>
          <w:color w:val="auto"/>
        </w:rPr>
        <w:t>f</w:t>
      </w:r>
      <w:r w:rsidR="001C1015" w:rsidRPr="00FE7377">
        <w:rPr>
          <w:color w:val="auto"/>
        </w:rPr>
        <w:t xml:space="preserve"> irrigation schemes is on schedule, with </w:t>
      </w:r>
      <w:r w:rsidR="0080681D" w:rsidRPr="00FE7377">
        <w:rPr>
          <w:color w:val="auto"/>
        </w:rPr>
        <w:t xml:space="preserve">seven </w:t>
      </w:r>
      <w:r w:rsidR="001C1015" w:rsidRPr="00FE7377">
        <w:rPr>
          <w:color w:val="auto"/>
        </w:rPr>
        <w:t>built to date (</w:t>
      </w:r>
      <w:r w:rsidR="00F743C2" w:rsidRPr="00FE7377">
        <w:rPr>
          <w:color w:val="auto"/>
        </w:rPr>
        <w:t>out of a total of 20 planned for the six-</w:t>
      </w:r>
      <w:r w:rsidR="0080681D" w:rsidRPr="00FE7377">
        <w:rPr>
          <w:color w:val="auto"/>
        </w:rPr>
        <w:t>year program</w:t>
      </w:r>
      <w:r w:rsidR="001C1015" w:rsidRPr="00FE7377">
        <w:rPr>
          <w:color w:val="auto"/>
        </w:rPr>
        <w:t>)</w:t>
      </w:r>
      <w:r w:rsidR="0080681D" w:rsidRPr="00FE7377">
        <w:rPr>
          <w:color w:val="auto"/>
        </w:rPr>
        <w:t>. To operate and maintain these schemes</w:t>
      </w:r>
      <w:r w:rsidR="009909EE" w:rsidRPr="00FE7377">
        <w:rPr>
          <w:color w:val="auto"/>
        </w:rPr>
        <w:t>,</w:t>
      </w:r>
      <w:r w:rsidR="005F55DE" w:rsidRPr="00FE7377">
        <w:rPr>
          <w:color w:val="auto"/>
        </w:rPr>
        <w:t xml:space="preserve"> CAVAC</w:t>
      </w:r>
      <w:r w:rsidR="009909EE" w:rsidRPr="00FE7377">
        <w:rPr>
          <w:color w:val="auto"/>
        </w:rPr>
        <w:t xml:space="preserve"> II</w:t>
      </w:r>
      <w:r w:rsidR="005F55DE" w:rsidRPr="00FE7377">
        <w:rPr>
          <w:color w:val="auto"/>
        </w:rPr>
        <w:t xml:space="preserve"> established</w:t>
      </w:r>
      <w:r w:rsidR="0080681D" w:rsidRPr="00FE7377">
        <w:rPr>
          <w:color w:val="auto"/>
        </w:rPr>
        <w:t xml:space="preserve"> five Farmer</w:t>
      </w:r>
      <w:r w:rsidR="005F55DE" w:rsidRPr="00FE7377">
        <w:rPr>
          <w:color w:val="auto"/>
        </w:rPr>
        <w:t xml:space="preserve"> Water User Communities (FWUCs)</w:t>
      </w:r>
      <w:r w:rsidR="0080681D" w:rsidRPr="00FE7377">
        <w:rPr>
          <w:color w:val="auto"/>
        </w:rPr>
        <w:t xml:space="preserve">. </w:t>
      </w:r>
      <w:r w:rsidR="00C374D0" w:rsidRPr="00FE7377">
        <w:rPr>
          <w:color w:val="auto"/>
        </w:rPr>
        <w:t>CAVAC</w:t>
      </w:r>
      <w:r w:rsidR="009909EE" w:rsidRPr="00FE7377">
        <w:rPr>
          <w:color w:val="auto"/>
        </w:rPr>
        <w:t xml:space="preserve"> </w:t>
      </w:r>
      <w:r w:rsidR="00C374D0" w:rsidRPr="00FE7377">
        <w:rPr>
          <w:color w:val="auto"/>
        </w:rPr>
        <w:t xml:space="preserve">II </w:t>
      </w:r>
      <w:r w:rsidR="00A807BE" w:rsidRPr="00FE7377">
        <w:rPr>
          <w:color w:val="auto"/>
        </w:rPr>
        <w:t>work</w:t>
      </w:r>
      <w:r w:rsidR="00C374D0" w:rsidRPr="00FE7377">
        <w:rPr>
          <w:color w:val="auto"/>
        </w:rPr>
        <w:t>s</w:t>
      </w:r>
      <w:r w:rsidR="00A807BE" w:rsidRPr="00FE7377">
        <w:rPr>
          <w:color w:val="auto"/>
        </w:rPr>
        <w:t xml:space="preserve"> with Provincial Departments to improve wo</w:t>
      </w:r>
      <w:r w:rsidR="005F55DE" w:rsidRPr="00FE7377">
        <w:rPr>
          <w:color w:val="auto"/>
        </w:rPr>
        <w:t>men’s participation in the FWUCs</w:t>
      </w:r>
      <w:r w:rsidR="00A807BE" w:rsidRPr="00FE7377">
        <w:rPr>
          <w:color w:val="auto"/>
        </w:rPr>
        <w:t xml:space="preserve"> and the design of the schemes to ensure equitable gender impacts. </w:t>
      </w:r>
      <w:r w:rsidR="001C1015" w:rsidRPr="00FE7377">
        <w:rPr>
          <w:color w:val="auto"/>
        </w:rPr>
        <w:t xml:space="preserve">We </w:t>
      </w:r>
      <w:r w:rsidR="0080681D" w:rsidRPr="00FE7377">
        <w:rPr>
          <w:color w:val="auto"/>
        </w:rPr>
        <w:t>estimate</w:t>
      </w:r>
      <w:r w:rsidR="001C1015" w:rsidRPr="00FE7377">
        <w:rPr>
          <w:color w:val="auto"/>
        </w:rPr>
        <w:t xml:space="preserve"> that an</w:t>
      </w:r>
      <w:r w:rsidR="0080681D" w:rsidRPr="00FE7377">
        <w:rPr>
          <w:color w:val="auto"/>
        </w:rPr>
        <w:t xml:space="preserve"> </w:t>
      </w:r>
      <w:r w:rsidR="00485E95" w:rsidRPr="00FE7377">
        <w:rPr>
          <w:color w:val="auto"/>
        </w:rPr>
        <w:t xml:space="preserve">additional </w:t>
      </w:r>
      <w:r w:rsidR="0080681D" w:rsidRPr="00FE7377">
        <w:rPr>
          <w:color w:val="auto"/>
        </w:rPr>
        <w:t>8,368 farming households can now access year round reliable, sustainable irrigated water. This represents 38 per cent of the revised total impact number (22,000) for CAVAC’s irrigation work</w:t>
      </w:r>
      <w:r w:rsidR="00B535FD" w:rsidRPr="00FE7377">
        <w:rPr>
          <w:color w:val="auto"/>
        </w:rPr>
        <w:t xml:space="preserve"> to be completed by 2021, which is ahead of expected progress at this point</w:t>
      </w:r>
      <w:r w:rsidR="0080681D" w:rsidRPr="00FE7377">
        <w:rPr>
          <w:color w:val="auto"/>
        </w:rPr>
        <w:t>.</w:t>
      </w:r>
    </w:p>
    <w:p w14:paraId="5CC2AEDB" w14:textId="77777777" w:rsidR="0080681D" w:rsidRPr="00FE7377" w:rsidRDefault="00E648D1" w:rsidP="00E86380">
      <w:pPr>
        <w:ind w:right="-329"/>
        <w:rPr>
          <w:color w:val="auto"/>
        </w:rPr>
      </w:pPr>
      <w:r w:rsidRPr="00FE7377">
        <w:rPr>
          <w:color w:val="auto"/>
        </w:rPr>
        <w:t>CAVAC</w:t>
      </w:r>
      <w:r w:rsidR="00C374D0" w:rsidRPr="00FE7377">
        <w:rPr>
          <w:color w:val="auto"/>
        </w:rPr>
        <w:t xml:space="preserve"> has</w:t>
      </w:r>
      <w:r w:rsidRPr="00FE7377">
        <w:rPr>
          <w:color w:val="auto"/>
        </w:rPr>
        <w:t xml:space="preserve"> established </w:t>
      </w:r>
      <w:r w:rsidR="0080681D" w:rsidRPr="00FE7377">
        <w:rPr>
          <w:color w:val="auto"/>
        </w:rPr>
        <w:t xml:space="preserve">seven intervention partnerships with </w:t>
      </w:r>
      <w:r w:rsidRPr="00FE7377">
        <w:rPr>
          <w:color w:val="auto"/>
        </w:rPr>
        <w:t xml:space="preserve">agricultural </w:t>
      </w:r>
      <w:r w:rsidR="0080681D" w:rsidRPr="00FE7377">
        <w:rPr>
          <w:color w:val="auto"/>
        </w:rPr>
        <w:t>input suppliers</w:t>
      </w:r>
      <w:r w:rsidR="006013C2" w:rsidRPr="00FE7377">
        <w:rPr>
          <w:color w:val="auto"/>
        </w:rPr>
        <w:t xml:space="preserve"> to drive improvements in the quality of knowledge, services and products available to smallholder farmers. </w:t>
      </w:r>
      <w:r w:rsidR="00C374D0" w:rsidRPr="00FE7377">
        <w:rPr>
          <w:color w:val="auto"/>
        </w:rPr>
        <w:t xml:space="preserve">Similar contacts have been struck with the </w:t>
      </w:r>
      <w:r w:rsidR="006013C2" w:rsidRPr="00FE7377">
        <w:rPr>
          <w:color w:val="auto"/>
        </w:rPr>
        <w:t>Cambodian Government</w:t>
      </w:r>
      <w:r w:rsidR="00C374D0" w:rsidRPr="00FE7377">
        <w:rPr>
          <w:color w:val="auto"/>
        </w:rPr>
        <w:t xml:space="preserve"> to improve their</w:t>
      </w:r>
      <w:r w:rsidR="006013C2" w:rsidRPr="00FE7377">
        <w:rPr>
          <w:color w:val="auto"/>
        </w:rPr>
        <w:t xml:space="preserve"> ability to regulate and develop Cambodia’s agriculture market</w:t>
      </w:r>
      <w:r w:rsidR="0080681D" w:rsidRPr="00FE7377">
        <w:rPr>
          <w:color w:val="auto"/>
        </w:rPr>
        <w:t xml:space="preserve">. CAVAC II estimates these </w:t>
      </w:r>
      <w:r w:rsidR="00C374D0" w:rsidRPr="00FE7377">
        <w:rPr>
          <w:color w:val="auto"/>
        </w:rPr>
        <w:t xml:space="preserve">partnerships </w:t>
      </w:r>
      <w:r w:rsidR="005F55DE" w:rsidRPr="00FE7377">
        <w:rPr>
          <w:color w:val="auto"/>
        </w:rPr>
        <w:t>will provide</w:t>
      </w:r>
      <w:r w:rsidR="0080681D" w:rsidRPr="00FE7377">
        <w:rPr>
          <w:color w:val="auto"/>
        </w:rPr>
        <w:t xml:space="preserve"> over 18,000</w:t>
      </w:r>
      <w:r w:rsidR="00C374D0" w:rsidRPr="00FE7377">
        <w:rPr>
          <w:color w:val="auto"/>
        </w:rPr>
        <w:t> </w:t>
      </w:r>
      <w:r w:rsidR="0080681D" w:rsidRPr="00FE7377">
        <w:rPr>
          <w:color w:val="auto"/>
        </w:rPr>
        <w:t xml:space="preserve">farming households with enhanced </w:t>
      </w:r>
      <w:r w:rsidRPr="00FE7377">
        <w:rPr>
          <w:color w:val="auto"/>
        </w:rPr>
        <w:t xml:space="preserve">ability </w:t>
      </w:r>
      <w:r w:rsidR="0080681D" w:rsidRPr="00FE7377">
        <w:rPr>
          <w:color w:val="auto"/>
        </w:rPr>
        <w:t>to improve their farming practices</w:t>
      </w:r>
      <w:r w:rsidR="00C374D0" w:rsidRPr="00FE7377">
        <w:rPr>
          <w:color w:val="auto"/>
        </w:rPr>
        <w:t>.</w:t>
      </w:r>
      <w:r w:rsidR="0080681D" w:rsidRPr="00FE7377">
        <w:rPr>
          <w:color w:val="auto"/>
        </w:rPr>
        <w:t xml:space="preserve"> </w:t>
      </w:r>
    </w:p>
    <w:p w14:paraId="33BAE286" w14:textId="02EDE424" w:rsidR="00DF012F" w:rsidRPr="00FE7377" w:rsidRDefault="0080681D" w:rsidP="00E86380">
      <w:pPr>
        <w:ind w:right="-329"/>
        <w:rPr>
          <w:color w:val="auto"/>
        </w:rPr>
      </w:pPr>
      <w:r w:rsidRPr="00FE7377">
        <w:rPr>
          <w:color w:val="auto"/>
        </w:rPr>
        <w:t xml:space="preserve">CAVAC II continues to support the </w:t>
      </w:r>
      <w:r w:rsidR="005561B4" w:rsidRPr="00FE7377">
        <w:rPr>
          <w:color w:val="auto"/>
        </w:rPr>
        <w:t>Cambodian Government</w:t>
      </w:r>
      <w:r w:rsidRPr="00FE7377">
        <w:rPr>
          <w:color w:val="auto"/>
        </w:rPr>
        <w:t>’s goal to export one million tonnes of milled rice per year</w:t>
      </w:r>
      <w:r w:rsidR="00467C0D" w:rsidRPr="00FE7377">
        <w:rPr>
          <w:color w:val="auto"/>
        </w:rPr>
        <w:t xml:space="preserve">. </w:t>
      </w:r>
      <w:r w:rsidRPr="00FE7377">
        <w:rPr>
          <w:color w:val="auto"/>
        </w:rPr>
        <w:t>In</w:t>
      </w:r>
      <w:r w:rsidR="00C374D0" w:rsidRPr="00FE7377">
        <w:rPr>
          <w:color w:val="auto"/>
        </w:rPr>
        <w:t xml:space="preserve"> 2016-17, the program completed investigations and strategies to support rice variety registration and release on five new rice varieties, including Sen </w:t>
      </w:r>
      <w:proofErr w:type="spellStart"/>
      <w:r w:rsidR="00C374D0" w:rsidRPr="00FE7377">
        <w:rPr>
          <w:color w:val="auto"/>
        </w:rPr>
        <w:t>Kra</w:t>
      </w:r>
      <w:proofErr w:type="spellEnd"/>
      <w:r w:rsidR="00C374D0" w:rsidRPr="00FE7377">
        <w:rPr>
          <w:color w:val="auto"/>
        </w:rPr>
        <w:t xml:space="preserve"> Ob—a fragrant rice variety with promising export potential. The program has also been influential in </w:t>
      </w:r>
      <w:r w:rsidR="00DF012F" w:rsidRPr="00FE7377">
        <w:rPr>
          <w:color w:val="auto"/>
        </w:rPr>
        <w:t>support</w:t>
      </w:r>
      <w:r w:rsidR="00C374D0" w:rsidRPr="00FE7377">
        <w:rPr>
          <w:color w:val="auto"/>
        </w:rPr>
        <w:t>ing</w:t>
      </w:r>
      <w:r w:rsidR="00DF012F" w:rsidRPr="00FE7377">
        <w:rPr>
          <w:color w:val="auto"/>
        </w:rPr>
        <w:t xml:space="preserve"> the </w:t>
      </w:r>
      <w:r w:rsidR="005561B4" w:rsidRPr="00FE7377">
        <w:rPr>
          <w:color w:val="auto"/>
        </w:rPr>
        <w:t>Cambodian Government</w:t>
      </w:r>
      <w:r w:rsidR="00DF012F" w:rsidRPr="00FE7377">
        <w:rPr>
          <w:color w:val="auto"/>
        </w:rPr>
        <w:t>’s response to a European Union ban on the import of produce</w:t>
      </w:r>
      <w:r w:rsidR="00142D71" w:rsidRPr="00FE7377">
        <w:rPr>
          <w:color w:val="auto"/>
        </w:rPr>
        <w:t xml:space="preserve"> </w:t>
      </w:r>
      <w:r w:rsidR="00151EE8" w:rsidRPr="00FE7377">
        <w:rPr>
          <w:color w:val="auto"/>
        </w:rPr>
        <w:t>containing</w:t>
      </w:r>
      <w:r w:rsidR="00142D71" w:rsidRPr="00FE7377">
        <w:rPr>
          <w:color w:val="auto"/>
        </w:rPr>
        <w:t xml:space="preserve"> residue of</w:t>
      </w:r>
      <w:r w:rsidR="00DF012F" w:rsidRPr="00FE7377">
        <w:rPr>
          <w:color w:val="auto"/>
        </w:rPr>
        <w:t xml:space="preserve"> a chemical widely used in Cambodia</w:t>
      </w:r>
      <w:r w:rsidR="00C374D0" w:rsidRPr="00FE7377">
        <w:rPr>
          <w:color w:val="auto"/>
        </w:rPr>
        <w:t xml:space="preserve">. </w:t>
      </w:r>
    </w:p>
    <w:p w14:paraId="2390F5CA" w14:textId="332411A0" w:rsidR="00747757" w:rsidRPr="00FE7377" w:rsidRDefault="00747757" w:rsidP="00762380">
      <w:pPr>
        <w:ind w:right="-329"/>
        <w:rPr>
          <w:color w:val="auto"/>
        </w:rPr>
      </w:pPr>
      <w:r w:rsidRPr="00FE7377">
        <w:rPr>
          <w:color w:val="auto"/>
        </w:rPr>
        <w:t xml:space="preserve">Climate change is one of the key challenges impacting agricultural productivity in Cambodia. This includes increased frequency and severity of floods, dry spells and drought events. In response to the climate change, CAVAC II integrated resilient measures to mitigate climate change impacts on agricultural production. These </w:t>
      </w:r>
      <w:r w:rsidRPr="00FE7377">
        <w:rPr>
          <w:color w:val="auto"/>
        </w:rPr>
        <w:lastRenderedPageBreak/>
        <w:t>include provision of high quality irrigation schemes; improving market resilience by offering a wide range of rice varieties;</w:t>
      </w:r>
      <w:r w:rsidR="00F65131" w:rsidRPr="00FE7377">
        <w:rPr>
          <w:color w:val="auto"/>
        </w:rPr>
        <w:t xml:space="preserve"> and, </w:t>
      </w:r>
      <w:r w:rsidRPr="00FE7377">
        <w:rPr>
          <w:color w:val="auto"/>
        </w:rPr>
        <w:t>support for farmers to choose climate change resilient crops</w:t>
      </w:r>
      <w:r w:rsidR="00F65131" w:rsidRPr="00FE7377">
        <w:rPr>
          <w:color w:val="auto"/>
        </w:rPr>
        <w:t xml:space="preserve">. </w:t>
      </w:r>
    </w:p>
    <w:p w14:paraId="0B320853" w14:textId="329927DE" w:rsidR="0080681D" w:rsidRPr="00FE7377" w:rsidRDefault="0080681D" w:rsidP="00DF012F">
      <w:pPr>
        <w:ind w:right="-329"/>
        <w:rPr>
          <w:color w:val="auto"/>
        </w:rPr>
      </w:pPr>
      <w:r w:rsidRPr="00FE7377">
        <w:rPr>
          <w:color w:val="auto"/>
        </w:rPr>
        <w:t>An Office of Development Effectiveness</w:t>
      </w:r>
      <w:r w:rsidR="005245DB" w:rsidRPr="00FE7377">
        <w:rPr>
          <w:color w:val="auto"/>
        </w:rPr>
        <w:t xml:space="preserve"> (ODE)</w:t>
      </w:r>
      <w:r w:rsidRPr="00FE7377">
        <w:rPr>
          <w:color w:val="auto"/>
        </w:rPr>
        <w:t xml:space="preserve"> evaluation of CAVAC’s first phase (2010</w:t>
      </w:r>
      <w:r w:rsidR="009909EE" w:rsidRPr="00FE7377">
        <w:rPr>
          <w:color w:val="auto"/>
        </w:rPr>
        <w:t xml:space="preserve"> – </w:t>
      </w:r>
      <w:r w:rsidRPr="00FE7377">
        <w:rPr>
          <w:color w:val="auto"/>
        </w:rPr>
        <w:t>2015)</w:t>
      </w:r>
      <w:r w:rsidR="00F71549" w:rsidRPr="00FE7377">
        <w:rPr>
          <w:color w:val="auto"/>
        </w:rPr>
        <w:t xml:space="preserve">, conducted in May 2017, </w:t>
      </w:r>
      <w:r w:rsidR="00254022" w:rsidRPr="00FE7377">
        <w:rPr>
          <w:color w:val="auto"/>
        </w:rPr>
        <w:t>verified CAVAC</w:t>
      </w:r>
      <w:r w:rsidR="009909EE" w:rsidRPr="00FE7377">
        <w:rPr>
          <w:color w:val="auto"/>
        </w:rPr>
        <w:t xml:space="preserve"> </w:t>
      </w:r>
      <w:r w:rsidR="00254022" w:rsidRPr="00FE7377">
        <w:rPr>
          <w:color w:val="auto"/>
        </w:rPr>
        <w:t>impacts</w:t>
      </w:r>
      <w:r w:rsidR="005D30D1" w:rsidRPr="00FE7377">
        <w:rPr>
          <w:color w:val="auto"/>
        </w:rPr>
        <w:t xml:space="preserve">. </w:t>
      </w:r>
      <w:r w:rsidR="00F3692A" w:rsidRPr="00FE7377">
        <w:rPr>
          <w:color w:val="auto"/>
        </w:rPr>
        <w:t>The evaluation</w:t>
      </w:r>
      <w:r w:rsidR="0059363D" w:rsidRPr="00FE7377">
        <w:rPr>
          <w:color w:val="auto"/>
        </w:rPr>
        <w:t xml:space="preserve"> found CAV</w:t>
      </w:r>
      <w:r w:rsidR="00254022" w:rsidRPr="00FE7377">
        <w:rPr>
          <w:color w:val="auto"/>
        </w:rPr>
        <w:t>A</w:t>
      </w:r>
      <w:r w:rsidR="0059363D" w:rsidRPr="00FE7377">
        <w:rPr>
          <w:color w:val="auto"/>
        </w:rPr>
        <w:t xml:space="preserve">C to be an innovative, efficient and effective approach to improving the livelihoods of smallholder farmers. The report’s </w:t>
      </w:r>
      <w:r w:rsidRPr="00FE7377">
        <w:rPr>
          <w:color w:val="auto"/>
        </w:rPr>
        <w:t xml:space="preserve">recommendations provide a solid foundation to strengthen </w:t>
      </w:r>
      <w:r w:rsidR="00254022" w:rsidRPr="00FE7377">
        <w:rPr>
          <w:color w:val="auto"/>
        </w:rPr>
        <w:t>future</w:t>
      </w:r>
      <w:r w:rsidRPr="00FE7377">
        <w:rPr>
          <w:color w:val="auto"/>
        </w:rPr>
        <w:t xml:space="preserve"> </w:t>
      </w:r>
      <w:r w:rsidR="00180032" w:rsidRPr="00FE7377">
        <w:rPr>
          <w:color w:val="auto"/>
        </w:rPr>
        <w:t>Australian Department of Foreign Affairs and Trade (DFAT)</w:t>
      </w:r>
      <w:r w:rsidRPr="00FE7377">
        <w:rPr>
          <w:color w:val="auto"/>
        </w:rPr>
        <w:t xml:space="preserve"> market systems development programs</w:t>
      </w:r>
      <w:r w:rsidR="00254022" w:rsidRPr="00FE7377">
        <w:rPr>
          <w:color w:val="auto"/>
        </w:rPr>
        <w:t>, including CAVAC II.</w:t>
      </w:r>
      <w:r w:rsidR="005245DB" w:rsidRPr="00FE7377">
        <w:rPr>
          <w:color w:val="auto"/>
        </w:rPr>
        <w:t xml:space="preserve"> ODE will publish the report</w:t>
      </w:r>
      <w:r w:rsidR="00F71549" w:rsidRPr="00FE7377">
        <w:rPr>
          <w:color w:val="auto"/>
        </w:rPr>
        <w:t xml:space="preserve"> on its web site in October 2017</w:t>
      </w:r>
      <w:r w:rsidR="005245DB" w:rsidRPr="00FE7377">
        <w:rPr>
          <w:rStyle w:val="FootnoteReference"/>
          <w:color w:val="auto"/>
        </w:rPr>
        <w:footnoteReference w:id="5"/>
      </w:r>
      <w:r w:rsidR="005245DB" w:rsidRPr="00FE7377">
        <w:rPr>
          <w:color w:val="auto"/>
        </w:rPr>
        <w:t xml:space="preserve">. </w:t>
      </w:r>
    </w:p>
    <w:p w14:paraId="197605A3" w14:textId="1B624801" w:rsidR="00A77D5D" w:rsidRPr="00FE7377" w:rsidRDefault="0080681D" w:rsidP="00E86380">
      <w:pPr>
        <w:ind w:right="-329"/>
        <w:rPr>
          <w:color w:val="auto"/>
        </w:rPr>
      </w:pPr>
      <w:r w:rsidRPr="00FE7377">
        <w:rPr>
          <w:b/>
          <w:color w:val="auto"/>
        </w:rPr>
        <w:t>Clearing for Results Phase 3</w:t>
      </w:r>
      <w:r w:rsidRPr="00FE7377">
        <w:rPr>
          <w:color w:val="auto"/>
        </w:rPr>
        <w:t xml:space="preserve"> (</w:t>
      </w:r>
      <w:proofErr w:type="spellStart"/>
      <w:r w:rsidRPr="00FE7377">
        <w:rPr>
          <w:color w:val="auto"/>
        </w:rPr>
        <w:t>CfR</w:t>
      </w:r>
      <w:proofErr w:type="spellEnd"/>
      <w:r w:rsidRPr="00FE7377">
        <w:rPr>
          <w:color w:val="auto"/>
        </w:rPr>
        <w:t>-III</w:t>
      </w:r>
      <w:r w:rsidR="00254022" w:rsidRPr="00FE7377">
        <w:rPr>
          <w:color w:val="auto"/>
        </w:rPr>
        <w:t xml:space="preserve">, </w:t>
      </w:r>
      <w:r w:rsidR="007453B9" w:rsidRPr="00FE7377">
        <w:rPr>
          <w:color w:val="auto"/>
        </w:rPr>
        <w:t>$9</w:t>
      </w:r>
      <w:r w:rsidR="009909EE" w:rsidRPr="00FE7377">
        <w:rPr>
          <w:color w:val="auto"/>
        </w:rPr>
        <w:t>.0 m</w:t>
      </w:r>
      <w:r w:rsidR="007453B9" w:rsidRPr="00FE7377">
        <w:rPr>
          <w:color w:val="auto"/>
        </w:rPr>
        <w:t>illion, 2016</w:t>
      </w:r>
      <w:r w:rsidR="00EB48A7" w:rsidRPr="00FE7377">
        <w:rPr>
          <w:color w:val="auto"/>
        </w:rPr>
        <w:t xml:space="preserve"> – </w:t>
      </w:r>
      <w:r w:rsidR="007453B9" w:rsidRPr="00FE7377">
        <w:rPr>
          <w:color w:val="auto"/>
        </w:rPr>
        <w:t>2019</w:t>
      </w:r>
      <w:r w:rsidR="00254022" w:rsidRPr="00FE7377">
        <w:rPr>
          <w:color w:val="auto"/>
        </w:rPr>
        <w:t>)</w:t>
      </w:r>
      <w:r w:rsidR="00F3692A" w:rsidRPr="00FE7377">
        <w:rPr>
          <w:color w:val="auto"/>
        </w:rPr>
        <w:t xml:space="preserve">, managed by the United Nations Development Programme (UNDP), is the </w:t>
      </w:r>
      <w:r w:rsidRPr="00FE7377">
        <w:rPr>
          <w:color w:val="auto"/>
        </w:rPr>
        <w:t xml:space="preserve">current phase of our long-running support </w:t>
      </w:r>
      <w:r w:rsidR="00660812" w:rsidRPr="00FE7377">
        <w:rPr>
          <w:color w:val="auto"/>
        </w:rPr>
        <w:t xml:space="preserve">for </w:t>
      </w:r>
      <w:r w:rsidRPr="00FE7377">
        <w:rPr>
          <w:color w:val="auto"/>
        </w:rPr>
        <w:t>mine action</w:t>
      </w:r>
      <w:r w:rsidR="00660812" w:rsidRPr="00FE7377">
        <w:rPr>
          <w:color w:val="auto"/>
        </w:rPr>
        <w:t xml:space="preserve"> in Cambodia</w:t>
      </w:r>
      <w:r w:rsidR="00F3692A" w:rsidRPr="00FE7377">
        <w:rPr>
          <w:color w:val="auto"/>
        </w:rPr>
        <w:t>.</w:t>
      </w:r>
      <w:r w:rsidRPr="00FE7377">
        <w:rPr>
          <w:color w:val="auto"/>
        </w:rPr>
        <w:t xml:space="preserve"> </w:t>
      </w:r>
      <w:r w:rsidR="003B7258" w:rsidRPr="00FE7377">
        <w:rPr>
          <w:color w:val="auto"/>
        </w:rPr>
        <w:t xml:space="preserve">While </w:t>
      </w:r>
      <w:r w:rsidR="00F71549" w:rsidRPr="00FE7377">
        <w:rPr>
          <w:color w:val="auto"/>
        </w:rPr>
        <w:br/>
      </w:r>
      <w:proofErr w:type="spellStart"/>
      <w:r w:rsidRPr="00FE7377">
        <w:rPr>
          <w:color w:val="auto"/>
        </w:rPr>
        <w:t>CfR</w:t>
      </w:r>
      <w:proofErr w:type="spellEnd"/>
      <w:r w:rsidRPr="00FE7377">
        <w:rPr>
          <w:color w:val="auto"/>
        </w:rPr>
        <w:t xml:space="preserve">-III’s work to clear landmines and other unexploded remnants of war </w:t>
      </w:r>
      <w:r w:rsidR="00660812" w:rsidRPr="00FE7377">
        <w:rPr>
          <w:color w:val="auto"/>
        </w:rPr>
        <w:t>did</w:t>
      </w:r>
      <w:r w:rsidRPr="00FE7377">
        <w:rPr>
          <w:color w:val="auto"/>
        </w:rPr>
        <w:t xml:space="preserve"> well, exceeding its benchmark performance indicator by 23</w:t>
      </w:r>
      <w:r w:rsidR="003B7258" w:rsidRPr="00FE7377">
        <w:rPr>
          <w:color w:val="auto"/>
        </w:rPr>
        <w:t> </w:t>
      </w:r>
      <w:r w:rsidRPr="00FE7377">
        <w:rPr>
          <w:color w:val="auto"/>
        </w:rPr>
        <w:t>per cent</w:t>
      </w:r>
      <w:r w:rsidR="003B7258" w:rsidRPr="00FE7377">
        <w:rPr>
          <w:color w:val="auto"/>
        </w:rPr>
        <w:t>, other</w:t>
      </w:r>
      <w:r w:rsidRPr="00FE7377">
        <w:rPr>
          <w:color w:val="auto"/>
        </w:rPr>
        <w:t xml:space="preserve"> vital </w:t>
      </w:r>
      <w:r w:rsidR="00C773A2" w:rsidRPr="00FE7377">
        <w:rPr>
          <w:color w:val="auto"/>
        </w:rPr>
        <w:t>quality investment standards on effectiveness and efficiency</w:t>
      </w:r>
      <w:r w:rsidR="00F13257" w:rsidRPr="00FE7377">
        <w:rPr>
          <w:color w:val="auto"/>
        </w:rPr>
        <w:t xml:space="preserve"> were not met</w:t>
      </w:r>
      <w:r w:rsidRPr="00FE7377">
        <w:rPr>
          <w:color w:val="auto"/>
        </w:rPr>
        <w:t xml:space="preserve">. The project </w:t>
      </w:r>
      <w:r w:rsidR="00660812" w:rsidRPr="00FE7377">
        <w:rPr>
          <w:color w:val="auto"/>
        </w:rPr>
        <w:t>was</w:t>
      </w:r>
      <w:r w:rsidRPr="00FE7377">
        <w:rPr>
          <w:color w:val="auto"/>
        </w:rPr>
        <w:t xml:space="preserve"> </w:t>
      </w:r>
      <w:r w:rsidR="00B35FE3" w:rsidRPr="00FE7377">
        <w:rPr>
          <w:color w:val="auto"/>
        </w:rPr>
        <w:t xml:space="preserve">rated </w:t>
      </w:r>
      <w:r w:rsidRPr="00FE7377">
        <w:rPr>
          <w:color w:val="auto"/>
        </w:rPr>
        <w:t xml:space="preserve">as an </w:t>
      </w:r>
      <w:r w:rsidR="00254022" w:rsidRPr="00FE7377">
        <w:rPr>
          <w:color w:val="auto"/>
        </w:rPr>
        <w:t xml:space="preserve">IRI </w:t>
      </w:r>
      <w:r w:rsidR="00B35FE3" w:rsidRPr="00FE7377">
        <w:rPr>
          <w:color w:val="auto"/>
        </w:rPr>
        <w:t>in the 2016 Aid Quality Check</w:t>
      </w:r>
      <w:r w:rsidRPr="00FE7377">
        <w:rPr>
          <w:color w:val="auto"/>
        </w:rPr>
        <w:t xml:space="preserve">. </w:t>
      </w:r>
      <w:r w:rsidR="00660812" w:rsidRPr="00FE7377">
        <w:rPr>
          <w:color w:val="auto"/>
        </w:rPr>
        <w:t>Remediation efforts are ongoing</w:t>
      </w:r>
      <w:r w:rsidR="00DC521C" w:rsidRPr="00FE7377">
        <w:rPr>
          <w:color w:val="auto"/>
        </w:rPr>
        <w:t>.</w:t>
      </w:r>
    </w:p>
    <w:p w14:paraId="5FC2FB81" w14:textId="5CFE1B18" w:rsidR="0029505D" w:rsidRPr="00FE7377" w:rsidRDefault="00F3441A" w:rsidP="00762380">
      <w:pPr>
        <w:ind w:right="-329"/>
        <w:rPr>
          <w:rFonts w:asciiTheme="majorHAnsi" w:eastAsiaTheme="majorEastAsia" w:hAnsiTheme="majorHAnsi" w:cstheme="majorBidi"/>
          <w:caps/>
          <w:color w:val="auto"/>
          <w:sz w:val="38"/>
          <w:szCs w:val="26"/>
        </w:rPr>
      </w:pPr>
      <w:r w:rsidRPr="00FE7377">
        <w:rPr>
          <w:color w:val="auto"/>
        </w:rPr>
        <w:t xml:space="preserve">The </w:t>
      </w:r>
      <w:r w:rsidR="00A77D5D" w:rsidRPr="00FE7377">
        <w:rPr>
          <w:b/>
          <w:color w:val="auto"/>
        </w:rPr>
        <w:t>Australian Centre for International Agricultural Research</w:t>
      </w:r>
      <w:r w:rsidR="00A77D5D" w:rsidRPr="00FE7377">
        <w:rPr>
          <w:color w:val="auto"/>
        </w:rPr>
        <w:t xml:space="preserve"> (ACIAR</w:t>
      </w:r>
      <w:r w:rsidR="00E3373E" w:rsidRPr="00FE7377">
        <w:rPr>
          <w:color w:val="auto"/>
        </w:rPr>
        <w:t>, $3.3 million in 2016</w:t>
      </w:r>
      <w:r w:rsidR="003B7258" w:rsidRPr="00FE7377">
        <w:rPr>
          <w:color w:val="auto"/>
        </w:rPr>
        <w:t>-</w:t>
      </w:r>
      <w:r w:rsidR="00E3373E" w:rsidRPr="00FE7377">
        <w:rPr>
          <w:color w:val="auto"/>
        </w:rPr>
        <w:t>17</w:t>
      </w:r>
      <w:r w:rsidR="00A77D5D" w:rsidRPr="00FE7377">
        <w:rPr>
          <w:color w:val="auto"/>
        </w:rPr>
        <w:t xml:space="preserve">) </w:t>
      </w:r>
      <w:r w:rsidR="00E3373E" w:rsidRPr="00FE7377">
        <w:rPr>
          <w:color w:val="auto"/>
        </w:rPr>
        <w:t xml:space="preserve">Cambodia program </w:t>
      </w:r>
      <w:r w:rsidR="00A77D5D" w:rsidRPr="00FE7377">
        <w:rPr>
          <w:color w:val="auto"/>
        </w:rPr>
        <w:t>aim</w:t>
      </w:r>
      <w:r w:rsidR="00E3373E" w:rsidRPr="00FE7377">
        <w:rPr>
          <w:color w:val="auto"/>
        </w:rPr>
        <w:t>s</w:t>
      </w:r>
      <w:r w:rsidR="00A77D5D" w:rsidRPr="00FE7377">
        <w:rPr>
          <w:color w:val="auto"/>
        </w:rPr>
        <w:t xml:space="preserve"> to improve the profitability of farming systems</w:t>
      </w:r>
      <w:r w:rsidR="00E3373E" w:rsidRPr="00FE7377">
        <w:rPr>
          <w:color w:val="auto"/>
        </w:rPr>
        <w:t xml:space="preserve">. </w:t>
      </w:r>
      <w:r w:rsidR="00E932E6" w:rsidRPr="00FE7377">
        <w:rPr>
          <w:color w:val="auto"/>
        </w:rPr>
        <w:t xml:space="preserve">In 2016-17, </w:t>
      </w:r>
      <w:r w:rsidR="003B7258" w:rsidRPr="00FE7377">
        <w:rPr>
          <w:color w:val="auto"/>
        </w:rPr>
        <w:t>r</w:t>
      </w:r>
      <w:r w:rsidR="00E3373E" w:rsidRPr="00FE7377">
        <w:rPr>
          <w:color w:val="auto"/>
        </w:rPr>
        <w:t>esearch partnerships focus</w:t>
      </w:r>
      <w:r w:rsidR="003B7258" w:rsidRPr="00FE7377">
        <w:rPr>
          <w:color w:val="auto"/>
        </w:rPr>
        <w:t>ed</w:t>
      </w:r>
      <w:r w:rsidR="00E3373E" w:rsidRPr="00FE7377">
        <w:rPr>
          <w:color w:val="auto"/>
        </w:rPr>
        <w:t xml:space="preserve"> </w:t>
      </w:r>
      <w:r w:rsidRPr="00FE7377">
        <w:rPr>
          <w:color w:val="auto"/>
        </w:rPr>
        <w:t>on</w:t>
      </w:r>
      <w:r w:rsidR="00E3373E" w:rsidRPr="00FE7377">
        <w:rPr>
          <w:color w:val="auto"/>
        </w:rPr>
        <w:t xml:space="preserve"> improving the </w:t>
      </w:r>
      <w:r w:rsidR="00A77D5D" w:rsidRPr="00FE7377">
        <w:rPr>
          <w:color w:val="auto"/>
        </w:rPr>
        <w:t xml:space="preserve">resilience of crop and livestock </w:t>
      </w:r>
      <w:r w:rsidR="00E3373E" w:rsidRPr="00FE7377">
        <w:rPr>
          <w:color w:val="auto"/>
        </w:rPr>
        <w:t xml:space="preserve">systems, more effective </w:t>
      </w:r>
      <w:r w:rsidR="00A77D5D" w:rsidRPr="00FE7377">
        <w:rPr>
          <w:color w:val="auto"/>
        </w:rPr>
        <w:t>forage and fodder</w:t>
      </w:r>
      <w:r w:rsidR="00E3373E" w:rsidRPr="00FE7377">
        <w:rPr>
          <w:color w:val="auto"/>
        </w:rPr>
        <w:t xml:space="preserve"> production</w:t>
      </w:r>
      <w:r w:rsidR="00A77D5D" w:rsidRPr="00FE7377">
        <w:rPr>
          <w:color w:val="auto"/>
        </w:rPr>
        <w:t xml:space="preserve"> and improved use of water and </w:t>
      </w:r>
      <w:r w:rsidR="00E3373E" w:rsidRPr="00FE7377">
        <w:rPr>
          <w:color w:val="auto"/>
        </w:rPr>
        <w:t xml:space="preserve">soil </w:t>
      </w:r>
      <w:r w:rsidR="00A77D5D" w:rsidRPr="00FE7377">
        <w:rPr>
          <w:color w:val="auto"/>
        </w:rPr>
        <w:t xml:space="preserve">nutrients. </w:t>
      </w:r>
      <w:r w:rsidR="00E3373E" w:rsidRPr="00FE7377">
        <w:rPr>
          <w:color w:val="auto"/>
        </w:rPr>
        <w:t>ACIAR also support</w:t>
      </w:r>
      <w:r w:rsidR="003B7258" w:rsidRPr="00FE7377">
        <w:rPr>
          <w:color w:val="auto"/>
        </w:rPr>
        <w:t>ed</w:t>
      </w:r>
      <w:r w:rsidR="00A77D5D" w:rsidRPr="00FE7377">
        <w:rPr>
          <w:color w:val="auto"/>
        </w:rPr>
        <w:t xml:space="preserve"> </w:t>
      </w:r>
      <w:r w:rsidR="0048674B" w:rsidRPr="00FE7377">
        <w:rPr>
          <w:color w:val="auto"/>
        </w:rPr>
        <w:t>scholarships</w:t>
      </w:r>
      <w:r w:rsidR="00E3373E" w:rsidRPr="00FE7377">
        <w:rPr>
          <w:color w:val="auto"/>
        </w:rPr>
        <w:t xml:space="preserve"> and professional development</w:t>
      </w:r>
      <w:r w:rsidR="00A77D5D" w:rsidRPr="00FE7377">
        <w:rPr>
          <w:color w:val="auto"/>
        </w:rPr>
        <w:t xml:space="preserve"> to build the leadership capacity of mid-career agricultural scientists and economists.</w:t>
      </w:r>
      <w:r w:rsidR="003B7258" w:rsidRPr="00FE7377">
        <w:rPr>
          <w:color w:val="auto"/>
        </w:rPr>
        <w:t xml:space="preserve"> </w:t>
      </w:r>
      <w:r w:rsidR="00F71549" w:rsidRPr="00FE7377">
        <w:rPr>
          <w:color w:val="auto"/>
        </w:rPr>
        <w:t xml:space="preserve">Further </w:t>
      </w:r>
      <w:r w:rsidR="00F3692A" w:rsidRPr="00FE7377">
        <w:rPr>
          <w:color w:val="auto"/>
        </w:rPr>
        <w:t>information on</w:t>
      </w:r>
      <w:r w:rsidR="003B7258" w:rsidRPr="00FE7377">
        <w:rPr>
          <w:color w:val="auto"/>
        </w:rPr>
        <w:t xml:space="preserve"> </w:t>
      </w:r>
      <w:r w:rsidR="00F71549" w:rsidRPr="00FE7377">
        <w:rPr>
          <w:color w:val="auto"/>
        </w:rPr>
        <w:t xml:space="preserve">ACIAR’s Cambodia program can be found on their </w:t>
      </w:r>
      <w:r w:rsidR="005245DB" w:rsidRPr="00FE7377">
        <w:rPr>
          <w:color w:val="auto"/>
        </w:rPr>
        <w:t xml:space="preserve">web </w:t>
      </w:r>
      <w:r w:rsidR="00F71549" w:rsidRPr="00FE7377">
        <w:rPr>
          <w:color w:val="auto"/>
        </w:rPr>
        <w:t>site</w:t>
      </w:r>
      <w:r w:rsidR="005245DB" w:rsidRPr="00FE7377">
        <w:rPr>
          <w:rStyle w:val="FootnoteReference"/>
          <w:color w:val="auto"/>
        </w:rPr>
        <w:footnoteReference w:id="6"/>
      </w:r>
      <w:r w:rsidR="005245DB" w:rsidRPr="00FE7377">
        <w:rPr>
          <w:color w:val="auto"/>
        </w:rPr>
        <w:t xml:space="preserve">. </w:t>
      </w:r>
    </w:p>
    <w:p w14:paraId="56377408" w14:textId="77777777" w:rsidR="00A206DF" w:rsidRPr="00280CC1" w:rsidRDefault="00697DAF" w:rsidP="00BA7C3A">
      <w:pPr>
        <w:pStyle w:val="ListBullet"/>
        <w:tabs>
          <w:tab w:val="clear" w:pos="284"/>
        </w:tabs>
        <w:spacing w:before="120" w:after="60" w:line="230" w:lineRule="atLeast"/>
        <w:rPr>
          <w:rFonts w:asciiTheme="majorHAnsi" w:eastAsiaTheme="majorEastAsia" w:hAnsiTheme="majorHAnsi" w:cstheme="majorBidi"/>
          <w:caps/>
          <w:color w:val="495965" w:themeColor="text2"/>
          <w:sz w:val="38"/>
          <w:szCs w:val="26"/>
          <w:lang w:val="en-GB" w:eastAsia="en-US"/>
        </w:rPr>
      </w:pPr>
      <w:r w:rsidRPr="00280CC1">
        <w:rPr>
          <w:rFonts w:asciiTheme="majorHAnsi" w:eastAsiaTheme="majorEastAsia" w:hAnsiTheme="majorHAnsi" w:cstheme="majorBidi"/>
          <w:caps/>
          <w:color w:val="495965" w:themeColor="text2"/>
          <w:sz w:val="38"/>
          <w:szCs w:val="26"/>
          <w:lang w:val="en-GB" w:eastAsia="en-US"/>
        </w:rPr>
        <w:t>Objective 3</w:t>
      </w:r>
      <w:r w:rsidR="00A206DF" w:rsidRPr="00280CC1">
        <w:rPr>
          <w:rFonts w:asciiTheme="majorHAnsi" w:eastAsiaTheme="majorEastAsia" w:hAnsiTheme="majorHAnsi" w:cstheme="majorBidi"/>
          <w:caps/>
          <w:color w:val="495965" w:themeColor="text2"/>
          <w:sz w:val="38"/>
          <w:szCs w:val="26"/>
          <w:lang w:val="en-GB" w:eastAsia="en-US"/>
        </w:rPr>
        <w:t>: Better health and education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12"/>
        <w:gridCol w:w="1914"/>
        <w:gridCol w:w="1898"/>
        <w:gridCol w:w="1898"/>
      </w:tblGrid>
      <w:tr w:rsidR="00A206DF" w:rsidRPr="00280CC1" w14:paraId="78091CD9" w14:textId="77777777" w:rsidTr="00E41BEF">
        <w:tc>
          <w:tcPr>
            <w:tcW w:w="2016" w:type="dxa"/>
          </w:tcPr>
          <w:p w14:paraId="286B2D86" w14:textId="77777777" w:rsidR="00A206DF" w:rsidRPr="00280CC1" w:rsidRDefault="00A206DF" w:rsidP="009D2415">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sidRPr="00280CC1">
              <w:rPr>
                <w:rFonts w:asciiTheme="majorHAnsi" w:eastAsiaTheme="majorEastAsia" w:hAnsiTheme="majorHAnsi" w:cstheme="majorBidi"/>
                <w:caps/>
                <w:noProof/>
                <w:color w:val="495965" w:themeColor="text2"/>
                <w:sz w:val="38"/>
                <w:szCs w:val="26"/>
                <w:lang w:bidi="km-KH"/>
              </w:rPr>
              <w:drawing>
                <wp:inline distT="0" distB="0" distL="0" distR="0" wp14:anchorId="1357824B" wp14:editId="15B06802">
                  <wp:extent cx="1137600" cy="720000"/>
                  <wp:effectExtent l="0" t="0" r="5715" b="4445"/>
                  <wp:docPr id="59" name="Picture 59" title="Sustainable developmetn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12" w:type="dxa"/>
          </w:tcPr>
          <w:p w14:paraId="32BE469F" w14:textId="77777777" w:rsidR="00A206DF" w:rsidRPr="00280CC1" w:rsidRDefault="00A206DF" w:rsidP="009D241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280CC1">
              <w:rPr>
                <w:noProof/>
                <w:lang w:bidi="km-KH"/>
              </w:rPr>
              <w:drawing>
                <wp:inline distT="0" distB="0" distL="0" distR="0" wp14:anchorId="49B9866A" wp14:editId="5F2CFC90">
                  <wp:extent cx="612000" cy="612000"/>
                  <wp:effectExtent l="0" t="0" r="0" b="0"/>
                  <wp:docPr id="63" name="Picture 63" title="3: good health and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4" w:type="dxa"/>
          </w:tcPr>
          <w:p w14:paraId="48A80C8A" w14:textId="77777777" w:rsidR="00A206DF" w:rsidRPr="00280CC1" w:rsidRDefault="00A206DF" w:rsidP="009D241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280CC1">
              <w:rPr>
                <w:noProof/>
                <w:lang w:bidi="km-KH"/>
              </w:rPr>
              <w:drawing>
                <wp:inline distT="0" distB="0" distL="0" distR="0" wp14:anchorId="0AD7435B" wp14:editId="2AC9429F">
                  <wp:extent cx="612000" cy="612000"/>
                  <wp:effectExtent l="0" t="0" r="0" b="0"/>
                  <wp:docPr id="64" name="Picture 64" title="4: qualit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98" w:type="dxa"/>
          </w:tcPr>
          <w:p w14:paraId="71F5EE9C" w14:textId="77777777" w:rsidR="00A206DF" w:rsidRPr="00280CC1" w:rsidRDefault="00D65743" w:rsidP="009D241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lang w:bidi="km-KH"/>
              </w:rPr>
              <w:drawing>
                <wp:inline distT="0" distB="0" distL="0" distR="0" wp14:anchorId="49362F56" wp14:editId="6F41818A">
                  <wp:extent cx="612000" cy="612000"/>
                  <wp:effectExtent l="0" t="0" r="0" b="0"/>
                  <wp:docPr id="28" name="Picture 28" title="5: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98" w:type="dxa"/>
          </w:tcPr>
          <w:p w14:paraId="02CFC6C5" w14:textId="77777777" w:rsidR="00A206DF" w:rsidRPr="00280CC1" w:rsidRDefault="00A206DF" w:rsidP="009D241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r>
    </w:tbl>
    <w:p w14:paraId="10A4B443" w14:textId="29FEA6F1" w:rsidR="008D482B" w:rsidRPr="00FE7377" w:rsidRDefault="00956638" w:rsidP="00956638">
      <w:pPr>
        <w:tabs>
          <w:tab w:val="left" w:pos="993"/>
        </w:tabs>
        <w:spacing w:after="120"/>
        <w:ind w:right="-330"/>
        <w:rPr>
          <w:color w:val="auto"/>
        </w:rPr>
      </w:pPr>
      <w:r w:rsidRPr="00FE7377">
        <w:rPr>
          <w:color w:val="auto"/>
        </w:rPr>
        <w:t xml:space="preserve">The </w:t>
      </w:r>
      <w:r w:rsidR="00EB48A7" w:rsidRPr="00FE7377">
        <w:rPr>
          <w:color w:val="auto"/>
        </w:rPr>
        <w:t xml:space="preserve">2016-17 </w:t>
      </w:r>
      <w:r w:rsidRPr="00FE7377">
        <w:rPr>
          <w:color w:val="auto"/>
        </w:rPr>
        <w:t xml:space="preserve">rating for this Objective </w:t>
      </w:r>
      <w:r w:rsidR="00EB48A7" w:rsidRPr="00FE7377">
        <w:rPr>
          <w:color w:val="auto"/>
        </w:rPr>
        <w:t>re</w:t>
      </w:r>
      <w:r w:rsidR="005D30D1" w:rsidRPr="00FE7377">
        <w:rPr>
          <w:color w:val="auto"/>
        </w:rPr>
        <w:t>mains</w:t>
      </w:r>
      <w:r w:rsidRPr="00FE7377">
        <w:rPr>
          <w:color w:val="auto"/>
        </w:rPr>
        <w:t xml:space="preserve"> </w:t>
      </w:r>
      <w:r w:rsidRPr="00FE7377">
        <w:rPr>
          <w:color w:val="auto"/>
          <w:u w:val="single"/>
        </w:rPr>
        <w:t>green</w:t>
      </w:r>
      <w:r w:rsidR="00D727CD" w:rsidRPr="00FE7377">
        <w:rPr>
          <w:color w:val="auto"/>
        </w:rPr>
        <w:t xml:space="preserve">. </w:t>
      </w:r>
      <w:r w:rsidR="005245DB" w:rsidRPr="00FE7377">
        <w:rPr>
          <w:color w:val="auto"/>
        </w:rPr>
        <w:t xml:space="preserve">Four </w:t>
      </w:r>
      <w:r w:rsidR="008D482B" w:rsidRPr="00FE7377">
        <w:rPr>
          <w:color w:val="auto"/>
        </w:rPr>
        <w:t>Australian aid investments support Objective 3 and align with Sustainable Development Goals 3 – Good Health and Well-Being and 4 – Quality Education.</w:t>
      </w:r>
    </w:p>
    <w:p w14:paraId="19A42976" w14:textId="77777777" w:rsidR="009D067A" w:rsidRPr="00FE7377" w:rsidRDefault="009D067A" w:rsidP="008D482B">
      <w:pPr>
        <w:tabs>
          <w:tab w:val="left" w:pos="993"/>
        </w:tabs>
        <w:spacing w:after="120"/>
        <w:ind w:right="-330"/>
        <w:rPr>
          <w:b/>
          <w:color w:val="auto"/>
        </w:rPr>
      </w:pPr>
      <w:r w:rsidRPr="00FE7377">
        <w:rPr>
          <w:b/>
          <w:color w:val="auto"/>
        </w:rPr>
        <w:t>Health</w:t>
      </w:r>
    </w:p>
    <w:p w14:paraId="49D75368" w14:textId="15FA3086" w:rsidR="00956638" w:rsidRPr="00FE7377" w:rsidRDefault="00956638" w:rsidP="008D482B">
      <w:pPr>
        <w:tabs>
          <w:tab w:val="left" w:pos="993"/>
        </w:tabs>
        <w:spacing w:after="120"/>
        <w:ind w:right="-330"/>
        <w:rPr>
          <w:color w:val="auto"/>
        </w:rPr>
      </w:pPr>
      <w:r w:rsidRPr="00FE7377">
        <w:rPr>
          <w:color w:val="auto"/>
        </w:rPr>
        <w:t xml:space="preserve">The </w:t>
      </w:r>
      <w:r w:rsidR="002F37E2" w:rsidRPr="00FE7377">
        <w:rPr>
          <w:color w:val="auto"/>
        </w:rPr>
        <w:t xml:space="preserve">2016 </w:t>
      </w:r>
      <w:r w:rsidR="00F76930" w:rsidRPr="00FE7377">
        <w:rPr>
          <w:color w:val="auto"/>
        </w:rPr>
        <w:t xml:space="preserve">Cambodian Government </w:t>
      </w:r>
      <w:r w:rsidR="002F37E2" w:rsidRPr="00FE7377">
        <w:rPr>
          <w:color w:val="auto"/>
        </w:rPr>
        <w:t>Health Sector Report</w:t>
      </w:r>
      <w:r w:rsidRPr="00FE7377">
        <w:rPr>
          <w:color w:val="auto"/>
        </w:rPr>
        <w:t xml:space="preserve"> found the health system achieved most of its 2016 health outcome targets</w:t>
      </w:r>
      <w:r w:rsidR="0054753B" w:rsidRPr="00FE7377">
        <w:rPr>
          <w:color w:val="auto"/>
        </w:rPr>
        <w:t xml:space="preserve">. While this is encouraging, changes in Cambodia’s </w:t>
      </w:r>
      <w:r w:rsidR="00B535FD" w:rsidRPr="00FE7377">
        <w:rPr>
          <w:color w:val="auto"/>
        </w:rPr>
        <w:t>socio-demography</w:t>
      </w:r>
      <w:r w:rsidR="0054753B" w:rsidRPr="00FE7377">
        <w:rPr>
          <w:color w:val="auto"/>
        </w:rPr>
        <w:t xml:space="preserve"> and epidemiological profile means</w:t>
      </w:r>
      <w:r w:rsidRPr="00FE7377">
        <w:rPr>
          <w:color w:val="auto"/>
        </w:rPr>
        <w:t xml:space="preserve"> the </w:t>
      </w:r>
      <w:r w:rsidR="0054753B" w:rsidRPr="00FE7377">
        <w:rPr>
          <w:color w:val="auto"/>
        </w:rPr>
        <w:t xml:space="preserve">health </w:t>
      </w:r>
      <w:r w:rsidRPr="00FE7377">
        <w:rPr>
          <w:color w:val="auto"/>
        </w:rPr>
        <w:t xml:space="preserve">system </w:t>
      </w:r>
      <w:r w:rsidR="0054753B" w:rsidRPr="00FE7377">
        <w:rPr>
          <w:color w:val="auto"/>
        </w:rPr>
        <w:t>is grappling with increasingly complex issues</w:t>
      </w:r>
      <w:r w:rsidRPr="00FE7377">
        <w:rPr>
          <w:color w:val="auto"/>
        </w:rPr>
        <w:t xml:space="preserve">. </w:t>
      </w:r>
      <w:r w:rsidR="0054753B" w:rsidRPr="00FE7377">
        <w:rPr>
          <w:color w:val="auto"/>
        </w:rPr>
        <w:t>These include</w:t>
      </w:r>
      <w:r w:rsidR="0090592F" w:rsidRPr="00FE7377">
        <w:rPr>
          <w:color w:val="auto"/>
        </w:rPr>
        <w:t xml:space="preserve"> </w:t>
      </w:r>
      <w:r w:rsidRPr="00FE7377">
        <w:rPr>
          <w:color w:val="auto"/>
        </w:rPr>
        <w:t>communicable disease threats and other public health issues</w:t>
      </w:r>
      <w:r w:rsidR="005D30D1" w:rsidRPr="00FE7377">
        <w:rPr>
          <w:color w:val="auto"/>
        </w:rPr>
        <w:t xml:space="preserve">, </w:t>
      </w:r>
      <w:r w:rsidR="0090592F" w:rsidRPr="00FE7377">
        <w:rPr>
          <w:color w:val="auto"/>
        </w:rPr>
        <w:t>and a</w:t>
      </w:r>
      <w:r w:rsidR="0054753B" w:rsidRPr="00FE7377">
        <w:rPr>
          <w:color w:val="auto"/>
        </w:rPr>
        <w:t xml:space="preserve"> </w:t>
      </w:r>
      <w:r w:rsidRPr="00FE7377">
        <w:rPr>
          <w:color w:val="auto"/>
        </w:rPr>
        <w:t xml:space="preserve">demand for a more accountable and responsive health system. </w:t>
      </w:r>
      <w:r w:rsidR="0054753B" w:rsidRPr="00FE7377">
        <w:rPr>
          <w:color w:val="auto"/>
        </w:rPr>
        <w:t xml:space="preserve">The </w:t>
      </w:r>
      <w:r w:rsidR="002F37E2" w:rsidRPr="00FE7377">
        <w:rPr>
          <w:color w:val="auto"/>
        </w:rPr>
        <w:t xml:space="preserve">Report </w:t>
      </w:r>
      <w:r w:rsidR="0054753B" w:rsidRPr="00FE7377">
        <w:rPr>
          <w:color w:val="auto"/>
        </w:rPr>
        <w:t xml:space="preserve">identified </w:t>
      </w:r>
      <w:r w:rsidR="005D30D1" w:rsidRPr="00FE7377">
        <w:rPr>
          <w:color w:val="auto"/>
        </w:rPr>
        <w:t>specific</w:t>
      </w:r>
      <w:r w:rsidR="0054753B" w:rsidRPr="00FE7377">
        <w:rPr>
          <w:color w:val="auto"/>
        </w:rPr>
        <w:t xml:space="preserve"> challenges </w:t>
      </w:r>
      <w:r w:rsidR="002F37E2" w:rsidRPr="00FE7377">
        <w:rPr>
          <w:color w:val="auto"/>
        </w:rPr>
        <w:t xml:space="preserve">including </w:t>
      </w:r>
      <w:r w:rsidR="00E754AA" w:rsidRPr="00FE7377">
        <w:rPr>
          <w:color w:val="auto"/>
        </w:rPr>
        <w:t>strengthening the</w:t>
      </w:r>
      <w:r w:rsidR="0054753B" w:rsidRPr="00FE7377">
        <w:rPr>
          <w:color w:val="auto"/>
        </w:rPr>
        <w:t xml:space="preserve"> </w:t>
      </w:r>
      <w:r w:rsidRPr="00FE7377">
        <w:rPr>
          <w:color w:val="auto"/>
        </w:rPr>
        <w:t>regulation and licensing</w:t>
      </w:r>
      <w:r w:rsidR="0054753B" w:rsidRPr="00FE7377">
        <w:rPr>
          <w:color w:val="auto"/>
        </w:rPr>
        <w:t xml:space="preserve"> of health care providers</w:t>
      </w:r>
      <w:r w:rsidRPr="00FE7377">
        <w:rPr>
          <w:color w:val="auto"/>
        </w:rPr>
        <w:t xml:space="preserve">; </w:t>
      </w:r>
      <w:r w:rsidR="0054753B" w:rsidRPr="00FE7377">
        <w:rPr>
          <w:color w:val="auto"/>
        </w:rPr>
        <w:t>improving the q</w:t>
      </w:r>
      <w:r w:rsidRPr="00FE7377">
        <w:rPr>
          <w:color w:val="auto"/>
        </w:rPr>
        <w:t>uality of routine service delivery; and</w:t>
      </w:r>
      <w:r w:rsidR="0054753B" w:rsidRPr="00FE7377">
        <w:rPr>
          <w:color w:val="auto"/>
        </w:rPr>
        <w:t xml:space="preserve">, </w:t>
      </w:r>
      <w:r w:rsidRPr="00FE7377">
        <w:rPr>
          <w:color w:val="auto"/>
        </w:rPr>
        <w:t>improving access for all Cambodians to quality public health services.</w:t>
      </w:r>
      <w:r w:rsidR="00493A3A" w:rsidRPr="00FE7377">
        <w:rPr>
          <w:rStyle w:val="FootnoteReference"/>
          <w:color w:val="auto"/>
        </w:rPr>
        <w:footnoteReference w:id="7"/>
      </w:r>
    </w:p>
    <w:p w14:paraId="64A797D1" w14:textId="198B53B7" w:rsidR="001A755C" w:rsidRPr="00FE7377" w:rsidRDefault="00956638" w:rsidP="00956638">
      <w:pPr>
        <w:spacing w:after="120"/>
        <w:ind w:right="-330"/>
        <w:rPr>
          <w:color w:val="auto"/>
        </w:rPr>
      </w:pPr>
      <w:r w:rsidRPr="00FE7377">
        <w:rPr>
          <w:color w:val="auto"/>
        </w:rPr>
        <w:t xml:space="preserve">Our major health investment, the </w:t>
      </w:r>
      <w:r w:rsidRPr="00FE7377">
        <w:rPr>
          <w:b/>
          <w:color w:val="auto"/>
        </w:rPr>
        <w:t>Health Equity and Quality Improvement Project</w:t>
      </w:r>
      <w:r w:rsidRPr="00FE7377">
        <w:rPr>
          <w:color w:val="auto"/>
        </w:rPr>
        <w:t xml:space="preserve"> (H-EQIP, $50 million, </w:t>
      </w:r>
      <w:r w:rsidR="005D30D1" w:rsidRPr="00FE7377">
        <w:rPr>
          <w:color w:val="auto"/>
        </w:rPr>
        <w:br/>
      </w:r>
      <w:r w:rsidRPr="00FE7377">
        <w:rPr>
          <w:color w:val="auto"/>
        </w:rPr>
        <w:t>2016</w:t>
      </w:r>
      <w:r w:rsidR="00C800AD" w:rsidRPr="00FE7377">
        <w:rPr>
          <w:color w:val="auto"/>
        </w:rPr>
        <w:t> –</w:t>
      </w:r>
      <w:r w:rsidRPr="00FE7377">
        <w:rPr>
          <w:color w:val="auto"/>
        </w:rPr>
        <w:t xml:space="preserve">2020), is applying lessons learnt from previous health investments to </w:t>
      </w:r>
      <w:r w:rsidR="0090592F" w:rsidRPr="00FE7377">
        <w:rPr>
          <w:color w:val="auto"/>
        </w:rPr>
        <w:t xml:space="preserve">target </w:t>
      </w:r>
      <w:r w:rsidRPr="00FE7377">
        <w:rPr>
          <w:color w:val="auto"/>
        </w:rPr>
        <w:t xml:space="preserve">quality improvement and equity issues. </w:t>
      </w:r>
      <w:r w:rsidR="00251CB4" w:rsidRPr="00FE7377">
        <w:rPr>
          <w:color w:val="auto"/>
        </w:rPr>
        <w:t>While p</w:t>
      </w:r>
      <w:r w:rsidRPr="00FE7377">
        <w:rPr>
          <w:color w:val="auto"/>
        </w:rPr>
        <w:t xml:space="preserve">lans were put in place to ensure a smooth transition from its predecessor program without interruption of health </w:t>
      </w:r>
      <w:r w:rsidR="00251CB4" w:rsidRPr="00FE7377">
        <w:rPr>
          <w:color w:val="auto"/>
        </w:rPr>
        <w:t>service delivery on the ground</w:t>
      </w:r>
      <w:r w:rsidR="0090592F" w:rsidRPr="00FE7377">
        <w:rPr>
          <w:color w:val="auto"/>
        </w:rPr>
        <w:t>,</w:t>
      </w:r>
      <w:r w:rsidR="00251CB4" w:rsidRPr="00FE7377">
        <w:rPr>
          <w:color w:val="auto"/>
        </w:rPr>
        <w:t xml:space="preserve"> </w:t>
      </w:r>
      <w:r w:rsidRPr="00FE7377">
        <w:rPr>
          <w:color w:val="auto"/>
        </w:rPr>
        <w:t>the project’s official start date was delayed by four months. Work did continue ahead of the r</w:t>
      </w:r>
      <w:r w:rsidR="00251CB4" w:rsidRPr="00FE7377">
        <w:rPr>
          <w:color w:val="auto"/>
        </w:rPr>
        <w:t>evised official start date</w:t>
      </w:r>
      <w:r w:rsidR="0090592F" w:rsidRPr="00FE7377">
        <w:rPr>
          <w:color w:val="auto"/>
        </w:rPr>
        <w:t xml:space="preserve">, </w:t>
      </w:r>
      <w:r w:rsidR="00F76930" w:rsidRPr="00FE7377">
        <w:rPr>
          <w:color w:val="auto"/>
        </w:rPr>
        <w:t>but</w:t>
      </w:r>
      <w:r w:rsidR="00251CB4" w:rsidRPr="00FE7377">
        <w:rPr>
          <w:color w:val="auto"/>
        </w:rPr>
        <w:t xml:space="preserve"> </w:t>
      </w:r>
      <w:r w:rsidRPr="00FE7377">
        <w:rPr>
          <w:color w:val="auto"/>
        </w:rPr>
        <w:t>full implementation of many</w:t>
      </w:r>
      <w:r w:rsidR="008D482B" w:rsidRPr="00FE7377">
        <w:rPr>
          <w:color w:val="auto"/>
        </w:rPr>
        <w:t xml:space="preserve"> H</w:t>
      </w:r>
      <w:r w:rsidR="008D482B" w:rsidRPr="00FE7377">
        <w:rPr>
          <w:color w:val="auto"/>
        </w:rPr>
        <w:noBreakHyphen/>
        <w:t xml:space="preserve">EQIP activities was impacted. This </w:t>
      </w:r>
      <w:r w:rsidRPr="00FE7377">
        <w:rPr>
          <w:color w:val="auto"/>
        </w:rPr>
        <w:t>affected the number of patients able to attend facilities for treatment. The system is now operating as it should</w:t>
      </w:r>
      <w:r w:rsidR="00F76930" w:rsidRPr="00FE7377">
        <w:rPr>
          <w:color w:val="auto"/>
        </w:rPr>
        <w:t>,</w:t>
      </w:r>
      <w:r w:rsidRPr="00FE7377">
        <w:rPr>
          <w:color w:val="auto"/>
        </w:rPr>
        <w:t xml:space="preserve"> </w:t>
      </w:r>
      <w:r w:rsidR="001A755C" w:rsidRPr="00FE7377">
        <w:rPr>
          <w:color w:val="auto"/>
        </w:rPr>
        <w:t xml:space="preserve">with </w:t>
      </w:r>
      <w:r w:rsidR="009D067A" w:rsidRPr="00FE7377">
        <w:rPr>
          <w:color w:val="auto"/>
        </w:rPr>
        <w:t>the number of beneficiaries receiving treatment at</w:t>
      </w:r>
      <w:r w:rsidR="00912960" w:rsidRPr="00FE7377">
        <w:rPr>
          <w:color w:val="auto"/>
        </w:rPr>
        <w:t xml:space="preserve"> near baseline levels.</w:t>
      </w:r>
    </w:p>
    <w:p w14:paraId="0C78215E" w14:textId="77777777" w:rsidR="00956638" w:rsidRPr="00FE7377" w:rsidRDefault="001A755C" w:rsidP="00956638">
      <w:pPr>
        <w:spacing w:after="120"/>
        <w:ind w:right="-330"/>
        <w:rPr>
          <w:color w:val="auto"/>
        </w:rPr>
      </w:pPr>
      <w:r w:rsidRPr="00FE7377">
        <w:rPr>
          <w:color w:val="auto"/>
        </w:rPr>
        <w:t xml:space="preserve">Health indicators, updated recently in our revised Performance Assessment Framework, now align with H-EQIP targets. Reporting against revised health indicators will be available in early 2018. </w:t>
      </w:r>
    </w:p>
    <w:p w14:paraId="77A4D0F6" w14:textId="5C36000A" w:rsidR="00956638" w:rsidRPr="00FE7377" w:rsidRDefault="00956638" w:rsidP="00956638">
      <w:pPr>
        <w:spacing w:after="120"/>
        <w:ind w:right="-330"/>
        <w:rPr>
          <w:color w:val="auto"/>
        </w:rPr>
      </w:pPr>
      <w:r w:rsidRPr="00FE7377">
        <w:rPr>
          <w:color w:val="auto"/>
        </w:rPr>
        <w:lastRenderedPageBreak/>
        <w:t xml:space="preserve">The major success for H-EQIP </w:t>
      </w:r>
      <w:r w:rsidR="00690F45" w:rsidRPr="00FE7377">
        <w:rPr>
          <w:color w:val="auto"/>
        </w:rPr>
        <w:t>this year</w:t>
      </w:r>
      <w:r w:rsidRPr="00FE7377">
        <w:rPr>
          <w:color w:val="auto"/>
        </w:rPr>
        <w:t xml:space="preserve"> has been the</w:t>
      </w:r>
      <w:r w:rsidR="002F37E2" w:rsidRPr="00FE7377">
        <w:rPr>
          <w:color w:val="auto"/>
        </w:rPr>
        <w:t xml:space="preserve"> </w:t>
      </w:r>
      <w:r w:rsidR="00D011F6" w:rsidRPr="00FE7377">
        <w:rPr>
          <w:color w:val="auto"/>
        </w:rPr>
        <w:t xml:space="preserve">transition to </w:t>
      </w:r>
      <w:r w:rsidR="008664AF" w:rsidRPr="00FE7377">
        <w:rPr>
          <w:color w:val="auto"/>
        </w:rPr>
        <w:t>Cambodian Government</w:t>
      </w:r>
      <w:r w:rsidRPr="00FE7377">
        <w:rPr>
          <w:color w:val="auto"/>
        </w:rPr>
        <w:t xml:space="preserve"> ownership o</w:t>
      </w:r>
      <w:r w:rsidR="002F37E2" w:rsidRPr="00FE7377">
        <w:rPr>
          <w:color w:val="auto"/>
        </w:rPr>
        <w:t>f the project</w:t>
      </w:r>
      <w:r w:rsidRPr="00FE7377">
        <w:rPr>
          <w:color w:val="auto"/>
        </w:rPr>
        <w:t xml:space="preserve"> including in management, implementation and financing. The </w:t>
      </w:r>
      <w:r w:rsidR="00251CB4" w:rsidRPr="00FE7377">
        <w:rPr>
          <w:color w:val="auto"/>
        </w:rPr>
        <w:t>Ministry of Health is im</w:t>
      </w:r>
      <w:r w:rsidR="00D011F6" w:rsidRPr="00FE7377">
        <w:rPr>
          <w:color w:val="auto"/>
        </w:rPr>
        <w:t>plementing the project</w:t>
      </w:r>
      <w:r w:rsidR="000717B8" w:rsidRPr="00FE7377">
        <w:rPr>
          <w:color w:val="auto"/>
        </w:rPr>
        <w:t xml:space="preserve">, particularly the Heath Equity Fund component, </w:t>
      </w:r>
      <w:r w:rsidR="0090592F" w:rsidRPr="00FE7377">
        <w:rPr>
          <w:color w:val="auto"/>
        </w:rPr>
        <w:t>with limited external donor support</w:t>
      </w:r>
      <w:r w:rsidRPr="00FE7377">
        <w:rPr>
          <w:color w:val="auto"/>
        </w:rPr>
        <w:t>.</w:t>
      </w:r>
      <w:r w:rsidR="00251CB4" w:rsidRPr="00FE7377">
        <w:rPr>
          <w:color w:val="auto"/>
        </w:rPr>
        <w:t xml:space="preserve"> This is in comparison to the preceding project where a donor Program Implementation Unit was necessary.</w:t>
      </w:r>
      <w:r w:rsidRPr="00FE7377">
        <w:rPr>
          <w:color w:val="auto"/>
        </w:rPr>
        <w:t xml:space="preserve"> Cambodian </w:t>
      </w:r>
      <w:r w:rsidR="008664AF" w:rsidRPr="00FE7377">
        <w:rPr>
          <w:color w:val="auto"/>
        </w:rPr>
        <w:t>G</w:t>
      </w:r>
      <w:r w:rsidRPr="00FE7377">
        <w:rPr>
          <w:color w:val="auto"/>
        </w:rPr>
        <w:t>overnment funding of H-EQIP</w:t>
      </w:r>
      <w:r w:rsidR="005611B4" w:rsidRPr="00FE7377">
        <w:rPr>
          <w:color w:val="auto"/>
        </w:rPr>
        <w:t xml:space="preserve">, originally estimated to be 54 </w:t>
      </w:r>
      <w:r w:rsidRPr="00FE7377">
        <w:rPr>
          <w:color w:val="auto"/>
        </w:rPr>
        <w:t xml:space="preserve">per cent of total funding, has already exceeded expectations. In the first nine months of operation, the Cambodian national budget funded 64 per cent of program costs. While this ownership has taken substantial effort to establish, it will ensure the long-term sustainability of the system. There will be a continued need to ensure capacity constraints within </w:t>
      </w:r>
      <w:r w:rsidR="008664AF" w:rsidRPr="00FE7377">
        <w:rPr>
          <w:color w:val="auto"/>
        </w:rPr>
        <w:t xml:space="preserve">the </w:t>
      </w:r>
      <w:r w:rsidRPr="00FE7377">
        <w:rPr>
          <w:color w:val="auto"/>
        </w:rPr>
        <w:t xml:space="preserve">Ministry of Health are carefully monitored and addressed. </w:t>
      </w:r>
    </w:p>
    <w:p w14:paraId="08F167F4" w14:textId="3F45306A" w:rsidR="00956638" w:rsidRPr="00FE7377" w:rsidRDefault="001A755C" w:rsidP="00956638">
      <w:pPr>
        <w:spacing w:after="120"/>
        <w:ind w:right="-330"/>
        <w:rPr>
          <w:color w:val="auto"/>
        </w:rPr>
      </w:pPr>
      <w:r w:rsidRPr="00FE7377">
        <w:rPr>
          <w:color w:val="auto"/>
        </w:rPr>
        <w:t xml:space="preserve">H-EQIP is using </w:t>
      </w:r>
      <w:r w:rsidR="008664AF" w:rsidRPr="00FE7377">
        <w:rPr>
          <w:color w:val="auto"/>
        </w:rPr>
        <w:t>p</w:t>
      </w:r>
      <w:r w:rsidR="00956638" w:rsidRPr="00FE7377">
        <w:rPr>
          <w:color w:val="auto"/>
        </w:rPr>
        <w:t>erformance-based payments (</w:t>
      </w:r>
      <w:r w:rsidR="00F71549" w:rsidRPr="00FE7377">
        <w:rPr>
          <w:color w:val="auto"/>
        </w:rPr>
        <w:t xml:space="preserve">called </w:t>
      </w:r>
      <w:r w:rsidR="00956638" w:rsidRPr="00FE7377">
        <w:rPr>
          <w:color w:val="auto"/>
        </w:rPr>
        <w:t xml:space="preserve">disbursement-linked </w:t>
      </w:r>
      <w:r w:rsidR="00EC0775" w:rsidRPr="00FE7377">
        <w:rPr>
          <w:color w:val="auto"/>
        </w:rPr>
        <w:t>indicators</w:t>
      </w:r>
      <w:r w:rsidR="005245DB" w:rsidRPr="00FE7377">
        <w:rPr>
          <w:color w:val="auto"/>
        </w:rPr>
        <w:t xml:space="preserve">, </w:t>
      </w:r>
      <w:r w:rsidR="00956638" w:rsidRPr="00FE7377">
        <w:rPr>
          <w:color w:val="auto"/>
        </w:rPr>
        <w:t xml:space="preserve">or DLIs) </w:t>
      </w:r>
      <w:r w:rsidR="00053644" w:rsidRPr="00FE7377">
        <w:rPr>
          <w:color w:val="auto"/>
        </w:rPr>
        <w:t xml:space="preserve">to </w:t>
      </w:r>
      <w:r w:rsidR="00EC0775" w:rsidRPr="00FE7377">
        <w:rPr>
          <w:color w:val="auto"/>
        </w:rPr>
        <w:t>drive performance</w:t>
      </w:r>
      <w:r w:rsidR="00053644" w:rsidRPr="00FE7377">
        <w:rPr>
          <w:color w:val="auto"/>
        </w:rPr>
        <w:t xml:space="preserve"> improvement necessary for </w:t>
      </w:r>
      <w:r w:rsidR="00956638" w:rsidRPr="00FE7377">
        <w:rPr>
          <w:color w:val="auto"/>
        </w:rPr>
        <w:t>quality public healthcare</w:t>
      </w:r>
      <w:r w:rsidR="001B227C" w:rsidRPr="00FE7377">
        <w:rPr>
          <w:color w:val="auto"/>
        </w:rPr>
        <w:t>. This is the first time</w:t>
      </w:r>
      <w:r w:rsidR="002F37E2" w:rsidRPr="00FE7377">
        <w:rPr>
          <w:color w:val="auto"/>
        </w:rPr>
        <w:t xml:space="preserve"> the World Bank is using its</w:t>
      </w:r>
      <w:r w:rsidR="001B227C" w:rsidRPr="00FE7377">
        <w:rPr>
          <w:color w:val="auto"/>
        </w:rPr>
        <w:t xml:space="preserve"> DLI</w:t>
      </w:r>
      <w:r w:rsidR="002F37E2" w:rsidRPr="00FE7377">
        <w:rPr>
          <w:color w:val="auto"/>
        </w:rPr>
        <w:t xml:space="preserve"> mechanism </w:t>
      </w:r>
      <w:r w:rsidR="001B227C" w:rsidRPr="00FE7377">
        <w:rPr>
          <w:color w:val="auto"/>
        </w:rPr>
        <w:t>in Cambodia. H</w:t>
      </w:r>
      <w:r w:rsidR="001B227C" w:rsidRPr="00FE7377">
        <w:rPr>
          <w:color w:val="auto"/>
        </w:rPr>
        <w:noBreakHyphen/>
        <w:t xml:space="preserve">EQIP </w:t>
      </w:r>
      <w:r w:rsidR="00EC0775" w:rsidRPr="00FE7377">
        <w:rPr>
          <w:color w:val="auto"/>
        </w:rPr>
        <w:t xml:space="preserve">met </w:t>
      </w:r>
      <w:r w:rsidR="00053644" w:rsidRPr="00FE7377">
        <w:rPr>
          <w:color w:val="auto"/>
        </w:rPr>
        <w:t>t</w:t>
      </w:r>
      <w:r w:rsidR="00EC0775" w:rsidRPr="00FE7377">
        <w:rPr>
          <w:color w:val="auto"/>
        </w:rPr>
        <w:t xml:space="preserve">hree-quarters </w:t>
      </w:r>
      <w:r w:rsidR="001B227C" w:rsidRPr="00FE7377">
        <w:rPr>
          <w:color w:val="auto"/>
        </w:rPr>
        <w:t xml:space="preserve">of </w:t>
      </w:r>
      <w:r w:rsidR="00EC0775" w:rsidRPr="00FE7377">
        <w:rPr>
          <w:color w:val="auto"/>
        </w:rPr>
        <w:t>its</w:t>
      </w:r>
      <w:r w:rsidR="00956638" w:rsidRPr="00FE7377">
        <w:rPr>
          <w:color w:val="auto"/>
        </w:rPr>
        <w:t xml:space="preserve"> </w:t>
      </w:r>
      <w:r w:rsidR="001B227C" w:rsidRPr="00FE7377">
        <w:rPr>
          <w:color w:val="auto"/>
        </w:rPr>
        <w:t xml:space="preserve">2016-17 </w:t>
      </w:r>
      <w:r w:rsidR="00956638" w:rsidRPr="00FE7377">
        <w:rPr>
          <w:color w:val="auto"/>
        </w:rPr>
        <w:t>DLI targets</w:t>
      </w:r>
      <w:r w:rsidR="00053644" w:rsidRPr="00FE7377">
        <w:rPr>
          <w:color w:val="auto"/>
        </w:rPr>
        <w:t xml:space="preserve">. </w:t>
      </w:r>
      <w:r w:rsidR="002F37E2" w:rsidRPr="00FE7377">
        <w:rPr>
          <w:color w:val="auto"/>
        </w:rPr>
        <w:t>The remaining unmet</w:t>
      </w:r>
      <w:r w:rsidR="00053644" w:rsidRPr="00FE7377">
        <w:rPr>
          <w:color w:val="auto"/>
        </w:rPr>
        <w:t xml:space="preserve"> DLIs will </w:t>
      </w:r>
      <w:r w:rsidR="00956638" w:rsidRPr="00FE7377">
        <w:rPr>
          <w:color w:val="auto"/>
        </w:rPr>
        <w:t>requir</w:t>
      </w:r>
      <w:r w:rsidR="00053644" w:rsidRPr="00FE7377">
        <w:rPr>
          <w:color w:val="auto"/>
        </w:rPr>
        <w:t>e</w:t>
      </w:r>
      <w:r w:rsidR="00956638" w:rsidRPr="00FE7377">
        <w:rPr>
          <w:color w:val="auto"/>
        </w:rPr>
        <w:t xml:space="preserve"> restructuring due to </w:t>
      </w:r>
      <w:r w:rsidR="00053644" w:rsidRPr="00FE7377">
        <w:rPr>
          <w:color w:val="auto"/>
        </w:rPr>
        <w:t xml:space="preserve">the </w:t>
      </w:r>
      <w:r w:rsidR="00956638" w:rsidRPr="00FE7377">
        <w:rPr>
          <w:color w:val="auto"/>
        </w:rPr>
        <w:t>changing circumstances</w:t>
      </w:r>
      <w:r w:rsidR="00053644" w:rsidRPr="00FE7377">
        <w:rPr>
          <w:color w:val="auto"/>
        </w:rPr>
        <w:t xml:space="preserve"> in the health sector</w:t>
      </w:r>
      <w:r w:rsidR="00956638" w:rsidRPr="00FE7377">
        <w:rPr>
          <w:color w:val="auto"/>
        </w:rPr>
        <w:t xml:space="preserve">. </w:t>
      </w:r>
    </w:p>
    <w:p w14:paraId="302DB569" w14:textId="77777777" w:rsidR="00956638" w:rsidRPr="00FE7377" w:rsidRDefault="00AA2154" w:rsidP="00956638">
      <w:pPr>
        <w:spacing w:after="120"/>
        <w:ind w:right="-330"/>
        <w:rPr>
          <w:color w:val="auto"/>
        </w:rPr>
      </w:pPr>
      <w:r w:rsidRPr="00FE7377">
        <w:rPr>
          <w:color w:val="auto"/>
        </w:rPr>
        <w:t xml:space="preserve">Australia has effectively used </w:t>
      </w:r>
      <w:r w:rsidR="00956638" w:rsidRPr="00FE7377">
        <w:rPr>
          <w:color w:val="auto"/>
        </w:rPr>
        <w:t xml:space="preserve">H-EQIP </w:t>
      </w:r>
      <w:r w:rsidR="00053644" w:rsidRPr="00FE7377">
        <w:rPr>
          <w:color w:val="auto"/>
        </w:rPr>
        <w:t>a</w:t>
      </w:r>
      <w:r w:rsidR="00B832D9" w:rsidRPr="00FE7377">
        <w:rPr>
          <w:color w:val="auto"/>
        </w:rPr>
        <w:t>s a</w:t>
      </w:r>
      <w:r w:rsidR="00053644" w:rsidRPr="00FE7377">
        <w:rPr>
          <w:color w:val="auto"/>
        </w:rPr>
        <w:t xml:space="preserve"> platform for reform</w:t>
      </w:r>
      <w:r w:rsidR="00B832D9" w:rsidRPr="00FE7377">
        <w:rPr>
          <w:color w:val="auto"/>
        </w:rPr>
        <w:t xml:space="preserve"> efforts</w:t>
      </w:r>
      <w:r w:rsidR="00053644" w:rsidRPr="00FE7377">
        <w:rPr>
          <w:color w:val="auto"/>
        </w:rPr>
        <w:t xml:space="preserve"> across</w:t>
      </w:r>
      <w:r w:rsidR="00956638" w:rsidRPr="00FE7377">
        <w:rPr>
          <w:color w:val="auto"/>
        </w:rPr>
        <w:t xml:space="preserve"> </w:t>
      </w:r>
      <w:r w:rsidR="00EB48A7" w:rsidRPr="00FE7377">
        <w:rPr>
          <w:color w:val="auto"/>
        </w:rPr>
        <w:t xml:space="preserve">the </w:t>
      </w:r>
      <w:r w:rsidR="00956638" w:rsidRPr="00FE7377">
        <w:rPr>
          <w:color w:val="auto"/>
        </w:rPr>
        <w:t>health sector more broadly</w:t>
      </w:r>
      <w:r w:rsidR="00053644" w:rsidRPr="00FE7377">
        <w:rPr>
          <w:color w:val="auto"/>
        </w:rPr>
        <w:t>, with a focus on sector financing and</w:t>
      </w:r>
      <w:r w:rsidR="001B227C" w:rsidRPr="00FE7377">
        <w:rPr>
          <w:color w:val="auto"/>
        </w:rPr>
        <w:t xml:space="preserve"> quality</w:t>
      </w:r>
      <w:r w:rsidR="00053644" w:rsidRPr="00FE7377">
        <w:rPr>
          <w:color w:val="auto"/>
        </w:rPr>
        <w:t xml:space="preserve"> service provision</w:t>
      </w:r>
      <w:r w:rsidR="00956638" w:rsidRPr="00FE7377">
        <w:rPr>
          <w:color w:val="auto"/>
        </w:rPr>
        <w:t xml:space="preserve">. </w:t>
      </w:r>
      <w:r w:rsidR="00B832D9" w:rsidRPr="00FE7377">
        <w:rPr>
          <w:color w:val="auto"/>
        </w:rPr>
        <w:t>In 2016</w:t>
      </w:r>
      <w:r w:rsidR="0090592F" w:rsidRPr="00FE7377">
        <w:rPr>
          <w:color w:val="auto"/>
        </w:rPr>
        <w:noBreakHyphen/>
      </w:r>
      <w:r w:rsidR="00B832D9" w:rsidRPr="00FE7377">
        <w:rPr>
          <w:color w:val="auto"/>
        </w:rPr>
        <w:t xml:space="preserve">17, we used </w:t>
      </w:r>
      <w:r w:rsidR="001B227C" w:rsidRPr="00FE7377">
        <w:rPr>
          <w:color w:val="auto"/>
        </w:rPr>
        <w:t>our leadership role as Chair of the H</w:t>
      </w:r>
      <w:r w:rsidR="001B227C" w:rsidRPr="00FE7377">
        <w:rPr>
          <w:color w:val="auto"/>
        </w:rPr>
        <w:noBreakHyphen/>
        <w:t xml:space="preserve">EQIP Donor Committee </w:t>
      </w:r>
      <w:r w:rsidR="00B832D9" w:rsidRPr="00FE7377">
        <w:rPr>
          <w:color w:val="auto"/>
        </w:rPr>
        <w:t>to drive key health reforms. T</w:t>
      </w:r>
      <w:r w:rsidR="00956638" w:rsidRPr="00FE7377">
        <w:rPr>
          <w:color w:val="auto"/>
        </w:rPr>
        <w:t xml:space="preserve">his included influencing </w:t>
      </w:r>
      <w:r w:rsidR="00053644" w:rsidRPr="00FE7377">
        <w:rPr>
          <w:color w:val="auto"/>
        </w:rPr>
        <w:t xml:space="preserve">the </w:t>
      </w:r>
      <w:r w:rsidR="00956638" w:rsidRPr="00FE7377">
        <w:rPr>
          <w:color w:val="auto"/>
        </w:rPr>
        <w:t xml:space="preserve">restructure </w:t>
      </w:r>
      <w:r w:rsidR="00053644" w:rsidRPr="00FE7377">
        <w:rPr>
          <w:color w:val="auto"/>
        </w:rPr>
        <w:t xml:space="preserve">of </w:t>
      </w:r>
      <w:r w:rsidR="00956638" w:rsidRPr="00FE7377">
        <w:rPr>
          <w:color w:val="auto"/>
        </w:rPr>
        <w:t xml:space="preserve">malaria, HIV and tuberculosis assistance </w:t>
      </w:r>
      <w:r w:rsidR="00053644" w:rsidRPr="00FE7377">
        <w:rPr>
          <w:color w:val="auto"/>
        </w:rPr>
        <w:t xml:space="preserve">in Cambodia delivered </w:t>
      </w:r>
      <w:r w:rsidR="00956638" w:rsidRPr="00FE7377">
        <w:rPr>
          <w:color w:val="auto"/>
        </w:rPr>
        <w:t>through the Global Fund</w:t>
      </w:r>
      <w:r w:rsidR="00053644" w:rsidRPr="00FE7377">
        <w:rPr>
          <w:color w:val="auto"/>
        </w:rPr>
        <w:t xml:space="preserve"> </w:t>
      </w:r>
      <w:r w:rsidR="00956638" w:rsidRPr="00FE7377">
        <w:rPr>
          <w:color w:val="auto"/>
        </w:rPr>
        <w:t>(</w:t>
      </w:r>
      <w:r w:rsidR="00B832D9" w:rsidRPr="00FE7377">
        <w:rPr>
          <w:color w:val="auto"/>
        </w:rPr>
        <w:t>which Australia</w:t>
      </w:r>
      <w:r w:rsidR="00053644" w:rsidRPr="00FE7377">
        <w:rPr>
          <w:color w:val="auto"/>
        </w:rPr>
        <w:t xml:space="preserve"> also </w:t>
      </w:r>
      <w:r w:rsidR="00956638" w:rsidRPr="00FE7377">
        <w:rPr>
          <w:color w:val="auto"/>
        </w:rPr>
        <w:t>support</w:t>
      </w:r>
      <w:r w:rsidR="00053644" w:rsidRPr="00FE7377">
        <w:rPr>
          <w:color w:val="auto"/>
        </w:rPr>
        <w:t>s</w:t>
      </w:r>
      <w:r w:rsidR="00956638" w:rsidRPr="00FE7377">
        <w:rPr>
          <w:color w:val="auto"/>
        </w:rPr>
        <w:t xml:space="preserve"> through </w:t>
      </w:r>
      <w:r w:rsidR="00053644" w:rsidRPr="00FE7377">
        <w:rPr>
          <w:color w:val="auto"/>
        </w:rPr>
        <w:t xml:space="preserve">our </w:t>
      </w:r>
      <w:r w:rsidR="00956638" w:rsidRPr="00FE7377">
        <w:rPr>
          <w:color w:val="auto"/>
        </w:rPr>
        <w:t xml:space="preserve">global </w:t>
      </w:r>
      <w:r w:rsidR="00053644" w:rsidRPr="00FE7377">
        <w:rPr>
          <w:color w:val="auto"/>
        </w:rPr>
        <w:t xml:space="preserve">aid </w:t>
      </w:r>
      <w:r w:rsidR="00956638" w:rsidRPr="00FE7377">
        <w:rPr>
          <w:color w:val="auto"/>
        </w:rPr>
        <w:t xml:space="preserve">programming). </w:t>
      </w:r>
      <w:r w:rsidR="00053644" w:rsidRPr="00FE7377">
        <w:rPr>
          <w:color w:val="auto"/>
        </w:rPr>
        <w:t>Australia’s efforts also secured</w:t>
      </w:r>
      <w:r w:rsidR="00956638" w:rsidRPr="00FE7377">
        <w:rPr>
          <w:color w:val="auto"/>
        </w:rPr>
        <w:t xml:space="preserve"> a gender analysis of H-EQIP</w:t>
      </w:r>
      <w:r w:rsidR="00053644" w:rsidRPr="00FE7377">
        <w:rPr>
          <w:color w:val="auto"/>
        </w:rPr>
        <w:t xml:space="preserve"> to inform </w:t>
      </w:r>
      <w:r w:rsidR="00956638" w:rsidRPr="00FE7377">
        <w:rPr>
          <w:color w:val="auto"/>
        </w:rPr>
        <w:t xml:space="preserve">stronger gender </w:t>
      </w:r>
      <w:r w:rsidR="00B832D9" w:rsidRPr="00FE7377">
        <w:rPr>
          <w:color w:val="auto"/>
        </w:rPr>
        <w:t xml:space="preserve">performance </w:t>
      </w:r>
      <w:r w:rsidR="00956638" w:rsidRPr="00FE7377">
        <w:rPr>
          <w:color w:val="auto"/>
        </w:rPr>
        <w:t xml:space="preserve">during project implementation. </w:t>
      </w:r>
    </w:p>
    <w:p w14:paraId="649558B4" w14:textId="133800E6" w:rsidR="00956638" w:rsidRPr="00FE7377" w:rsidRDefault="00956638" w:rsidP="00956638">
      <w:pPr>
        <w:spacing w:after="120"/>
        <w:ind w:right="-330"/>
        <w:rPr>
          <w:color w:val="auto"/>
        </w:rPr>
      </w:pPr>
      <w:r w:rsidRPr="00FE7377">
        <w:rPr>
          <w:color w:val="auto"/>
        </w:rPr>
        <w:t xml:space="preserve">Our investment in the </w:t>
      </w:r>
      <w:r w:rsidRPr="00FE7377">
        <w:rPr>
          <w:b/>
          <w:color w:val="auto"/>
        </w:rPr>
        <w:t>Identification of Poor Households Program Phase 3</w:t>
      </w:r>
      <w:r w:rsidR="007570E6" w:rsidRPr="00FE7377">
        <w:rPr>
          <w:color w:val="auto"/>
        </w:rPr>
        <w:t xml:space="preserve"> (IDPoor3, $5.3</w:t>
      </w:r>
      <w:r w:rsidRPr="00FE7377">
        <w:rPr>
          <w:color w:val="auto"/>
        </w:rPr>
        <w:t xml:space="preserve"> million, 2016</w:t>
      </w:r>
      <w:r w:rsidR="00C800AD" w:rsidRPr="00FE7377">
        <w:rPr>
          <w:color w:val="auto"/>
        </w:rPr>
        <w:t xml:space="preserve"> – </w:t>
      </w:r>
      <w:r w:rsidRPr="00FE7377">
        <w:rPr>
          <w:color w:val="auto"/>
        </w:rPr>
        <w:t xml:space="preserve">2019) </w:t>
      </w:r>
      <w:r w:rsidR="00AA2154" w:rsidRPr="00FE7377">
        <w:rPr>
          <w:color w:val="auto"/>
        </w:rPr>
        <w:t xml:space="preserve">continues long-term efforts to </w:t>
      </w:r>
      <w:r w:rsidRPr="00FE7377">
        <w:rPr>
          <w:color w:val="auto"/>
        </w:rPr>
        <w:t>identif</w:t>
      </w:r>
      <w:r w:rsidR="00AA2154" w:rsidRPr="00FE7377">
        <w:rPr>
          <w:color w:val="auto"/>
        </w:rPr>
        <w:t>y</w:t>
      </w:r>
      <w:r w:rsidRPr="00FE7377">
        <w:rPr>
          <w:color w:val="auto"/>
        </w:rPr>
        <w:t xml:space="preserve"> the poorest Cambodian</w:t>
      </w:r>
      <w:r w:rsidR="00EB48A7" w:rsidRPr="00FE7377">
        <w:rPr>
          <w:color w:val="auto"/>
        </w:rPr>
        <w:t>s</w:t>
      </w:r>
      <w:r w:rsidR="00AA2154" w:rsidRPr="00FE7377">
        <w:rPr>
          <w:color w:val="auto"/>
        </w:rPr>
        <w:t xml:space="preserve"> so they can access</w:t>
      </w:r>
      <w:r w:rsidRPr="00FE7377">
        <w:rPr>
          <w:color w:val="auto"/>
        </w:rPr>
        <w:t xml:space="preserve"> </w:t>
      </w:r>
      <w:r w:rsidR="00AA2154" w:rsidRPr="00FE7377">
        <w:rPr>
          <w:color w:val="auto"/>
        </w:rPr>
        <w:t xml:space="preserve">essential </w:t>
      </w:r>
      <w:r w:rsidRPr="00FE7377">
        <w:rPr>
          <w:color w:val="auto"/>
        </w:rPr>
        <w:t xml:space="preserve">social services, such as </w:t>
      </w:r>
      <w:r w:rsidR="002F37E2" w:rsidRPr="00FE7377">
        <w:rPr>
          <w:color w:val="auto"/>
        </w:rPr>
        <w:t>health</w:t>
      </w:r>
      <w:r w:rsidRPr="00FE7377">
        <w:rPr>
          <w:color w:val="auto"/>
        </w:rPr>
        <w:t xml:space="preserve"> services under H-EQIP. The program is on track to roll out the </w:t>
      </w:r>
      <w:proofErr w:type="spellStart"/>
      <w:r w:rsidRPr="00FE7377">
        <w:rPr>
          <w:color w:val="auto"/>
        </w:rPr>
        <w:t>IDPoor</w:t>
      </w:r>
      <w:proofErr w:type="spellEnd"/>
      <w:r w:rsidRPr="00FE7377">
        <w:rPr>
          <w:color w:val="auto"/>
        </w:rPr>
        <w:t xml:space="preserve"> system to urban Cambodian households. </w:t>
      </w:r>
      <w:r w:rsidR="00AA2154" w:rsidRPr="00FE7377">
        <w:rPr>
          <w:color w:val="auto"/>
        </w:rPr>
        <w:t>Rapid economic and social changes in Cambodia means IDPoor3 must adapt if it is to remain effective</w:t>
      </w:r>
      <w:r w:rsidRPr="00FE7377">
        <w:rPr>
          <w:color w:val="auto"/>
        </w:rPr>
        <w:t>. Analytical</w:t>
      </w:r>
      <w:r w:rsidR="00C800AD" w:rsidRPr="00FE7377">
        <w:rPr>
          <w:color w:val="auto"/>
        </w:rPr>
        <w:t xml:space="preserve"> and piloting</w:t>
      </w:r>
      <w:r w:rsidRPr="00FE7377">
        <w:rPr>
          <w:color w:val="auto"/>
        </w:rPr>
        <w:t xml:space="preserve"> work is underway to support this adaptation. </w:t>
      </w:r>
    </w:p>
    <w:p w14:paraId="5078F03E" w14:textId="03A56912" w:rsidR="00956638" w:rsidRPr="00FE7377" w:rsidRDefault="00956638" w:rsidP="00956638">
      <w:pPr>
        <w:spacing w:after="120"/>
        <w:ind w:right="-330"/>
        <w:rPr>
          <w:color w:val="auto"/>
        </w:rPr>
      </w:pPr>
      <w:r w:rsidRPr="00FE7377">
        <w:rPr>
          <w:color w:val="auto"/>
        </w:rPr>
        <w:t xml:space="preserve">Our </w:t>
      </w:r>
      <w:r w:rsidRPr="00FE7377">
        <w:rPr>
          <w:b/>
          <w:color w:val="auto"/>
        </w:rPr>
        <w:t>Partnering to Save Lives</w:t>
      </w:r>
      <w:r w:rsidRPr="00FE7377">
        <w:rPr>
          <w:color w:val="auto"/>
        </w:rPr>
        <w:t xml:space="preserve"> </w:t>
      </w:r>
      <w:r w:rsidR="00F71549" w:rsidRPr="00FE7377">
        <w:rPr>
          <w:b/>
          <w:color w:val="auto"/>
        </w:rPr>
        <w:t>P</w:t>
      </w:r>
      <w:r w:rsidRPr="00FE7377">
        <w:rPr>
          <w:b/>
          <w:color w:val="auto"/>
        </w:rPr>
        <w:t>rogram</w:t>
      </w:r>
      <w:r w:rsidR="007570E6" w:rsidRPr="00FE7377">
        <w:rPr>
          <w:color w:val="auto"/>
        </w:rPr>
        <w:t xml:space="preserve"> (</w:t>
      </w:r>
      <w:r w:rsidR="00F71549" w:rsidRPr="00FE7377">
        <w:rPr>
          <w:color w:val="auto"/>
        </w:rPr>
        <w:t xml:space="preserve">PSL, </w:t>
      </w:r>
      <w:r w:rsidR="007570E6" w:rsidRPr="00FE7377">
        <w:rPr>
          <w:color w:val="auto"/>
        </w:rPr>
        <w:t>$19.7</w:t>
      </w:r>
      <w:r w:rsidRPr="00FE7377">
        <w:rPr>
          <w:color w:val="auto"/>
        </w:rPr>
        <w:t xml:space="preserve"> million, 2013</w:t>
      </w:r>
      <w:r w:rsidR="00C800AD" w:rsidRPr="00FE7377">
        <w:rPr>
          <w:color w:val="auto"/>
        </w:rPr>
        <w:t xml:space="preserve"> – </w:t>
      </w:r>
      <w:r w:rsidRPr="00FE7377">
        <w:rPr>
          <w:color w:val="auto"/>
        </w:rPr>
        <w:t xml:space="preserve">2018) </w:t>
      </w:r>
      <w:r w:rsidR="00191316" w:rsidRPr="00FE7377">
        <w:rPr>
          <w:color w:val="auto"/>
        </w:rPr>
        <w:t xml:space="preserve">is now in its final year </w:t>
      </w:r>
      <w:r w:rsidRPr="00FE7377">
        <w:rPr>
          <w:color w:val="auto"/>
        </w:rPr>
        <w:t xml:space="preserve">and focused on concluding activities and sustaining outcomes. In 2016-17, PSL </w:t>
      </w:r>
      <w:r w:rsidR="00191316" w:rsidRPr="00FE7377">
        <w:rPr>
          <w:color w:val="auto"/>
        </w:rPr>
        <w:t xml:space="preserve">kept </w:t>
      </w:r>
      <w:r w:rsidRPr="00FE7377">
        <w:rPr>
          <w:color w:val="auto"/>
        </w:rPr>
        <w:t xml:space="preserve">its focus </w:t>
      </w:r>
      <w:r w:rsidR="005245DB" w:rsidRPr="00FE7377">
        <w:rPr>
          <w:color w:val="auto"/>
        </w:rPr>
        <w:t>on the four northeast provinces that</w:t>
      </w:r>
      <w:r w:rsidRPr="00FE7377">
        <w:rPr>
          <w:color w:val="auto"/>
        </w:rPr>
        <w:t xml:space="preserve"> lag behind in health outcomes due to more remote populations</w:t>
      </w:r>
      <w:r w:rsidR="00C800AD" w:rsidRPr="00FE7377">
        <w:rPr>
          <w:color w:val="auto"/>
        </w:rPr>
        <w:t xml:space="preserve"> and higher proportion of ethnic minority groups</w:t>
      </w:r>
      <w:r w:rsidRPr="00FE7377">
        <w:rPr>
          <w:color w:val="auto"/>
        </w:rPr>
        <w:t xml:space="preserve">. PSL </w:t>
      </w:r>
      <w:r w:rsidR="00C800AD" w:rsidRPr="00FE7377">
        <w:rPr>
          <w:color w:val="auto"/>
        </w:rPr>
        <w:t xml:space="preserve">also </w:t>
      </w:r>
      <w:r w:rsidRPr="00FE7377">
        <w:rPr>
          <w:color w:val="auto"/>
        </w:rPr>
        <w:t xml:space="preserve">supports reproductive health and family planning activities in </w:t>
      </w:r>
      <w:r w:rsidR="0029505D" w:rsidRPr="00FE7377">
        <w:rPr>
          <w:color w:val="auto"/>
        </w:rPr>
        <w:t xml:space="preserve">an additional </w:t>
      </w:r>
      <w:r w:rsidR="00EB48A7" w:rsidRPr="00FE7377">
        <w:rPr>
          <w:color w:val="auto"/>
        </w:rPr>
        <w:t>18</w:t>
      </w:r>
      <w:r w:rsidR="0029505D" w:rsidRPr="00FE7377">
        <w:rPr>
          <w:color w:val="auto"/>
        </w:rPr>
        <w:t> </w:t>
      </w:r>
      <w:r w:rsidRPr="00FE7377">
        <w:rPr>
          <w:color w:val="auto"/>
        </w:rPr>
        <w:t xml:space="preserve">provinces and </w:t>
      </w:r>
      <w:r w:rsidR="005245DB" w:rsidRPr="00FE7377">
        <w:rPr>
          <w:color w:val="auto"/>
        </w:rPr>
        <w:br/>
      </w:r>
      <w:r w:rsidRPr="00FE7377">
        <w:rPr>
          <w:color w:val="auto"/>
        </w:rPr>
        <w:t xml:space="preserve">20 garment factories. In 2017, PSL won a CARE innovation award for its Chat! Contraception package used in garment factories. </w:t>
      </w:r>
      <w:r w:rsidR="005B6434" w:rsidRPr="00FE7377">
        <w:rPr>
          <w:color w:val="auto"/>
        </w:rPr>
        <w:t xml:space="preserve">This </w:t>
      </w:r>
      <w:r w:rsidR="00EC0775" w:rsidRPr="00FE7377">
        <w:rPr>
          <w:color w:val="auto"/>
        </w:rPr>
        <w:t>Chat!</w:t>
      </w:r>
      <w:r w:rsidRPr="00FE7377">
        <w:rPr>
          <w:color w:val="auto"/>
        </w:rPr>
        <w:t xml:space="preserve"> </w:t>
      </w:r>
      <w:proofErr w:type="gramStart"/>
      <w:r w:rsidR="003A0BB7" w:rsidRPr="00FE7377">
        <w:rPr>
          <w:color w:val="auto"/>
        </w:rPr>
        <w:t>package</w:t>
      </w:r>
      <w:proofErr w:type="gramEnd"/>
      <w:r w:rsidRPr="00FE7377">
        <w:rPr>
          <w:color w:val="auto"/>
        </w:rPr>
        <w:t xml:space="preserve"> </w:t>
      </w:r>
      <w:r w:rsidR="005B6434" w:rsidRPr="00FE7377">
        <w:rPr>
          <w:color w:val="auto"/>
        </w:rPr>
        <w:t xml:space="preserve">will now be implemented </w:t>
      </w:r>
      <w:r w:rsidRPr="00FE7377">
        <w:rPr>
          <w:color w:val="auto"/>
        </w:rPr>
        <w:t xml:space="preserve">in garment factories beyond Cambodia. </w:t>
      </w:r>
      <w:r w:rsidR="00690F45" w:rsidRPr="00FE7377">
        <w:rPr>
          <w:color w:val="auto"/>
        </w:rPr>
        <w:t xml:space="preserve">This year </w:t>
      </w:r>
      <w:r w:rsidRPr="00FE7377">
        <w:rPr>
          <w:color w:val="auto"/>
        </w:rPr>
        <w:t xml:space="preserve">PSL </w:t>
      </w:r>
      <w:r w:rsidR="002F37E2" w:rsidRPr="00FE7377">
        <w:rPr>
          <w:color w:val="auto"/>
        </w:rPr>
        <w:t xml:space="preserve">also focused on </w:t>
      </w:r>
      <w:r w:rsidRPr="00FE7377">
        <w:rPr>
          <w:color w:val="auto"/>
        </w:rPr>
        <w:t>strengthen</w:t>
      </w:r>
      <w:r w:rsidR="002F37E2" w:rsidRPr="00FE7377">
        <w:rPr>
          <w:color w:val="auto"/>
        </w:rPr>
        <w:t>ing</w:t>
      </w:r>
      <w:r w:rsidRPr="00FE7377">
        <w:rPr>
          <w:color w:val="auto"/>
        </w:rPr>
        <w:t xml:space="preserve"> sexual and reproductive health rights for women with disabilities. </w:t>
      </w:r>
    </w:p>
    <w:p w14:paraId="4AA56838" w14:textId="77777777" w:rsidR="008D1F9D" w:rsidRPr="00FE7377" w:rsidRDefault="003A0BB7" w:rsidP="008D1F9D">
      <w:pPr>
        <w:spacing w:after="120"/>
        <w:ind w:right="-330"/>
        <w:rPr>
          <w:color w:val="auto"/>
        </w:rPr>
      </w:pPr>
      <w:r w:rsidRPr="00FE7377">
        <w:rPr>
          <w:color w:val="auto"/>
        </w:rPr>
        <w:t>S</w:t>
      </w:r>
      <w:r w:rsidR="008D1F9D" w:rsidRPr="00FE7377">
        <w:rPr>
          <w:color w:val="auto"/>
        </w:rPr>
        <w:t>exual and reproductive health</w:t>
      </w:r>
      <w:r w:rsidRPr="00FE7377">
        <w:rPr>
          <w:color w:val="auto"/>
        </w:rPr>
        <w:t xml:space="preserve"> services in Cambodia will face funding challenges in the coming years. This is due to changes in global donor financing trends</w:t>
      </w:r>
      <w:r w:rsidR="005B6434" w:rsidRPr="00FE7377">
        <w:rPr>
          <w:color w:val="auto"/>
        </w:rPr>
        <w:t xml:space="preserve"> as well funding reductions in Cambodia</w:t>
      </w:r>
      <w:r w:rsidR="002F37E2" w:rsidRPr="00FE7377">
        <w:rPr>
          <w:color w:val="auto"/>
        </w:rPr>
        <w:t xml:space="preserve"> –  m</w:t>
      </w:r>
      <w:r w:rsidR="008D1F9D" w:rsidRPr="00FE7377">
        <w:rPr>
          <w:color w:val="auto"/>
        </w:rPr>
        <w:t xml:space="preserve">any programs, including PSL, </w:t>
      </w:r>
      <w:r w:rsidRPr="00FE7377">
        <w:rPr>
          <w:color w:val="auto"/>
        </w:rPr>
        <w:t>will</w:t>
      </w:r>
      <w:r w:rsidR="008D1F9D" w:rsidRPr="00FE7377">
        <w:rPr>
          <w:color w:val="auto"/>
        </w:rPr>
        <w:t xml:space="preserve"> end</w:t>
      </w:r>
      <w:r w:rsidRPr="00FE7377">
        <w:rPr>
          <w:color w:val="auto"/>
        </w:rPr>
        <w:t xml:space="preserve"> in the near future</w:t>
      </w:r>
      <w:r w:rsidR="008D1F9D" w:rsidRPr="00FE7377">
        <w:rPr>
          <w:color w:val="auto"/>
        </w:rPr>
        <w:t xml:space="preserve">. DFAT is using its influence in the health sector to develop a sustainability strategy for this work, including advocating for greater Cambodian budget allocation. This agenda is important to strengthen women’s economic empowerment in Cambodia. </w:t>
      </w:r>
    </w:p>
    <w:p w14:paraId="469C0330" w14:textId="77777777" w:rsidR="00E41BEF" w:rsidRPr="00FE7377" w:rsidRDefault="00E41BEF">
      <w:pPr>
        <w:spacing w:after="120"/>
        <w:ind w:right="-330"/>
        <w:rPr>
          <w:b/>
          <w:color w:val="auto"/>
        </w:rPr>
      </w:pPr>
      <w:r w:rsidRPr="00FE7377">
        <w:rPr>
          <w:b/>
          <w:color w:val="auto"/>
        </w:rPr>
        <w:t>Education</w:t>
      </w:r>
    </w:p>
    <w:p w14:paraId="6A330FEB" w14:textId="6C7B3A32" w:rsidR="00C577AF" w:rsidRPr="00FE7377" w:rsidRDefault="00C577AF" w:rsidP="00C577AF">
      <w:pPr>
        <w:rPr>
          <w:color w:val="auto"/>
        </w:rPr>
      </w:pPr>
      <w:r w:rsidRPr="00FE7377">
        <w:rPr>
          <w:color w:val="auto"/>
        </w:rPr>
        <w:t xml:space="preserve">Since the Australian Government began offering scholarships in Cambodia in 1994, over 700 Cambodians have completed their PhDs or Masters in Australia. </w:t>
      </w:r>
      <w:r w:rsidR="00EB3DD7" w:rsidRPr="00FE7377">
        <w:rPr>
          <w:color w:val="auto"/>
        </w:rPr>
        <w:t>Many alumni</w:t>
      </w:r>
      <w:r w:rsidRPr="00FE7377">
        <w:rPr>
          <w:color w:val="auto"/>
        </w:rPr>
        <w:t xml:space="preserve"> have become leading professionals in their fields working as senior Cambodian Government officials, CEOs, academics and researchers. They are the next generation of influencers and leaders in Cambodia and key interlocutors across all aspects of our bilateral relationship</w:t>
      </w:r>
      <w:r w:rsidR="003D6685" w:rsidRPr="00FE7377">
        <w:rPr>
          <w:color w:val="auto"/>
        </w:rPr>
        <w:t xml:space="preserve">. </w:t>
      </w:r>
    </w:p>
    <w:p w14:paraId="64DE8A68" w14:textId="11C797A6" w:rsidR="00C577AF" w:rsidRPr="00FE7377" w:rsidRDefault="00C577AF" w:rsidP="00C577AF">
      <w:pPr>
        <w:rPr>
          <w:color w:val="auto"/>
        </w:rPr>
      </w:pPr>
      <w:r w:rsidRPr="00FE7377">
        <w:rPr>
          <w:color w:val="auto"/>
        </w:rPr>
        <w:t xml:space="preserve">In 2016-17, Australia Awards Cambodia aimed to offer 50 </w:t>
      </w:r>
      <w:r w:rsidRPr="00FE7377">
        <w:rPr>
          <w:b/>
          <w:color w:val="auto"/>
        </w:rPr>
        <w:t>Australia Awards Scholarships</w:t>
      </w:r>
      <w:r w:rsidR="00EB3DD7" w:rsidRPr="00FE7377">
        <w:rPr>
          <w:color w:val="auto"/>
        </w:rPr>
        <w:t>,</w:t>
      </w:r>
      <w:r w:rsidRPr="00FE7377">
        <w:rPr>
          <w:color w:val="auto"/>
        </w:rPr>
        <w:t xml:space="preserve"> 50 </w:t>
      </w:r>
      <w:r w:rsidR="000571F8" w:rsidRPr="00FE7377">
        <w:rPr>
          <w:color w:val="auto"/>
        </w:rPr>
        <w:t>per cent</w:t>
      </w:r>
      <w:r w:rsidRPr="00FE7377">
        <w:rPr>
          <w:color w:val="auto"/>
        </w:rPr>
        <w:t xml:space="preserve"> of </w:t>
      </w:r>
      <w:r w:rsidR="00EB3DD7" w:rsidRPr="00FE7377">
        <w:rPr>
          <w:color w:val="auto"/>
        </w:rPr>
        <w:t>which would be to</w:t>
      </w:r>
      <w:r w:rsidRPr="00FE7377">
        <w:rPr>
          <w:color w:val="auto"/>
        </w:rPr>
        <w:t xml:space="preserve"> women. </w:t>
      </w:r>
      <w:r w:rsidR="00EB3DD7" w:rsidRPr="00FE7377">
        <w:rPr>
          <w:color w:val="auto"/>
        </w:rPr>
        <w:t>This was not achieved. Onl</w:t>
      </w:r>
      <w:r w:rsidRPr="00FE7377">
        <w:rPr>
          <w:color w:val="auto"/>
        </w:rPr>
        <w:t xml:space="preserve">y 45 Australia Awards Scholarships were offered, 16 </w:t>
      </w:r>
      <w:r w:rsidR="00EB3DD7" w:rsidRPr="00FE7377">
        <w:rPr>
          <w:color w:val="auto"/>
        </w:rPr>
        <w:t xml:space="preserve">of which </w:t>
      </w:r>
      <w:r w:rsidRPr="00FE7377">
        <w:rPr>
          <w:color w:val="auto"/>
        </w:rPr>
        <w:t>were offered to women. We did not reach our target due to an increase in the number of ineligible applications, a decrease in applications from women and an overall lower quality of women applicants, compared to previous years</w:t>
      </w:r>
      <w:r w:rsidR="003D6685" w:rsidRPr="00FE7377">
        <w:rPr>
          <w:color w:val="auto"/>
        </w:rPr>
        <w:t xml:space="preserve">. </w:t>
      </w:r>
    </w:p>
    <w:p w14:paraId="234FBE43" w14:textId="77777777" w:rsidR="00C577AF" w:rsidRPr="00FE7377" w:rsidRDefault="00C577AF" w:rsidP="00C577AF">
      <w:pPr>
        <w:rPr>
          <w:color w:val="auto"/>
        </w:rPr>
      </w:pPr>
      <w:r w:rsidRPr="00FE7377">
        <w:rPr>
          <w:color w:val="auto"/>
        </w:rPr>
        <w:lastRenderedPageBreak/>
        <w:t xml:space="preserve">To address the eligibility and gender equity issues, Australia Awards Cambodia undertook a more extensive promotions campaign in early 2017 for the next scholarships intake. This included more information sessions to highlight eligibility requirements. Australia Awards Cambodia also jointly hosted a women in leadership workshop with the Cambodian Ministry of Women’s Affairs. Through these activities, we expect an increase in the number and quality of applications from women for the 2018 Australia Awards Scholarships intake. </w:t>
      </w:r>
    </w:p>
    <w:p w14:paraId="2EB22B57" w14:textId="68DE0589" w:rsidR="00C577AF" w:rsidRPr="00FE7377" w:rsidRDefault="00C577AF" w:rsidP="00C577AF">
      <w:pPr>
        <w:rPr>
          <w:color w:val="auto"/>
        </w:rPr>
      </w:pPr>
      <w:r w:rsidRPr="00FE7377">
        <w:rPr>
          <w:color w:val="auto"/>
        </w:rPr>
        <w:t xml:space="preserve">Australia Awards Scholarships in Cambodia continue to fill a development gap in key sectors outlined in our </w:t>
      </w:r>
      <w:r w:rsidR="005245DB" w:rsidRPr="00FE7377">
        <w:rPr>
          <w:color w:val="auto"/>
        </w:rPr>
        <w:t xml:space="preserve">Cambodia AIP </w:t>
      </w:r>
      <w:r w:rsidRPr="00FE7377">
        <w:rPr>
          <w:color w:val="auto"/>
        </w:rPr>
        <w:t xml:space="preserve">2015-18, including agriculture (16 </w:t>
      </w:r>
      <w:r w:rsidR="000571F8" w:rsidRPr="00FE7377">
        <w:rPr>
          <w:color w:val="auto"/>
        </w:rPr>
        <w:t>per cent</w:t>
      </w:r>
      <w:r w:rsidRPr="00FE7377">
        <w:rPr>
          <w:color w:val="auto"/>
        </w:rPr>
        <w:t xml:space="preserve">); health (22 </w:t>
      </w:r>
      <w:r w:rsidR="000571F8" w:rsidRPr="00FE7377">
        <w:rPr>
          <w:color w:val="auto"/>
        </w:rPr>
        <w:t>per cent</w:t>
      </w:r>
      <w:r w:rsidRPr="00FE7377">
        <w:rPr>
          <w:color w:val="auto"/>
        </w:rPr>
        <w:t xml:space="preserve">); infrastructure (13 </w:t>
      </w:r>
      <w:r w:rsidR="000571F8" w:rsidRPr="00FE7377">
        <w:rPr>
          <w:color w:val="auto"/>
        </w:rPr>
        <w:t>per cent</w:t>
      </w:r>
      <w:r w:rsidRPr="00FE7377">
        <w:rPr>
          <w:color w:val="auto"/>
        </w:rPr>
        <w:t xml:space="preserve">, a nine </w:t>
      </w:r>
      <w:r w:rsidR="000571F8" w:rsidRPr="00FE7377">
        <w:rPr>
          <w:color w:val="auto"/>
        </w:rPr>
        <w:t>per cent</w:t>
      </w:r>
      <w:r w:rsidRPr="00FE7377">
        <w:rPr>
          <w:color w:val="auto"/>
        </w:rPr>
        <w:t xml:space="preserve"> increase compared to 2015-16); reducing violence against women (11 </w:t>
      </w:r>
      <w:r w:rsidR="000571F8" w:rsidRPr="00FE7377">
        <w:rPr>
          <w:color w:val="auto"/>
        </w:rPr>
        <w:t>per cent</w:t>
      </w:r>
      <w:r w:rsidRPr="00FE7377">
        <w:rPr>
          <w:color w:val="auto"/>
        </w:rPr>
        <w:t xml:space="preserve">); education management (2 </w:t>
      </w:r>
      <w:r w:rsidR="000571F8" w:rsidRPr="00FE7377">
        <w:rPr>
          <w:color w:val="auto"/>
        </w:rPr>
        <w:t>per cent</w:t>
      </w:r>
      <w:r w:rsidRPr="00FE7377">
        <w:rPr>
          <w:color w:val="auto"/>
        </w:rPr>
        <w:t xml:space="preserve">); trade (20 </w:t>
      </w:r>
      <w:r w:rsidR="000571F8" w:rsidRPr="00FE7377">
        <w:rPr>
          <w:color w:val="auto"/>
        </w:rPr>
        <w:t>per cent</w:t>
      </w:r>
      <w:r w:rsidRPr="00FE7377">
        <w:rPr>
          <w:color w:val="auto"/>
        </w:rPr>
        <w:t xml:space="preserve">); and other sectors (16 </w:t>
      </w:r>
      <w:r w:rsidR="000571F8" w:rsidRPr="00FE7377">
        <w:rPr>
          <w:color w:val="auto"/>
        </w:rPr>
        <w:t>per cent</w:t>
      </w:r>
      <w:r w:rsidRPr="00FE7377">
        <w:rPr>
          <w:color w:val="auto"/>
        </w:rPr>
        <w:t xml:space="preserve">). Postgraduate studies in these sectors are less likely to be pursued by self-funded students. </w:t>
      </w:r>
    </w:p>
    <w:p w14:paraId="0FE64E9D" w14:textId="2851C5BD" w:rsidR="00C577AF" w:rsidRPr="00FE7377" w:rsidRDefault="00C577AF" w:rsidP="00C577AF">
      <w:pPr>
        <w:rPr>
          <w:color w:val="auto"/>
        </w:rPr>
      </w:pPr>
      <w:r w:rsidRPr="00FE7377">
        <w:rPr>
          <w:color w:val="auto"/>
        </w:rPr>
        <w:t>In 2016-17, we funded a Secretariat to support the Australian Alumni Associatio</w:t>
      </w:r>
      <w:r w:rsidR="005245DB" w:rsidRPr="00FE7377">
        <w:rPr>
          <w:color w:val="auto"/>
        </w:rPr>
        <w:t xml:space="preserve">n of Cambodia (AAA-C), </w:t>
      </w:r>
      <w:r w:rsidRPr="00FE7377">
        <w:rPr>
          <w:color w:val="auto"/>
        </w:rPr>
        <w:t xml:space="preserve">an association for all Cambodians who have studied in Australia. We supported the AAA-C to deliver 10 alumni activities in 2016-17, including a thematic workshop on environmental reform in Cambodia. </w:t>
      </w:r>
      <w:r w:rsidR="0012072E" w:rsidRPr="00FE7377">
        <w:rPr>
          <w:color w:val="auto"/>
        </w:rPr>
        <w:t>This event</w:t>
      </w:r>
      <w:r w:rsidRPr="00FE7377">
        <w:rPr>
          <w:color w:val="auto"/>
        </w:rPr>
        <w:t xml:space="preserve"> attracted over 150 participants, including Australian Government and self-funded alumni, Cambodian Ministers, international businesspeople in Cambodia, private sector representative</w:t>
      </w:r>
      <w:r w:rsidR="005245DB" w:rsidRPr="00FE7377">
        <w:rPr>
          <w:color w:val="auto"/>
        </w:rPr>
        <w:t>s</w:t>
      </w:r>
      <w:r w:rsidRPr="00FE7377">
        <w:rPr>
          <w:color w:val="auto"/>
        </w:rPr>
        <w:t xml:space="preserve">, academics and representatives from multilateral partners and NGOs. We will build on </w:t>
      </w:r>
      <w:r w:rsidR="0012072E" w:rsidRPr="00FE7377">
        <w:rPr>
          <w:color w:val="auto"/>
        </w:rPr>
        <w:t>this</w:t>
      </w:r>
      <w:r w:rsidRPr="00FE7377">
        <w:rPr>
          <w:color w:val="auto"/>
        </w:rPr>
        <w:t xml:space="preserve"> in 2017-18 to grow our alumni community in Cambodia and strengthen our connections. </w:t>
      </w:r>
    </w:p>
    <w:p w14:paraId="116288DF" w14:textId="77777777" w:rsidR="00901B6A" w:rsidRPr="00280CC1" w:rsidRDefault="001C216B" w:rsidP="001C216B">
      <w:pPr>
        <w:pStyle w:val="Heading2"/>
      </w:pPr>
      <w:r w:rsidRPr="00280CC1">
        <w:t>Cross-cutting issues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12"/>
        <w:gridCol w:w="1914"/>
        <w:gridCol w:w="1898"/>
        <w:gridCol w:w="1898"/>
      </w:tblGrid>
      <w:tr w:rsidR="001C216B" w:rsidRPr="00280CC1" w14:paraId="61A80548" w14:textId="77777777" w:rsidTr="00D47AE9">
        <w:tc>
          <w:tcPr>
            <w:tcW w:w="2016" w:type="dxa"/>
          </w:tcPr>
          <w:p w14:paraId="0C299075" w14:textId="77777777" w:rsidR="001C216B" w:rsidRPr="00280CC1" w:rsidRDefault="001C216B" w:rsidP="009D2415">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sidRPr="00280CC1">
              <w:rPr>
                <w:rFonts w:asciiTheme="majorHAnsi" w:eastAsiaTheme="majorEastAsia" w:hAnsiTheme="majorHAnsi" w:cstheme="majorBidi"/>
                <w:caps/>
                <w:noProof/>
                <w:color w:val="495965" w:themeColor="text2"/>
                <w:sz w:val="38"/>
                <w:szCs w:val="26"/>
                <w:lang w:bidi="km-KH"/>
              </w:rPr>
              <w:drawing>
                <wp:inline distT="0" distB="0" distL="0" distR="0" wp14:anchorId="5516EBE2" wp14:editId="1A4C1BE1">
                  <wp:extent cx="1137600" cy="720000"/>
                  <wp:effectExtent l="0" t="0" r="5715" b="4445"/>
                  <wp:docPr id="65" name="Picture 65" title="Sustanable development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12" w:type="dxa"/>
          </w:tcPr>
          <w:p w14:paraId="319789E2" w14:textId="77777777" w:rsidR="001C216B" w:rsidRPr="00280CC1" w:rsidRDefault="001C216B" w:rsidP="009D241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280CC1">
              <w:rPr>
                <w:noProof/>
                <w:lang w:bidi="km-KH"/>
              </w:rPr>
              <w:drawing>
                <wp:inline distT="0" distB="0" distL="0" distR="0" wp14:anchorId="7B0D1EFE" wp14:editId="6283F788">
                  <wp:extent cx="612000" cy="612000"/>
                  <wp:effectExtent l="0" t="0" r="0" b="0"/>
                  <wp:docPr id="68" name="Picture 68" title="5: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4" w:type="dxa"/>
          </w:tcPr>
          <w:p w14:paraId="1D91717B" w14:textId="77777777" w:rsidR="001C216B" w:rsidRPr="00280CC1" w:rsidRDefault="00E41BEF" w:rsidP="009D241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280CC1">
              <w:rPr>
                <w:noProof/>
                <w:lang w:bidi="km-KH"/>
              </w:rPr>
              <w:drawing>
                <wp:inline distT="0" distB="0" distL="0" distR="0" wp14:anchorId="407B6CB0" wp14:editId="16F3C113">
                  <wp:extent cx="609600" cy="609600"/>
                  <wp:effectExtent l="0" t="0" r="0" b="0"/>
                  <wp:docPr id="8" name="Picture 8" title="8: decent work and economic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898" w:type="dxa"/>
          </w:tcPr>
          <w:p w14:paraId="6FBB2F02" w14:textId="77777777" w:rsidR="001C216B" w:rsidRPr="00280CC1" w:rsidRDefault="00E41BEF" w:rsidP="009D241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280CC1">
              <w:rPr>
                <w:noProof/>
                <w:lang w:bidi="km-KH"/>
              </w:rPr>
              <w:drawing>
                <wp:inline distT="0" distB="0" distL="0" distR="0" wp14:anchorId="1CE357B8" wp14:editId="5789A9CC">
                  <wp:extent cx="612000" cy="612000"/>
                  <wp:effectExtent l="0" t="0" r="0" b="0"/>
                  <wp:docPr id="69" name="Picture 69" title="10: reduced inequa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98" w:type="dxa"/>
          </w:tcPr>
          <w:p w14:paraId="7B0749D2" w14:textId="77777777" w:rsidR="001C216B" w:rsidRPr="00280CC1" w:rsidRDefault="00E41BEF" w:rsidP="009D2415">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280CC1">
              <w:rPr>
                <w:noProof/>
                <w:lang w:bidi="km-KH"/>
              </w:rPr>
              <w:drawing>
                <wp:inline distT="0" distB="0" distL="0" distR="0" wp14:anchorId="65179315" wp14:editId="03DA380F">
                  <wp:extent cx="608400" cy="612000"/>
                  <wp:effectExtent l="0" t="0" r="1270" b="0"/>
                  <wp:docPr id="23" name="Picture 23" title="16: peace, justice and strong instit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r>
    </w:tbl>
    <w:p w14:paraId="05DF8F13" w14:textId="77777777" w:rsidR="00347B16" w:rsidRPr="00FE7377" w:rsidRDefault="00347B16" w:rsidP="00CE2164">
      <w:pPr>
        <w:suppressAutoHyphens w:val="0"/>
        <w:rPr>
          <w:color w:val="auto"/>
        </w:rPr>
      </w:pPr>
      <w:r w:rsidRPr="00FE7377">
        <w:rPr>
          <w:color w:val="auto"/>
        </w:rPr>
        <w:t>We support a range of investments which contribute to inclusive partic</w:t>
      </w:r>
      <w:r w:rsidR="00084CA8" w:rsidRPr="00FE7377">
        <w:rPr>
          <w:color w:val="auto"/>
        </w:rPr>
        <w:t>ipation and improved governance</w:t>
      </w:r>
      <w:r w:rsidR="00D727CD" w:rsidRPr="00FE7377">
        <w:rPr>
          <w:color w:val="auto"/>
        </w:rPr>
        <w:t xml:space="preserve">. </w:t>
      </w:r>
      <w:r w:rsidR="00084CA8" w:rsidRPr="00FE7377">
        <w:rPr>
          <w:color w:val="auto"/>
        </w:rPr>
        <w:t>These</w:t>
      </w:r>
      <w:r w:rsidRPr="00FE7377">
        <w:rPr>
          <w:color w:val="auto"/>
        </w:rPr>
        <w:t xml:space="preserve"> are complementary to our key objectives in infrastructure, agriculture, health and education. Strong networks </w:t>
      </w:r>
      <w:r w:rsidR="00084CA8" w:rsidRPr="00FE7377">
        <w:rPr>
          <w:color w:val="auto"/>
        </w:rPr>
        <w:t>built and maintained through these investments</w:t>
      </w:r>
      <w:r w:rsidRPr="00FE7377">
        <w:rPr>
          <w:color w:val="auto"/>
        </w:rPr>
        <w:t xml:space="preserve"> contributed to successful implementation of broader </w:t>
      </w:r>
      <w:r w:rsidR="00084CA8" w:rsidRPr="00FE7377">
        <w:rPr>
          <w:color w:val="auto"/>
        </w:rPr>
        <w:t>Australian</w:t>
      </w:r>
      <w:r w:rsidRPr="00FE7377">
        <w:rPr>
          <w:color w:val="auto"/>
        </w:rPr>
        <w:t xml:space="preserve"> objectives</w:t>
      </w:r>
      <w:r w:rsidR="00084CA8" w:rsidRPr="00FE7377">
        <w:rPr>
          <w:color w:val="auto"/>
        </w:rPr>
        <w:t xml:space="preserve"> in Cambodia, </w:t>
      </w:r>
      <w:r w:rsidRPr="00FE7377">
        <w:rPr>
          <w:color w:val="auto"/>
        </w:rPr>
        <w:t xml:space="preserve">such as consular </w:t>
      </w:r>
      <w:r w:rsidR="00084CA8" w:rsidRPr="00FE7377">
        <w:rPr>
          <w:color w:val="auto"/>
        </w:rPr>
        <w:t>services</w:t>
      </w:r>
      <w:r w:rsidRPr="00FE7377">
        <w:rPr>
          <w:color w:val="auto"/>
        </w:rPr>
        <w:t xml:space="preserve"> and Australian Federal Police </w:t>
      </w:r>
      <w:r w:rsidR="00084CA8" w:rsidRPr="00FE7377">
        <w:rPr>
          <w:color w:val="auto"/>
        </w:rPr>
        <w:t>cooperation</w:t>
      </w:r>
      <w:r w:rsidRPr="00FE7377">
        <w:rPr>
          <w:color w:val="auto"/>
        </w:rPr>
        <w:t xml:space="preserve"> with Cambodian counterparts</w:t>
      </w:r>
      <w:r w:rsidR="00467C0D" w:rsidRPr="00FE7377">
        <w:rPr>
          <w:color w:val="auto"/>
        </w:rPr>
        <w:t xml:space="preserve">. </w:t>
      </w:r>
    </w:p>
    <w:p w14:paraId="6C807F4D" w14:textId="77777777" w:rsidR="006C5F18" w:rsidRPr="00FE7377" w:rsidRDefault="006C5F18" w:rsidP="00CE2164">
      <w:pPr>
        <w:suppressAutoHyphens w:val="0"/>
        <w:rPr>
          <w:b/>
          <w:color w:val="auto"/>
        </w:rPr>
      </w:pPr>
      <w:r w:rsidRPr="00FE7377">
        <w:rPr>
          <w:b/>
          <w:color w:val="auto"/>
        </w:rPr>
        <w:t xml:space="preserve">Inclusive </w:t>
      </w:r>
      <w:r w:rsidR="00BC128F" w:rsidRPr="00FE7377">
        <w:rPr>
          <w:b/>
          <w:color w:val="auto"/>
        </w:rPr>
        <w:t>p</w:t>
      </w:r>
      <w:r w:rsidRPr="00FE7377">
        <w:rPr>
          <w:b/>
          <w:color w:val="auto"/>
        </w:rPr>
        <w:t>articipation</w:t>
      </w:r>
    </w:p>
    <w:p w14:paraId="18A09E0B" w14:textId="3F516D9A" w:rsidR="00956638" w:rsidRPr="00FE7377" w:rsidRDefault="00956638" w:rsidP="00956638">
      <w:pPr>
        <w:suppressAutoHyphens w:val="0"/>
        <w:rPr>
          <w:color w:val="auto"/>
        </w:rPr>
      </w:pPr>
      <w:r w:rsidRPr="00FE7377">
        <w:rPr>
          <w:color w:val="auto"/>
        </w:rPr>
        <w:t>Australia is a princip</w:t>
      </w:r>
      <w:r w:rsidR="00BC128F" w:rsidRPr="00FE7377">
        <w:rPr>
          <w:color w:val="auto"/>
        </w:rPr>
        <w:t>le</w:t>
      </w:r>
      <w:r w:rsidRPr="00FE7377">
        <w:rPr>
          <w:color w:val="auto"/>
        </w:rPr>
        <w:t xml:space="preserve"> donor to the disability sector in Cambodia, with our support for disability-specific programs beginning in 1995. </w:t>
      </w:r>
      <w:r w:rsidR="00BC128F" w:rsidRPr="00FE7377">
        <w:rPr>
          <w:color w:val="auto"/>
        </w:rPr>
        <w:t xml:space="preserve">Based on global data, </w:t>
      </w:r>
      <w:r w:rsidR="001B227C" w:rsidRPr="00FE7377">
        <w:rPr>
          <w:color w:val="auto"/>
        </w:rPr>
        <w:t>an</w:t>
      </w:r>
      <w:r w:rsidR="003A0BB7" w:rsidRPr="00FE7377">
        <w:rPr>
          <w:color w:val="auto"/>
        </w:rPr>
        <w:t xml:space="preserve"> estimated 2.25 million people live</w:t>
      </w:r>
      <w:r w:rsidR="00BC128F" w:rsidRPr="00FE7377">
        <w:rPr>
          <w:color w:val="auto"/>
        </w:rPr>
        <w:t xml:space="preserve"> with a disability</w:t>
      </w:r>
      <w:r w:rsidR="001B227C" w:rsidRPr="00FE7377">
        <w:rPr>
          <w:color w:val="auto"/>
        </w:rPr>
        <w:t xml:space="preserve"> in Cambodia</w:t>
      </w:r>
      <w:r w:rsidR="00BC128F" w:rsidRPr="00FE7377">
        <w:rPr>
          <w:color w:val="auto"/>
        </w:rPr>
        <w:t xml:space="preserve">. </w:t>
      </w:r>
      <w:r w:rsidRPr="00FE7377">
        <w:rPr>
          <w:color w:val="auto"/>
        </w:rPr>
        <w:t xml:space="preserve">The </w:t>
      </w:r>
      <w:r w:rsidRPr="00FE7377">
        <w:rPr>
          <w:b/>
          <w:color w:val="auto"/>
        </w:rPr>
        <w:t>Disability Rights Initiative Cambodia</w:t>
      </w:r>
      <w:r w:rsidR="00BC128F" w:rsidRPr="00FE7377">
        <w:rPr>
          <w:b/>
          <w:color w:val="auto"/>
        </w:rPr>
        <w:t xml:space="preserve"> Program</w:t>
      </w:r>
      <w:r w:rsidRPr="00FE7377">
        <w:rPr>
          <w:color w:val="auto"/>
        </w:rPr>
        <w:t xml:space="preserve"> (DRIC, $10.4 million, 2014</w:t>
      </w:r>
      <w:r w:rsidR="001B227C" w:rsidRPr="00FE7377">
        <w:rPr>
          <w:color w:val="auto"/>
        </w:rPr>
        <w:t xml:space="preserve"> – </w:t>
      </w:r>
      <w:r w:rsidRPr="00FE7377">
        <w:rPr>
          <w:color w:val="auto"/>
        </w:rPr>
        <w:t xml:space="preserve">2017)—implemented by </w:t>
      </w:r>
      <w:r w:rsidR="001B227C" w:rsidRPr="00FE7377">
        <w:rPr>
          <w:color w:val="auto"/>
        </w:rPr>
        <w:t>UNDP</w:t>
      </w:r>
      <w:r w:rsidRPr="00FE7377">
        <w:rPr>
          <w:color w:val="auto"/>
        </w:rPr>
        <w:t xml:space="preserve">, World Health Organization, United National Children’s Fund and NGOs—is the only disability-specific initiative funded by </w:t>
      </w:r>
      <w:r w:rsidR="00F71549" w:rsidRPr="00FE7377">
        <w:rPr>
          <w:color w:val="auto"/>
        </w:rPr>
        <w:t>DFAT</w:t>
      </w:r>
      <w:r w:rsidRPr="00FE7377">
        <w:rPr>
          <w:color w:val="auto"/>
        </w:rPr>
        <w:t xml:space="preserve"> in South-East Asia. </w:t>
      </w:r>
    </w:p>
    <w:p w14:paraId="64DBC337" w14:textId="73EAEAC9" w:rsidR="00956638" w:rsidRPr="00FE7377" w:rsidRDefault="00690F45" w:rsidP="00956638">
      <w:pPr>
        <w:suppressAutoHyphens w:val="0"/>
        <w:rPr>
          <w:color w:val="auto"/>
        </w:rPr>
      </w:pPr>
      <w:r w:rsidRPr="00FE7377">
        <w:rPr>
          <w:color w:val="auto"/>
        </w:rPr>
        <w:t>This year</w:t>
      </w:r>
      <w:r w:rsidR="00BC128F" w:rsidRPr="00FE7377">
        <w:rPr>
          <w:color w:val="auto"/>
        </w:rPr>
        <w:t xml:space="preserve"> </w:t>
      </w:r>
      <w:r w:rsidR="00956638" w:rsidRPr="00FE7377">
        <w:rPr>
          <w:color w:val="auto"/>
        </w:rPr>
        <w:t xml:space="preserve">DRIC ensured greater representation of disability groups in </w:t>
      </w:r>
      <w:r w:rsidR="00BC128F" w:rsidRPr="00FE7377">
        <w:rPr>
          <w:color w:val="auto"/>
        </w:rPr>
        <w:t xml:space="preserve">Cambodian </w:t>
      </w:r>
      <w:r w:rsidR="00956638" w:rsidRPr="00FE7377">
        <w:rPr>
          <w:color w:val="auto"/>
        </w:rPr>
        <w:t xml:space="preserve">Government policy development. For example, </w:t>
      </w:r>
      <w:r w:rsidR="00232371" w:rsidRPr="00FE7377">
        <w:rPr>
          <w:color w:val="auto"/>
        </w:rPr>
        <w:t xml:space="preserve">we </w:t>
      </w:r>
      <w:r w:rsidR="00956638" w:rsidRPr="00FE7377">
        <w:rPr>
          <w:color w:val="auto"/>
        </w:rPr>
        <w:t>worked with the National Election Committee to ensure reasonable a</w:t>
      </w:r>
      <w:r w:rsidR="00232371" w:rsidRPr="00FE7377">
        <w:rPr>
          <w:color w:val="auto"/>
        </w:rPr>
        <w:t>djustments for people with disabilities</w:t>
      </w:r>
      <w:r w:rsidR="00956638" w:rsidRPr="00FE7377">
        <w:rPr>
          <w:color w:val="auto"/>
        </w:rPr>
        <w:t xml:space="preserve"> </w:t>
      </w:r>
      <w:r w:rsidR="001B227C" w:rsidRPr="00FE7377">
        <w:rPr>
          <w:color w:val="auto"/>
        </w:rPr>
        <w:t>w</w:t>
      </w:r>
      <w:r w:rsidR="00232371" w:rsidRPr="00FE7377">
        <w:rPr>
          <w:color w:val="auto"/>
        </w:rPr>
        <w:t>ere</w:t>
      </w:r>
      <w:r w:rsidR="001B227C" w:rsidRPr="00FE7377">
        <w:rPr>
          <w:color w:val="auto"/>
        </w:rPr>
        <w:t xml:space="preserve"> </w:t>
      </w:r>
      <w:r w:rsidR="00956638" w:rsidRPr="00FE7377">
        <w:rPr>
          <w:color w:val="auto"/>
        </w:rPr>
        <w:t xml:space="preserve">made so they could exercise their political rights </w:t>
      </w:r>
      <w:r w:rsidR="007C258B" w:rsidRPr="00FE7377">
        <w:rPr>
          <w:color w:val="auto"/>
        </w:rPr>
        <w:t>at the 2017 commune elections</w:t>
      </w:r>
      <w:r w:rsidR="00956638" w:rsidRPr="00FE7377">
        <w:rPr>
          <w:color w:val="auto"/>
        </w:rPr>
        <w:t xml:space="preserve">. As a result, 12,652 people with a disability registered to vote in the 2017 elections, with Embassy staff witnessing some voting during </w:t>
      </w:r>
      <w:r w:rsidR="0063119A" w:rsidRPr="00FE7377">
        <w:rPr>
          <w:color w:val="auto"/>
        </w:rPr>
        <w:t xml:space="preserve">election </w:t>
      </w:r>
      <w:r w:rsidR="00956638" w:rsidRPr="00FE7377">
        <w:rPr>
          <w:color w:val="auto"/>
        </w:rPr>
        <w:t xml:space="preserve">monitoring. </w:t>
      </w:r>
    </w:p>
    <w:p w14:paraId="5DDD1029" w14:textId="77777777" w:rsidR="00956638" w:rsidRPr="00FE7377" w:rsidRDefault="00956638" w:rsidP="00956638">
      <w:pPr>
        <w:suppressAutoHyphens w:val="0"/>
        <w:rPr>
          <w:color w:val="auto"/>
        </w:rPr>
      </w:pPr>
      <w:r w:rsidRPr="00FE7377">
        <w:rPr>
          <w:color w:val="auto"/>
        </w:rPr>
        <w:t>This year DRIC also contributed to the provision of physical rehabilitation services to 26,447 Cambodians</w:t>
      </w:r>
      <w:r w:rsidR="007923D0" w:rsidRPr="00FE7377">
        <w:rPr>
          <w:color w:val="auto"/>
        </w:rPr>
        <w:t xml:space="preserve">, </w:t>
      </w:r>
      <w:r w:rsidR="001B227C" w:rsidRPr="00FE7377">
        <w:rPr>
          <w:color w:val="auto"/>
        </w:rPr>
        <w:t>(</w:t>
      </w:r>
      <w:r w:rsidR="007923D0" w:rsidRPr="00FE7377">
        <w:rPr>
          <w:color w:val="auto"/>
        </w:rPr>
        <w:t>6</w:t>
      </w:r>
      <w:r w:rsidR="00BC128F" w:rsidRPr="00FE7377">
        <w:rPr>
          <w:color w:val="auto"/>
        </w:rPr>
        <w:t>,</w:t>
      </w:r>
      <w:r w:rsidR="007923D0" w:rsidRPr="00FE7377">
        <w:rPr>
          <w:color w:val="auto"/>
        </w:rPr>
        <w:t>590 of who were women</w:t>
      </w:r>
      <w:r w:rsidR="001B227C" w:rsidRPr="00FE7377">
        <w:rPr>
          <w:color w:val="auto"/>
        </w:rPr>
        <w:t>)</w:t>
      </w:r>
      <w:r w:rsidR="00BC128F" w:rsidRPr="00FE7377">
        <w:rPr>
          <w:color w:val="auto"/>
        </w:rPr>
        <w:t xml:space="preserve"> </w:t>
      </w:r>
      <w:r w:rsidR="001B227C" w:rsidRPr="00FE7377">
        <w:rPr>
          <w:color w:val="auto"/>
        </w:rPr>
        <w:t xml:space="preserve">and </w:t>
      </w:r>
      <w:r w:rsidR="003A0BB7" w:rsidRPr="00FE7377">
        <w:rPr>
          <w:color w:val="auto"/>
        </w:rPr>
        <w:t>produced or repaired</w:t>
      </w:r>
      <w:r w:rsidRPr="00FE7377">
        <w:rPr>
          <w:color w:val="auto"/>
        </w:rPr>
        <w:t xml:space="preserve"> 21,808 assistive devices</w:t>
      </w:r>
      <w:r w:rsidR="003A0BB7" w:rsidRPr="00FE7377">
        <w:rPr>
          <w:color w:val="auto"/>
        </w:rPr>
        <w:t>.</w:t>
      </w:r>
      <w:r w:rsidRPr="00FE7377">
        <w:rPr>
          <w:color w:val="auto"/>
        </w:rPr>
        <w:t xml:space="preserve"> DRIC</w:t>
      </w:r>
      <w:r w:rsidR="003A0BB7" w:rsidRPr="00FE7377">
        <w:rPr>
          <w:color w:val="auto"/>
        </w:rPr>
        <w:t>’s</w:t>
      </w:r>
      <w:r w:rsidRPr="00FE7377">
        <w:rPr>
          <w:color w:val="auto"/>
        </w:rPr>
        <w:t xml:space="preserve"> </w:t>
      </w:r>
      <w:r w:rsidR="003A0BB7" w:rsidRPr="00FE7377">
        <w:rPr>
          <w:color w:val="auto"/>
        </w:rPr>
        <w:t xml:space="preserve">NGO </w:t>
      </w:r>
      <w:r w:rsidRPr="00FE7377">
        <w:rPr>
          <w:color w:val="auto"/>
        </w:rPr>
        <w:t xml:space="preserve">grant schemes </w:t>
      </w:r>
      <w:r w:rsidR="003A0BB7" w:rsidRPr="00FE7377">
        <w:rPr>
          <w:color w:val="auto"/>
        </w:rPr>
        <w:t>reached</w:t>
      </w:r>
      <w:r w:rsidRPr="00FE7377">
        <w:rPr>
          <w:color w:val="auto"/>
        </w:rPr>
        <w:t xml:space="preserve"> 6</w:t>
      </w:r>
      <w:r w:rsidR="003A0BB7" w:rsidRPr="00FE7377">
        <w:rPr>
          <w:color w:val="auto"/>
        </w:rPr>
        <w:t>7,227 beneficiaries</w:t>
      </w:r>
      <w:r w:rsidRPr="00FE7377">
        <w:rPr>
          <w:color w:val="auto"/>
        </w:rPr>
        <w:t>. The program continues to achieve well above the Performance Benchmark.</w:t>
      </w:r>
    </w:p>
    <w:p w14:paraId="04C1E66A" w14:textId="40805216" w:rsidR="00956638" w:rsidRPr="00FE7377" w:rsidRDefault="00084CA8" w:rsidP="00956638">
      <w:pPr>
        <w:suppressAutoHyphens w:val="0"/>
        <w:rPr>
          <w:color w:val="auto"/>
        </w:rPr>
      </w:pPr>
      <w:r w:rsidRPr="00FE7377">
        <w:rPr>
          <w:color w:val="auto"/>
        </w:rPr>
        <w:t xml:space="preserve">In Cambodia, at least one in five women between the ages of 15 and 64 have suffered physical or sexual intimate partner violence in their lifetime. </w:t>
      </w:r>
      <w:r w:rsidR="00956638" w:rsidRPr="00FE7377">
        <w:rPr>
          <w:color w:val="auto"/>
        </w:rPr>
        <w:t xml:space="preserve">The </w:t>
      </w:r>
      <w:r w:rsidR="00956638" w:rsidRPr="00FE7377">
        <w:rPr>
          <w:b/>
          <w:color w:val="auto"/>
        </w:rPr>
        <w:t xml:space="preserve">Cambodian Ending Violence </w:t>
      </w:r>
      <w:proofErr w:type="gramStart"/>
      <w:r w:rsidR="00956638" w:rsidRPr="00FE7377">
        <w:rPr>
          <w:b/>
          <w:color w:val="auto"/>
        </w:rPr>
        <w:t>Against</w:t>
      </w:r>
      <w:proofErr w:type="gramEnd"/>
      <w:r w:rsidR="00956638" w:rsidRPr="00FE7377">
        <w:rPr>
          <w:b/>
          <w:color w:val="auto"/>
        </w:rPr>
        <w:t xml:space="preserve"> Women Program</w:t>
      </w:r>
      <w:r w:rsidR="00EB48A7" w:rsidRPr="00FE7377">
        <w:rPr>
          <w:color w:val="auto"/>
        </w:rPr>
        <w:t xml:space="preserve"> </w:t>
      </w:r>
      <w:r w:rsidR="00F71549" w:rsidRPr="00FE7377">
        <w:rPr>
          <w:color w:val="auto"/>
        </w:rPr>
        <w:br/>
      </w:r>
      <w:r w:rsidR="00EB48A7" w:rsidRPr="00FE7377">
        <w:rPr>
          <w:color w:val="auto"/>
        </w:rPr>
        <w:t>(</w:t>
      </w:r>
      <w:r w:rsidR="00F71549" w:rsidRPr="00FE7377">
        <w:rPr>
          <w:color w:val="auto"/>
        </w:rPr>
        <w:t xml:space="preserve">EVAW, </w:t>
      </w:r>
      <w:r w:rsidR="00956638" w:rsidRPr="00FE7377">
        <w:rPr>
          <w:color w:val="auto"/>
        </w:rPr>
        <w:t>$13.4 million, 2012</w:t>
      </w:r>
      <w:r w:rsidR="001B227C" w:rsidRPr="00FE7377">
        <w:rPr>
          <w:color w:val="auto"/>
        </w:rPr>
        <w:t xml:space="preserve"> – </w:t>
      </w:r>
      <w:r w:rsidR="00956638" w:rsidRPr="00FE7377">
        <w:rPr>
          <w:color w:val="auto"/>
        </w:rPr>
        <w:t>2017) aims to change attitudes and prevent violence so that women and girls can be safe in their homes, workplaces and communities</w:t>
      </w:r>
      <w:r w:rsidR="005D30D1" w:rsidRPr="00FE7377">
        <w:rPr>
          <w:color w:val="auto"/>
        </w:rPr>
        <w:t xml:space="preserve">. </w:t>
      </w:r>
    </w:p>
    <w:p w14:paraId="1DB12B1B" w14:textId="77777777" w:rsidR="00956638" w:rsidRPr="00FE7377" w:rsidRDefault="00976623" w:rsidP="00956638">
      <w:pPr>
        <w:suppressAutoHyphens w:val="0"/>
        <w:rPr>
          <w:color w:val="auto"/>
        </w:rPr>
      </w:pPr>
      <w:r w:rsidRPr="00FE7377">
        <w:rPr>
          <w:color w:val="auto"/>
        </w:rPr>
        <w:lastRenderedPageBreak/>
        <w:t xml:space="preserve">This year </w:t>
      </w:r>
      <w:r w:rsidR="00956638" w:rsidRPr="00FE7377">
        <w:rPr>
          <w:color w:val="auto"/>
        </w:rPr>
        <w:t>Australia’s funding provided shelter, counselling, legal aid and peer support services to 7,469 women and their families</w:t>
      </w:r>
      <w:r w:rsidR="00B35FE3" w:rsidRPr="00FE7377">
        <w:rPr>
          <w:color w:val="auto"/>
        </w:rPr>
        <w:t xml:space="preserve">. </w:t>
      </w:r>
      <w:r w:rsidR="00956638" w:rsidRPr="00FE7377">
        <w:rPr>
          <w:color w:val="auto"/>
        </w:rPr>
        <w:t xml:space="preserve">In its final year of implementation, the EVAW Program has focused on developing policy and practice guidelines to support service providers in delivering quality services to people affected by violence. </w:t>
      </w:r>
      <w:r w:rsidR="00E3037D" w:rsidRPr="00FE7377">
        <w:rPr>
          <w:color w:val="auto"/>
        </w:rPr>
        <w:t xml:space="preserve">February 2017 saw the launch of </w:t>
      </w:r>
      <w:r w:rsidR="009D067A" w:rsidRPr="00FE7377">
        <w:rPr>
          <w:color w:val="auto"/>
        </w:rPr>
        <w:t xml:space="preserve">the </w:t>
      </w:r>
      <w:r w:rsidR="00956638" w:rsidRPr="00FE7377">
        <w:rPr>
          <w:color w:val="auto"/>
        </w:rPr>
        <w:t>Referral Guidelines for Women and Girl Survivors</w:t>
      </w:r>
      <w:r w:rsidR="00C90FF7" w:rsidRPr="00FE7377">
        <w:rPr>
          <w:color w:val="auto"/>
        </w:rPr>
        <w:t xml:space="preserve"> of Gender-Based Violence (GBV)</w:t>
      </w:r>
      <w:r w:rsidR="00E3037D" w:rsidRPr="00FE7377">
        <w:rPr>
          <w:color w:val="auto"/>
        </w:rPr>
        <w:t xml:space="preserve">; </w:t>
      </w:r>
      <w:r w:rsidR="00C90FF7" w:rsidRPr="00FE7377">
        <w:rPr>
          <w:color w:val="auto"/>
        </w:rPr>
        <w:t>and</w:t>
      </w:r>
      <w:r w:rsidR="00E3037D" w:rsidRPr="00FE7377">
        <w:rPr>
          <w:color w:val="auto"/>
        </w:rPr>
        <w:t xml:space="preserve">, the </w:t>
      </w:r>
      <w:r w:rsidR="00956638" w:rsidRPr="00FE7377">
        <w:rPr>
          <w:color w:val="auto"/>
        </w:rPr>
        <w:t>Minimum Service Standard for Basic Counselling of Women Survivors of GB</w:t>
      </w:r>
      <w:r w:rsidR="00E3037D" w:rsidRPr="00FE7377">
        <w:rPr>
          <w:color w:val="auto"/>
        </w:rPr>
        <w:t>V</w:t>
      </w:r>
      <w:r w:rsidR="00956638" w:rsidRPr="00FE7377">
        <w:rPr>
          <w:color w:val="auto"/>
        </w:rPr>
        <w:t>. EVAW</w:t>
      </w:r>
      <w:r w:rsidR="009D067A" w:rsidRPr="00FE7377">
        <w:rPr>
          <w:color w:val="auto"/>
        </w:rPr>
        <w:t xml:space="preserve"> program</w:t>
      </w:r>
      <w:r w:rsidR="00956638" w:rsidRPr="00FE7377">
        <w:rPr>
          <w:color w:val="auto"/>
        </w:rPr>
        <w:t xml:space="preserve"> partners </w:t>
      </w:r>
      <w:r w:rsidR="009D067A" w:rsidRPr="00FE7377">
        <w:rPr>
          <w:color w:val="auto"/>
        </w:rPr>
        <w:t>have also trialled the</w:t>
      </w:r>
      <w:r w:rsidR="00956638" w:rsidRPr="00FE7377">
        <w:rPr>
          <w:color w:val="auto"/>
        </w:rPr>
        <w:t xml:space="preserve"> implementation of </w:t>
      </w:r>
      <w:r w:rsidR="009D067A" w:rsidRPr="00FE7377">
        <w:rPr>
          <w:color w:val="auto"/>
        </w:rPr>
        <w:t xml:space="preserve">a </w:t>
      </w:r>
      <w:r w:rsidR="00956638" w:rsidRPr="00FE7377">
        <w:rPr>
          <w:color w:val="auto"/>
        </w:rPr>
        <w:t>Clinical Handbook on Health Care for Women Subjected to Intimate Partner and Sexual Violence. The clinical handbook is for health care providers in health centres and referral hospitals to increase their understanding of violence against women and to provide first</w:t>
      </w:r>
      <w:r w:rsidRPr="00FE7377">
        <w:rPr>
          <w:color w:val="auto"/>
        </w:rPr>
        <w:t>-</w:t>
      </w:r>
      <w:r w:rsidR="00956638" w:rsidRPr="00FE7377">
        <w:rPr>
          <w:color w:val="auto"/>
        </w:rPr>
        <w:t xml:space="preserve">line support and clinical management for victims. </w:t>
      </w:r>
    </w:p>
    <w:p w14:paraId="30CF5FEF" w14:textId="77777777" w:rsidR="006C5F18" w:rsidRPr="00FE7377" w:rsidRDefault="006C5F18" w:rsidP="00CE2164">
      <w:pPr>
        <w:suppressAutoHyphens w:val="0"/>
        <w:rPr>
          <w:b/>
          <w:color w:val="auto"/>
        </w:rPr>
      </w:pPr>
      <w:r w:rsidRPr="00FE7377">
        <w:rPr>
          <w:b/>
          <w:color w:val="auto"/>
        </w:rPr>
        <w:t xml:space="preserve">Improved </w:t>
      </w:r>
      <w:r w:rsidR="00BC128F" w:rsidRPr="00FE7377">
        <w:rPr>
          <w:b/>
          <w:color w:val="auto"/>
        </w:rPr>
        <w:t>g</w:t>
      </w:r>
      <w:r w:rsidRPr="00FE7377">
        <w:rPr>
          <w:b/>
          <w:color w:val="auto"/>
        </w:rPr>
        <w:t>overnance</w:t>
      </w:r>
    </w:p>
    <w:p w14:paraId="1EA02559" w14:textId="669232F2" w:rsidR="00347B16" w:rsidRPr="00FE7377" w:rsidRDefault="00347B16" w:rsidP="005B6434">
      <w:pPr>
        <w:suppressAutoHyphens w:val="0"/>
        <w:rPr>
          <w:color w:val="auto"/>
        </w:rPr>
      </w:pPr>
      <w:r w:rsidRPr="00FE7377">
        <w:rPr>
          <w:color w:val="auto"/>
        </w:rPr>
        <w:t>In 2016-17</w:t>
      </w:r>
      <w:r w:rsidR="00976623" w:rsidRPr="00FE7377">
        <w:rPr>
          <w:color w:val="auto"/>
        </w:rPr>
        <w:t xml:space="preserve">, </w:t>
      </w:r>
      <w:r w:rsidRPr="00FE7377">
        <w:rPr>
          <w:color w:val="auto"/>
        </w:rPr>
        <w:t xml:space="preserve">we began our </w:t>
      </w:r>
      <w:r w:rsidRPr="00FE7377">
        <w:rPr>
          <w:b/>
          <w:color w:val="auto"/>
        </w:rPr>
        <w:t>Community Policing Initiative</w:t>
      </w:r>
      <w:r w:rsidR="007570E6" w:rsidRPr="00FE7377">
        <w:rPr>
          <w:color w:val="auto"/>
        </w:rPr>
        <w:t xml:space="preserve"> (CPI, $4.4</w:t>
      </w:r>
      <w:r w:rsidRPr="00FE7377">
        <w:rPr>
          <w:color w:val="auto"/>
        </w:rPr>
        <w:t xml:space="preserve"> million, 2016</w:t>
      </w:r>
      <w:r w:rsidR="001B227C" w:rsidRPr="00FE7377">
        <w:rPr>
          <w:color w:val="auto"/>
        </w:rPr>
        <w:t xml:space="preserve"> – </w:t>
      </w:r>
      <w:r w:rsidRPr="00FE7377">
        <w:rPr>
          <w:color w:val="auto"/>
        </w:rPr>
        <w:t>2019). CPI works in partnership with the Cambodia National Police (CNP) to establish communit</w:t>
      </w:r>
      <w:r w:rsidR="00C90FF7" w:rsidRPr="00FE7377">
        <w:rPr>
          <w:color w:val="auto"/>
        </w:rPr>
        <w:t>y-</w:t>
      </w:r>
      <w:r w:rsidRPr="00FE7377">
        <w:rPr>
          <w:color w:val="auto"/>
        </w:rPr>
        <w:t xml:space="preserve">policing approaches. </w:t>
      </w:r>
      <w:r w:rsidR="00976623" w:rsidRPr="00FE7377">
        <w:rPr>
          <w:color w:val="auto"/>
        </w:rPr>
        <w:t xml:space="preserve">The initiative aims </w:t>
      </w:r>
      <w:r w:rsidR="005245DB" w:rsidRPr="00FE7377">
        <w:rPr>
          <w:color w:val="auto"/>
        </w:rPr>
        <w:t xml:space="preserve">to </w:t>
      </w:r>
      <w:r w:rsidRPr="00FE7377">
        <w:rPr>
          <w:color w:val="auto"/>
        </w:rPr>
        <w:t>strengthen responsiveness under the Cambodia Village and Commune Safety Policy and improve police re</w:t>
      </w:r>
      <w:r w:rsidR="005245DB" w:rsidRPr="00FE7377">
        <w:rPr>
          <w:color w:val="auto"/>
        </w:rPr>
        <w:t>sponses to GBV</w:t>
      </w:r>
      <w:r w:rsidRPr="00FE7377">
        <w:rPr>
          <w:color w:val="auto"/>
        </w:rPr>
        <w:t xml:space="preserve">. CPI is leveraging the CNP’s genuine interest in reforming the </w:t>
      </w:r>
      <w:r w:rsidR="00C90FF7" w:rsidRPr="00FE7377">
        <w:rPr>
          <w:color w:val="auto"/>
        </w:rPr>
        <w:t>delivery of</w:t>
      </w:r>
      <w:r w:rsidRPr="00FE7377">
        <w:rPr>
          <w:color w:val="auto"/>
        </w:rPr>
        <w:t xml:space="preserve"> police servic</w:t>
      </w:r>
      <w:r w:rsidR="00C90FF7" w:rsidRPr="00FE7377">
        <w:rPr>
          <w:color w:val="auto"/>
        </w:rPr>
        <w:t xml:space="preserve">es </w:t>
      </w:r>
      <w:r w:rsidRPr="00FE7377">
        <w:rPr>
          <w:color w:val="auto"/>
        </w:rPr>
        <w:t xml:space="preserve">at the commune level in Cambodia, resulting in a truly partner-driven initiative. </w:t>
      </w:r>
      <w:r w:rsidR="00CD7310" w:rsidRPr="00FE7377">
        <w:rPr>
          <w:color w:val="auto"/>
        </w:rPr>
        <w:t>In 2016-17, CPI undertook a major survey</w:t>
      </w:r>
      <w:r w:rsidR="005B6434" w:rsidRPr="00FE7377">
        <w:rPr>
          <w:color w:val="auto"/>
        </w:rPr>
        <w:t xml:space="preserve"> to identify crime and safety issues in all 1</w:t>
      </w:r>
      <w:r w:rsidR="00E3037D" w:rsidRPr="00FE7377">
        <w:rPr>
          <w:color w:val="auto"/>
        </w:rPr>
        <w:t>,</w:t>
      </w:r>
      <w:r w:rsidR="005B6434" w:rsidRPr="00FE7377">
        <w:rPr>
          <w:color w:val="auto"/>
        </w:rPr>
        <w:t xml:space="preserve">633 </w:t>
      </w:r>
      <w:r w:rsidR="00F71549" w:rsidRPr="00FE7377">
        <w:rPr>
          <w:color w:val="auto"/>
        </w:rPr>
        <w:t>communes</w:t>
      </w:r>
      <w:r w:rsidR="005B6434" w:rsidRPr="00FE7377">
        <w:rPr>
          <w:color w:val="auto"/>
        </w:rPr>
        <w:t xml:space="preserve"> across Cambodia. </w:t>
      </w:r>
      <w:r w:rsidR="00CD7310" w:rsidRPr="00FE7377">
        <w:rPr>
          <w:color w:val="auto"/>
        </w:rPr>
        <w:t xml:space="preserve">Based on the results of this survey, CPI has helped CNP to develop three community policing </w:t>
      </w:r>
      <w:r w:rsidR="00EB48A7" w:rsidRPr="00FE7377">
        <w:rPr>
          <w:color w:val="auto"/>
        </w:rPr>
        <w:t xml:space="preserve">guideline kits </w:t>
      </w:r>
      <w:r w:rsidR="00CD7310" w:rsidRPr="00FE7377">
        <w:rPr>
          <w:color w:val="auto"/>
        </w:rPr>
        <w:t>addressing GBV, drug</w:t>
      </w:r>
      <w:r w:rsidR="005245DB" w:rsidRPr="00FE7377">
        <w:rPr>
          <w:color w:val="auto"/>
        </w:rPr>
        <w:t>s</w:t>
      </w:r>
      <w:r w:rsidR="00CD7310" w:rsidRPr="00FE7377">
        <w:rPr>
          <w:color w:val="auto"/>
        </w:rPr>
        <w:t xml:space="preserve"> and theft. The CPI</w:t>
      </w:r>
      <w:r w:rsidR="005B6434" w:rsidRPr="00FE7377">
        <w:rPr>
          <w:color w:val="auto"/>
        </w:rPr>
        <w:t xml:space="preserve"> initiative complements the EVAW Program and supports the relationship between the CNP and Australian Federal Police.</w:t>
      </w:r>
    </w:p>
    <w:p w14:paraId="00C592CA" w14:textId="2F92A9D8" w:rsidR="00347B16" w:rsidRPr="00FE7377" w:rsidRDefault="00347B16" w:rsidP="009D067A">
      <w:pPr>
        <w:suppressAutoHyphens w:val="0"/>
        <w:rPr>
          <w:color w:val="auto"/>
        </w:rPr>
      </w:pPr>
      <w:r w:rsidRPr="00FE7377">
        <w:rPr>
          <w:color w:val="auto"/>
        </w:rPr>
        <w:t xml:space="preserve">Australia continues to be one of the key financial supporters to the </w:t>
      </w:r>
      <w:r w:rsidRPr="00FE7377">
        <w:rPr>
          <w:b/>
          <w:color w:val="auto"/>
        </w:rPr>
        <w:t>Extraordinary Chambers in the Courts of Cambodia</w:t>
      </w:r>
      <w:r w:rsidRPr="00FE7377">
        <w:rPr>
          <w:color w:val="auto"/>
        </w:rPr>
        <w:t xml:space="preserve"> (ECCC)</w:t>
      </w:r>
      <w:r w:rsidR="00976623" w:rsidRPr="00FE7377">
        <w:rPr>
          <w:color w:val="auto"/>
        </w:rPr>
        <w:t>, also known as the Khmer Rouge Tribunal</w:t>
      </w:r>
      <w:r w:rsidRPr="00FE7377">
        <w:rPr>
          <w:color w:val="auto"/>
        </w:rPr>
        <w:t>. In Novembe</w:t>
      </w:r>
      <w:r w:rsidR="00E3037D" w:rsidRPr="00FE7377">
        <w:rPr>
          <w:color w:val="auto"/>
        </w:rPr>
        <w:t xml:space="preserve">r 2016, </w:t>
      </w:r>
      <w:r w:rsidRPr="00FE7377">
        <w:rPr>
          <w:color w:val="auto"/>
        </w:rPr>
        <w:t xml:space="preserve">a final judgement upheld life sentences for crimes against humanity for two of the most senior surviving members of the Khmer Rouge regime. Over 200,000 Cambodians have attended the trials since the ECCC’s inception. This exceeds the number of spectators of the other major international war crimes tribunals in the last 20 years combined. Up to 530,000 people have watched the </w:t>
      </w:r>
      <w:r w:rsidR="00976623" w:rsidRPr="00FE7377">
        <w:rPr>
          <w:color w:val="auto"/>
        </w:rPr>
        <w:t xml:space="preserve">courts’ </w:t>
      </w:r>
      <w:r w:rsidRPr="00FE7377">
        <w:rPr>
          <w:color w:val="auto"/>
        </w:rPr>
        <w:t>proceeding</w:t>
      </w:r>
      <w:r w:rsidR="00976623" w:rsidRPr="00FE7377">
        <w:rPr>
          <w:color w:val="auto"/>
        </w:rPr>
        <w:t>s</w:t>
      </w:r>
      <w:r w:rsidRPr="00FE7377">
        <w:rPr>
          <w:color w:val="auto"/>
        </w:rPr>
        <w:t xml:space="preserve"> through television and radio coverage. </w:t>
      </w:r>
      <w:r w:rsidR="009D067A" w:rsidRPr="00FE7377">
        <w:rPr>
          <w:color w:val="auto"/>
        </w:rPr>
        <w:t>Cambodians</w:t>
      </w:r>
      <w:r w:rsidRPr="00FE7377">
        <w:rPr>
          <w:color w:val="auto"/>
        </w:rPr>
        <w:t xml:space="preserve"> </w:t>
      </w:r>
      <w:r w:rsidR="009D067A" w:rsidRPr="00FE7377">
        <w:rPr>
          <w:color w:val="auto"/>
        </w:rPr>
        <w:t>gain a</w:t>
      </w:r>
      <w:r w:rsidR="00C90FF7" w:rsidRPr="00FE7377">
        <w:rPr>
          <w:color w:val="auto"/>
        </w:rPr>
        <w:t xml:space="preserve"> more balanced, complete understanding of their history</w:t>
      </w:r>
      <w:r w:rsidRPr="00FE7377">
        <w:rPr>
          <w:color w:val="auto"/>
        </w:rPr>
        <w:t xml:space="preserve"> through </w:t>
      </w:r>
      <w:r w:rsidR="00E3037D" w:rsidRPr="00FE7377">
        <w:rPr>
          <w:color w:val="auto"/>
        </w:rPr>
        <w:t xml:space="preserve">ECCC </w:t>
      </w:r>
      <w:r w:rsidRPr="00FE7377">
        <w:rPr>
          <w:color w:val="auto"/>
        </w:rPr>
        <w:t>outreach programs</w:t>
      </w:r>
      <w:r w:rsidR="009D067A" w:rsidRPr="00FE7377">
        <w:rPr>
          <w:color w:val="auto"/>
        </w:rPr>
        <w:t>.</w:t>
      </w:r>
    </w:p>
    <w:p w14:paraId="369CFF7D" w14:textId="01885F21" w:rsidR="00956638" w:rsidRPr="00FE7377" w:rsidRDefault="00956638" w:rsidP="00956638">
      <w:pPr>
        <w:suppressAutoHyphens w:val="0"/>
        <w:rPr>
          <w:color w:val="auto"/>
        </w:rPr>
      </w:pPr>
      <w:r w:rsidRPr="00FE7377">
        <w:rPr>
          <w:color w:val="auto"/>
        </w:rPr>
        <w:t xml:space="preserve">The </w:t>
      </w:r>
      <w:r w:rsidRPr="00FE7377">
        <w:rPr>
          <w:b/>
          <w:color w:val="auto"/>
        </w:rPr>
        <w:t>Cambodia Communications Assistance Project Phase 2</w:t>
      </w:r>
      <w:r w:rsidRPr="00FE7377">
        <w:rPr>
          <w:color w:val="auto"/>
        </w:rPr>
        <w:t xml:space="preserve"> (CCAP2, $3.5 million, 2015</w:t>
      </w:r>
      <w:r w:rsidR="009D067A" w:rsidRPr="00FE7377">
        <w:rPr>
          <w:color w:val="auto"/>
        </w:rPr>
        <w:t xml:space="preserve"> – </w:t>
      </w:r>
      <w:r w:rsidRPr="00FE7377">
        <w:rPr>
          <w:color w:val="auto"/>
        </w:rPr>
        <w:t>2018), delivered by the Australian Broadcasting Corporation, is the only program of its kind in Cambodi</w:t>
      </w:r>
      <w:r w:rsidR="00F71549" w:rsidRPr="00FE7377">
        <w:rPr>
          <w:color w:val="auto"/>
        </w:rPr>
        <w:t xml:space="preserve">a. Through local radio programs, </w:t>
      </w:r>
      <w:r w:rsidRPr="00FE7377">
        <w:rPr>
          <w:color w:val="auto"/>
        </w:rPr>
        <w:t xml:space="preserve">CCAP2 builds ‘bridges’ between citizens and local government and strengthens citizen participation at the sub-national level. </w:t>
      </w:r>
      <w:r w:rsidR="00E93204" w:rsidRPr="00FE7377">
        <w:rPr>
          <w:color w:val="auto"/>
        </w:rPr>
        <w:t xml:space="preserve">In 2016-17, </w:t>
      </w:r>
      <w:r w:rsidR="009D067A" w:rsidRPr="00FE7377">
        <w:rPr>
          <w:color w:val="auto"/>
        </w:rPr>
        <w:t xml:space="preserve">the </w:t>
      </w:r>
      <w:r w:rsidRPr="00FE7377">
        <w:rPr>
          <w:color w:val="auto"/>
        </w:rPr>
        <w:t>program helped deliver 1,068 talkback radio programs, an established platform for citizens to raise concerns and ask questions of their local government officials, as well as 283 programs to improve awareness and reporting of violence against women. New and improved Facebook pages</w:t>
      </w:r>
      <w:r w:rsidR="00976623" w:rsidRPr="00FE7377">
        <w:rPr>
          <w:color w:val="auto"/>
        </w:rPr>
        <w:t xml:space="preserve"> established by CCAP2</w:t>
      </w:r>
      <w:r w:rsidRPr="00FE7377">
        <w:rPr>
          <w:color w:val="auto"/>
        </w:rPr>
        <w:t xml:space="preserve"> have already generated over one million website views across the four target provinces</w:t>
      </w:r>
      <w:r w:rsidR="009D067A" w:rsidRPr="00FE7377">
        <w:rPr>
          <w:color w:val="auto"/>
        </w:rPr>
        <w:t xml:space="preserve">, taking advantage of the increasing role social media plays in this area. </w:t>
      </w:r>
    </w:p>
    <w:p w14:paraId="4002296A" w14:textId="334E3C56" w:rsidR="005E4487" w:rsidRPr="00FE7377" w:rsidRDefault="00994A27" w:rsidP="004360CA">
      <w:pPr>
        <w:spacing w:after="120"/>
        <w:ind w:right="-330"/>
        <w:rPr>
          <w:color w:val="auto"/>
        </w:rPr>
      </w:pPr>
      <w:r w:rsidRPr="00FE7377">
        <w:rPr>
          <w:color w:val="auto"/>
        </w:rPr>
        <w:t xml:space="preserve">The World Bank’s </w:t>
      </w:r>
      <w:r w:rsidRPr="00FE7377">
        <w:rPr>
          <w:b/>
          <w:color w:val="auto"/>
        </w:rPr>
        <w:t>Trust Fund f</w:t>
      </w:r>
      <w:r w:rsidR="00956638" w:rsidRPr="00FE7377">
        <w:rPr>
          <w:b/>
          <w:color w:val="auto"/>
        </w:rPr>
        <w:t>or Public Financial Management R</w:t>
      </w:r>
      <w:r w:rsidRPr="00FE7377">
        <w:rPr>
          <w:b/>
          <w:color w:val="auto"/>
        </w:rPr>
        <w:t>eform</w:t>
      </w:r>
      <w:r w:rsidRPr="00FE7377">
        <w:rPr>
          <w:color w:val="auto"/>
        </w:rPr>
        <w:t xml:space="preserve">, to which Australia has been a </w:t>
      </w:r>
      <w:r w:rsidR="00976623" w:rsidRPr="00FE7377">
        <w:rPr>
          <w:color w:val="auto"/>
        </w:rPr>
        <w:br/>
      </w:r>
      <w:r w:rsidRPr="00FE7377">
        <w:rPr>
          <w:color w:val="auto"/>
        </w:rPr>
        <w:t xml:space="preserve">long-standing </w:t>
      </w:r>
      <w:r w:rsidR="00976623" w:rsidRPr="00FE7377">
        <w:rPr>
          <w:color w:val="auto"/>
        </w:rPr>
        <w:t xml:space="preserve">supporter </w:t>
      </w:r>
      <w:r w:rsidR="00232371" w:rsidRPr="00FE7377">
        <w:rPr>
          <w:color w:val="auto"/>
        </w:rPr>
        <w:t>($3</w:t>
      </w:r>
      <w:r w:rsidR="007570E6" w:rsidRPr="00FE7377">
        <w:rPr>
          <w:color w:val="auto"/>
        </w:rPr>
        <w:t>.3</w:t>
      </w:r>
      <w:r w:rsidR="00232371" w:rsidRPr="00FE7377">
        <w:rPr>
          <w:color w:val="auto"/>
        </w:rPr>
        <w:t xml:space="preserve"> million, 2005 – </w:t>
      </w:r>
      <w:r w:rsidR="005E4487" w:rsidRPr="00FE7377">
        <w:rPr>
          <w:color w:val="auto"/>
        </w:rPr>
        <w:t>201</w:t>
      </w:r>
      <w:r w:rsidR="005245DB" w:rsidRPr="00FE7377">
        <w:rPr>
          <w:color w:val="auto"/>
        </w:rPr>
        <w:t>6</w:t>
      </w:r>
      <w:r w:rsidR="005E4487" w:rsidRPr="00FE7377">
        <w:rPr>
          <w:color w:val="auto"/>
        </w:rPr>
        <w:t>)</w:t>
      </w:r>
      <w:r w:rsidRPr="00FE7377">
        <w:rPr>
          <w:color w:val="auto"/>
        </w:rPr>
        <w:t>, will conclude i</w:t>
      </w:r>
      <w:r w:rsidR="005C29D3" w:rsidRPr="00FE7377">
        <w:rPr>
          <w:color w:val="auto"/>
        </w:rPr>
        <w:t>n late 2017. T</w:t>
      </w:r>
      <w:r w:rsidRPr="00FE7377">
        <w:rPr>
          <w:color w:val="auto"/>
        </w:rPr>
        <w:t xml:space="preserve">he Fund has supported important reforms including rollout of electronic systems essential for more robust and efficient management of public finances in Cambodia. </w:t>
      </w:r>
    </w:p>
    <w:p w14:paraId="2DFBA5FE" w14:textId="77777777" w:rsidR="00347B16" w:rsidRPr="00FE7377" w:rsidRDefault="00347B16" w:rsidP="004360CA">
      <w:pPr>
        <w:spacing w:after="120"/>
        <w:ind w:right="-330"/>
        <w:rPr>
          <w:b/>
          <w:color w:val="auto"/>
        </w:rPr>
      </w:pPr>
      <w:r w:rsidRPr="00FE7377">
        <w:rPr>
          <w:b/>
          <w:color w:val="auto"/>
        </w:rPr>
        <w:t>Volunteers</w:t>
      </w:r>
    </w:p>
    <w:p w14:paraId="2A1BDCFD" w14:textId="5617C54F" w:rsidR="008F61A4" w:rsidRPr="00FE7377" w:rsidRDefault="008F61A4" w:rsidP="008F61A4">
      <w:pPr>
        <w:rPr>
          <w:color w:val="auto"/>
        </w:rPr>
      </w:pPr>
      <w:r w:rsidRPr="00FE7377">
        <w:rPr>
          <w:color w:val="auto"/>
        </w:rPr>
        <w:t xml:space="preserve">The </w:t>
      </w:r>
      <w:r w:rsidRPr="00FE7377">
        <w:rPr>
          <w:b/>
          <w:color w:val="auto"/>
        </w:rPr>
        <w:t>Australian Volunteers for International Development</w:t>
      </w:r>
      <w:r w:rsidRPr="00FE7377">
        <w:rPr>
          <w:color w:val="auto"/>
        </w:rPr>
        <w:t xml:space="preserve"> program supports Australians to contribute to the Australian Government’s aid program in Cambodia. Australian volunteers work with local counterparts to build knowledge and share skill, as well as promote positive people-to-people links. </w:t>
      </w:r>
      <w:r w:rsidR="009D067A" w:rsidRPr="00FE7377">
        <w:rPr>
          <w:color w:val="auto"/>
        </w:rPr>
        <w:t>In 2016-17,</w:t>
      </w:r>
      <w:r w:rsidRPr="00FE7377">
        <w:rPr>
          <w:color w:val="auto"/>
        </w:rPr>
        <w:t xml:space="preserve"> Australia supported 78 </w:t>
      </w:r>
      <w:r w:rsidR="00D92BC5" w:rsidRPr="00FE7377">
        <w:rPr>
          <w:color w:val="auto"/>
        </w:rPr>
        <w:t>volunteers in Cambodia, of who</w:t>
      </w:r>
      <w:r w:rsidR="0063119A" w:rsidRPr="00FE7377">
        <w:rPr>
          <w:color w:val="auto"/>
        </w:rPr>
        <w:t>m</w:t>
      </w:r>
      <w:r w:rsidRPr="00FE7377">
        <w:rPr>
          <w:color w:val="auto"/>
        </w:rPr>
        <w:t xml:space="preserve"> 46 were women</w:t>
      </w:r>
      <w:r w:rsidR="00976623" w:rsidRPr="00FE7377">
        <w:rPr>
          <w:color w:val="auto"/>
        </w:rPr>
        <w:t>. T</w:t>
      </w:r>
      <w:r w:rsidRPr="00FE7377">
        <w:rPr>
          <w:color w:val="auto"/>
        </w:rPr>
        <w:t>his included 41 new volunteer assignments. Australian volunteers contributed to a range of sectors, including government and civil society (19 per cent); social infrastructure and services (21 per cent); supporting people with disability (19 per cent); health (20 per cent); gender</w:t>
      </w:r>
      <w:r w:rsidR="00D92BC5" w:rsidRPr="00FE7377">
        <w:rPr>
          <w:color w:val="auto"/>
        </w:rPr>
        <w:t xml:space="preserve"> equity</w:t>
      </w:r>
      <w:r w:rsidRPr="00FE7377">
        <w:rPr>
          <w:color w:val="auto"/>
        </w:rPr>
        <w:t xml:space="preserve"> (9</w:t>
      </w:r>
      <w:r w:rsidR="00F71549" w:rsidRPr="00FE7377">
        <w:rPr>
          <w:color w:val="auto"/>
        </w:rPr>
        <w:t xml:space="preserve"> per cent); and, </w:t>
      </w:r>
      <w:r w:rsidRPr="00FE7377">
        <w:rPr>
          <w:color w:val="auto"/>
        </w:rPr>
        <w:t xml:space="preserve">education (12 per cent). </w:t>
      </w:r>
    </w:p>
    <w:p w14:paraId="1D259B13" w14:textId="288A8CE6" w:rsidR="00EB706B" w:rsidRPr="00FE7377" w:rsidRDefault="005F2B34" w:rsidP="00A43E00">
      <w:pPr>
        <w:pStyle w:val="Heading2"/>
      </w:pPr>
      <w:r w:rsidRPr="00FE7377">
        <w:lastRenderedPageBreak/>
        <w:t>Australia’s aid program in the region</w:t>
      </w:r>
    </w:p>
    <w:p w14:paraId="060FE49A" w14:textId="77777777" w:rsidR="00FC7C09" w:rsidRPr="00FE7377" w:rsidRDefault="00FC7C09" w:rsidP="00A43E00">
      <w:pPr>
        <w:spacing w:after="120"/>
        <w:ind w:right="-330"/>
        <w:rPr>
          <w:b/>
          <w:color w:val="auto"/>
        </w:rPr>
      </w:pPr>
      <w:r w:rsidRPr="00FE7377">
        <w:rPr>
          <w:b/>
          <w:color w:val="auto"/>
        </w:rPr>
        <w:t>ASEAN and Mekong Aid Program</w:t>
      </w:r>
    </w:p>
    <w:p w14:paraId="2AC1A384" w14:textId="7C6A1E30" w:rsidR="00084CA8" w:rsidRPr="00FE7377" w:rsidRDefault="00232371" w:rsidP="000B4D35">
      <w:pPr>
        <w:spacing w:after="120" w:line="240" w:lineRule="auto"/>
        <w:rPr>
          <w:color w:val="auto"/>
          <w:lang w:val="en-US"/>
        </w:rPr>
      </w:pPr>
      <w:r w:rsidRPr="00FE7377">
        <w:rPr>
          <w:color w:val="auto"/>
        </w:rPr>
        <w:t>In 2016-17</w:t>
      </w:r>
      <w:r w:rsidR="000B4D35" w:rsidRPr="00FE7377">
        <w:rPr>
          <w:color w:val="auto"/>
        </w:rPr>
        <w:t>, o</w:t>
      </w:r>
      <w:r w:rsidR="00FC7C09" w:rsidRPr="00FE7377">
        <w:rPr>
          <w:color w:val="auto"/>
        </w:rPr>
        <w:t>ur ASEAN and Mekong program</w:t>
      </w:r>
      <w:r w:rsidR="00976623" w:rsidRPr="00FE7377">
        <w:rPr>
          <w:color w:val="auto"/>
        </w:rPr>
        <w:t>s</w:t>
      </w:r>
      <w:r w:rsidR="00FC7C09" w:rsidRPr="00FE7377">
        <w:rPr>
          <w:color w:val="auto"/>
        </w:rPr>
        <w:t xml:space="preserve"> </w:t>
      </w:r>
      <w:r w:rsidRPr="00FE7377">
        <w:rPr>
          <w:color w:val="auto"/>
        </w:rPr>
        <w:t>administered</w:t>
      </w:r>
      <w:r w:rsidR="00E337F3" w:rsidRPr="00FE7377">
        <w:rPr>
          <w:color w:val="auto"/>
        </w:rPr>
        <w:t xml:space="preserve"> </w:t>
      </w:r>
      <w:r w:rsidR="00976623" w:rsidRPr="00FE7377">
        <w:rPr>
          <w:color w:val="auto"/>
        </w:rPr>
        <w:t xml:space="preserve">initiatives </w:t>
      </w:r>
      <w:r w:rsidR="00FC7C09" w:rsidRPr="00FE7377">
        <w:rPr>
          <w:color w:val="auto"/>
        </w:rPr>
        <w:t>within</w:t>
      </w:r>
      <w:r w:rsidR="00E337F3" w:rsidRPr="00FE7377">
        <w:rPr>
          <w:color w:val="auto"/>
        </w:rPr>
        <w:t xml:space="preserve"> and across</w:t>
      </w:r>
      <w:r w:rsidR="00FC7C09" w:rsidRPr="00FE7377">
        <w:rPr>
          <w:color w:val="auto"/>
        </w:rPr>
        <w:t xml:space="preserve"> Cambodia. </w:t>
      </w:r>
      <w:r w:rsidR="00E337F3" w:rsidRPr="00FE7377">
        <w:rPr>
          <w:color w:val="auto"/>
        </w:rPr>
        <w:t>Our</w:t>
      </w:r>
      <w:r w:rsidR="00FC7C09" w:rsidRPr="00FE7377">
        <w:rPr>
          <w:color w:val="auto"/>
        </w:rPr>
        <w:t xml:space="preserve"> regional program helps countries implement a coordinated response to cross-border challenge</w:t>
      </w:r>
      <w:r w:rsidR="000B4D35" w:rsidRPr="00FE7377">
        <w:rPr>
          <w:color w:val="auto"/>
        </w:rPr>
        <w:t xml:space="preserve">s such as human trafficking, </w:t>
      </w:r>
      <w:r w:rsidR="00FC7C09" w:rsidRPr="00FE7377">
        <w:rPr>
          <w:color w:val="auto"/>
        </w:rPr>
        <w:t>constraints to trade</w:t>
      </w:r>
      <w:r w:rsidR="000B4D35" w:rsidRPr="00FE7377">
        <w:rPr>
          <w:color w:val="auto"/>
        </w:rPr>
        <w:t xml:space="preserve"> and transboundary water management</w:t>
      </w:r>
      <w:r w:rsidR="00FC7C09" w:rsidRPr="00FE7377">
        <w:rPr>
          <w:color w:val="auto"/>
        </w:rPr>
        <w:t xml:space="preserve">. </w:t>
      </w:r>
      <w:r w:rsidR="00C90FF7" w:rsidRPr="00FE7377">
        <w:rPr>
          <w:color w:val="auto"/>
        </w:rPr>
        <w:t xml:space="preserve">See the </w:t>
      </w:r>
      <w:r w:rsidR="000B4D35" w:rsidRPr="00FE7377">
        <w:rPr>
          <w:color w:val="auto"/>
        </w:rPr>
        <w:t>ASEAN and Mekong Aid Program</w:t>
      </w:r>
      <w:r w:rsidR="00976623" w:rsidRPr="00FE7377">
        <w:rPr>
          <w:color w:val="auto"/>
        </w:rPr>
        <w:t>s</w:t>
      </w:r>
      <w:r w:rsidR="005245DB" w:rsidRPr="00FE7377">
        <w:rPr>
          <w:color w:val="auto"/>
        </w:rPr>
        <w:t xml:space="preserve"> APPRs for more detail</w:t>
      </w:r>
      <w:r w:rsidR="00456F4C" w:rsidRPr="00FE7377">
        <w:rPr>
          <w:color w:val="auto"/>
        </w:rPr>
        <w:t>.</w:t>
      </w:r>
      <w:r w:rsidR="005245DB" w:rsidRPr="00FE7377">
        <w:rPr>
          <w:rStyle w:val="FootnoteReference"/>
          <w:color w:val="auto"/>
        </w:rPr>
        <w:footnoteReference w:id="8"/>
      </w:r>
    </w:p>
    <w:p w14:paraId="7D4781B8" w14:textId="77777777" w:rsidR="00994A27" w:rsidRPr="00280CC1" w:rsidRDefault="00994A27" w:rsidP="006E0DFD">
      <w:pPr>
        <w:pBdr>
          <w:top w:val="single" w:sz="4" w:space="1" w:color="auto"/>
          <w:left w:val="single" w:sz="4" w:space="4" w:color="auto"/>
          <w:bottom w:val="single" w:sz="4" w:space="1" w:color="auto"/>
          <w:right w:val="single" w:sz="4" w:space="4" w:color="auto"/>
        </w:pBdr>
        <w:spacing w:after="120" w:line="240" w:lineRule="auto"/>
        <w:jc w:val="center"/>
        <w:rPr>
          <w:b/>
          <w:lang w:val="en-US"/>
        </w:rPr>
      </w:pPr>
      <w:r w:rsidRPr="00280CC1">
        <w:rPr>
          <w:b/>
          <w:lang w:val="en-US"/>
        </w:rPr>
        <w:t>Support to Australian NGOs in Cambodia</w:t>
      </w:r>
    </w:p>
    <w:p w14:paraId="3B4861F6" w14:textId="21720040" w:rsidR="00593583" w:rsidRPr="00280CC1" w:rsidRDefault="00593583" w:rsidP="006E0DFD">
      <w:pPr>
        <w:pBdr>
          <w:top w:val="single" w:sz="4" w:space="1" w:color="auto"/>
          <w:left w:val="single" w:sz="4" w:space="4" w:color="auto"/>
          <w:bottom w:val="single" w:sz="4" w:space="1" w:color="auto"/>
          <w:right w:val="single" w:sz="4" w:space="4" w:color="auto"/>
        </w:pBdr>
        <w:spacing w:after="120" w:line="240" w:lineRule="auto"/>
        <w:rPr>
          <w:lang w:val="en-US"/>
        </w:rPr>
      </w:pPr>
      <w:r w:rsidRPr="00762380">
        <w:t>Australian non-government organisations (NGO</w:t>
      </w:r>
      <w:r w:rsidR="00976623" w:rsidRPr="00762380">
        <w:t>s</w:t>
      </w:r>
      <w:r w:rsidRPr="00762380">
        <w:t>)</w:t>
      </w:r>
      <w:r w:rsidR="002624D7" w:rsidRPr="00762380">
        <w:t xml:space="preserve"> are</w:t>
      </w:r>
      <w:r w:rsidRPr="00762380">
        <w:t xml:space="preserve"> vital partners</w:t>
      </w:r>
      <w:r w:rsidR="002624D7" w:rsidRPr="00762380">
        <w:t xml:space="preserve"> for the Australian aid program in Cambodia. Australian NGOs have a proven ability to reach the poorest and most vulnerable communities in Cambodia to deliver lasting development results. The primary </w:t>
      </w:r>
      <w:r w:rsidR="008716D5">
        <w:t>DFAT</w:t>
      </w:r>
      <w:r w:rsidR="00C56E83" w:rsidRPr="00762380">
        <w:t xml:space="preserve"> </w:t>
      </w:r>
      <w:r w:rsidR="002624D7" w:rsidRPr="00762380">
        <w:t>mechanism support</w:t>
      </w:r>
      <w:r w:rsidR="00C56E83" w:rsidRPr="00762380">
        <w:t>ing</w:t>
      </w:r>
      <w:r w:rsidR="002624D7" w:rsidRPr="00762380">
        <w:t xml:space="preserve"> Australian NGOs in Cambodia is the Australian NGO Cooperation Program (ANCP).</w:t>
      </w:r>
      <w:r w:rsidR="00741C66" w:rsidRPr="005245DB">
        <w:rPr>
          <w:vertAlign w:val="superscript"/>
        </w:rPr>
        <w:footnoteReference w:id="9"/>
      </w:r>
      <w:r w:rsidR="00741C66" w:rsidRPr="00762380">
        <w:t xml:space="preserve"> </w:t>
      </w:r>
      <w:r w:rsidR="002624D7" w:rsidRPr="00762380">
        <w:t xml:space="preserve"> </w:t>
      </w:r>
    </w:p>
    <w:p w14:paraId="62E2E66B" w14:textId="2977F5CC" w:rsidR="00994A27" w:rsidRPr="00762380" w:rsidRDefault="00593583" w:rsidP="006E0DFD">
      <w:pPr>
        <w:pBdr>
          <w:top w:val="single" w:sz="4" w:space="1" w:color="auto"/>
          <w:left w:val="single" w:sz="4" w:space="4" w:color="auto"/>
          <w:bottom w:val="single" w:sz="4" w:space="1" w:color="auto"/>
          <w:right w:val="single" w:sz="4" w:space="4" w:color="auto"/>
        </w:pBdr>
        <w:spacing w:after="120" w:line="240" w:lineRule="auto"/>
      </w:pPr>
      <w:r w:rsidRPr="00762380">
        <w:t>Cambodia is the largest coun</w:t>
      </w:r>
      <w:r w:rsidR="002624D7" w:rsidRPr="00762380">
        <w:t xml:space="preserve">try recipient of ANCP funds: </w:t>
      </w:r>
      <w:r w:rsidR="00976623" w:rsidRPr="00762380">
        <w:t>this year</w:t>
      </w:r>
      <w:r w:rsidRPr="00762380">
        <w:t xml:space="preserve"> </w:t>
      </w:r>
      <w:r w:rsidR="009D067A" w:rsidRPr="00762380">
        <w:t>27</w:t>
      </w:r>
      <w:r w:rsidRPr="00762380">
        <w:t xml:space="preserve"> Australian NGOs rec</w:t>
      </w:r>
      <w:r w:rsidR="002624D7" w:rsidRPr="00762380">
        <w:t>eived a total of $11.7</w:t>
      </w:r>
      <w:r w:rsidRPr="00762380">
        <w:t xml:space="preserve"> million to implement </w:t>
      </w:r>
      <w:r w:rsidR="005561B4" w:rsidRPr="00762380">
        <w:t>69</w:t>
      </w:r>
      <w:r w:rsidRPr="00762380">
        <w:t xml:space="preserve"> projects</w:t>
      </w:r>
      <w:r w:rsidR="002624D7" w:rsidRPr="00762380">
        <w:t>, including</w:t>
      </w:r>
      <w:r w:rsidRPr="00762380">
        <w:t xml:space="preserve"> 15 regional projects that deliver activities in Cambodia. </w:t>
      </w:r>
      <w:r w:rsidR="002624D7" w:rsidRPr="00762380">
        <w:t>This represents</w:t>
      </w:r>
      <w:r w:rsidRPr="00762380">
        <w:t xml:space="preserve"> 1</w:t>
      </w:r>
      <w:r w:rsidR="00EB706B" w:rsidRPr="00762380">
        <w:t>3</w:t>
      </w:r>
      <w:r w:rsidRPr="00762380">
        <w:t xml:space="preserve"> per cent of total Australian aid to Cambodia in 2016</w:t>
      </w:r>
      <w:r w:rsidR="009D067A" w:rsidRPr="00762380">
        <w:t>-</w:t>
      </w:r>
      <w:r w:rsidRPr="00762380">
        <w:t>17. Projects focus</w:t>
      </w:r>
      <w:r w:rsidR="009D067A" w:rsidRPr="00762380">
        <w:t>ed</w:t>
      </w:r>
      <w:r w:rsidRPr="00762380">
        <w:t xml:space="preserve"> on a wide range of</w:t>
      </w:r>
      <w:r w:rsidR="00E93204" w:rsidRPr="00762380">
        <w:t xml:space="preserve"> themes </w:t>
      </w:r>
      <w:r w:rsidR="00C90FF7" w:rsidRPr="00762380">
        <w:t xml:space="preserve">including </w:t>
      </w:r>
      <w:r w:rsidRPr="00762380">
        <w:t>gender, agriculture, climate change, h</w:t>
      </w:r>
      <w:r w:rsidR="00C90FF7" w:rsidRPr="00762380">
        <w:t>ealth, education and disability</w:t>
      </w:r>
      <w:r w:rsidR="009D067A" w:rsidRPr="00762380">
        <w:t xml:space="preserve">. </w:t>
      </w:r>
    </w:p>
    <w:p w14:paraId="02404F9C" w14:textId="68544302" w:rsidR="00E93204" w:rsidRPr="00762380" w:rsidRDefault="002624D7" w:rsidP="006E0DFD">
      <w:pPr>
        <w:pBdr>
          <w:top w:val="single" w:sz="4" w:space="1" w:color="auto"/>
          <w:left w:val="single" w:sz="4" w:space="4" w:color="auto"/>
          <w:bottom w:val="single" w:sz="4" w:space="1" w:color="auto"/>
          <w:right w:val="single" w:sz="4" w:space="4" w:color="auto"/>
        </w:pBdr>
        <w:spacing w:after="120" w:line="240" w:lineRule="auto"/>
      </w:pPr>
      <w:r w:rsidRPr="00762380">
        <w:t xml:space="preserve">To develop deeper and more consistent engagement with our Australian NGO partners, two initiatives were undertaken </w:t>
      </w:r>
      <w:r w:rsidR="00976623" w:rsidRPr="00762380">
        <w:t>this year</w:t>
      </w:r>
      <w:r w:rsidRPr="00762380">
        <w:t xml:space="preserve">. The first was </w:t>
      </w:r>
      <w:r w:rsidR="00B5207C" w:rsidRPr="00762380">
        <w:t>an</w:t>
      </w:r>
      <w:r w:rsidRPr="00762380">
        <w:t xml:space="preserve"> Australia-Cambodia ANCP Forum</w:t>
      </w:r>
      <w:r w:rsidR="00976623" w:rsidRPr="00762380">
        <w:t xml:space="preserve">. This </w:t>
      </w:r>
      <w:r w:rsidRPr="00762380">
        <w:t>b</w:t>
      </w:r>
      <w:r w:rsidR="005561B4" w:rsidRPr="00762380">
        <w:t>r</w:t>
      </w:r>
      <w:r w:rsidRPr="00762380">
        <w:t>ought together over 100 representatives of Australian NGOs and their local implementing partners. The</w:t>
      </w:r>
      <w:r w:rsidR="006E0DFD" w:rsidRPr="00762380">
        <w:t xml:space="preserve"> </w:t>
      </w:r>
      <w:r w:rsidRPr="00762380">
        <w:t xml:space="preserve">Forum </w:t>
      </w:r>
      <w:r w:rsidR="006E0DFD" w:rsidRPr="00762380">
        <w:t>help</w:t>
      </w:r>
      <w:r w:rsidR="005561B4" w:rsidRPr="00762380">
        <w:t>ed</w:t>
      </w:r>
      <w:r w:rsidR="006E0DFD" w:rsidRPr="00762380">
        <w:t xml:space="preserve"> </w:t>
      </w:r>
      <w:r w:rsidRPr="00762380">
        <w:t xml:space="preserve">develop </w:t>
      </w:r>
      <w:r w:rsidR="006E0DFD" w:rsidRPr="00762380">
        <w:t>stronger links</w:t>
      </w:r>
      <w:r w:rsidRPr="00762380">
        <w:t xml:space="preserve"> between ANCP funded projects</w:t>
      </w:r>
      <w:r w:rsidR="00B5207C" w:rsidRPr="00762380">
        <w:t>, as well as with</w:t>
      </w:r>
      <w:r w:rsidRPr="00762380">
        <w:t xml:space="preserve"> other Australian Government </w:t>
      </w:r>
      <w:r w:rsidR="006E0DFD" w:rsidRPr="00762380">
        <w:t>aid investment</w:t>
      </w:r>
      <w:r w:rsidR="005561B4" w:rsidRPr="00762380">
        <w:t>s</w:t>
      </w:r>
      <w:r w:rsidR="006E0DFD" w:rsidRPr="00762380">
        <w:t xml:space="preserve"> in Cambodia. The second was a monitoring and engagement mission to examine five projects supported by ANCP. The mission confirmed all five projects were achieving sound, sustainable development results and represented strong value for money. </w:t>
      </w:r>
    </w:p>
    <w:p w14:paraId="783AC353" w14:textId="77777777" w:rsidR="002A51CA" w:rsidRPr="00280CC1" w:rsidRDefault="002A51CA" w:rsidP="002A51CA">
      <w:pPr>
        <w:pStyle w:val="Heading2"/>
      </w:pPr>
      <w:r w:rsidRPr="00280CC1">
        <w:t>Mutual obligations</w:t>
      </w:r>
    </w:p>
    <w:p w14:paraId="01643514" w14:textId="77777777" w:rsidR="00FC7C09" w:rsidRPr="00FE7377" w:rsidRDefault="00FC7C09" w:rsidP="00FC7C09">
      <w:pPr>
        <w:rPr>
          <w:color w:val="auto"/>
        </w:rPr>
      </w:pPr>
      <w:r w:rsidRPr="00FE7377">
        <w:rPr>
          <w:color w:val="auto"/>
        </w:rPr>
        <w:t>Our mutual obligations a</w:t>
      </w:r>
      <w:r w:rsidR="00246151" w:rsidRPr="00FE7377">
        <w:rPr>
          <w:color w:val="auto"/>
        </w:rPr>
        <w:t>re</w:t>
      </w:r>
      <w:r w:rsidRPr="00FE7377">
        <w:rPr>
          <w:color w:val="auto"/>
        </w:rPr>
        <w:t xml:space="preserve"> set ou</w:t>
      </w:r>
      <w:r w:rsidR="00C90FF7" w:rsidRPr="00FE7377">
        <w:rPr>
          <w:color w:val="auto"/>
        </w:rPr>
        <w:t>t in the Cambodia AIP 2015-2018. These align</w:t>
      </w:r>
      <w:r w:rsidRPr="00FE7377">
        <w:rPr>
          <w:color w:val="auto"/>
        </w:rPr>
        <w:t xml:space="preserve"> to the Cambodian Government</w:t>
      </w:r>
      <w:r w:rsidR="008F61A4" w:rsidRPr="00FE7377">
        <w:rPr>
          <w:color w:val="auto"/>
        </w:rPr>
        <w:t>’</w:t>
      </w:r>
      <w:r w:rsidRPr="00FE7377">
        <w:rPr>
          <w:color w:val="auto"/>
        </w:rPr>
        <w:t>s National Strategic Develop</w:t>
      </w:r>
      <w:r w:rsidR="00C90FF7" w:rsidRPr="00FE7377">
        <w:rPr>
          <w:color w:val="auto"/>
        </w:rPr>
        <w:t>ment Plan (NSDP) 2014-2018. This year’s progress is outlined below</w:t>
      </w:r>
      <w:r w:rsidR="005D30D1" w:rsidRPr="00FE7377">
        <w:rPr>
          <w:color w:val="auto"/>
        </w:rPr>
        <w:t xml:space="preserve">. </w:t>
      </w:r>
    </w:p>
    <w:p w14:paraId="7C54F649" w14:textId="77777777" w:rsidR="00B66824" w:rsidRPr="00FE7377" w:rsidRDefault="00FC7C09" w:rsidP="00B66824">
      <w:pPr>
        <w:rPr>
          <w:b/>
          <w:color w:val="auto"/>
        </w:rPr>
      </w:pPr>
      <w:r w:rsidRPr="00FE7377">
        <w:rPr>
          <w:b/>
          <w:color w:val="auto"/>
        </w:rPr>
        <w:t>Infrastructure:</w:t>
      </w:r>
      <w:r w:rsidR="00902241" w:rsidRPr="00FE7377">
        <w:rPr>
          <w:b/>
          <w:color w:val="auto"/>
        </w:rPr>
        <w:t xml:space="preserve"> </w:t>
      </w:r>
      <w:r w:rsidR="00B66824" w:rsidRPr="00FE7377">
        <w:rPr>
          <w:color w:val="auto"/>
        </w:rPr>
        <w:t>According to the Cambodian Ministry of Mines and Energy, approximately 78 per cent of all villages had some form of grid connection as of mid-2017 (up from 62 per cent in mid-2016). Approximately 58 per cent of households had a connection to a grid</w:t>
      </w:r>
      <w:r w:rsidR="00246151" w:rsidRPr="00FE7377">
        <w:rPr>
          <w:color w:val="auto"/>
        </w:rPr>
        <w:t>-</w:t>
      </w:r>
      <w:r w:rsidR="00B66824" w:rsidRPr="00FE7377">
        <w:rPr>
          <w:color w:val="auto"/>
        </w:rPr>
        <w:t xml:space="preserve">quality electricity source by December 2016 (up from 55 per cent in December 2015). The </w:t>
      </w:r>
      <w:r w:rsidR="00246151" w:rsidRPr="00FE7377">
        <w:rPr>
          <w:color w:val="auto"/>
        </w:rPr>
        <w:t xml:space="preserve">target is for </w:t>
      </w:r>
      <w:r w:rsidR="00B66824" w:rsidRPr="00FE7377">
        <w:rPr>
          <w:color w:val="auto"/>
        </w:rPr>
        <w:t xml:space="preserve">all villages </w:t>
      </w:r>
      <w:r w:rsidR="00246151" w:rsidRPr="00FE7377">
        <w:rPr>
          <w:color w:val="auto"/>
        </w:rPr>
        <w:t>to have</w:t>
      </w:r>
      <w:r w:rsidR="00B66824" w:rsidRPr="00FE7377">
        <w:rPr>
          <w:color w:val="auto"/>
        </w:rPr>
        <w:t xml:space="preserve"> some form of grid connection by 2020, and 70 per cent of all households with a grid</w:t>
      </w:r>
      <w:r w:rsidR="00246151" w:rsidRPr="00FE7377">
        <w:rPr>
          <w:color w:val="auto"/>
        </w:rPr>
        <w:t>-</w:t>
      </w:r>
      <w:r w:rsidR="00B66824" w:rsidRPr="00FE7377">
        <w:rPr>
          <w:color w:val="auto"/>
        </w:rPr>
        <w:t xml:space="preserve">quality electricity source by 2030. Public and private investment is playing a role in expanding energy access, including private investment leveraged by </w:t>
      </w:r>
      <w:r w:rsidR="00246151" w:rsidRPr="00FE7377">
        <w:rPr>
          <w:color w:val="auto"/>
        </w:rPr>
        <w:t>the 3i program.</w:t>
      </w:r>
    </w:p>
    <w:p w14:paraId="62794D4C" w14:textId="594B158B" w:rsidR="00FC7C09" w:rsidRPr="00FE7377" w:rsidRDefault="00FC7C09" w:rsidP="00FC7C09">
      <w:pPr>
        <w:rPr>
          <w:b/>
          <w:color w:val="auto"/>
        </w:rPr>
      </w:pPr>
      <w:r w:rsidRPr="00FE7377">
        <w:rPr>
          <w:b/>
          <w:color w:val="auto"/>
        </w:rPr>
        <w:t>Agriculture:</w:t>
      </w:r>
      <w:r w:rsidR="006717E7" w:rsidRPr="00FE7377">
        <w:rPr>
          <w:b/>
          <w:color w:val="auto"/>
        </w:rPr>
        <w:t xml:space="preserve"> </w:t>
      </w:r>
      <w:r w:rsidR="00A37D48" w:rsidRPr="00FE7377">
        <w:rPr>
          <w:color w:val="auto"/>
        </w:rPr>
        <w:t>In 2016</w:t>
      </w:r>
      <w:r w:rsidR="00C90FF7" w:rsidRPr="00FE7377">
        <w:rPr>
          <w:color w:val="auto"/>
        </w:rPr>
        <w:t xml:space="preserve">, </w:t>
      </w:r>
      <w:r w:rsidR="00FB64C0" w:rsidRPr="00FE7377">
        <w:rPr>
          <w:color w:val="auto"/>
        </w:rPr>
        <w:t xml:space="preserve">Cambodia again fell short of the target set by the </w:t>
      </w:r>
      <w:r w:rsidR="005561B4" w:rsidRPr="00FE7377">
        <w:rPr>
          <w:color w:val="auto"/>
        </w:rPr>
        <w:t>Cambodian Government</w:t>
      </w:r>
      <w:r w:rsidR="00FB64C0" w:rsidRPr="00FE7377">
        <w:rPr>
          <w:color w:val="auto"/>
        </w:rPr>
        <w:t xml:space="preserve"> to export one millio</w:t>
      </w:r>
      <w:r w:rsidR="00C90FF7" w:rsidRPr="00FE7377">
        <w:rPr>
          <w:color w:val="auto"/>
        </w:rPr>
        <w:t>n tonnes of rice</w:t>
      </w:r>
      <w:r w:rsidR="00FB64C0" w:rsidRPr="00FE7377">
        <w:rPr>
          <w:color w:val="auto"/>
        </w:rPr>
        <w:t xml:space="preserve"> with </w:t>
      </w:r>
      <w:r w:rsidR="007075EA" w:rsidRPr="00FE7377">
        <w:rPr>
          <w:color w:val="auto"/>
        </w:rPr>
        <w:t>just over</w:t>
      </w:r>
      <w:r w:rsidR="00246151" w:rsidRPr="00FE7377">
        <w:rPr>
          <w:color w:val="auto"/>
        </w:rPr>
        <w:t xml:space="preserve"> </w:t>
      </w:r>
      <w:r w:rsidR="00FB64C0" w:rsidRPr="00FE7377">
        <w:rPr>
          <w:color w:val="auto"/>
        </w:rPr>
        <w:t xml:space="preserve">half of this target reached (542,144 tonnes). This was </w:t>
      </w:r>
      <w:r w:rsidR="00A37D48" w:rsidRPr="00FE7377">
        <w:rPr>
          <w:color w:val="auto"/>
        </w:rPr>
        <w:t xml:space="preserve">due to </w:t>
      </w:r>
      <w:r w:rsidR="00FB64C0" w:rsidRPr="00FE7377">
        <w:rPr>
          <w:color w:val="auto"/>
        </w:rPr>
        <w:t>a range of entrench</w:t>
      </w:r>
      <w:r w:rsidR="00142D71" w:rsidRPr="00FE7377">
        <w:rPr>
          <w:color w:val="auto"/>
        </w:rPr>
        <w:t>ed</w:t>
      </w:r>
      <w:r w:rsidR="00FB64C0" w:rsidRPr="00FE7377">
        <w:rPr>
          <w:color w:val="auto"/>
        </w:rPr>
        <w:t xml:space="preserve"> weaknesse</w:t>
      </w:r>
      <w:r w:rsidR="00244159" w:rsidRPr="00FE7377">
        <w:rPr>
          <w:color w:val="auto"/>
        </w:rPr>
        <w:t xml:space="preserve">s </w:t>
      </w:r>
      <w:r w:rsidR="00FB64C0" w:rsidRPr="00FE7377">
        <w:rPr>
          <w:color w:val="auto"/>
        </w:rPr>
        <w:t>in</w:t>
      </w:r>
      <w:r w:rsidR="00172C9E" w:rsidRPr="00FE7377">
        <w:rPr>
          <w:color w:val="auto"/>
        </w:rPr>
        <w:t xml:space="preserve"> </w:t>
      </w:r>
      <w:r w:rsidR="00FB64C0" w:rsidRPr="00FE7377">
        <w:rPr>
          <w:color w:val="auto"/>
        </w:rPr>
        <w:t xml:space="preserve">the rice sector. A </w:t>
      </w:r>
      <w:r w:rsidR="00A37D48" w:rsidRPr="00FE7377">
        <w:rPr>
          <w:color w:val="auto"/>
        </w:rPr>
        <w:t>severe drought</w:t>
      </w:r>
      <w:r w:rsidR="00FB64C0" w:rsidRPr="00FE7377">
        <w:rPr>
          <w:color w:val="auto"/>
        </w:rPr>
        <w:t xml:space="preserve"> i</w:t>
      </w:r>
      <w:r w:rsidR="00244159" w:rsidRPr="00FE7377">
        <w:rPr>
          <w:color w:val="auto"/>
        </w:rPr>
        <w:t>n</w:t>
      </w:r>
      <w:r w:rsidR="00FB64C0" w:rsidRPr="00FE7377">
        <w:rPr>
          <w:color w:val="auto"/>
        </w:rPr>
        <w:t xml:space="preserve"> 2016 and a </w:t>
      </w:r>
      <w:r w:rsidR="00A37D48" w:rsidRPr="00FE7377">
        <w:rPr>
          <w:color w:val="auto"/>
        </w:rPr>
        <w:t>depressed global rice price</w:t>
      </w:r>
      <w:r w:rsidR="00FB64C0" w:rsidRPr="00FE7377">
        <w:rPr>
          <w:color w:val="auto"/>
        </w:rPr>
        <w:t xml:space="preserve"> compounded </w:t>
      </w:r>
      <w:r w:rsidR="00172C9E" w:rsidRPr="00FE7377">
        <w:rPr>
          <w:color w:val="auto"/>
        </w:rPr>
        <w:t>these</w:t>
      </w:r>
      <w:r w:rsidR="00C90FF7" w:rsidRPr="00FE7377">
        <w:rPr>
          <w:color w:val="auto"/>
        </w:rPr>
        <w:t xml:space="preserve"> problems. I</w:t>
      </w:r>
      <w:r w:rsidR="00A37D48" w:rsidRPr="00FE7377">
        <w:rPr>
          <w:color w:val="auto"/>
        </w:rPr>
        <w:t>n 201</w:t>
      </w:r>
      <w:r w:rsidR="00F840B1" w:rsidRPr="00FE7377">
        <w:rPr>
          <w:color w:val="auto"/>
        </w:rPr>
        <w:t>6</w:t>
      </w:r>
      <w:r w:rsidR="00C90FF7" w:rsidRPr="00FE7377">
        <w:rPr>
          <w:color w:val="auto"/>
        </w:rPr>
        <w:t xml:space="preserve">, Cambodia won the award </w:t>
      </w:r>
      <w:r w:rsidR="00A37D48" w:rsidRPr="00FE7377">
        <w:rPr>
          <w:color w:val="auto"/>
        </w:rPr>
        <w:t xml:space="preserve">for the World’s Best Rice (following the same award </w:t>
      </w:r>
      <w:r w:rsidR="00084CA8" w:rsidRPr="00FE7377">
        <w:rPr>
          <w:color w:val="auto"/>
        </w:rPr>
        <w:t>for the previous four years</w:t>
      </w:r>
      <w:r w:rsidR="00A37D48" w:rsidRPr="00FE7377">
        <w:rPr>
          <w:color w:val="auto"/>
        </w:rPr>
        <w:t>)</w:t>
      </w:r>
      <w:r w:rsidR="005D30D1" w:rsidRPr="00FE7377">
        <w:rPr>
          <w:color w:val="auto"/>
        </w:rPr>
        <w:t xml:space="preserve">. </w:t>
      </w:r>
      <w:r w:rsidR="00622227" w:rsidRPr="00FE7377">
        <w:rPr>
          <w:color w:val="auto"/>
        </w:rPr>
        <w:t>The Cambodia Government and the Cambodian Rice Federation created higher prices for some rice exports by leveraged this recognition</w:t>
      </w:r>
      <w:r w:rsidR="008A4251" w:rsidRPr="00FE7377">
        <w:rPr>
          <w:color w:val="auto"/>
        </w:rPr>
        <w:t>.</w:t>
      </w:r>
      <w:r w:rsidR="00F840B1" w:rsidRPr="00FE7377">
        <w:rPr>
          <w:color w:val="auto"/>
        </w:rPr>
        <w:t xml:space="preserve"> </w:t>
      </w:r>
      <w:r w:rsidR="00172C9E" w:rsidRPr="00FE7377">
        <w:rPr>
          <w:color w:val="auto"/>
        </w:rPr>
        <w:t>T</w:t>
      </w:r>
      <w:r w:rsidR="0041587A" w:rsidRPr="00FE7377">
        <w:rPr>
          <w:color w:val="auto"/>
        </w:rPr>
        <w:t>hree</w:t>
      </w:r>
      <w:r w:rsidR="008A4251" w:rsidRPr="00FE7377">
        <w:rPr>
          <w:color w:val="auto"/>
        </w:rPr>
        <w:t xml:space="preserve"> main crops</w:t>
      </w:r>
      <w:r w:rsidR="00172C9E" w:rsidRPr="00FE7377">
        <w:rPr>
          <w:color w:val="auto"/>
        </w:rPr>
        <w:t>—c</w:t>
      </w:r>
      <w:r w:rsidR="00647CD3" w:rsidRPr="00FE7377">
        <w:rPr>
          <w:color w:val="auto"/>
        </w:rPr>
        <w:t xml:space="preserve">assava, maize and </w:t>
      </w:r>
      <w:r w:rsidR="008A4251" w:rsidRPr="00FE7377">
        <w:rPr>
          <w:color w:val="auto"/>
        </w:rPr>
        <w:t>bean</w:t>
      </w:r>
      <w:r w:rsidR="00172C9E" w:rsidRPr="00FE7377">
        <w:rPr>
          <w:color w:val="auto"/>
        </w:rPr>
        <w:t xml:space="preserve">—were the </w:t>
      </w:r>
      <w:r w:rsidR="005561B4" w:rsidRPr="00FE7377">
        <w:rPr>
          <w:color w:val="auto"/>
        </w:rPr>
        <w:t>Cambodian Government</w:t>
      </w:r>
      <w:r w:rsidR="0041587A" w:rsidRPr="00FE7377">
        <w:rPr>
          <w:color w:val="auto"/>
        </w:rPr>
        <w:t xml:space="preserve"> priorit</w:t>
      </w:r>
      <w:r w:rsidR="00142D71" w:rsidRPr="00FE7377">
        <w:rPr>
          <w:color w:val="auto"/>
        </w:rPr>
        <w:t>ies</w:t>
      </w:r>
      <w:r w:rsidR="0041587A" w:rsidRPr="00FE7377">
        <w:rPr>
          <w:color w:val="auto"/>
        </w:rPr>
        <w:t xml:space="preserve"> for crop diversification</w:t>
      </w:r>
      <w:r w:rsidR="008A4251" w:rsidRPr="00FE7377">
        <w:rPr>
          <w:color w:val="auto"/>
        </w:rPr>
        <w:t>. The cultivat</w:t>
      </w:r>
      <w:r w:rsidR="0041587A" w:rsidRPr="00FE7377">
        <w:rPr>
          <w:color w:val="auto"/>
        </w:rPr>
        <w:t>ed</w:t>
      </w:r>
      <w:r w:rsidR="008A4251" w:rsidRPr="00FE7377">
        <w:rPr>
          <w:color w:val="auto"/>
        </w:rPr>
        <w:t xml:space="preserve"> area of these crop</w:t>
      </w:r>
      <w:r w:rsidR="00647CD3" w:rsidRPr="00FE7377">
        <w:rPr>
          <w:color w:val="auto"/>
        </w:rPr>
        <w:t>s</w:t>
      </w:r>
      <w:r w:rsidR="008A4251" w:rsidRPr="00FE7377">
        <w:rPr>
          <w:color w:val="auto"/>
        </w:rPr>
        <w:t xml:space="preserve"> increase</w:t>
      </w:r>
      <w:r w:rsidR="00172C9E" w:rsidRPr="00FE7377">
        <w:rPr>
          <w:color w:val="auto"/>
        </w:rPr>
        <w:t>d</w:t>
      </w:r>
      <w:r w:rsidR="008A4251" w:rsidRPr="00FE7377">
        <w:rPr>
          <w:color w:val="auto"/>
        </w:rPr>
        <w:t xml:space="preserve"> </w:t>
      </w:r>
      <w:r w:rsidR="00172C9E" w:rsidRPr="00FE7377">
        <w:rPr>
          <w:color w:val="auto"/>
        </w:rPr>
        <w:t xml:space="preserve">by </w:t>
      </w:r>
      <w:r w:rsidR="00246151" w:rsidRPr="00FE7377">
        <w:rPr>
          <w:color w:val="auto"/>
        </w:rPr>
        <w:t xml:space="preserve">approximately </w:t>
      </w:r>
      <w:r w:rsidR="0041587A" w:rsidRPr="00FE7377">
        <w:rPr>
          <w:color w:val="auto"/>
        </w:rPr>
        <w:t>1</w:t>
      </w:r>
      <w:r w:rsidR="00172C9E" w:rsidRPr="00FE7377">
        <w:rPr>
          <w:color w:val="auto"/>
        </w:rPr>
        <w:t>0 per cent</w:t>
      </w:r>
      <w:r w:rsidR="0041587A" w:rsidRPr="00FE7377">
        <w:rPr>
          <w:color w:val="auto"/>
        </w:rPr>
        <w:t xml:space="preserve"> </w:t>
      </w:r>
      <w:r w:rsidR="008A4251" w:rsidRPr="00FE7377">
        <w:rPr>
          <w:color w:val="auto"/>
        </w:rPr>
        <w:t xml:space="preserve">compared to </w:t>
      </w:r>
      <w:r w:rsidR="00172C9E" w:rsidRPr="00FE7377">
        <w:rPr>
          <w:color w:val="auto"/>
        </w:rPr>
        <w:t xml:space="preserve">2015. </w:t>
      </w:r>
    </w:p>
    <w:p w14:paraId="62974EE0" w14:textId="77777777" w:rsidR="00CF2559" w:rsidRPr="00FE7377" w:rsidRDefault="00CF2559" w:rsidP="00CF2559">
      <w:pPr>
        <w:rPr>
          <w:b/>
          <w:color w:val="auto"/>
        </w:rPr>
      </w:pPr>
      <w:r w:rsidRPr="00FE7377">
        <w:rPr>
          <w:b/>
          <w:color w:val="auto"/>
        </w:rPr>
        <w:t xml:space="preserve">Health: </w:t>
      </w:r>
      <w:r w:rsidR="00244159" w:rsidRPr="00FE7377">
        <w:rPr>
          <w:color w:val="auto"/>
        </w:rPr>
        <w:t>This year</w:t>
      </w:r>
      <w:r w:rsidR="00C90FF7" w:rsidRPr="00FE7377">
        <w:rPr>
          <w:color w:val="auto"/>
        </w:rPr>
        <w:t xml:space="preserve"> t</w:t>
      </w:r>
      <w:r w:rsidRPr="00FE7377">
        <w:rPr>
          <w:color w:val="auto"/>
        </w:rPr>
        <w:t xml:space="preserve">he Cambodian Government has assumed </w:t>
      </w:r>
      <w:r w:rsidR="00244159" w:rsidRPr="00FE7377">
        <w:rPr>
          <w:color w:val="auto"/>
        </w:rPr>
        <w:t xml:space="preserve">greater </w:t>
      </w:r>
      <w:r w:rsidRPr="00FE7377">
        <w:rPr>
          <w:color w:val="auto"/>
        </w:rPr>
        <w:t>ownership and management responsibility for key components of health financing and quality improvement</w:t>
      </w:r>
      <w:r w:rsidR="00C90FF7" w:rsidRPr="00FE7377">
        <w:rPr>
          <w:color w:val="auto"/>
        </w:rPr>
        <w:t>. N</w:t>
      </w:r>
      <w:r w:rsidRPr="00FE7377">
        <w:rPr>
          <w:color w:val="auto"/>
        </w:rPr>
        <w:t xml:space="preserve">ew implementation </w:t>
      </w:r>
      <w:r w:rsidRPr="00FE7377">
        <w:rPr>
          <w:color w:val="auto"/>
        </w:rPr>
        <w:lastRenderedPageBreak/>
        <w:t>arrangements under H-EQIP</w:t>
      </w:r>
      <w:r w:rsidR="00C90FF7" w:rsidRPr="00FE7377">
        <w:rPr>
          <w:color w:val="auto"/>
        </w:rPr>
        <w:t xml:space="preserve"> has been instrumental in these reform efforts</w:t>
      </w:r>
      <w:r w:rsidRPr="00FE7377">
        <w:rPr>
          <w:color w:val="auto"/>
        </w:rPr>
        <w:t xml:space="preserve">. The Ministry of Health is now fully implementing the Health Equity Fund, which subsidises health care for the poorest Cambodians as well as new quality improvement systems. As noted above, Cambodian Government investment in H-EQIP exceeded expectations </w:t>
      </w:r>
      <w:r w:rsidR="00244159" w:rsidRPr="00FE7377">
        <w:rPr>
          <w:color w:val="auto"/>
        </w:rPr>
        <w:t>this year</w:t>
      </w:r>
      <w:r w:rsidRPr="00FE7377">
        <w:rPr>
          <w:color w:val="auto"/>
        </w:rPr>
        <w:t xml:space="preserve"> (already funding 64 per cent of project costs)</w:t>
      </w:r>
      <w:r w:rsidR="00467C0D" w:rsidRPr="00FE7377">
        <w:rPr>
          <w:color w:val="auto"/>
        </w:rPr>
        <w:t xml:space="preserve">. </w:t>
      </w:r>
    </w:p>
    <w:p w14:paraId="5E70A399" w14:textId="153458F0" w:rsidR="006806D6" w:rsidRPr="00FE7377" w:rsidRDefault="00434FB3" w:rsidP="00C577AF">
      <w:pPr>
        <w:rPr>
          <w:b/>
          <w:color w:val="auto"/>
        </w:rPr>
      </w:pPr>
      <w:r w:rsidRPr="00FE7377">
        <w:rPr>
          <w:b/>
          <w:color w:val="auto"/>
        </w:rPr>
        <w:t xml:space="preserve">Scholarships: </w:t>
      </w:r>
      <w:r w:rsidR="00C577AF" w:rsidRPr="00FE7377">
        <w:rPr>
          <w:color w:val="auto"/>
        </w:rPr>
        <w:t xml:space="preserve">We continue to engage closely with the Cambodian Government through the Annual Strategic Review to discuss outcomes of the previous intake and to set the strategic direction for the next intake of Australia Awards Scholarships. This dialogue also ensures the program is relevant in meeting the Cambodian Government’s human resource needs and aligned with our Cambodia </w:t>
      </w:r>
      <w:r w:rsidR="007075EA" w:rsidRPr="00FE7377">
        <w:rPr>
          <w:color w:val="auto"/>
        </w:rPr>
        <w:t xml:space="preserve">AIP </w:t>
      </w:r>
      <w:r w:rsidR="00C577AF" w:rsidRPr="00FE7377">
        <w:rPr>
          <w:color w:val="auto"/>
        </w:rPr>
        <w:t>2015-18. Through our promotion and selection processes, we place a strong emphasis on targeting mid-career professionals and emerging leaders in their respective fields, in both public and private sectors. This helps ensure a return on our investment</w:t>
      </w:r>
      <w:r w:rsidR="003D6685" w:rsidRPr="00FE7377">
        <w:rPr>
          <w:color w:val="auto"/>
        </w:rPr>
        <w:t xml:space="preserve">. </w:t>
      </w:r>
    </w:p>
    <w:p w14:paraId="5DA245F2" w14:textId="4FA20706" w:rsidR="009D067A" w:rsidRPr="00FA44A4" w:rsidRDefault="009D067A" w:rsidP="009D067A">
      <w:pPr>
        <w:rPr>
          <w:color w:val="auto"/>
          <w:lang w:val="en-AU"/>
        </w:rPr>
      </w:pPr>
      <w:r w:rsidRPr="00FE7377">
        <w:rPr>
          <w:b/>
          <w:color w:val="auto"/>
        </w:rPr>
        <w:t xml:space="preserve">Gender Equality: </w:t>
      </w:r>
      <w:r w:rsidRPr="00FE7377">
        <w:rPr>
          <w:color w:val="auto"/>
        </w:rPr>
        <w:t xml:space="preserve">The Cambodian Government recognises the importance of gender mainstreaming and empowering women to promote social and economic development. Cambodia has a </w:t>
      </w:r>
      <w:r w:rsidRPr="00FE7377">
        <w:rPr>
          <w:iCs/>
          <w:color w:val="auto"/>
        </w:rPr>
        <w:t>Five Year Strategic Plan for Gender Equality and Women’s Empowerment (2014-2018)</w:t>
      </w:r>
      <w:r w:rsidRPr="00FE7377">
        <w:rPr>
          <w:color w:val="auto"/>
        </w:rPr>
        <w:t xml:space="preserve">. The Australian </w:t>
      </w:r>
      <w:r w:rsidR="006806D6" w:rsidRPr="00FE7377">
        <w:rPr>
          <w:color w:val="auto"/>
        </w:rPr>
        <w:t xml:space="preserve">Embassy </w:t>
      </w:r>
      <w:r w:rsidRPr="00FE7377">
        <w:rPr>
          <w:color w:val="auto"/>
        </w:rPr>
        <w:t xml:space="preserve">developed a </w:t>
      </w:r>
      <w:r w:rsidRPr="00FE7377">
        <w:rPr>
          <w:iCs/>
          <w:color w:val="auto"/>
        </w:rPr>
        <w:t>Gender Action Plan</w:t>
      </w:r>
      <w:r w:rsidR="007075EA" w:rsidRPr="00FE7377">
        <w:rPr>
          <w:iCs/>
          <w:color w:val="auto"/>
        </w:rPr>
        <w:t xml:space="preserve"> (GAP)</w:t>
      </w:r>
      <w:r w:rsidRPr="00FE7377">
        <w:rPr>
          <w:iCs/>
          <w:color w:val="auto"/>
        </w:rPr>
        <w:t xml:space="preserve"> 2016-2017</w:t>
      </w:r>
      <w:r w:rsidRPr="00FE7377">
        <w:rPr>
          <w:color w:val="auto"/>
        </w:rPr>
        <w:t xml:space="preserve"> for our engagement in Cambodia to strengthen our gender equality and women’s empowerment outcomes across all elements of our work including </w:t>
      </w:r>
      <w:r w:rsidR="006806D6" w:rsidRPr="00FE7377">
        <w:rPr>
          <w:color w:val="auto"/>
        </w:rPr>
        <w:t xml:space="preserve">activities undertaken by </w:t>
      </w:r>
      <w:r w:rsidRPr="00FE7377">
        <w:rPr>
          <w:color w:val="auto"/>
        </w:rPr>
        <w:t xml:space="preserve">DFAT, Defence and the Department of Immigration and Border Protection within Cambodia. Progress against the GAP has been solid, </w:t>
      </w:r>
      <w:r w:rsidR="006806D6" w:rsidRPr="00FE7377">
        <w:rPr>
          <w:color w:val="auto"/>
        </w:rPr>
        <w:t xml:space="preserve">with </w:t>
      </w:r>
      <w:r w:rsidRPr="00FE7377">
        <w:rPr>
          <w:color w:val="auto"/>
        </w:rPr>
        <w:t xml:space="preserve">results including a panel discussion on achieving gender equality at our High Level Consultations on Aid in October 2016, </w:t>
      </w:r>
      <w:r w:rsidR="00246151" w:rsidRPr="00FE7377">
        <w:rPr>
          <w:color w:val="auto"/>
        </w:rPr>
        <w:t>and maintaining strong social media messaging on gender equality</w:t>
      </w:r>
      <w:r w:rsidR="005D30D1" w:rsidRPr="00FE7377">
        <w:rPr>
          <w:color w:val="auto"/>
        </w:rPr>
        <w:t xml:space="preserve">. </w:t>
      </w:r>
    </w:p>
    <w:p w14:paraId="356249E1" w14:textId="77777777" w:rsidR="002A51CA" w:rsidRPr="00280CC1" w:rsidRDefault="002A51CA" w:rsidP="002A4B77">
      <w:pPr>
        <w:pStyle w:val="Heading2"/>
        <w:rPr>
          <w:lang w:eastAsia="zh-CN"/>
        </w:rPr>
      </w:pPr>
      <w:r w:rsidRPr="00280CC1">
        <w:t xml:space="preserve">Program Quality and Partner Performance </w:t>
      </w:r>
      <w:r w:rsidRPr="00280CC1">
        <w:rPr>
          <w:lang w:eastAsia="zh-CN"/>
        </w:rPr>
        <w:tab/>
      </w:r>
      <w:r w:rsidRPr="00280CC1">
        <w:rPr>
          <w:lang w:eastAsia="zh-CN"/>
        </w:rPr>
        <w:tab/>
      </w:r>
    </w:p>
    <w:p w14:paraId="16B904F9" w14:textId="7FD8A51B" w:rsidR="00DC3091" w:rsidRPr="00FE7377" w:rsidRDefault="00690F45" w:rsidP="00DC3091">
      <w:pPr>
        <w:rPr>
          <w:color w:val="auto"/>
        </w:rPr>
      </w:pPr>
      <w:r w:rsidRPr="00FE7377">
        <w:rPr>
          <w:color w:val="auto"/>
        </w:rPr>
        <w:t xml:space="preserve">This year </w:t>
      </w:r>
      <w:r w:rsidR="000954A5" w:rsidRPr="00FE7377">
        <w:rPr>
          <w:color w:val="auto"/>
        </w:rPr>
        <w:t xml:space="preserve">we updated </w:t>
      </w:r>
      <w:r w:rsidR="00117C38" w:rsidRPr="00FE7377">
        <w:rPr>
          <w:color w:val="auto"/>
        </w:rPr>
        <w:t xml:space="preserve">our </w:t>
      </w:r>
      <w:r w:rsidR="000954A5" w:rsidRPr="00FE7377">
        <w:rPr>
          <w:color w:val="auto"/>
        </w:rPr>
        <w:t>Performance Assessment Framework (PAF)</w:t>
      </w:r>
      <w:r w:rsidR="00117C38" w:rsidRPr="00FE7377">
        <w:rPr>
          <w:color w:val="auto"/>
        </w:rPr>
        <w:t xml:space="preserve"> to improve its utility as a program management tool</w:t>
      </w:r>
      <w:r w:rsidR="00B51FA7" w:rsidRPr="00FE7377">
        <w:rPr>
          <w:color w:val="auto"/>
        </w:rPr>
        <w:t xml:space="preserve">. </w:t>
      </w:r>
      <w:r w:rsidR="000954A5" w:rsidRPr="00FE7377">
        <w:rPr>
          <w:color w:val="auto"/>
        </w:rPr>
        <w:t>The update</w:t>
      </w:r>
      <w:r w:rsidR="0048359C" w:rsidRPr="00FE7377">
        <w:rPr>
          <w:color w:val="auto"/>
        </w:rPr>
        <w:t>d</w:t>
      </w:r>
      <w:r w:rsidR="000954A5" w:rsidRPr="00FE7377">
        <w:rPr>
          <w:color w:val="auto"/>
        </w:rPr>
        <w:t xml:space="preserve"> PAF</w:t>
      </w:r>
      <w:r w:rsidR="00663C9A" w:rsidRPr="00FE7377">
        <w:rPr>
          <w:color w:val="auto"/>
        </w:rPr>
        <w:t xml:space="preserve"> (summarised at Annex E) </w:t>
      </w:r>
      <w:r w:rsidR="000954A5" w:rsidRPr="00FE7377">
        <w:rPr>
          <w:color w:val="auto"/>
        </w:rPr>
        <w:t xml:space="preserve">aims to generate more meaningful, compelling information and realistic indicators to measure, manage and report on the performance of Australia’s </w:t>
      </w:r>
      <w:r w:rsidR="00663C9A" w:rsidRPr="00FE7377">
        <w:rPr>
          <w:color w:val="auto"/>
        </w:rPr>
        <w:t>aid</w:t>
      </w:r>
      <w:r w:rsidR="000954A5" w:rsidRPr="00FE7377">
        <w:rPr>
          <w:color w:val="auto"/>
        </w:rPr>
        <w:t xml:space="preserve"> program in Cambodia</w:t>
      </w:r>
      <w:r w:rsidR="00B51FA7" w:rsidRPr="00FE7377">
        <w:rPr>
          <w:color w:val="auto"/>
        </w:rPr>
        <w:t xml:space="preserve">. </w:t>
      </w:r>
      <w:r w:rsidR="00622227" w:rsidRPr="00FE7377">
        <w:rPr>
          <w:color w:val="auto"/>
        </w:rPr>
        <w:t>Our PAF will</w:t>
      </w:r>
      <w:r w:rsidR="0061764A" w:rsidRPr="00FE7377">
        <w:rPr>
          <w:color w:val="auto"/>
        </w:rPr>
        <w:t xml:space="preserve"> guide </w:t>
      </w:r>
      <w:r w:rsidR="000954A5" w:rsidRPr="00FE7377">
        <w:rPr>
          <w:color w:val="auto"/>
        </w:rPr>
        <w:t xml:space="preserve">the priorities of the program by informing sector plans and program designs; </w:t>
      </w:r>
      <w:r w:rsidR="0061764A" w:rsidRPr="00FE7377">
        <w:rPr>
          <w:color w:val="auto"/>
        </w:rPr>
        <w:t>support</w:t>
      </w:r>
      <w:r w:rsidR="007075EA" w:rsidRPr="00FE7377">
        <w:rPr>
          <w:color w:val="auto"/>
        </w:rPr>
        <w:t>ing</w:t>
      </w:r>
      <w:r w:rsidR="0061764A" w:rsidRPr="00FE7377">
        <w:rPr>
          <w:color w:val="auto"/>
        </w:rPr>
        <w:t xml:space="preserve"> </w:t>
      </w:r>
      <w:r w:rsidR="000954A5" w:rsidRPr="00FE7377">
        <w:rPr>
          <w:color w:val="auto"/>
        </w:rPr>
        <w:t xml:space="preserve">public </w:t>
      </w:r>
      <w:r w:rsidR="00741C66" w:rsidRPr="00FE7377">
        <w:rPr>
          <w:color w:val="auto"/>
        </w:rPr>
        <w:t>diplomacy efforts; and</w:t>
      </w:r>
      <w:r w:rsidR="007075EA" w:rsidRPr="00FE7377">
        <w:rPr>
          <w:color w:val="auto"/>
        </w:rPr>
        <w:t xml:space="preserve">, </w:t>
      </w:r>
      <w:r w:rsidR="0061764A" w:rsidRPr="00FE7377">
        <w:rPr>
          <w:color w:val="auto"/>
        </w:rPr>
        <w:t>foster</w:t>
      </w:r>
      <w:r w:rsidR="007075EA" w:rsidRPr="00FE7377">
        <w:rPr>
          <w:color w:val="auto"/>
        </w:rPr>
        <w:t>ing</w:t>
      </w:r>
      <w:r w:rsidR="000954A5" w:rsidRPr="00FE7377">
        <w:rPr>
          <w:color w:val="auto"/>
        </w:rPr>
        <w:t xml:space="preserve"> collaboration across the program</w:t>
      </w:r>
      <w:r w:rsidR="00B51FA7" w:rsidRPr="00FE7377">
        <w:rPr>
          <w:color w:val="auto"/>
        </w:rPr>
        <w:t xml:space="preserve">. </w:t>
      </w:r>
      <w:r w:rsidR="000954A5" w:rsidRPr="00FE7377">
        <w:rPr>
          <w:color w:val="auto"/>
        </w:rPr>
        <w:t xml:space="preserve">The PAF articulates Australia’s development cooperation goals in </w:t>
      </w:r>
      <w:r w:rsidR="0048359C" w:rsidRPr="00FE7377">
        <w:rPr>
          <w:color w:val="auto"/>
        </w:rPr>
        <w:t xml:space="preserve">Cambodia </w:t>
      </w:r>
      <w:r w:rsidR="000954A5" w:rsidRPr="00FE7377">
        <w:rPr>
          <w:color w:val="auto"/>
        </w:rPr>
        <w:t xml:space="preserve">through </w:t>
      </w:r>
      <w:r w:rsidR="0061764A" w:rsidRPr="00FE7377">
        <w:rPr>
          <w:color w:val="auto"/>
        </w:rPr>
        <w:t>our t</w:t>
      </w:r>
      <w:r w:rsidR="000954A5" w:rsidRPr="00FE7377">
        <w:rPr>
          <w:color w:val="auto"/>
        </w:rPr>
        <w:t>hree strategic objectives plus a cross cutting section</w:t>
      </w:r>
      <w:r w:rsidRPr="00FE7377">
        <w:rPr>
          <w:color w:val="auto"/>
        </w:rPr>
        <w:t xml:space="preserve">. </w:t>
      </w:r>
      <w:r w:rsidR="000954A5" w:rsidRPr="00FE7377">
        <w:rPr>
          <w:color w:val="auto"/>
        </w:rPr>
        <w:t>In this APPR, we are now reporting the r</w:t>
      </w:r>
      <w:r w:rsidR="00741C66" w:rsidRPr="00FE7377">
        <w:rPr>
          <w:color w:val="auto"/>
        </w:rPr>
        <w:t>esults generated against seven Performance B</w:t>
      </w:r>
      <w:r w:rsidR="000954A5" w:rsidRPr="00FE7377">
        <w:rPr>
          <w:color w:val="auto"/>
        </w:rPr>
        <w:t xml:space="preserve">enchmarks (Annex B) and the </w:t>
      </w:r>
      <w:r w:rsidR="00663C9A" w:rsidRPr="00FE7377">
        <w:rPr>
          <w:color w:val="auto"/>
        </w:rPr>
        <w:t xml:space="preserve">PAF </w:t>
      </w:r>
      <w:r w:rsidR="000954A5" w:rsidRPr="00FE7377">
        <w:rPr>
          <w:color w:val="auto"/>
        </w:rPr>
        <w:t xml:space="preserve">outcome </w:t>
      </w:r>
      <w:r w:rsidR="00663C9A" w:rsidRPr="00FE7377">
        <w:rPr>
          <w:color w:val="auto"/>
        </w:rPr>
        <w:t>indicators.</w:t>
      </w:r>
    </w:p>
    <w:p w14:paraId="53007BD4" w14:textId="7CE8554B" w:rsidR="008E4A1C" w:rsidRPr="00FE7377" w:rsidRDefault="004C1958" w:rsidP="00DC3091">
      <w:pPr>
        <w:rPr>
          <w:color w:val="auto"/>
        </w:rPr>
      </w:pPr>
      <w:r w:rsidRPr="00FE7377">
        <w:rPr>
          <w:color w:val="auto"/>
        </w:rPr>
        <w:t xml:space="preserve">In 2016-17, </w:t>
      </w:r>
      <w:r w:rsidR="00C85340" w:rsidRPr="00FE7377">
        <w:rPr>
          <w:color w:val="auto"/>
        </w:rPr>
        <w:t>the program</w:t>
      </w:r>
      <w:r w:rsidRPr="00FE7377">
        <w:rPr>
          <w:color w:val="auto"/>
        </w:rPr>
        <w:t xml:space="preserve"> had 20 investments</w:t>
      </w:r>
      <w:r w:rsidR="00B819AD" w:rsidRPr="00FE7377">
        <w:rPr>
          <w:color w:val="auto"/>
        </w:rPr>
        <w:t xml:space="preserve">, </w:t>
      </w:r>
      <w:r w:rsidRPr="00FE7377">
        <w:rPr>
          <w:color w:val="auto"/>
        </w:rPr>
        <w:t>encompass</w:t>
      </w:r>
      <w:r w:rsidR="00246151" w:rsidRPr="00FE7377">
        <w:rPr>
          <w:color w:val="auto"/>
        </w:rPr>
        <w:t>ing</w:t>
      </w:r>
      <w:r w:rsidRPr="00FE7377">
        <w:rPr>
          <w:color w:val="auto"/>
        </w:rPr>
        <w:t xml:space="preserve"> </w:t>
      </w:r>
      <w:r w:rsidR="00D00C7A" w:rsidRPr="00FE7377">
        <w:rPr>
          <w:color w:val="auto"/>
        </w:rPr>
        <w:t>31</w:t>
      </w:r>
      <w:r w:rsidRPr="00FE7377">
        <w:rPr>
          <w:color w:val="auto"/>
        </w:rPr>
        <w:t xml:space="preserve"> agreements. This compare</w:t>
      </w:r>
      <w:r w:rsidR="00B819AD" w:rsidRPr="00FE7377">
        <w:rPr>
          <w:color w:val="auto"/>
        </w:rPr>
        <w:t>s</w:t>
      </w:r>
      <w:r w:rsidRPr="00FE7377">
        <w:rPr>
          <w:color w:val="auto"/>
        </w:rPr>
        <w:t xml:space="preserve"> to </w:t>
      </w:r>
      <w:r w:rsidR="00D00C7A" w:rsidRPr="00FE7377">
        <w:rPr>
          <w:color w:val="auto"/>
        </w:rPr>
        <w:t>26</w:t>
      </w:r>
      <w:r w:rsidRPr="00FE7377">
        <w:rPr>
          <w:color w:val="auto"/>
        </w:rPr>
        <w:t xml:space="preserve"> investments and </w:t>
      </w:r>
      <w:r w:rsidR="00D00C7A" w:rsidRPr="00FE7377">
        <w:rPr>
          <w:color w:val="auto"/>
        </w:rPr>
        <w:t>53</w:t>
      </w:r>
      <w:r w:rsidRPr="00FE7377">
        <w:rPr>
          <w:color w:val="auto"/>
        </w:rPr>
        <w:t xml:space="preserve"> a</w:t>
      </w:r>
      <w:r w:rsidR="00D00C7A" w:rsidRPr="00FE7377">
        <w:rPr>
          <w:color w:val="auto"/>
        </w:rPr>
        <w:t>greements in 2015-16</w:t>
      </w:r>
      <w:r w:rsidR="00622227" w:rsidRPr="00FE7377">
        <w:rPr>
          <w:color w:val="auto"/>
        </w:rPr>
        <w:t xml:space="preserve">. This represents a </w:t>
      </w:r>
      <w:r w:rsidR="00D00C7A" w:rsidRPr="00FE7377">
        <w:rPr>
          <w:color w:val="auto"/>
        </w:rPr>
        <w:t>42</w:t>
      </w:r>
      <w:r w:rsidRPr="00FE7377">
        <w:rPr>
          <w:color w:val="auto"/>
        </w:rPr>
        <w:t xml:space="preserve"> per cent consolidation</w:t>
      </w:r>
      <w:r w:rsidR="00B819AD" w:rsidRPr="00FE7377">
        <w:rPr>
          <w:color w:val="auto"/>
        </w:rPr>
        <w:t xml:space="preserve"> this year</w:t>
      </w:r>
      <w:r w:rsidRPr="00FE7377">
        <w:rPr>
          <w:color w:val="auto"/>
        </w:rPr>
        <w:t xml:space="preserve"> at the a</w:t>
      </w:r>
      <w:r w:rsidR="00C85340" w:rsidRPr="00FE7377">
        <w:rPr>
          <w:color w:val="auto"/>
        </w:rPr>
        <w:t>greement level</w:t>
      </w:r>
      <w:r w:rsidRPr="00FE7377">
        <w:rPr>
          <w:color w:val="auto"/>
        </w:rPr>
        <w:t xml:space="preserve">. </w:t>
      </w:r>
    </w:p>
    <w:p w14:paraId="549B56C5" w14:textId="359895A4" w:rsidR="004C1958" w:rsidRPr="00FE7377" w:rsidRDefault="003F0A69" w:rsidP="008E4A1C">
      <w:pPr>
        <w:spacing w:after="120" w:line="280" w:lineRule="exact"/>
        <w:rPr>
          <w:color w:val="auto"/>
        </w:rPr>
      </w:pPr>
      <w:r w:rsidRPr="00FE7377">
        <w:rPr>
          <w:color w:val="auto"/>
        </w:rPr>
        <w:t>We assessed our implementing partners through 16 Partner Performance Assessments (PPAs).</w:t>
      </w:r>
      <w:r w:rsidR="008E4A1C" w:rsidRPr="00FE7377">
        <w:rPr>
          <w:color w:val="auto"/>
        </w:rPr>
        <w:t xml:space="preserve"> We worked with </w:t>
      </w:r>
      <w:r w:rsidR="00B819AD" w:rsidRPr="00FE7377">
        <w:rPr>
          <w:color w:val="auto"/>
        </w:rPr>
        <w:t xml:space="preserve">a </w:t>
      </w:r>
      <w:r w:rsidR="008E4A1C" w:rsidRPr="00FE7377">
        <w:rPr>
          <w:color w:val="auto"/>
        </w:rPr>
        <w:t xml:space="preserve">diverse portfolio of partners including multilateral organisations commercial service suppliers, </w:t>
      </w:r>
      <w:r w:rsidR="00BD077D" w:rsidRPr="00FE7377">
        <w:rPr>
          <w:color w:val="auto"/>
        </w:rPr>
        <w:br/>
      </w:r>
      <w:r w:rsidR="00692DEF" w:rsidRPr="00FE7377">
        <w:rPr>
          <w:color w:val="auto"/>
        </w:rPr>
        <w:t>NGOs</w:t>
      </w:r>
      <w:r w:rsidR="008E4A1C" w:rsidRPr="00FE7377">
        <w:rPr>
          <w:color w:val="auto"/>
        </w:rPr>
        <w:t xml:space="preserve"> and other agencies. PPA scores in all criteria were higher than satisfactory level.</w:t>
      </w:r>
    </w:p>
    <w:p w14:paraId="12D967C0" w14:textId="521A39F2" w:rsidR="007075EA" w:rsidRPr="00FE7377" w:rsidRDefault="00690F45" w:rsidP="00FE7377">
      <w:pPr>
        <w:suppressAutoHyphens w:val="0"/>
        <w:spacing w:before="0" w:after="120" w:line="240" w:lineRule="auto"/>
        <w:rPr>
          <w:color w:val="auto"/>
        </w:rPr>
      </w:pPr>
      <w:r w:rsidRPr="00FE7377">
        <w:rPr>
          <w:color w:val="auto"/>
        </w:rPr>
        <w:t>This year</w:t>
      </w:r>
      <w:r w:rsidR="003F0A69" w:rsidRPr="00FE7377">
        <w:rPr>
          <w:color w:val="auto"/>
        </w:rPr>
        <w:t xml:space="preserve"> </w:t>
      </w:r>
      <w:r w:rsidR="004B0A61" w:rsidRPr="00FE7377">
        <w:rPr>
          <w:color w:val="auto"/>
        </w:rPr>
        <w:t>one</w:t>
      </w:r>
      <w:r w:rsidR="002E7F57" w:rsidRPr="00FE7377">
        <w:rPr>
          <w:color w:val="auto"/>
        </w:rPr>
        <w:t xml:space="preserve"> </w:t>
      </w:r>
      <w:r w:rsidR="000B5618" w:rsidRPr="00FE7377">
        <w:rPr>
          <w:color w:val="auto"/>
        </w:rPr>
        <w:t>independent evaluation</w:t>
      </w:r>
      <w:r w:rsidR="003F0A69" w:rsidRPr="00FE7377">
        <w:rPr>
          <w:color w:val="auto"/>
        </w:rPr>
        <w:t xml:space="preserve"> </w:t>
      </w:r>
      <w:r w:rsidR="000B5618" w:rsidRPr="00FE7377">
        <w:rPr>
          <w:color w:val="auto"/>
        </w:rPr>
        <w:t>w</w:t>
      </w:r>
      <w:r w:rsidR="004B0A61" w:rsidRPr="00FE7377">
        <w:rPr>
          <w:color w:val="auto"/>
        </w:rPr>
        <w:t>as</w:t>
      </w:r>
      <w:r w:rsidR="003F0A69" w:rsidRPr="00FE7377">
        <w:rPr>
          <w:color w:val="auto"/>
        </w:rPr>
        <w:t xml:space="preserve"> undertaken (</w:t>
      </w:r>
      <w:r w:rsidR="00C85340" w:rsidRPr="00FE7377">
        <w:rPr>
          <w:color w:val="auto"/>
        </w:rPr>
        <w:t xml:space="preserve">Cambodia Agriculture Value Chain Program </w:t>
      </w:r>
      <w:r w:rsidR="00B819AD" w:rsidRPr="00FE7377">
        <w:rPr>
          <w:color w:val="auto"/>
        </w:rPr>
        <w:br/>
      </w:r>
      <w:r w:rsidR="00C85340" w:rsidRPr="00FE7377">
        <w:rPr>
          <w:color w:val="auto"/>
        </w:rPr>
        <w:t>Phase 1</w:t>
      </w:r>
      <w:r w:rsidR="00601A65" w:rsidRPr="00FE7377">
        <w:rPr>
          <w:color w:val="auto"/>
        </w:rPr>
        <w:t>)</w:t>
      </w:r>
      <w:r w:rsidR="00622227" w:rsidRPr="00FE7377">
        <w:rPr>
          <w:color w:val="auto"/>
        </w:rPr>
        <w:t xml:space="preserve">. </w:t>
      </w:r>
      <w:r w:rsidR="004B0A61" w:rsidRPr="00FE7377">
        <w:rPr>
          <w:color w:val="auto"/>
        </w:rPr>
        <w:t>Three</w:t>
      </w:r>
      <w:r w:rsidR="00117C38" w:rsidRPr="00FE7377">
        <w:rPr>
          <w:color w:val="auto"/>
        </w:rPr>
        <w:t xml:space="preserve"> </w:t>
      </w:r>
      <w:r w:rsidR="004C1958" w:rsidRPr="00FE7377">
        <w:rPr>
          <w:color w:val="auto"/>
        </w:rPr>
        <w:t>completion reports</w:t>
      </w:r>
      <w:r w:rsidR="003F0A69" w:rsidRPr="00FE7377">
        <w:rPr>
          <w:color w:val="auto"/>
        </w:rPr>
        <w:t xml:space="preserve"> (</w:t>
      </w:r>
      <w:r w:rsidR="004B0A61" w:rsidRPr="00FE7377">
        <w:rPr>
          <w:color w:val="auto"/>
        </w:rPr>
        <w:t xml:space="preserve">Human Resources for Health; </w:t>
      </w:r>
      <w:r w:rsidR="006B5516" w:rsidRPr="00FE7377">
        <w:rPr>
          <w:color w:val="auto"/>
        </w:rPr>
        <w:t>Flood Damage Emergency Reconstruction Project</w:t>
      </w:r>
      <w:r w:rsidR="00B819AD" w:rsidRPr="00FE7377">
        <w:rPr>
          <w:color w:val="auto"/>
        </w:rPr>
        <w:t>;</w:t>
      </w:r>
      <w:r w:rsidR="006B5516" w:rsidRPr="00FE7377">
        <w:rPr>
          <w:color w:val="auto"/>
        </w:rPr>
        <w:t xml:space="preserve"> and</w:t>
      </w:r>
      <w:r w:rsidR="00B819AD" w:rsidRPr="00FE7377">
        <w:rPr>
          <w:color w:val="auto"/>
        </w:rPr>
        <w:t xml:space="preserve">, </w:t>
      </w:r>
      <w:r w:rsidR="004B0A61" w:rsidRPr="00FE7377">
        <w:rPr>
          <w:color w:val="auto"/>
        </w:rPr>
        <w:t xml:space="preserve">the </w:t>
      </w:r>
      <w:r w:rsidR="00601A65" w:rsidRPr="00FE7377">
        <w:rPr>
          <w:color w:val="auto"/>
        </w:rPr>
        <w:t xml:space="preserve">Second </w:t>
      </w:r>
      <w:r w:rsidR="006B5516" w:rsidRPr="00FE7377">
        <w:rPr>
          <w:color w:val="auto"/>
        </w:rPr>
        <w:t>Health Sector Support Program</w:t>
      </w:r>
      <w:r w:rsidR="003F0A69" w:rsidRPr="00FE7377">
        <w:rPr>
          <w:color w:val="auto"/>
        </w:rPr>
        <w:t>) were finalised</w:t>
      </w:r>
      <w:r w:rsidR="004C1958" w:rsidRPr="00FE7377">
        <w:rPr>
          <w:color w:val="auto"/>
        </w:rPr>
        <w:t xml:space="preserve">. </w:t>
      </w:r>
      <w:r w:rsidR="00AE41C8" w:rsidRPr="00FE7377">
        <w:rPr>
          <w:color w:val="auto"/>
        </w:rPr>
        <w:t>The findings, recommendations and lessons learns of our monitoring and evaluation efforts inform our on-going and planned investments</w:t>
      </w:r>
      <w:r w:rsidR="003F0A69" w:rsidRPr="00FE7377">
        <w:rPr>
          <w:color w:val="auto"/>
        </w:rPr>
        <w:t xml:space="preserve">. </w:t>
      </w:r>
      <w:r w:rsidR="00483B7E" w:rsidRPr="00FE7377">
        <w:rPr>
          <w:color w:val="auto"/>
        </w:rPr>
        <w:t xml:space="preserve">We prepared management responses to the review recommendations to improve program performance. </w:t>
      </w:r>
      <w:r w:rsidR="00C85340" w:rsidRPr="00FE7377">
        <w:rPr>
          <w:color w:val="auto"/>
        </w:rPr>
        <w:t>In 2017-18</w:t>
      </w:r>
      <w:r w:rsidR="004C1958" w:rsidRPr="00FE7377">
        <w:rPr>
          <w:color w:val="auto"/>
        </w:rPr>
        <w:t xml:space="preserve">, we </w:t>
      </w:r>
      <w:r w:rsidR="003F0A69" w:rsidRPr="00FE7377">
        <w:rPr>
          <w:color w:val="auto"/>
        </w:rPr>
        <w:t xml:space="preserve">will </w:t>
      </w:r>
      <w:r w:rsidR="004C1958" w:rsidRPr="00FE7377">
        <w:rPr>
          <w:color w:val="auto"/>
        </w:rPr>
        <w:t xml:space="preserve">conduct </w:t>
      </w:r>
      <w:r w:rsidR="003F0A69" w:rsidRPr="00FE7377">
        <w:rPr>
          <w:color w:val="auto"/>
        </w:rPr>
        <w:t>a</w:t>
      </w:r>
      <w:r w:rsidR="002E7F57" w:rsidRPr="00FE7377">
        <w:rPr>
          <w:color w:val="auto"/>
        </w:rPr>
        <w:t xml:space="preserve"> mid-term</w:t>
      </w:r>
      <w:r w:rsidR="003F0A69" w:rsidRPr="00FE7377">
        <w:rPr>
          <w:color w:val="auto"/>
        </w:rPr>
        <w:t xml:space="preserve"> </w:t>
      </w:r>
      <w:r w:rsidR="004C1958" w:rsidRPr="00FE7377">
        <w:rPr>
          <w:color w:val="auto"/>
        </w:rPr>
        <w:t xml:space="preserve">evaluation </w:t>
      </w:r>
      <w:r w:rsidR="003F0A69" w:rsidRPr="00FE7377">
        <w:rPr>
          <w:color w:val="auto"/>
        </w:rPr>
        <w:t>of CAVAC II</w:t>
      </w:r>
      <w:r w:rsidR="005A58F5" w:rsidRPr="00FE7377">
        <w:rPr>
          <w:color w:val="auto"/>
        </w:rPr>
        <w:t xml:space="preserve"> and a scalability review for 3i</w:t>
      </w:r>
      <w:r w:rsidR="003F0A69" w:rsidRPr="00FE7377">
        <w:rPr>
          <w:color w:val="auto"/>
        </w:rPr>
        <w:t>.</w:t>
      </w:r>
      <w:r w:rsidR="004C1958" w:rsidRPr="00FE7377">
        <w:rPr>
          <w:color w:val="auto"/>
        </w:rPr>
        <w:t xml:space="preserve"> Annex C lists details </w:t>
      </w:r>
      <w:r w:rsidR="00D4678D" w:rsidRPr="00FE7377">
        <w:rPr>
          <w:color w:val="auto"/>
        </w:rPr>
        <w:t xml:space="preserve">of planned </w:t>
      </w:r>
      <w:r w:rsidR="004C1958" w:rsidRPr="00FE7377">
        <w:rPr>
          <w:color w:val="auto"/>
        </w:rPr>
        <w:t>evaluations and reviews.</w:t>
      </w:r>
      <w:r w:rsidR="00017613" w:rsidRPr="00FE7377">
        <w:rPr>
          <w:color w:val="auto"/>
        </w:rPr>
        <w:t xml:space="preserve"> </w:t>
      </w:r>
    </w:p>
    <w:p w14:paraId="0C5F95D1" w14:textId="52549B5F" w:rsidR="00600479" w:rsidRPr="00FE7377" w:rsidRDefault="00600479" w:rsidP="00BE6C6D">
      <w:pPr>
        <w:rPr>
          <w:b/>
          <w:color w:val="auto"/>
          <w:lang w:eastAsia="zh-CN"/>
        </w:rPr>
      </w:pPr>
      <w:r w:rsidRPr="00FE7377">
        <w:rPr>
          <w:b/>
          <w:color w:val="auto"/>
          <w:lang w:eastAsia="zh-CN"/>
        </w:rPr>
        <w:t>Aid Quality Checks (AQCs)</w:t>
      </w:r>
    </w:p>
    <w:p w14:paraId="4A032102" w14:textId="77777777" w:rsidR="000112B2" w:rsidRPr="00FE7377" w:rsidRDefault="00BE27B4" w:rsidP="000954A5">
      <w:pPr>
        <w:spacing w:after="120" w:line="280" w:lineRule="exact"/>
        <w:rPr>
          <w:color w:val="auto"/>
        </w:rPr>
      </w:pPr>
      <w:r w:rsidRPr="00FE7377">
        <w:rPr>
          <w:color w:val="auto"/>
        </w:rPr>
        <w:t xml:space="preserve">In 2016-17, </w:t>
      </w:r>
      <w:r w:rsidR="008712AD" w:rsidRPr="00FE7377">
        <w:rPr>
          <w:color w:val="auto"/>
        </w:rPr>
        <w:t>18</w:t>
      </w:r>
      <w:r w:rsidR="000954A5" w:rsidRPr="00FE7377">
        <w:rPr>
          <w:color w:val="auto"/>
        </w:rPr>
        <w:t xml:space="preserve"> Aid </w:t>
      </w:r>
      <w:r w:rsidR="003F0A69" w:rsidRPr="00FE7377">
        <w:rPr>
          <w:color w:val="auto"/>
        </w:rPr>
        <w:t>Quality Checks (AQCs)—</w:t>
      </w:r>
      <w:r w:rsidR="000954A5" w:rsidRPr="00FE7377">
        <w:rPr>
          <w:color w:val="auto"/>
        </w:rPr>
        <w:t>including</w:t>
      </w:r>
      <w:r w:rsidR="003F0A69" w:rsidRPr="00FE7377">
        <w:rPr>
          <w:color w:val="auto"/>
        </w:rPr>
        <w:t xml:space="preserve"> </w:t>
      </w:r>
      <w:r w:rsidRPr="00FE7377">
        <w:rPr>
          <w:color w:val="auto"/>
        </w:rPr>
        <w:t>four</w:t>
      </w:r>
      <w:r w:rsidR="000954A5" w:rsidRPr="00FE7377">
        <w:rPr>
          <w:color w:val="auto"/>
        </w:rPr>
        <w:t xml:space="preserve"> F</w:t>
      </w:r>
      <w:r w:rsidR="003F0A69" w:rsidRPr="00FE7377">
        <w:rPr>
          <w:color w:val="auto"/>
        </w:rPr>
        <w:t>inal Aid Quality Checks</w:t>
      </w:r>
      <w:r w:rsidR="00B819AD" w:rsidRPr="00FE7377">
        <w:rPr>
          <w:color w:val="auto"/>
        </w:rPr>
        <w:t xml:space="preserve"> (FAQCs)</w:t>
      </w:r>
      <w:r w:rsidR="003F0A69" w:rsidRPr="00FE7377">
        <w:rPr>
          <w:color w:val="auto"/>
        </w:rPr>
        <w:t>—</w:t>
      </w:r>
      <w:r w:rsidR="000954A5" w:rsidRPr="00FE7377">
        <w:rPr>
          <w:color w:val="auto"/>
        </w:rPr>
        <w:t>were</w:t>
      </w:r>
      <w:r w:rsidR="003F0A69" w:rsidRPr="00FE7377">
        <w:rPr>
          <w:color w:val="auto"/>
        </w:rPr>
        <w:t xml:space="preserve"> </w:t>
      </w:r>
      <w:r w:rsidR="005B52C3" w:rsidRPr="00FE7377">
        <w:rPr>
          <w:color w:val="auto"/>
        </w:rPr>
        <w:t xml:space="preserve">prepared </w:t>
      </w:r>
      <w:r w:rsidR="000954A5" w:rsidRPr="00FE7377">
        <w:rPr>
          <w:color w:val="auto"/>
        </w:rPr>
        <w:t>as part of the annual aid program performance cycle</w:t>
      </w:r>
      <w:r w:rsidR="00B51FA7" w:rsidRPr="00FE7377">
        <w:rPr>
          <w:color w:val="auto"/>
        </w:rPr>
        <w:t xml:space="preserve">. </w:t>
      </w:r>
      <w:r w:rsidR="00483B7E" w:rsidRPr="00FE7377">
        <w:rPr>
          <w:color w:val="auto"/>
        </w:rPr>
        <w:t>An external party moderated thirteen of these</w:t>
      </w:r>
      <w:r w:rsidR="00246151" w:rsidRPr="00FE7377">
        <w:rPr>
          <w:color w:val="auto"/>
        </w:rPr>
        <w:t xml:space="preserve">. </w:t>
      </w:r>
      <w:r w:rsidR="00483B7E" w:rsidRPr="00FE7377">
        <w:rPr>
          <w:color w:val="auto"/>
        </w:rPr>
        <w:br/>
      </w:r>
      <w:r w:rsidR="00B819AD" w:rsidRPr="00FE7377">
        <w:rPr>
          <w:color w:val="auto"/>
        </w:rPr>
        <w:t xml:space="preserve">Annex D lists </w:t>
      </w:r>
      <w:r w:rsidR="003F0A69" w:rsidRPr="00FE7377">
        <w:rPr>
          <w:color w:val="auto"/>
        </w:rPr>
        <w:t>AQC</w:t>
      </w:r>
      <w:r w:rsidR="00B819AD" w:rsidRPr="00FE7377">
        <w:rPr>
          <w:color w:val="auto"/>
        </w:rPr>
        <w:t xml:space="preserve"> and FAQC</w:t>
      </w:r>
      <w:r w:rsidR="003F0A69" w:rsidRPr="00FE7377">
        <w:rPr>
          <w:color w:val="auto"/>
        </w:rPr>
        <w:t xml:space="preserve"> ratings for </w:t>
      </w:r>
      <w:r w:rsidR="00690F45" w:rsidRPr="00FE7377">
        <w:rPr>
          <w:color w:val="auto"/>
        </w:rPr>
        <w:t>this year</w:t>
      </w:r>
      <w:r w:rsidR="003F0A69" w:rsidRPr="00FE7377">
        <w:rPr>
          <w:color w:val="auto"/>
        </w:rPr>
        <w:t>, along with 2015-16 AQC ratings for comparison</w:t>
      </w:r>
      <w:r w:rsidR="00D727CD" w:rsidRPr="00FE7377">
        <w:rPr>
          <w:color w:val="auto"/>
        </w:rPr>
        <w:t xml:space="preserve">. </w:t>
      </w:r>
    </w:p>
    <w:p w14:paraId="75161866" w14:textId="36528CD9" w:rsidR="00FB5F78" w:rsidRPr="00FE7377" w:rsidRDefault="000112B2" w:rsidP="000954A5">
      <w:pPr>
        <w:spacing w:after="120" w:line="280" w:lineRule="exact"/>
        <w:rPr>
          <w:color w:val="auto"/>
        </w:rPr>
      </w:pPr>
      <w:r w:rsidRPr="00FE7377">
        <w:rPr>
          <w:color w:val="auto"/>
        </w:rPr>
        <w:lastRenderedPageBreak/>
        <w:t>The overall ratings across the program confirm the quality of our investments. Of the 1</w:t>
      </w:r>
      <w:r w:rsidR="00BE5AEA" w:rsidRPr="00FE7377">
        <w:rPr>
          <w:color w:val="auto"/>
        </w:rPr>
        <w:t>8</w:t>
      </w:r>
      <w:r w:rsidRPr="00FE7377">
        <w:rPr>
          <w:color w:val="auto"/>
        </w:rPr>
        <w:t> i</w:t>
      </w:r>
      <w:r w:rsidR="00741C66" w:rsidRPr="00FE7377">
        <w:rPr>
          <w:color w:val="auto"/>
        </w:rPr>
        <w:t>nvestments assessed through the</w:t>
      </w:r>
      <w:r w:rsidR="00BE5AEA" w:rsidRPr="00FE7377">
        <w:rPr>
          <w:color w:val="auto"/>
        </w:rPr>
        <w:t xml:space="preserve"> AQC</w:t>
      </w:r>
      <w:r w:rsidR="00741C66" w:rsidRPr="00FE7377">
        <w:rPr>
          <w:color w:val="auto"/>
        </w:rPr>
        <w:t xml:space="preserve"> process</w:t>
      </w:r>
      <w:r w:rsidR="00BE5AEA" w:rsidRPr="00FE7377">
        <w:rPr>
          <w:color w:val="auto"/>
        </w:rPr>
        <w:t>, 1</w:t>
      </w:r>
      <w:r w:rsidR="00542339" w:rsidRPr="00FE7377">
        <w:rPr>
          <w:color w:val="auto"/>
        </w:rPr>
        <w:t>0</w:t>
      </w:r>
      <w:r w:rsidRPr="00FE7377">
        <w:rPr>
          <w:color w:val="auto"/>
        </w:rPr>
        <w:t xml:space="preserve"> were rated satisfactory for all criteria</w:t>
      </w:r>
      <w:r w:rsidR="00B51FA7" w:rsidRPr="00FE7377">
        <w:rPr>
          <w:color w:val="auto"/>
        </w:rPr>
        <w:t xml:space="preserve">. </w:t>
      </w:r>
      <w:r w:rsidR="00261D61" w:rsidRPr="00FE7377">
        <w:rPr>
          <w:color w:val="auto"/>
        </w:rPr>
        <w:t xml:space="preserve">Sixteen </w:t>
      </w:r>
      <w:r w:rsidRPr="00FE7377">
        <w:rPr>
          <w:color w:val="auto"/>
        </w:rPr>
        <w:t>investments, regardless of their objectives, effectively addressed gender issues in their implementation</w:t>
      </w:r>
      <w:r w:rsidR="00747757" w:rsidRPr="00FE7377">
        <w:rPr>
          <w:color w:val="auto"/>
        </w:rPr>
        <w:t xml:space="preserve"> and 10 investments addressed climate change. </w:t>
      </w:r>
      <w:r w:rsidR="00542339" w:rsidRPr="00FE7377">
        <w:rPr>
          <w:color w:val="auto"/>
        </w:rPr>
        <w:t xml:space="preserve">Of these investments, </w:t>
      </w:r>
      <w:r w:rsidRPr="00FE7377">
        <w:rPr>
          <w:color w:val="auto"/>
        </w:rPr>
        <w:t>89</w:t>
      </w:r>
      <w:r w:rsidR="006B5516" w:rsidRPr="00FE7377">
        <w:rPr>
          <w:color w:val="auto"/>
        </w:rPr>
        <w:t xml:space="preserve"> </w:t>
      </w:r>
      <w:r w:rsidR="00663C9A" w:rsidRPr="00FE7377">
        <w:rPr>
          <w:color w:val="auto"/>
        </w:rPr>
        <w:t>per cent</w:t>
      </w:r>
      <w:r w:rsidRPr="00FE7377">
        <w:rPr>
          <w:color w:val="auto"/>
        </w:rPr>
        <w:t xml:space="preserve"> received </w:t>
      </w:r>
      <w:r w:rsidR="00542339" w:rsidRPr="00FE7377">
        <w:rPr>
          <w:color w:val="auto"/>
        </w:rPr>
        <w:t xml:space="preserve">satisfactory scores or higher for </w:t>
      </w:r>
      <w:r w:rsidR="008E4A1C" w:rsidRPr="00FE7377">
        <w:rPr>
          <w:color w:val="auto"/>
        </w:rPr>
        <w:t>g</w:t>
      </w:r>
      <w:r w:rsidRPr="00FE7377">
        <w:rPr>
          <w:color w:val="auto"/>
        </w:rPr>
        <w:t xml:space="preserve">ender </w:t>
      </w:r>
      <w:r w:rsidR="00542339" w:rsidRPr="00FE7377">
        <w:rPr>
          <w:color w:val="auto"/>
        </w:rPr>
        <w:t>equality</w:t>
      </w:r>
      <w:r w:rsidRPr="00FE7377">
        <w:rPr>
          <w:color w:val="auto"/>
        </w:rPr>
        <w:t xml:space="preserve">. </w:t>
      </w:r>
      <w:r w:rsidR="008E4A1C" w:rsidRPr="00FE7377">
        <w:rPr>
          <w:color w:val="auto"/>
        </w:rPr>
        <w:t>Ratings</w:t>
      </w:r>
      <w:r w:rsidR="000954A5" w:rsidRPr="00FE7377">
        <w:rPr>
          <w:color w:val="auto"/>
        </w:rPr>
        <w:t xml:space="preserve"> remained stable for </w:t>
      </w:r>
      <w:r w:rsidR="00D94543" w:rsidRPr="00FE7377">
        <w:rPr>
          <w:color w:val="auto"/>
        </w:rPr>
        <w:t>Relevan</w:t>
      </w:r>
      <w:r w:rsidR="00542339" w:rsidRPr="00FE7377">
        <w:rPr>
          <w:color w:val="auto"/>
        </w:rPr>
        <w:t>ce</w:t>
      </w:r>
      <w:r w:rsidR="00042AA7" w:rsidRPr="00FE7377">
        <w:rPr>
          <w:color w:val="auto"/>
        </w:rPr>
        <w:t>,</w:t>
      </w:r>
      <w:r w:rsidR="00D94543" w:rsidRPr="00FE7377">
        <w:rPr>
          <w:color w:val="auto"/>
        </w:rPr>
        <w:t xml:space="preserve"> Effectiveness</w:t>
      </w:r>
      <w:r w:rsidR="00042AA7" w:rsidRPr="00FE7377">
        <w:rPr>
          <w:color w:val="auto"/>
        </w:rPr>
        <w:t xml:space="preserve"> and Gender</w:t>
      </w:r>
      <w:r w:rsidR="007075EA" w:rsidRPr="00FE7377">
        <w:rPr>
          <w:color w:val="auto"/>
        </w:rPr>
        <w:t xml:space="preserve"> E</w:t>
      </w:r>
      <w:r w:rsidR="00542339" w:rsidRPr="00FE7377">
        <w:rPr>
          <w:color w:val="auto"/>
        </w:rPr>
        <w:t>quality</w:t>
      </w:r>
      <w:r w:rsidR="00D94543" w:rsidRPr="00FE7377">
        <w:rPr>
          <w:color w:val="auto"/>
        </w:rPr>
        <w:t xml:space="preserve"> but </w:t>
      </w:r>
      <w:r w:rsidR="00542339" w:rsidRPr="00FE7377">
        <w:rPr>
          <w:color w:val="auto"/>
        </w:rPr>
        <w:t xml:space="preserve">were on </w:t>
      </w:r>
      <w:r w:rsidR="00246151" w:rsidRPr="00FE7377">
        <w:rPr>
          <w:color w:val="auto"/>
        </w:rPr>
        <w:t xml:space="preserve">lower on </w:t>
      </w:r>
      <w:r w:rsidR="00542339" w:rsidRPr="00FE7377">
        <w:rPr>
          <w:color w:val="auto"/>
        </w:rPr>
        <w:t xml:space="preserve">average </w:t>
      </w:r>
      <w:r w:rsidR="00042AA7" w:rsidRPr="00FE7377">
        <w:rPr>
          <w:color w:val="auto"/>
        </w:rPr>
        <w:t>for Efficiency, M</w:t>
      </w:r>
      <w:r w:rsidR="00542339" w:rsidRPr="00FE7377">
        <w:rPr>
          <w:color w:val="auto"/>
        </w:rPr>
        <w:t xml:space="preserve">onitoring </w:t>
      </w:r>
      <w:r w:rsidR="00B819AD" w:rsidRPr="00FE7377">
        <w:rPr>
          <w:color w:val="auto"/>
        </w:rPr>
        <w:t>&amp;</w:t>
      </w:r>
      <w:r w:rsidR="00542339" w:rsidRPr="00FE7377">
        <w:rPr>
          <w:color w:val="auto"/>
        </w:rPr>
        <w:t xml:space="preserve"> </w:t>
      </w:r>
      <w:r w:rsidR="00042AA7" w:rsidRPr="00FE7377">
        <w:rPr>
          <w:color w:val="auto"/>
        </w:rPr>
        <w:t>E</w:t>
      </w:r>
      <w:r w:rsidR="00542339" w:rsidRPr="00FE7377">
        <w:rPr>
          <w:color w:val="auto"/>
        </w:rPr>
        <w:t>valuation</w:t>
      </w:r>
      <w:r w:rsidR="00042AA7" w:rsidRPr="00FE7377">
        <w:rPr>
          <w:color w:val="auto"/>
        </w:rPr>
        <w:t xml:space="preserve"> and Sustainability</w:t>
      </w:r>
      <w:r w:rsidRPr="00FE7377">
        <w:rPr>
          <w:color w:val="auto"/>
        </w:rPr>
        <w:t xml:space="preserve"> compared to the 2015-16 scores</w:t>
      </w:r>
      <w:r w:rsidR="00B51FA7" w:rsidRPr="00FE7377">
        <w:rPr>
          <w:color w:val="auto"/>
        </w:rPr>
        <w:t xml:space="preserve">. </w:t>
      </w:r>
    </w:p>
    <w:p w14:paraId="6BB2F69D" w14:textId="642E2B8E" w:rsidR="008712AD" w:rsidRPr="00FE7377" w:rsidRDefault="00AE41C8" w:rsidP="00A807BE">
      <w:pPr>
        <w:spacing w:after="120" w:line="280" w:lineRule="exact"/>
        <w:rPr>
          <w:color w:val="auto"/>
        </w:rPr>
      </w:pPr>
      <w:r w:rsidRPr="00FE7377">
        <w:rPr>
          <w:color w:val="auto"/>
        </w:rPr>
        <w:t>We rated</w:t>
      </w:r>
      <w:r w:rsidR="00B819AD" w:rsidRPr="00FE7377">
        <w:rPr>
          <w:color w:val="auto"/>
        </w:rPr>
        <w:t xml:space="preserve"> two aid investments as Initiatives Requiring Improvement through the AQC </w:t>
      </w:r>
      <w:r w:rsidR="0067023B" w:rsidRPr="00FE7377">
        <w:rPr>
          <w:color w:val="auto"/>
        </w:rPr>
        <w:t>process</w:t>
      </w:r>
      <w:r w:rsidR="00B819AD" w:rsidRPr="00FE7377">
        <w:rPr>
          <w:color w:val="auto"/>
        </w:rPr>
        <w:t xml:space="preserve">: Clearing for Results Phase 3; and, </w:t>
      </w:r>
      <w:r w:rsidR="0067023B" w:rsidRPr="00FE7377">
        <w:rPr>
          <w:color w:val="auto"/>
        </w:rPr>
        <w:t>Rural Roads Improvement Project Phase 2. Both investments</w:t>
      </w:r>
      <w:r w:rsidR="00B819AD" w:rsidRPr="00FE7377">
        <w:rPr>
          <w:color w:val="auto"/>
        </w:rPr>
        <w:t xml:space="preserve"> </w:t>
      </w:r>
      <w:r w:rsidR="0067023B" w:rsidRPr="00FE7377">
        <w:rPr>
          <w:color w:val="auto"/>
        </w:rPr>
        <w:t xml:space="preserve">were </w:t>
      </w:r>
      <w:r w:rsidR="00B819AD" w:rsidRPr="00FE7377">
        <w:rPr>
          <w:color w:val="auto"/>
        </w:rPr>
        <w:t xml:space="preserve">assessment as performing poorly against </w:t>
      </w:r>
      <w:r w:rsidR="0067023B" w:rsidRPr="00FE7377">
        <w:rPr>
          <w:color w:val="auto"/>
        </w:rPr>
        <w:t>both the</w:t>
      </w:r>
      <w:r w:rsidR="00B819AD" w:rsidRPr="00FE7377">
        <w:rPr>
          <w:color w:val="auto"/>
        </w:rPr>
        <w:t xml:space="preserve"> Efficiency and Effectiveness performance criteria. Consistent with the Australi</w:t>
      </w:r>
      <w:r w:rsidR="0067023B" w:rsidRPr="00FE7377">
        <w:rPr>
          <w:color w:val="auto"/>
        </w:rPr>
        <w:t>an Government’s commitment to a</w:t>
      </w:r>
      <w:r w:rsidR="00B819AD" w:rsidRPr="00FE7377">
        <w:rPr>
          <w:color w:val="auto"/>
        </w:rPr>
        <w:t xml:space="preserve"> </w:t>
      </w:r>
      <w:r w:rsidR="0067023B" w:rsidRPr="00FE7377">
        <w:rPr>
          <w:color w:val="auto"/>
        </w:rPr>
        <w:t>quality</w:t>
      </w:r>
      <w:r w:rsidR="00B819AD" w:rsidRPr="00FE7377">
        <w:rPr>
          <w:color w:val="auto"/>
        </w:rPr>
        <w:t xml:space="preserve"> aid program that delivers value for money,</w:t>
      </w:r>
      <w:r w:rsidR="0067023B" w:rsidRPr="00FE7377">
        <w:rPr>
          <w:color w:val="auto"/>
        </w:rPr>
        <w:t xml:space="preserve"> and in-line with </w:t>
      </w:r>
      <w:r w:rsidR="007075EA" w:rsidRPr="00FE7377">
        <w:rPr>
          <w:color w:val="auto"/>
        </w:rPr>
        <w:t xml:space="preserve">the </w:t>
      </w:r>
      <w:r w:rsidR="0067023B" w:rsidRPr="00FE7377">
        <w:rPr>
          <w:color w:val="auto"/>
        </w:rPr>
        <w:t>DFAT Investment Quality Reporting policy,</w:t>
      </w:r>
      <w:r w:rsidR="00B819AD" w:rsidRPr="00FE7377">
        <w:rPr>
          <w:color w:val="auto"/>
        </w:rPr>
        <w:t xml:space="preserve"> these aid investments are now subject to </w:t>
      </w:r>
      <w:r w:rsidR="00254022" w:rsidRPr="00FE7377">
        <w:rPr>
          <w:color w:val="auto"/>
        </w:rPr>
        <w:t xml:space="preserve">senior level DFAT oversight and </w:t>
      </w:r>
      <w:r w:rsidR="00B819AD" w:rsidRPr="00FE7377">
        <w:rPr>
          <w:color w:val="auto"/>
        </w:rPr>
        <w:t>detailed remediation plans to improve their performanc</w:t>
      </w:r>
      <w:r w:rsidRPr="00FE7377">
        <w:rPr>
          <w:color w:val="auto"/>
        </w:rPr>
        <w:t xml:space="preserve">e. The 2017-18 AQC process will inform decisions on </w:t>
      </w:r>
      <w:r w:rsidR="0067023B" w:rsidRPr="00FE7377">
        <w:rPr>
          <w:color w:val="auto"/>
        </w:rPr>
        <w:t>further funding to these investments</w:t>
      </w:r>
      <w:r w:rsidRPr="00FE7377">
        <w:rPr>
          <w:color w:val="auto"/>
        </w:rPr>
        <w:t>.</w:t>
      </w:r>
    </w:p>
    <w:p w14:paraId="4BABE516" w14:textId="77777777" w:rsidR="002A51CA" w:rsidRDefault="002A51CA" w:rsidP="002A51CA">
      <w:pPr>
        <w:pStyle w:val="Heading2"/>
      </w:pPr>
      <w:r w:rsidRPr="00280CC1">
        <w:t>Risks</w:t>
      </w:r>
    </w:p>
    <w:p w14:paraId="387DCD41" w14:textId="2027CF37" w:rsidR="00C81342" w:rsidRPr="00FE7377" w:rsidRDefault="00483B7E" w:rsidP="00FC702E">
      <w:pPr>
        <w:rPr>
          <w:color w:val="auto"/>
        </w:rPr>
      </w:pPr>
      <w:r w:rsidRPr="00FE7377">
        <w:rPr>
          <w:color w:val="auto"/>
        </w:rPr>
        <w:t>Over the last year, the risk profile of the aid program has shifted</w:t>
      </w:r>
      <w:r w:rsidR="008A72EB" w:rsidRPr="00FE7377">
        <w:rPr>
          <w:color w:val="auto"/>
        </w:rPr>
        <w:t xml:space="preserve"> somewhat</w:t>
      </w:r>
      <w:r w:rsidRPr="00FE7377">
        <w:rPr>
          <w:color w:val="auto"/>
        </w:rPr>
        <w:t xml:space="preserve">. </w:t>
      </w:r>
      <w:r w:rsidR="008A72EB" w:rsidRPr="00FE7377">
        <w:rPr>
          <w:color w:val="auto"/>
        </w:rPr>
        <w:t>The</w:t>
      </w:r>
      <w:r w:rsidR="005206CD" w:rsidRPr="00FE7377">
        <w:rPr>
          <w:color w:val="auto"/>
        </w:rPr>
        <w:t xml:space="preserve"> 2015-16 APPR identified working more directly with the p</w:t>
      </w:r>
      <w:r w:rsidR="00A807BE" w:rsidRPr="00FE7377">
        <w:rPr>
          <w:color w:val="auto"/>
        </w:rPr>
        <w:t>rivate sector and safeguards</w:t>
      </w:r>
      <w:r w:rsidR="00FA44A4">
        <w:rPr>
          <w:color w:val="auto"/>
        </w:rPr>
        <w:t xml:space="preserve"> (including </w:t>
      </w:r>
      <w:r w:rsidR="00FA44A4" w:rsidRPr="00FE7377">
        <w:rPr>
          <w:color w:val="auto"/>
        </w:rPr>
        <w:t>child protection, fraud, Work Health and Safety, environmental and resettlement</w:t>
      </w:r>
      <w:r w:rsidR="00FA44A4">
        <w:rPr>
          <w:color w:val="auto"/>
        </w:rPr>
        <w:t>)</w:t>
      </w:r>
      <w:r w:rsidR="00A807BE" w:rsidRPr="00FE7377">
        <w:rPr>
          <w:color w:val="auto"/>
        </w:rPr>
        <w:t xml:space="preserve"> as</w:t>
      </w:r>
      <w:r w:rsidR="005206CD" w:rsidRPr="00FE7377">
        <w:rPr>
          <w:color w:val="auto"/>
        </w:rPr>
        <w:t xml:space="preserve"> key risk</w:t>
      </w:r>
      <w:r w:rsidRPr="00FE7377">
        <w:rPr>
          <w:color w:val="auto"/>
        </w:rPr>
        <w:t>s</w:t>
      </w:r>
      <w:r w:rsidR="008A72EB" w:rsidRPr="00FE7377">
        <w:rPr>
          <w:color w:val="auto"/>
        </w:rPr>
        <w:t xml:space="preserve">. These </w:t>
      </w:r>
      <w:r w:rsidR="00C81342" w:rsidRPr="00FE7377">
        <w:rPr>
          <w:color w:val="auto"/>
        </w:rPr>
        <w:t xml:space="preserve">risks </w:t>
      </w:r>
      <w:r w:rsidR="002407D0" w:rsidRPr="00FE7377">
        <w:rPr>
          <w:color w:val="auto"/>
        </w:rPr>
        <w:t>cannot be fully eliminated</w:t>
      </w:r>
      <w:r w:rsidR="00C81342" w:rsidRPr="00FE7377">
        <w:rPr>
          <w:color w:val="auto"/>
        </w:rPr>
        <w:t xml:space="preserve">, </w:t>
      </w:r>
      <w:r w:rsidR="008A72EB" w:rsidRPr="00FE7377">
        <w:rPr>
          <w:color w:val="auto"/>
        </w:rPr>
        <w:t xml:space="preserve">but </w:t>
      </w:r>
      <w:r w:rsidR="005206CD" w:rsidRPr="00FE7377">
        <w:rPr>
          <w:color w:val="auto"/>
        </w:rPr>
        <w:t xml:space="preserve">we </w:t>
      </w:r>
      <w:r w:rsidR="00C81342" w:rsidRPr="00FE7377">
        <w:rPr>
          <w:color w:val="auto"/>
        </w:rPr>
        <w:t xml:space="preserve">are </w:t>
      </w:r>
      <w:r w:rsidR="005206CD" w:rsidRPr="00FE7377">
        <w:rPr>
          <w:color w:val="auto"/>
        </w:rPr>
        <w:t>effectively manag</w:t>
      </w:r>
      <w:r w:rsidR="00C81342" w:rsidRPr="00FE7377">
        <w:rPr>
          <w:color w:val="auto"/>
        </w:rPr>
        <w:t>ing</w:t>
      </w:r>
      <w:r w:rsidR="005206CD" w:rsidRPr="00FE7377">
        <w:rPr>
          <w:color w:val="auto"/>
        </w:rPr>
        <w:t xml:space="preserve"> the</w:t>
      </w:r>
      <w:r w:rsidR="00C81342" w:rsidRPr="00FE7377">
        <w:rPr>
          <w:color w:val="auto"/>
        </w:rPr>
        <w:t>m</w:t>
      </w:r>
      <w:r w:rsidR="005206CD" w:rsidRPr="00FE7377">
        <w:rPr>
          <w:color w:val="auto"/>
        </w:rPr>
        <w:t xml:space="preserve">: our monitoring and evaluation of </w:t>
      </w:r>
      <w:r w:rsidR="00C81342" w:rsidRPr="00FE7377">
        <w:rPr>
          <w:color w:val="auto"/>
        </w:rPr>
        <w:t xml:space="preserve">our private sector </w:t>
      </w:r>
      <w:r w:rsidR="005206CD" w:rsidRPr="00FE7377">
        <w:rPr>
          <w:color w:val="auto"/>
        </w:rPr>
        <w:t xml:space="preserve">initiatives (CAVAC II and 3i) </w:t>
      </w:r>
      <w:r w:rsidR="00C81342" w:rsidRPr="00FE7377">
        <w:rPr>
          <w:color w:val="auto"/>
        </w:rPr>
        <w:t xml:space="preserve">is </w:t>
      </w:r>
      <w:r w:rsidR="005206CD" w:rsidRPr="00FE7377">
        <w:rPr>
          <w:color w:val="auto"/>
        </w:rPr>
        <w:t xml:space="preserve">providing assurances they are effective and delivering value for money. On safeguards, DFAT and implementing partners effectively managed child protection, environment, </w:t>
      </w:r>
      <w:r w:rsidR="00747757" w:rsidRPr="00FE7377">
        <w:rPr>
          <w:color w:val="auto"/>
        </w:rPr>
        <w:t xml:space="preserve">climate change, </w:t>
      </w:r>
      <w:r w:rsidR="005206CD" w:rsidRPr="00FE7377">
        <w:rPr>
          <w:color w:val="auto"/>
        </w:rPr>
        <w:t>displacement and resettlement risk</w:t>
      </w:r>
      <w:r w:rsidR="00C81342" w:rsidRPr="00FE7377">
        <w:rPr>
          <w:color w:val="auto"/>
        </w:rPr>
        <w:t>s over the course of 2016-17</w:t>
      </w:r>
      <w:r w:rsidR="005206CD" w:rsidRPr="00FE7377">
        <w:rPr>
          <w:color w:val="auto"/>
        </w:rPr>
        <w:t xml:space="preserve">. The AQC process confirms this </w:t>
      </w:r>
      <w:r w:rsidR="00C81342" w:rsidRPr="00FE7377">
        <w:rPr>
          <w:color w:val="auto"/>
        </w:rPr>
        <w:t>assessment</w:t>
      </w:r>
      <w:r w:rsidR="005206CD" w:rsidRPr="00FE7377">
        <w:rPr>
          <w:color w:val="auto"/>
        </w:rPr>
        <w:t xml:space="preserve">. </w:t>
      </w:r>
    </w:p>
    <w:p w14:paraId="1C80672B" w14:textId="53A7C41F" w:rsidR="00A43E00" w:rsidRPr="00FE7377" w:rsidRDefault="00C81342" w:rsidP="00FC702E">
      <w:pPr>
        <w:rPr>
          <w:color w:val="auto"/>
        </w:rPr>
      </w:pPr>
      <w:r w:rsidRPr="00FE7377">
        <w:rPr>
          <w:color w:val="auto"/>
        </w:rPr>
        <w:t>Political risks increased. T</w:t>
      </w:r>
      <w:r w:rsidR="00C36DFE" w:rsidRPr="00FE7377">
        <w:rPr>
          <w:color w:val="auto"/>
        </w:rPr>
        <w:t xml:space="preserve">he 2017 commune elections </w:t>
      </w:r>
      <w:r w:rsidR="00AE41C8" w:rsidRPr="00FE7377">
        <w:rPr>
          <w:color w:val="auto"/>
        </w:rPr>
        <w:t>affected the operation</w:t>
      </w:r>
      <w:r w:rsidR="00A807BE" w:rsidRPr="00FE7377">
        <w:rPr>
          <w:color w:val="auto"/>
        </w:rPr>
        <w:t>al</w:t>
      </w:r>
      <w:r w:rsidR="00AE41C8" w:rsidRPr="00FE7377">
        <w:rPr>
          <w:color w:val="auto"/>
        </w:rPr>
        <w:t xml:space="preserve"> environment</w:t>
      </w:r>
      <w:r w:rsidR="008A72EB" w:rsidRPr="00FE7377">
        <w:rPr>
          <w:color w:val="auto"/>
        </w:rPr>
        <w:t>, but impacts were manageable</w:t>
      </w:r>
      <w:r w:rsidR="00AE41C8" w:rsidRPr="00FE7377">
        <w:rPr>
          <w:color w:val="auto"/>
        </w:rPr>
        <w:t>. This will</w:t>
      </w:r>
      <w:r w:rsidR="00C36DFE" w:rsidRPr="00FE7377">
        <w:rPr>
          <w:color w:val="auto"/>
        </w:rPr>
        <w:t xml:space="preserve"> continue to be challenging in the lead up </w:t>
      </w:r>
      <w:r w:rsidR="008A72EB" w:rsidRPr="00FE7377">
        <w:rPr>
          <w:color w:val="auto"/>
        </w:rPr>
        <w:t xml:space="preserve">to and immediately beyond </w:t>
      </w:r>
      <w:r w:rsidR="00AE41C8" w:rsidRPr="00FE7377">
        <w:rPr>
          <w:color w:val="auto"/>
        </w:rPr>
        <w:t xml:space="preserve">the 2018 national </w:t>
      </w:r>
      <w:r w:rsidR="00C36DFE" w:rsidRPr="00FE7377">
        <w:rPr>
          <w:color w:val="auto"/>
        </w:rPr>
        <w:t xml:space="preserve">elections. </w:t>
      </w:r>
      <w:r w:rsidR="00B26D97" w:rsidRPr="00FE7377">
        <w:rPr>
          <w:color w:val="auto"/>
        </w:rPr>
        <w:t>R</w:t>
      </w:r>
      <w:r w:rsidR="007075EA" w:rsidRPr="00FE7377">
        <w:rPr>
          <w:color w:val="auto"/>
        </w:rPr>
        <w:t>egional dynamics—</w:t>
      </w:r>
      <w:r w:rsidR="008A72EB" w:rsidRPr="00FE7377">
        <w:rPr>
          <w:color w:val="auto"/>
        </w:rPr>
        <w:t xml:space="preserve">including </w:t>
      </w:r>
      <w:r w:rsidR="00DF078E">
        <w:rPr>
          <w:color w:val="auto"/>
        </w:rPr>
        <w:t>changes in strategic weight of regional players</w:t>
      </w:r>
      <w:r w:rsidR="007075EA" w:rsidRPr="00FE7377">
        <w:rPr>
          <w:color w:val="auto"/>
        </w:rPr>
        <w:t>—</w:t>
      </w:r>
      <w:r w:rsidR="00A033EA" w:rsidRPr="00FE7377">
        <w:rPr>
          <w:color w:val="auto"/>
        </w:rPr>
        <w:t xml:space="preserve">may </w:t>
      </w:r>
      <w:r w:rsidR="008A72EB" w:rsidRPr="00FE7377">
        <w:rPr>
          <w:color w:val="auto"/>
        </w:rPr>
        <w:t>also</w:t>
      </w:r>
      <w:r w:rsidR="00C36DFE" w:rsidRPr="00FE7377">
        <w:rPr>
          <w:color w:val="auto"/>
        </w:rPr>
        <w:t xml:space="preserve"> ha</w:t>
      </w:r>
      <w:r w:rsidR="008A72EB" w:rsidRPr="00FE7377">
        <w:rPr>
          <w:color w:val="auto"/>
        </w:rPr>
        <w:t xml:space="preserve">ve </w:t>
      </w:r>
      <w:r w:rsidR="00C36DFE" w:rsidRPr="00FE7377">
        <w:rPr>
          <w:color w:val="auto"/>
        </w:rPr>
        <w:t>implications for our aid program</w:t>
      </w:r>
      <w:r w:rsidR="002407D0" w:rsidRPr="00FE7377">
        <w:rPr>
          <w:color w:val="auto"/>
        </w:rPr>
        <w:t>’s broader influence</w:t>
      </w:r>
      <w:r w:rsidR="00C36DFE" w:rsidRPr="00FE7377">
        <w:rPr>
          <w:color w:val="auto"/>
        </w:rPr>
        <w:t xml:space="preserve">. </w:t>
      </w:r>
      <w:r w:rsidR="008A72EB" w:rsidRPr="00FE7377">
        <w:rPr>
          <w:color w:val="auto"/>
        </w:rPr>
        <w:t xml:space="preserve">Table 3 below </w:t>
      </w:r>
      <w:r w:rsidR="00A033EA" w:rsidRPr="00FE7377">
        <w:rPr>
          <w:color w:val="auto"/>
        </w:rPr>
        <w:t>outlines</w:t>
      </w:r>
      <w:r w:rsidR="00C36DFE" w:rsidRPr="00FE7377">
        <w:rPr>
          <w:color w:val="auto"/>
        </w:rPr>
        <w:t xml:space="preserve"> overarching risk</w:t>
      </w:r>
      <w:r w:rsidR="005206CD" w:rsidRPr="00FE7377">
        <w:rPr>
          <w:color w:val="auto"/>
        </w:rPr>
        <w:t>s</w:t>
      </w:r>
      <w:r w:rsidR="00C36DFE" w:rsidRPr="00FE7377">
        <w:rPr>
          <w:color w:val="auto"/>
        </w:rPr>
        <w:t xml:space="preserve"> to the achievement of aid program objectives</w:t>
      </w:r>
      <w:r w:rsidR="00A033EA" w:rsidRPr="00FE7377">
        <w:rPr>
          <w:color w:val="auto"/>
        </w:rPr>
        <w:t xml:space="preserve"> and management responses</w:t>
      </w:r>
      <w:r w:rsidR="00D727CD" w:rsidRPr="00FE7377">
        <w:rPr>
          <w:color w:val="auto"/>
        </w:rPr>
        <w:t xml:space="preserve">. </w:t>
      </w:r>
    </w:p>
    <w:p w14:paraId="3563C7C5" w14:textId="77777777" w:rsidR="00E842E1" w:rsidRDefault="00E842E1">
      <w:pPr>
        <w:suppressAutoHyphens w:val="0"/>
        <w:spacing w:before="0" w:after="120" w:line="440" w:lineRule="atLeast"/>
        <w:rPr>
          <w:b/>
          <w:sz w:val="24"/>
        </w:rPr>
      </w:pPr>
      <w:r>
        <w:rPr>
          <w:b/>
          <w:sz w:val="24"/>
        </w:rPr>
        <w:br w:type="page"/>
      </w:r>
    </w:p>
    <w:p w14:paraId="63B2A4C8" w14:textId="4FF39F17" w:rsidR="00C36DFE" w:rsidRDefault="00E842E1" w:rsidP="00A43E00">
      <w:pPr>
        <w:suppressAutoHyphens w:val="0"/>
        <w:spacing w:before="0" w:after="120" w:line="440" w:lineRule="atLeast"/>
      </w:pPr>
      <w:r w:rsidRPr="00280CC1">
        <w:rPr>
          <w:b/>
          <w:sz w:val="24"/>
        </w:rPr>
        <w:lastRenderedPageBreak/>
        <w:t>Table 3: Management of Key Risks to Achieving Objectives</w:t>
      </w:r>
      <w:r w:rsidDel="00012A2E">
        <w:t xml:space="preserve"> </w:t>
      </w:r>
    </w:p>
    <w:tbl>
      <w:tblPr>
        <w:tblStyle w:val="APPR"/>
        <w:tblW w:w="5147" w:type="pct"/>
        <w:tblBorders>
          <w:top w:val="none" w:sz="0" w:space="0" w:color="auto"/>
          <w:bottom w:val="none" w:sz="0" w:space="0" w:color="auto"/>
        </w:tblBorders>
        <w:tblLayout w:type="fixed"/>
        <w:tblLook w:val="0600" w:firstRow="0" w:lastRow="0" w:firstColumn="0" w:lastColumn="0" w:noHBand="1" w:noVBand="1"/>
      </w:tblPr>
      <w:tblGrid>
        <w:gridCol w:w="1980"/>
        <w:gridCol w:w="2824"/>
        <w:gridCol w:w="2825"/>
        <w:gridCol w:w="1301"/>
        <w:gridCol w:w="991"/>
      </w:tblGrid>
      <w:tr w:rsidR="00E842E1" w:rsidRPr="00280CC1" w14:paraId="715601C7" w14:textId="77777777" w:rsidTr="00E842E1">
        <w:tc>
          <w:tcPr>
            <w:tcW w:w="1939" w:type="dxa"/>
            <w:hideMark/>
          </w:tcPr>
          <w:p w14:paraId="7CDCCF41" w14:textId="77777777" w:rsidR="00E842E1" w:rsidRPr="00280CC1" w:rsidRDefault="00E842E1" w:rsidP="00762380">
            <w:pPr>
              <w:rPr>
                <w:rFonts w:asciiTheme="minorHAnsi" w:hAnsiTheme="minorHAnsi"/>
                <w:b/>
              </w:rPr>
            </w:pPr>
            <w:r w:rsidRPr="00280CC1">
              <w:rPr>
                <w:rFonts w:asciiTheme="minorHAnsi" w:hAnsiTheme="minorHAnsi"/>
                <w:b/>
              </w:rPr>
              <w:t>Key risks</w:t>
            </w:r>
          </w:p>
        </w:tc>
        <w:tc>
          <w:tcPr>
            <w:tcW w:w="2796" w:type="dxa"/>
          </w:tcPr>
          <w:p w14:paraId="3E07E640" w14:textId="77777777" w:rsidR="00E842E1" w:rsidRPr="00280CC1" w:rsidRDefault="00E842E1" w:rsidP="00762380">
            <w:pPr>
              <w:rPr>
                <w:rFonts w:asciiTheme="minorHAnsi" w:hAnsiTheme="minorHAnsi"/>
                <w:b/>
              </w:rPr>
            </w:pPr>
            <w:r w:rsidRPr="00280CC1">
              <w:rPr>
                <w:rFonts w:asciiTheme="minorHAnsi" w:hAnsiTheme="minorHAnsi"/>
                <w:b/>
              </w:rPr>
              <w:t>What actions were taken to manage the risks over the past year?</w:t>
            </w:r>
          </w:p>
        </w:tc>
        <w:tc>
          <w:tcPr>
            <w:tcW w:w="2797" w:type="dxa"/>
          </w:tcPr>
          <w:p w14:paraId="501905FB" w14:textId="77777777" w:rsidR="00E842E1" w:rsidRPr="00280CC1" w:rsidRDefault="00E842E1" w:rsidP="00762380">
            <w:pPr>
              <w:rPr>
                <w:rFonts w:asciiTheme="minorHAnsi" w:hAnsiTheme="minorHAnsi"/>
                <w:b/>
              </w:rPr>
            </w:pPr>
            <w:r w:rsidRPr="00280CC1">
              <w:rPr>
                <w:rFonts w:asciiTheme="minorHAnsi" w:hAnsiTheme="minorHAnsi"/>
                <w:b/>
              </w:rPr>
              <w:t>What further actions will be taken to manage the risks in the coming year?</w:t>
            </w:r>
          </w:p>
        </w:tc>
        <w:tc>
          <w:tcPr>
            <w:tcW w:w="1273" w:type="dxa"/>
          </w:tcPr>
          <w:p w14:paraId="6B075B21" w14:textId="77777777" w:rsidR="00E842E1" w:rsidRPr="00280CC1" w:rsidRDefault="00E842E1" w:rsidP="00762380">
            <w:pPr>
              <w:rPr>
                <w:rFonts w:asciiTheme="minorHAnsi" w:hAnsiTheme="minorHAnsi"/>
                <w:b/>
              </w:rPr>
            </w:pPr>
            <w:r w:rsidRPr="00280CC1">
              <w:rPr>
                <w:rFonts w:asciiTheme="minorHAnsi" w:hAnsiTheme="minorHAnsi"/>
                <w:b/>
              </w:rPr>
              <w:t>For emerging/ongoing risks provide a Risk Rating (low, medium, high, very high)</w:t>
            </w:r>
          </w:p>
        </w:tc>
        <w:tc>
          <w:tcPr>
            <w:tcW w:w="949" w:type="dxa"/>
          </w:tcPr>
          <w:p w14:paraId="143FDEE0" w14:textId="77777777" w:rsidR="00E842E1" w:rsidRPr="00280CC1" w:rsidRDefault="00E842E1" w:rsidP="00762380">
            <w:pPr>
              <w:rPr>
                <w:b/>
              </w:rPr>
            </w:pPr>
            <w:r w:rsidRPr="00280CC1">
              <w:rPr>
                <w:b/>
              </w:rPr>
              <w:t>Are these same risks in in Post’s Risk Register (Yes/No)*</w:t>
            </w:r>
          </w:p>
        </w:tc>
      </w:tr>
      <w:tr w:rsidR="00E842E1" w:rsidRPr="00280CC1" w14:paraId="2A1BDA99" w14:textId="77777777" w:rsidTr="00E842E1">
        <w:trPr>
          <w:tblHeader w:val="0"/>
        </w:trPr>
        <w:tc>
          <w:tcPr>
            <w:tcW w:w="1939" w:type="dxa"/>
            <w:hideMark/>
          </w:tcPr>
          <w:p w14:paraId="0B8F174C" w14:textId="77777777" w:rsidR="00E842E1" w:rsidRPr="00FE7377" w:rsidRDefault="00E842E1" w:rsidP="00762380">
            <w:pPr>
              <w:rPr>
                <w:color w:val="auto"/>
              </w:rPr>
            </w:pPr>
            <w:r w:rsidRPr="00FE7377">
              <w:rPr>
                <w:color w:val="auto"/>
              </w:rPr>
              <w:t>Australia’s influence diminishes due to the relative size of its aid program compared to the growing contributions from emerging donors</w:t>
            </w:r>
          </w:p>
          <w:p w14:paraId="0B7D7696" w14:textId="77777777" w:rsidR="00E842E1" w:rsidRPr="00FE7377" w:rsidRDefault="00E842E1" w:rsidP="00762380">
            <w:pPr>
              <w:rPr>
                <w:rFonts w:asciiTheme="minorHAnsi" w:hAnsiTheme="minorHAnsi"/>
                <w:color w:val="auto"/>
              </w:rPr>
            </w:pPr>
            <w:r w:rsidRPr="00FE7377">
              <w:rPr>
                <w:color w:val="auto"/>
              </w:rPr>
              <w:t xml:space="preserve"> </w:t>
            </w:r>
          </w:p>
        </w:tc>
        <w:tc>
          <w:tcPr>
            <w:tcW w:w="2796" w:type="dxa"/>
          </w:tcPr>
          <w:p w14:paraId="5D782F96" w14:textId="0FA776FC" w:rsidR="00E842E1" w:rsidRPr="00FE7377" w:rsidRDefault="00E842E1" w:rsidP="00762380">
            <w:pPr>
              <w:rPr>
                <w:color w:val="auto"/>
              </w:rPr>
            </w:pPr>
            <w:r w:rsidRPr="00FE7377">
              <w:rPr>
                <w:color w:val="auto"/>
              </w:rPr>
              <w:t xml:space="preserve">Australia continued to maintain ongoing engagement with the Cambodian Government in the delivery of our aid programs. This ensured our investments remained relevant to Cambodian Government needs while helping us maintain our reputation as an effective donor. </w:t>
            </w:r>
          </w:p>
        </w:tc>
        <w:tc>
          <w:tcPr>
            <w:tcW w:w="2797" w:type="dxa"/>
          </w:tcPr>
          <w:p w14:paraId="6617C6CC" w14:textId="0DAD8C37" w:rsidR="00E842E1" w:rsidRPr="00FE7377" w:rsidRDefault="00E842E1" w:rsidP="00762380">
            <w:pPr>
              <w:rPr>
                <w:color w:val="auto"/>
              </w:rPr>
            </w:pPr>
            <w:r w:rsidRPr="00FE7377">
              <w:rPr>
                <w:color w:val="auto"/>
              </w:rPr>
              <w:t xml:space="preserve">Australia will continue to closely engage with the Cambodian Government in designing new programs and preparing the new Aid Investment Plan to ensure our investments are targeted on specific areas of both need and influence and where we assess we can make the most difference. </w:t>
            </w:r>
          </w:p>
        </w:tc>
        <w:tc>
          <w:tcPr>
            <w:tcW w:w="1273" w:type="dxa"/>
          </w:tcPr>
          <w:p w14:paraId="393269C2" w14:textId="77777777" w:rsidR="00E842E1" w:rsidRPr="00FE7377" w:rsidRDefault="00E842E1" w:rsidP="00762380">
            <w:pPr>
              <w:rPr>
                <w:rFonts w:asciiTheme="minorHAnsi" w:hAnsiTheme="minorHAnsi"/>
                <w:color w:val="auto"/>
              </w:rPr>
            </w:pPr>
            <w:r w:rsidRPr="00FE7377">
              <w:rPr>
                <w:color w:val="auto"/>
              </w:rPr>
              <w:t>Medium</w:t>
            </w:r>
          </w:p>
        </w:tc>
        <w:tc>
          <w:tcPr>
            <w:tcW w:w="949" w:type="dxa"/>
          </w:tcPr>
          <w:p w14:paraId="5E1015A9" w14:textId="77777777" w:rsidR="00E842E1" w:rsidRPr="00FE7377" w:rsidRDefault="00E842E1" w:rsidP="00762380">
            <w:pPr>
              <w:rPr>
                <w:color w:val="auto"/>
              </w:rPr>
            </w:pPr>
            <w:r w:rsidRPr="00FE7377">
              <w:rPr>
                <w:color w:val="auto"/>
              </w:rPr>
              <w:t xml:space="preserve">Yes </w:t>
            </w:r>
          </w:p>
        </w:tc>
      </w:tr>
      <w:tr w:rsidR="00E842E1" w:rsidRPr="00280CC1" w14:paraId="23A93ADE" w14:textId="77777777" w:rsidTr="00E842E1">
        <w:trPr>
          <w:tblHeader w:val="0"/>
        </w:trPr>
        <w:tc>
          <w:tcPr>
            <w:tcW w:w="1939" w:type="dxa"/>
          </w:tcPr>
          <w:p w14:paraId="7DF9F082" w14:textId="77777777" w:rsidR="00E842E1" w:rsidRPr="00FE7377" w:rsidRDefault="00E842E1" w:rsidP="00762380">
            <w:pPr>
              <w:rPr>
                <w:color w:val="auto"/>
              </w:rPr>
            </w:pPr>
            <w:r w:rsidRPr="00FE7377">
              <w:rPr>
                <w:color w:val="auto"/>
              </w:rPr>
              <w:t xml:space="preserve">The lead up to the 2018 national election affects Australia’s ability to engage bilaterally, including making it difficult to implement aid programs </w:t>
            </w:r>
          </w:p>
        </w:tc>
        <w:tc>
          <w:tcPr>
            <w:tcW w:w="2796" w:type="dxa"/>
          </w:tcPr>
          <w:p w14:paraId="788C9EB0" w14:textId="77777777" w:rsidR="00E842E1" w:rsidRPr="00FE7377" w:rsidRDefault="00E842E1" w:rsidP="00762380">
            <w:pPr>
              <w:rPr>
                <w:color w:val="auto"/>
              </w:rPr>
            </w:pPr>
            <w:r w:rsidRPr="00FE7377">
              <w:rPr>
                <w:color w:val="auto"/>
              </w:rPr>
              <w:t>We monitored the political situation and made representations, as appropriate. We worked with implementing partners to develop strategies to minimise impact.</w:t>
            </w:r>
          </w:p>
        </w:tc>
        <w:tc>
          <w:tcPr>
            <w:tcW w:w="2797" w:type="dxa"/>
          </w:tcPr>
          <w:p w14:paraId="45B0C2B1" w14:textId="77777777" w:rsidR="00E842E1" w:rsidRPr="00FE7377" w:rsidRDefault="00E842E1" w:rsidP="00762380">
            <w:pPr>
              <w:rPr>
                <w:color w:val="auto"/>
              </w:rPr>
            </w:pPr>
            <w:r w:rsidRPr="00FE7377">
              <w:rPr>
                <w:color w:val="auto"/>
              </w:rPr>
              <w:t xml:space="preserve">Continue to monitor the political situation, ensure good working relations and make representations, as appropriate. Work with aid program implementing partners to develop strategies to continue delivering aid programs during this period. </w:t>
            </w:r>
          </w:p>
        </w:tc>
        <w:tc>
          <w:tcPr>
            <w:tcW w:w="1273" w:type="dxa"/>
          </w:tcPr>
          <w:p w14:paraId="2929EAC7" w14:textId="77777777" w:rsidR="00E842E1" w:rsidRPr="00FE7377" w:rsidRDefault="00E842E1" w:rsidP="00762380">
            <w:pPr>
              <w:rPr>
                <w:color w:val="auto"/>
              </w:rPr>
            </w:pPr>
            <w:r w:rsidRPr="00FE7377">
              <w:rPr>
                <w:color w:val="auto"/>
              </w:rPr>
              <w:t xml:space="preserve">Medium </w:t>
            </w:r>
          </w:p>
        </w:tc>
        <w:tc>
          <w:tcPr>
            <w:tcW w:w="949" w:type="dxa"/>
          </w:tcPr>
          <w:p w14:paraId="48208C0A" w14:textId="77777777" w:rsidR="00E842E1" w:rsidRPr="00FE7377" w:rsidRDefault="00E842E1" w:rsidP="00762380">
            <w:pPr>
              <w:rPr>
                <w:color w:val="auto"/>
              </w:rPr>
            </w:pPr>
            <w:r w:rsidRPr="00FE7377">
              <w:rPr>
                <w:color w:val="auto"/>
              </w:rPr>
              <w:t xml:space="preserve">Yes </w:t>
            </w:r>
          </w:p>
        </w:tc>
      </w:tr>
      <w:tr w:rsidR="00E842E1" w:rsidRPr="00280CC1" w14:paraId="3840498A" w14:textId="77777777" w:rsidTr="00E842E1">
        <w:trPr>
          <w:tblHeader w:val="0"/>
        </w:trPr>
        <w:tc>
          <w:tcPr>
            <w:tcW w:w="1939" w:type="dxa"/>
          </w:tcPr>
          <w:p w14:paraId="2E442B52" w14:textId="77777777" w:rsidR="00E842E1" w:rsidRPr="00FE7377" w:rsidRDefault="00E842E1" w:rsidP="00762380">
            <w:pPr>
              <w:rPr>
                <w:color w:val="auto"/>
              </w:rPr>
            </w:pPr>
            <w:r w:rsidRPr="00FE7377">
              <w:rPr>
                <w:color w:val="auto"/>
              </w:rPr>
              <w:t xml:space="preserve">A humanitarian disaster impacts on our ability to deliver on our investments </w:t>
            </w:r>
          </w:p>
        </w:tc>
        <w:tc>
          <w:tcPr>
            <w:tcW w:w="2796" w:type="dxa"/>
          </w:tcPr>
          <w:p w14:paraId="66735D90" w14:textId="6413A07B" w:rsidR="00E842E1" w:rsidRPr="00FE7377" w:rsidRDefault="00E842E1" w:rsidP="00762380">
            <w:pPr>
              <w:rPr>
                <w:color w:val="auto"/>
              </w:rPr>
            </w:pPr>
            <w:r w:rsidRPr="00FE7377">
              <w:rPr>
                <w:color w:val="auto"/>
              </w:rPr>
              <w:t xml:space="preserve">We continuously monitored likely triggers (i.e. weather events, political environment) in Cambodia. Should a large-scale response be required, we would reprioritise, reshuffle existing resources early and/or seek additional resources to respond to the situation to ensure continued program implementation. </w:t>
            </w:r>
          </w:p>
        </w:tc>
        <w:tc>
          <w:tcPr>
            <w:tcW w:w="2797" w:type="dxa"/>
          </w:tcPr>
          <w:p w14:paraId="72D9380C" w14:textId="77777777" w:rsidR="00E842E1" w:rsidRPr="00FE7377" w:rsidRDefault="00E842E1" w:rsidP="00762380">
            <w:pPr>
              <w:rPr>
                <w:color w:val="auto"/>
              </w:rPr>
            </w:pPr>
            <w:r w:rsidRPr="00FE7377">
              <w:rPr>
                <w:color w:val="auto"/>
              </w:rPr>
              <w:t xml:space="preserve">This is an ongoing risk and we will continue to monitor the likely triggers. </w:t>
            </w:r>
          </w:p>
        </w:tc>
        <w:tc>
          <w:tcPr>
            <w:tcW w:w="1273" w:type="dxa"/>
          </w:tcPr>
          <w:p w14:paraId="1248234B" w14:textId="77777777" w:rsidR="00E842E1" w:rsidRPr="00FE7377" w:rsidRDefault="00E842E1" w:rsidP="00762380">
            <w:pPr>
              <w:rPr>
                <w:color w:val="auto"/>
              </w:rPr>
            </w:pPr>
            <w:r w:rsidRPr="00FE7377">
              <w:rPr>
                <w:color w:val="auto"/>
              </w:rPr>
              <w:t xml:space="preserve">Low </w:t>
            </w:r>
          </w:p>
        </w:tc>
        <w:tc>
          <w:tcPr>
            <w:tcW w:w="949" w:type="dxa"/>
          </w:tcPr>
          <w:p w14:paraId="747E9C54" w14:textId="77777777" w:rsidR="00E842E1" w:rsidRPr="00FE7377" w:rsidRDefault="00E842E1" w:rsidP="00762380">
            <w:pPr>
              <w:rPr>
                <w:color w:val="auto"/>
              </w:rPr>
            </w:pPr>
            <w:r w:rsidRPr="00FE7377">
              <w:rPr>
                <w:color w:val="auto"/>
              </w:rPr>
              <w:t>Yes</w:t>
            </w:r>
          </w:p>
        </w:tc>
      </w:tr>
      <w:tr w:rsidR="00E842E1" w:rsidRPr="00280CC1" w14:paraId="7B13E014" w14:textId="77777777" w:rsidTr="00E842E1">
        <w:trPr>
          <w:tblHeader w:val="0"/>
        </w:trPr>
        <w:tc>
          <w:tcPr>
            <w:tcW w:w="1939" w:type="dxa"/>
          </w:tcPr>
          <w:p w14:paraId="1551F2E6" w14:textId="77777777" w:rsidR="00E842E1" w:rsidRPr="00FE7377" w:rsidRDefault="00E842E1" w:rsidP="00762380">
            <w:pPr>
              <w:rPr>
                <w:color w:val="auto"/>
              </w:rPr>
            </w:pPr>
            <w:r w:rsidRPr="00FE7377">
              <w:rPr>
                <w:color w:val="auto"/>
              </w:rPr>
              <w:t xml:space="preserve">Staff capacity is stretched, making it difficult for staff to effectively manage risk and ensure strategic policy influence and engagement </w:t>
            </w:r>
          </w:p>
        </w:tc>
        <w:tc>
          <w:tcPr>
            <w:tcW w:w="2796" w:type="dxa"/>
          </w:tcPr>
          <w:p w14:paraId="03E02B23" w14:textId="77777777" w:rsidR="00E842E1" w:rsidRPr="00FE7377" w:rsidRDefault="00E842E1" w:rsidP="00762380">
            <w:pPr>
              <w:rPr>
                <w:color w:val="auto"/>
              </w:rPr>
            </w:pPr>
            <w:r w:rsidRPr="00FE7377">
              <w:rPr>
                <w:color w:val="auto"/>
              </w:rPr>
              <w:t>We are proactively seeking solutions. We have restructured the team to create efficiencies</w:t>
            </w:r>
          </w:p>
        </w:tc>
        <w:tc>
          <w:tcPr>
            <w:tcW w:w="2797" w:type="dxa"/>
          </w:tcPr>
          <w:p w14:paraId="49E39F6D" w14:textId="77777777" w:rsidR="00E842E1" w:rsidRPr="00FE7377" w:rsidRDefault="00E842E1" w:rsidP="00762380">
            <w:pPr>
              <w:rPr>
                <w:color w:val="auto"/>
              </w:rPr>
            </w:pPr>
            <w:r w:rsidRPr="00FE7377">
              <w:rPr>
                <w:color w:val="auto"/>
              </w:rPr>
              <w:t xml:space="preserve">We will continue to investigate options for further efficiencies, including through using outside expertise. </w:t>
            </w:r>
          </w:p>
        </w:tc>
        <w:tc>
          <w:tcPr>
            <w:tcW w:w="1273" w:type="dxa"/>
          </w:tcPr>
          <w:p w14:paraId="3C67FDE7" w14:textId="77777777" w:rsidR="00E842E1" w:rsidRPr="00FE7377" w:rsidDel="002407D0" w:rsidRDefault="00E842E1" w:rsidP="00762380">
            <w:pPr>
              <w:rPr>
                <w:color w:val="auto"/>
              </w:rPr>
            </w:pPr>
            <w:r w:rsidRPr="00FE7377">
              <w:rPr>
                <w:color w:val="auto"/>
              </w:rPr>
              <w:t>Medium</w:t>
            </w:r>
          </w:p>
        </w:tc>
        <w:tc>
          <w:tcPr>
            <w:tcW w:w="949" w:type="dxa"/>
          </w:tcPr>
          <w:p w14:paraId="7C845092" w14:textId="77777777" w:rsidR="00E842E1" w:rsidRPr="00FE7377" w:rsidRDefault="00E842E1" w:rsidP="00762380">
            <w:pPr>
              <w:rPr>
                <w:color w:val="auto"/>
              </w:rPr>
            </w:pPr>
            <w:r w:rsidRPr="00FE7377">
              <w:rPr>
                <w:color w:val="auto"/>
              </w:rPr>
              <w:t xml:space="preserve">Yes </w:t>
            </w:r>
          </w:p>
        </w:tc>
      </w:tr>
      <w:tr w:rsidR="00E842E1" w:rsidRPr="00280CC1" w14:paraId="1FDE50FC" w14:textId="77777777" w:rsidTr="00E842E1">
        <w:trPr>
          <w:tblHeader w:val="0"/>
        </w:trPr>
        <w:tc>
          <w:tcPr>
            <w:tcW w:w="1939" w:type="dxa"/>
          </w:tcPr>
          <w:p w14:paraId="448866F6" w14:textId="77777777" w:rsidR="00E842E1" w:rsidRPr="00FE7377" w:rsidRDefault="00E842E1" w:rsidP="00762380">
            <w:pPr>
              <w:rPr>
                <w:color w:val="auto"/>
              </w:rPr>
            </w:pPr>
            <w:r w:rsidRPr="00FE7377">
              <w:rPr>
                <w:color w:val="auto"/>
              </w:rPr>
              <w:t>Safeguards and cross-cutting issues such as child protection, work health and safety and fraud are not proactively managed</w:t>
            </w:r>
          </w:p>
        </w:tc>
        <w:tc>
          <w:tcPr>
            <w:tcW w:w="2796" w:type="dxa"/>
          </w:tcPr>
          <w:p w14:paraId="3FE2C369" w14:textId="77777777" w:rsidR="00E842E1" w:rsidRPr="00FE7377" w:rsidRDefault="00E842E1" w:rsidP="00762380">
            <w:pPr>
              <w:rPr>
                <w:color w:val="auto"/>
              </w:rPr>
            </w:pPr>
            <w:r w:rsidRPr="00FE7377">
              <w:rPr>
                <w:color w:val="auto"/>
              </w:rPr>
              <w:t xml:space="preserve">Embassy management has reiterated the need for staff to proactively manage safeguard and cross-cutting risks. Prior to funding any new partners, Post undertakes a baseline due diligence assessment to ensure the recipient organisation has appropriate policies and processes in place. Staff regularly engage with partners on safeguards issues. </w:t>
            </w:r>
          </w:p>
        </w:tc>
        <w:tc>
          <w:tcPr>
            <w:tcW w:w="2797" w:type="dxa"/>
          </w:tcPr>
          <w:p w14:paraId="796F5707" w14:textId="77777777" w:rsidR="00E842E1" w:rsidRPr="00FE7377" w:rsidRDefault="00E842E1" w:rsidP="00762380">
            <w:pPr>
              <w:rPr>
                <w:color w:val="auto"/>
              </w:rPr>
            </w:pPr>
            <w:r w:rsidRPr="00FE7377">
              <w:rPr>
                <w:color w:val="auto"/>
              </w:rPr>
              <w:t xml:space="preserve">We will continue to keep abreast of any policy changes and ensure the current high level of proactive management of safeguards and risks continues. </w:t>
            </w:r>
          </w:p>
        </w:tc>
        <w:tc>
          <w:tcPr>
            <w:tcW w:w="1273" w:type="dxa"/>
          </w:tcPr>
          <w:p w14:paraId="3F6A971D" w14:textId="77777777" w:rsidR="00E842E1" w:rsidRPr="00FE7377" w:rsidRDefault="00E842E1" w:rsidP="00762380">
            <w:pPr>
              <w:rPr>
                <w:color w:val="auto"/>
              </w:rPr>
            </w:pPr>
            <w:r w:rsidRPr="00FE7377">
              <w:rPr>
                <w:color w:val="auto"/>
              </w:rPr>
              <w:t>Medium</w:t>
            </w:r>
          </w:p>
        </w:tc>
        <w:tc>
          <w:tcPr>
            <w:tcW w:w="949" w:type="dxa"/>
          </w:tcPr>
          <w:p w14:paraId="7733F8D7" w14:textId="77777777" w:rsidR="00E842E1" w:rsidRPr="00FE7377" w:rsidRDefault="00E842E1" w:rsidP="00762380">
            <w:pPr>
              <w:rPr>
                <w:color w:val="auto"/>
              </w:rPr>
            </w:pPr>
            <w:r w:rsidRPr="00FE7377">
              <w:rPr>
                <w:color w:val="auto"/>
              </w:rPr>
              <w:t xml:space="preserve">Yes </w:t>
            </w:r>
          </w:p>
        </w:tc>
      </w:tr>
    </w:tbl>
    <w:p w14:paraId="20EA1348" w14:textId="17D39E7F" w:rsidR="002A51CA" w:rsidRPr="00280CC1" w:rsidRDefault="002A51CA" w:rsidP="002A51CA">
      <w:pPr>
        <w:pStyle w:val="Heading2"/>
      </w:pPr>
      <w:r w:rsidRPr="00280CC1">
        <w:lastRenderedPageBreak/>
        <w:t xml:space="preserve">Management </w:t>
      </w:r>
      <w:r w:rsidR="00AC302F" w:rsidRPr="00280CC1">
        <w:t>actions</w:t>
      </w:r>
      <w:r w:rsidRPr="00280CC1">
        <w:tab/>
      </w:r>
      <w:r w:rsidRPr="00280CC1">
        <w:tab/>
      </w:r>
    </w:p>
    <w:p w14:paraId="4EF27BEF" w14:textId="020EBBCD" w:rsidR="00FC7C09" w:rsidRPr="00FE7377" w:rsidRDefault="00FC7C09" w:rsidP="00CA6C04">
      <w:pPr>
        <w:rPr>
          <w:color w:val="auto"/>
        </w:rPr>
      </w:pPr>
      <w:r w:rsidRPr="00FE7377">
        <w:rPr>
          <w:color w:val="auto"/>
        </w:rPr>
        <w:t>Solid progress was made against la</w:t>
      </w:r>
      <w:r w:rsidR="00CA6C04" w:rsidRPr="00FE7377">
        <w:rPr>
          <w:color w:val="auto"/>
        </w:rPr>
        <w:t xml:space="preserve">st year’s management responses as outlined </w:t>
      </w:r>
      <w:r w:rsidRPr="00FE7377">
        <w:rPr>
          <w:color w:val="auto"/>
        </w:rPr>
        <w:t>in Annex A. While not all management responses were achieved in full, some exceed</w:t>
      </w:r>
      <w:r w:rsidR="00CA6C04" w:rsidRPr="00FE7377">
        <w:rPr>
          <w:color w:val="auto"/>
        </w:rPr>
        <w:t>ed their targets s</w:t>
      </w:r>
      <w:r w:rsidR="00741C66" w:rsidRPr="00FE7377">
        <w:rPr>
          <w:color w:val="auto"/>
        </w:rPr>
        <w:t>ignificantly</w:t>
      </w:r>
      <w:r w:rsidR="00CA6C04" w:rsidRPr="00FE7377">
        <w:rPr>
          <w:color w:val="auto"/>
        </w:rPr>
        <w:t>. Example</w:t>
      </w:r>
      <w:r w:rsidR="00D01A84" w:rsidRPr="00FE7377">
        <w:rPr>
          <w:color w:val="auto"/>
        </w:rPr>
        <w:t>s</w:t>
      </w:r>
      <w:r w:rsidR="00A807BE" w:rsidRPr="00FE7377">
        <w:rPr>
          <w:color w:val="auto"/>
        </w:rPr>
        <w:t xml:space="preserve"> include</w:t>
      </w:r>
      <w:r w:rsidRPr="00FE7377">
        <w:rPr>
          <w:color w:val="auto"/>
        </w:rPr>
        <w:t xml:space="preserve"> </w:t>
      </w:r>
      <w:r w:rsidR="005206CD" w:rsidRPr="00FE7377">
        <w:rPr>
          <w:color w:val="auto"/>
        </w:rPr>
        <w:t xml:space="preserve">the development of our </w:t>
      </w:r>
      <w:r w:rsidRPr="00FE7377">
        <w:rPr>
          <w:color w:val="auto"/>
        </w:rPr>
        <w:t>Gender Action Plan</w:t>
      </w:r>
      <w:r w:rsidR="002670C4" w:rsidRPr="00FE7377">
        <w:rPr>
          <w:color w:val="auto"/>
        </w:rPr>
        <w:t xml:space="preserve"> </w:t>
      </w:r>
      <w:r w:rsidRPr="00FE7377">
        <w:rPr>
          <w:color w:val="auto"/>
        </w:rPr>
        <w:t>seven months ahead of schedule</w:t>
      </w:r>
      <w:r w:rsidR="002670C4" w:rsidRPr="00FE7377">
        <w:rPr>
          <w:color w:val="auto"/>
        </w:rPr>
        <w:t>,</w:t>
      </w:r>
      <w:r w:rsidRPr="00FE7377">
        <w:rPr>
          <w:color w:val="auto"/>
        </w:rPr>
        <w:t xml:space="preserve"> and the reduction in </w:t>
      </w:r>
      <w:r w:rsidR="00741C66" w:rsidRPr="00FE7377">
        <w:rPr>
          <w:color w:val="auto"/>
        </w:rPr>
        <w:t xml:space="preserve">the number of </w:t>
      </w:r>
      <w:r w:rsidRPr="00FE7377">
        <w:rPr>
          <w:color w:val="auto"/>
        </w:rPr>
        <w:t xml:space="preserve">agreements </w:t>
      </w:r>
      <w:r w:rsidR="00741C66" w:rsidRPr="00FE7377">
        <w:rPr>
          <w:color w:val="auto"/>
        </w:rPr>
        <w:t xml:space="preserve">we manage </w:t>
      </w:r>
      <w:r w:rsidRPr="00FE7377">
        <w:rPr>
          <w:color w:val="auto"/>
        </w:rPr>
        <w:t>down to 31</w:t>
      </w:r>
      <w:r w:rsidR="00AC4C69" w:rsidRPr="00FE7377">
        <w:rPr>
          <w:color w:val="auto"/>
        </w:rPr>
        <w:t xml:space="preserve">, </w:t>
      </w:r>
      <w:r w:rsidR="00CA6C04" w:rsidRPr="00FE7377">
        <w:rPr>
          <w:color w:val="auto"/>
        </w:rPr>
        <w:t>well ahead of the target of 47</w:t>
      </w:r>
      <w:r w:rsidRPr="00FE7377">
        <w:rPr>
          <w:color w:val="auto"/>
        </w:rPr>
        <w:t>.</w:t>
      </w:r>
    </w:p>
    <w:p w14:paraId="4789644E" w14:textId="77777777" w:rsidR="00FC7C09" w:rsidRPr="00FE7377" w:rsidRDefault="00FC7C09" w:rsidP="00FC7C09">
      <w:pPr>
        <w:rPr>
          <w:color w:val="auto"/>
        </w:rPr>
      </w:pPr>
      <w:r w:rsidRPr="00FE7377">
        <w:rPr>
          <w:color w:val="auto"/>
        </w:rPr>
        <w:t>This</w:t>
      </w:r>
      <w:r w:rsidR="002670C4" w:rsidRPr="00FE7377">
        <w:rPr>
          <w:color w:val="auto"/>
        </w:rPr>
        <w:t xml:space="preserve"> year’s management actions </w:t>
      </w:r>
      <w:r w:rsidR="00084CA8" w:rsidRPr="00FE7377">
        <w:rPr>
          <w:color w:val="auto"/>
        </w:rPr>
        <w:t xml:space="preserve">are outlined below. </w:t>
      </w:r>
    </w:p>
    <w:p w14:paraId="7CD9CE10" w14:textId="77777777" w:rsidR="00FC7C09" w:rsidRPr="00FE7377" w:rsidRDefault="00FC7C09" w:rsidP="00FC7C09">
      <w:pPr>
        <w:rPr>
          <w:b/>
          <w:color w:val="auto"/>
        </w:rPr>
      </w:pPr>
      <w:r w:rsidRPr="00FE7377">
        <w:rPr>
          <w:b/>
          <w:color w:val="auto"/>
        </w:rPr>
        <w:t xml:space="preserve">Strategic </w:t>
      </w:r>
    </w:p>
    <w:p w14:paraId="4AC331D3" w14:textId="661BA8D5" w:rsidR="0042723B" w:rsidRPr="00FE7377" w:rsidRDefault="004315BF" w:rsidP="009E1C8A">
      <w:pPr>
        <w:pStyle w:val="ListParagraph"/>
        <w:numPr>
          <w:ilvl w:val="0"/>
          <w:numId w:val="12"/>
        </w:numPr>
        <w:rPr>
          <w:rFonts w:asciiTheme="minorHAnsi" w:eastAsiaTheme="minorHAnsi" w:hAnsiTheme="minorHAnsi" w:cstheme="minorBidi"/>
          <w:sz w:val="22"/>
          <w:szCs w:val="22"/>
          <w:lang w:val="en-GB"/>
        </w:rPr>
      </w:pPr>
      <w:r w:rsidRPr="00FE7377">
        <w:rPr>
          <w:rFonts w:asciiTheme="minorHAnsi" w:eastAsiaTheme="minorHAnsi" w:hAnsiTheme="minorHAnsi" w:cstheme="minorBidi"/>
          <w:sz w:val="22"/>
          <w:szCs w:val="22"/>
          <w:lang w:val="en-GB"/>
        </w:rPr>
        <w:t>Improve strategic clarity by a</w:t>
      </w:r>
      <w:r w:rsidR="0042723B" w:rsidRPr="00FE7377">
        <w:rPr>
          <w:rFonts w:asciiTheme="minorHAnsi" w:eastAsiaTheme="minorHAnsi" w:hAnsiTheme="minorHAnsi" w:cstheme="minorBidi"/>
          <w:sz w:val="22"/>
          <w:szCs w:val="22"/>
          <w:lang w:val="en-GB"/>
        </w:rPr>
        <w:t>nalys</w:t>
      </w:r>
      <w:r w:rsidRPr="00FE7377">
        <w:rPr>
          <w:rFonts w:asciiTheme="minorHAnsi" w:eastAsiaTheme="minorHAnsi" w:hAnsiTheme="minorHAnsi" w:cstheme="minorBidi"/>
          <w:sz w:val="22"/>
          <w:szCs w:val="22"/>
          <w:lang w:val="en-GB"/>
        </w:rPr>
        <w:t>ing</w:t>
      </w:r>
      <w:r w:rsidR="0042723B" w:rsidRPr="00FE7377">
        <w:rPr>
          <w:rFonts w:asciiTheme="minorHAnsi" w:eastAsiaTheme="minorHAnsi" w:hAnsiTheme="minorHAnsi" w:cstheme="minorBidi"/>
          <w:sz w:val="22"/>
          <w:szCs w:val="22"/>
          <w:lang w:val="en-GB"/>
        </w:rPr>
        <w:t xml:space="preserve"> the strategic </w:t>
      </w:r>
      <w:r w:rsidR="00DF078E">
        <w:rPr>
          <w:rFonts w:asciiTheme="minorHAnsi" w:eastAsiaTheme="minorHAnsi" w:hAnsiTheme="minorHAnsi" w:cstheme="minorBidi"/>
          <w:sz w:val="22"/>
          <w:szCs w:val="22"/>
          <w:lang w:val="en-GB"/>
        </w:rPr>
        <w:t>significance</w:t>
      </w:r>
      <w:r w:rsidR="0042723B" w:rsidRPr="00FE7377">
        <w:rPr>
          <w:rFonts w:asciiTheme="minorHAnsi" w:eastAsiaTheme="minorHAnsi" w:hAnsiTheme="minorHAnsi" w:cstheme="minorBidi"/>
          <w:sz w:val="22"/>
          <w:szCs w:val="22"/>
          <w:lang w:val="en-GB"/>
        </w:rPr>
        <w:t xml:space="preserve"> of our aid program</w:t>
      </w:r>
      <w:r w:rsidRPr="00FE7377">
        <w:rPr>
          <w:rFonts w:asciiTheme="minorHAnsi" w:eastAsiaTheme="minorHAnsi" w:hAnsiTheme="minorHAnsi" w:cstheme="minorBidi"/>
          <w:sz w:val="22"/>
          <w:szCs w:val="22"/>
          <w:lang w:val="en-GB"/>
        </w:rPr>
        <w:t>. This will feed into</w:t>
      </w:r>
      <w:r w:rsidR="0042723B" w:rsidRPr="00FE7377">
        <w:rPr>
          <w:rFonts w:asciiTheme="minorHAnsi" w:eastAsiaTheme="minorHAnsi" w:hAnsiTheme="minorHAnsi" w:cstheme="minorBidi"/>
          <w:sz w:val="22"/>
          <w:szCs w:val="22"/>
          <w:lang w:val="en-GB"/>
        </w:rPr>
        <w:t xml:space="preserve"> developing the next Aid Inv</w:t>
      </w:r>
      <w:r w:rsidR="00A807BE" w:rsidRPr="00FE7377">
        <w:rPr>
          <w:rFonts w:asciiTheme="minorHAnsi" w:eastAsiaTheme="minorHAnsi" w:hAnsiTheme="minorHAnsi" w:cstheme="minorBidi"/>
          <w:sz w:val="22"/>
          <w:szCs w:val="22"/>
          <w:lang w:val="en-GB"/>
        </w:rPr>
        <w:t>estment Plan by the end of 2018</w:t>
      </w:r>
      <w:r w:rsidRPr="00FE7377">
        <w:rPr>
          <w:rFonts w:asciiTheme="minorHAnsi" w:eastAsiaTheme="minorHAnsi" w:hAnsiTheme="minorHAnsi" w:cstheme="minorBidi"/>
          <w:sz w:val="22"/>
          <w:szCs w:val="22"/>
          <w:lang w:val="en-GB"/>
        </w:rPr>
        <w:t xml:space="preserve"> and include an assessment of the effectiveness of our current narrative and </w:t>
      </w:r>
      <w:r w:rsidR="00A807BE" w:rsidRPr="00FE7377">
        <w:rPr>
          <w:rFonts w:asciiTheme="minorHAnsi" w:eastAsiaTheme="minorHAnsi" w:hAnsiTheme="minorHAnsi" w:cstheme="minorBidi"/>
          <w:sz w:val="22"/>
          <w:szCs w:val="22"/>
          <w:lang w:val="en-GB"/>
        </w:rPr>
        <w:t xml:space="preserve">how we can maximise impact </w:t>
      </w:r>
      <w:r w:rsidRPr="00FE7377">
        <w:rPr>
          <w:rFonts w:asciiTheme="minorHAnsi" w:eastAsiaTheme="minorHAnsi" w:hAnsiTheme="minorHAnsi" w:cstheme="minorBidi"/>
          <w:sz w:val="22"/>
          <w:szCs w:val="22"/>
          <w:lang w:val="en-GB"/>
        </w:rPr>
        <w:t>and influence</w:t>
      </w:r>
      <w:r w:rsidR="00A807BE" w:rsidRPr="00FE7377">
        <w:rPr>
          <w:rFonts w:asciiTheme="minorHAnsi" w:eastAsiaTheme="minorHAnsi" w:hAnsiTheme="minorHAnsi" w:cstheme="minorBidi"/>
          <w:sz w:val="22"/>
          <w:szCs w:val="22"/>
          <w:lang w:val="en-GB"/>
        </w:rPr>
        <w:t>.</w:t>
      </w:r>
    </w:p>
    <w:p w14:paraId="3D5B48CA" w14:textId="77777777" w:rsidR="0042723B" w:rsidRPr="00FE7377" w:rsidRDefault="0042723B" w:rsidP="009E1C8A">
      <w:pPr>
        <w:pStyle w:val="ListParagraph"/>
        <w:numPr>
          <w:ilvl w:val="0"/>
          <w:numId w:val="12"/>
        </w:numPr>
        <w:rPr>
          <w:rFonts w:asciiTheme="minorHAnsi" w:eastAsiaTheme="minorHAnsi" w:hAnsiTheme="minorHAnsi" w:cstheme="minorBidi"/>
          <w:sz w:val="22"/>
          <w:szCs w:val="22"/>
          <w:lang w:val="en-GB"/>
        </w:rPr>
      </w:pPr>
      <w:r w:rsidRPr="00FE7377">
        <w:rPr>
          <w:rFonts w:asciiTheme="minorHAnsi" w:eastAsiaTheme="minorHAnsi" w:hAnsiTheme="minorHAnsi" w:cstheme="minorBidi"/>
          <w:sz w:val="22"/>
          <w:szCs w:val="22"/>
          <w:lang w:val="en-GB"/>
        </w:rPr>
        <w:t>Institutionalise our newly revised Performance Assessment Framework to ensure that it becomes a living document benefitting program performance</w:t>
      </w:r>
      <w:r w:rsidR="00A807BE" w:rsidRPr="00FE7377">
        <w:rPr>
          <w:rFonts w:asciiTheme="minorHAnsi" w:eastAsiaTheme="minorHAnsi" w:hAnsiTheme="minorHAnsi" w:cstheme="minorBidi"/>
          <w:sz w:val="22"/>
          <w:szCs w:val="22"/>
          <w:lang w:val="en-GB"/>
        </w:rPr>
        <w:t xml:space="preserve"> and improving how we communicate our achievements</w:t>
      </w:r>
      <w:r w:rsidRPr="00FE7377">
        <w:rPr>
          <w:rFonts w:asciiTheme="minorHAnsi" w:eastAsiaTheme="minorHAnsi" w:hAnsiTheme="minorHAnsi" w:cstheme="minorBidi"/>
          <w:sz w:val="22"/>
          <w:szCs w:val="22"/>
          <w:lang w:val="en-GB"/>
        </w:rPr>
        <w:t xml:space="preserve"> </w:t>
      </w:r>
      <w:r w:rsidR="00C773A2" w:rsidRPr="00FE7377">
        <w:rPr>
          <w:rFonts w:asciiTheme="minorHAnsi" w:eastAsiaTheme="minorHAnsi" w:hAnsiTheme="minorHAnsi" w:cstheme="minorBidi"/>
          <w:sz w:val="22"/>
          <w:szCs w:val="22"/>
          <w:lang w:val="en-GB"/>
        </w:rPr>
        <w:t xml:space="preserve">by the </w:t>
      </w:r>
      <w:r w:rsidR="006F371D" w:rsidRPr="00FE7377">
        <w:rPr>
          <w:rFonts w:asciiTheme="minorHAnsi" w:eastAsiaTheme="minorHAnsi" w:hAnsiTheme="minorHAnsi" w:cstheme="minorBidi"/>
          <w:sz w:val="22"/>
          <w:szCs w:val="22"/>
          <w:lang w:val="en-GB"/>
        </w:rPr>
        <w:t>end of the next PAF report cycle in May 2018</w:t>
      </w:r>
      <w:r w:rsidRPr="00FE7377">
        <w:rPr>
          <w:rFonts w:asciiTheme="minorHAnsi" w:eastAsiaTheme="minorHAnsi" w:hAnsiTheme="minorHAnsi" w:cstheme="minorBidi"/>
          <w:sz w:val="22"/>
          <w:szCs w:val="22"/>
          <w:lang w:val="en-GB"/>
        </w:rPr>
        <w:t>.</w:t>
      </w:r>
      <w:r w:rsidR="00647020" w:rsidRPr="00FE7377">
        <w:rPr>
          <w:rFonts w:asciiTheme="minorHAnsi" w:eastAsiaTheme="minorHAnsi" w:hAnsiTheme="minorHAnsi" w:cstheme="minorBidi"/>
          <w:sz w:val="22"/>
          <w:szCs w:val="22"/>
          <w:lang w:val="en-GB"/>
        </w:rPr>
        <w:t xml:space="preserve"> Include consideration of policy dialogue indicators in the next PAF cycle.</w:t>
      </w:r>
    </w:p>
    <w:p w14:paraId="72043EC1" w14:textId="02308432" w:rsidR="00926545" w:rsidRPr="00FE7377" w:rsidRDefault="008A0845" w:rsidP="008A0845">
      <w:pPr>
        <w:pStyle w:val="ListParagraph"/>
        <w:numPr>
          <w:ilvl w:val="0"/>
          <w:numId w:val="12"/>
        </w:numPr>
        <w:rPr>
          <w:rFonts w:asciiTheme="minorHAnsi" w:eastAsiaTheme="minorHAnsi" w:hAnsiTheme="minorHAnsi" w:cstheme="minorBidi"/>
          <w:sz w:val="22"/>
          <w:szCs w:val="22"/>
          <w:lang w:val="en-GB"/>
        </w:rPr>
      </w:pPr>
      <w:r w:rsidRPr="00FE7377">
        <w:rPr>
          <w:rFonts w:asciiTheme="minorHAnsi" w:eastAsiaTheme="minorHAnsi" w:hAnsiTheme="minorHAnsi" w:cstheme="minorBidi"/>
          <w:sz w:val="22"/>
          <w:szCs w:val="22"/>
          <w:lang w:val="en-GB"/>
        </w:rPr>
        <w:t>Consider opportunities for further efficiency gains and m</w:t>
      </w:r>
      <w:r w:rsidR="0042723B" w:rsidRPr="00FE7377">
        <w:rPr>
          <w:rFonts w:asciiTheme="minorHAnsi" w:eastAsiaTheme="minorHAnsi" w:hAnsiTheme="minorHAnsi" w:cstheme="minorBidi"/>
          <w:sz w:val="22"/>
          <w:szCs w:val="22"/>
          <w:lang w:val="en-GB"/>
        </w:rPr>
        <w:t xml:space="preserve">aintain </w:t>
      </w:r>
      <w:r w:rsidR="00483B7E" w:rsidRPr="00FE7377">
        <w:rPr>
          <w:rFonts w:asciiTheme="minorHAnsi" w:eastAsiaTheme="minorHAnsi" w:hAnsiTheme="minorHAnsi" w:cstheme="minorBidi"/>
          <w:sz w:val="22"/>
          <w:szCs w:val="22"/>
          <w:lang w:val="en-GB"/>
        </w:rPr>
        <w:t>judicious control o</w:t>
      </w:r>
      <w:r w:rsidR="0042723B" w:rsidRPr="00FE7377">
        <w:rPr>
          <w:rFonts w:asciiTheme="minorHAnsi" w:eastAsiaTheme="minorHAnsi" w:hAnsiTheme="minorHAnsi" w:cstheme="minorBidi"/>
          <w:sz w:val="22"/>
          <w:szCs w:val="22"/>
          <w:lang w:val="en-GB"/>
        </w:rPr>
        <w:t xml:space="preserve">f </w:t>
      </w:r>
      <w:r w:rsidR="00483B7E" w:rsidRPr="00FE7377">
        <w:rPr>
          <w:rFonts w:asciiTheme="minorHAnsi" w:eastAsiaTheme="minorHAnsi" w:hAnsiTheme="minorHAnsi" w:cstheme="minorBidi"/>
          <w:sz w:val="22"/>
          <w:szCs w:val="22"/>
          <w:lang w:val="en-GB"/>
        </w:rPr>
        <w:t xml:space="preserve">the number of </w:t>
      </w:r>
      <w:r w:rsidR="0042723B" w:rsidRPr="00FE7377">
        <w:rPr>
          <w:rFonts w:asciiTheme="minorHAnsi" w:eastAsiaTheme="minorHAnsi" w:hAnsiTheme="minorHAnsi" w:cstheme="minorBidi"/>
          <w:sz w:val="22"/>
          <w:szCs w:val="22"/>
          <w:lang w:val="en-GB"/>
        </w:rPr>
        <w:t>agreements and investments in 2017-2018.</w:t>
      </w:r>
    </w:p>
    <w:p w14:paraId="27E855FF" w14:textId="77777777" w:rsidR="00902241" w:rsidRPr="00FE7377" w:rsidRDefault="00902241" w:rsidP="00902241">
      <w:pPr>
        <w:pStyle w:val="ListParagraph"/>
        <w:rPr>
          <w:rFonts w:asciiTheme="minorHAnsi" w:eastAsiaTheme="minorHAnsi" w:hAnsiTheme="minorHAnsi" w:cstheme="minorBidi"/>
          <w:sz w:val="22"/>
          <w:szCs w:val="22"/>
          <w:lang w:val="en-GB"/>
        </w:rPr>
      </w:pPr>
    </w:p>
    <w:p w14:paraId="1737D00F" w14:textId="77777777" w:rsidR="00FC7C09" w:rsidRPr="00FE7377" w:rsidRDefault="00D01A84" w:rsidP="00FC7C09">
      <w:pPr>
        <w:rPr>
          <w:b/>
          <w:color w:val="auto"/>
        </w:rPr>
      </w:pPr>
      <w:r w:rsidRPr="00FE7377">
        <w:rPr>
          <w:b/>
          <w:color w:val="auto"/>
        </w:rPr>
        <w:t>Operational</w:t>
      </w:r>
    </w:p>
    <w:p w14:paraId="4B61BC6D" w14:textId="77777777" w:rsidR="00200C71" w:rsidRPr="00FE7377" w:rsidRDefault="0042723B" w:rsidP="009E1C8A">
      <w:pPr>
        <w:pStyle w:val="ListParagraph"/>
        <w:numPr>
          <w:ilvl w:val="0"/>
          <w:numId w:val="12"/>
        </w:numPr>
        <w:rPr>
          <w:rFonts w:asciiTheme="minorHAnsi" w:eastAsiaTheme="minorHAnsi" w:hAnsiTheme="minorHAnsi" w:cstheme="minorBidi"/>
          <w:sz w:val="22"/>
          <w:szCs w:val="22"/>
          <w:lang w:val="en-GB"/>
        </w:rPr>
      </w:pPr>
      <w:r w:rsidRPr="00FE7377">
        <w:rPr>
          <w:rFonts w:asciiTheme="minorHAnsi" w:eastAsiaTheme="minorHAnsi" w:hAnsiTheme="minorHAnsi" w:cstheme="minorBidi"/>
          <w:sz w:val="22"/>
          <w:szCs w:val="22"/>
          <w:lang w:val="en-GB"/>
        </w:rPr>
        <w:t>Monitor the domestic political situation ahead of national elections in July 2018, and ensure risk analysis informs program implementation.</w:t>
      </w:r>
    </w:p>
    <w:p w14:paraId="7F86888C" w14:textId="77777777" w:rsidR="00200C71" w:rsidRPr="00FE7377" w:rsidRDefault="0042723B" w:rsidP="009E1C8A">
      <w:pPr>
        <w:pStyle w:val="ListParagraph"/>
        <w:numPr>
          <w:ilvl w:val="0"/>
          <w:numId w:val="12"/>
        </w:numPr>
        <w:rPr>
          <w:rFonts w:asciiTheme="minorHAnsi" w:eastAsiaTheme="minorHAnsi" w:hAnsiTheme="minorHAnsi" w:cstheme="minorBidi"/>
          <w:sz w:val="22"/>
          <w:szCs w:val="22"/>
          <w:lang w:val="en-GB"/>
        </w:rPr>
      </w:pPr>
      <w:r w:rsidRPr="00FE7377">
        <w:rPr>
          <w:rFonts w:asciiTheme="minorHAnsi" w:eastAsiaTheme="minorHAnsi" w:hAnsiTheme="minorHAnsi" w:cstheme="minorBidi"/>
          <w:sz w:val="22"/>
          <w:szCs w:val="22"/>
          <w:lang w:val="en-GB"/>
        </w:rPr>
        <w:t>Implement lessons learnt from recent program evaluations</w:t>
      </w:r>
      <w:r w:rsidR="001F64CF" w:rsidRPr="00FE7377">
        <w:rPr>
          <w:rFonts w:asciiTheme="minorHAnsi" w:eastAsiaTheme="minorHAnsi" w:hAnsiTheme="minorHAnsi" w:cstheme="minorBidi"/>
          <w:sz w:val="22"/>
          <w:szCs w:val="22"/>
          <w:lang w:val="en-GB"/>
        </w:rPr>
        <w:t xml:space="preserve"> and assessments</w:t>
      </w:r>
      <w:r w:rsidRPr="00FE7377">
        <w:rPr>
          <w:rFonts w:asciiTheme="minorHAnsi" w:eastAsiaTheme="minorHAnsi" w:hAnsiTheme="minorHAnsi" w:cstheme="minorBidi"/>
          <w:sz w:val="22"/>
          <w:szCs w:val="22"/>
          <w:lang w:val="en-GB"/>
        </w:rPr>
        <w:t xml:space="preserve"> in agriculture, health and infrastructure to strengthen program implementation and inform </w:t>
      </w:r>
      <w:r w:rsidR="00142D71" w:rsidRPr="00FE7377">
        <w:rPr>
          <w:rFonts w:asciiTheme="minorHAnsi" w:eastAsiaTheme="minorHAnsi" w:hAnsiTheme="minorHAnsi" w:cstheme="minorBidi"/>
          <w:sz w:val="22"/>
          <w:szCs w:val="22"/>
          <w:lang w:val="en-GB"/>
        </w:rPr>
        <w:t xml:space="preserve">current and </w:t>
      </w:r>
      <w:r w:rsidRPr="00FE7377">
        <w:rPr>
          <w:rFonts w:asciiTheme="minorHAnsi" w:eastAsiaTheme="minorHAnsi" w:hAnsiTheme="minorHAnsi" w:cstheme="minorBidi"/>
          <w:sz w:val="22"/>
          <w:szCs w:val="22"/>
          <w:lang w:val="en-GB"/>
        </w:rPr>
        <w:t>future programs</w:t>
      </w:r>
      <w:r w:rsidR="001F64CF" w:rsidRPr="00FE7377">
        <w:rPr>
          <w:rFonts w:asciiTheme="minorHAnsi" w:eastAsiaTheme="minorHAnsi" w:hAnsiTheme="minorHAnsi" w:cstheme="minorBidi"/>
          <w:sz w:val="22"/>
          <w:szCs w:val="22"/>
          <w:lang w:val="en-GB"/>
        </w:rPr>
        <w:t xml:space="preserve">. Particular focus on ensuring more gender-responsive programming. </w:t>
      </w:r>
    </w:p>
    <w:p w14:paraId="28E9F25C" w14:textId="77777777" w:rsidR="00B26D97" w:rsidRPr="00FE7377" w:rsidRDefault="00B26D97" w:rsidP="00B26D97">
      <w:pPr>
        <w:pStyle w:val="ListParagraph"/>
        <w:numPr>
          <w:ilvl w:val="0"/>
          <w:numId w:val="12"/>
        </w:numPr>
        <w:rPr>
          <w:rFonts w:asciiTheme="minorHAnsi" w:eastAsiaTheme="minorHAnsi" w:hAnsiTheme="minorHAnsi" w:cstheme="minorBidi"/>
          <w:sz w:val="22"/>
          <w:szCs w:val="22"/>
          <w:lang w:val="en-GB"/>
        </w:rPr>
      </w:pPr>
      <w:r w:rsidRPr="00FE7377">
        <w:rPr>
          <w:rFonts w:asciiTheme="minorHAnsi" w:eastAsiaTheme="minorHAnsi" w:hAnsiTheme="minorHAnsi" w:cstheme="minorBidi"/>
          <w:sz w:val="22"/>
          <w:szCs w:val="22"/>
          <w:lang w:val="en-GB"/>
        </w:rPr>
        <w:t>Closely monitor the two IRI investments to ensure improvements in program performance by March 2018 in accordance with our remediation plan for both investments.</w:t>
      </w:r>
    </w:p>
    <w:p w14:paraId="673152BA" w14:textId="77777777" w:rsidR="00200C71" w:rsidRPr="00FE7377" w:rsidRDefault="0042723B" w:rsidP="009E1C8A">
      <w:pPr>
        <w:pStyle w:val="ListParagraph"/>
        <w:numPr>
          <w:ilvl w:val="0"/>
          <w:numId w:val="12"/>
        </w:numPr>
        <w:rPr>
          <w:rFonts w:asciiTheme="minorHAnsi" w:eastAsiaTheme="minorHAnsi" w:hAnsiTheme="minorHAnsi" w:cstheme="minorBidi"/>
          <w:sz w:val="22"/>
          <w:szCs w:val="22"/>
          <w:lang w:val="en-GB"/>
        </w:rPr>
      </w:pPr>
      <w:r w:rsidRPr="00FE7377">
        <w:rPr>
          <w:rFonts w:asciiTheme="minorHAnsi" w:eastAsiaTheme="minorHAnsi" w:hAnsiTheme="minorHAnsi" w:cstheme="minorBidi"/>
          <w:sz w:val="22"/>
          <w:szCs w:val="22"/>
          <w:lang w:val="en-GB"/>
        </w:rPr>
        <w:t xml:space="preserve">Finalise the design for the next phase of the Australia Awards Scholarships program in Cambodia, with the next phase in operation by 1 July 2018. </w:t>
      </w:r>
    </w:p>
    <w:p w14:paraId="6A3F8AC0" w14:textId="77777777" w:rsidR="00200C71" w:rsidRPr="00FE7377" w:rsidRDefault="0042723B" w:rsidP="009E1C8A">
      <w:pPr>
        <w:pStyle w:val="ListParagraph"/>
        <w:numPr>
          <w:ilvl w:val="0"/>
          <w:numId w:val="12"/>
        </w:numPr>
        <w:rPr>
          <w:rFonts w:asciiTheme="minorHAnsi" w:eastAsiaTheme="minorHAnsi" w:hAnsiTheme="minorHAnsi" w:cstheme="minorBidi"/>
          <w:sz w:val="22"/>
          <w:szCs w:val="22"/>
          <w:lang w:val="en-GB"/>
        </w:rPr>
      </w:pPr>
      <w:r w:rsidRPr="00FE7377">
        <w:rPr>
          <w:rFonts w:asciiTheme="minorHAnsi" w:eastAsiaTheme="minorHAnsi" w:hAnsiTheme="minorHAnsi" w:cstheme="minorBidi"/>
          <w:sz w:val="22"/>
          <w:szCs w:val="22"/>
          <w:lang w:val="en-GB"/>
        </w:rPr>
        <w:t>Assess the impact of the specific activities undertaken to better target and attract women applicants for the Australia Awards Scholarships 2018 Intake.</w:t>
      </w:r>
    </w:p>
    <w:p w14:paraId="22BAD825" w14:textId="77777777" w:rsidR="00200C71" w:rsidRPr="00FE7377" w:rsidRDefault="0042723B" w:rsidP="009E1C8A">
      <w:pPr>
        <w:pStyle w:val="ListParagraph"/>
        <w:numPr>
          <w:ilvl w:val="0"/>
          <w:numId w:val="12"/>
        </w:numPr>
        <w:rPr>
          <w:rFonts w:asciiTheme="minorHAnsi" w:eastAsiaTheme="minorHAnsi" w:hAnsiTheme="minorHAnsi" w:cstheme="minorBidi"/>
          <w:sz w:val="22"/>
          <w:szCs w:val="22"/>
          <w:lang w:val="en-GB"/>
        </w:rPr>
      </w:pPr>
      <w:r w:rsidRPr="00FE7377">
        <w:rPr>
          <w:rFonts w:asciiTheme="minorHAnsi" w:eastAsiaTheme="minorHAnsi" w:hAnsiTheme="minorHAnsi" w:cstheme="minorBidi"/>
          <w:sz w:val="22"/>
          <w:szCs w:val="22"/>
          <w:lang w:val="en-GB"/>
        </w:rPr>
        <w:t>Undertake a tracer study for the Australia Alumni program</w:t>
      </w:r>
      <w:r w:rsidR="0029505D" w:rsidRPr="00FE7377">
        <w:rPr>
          <w:rFonts w:asciiTheme="minorHAnsi" w:eastAsiaTheme="minorHAnsi" w:hAnsiTheme="minorHAnsi" w:cstheme="minorBidi"/>
          <w:sz w:val="22"/>
          <w:szCs w:val="22"/>
          <w:lang w:val="en-GB"/>
        </w:rPr>
        <w:t xml:space="preserve"> by June 2018</w:t>
      </w:r>
      <w:r w:rsidR="001F64CF" w:rsidRPr="00FE7377">
        <w:rPr>
          <w:rFonts w:asciiTheme="minorHAnsi" w:eastAsiaTheme="minorHAnsi" w:hAnsiTheme="minorHAnsi" w:cstheme="minorBidi"/>
          <w:sz w:val="22"/>
          <w:szCs w:val="22"/>
          <w:lang w:val="en-GB"/>
        </w:rPr>
        <w:t>.</w:t>
      </w:r>
      <w:r w:rsidRPr="00FE7377">
        <w:rPr>
          <w:rFonts w:asciiTheme="minorHAnsi" w:eastAsiaTheme="minorHAnsi" w:hAnsiTheme="minorHAnsi" w:cstheme="minorBidi"/>
          <w:sz w:val="22"/>
          <w:szCs w:val="22"/>
          <w:lang w:val="en-GB"/>
        </w:rPr>
        <w:t xml:space="preserve"> </w:t>
      </w:r>
    </w:p>
    <w:p w14:paraId="7502C899" w14:textId="77777777" w:rsidR="00200C71" w:rsidRPr="00FE7377" w:rsidRDefault="001F64CF" w:rsidP="009E1C8A">
      <w:pPr>
        <w:pStyle w:val="ListParagraph"/>
        <w:numPr>
          <w:ilvl w:val="0"/>
          <w:numId w:val="12"/>
        </w:numPr>
        <w:rPr>
          <w:rFonts w:asciiTheme="minorHAnsi" w:eastAsiaTheme="minorHAnsi" w:hAnsiTheme="minorHAnsi" w:cstheme="minorBidi"/>
          <w:sz w:val="22"/>
          <w:szCs w:val="22"/>
          <w:lang w:val="en-GB"/>
        </w:rPr>
      </w:pPr>
      <w:r w:rsidRPr="00FE7377">
        <w:rPr>
          <w:rFonts w:asciiTheme="minorHAnsi" w:eastAsiaTheme="minorHAnsi" w:hAnsiTheme="minorHAnsi" w:cstheme="minorBidi"/>
          <w:sz w:val="22"/>
          <w:szCs w:val="22"/>
          <w:lang w:val="en-GB"/>
        </w:rPr>
        <w:t xml:space="preserve">Finalise the design for the </w:t>
      </w:r>
      <w:r w:rsidR="0042723B" w:rsidRPr="00FE7377">
        <w:rPr>
          <w:rFonts w:asciiTheme="minorHAnsi" w:eastAsiaTheme="minorHAnsi" w:hAnsiTheme="minorHAnsi" w:cstheme="minorBidi"/>
          <w:sz w:val="22"/>
          <w:szCs w:val="22"/>
          <w:lang w:val="en-GB"/>
        </w:rPr>
        <w:t>new Australia-Cambodia Cooperation for Equitable and Sustain</w:t>
      </w:r>
      <w:r w:rsidR="00C51A53" w:rsidRPr="00FE7377">
        <w:rPr>
          <w:rFonts w:asciiTheme="minorHAnsi" w:eastAsiaTheme="minorHAnsi" w:hAnsiTheme="minorHAnsi" w:cstheme="minorBidi"/>
          <w:sz w:val="22"/>
          <w:szCs w:val="22"/>
          <w:lang w:val="en-GB"/>
        </w:rPr>
        <w:t>able Services (ACCESS) Program</w:t>
      </w:r>
      <w:r w:rsidRPr="00FE7377">
        <w:rPr>
          <w:rFonts w:asciiTheme="minorHAnsi" w:eastAsiaTheme="minorHAnsi" w:hAnsiTheme="minorHAnsi" w:cstheme="minorBidi"/>
          <w:sz w:val="22"/>
          <w:szCs w:val="22"/>
          <w:lang w:val="en-GB"/>
        </w:rPr>
        <w:t>, with program implementation underway</w:t>
      </w:r>
      <w:r w:rsidR="00C51A53" w:rsidRPr="00FE7377">
        <w:rPr>
          <w:rFonts w:asciiTheme="minorHAnsi" w:eastAsiaTheme="minorHAnsi" w:hAnsiTheme="minorHAnsi" w:cstheme="minorBidi"/>
          <w:sz w:val="22"/>
          <w:szCs w:val="22"/>
          <w:lang w:val="en-GB"/>
        </w:rPr>
        <w:t xml:space="preserve"> by 1 July 2018</w:t>
      </w:r>
      <w:r w:rsidR="0042723B" w:rsidRPr="00FE7377">
        <w:rPr>
          <w:rFonts w:asciiTheme="minorHAnsi" w:eastAsiaTheme="minorHAnsi" w:hAnsiTheme="minorHAnsi" w:cstheme="minorBidi"/>
          <w:sz w:val="22"/>
          <w:szCs w:val="22"/>
          <w:lang w:val="en-GB"/>
        </w:rPr>
        <w:t>.</w:t>
      </w:r>
    </w:p>
    <w:p w14:paraId="06D68887" w14:textId="77777777" w:rsidR="0042723B" w:rsidRPr="00FE7377" w:rsidRDefault="0042723B" w:rsidP="009E1C8A">
      <w:pPr>
        <w:pStyle w:val="ListParagraph"/>
        <w:numPr>
          <w:ilvl w:val="0"/>
          <w:numId w:val="12"/>
        </w:numPr>
        <w:rPr>
          <w:rFonts w:asciiTheme="minorHAnsi" w:eastAsiaTheme="minorHAnsi" w:hAnsiTheme="minorHAnsi" w:cstheme="minorBidi"/>
          <w:sz w:val="22"/>
          <w:szCs w:val="22"/>
          <w:lang w:val="en-GB"/>
        </w:rPr>
      </w:pPr>
      <w:r w:rsidRPr="00FE7377">
        <w:rPr>
          <w:rFonts w:asciiTheme="minorHAnsi" w:eastAsiaTheme="minorHAnsi" w:hAnsiTheme="minorHAnsi" w:cstheme="minorBidi"/>
          <w:sz w:val="22"/>
          <w:szCs w:val="22"/>
          <w:lang w:val="en-GB"/>
        </w:rPr>
        <w:t xml:space="preserve">Work with the </w:t>
      </w:r>
      <w:r w:rsidR="008664AF" w:rsidRPr="00FE7377">
        <w:rPr>
          <w:rFonts w:asciiTheme="minorHAnsi" w:eastAsiaTheme="minorHAnsi" w:hAnsiTheme="minorHAnsi" w:cstheme="minorBidi"/>
          <w:sz w:val="22"/>
          <w:szCs w:val="22"/>
          <w:lang w:val="en-GB"/>
        </w:rPr>
        <w:t>Cambodian Government</w:t>
      </w:r>
      <w:r w:rsidRPr="00FE7377">
        <w:rPr>
          <w:rFonts w:asciiTheme="minorHAnsi" w:eastAsiaTheme="minorHAnsi" w:hAnsiTheme="minorHAnsi" w:cstheme="minorBidi"/>
          <w:sz w:val="22"/>
          <w:szCs w:val="22"/>
          <w:lang w:val="en-GB"/>
        </w:rPr>
        <w:t xml:space="preserve"> and development partners on ensuring continued sexual and reproductive health services for Cambodian women, to assist their active participation in the economy</w:t>
      </w:r>
      <w:r w:rsidR="005D30D1" w:rsidRPr="00FE7377">
        <w:rPr>
          <w:rFonts w:asciiTheme="minorHAnsi" w:eastAsiaTheme="minorHAnsi" w:hAnsiTheme="minorHAnsi" w:cstheme="minorBidi"/>
          <w:sz w:val="22"/>
          <w:szCs w:val="22"/>
          <w:lang w:val="en-GB"/>
        </w:rPr>
        <w:t xml:space="preserve">. </w:t>
      </w:r>
    </w:p>
    <w:p w14:paraId="6F4048BB" w14:textId="77777777" w:rsidR="002008BE" w:rsidRPr="00280CC1" w:rsidRDefault="002008BE" w:rsidP="009E1C8A">
      <w:pPr>
        <w:pStyle w:val="ListParagraph"/>
        <w:numPr>
          <w:ilvl w:val="0"/>
          <w:numId w:val="12"/>
        </w:numPr>
        <w:rPr>
          <w:rFonts w:asciiTheme="minorHAnsi" w:eastAsiaTheme="minorHAnsi" w:hAnsiTheme="minorHAnsi" w:cstheme="minorBidi"/>
          <w:color w:val="495965" w:themeColor="text2"/>
          <w:sz w:val="22"/>
          <w:szCs w:val="22"/>
          <w:lang w:val="en-GB"/>
        </w:rPr>
        <w:sectPr w:rsidR="002008BE" w:rsidRPr="00280CC1" w:rsidSect="00567D48">
          <w:pgSz w:w="11906" w:h="16838" w:code="9"/>
          <w:pgMar w:top="1418" w:right="1134" w:bottom="1276" w:left="1134" w:header="1418" w:footer="567" w:gutter="0"/>
          <w:cols w:space="397"/>
          <w:docGrid w:linePitch="360"/>
        </w:sectPr>
      </w:pPr>
    </w:p>
    <w:p w14:paraId="12D79092" w14:textId="13549F76" w:rsidR="00400B0F" w:rsidRPr="00280CC1" w:rsidRDefault="00400B0F" w:rsidP="0012698F">
      <w:pPr>
        <w:pStyle w:val="Subtitle"/>
        <w:numPr>
          <w:ilvl w:val="0"/>
          <w:numId w:val="0"/>
        </w:numPr>
      </w:pPr>
      <w:r w:rsidRPr="00280CC1">
        <w:lastRenderedPageBreak/>
        <w:t xml:space="preserve">Annex A - Progress in Addressing Management </w:t>
      </w:r>
      <w:r w:rsidR="00AC302F" w:rsidRPr="00280CC1">
        <w:t>actions</w:t>
      </w:r>
    </w:p>
    <w:tbl>
      <w:tblPr>
        <w:tblStyle w:val="APPR"/>
        <w:tblpPr w:leftFromText="180" w:rightFromText="180" w:vertAnchor="text" w:tblpY="1"/>
        <w:tblW w:w="4901" w:type="pct"/>
        <w:tblLayout w:type="fixed"/>
        <w:tblLook w:val="0000" w:firstRow="0" w:lastRow="0" w:firstColumn="0" w:lastColumn="0" w:noHBand="0" w:noVBand="0"/>
      </w:tblPr>
      <w:tblGrid>
        <w:gridCol w:w="5613"/>
        <w:gridCol w:w="969"/>
        <w:gridCol w:w="7310"/>
      </w:tblGrid>
      <w:tr w:rsidR="00400B0F" w:rsidRPr="00280CC1" w14:paraId="54DAFD7F" w14:textId="77777777" w:rsidTr="00BF45AE">
        <w:trPr>
          <w:cnfStyle w:val="000000010000" w:firstRow="0" w:lastRow="0" w:firstColumn="0" w:lastColumn="0" w:oddVBand="0" w:evenVBand="0" w:oddHBand="0" w:evenHBand="1" w:firstRowFirstColumn="0" w:firstRowLastColumn="0" w:lastRowFirstColumn="0" w:lastRowLastColumn="0"/>
        </w:trPr>
        <w:tc>
          <w:tcPr>
            <w:tcW w:w="5571" w:type="dxa"/>
          </w:tcPr>
          <w:p w14:paraId="72D1EEA1" w14:textId="77777777" w:rsidR="00400B0F" w:rsidRPr="00280CC1" w:rsidRDefault="00400B0F" w:rsidP="00A54034">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 xml:space="preserve">Management </w:t>
            </w:r>
            <w:r w:rsidR="00A54034" w:rsidRPr="00280CC1">
              <w:rPr>
                <w:rFonts w:asciiTheme="minorHAnsi" w:eastAsia="Times New Roman" w:hAnsiTheme="minorHAnsi"/>
                <w:b/>
                <w:iCs/>
                <w:szCs w:val="17"/>
                <w:lang w:eastAsia="en-US"/>
              </w:rPr>
              <w:t>actions</w:t>
            </w:r>
            <w:r w:rsidRPr="00280CC1">
              <w:rPr>
                <w:rFonts w:asciiTheme="minorHAnsi" w:eastAsia="Times New Roman" w:hAnsiTheme="minorHAnsi"/>
                <w:b/>
                <w:iCs/>
                <w:szCs w:val="17"/>
                <w:lang w:eastAsia="en-US"/>
              </w:rPr>
              <w:t xml:space="preserve"> identified in 201</w:t>
            </w:r>
            <w:r w:rsidR="00510FAB" w:rsidRPr="00280CC1">
              <w:rPr>
                <w:rFonts w:asciiTheme="minorHAnsi" w:eastAsia="Times New Roman" w:hAnsiTheme="minorHAnsi"/>
                <w:b/>
                <w:iCs/>
                <w:szCs w:val="17"/>
                <w:lang w:eastAsia="en-US"/>
              </w:rPr>
              <w:t>5</w:t>
            </w:r>
            <w:r w:rsidRPr="00280CC1">
              <w:rPr>
                <w:rFonts w:asciiTheme="minorHAnsi" w:eastAsia="Times New Roman" w:hAnsiTheme="minorHAnsi"/>
                <w:b/>
                <w:iCs/>
                <w:szCs w:val="17"/>
                <w:lang w:eastAsia="en-US"/>
              </w:rPr>
              <w:t>-1</w:t>
            </w:r>
            <w:r w:rsidR="00510FAB" w:rsidRPr="00280CC1">
              <w:rPr>
                <w:rFonts w:asciiTheme="minorHAnsi" w:eastAsia="Times New Roman" w:hAnsiTheme="minorHAnsi"/>
                <w:b/>
                <w:iCs/>
                <w:szCs w:val="17"/>
                <w:lang w:eastAsia="en-US"/>
              </w:rPr>
              <w:t>6</w:t>
            </w:r>
            <w:r w:rsidRPr="00280CC1">
              <w:rPr>
                <w:rFonts w:asciiTheme="minorHAnsi" w:eastAsia="Times New Roman" w:hAnsiTheme="minorHAnsi"/>
                <w:b/>
                <w:iCs/>
                <w:szCs w:val="17"/>
                <w:lang w:eastAsia="en-US"/>
              </w:rPr>
              <w:t xml:space="preserve"> APPR</w:t>
            </w:r>
            <w:r w:rsidRPr="00280CC1">
              <w:rPr>
                <w:rFonts w:asciiTheme="minorHAnsi" w:eastAsia="Times New Roman" w:hAnsiTheme="minorHAnsi"/>
                <w:b/>
                <w:iCs/>
                <w:szCs w:val="17"/>
                <w:lang w:eastAsia="en-US"/>
              </w:rPr>
              <w:tab/>
            </w:r>
          </w:p>
        </w:tc>
        <w:tc>
          <w:tcPr>
            <w:tcW w:w="941" w:type="dxa"/>
          </w:tcPr>
          <w:p w14:paraId="7ABC7C2A" w14:textId="77777777" w:rsidR="00400B0F" w:rsidRPr="00280CC1" w:rsidRDefault="00400B0F" w:rsidP="006F27B1">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Rating</w:t>
            </w:r>
          </w:p>
        </w:tc>
        <w:tc>
          <w:tcPr>
            <w:tcW w:w="7268" w:type="dxa"/>
          </w:tcPr>
          <w:p w14:paraId="2BF443D5" w14:textId="77777777" w:rsidR="00400B0F" w:rsidRPr="00280CC1" w:rsidRDefault="00400B0F" w:rsidP="001103E6">
            <w:pPr>
              <w:keepLines/>
              <w:spacing w:before="80" w:after="80" w:line="200" w:lineRule="atLeast"/>
              <w:jc w:val="center"/>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Progress made  in 201</w:t>
            </w:r>
            <w:r w:rsidR="001103E6" w:rsidRPr="00280CC1">
              <w:rPr>
                <w:rFonts w:asciiTheme="minorHAnsi" w:eastAsia="Times New Roman" w:hAnsiTheme="minorHAnsi"/>
                <w:b/>
                <w:iCs/>
                <w:szCs w:val="17"/>
                <w:lang w:eastAsia="en-US"/>
              </w:rPr>
              <w:t>6</w:t>
            </w:r>
            <w:r w:rsidRPr="00280CC1">
              <w:rPr>
                <w:rFonts w:asciiTheme="minorHAnsi" w:eastAsia="Times New Roman" w:hAnsiTheme="minorHAnsi"/>
                <w:b/>
                <w:iCs/>
                <w:szCs w:val="17"/>
                <w:lang w:eastAsia="en-US"/>
              </w:rPr>
              <w:t>-1</w:t>
            </w:r>
            <w:r w:rsidR="001103E6" w:rsidRPr="00280CC1">
              <w:rPr>
                <w:rFonts w:asciiTheme="minorHAnsi" w:eastAsia="Times New Roman" w:hAnsiTheme="minorHAnsi"/>
                <w:b/>
                <w:iCs/>
                <w:szCs w:val="17"/>
                <w:lang w:eastAsia="en-US"/>
              </w:rPr>
              <w:t>7</w:t>
            </w:r>
          </w:p>
        </w:tc>
      </w:tr>
      <w:tr w:rsidR="00400B0F" w:rsidRPr="00280CC1" w14:paraId="54FAD300" w14:textId="77777777" w:rsidTr="00BF45AE">
        <w:trPr>
          <w:cnfStyle w:val="000000010000" w:firstRow="0" w:lastRow="0" w:firstColumn="0" w:lastColumn="0" w:oddVBand="0" w:evenVBand="0" w:oddHBand="0" w:evenHBand="1" w:firstRowFirstColumn="0" w:firstRowLastColumn="0" w:lastRowFirstColumn="0" w:lastRowLastColumn="0"/>
        </w:trPr>
        <w:tc>
          <w:tcPr>
            <w:tcW w:w="5571" w:type="dxa"/>
          </w:tcPr>
          <w:p w14:paraId="703BD709" w14:textId="77777777" w:rsidR="00400B0F" w:rsidRPr="00280CC1" w:rsidRDefault="00D43859" w:rsidP="006D2F23">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Review the ongoing relevance of our aid program with the Cambodian Government at biennial High Level Consultations on Aid in October 2016. This will feed into early planning for our next Aid Investment Plan and pipeline planning</w:t>
            </w:r>
          </w:p>
        </w:tc>
        <w:tc>
          <w:tcPr>
            <w:tcW w:w="941" w:type="dxa"/>
            <w:shd w:val="clear" w:color="auto" w:fill="7FB64D" w:themeFill="accent3" w:themeFillShade="BF"/>
          </w:tcPr>
          <w:p w14:paraId="42B575AC" w14:textId="77777777" w:rsidR="00400B0F" w:rsidRPr="00280CC1" w:rsidRDefault="00400B0F"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280CC1">
              <w:rPr>
                <w:rFonts w:asciiTheme="minorHAnsi" w:eastAsia="Times New Roman" w:hAnsiTheme="minorHAnsi"/>
                <w:iCs/>
                <w:color w:val="FFFFFF" w:themeColor="background1"/>
                <w:szCs w:val="17"/>
                <w:lang w:eastAsia="en-US"/>
              </w:rPr>
              <w:t>Achieved</w:t>
            </w:r>
          </w:p>
        </w:tc>
        <w:tc>
          <w:tcPr>
            <w:tcW w:w="7268" w:type="dxa"/>
          </w:tcPr>
          <w:p w14:paraId="467015A2" w14:textId="77777777" w:rsidR="00400B0F" w:rsidRPr="00A43E00" w:rsidRDefault="00CA6C04" w:rsidP="0029505D">
            <w:pPr>
              <w:keepLines/>
              <w:spacing w:before="40" w:after="40" w:line="200" w:lineRule="atLeast"/>
              <w:rPr>
                <w:rFonts w:asciiTheme="minorHAnsi" w:eastAsia="Times New Roman" w:hAnsiTheme="minorHAnsi"/>
                <w:iCs/>
                <w:szCs w:val="17"/>
                <w:lang w:eastAsia="en-US"/>
              </w:rPr>
            </w:pPr>
            <w:r w:rsidRPr="00762380">
              <w:rPr>
                <w:rFonts w:asciiTheme="minorHAnsi" w:eastAsia="Times New Roman" w:hAnsiTheme="minorHAnsi"/>
                <w:iCs/>
                <w:szCs w:val="17"/>
                <w:lang w:eastAsia="en-US"/>
              </w:rPr>
              <w:t xml:space="preserve">The 14th High Level Consultation on Aid were successfully held in Canberra as planned </w:t>
            </w:r>
            <w:r w:rsidR="001F64CF" w:rsidRPr="00762380">
              <w:rPr>
                <w:rFonts w:asciiTheme="minorHAnsi" w:eastAsia="Times New Roman" w:hAnsiTheme="minorHAnsi"/>
                <w:iCs/>
                <w:szCs w:val="17"/>
                <w:lang w:eastAsia="en-US"/>
              </w:rPr>
              <w:t xml:space="preserve">in </w:t>
            </w:r>
            <w:r w:rsidRPr="00762380">
              <w:rPr>
                <w:rFonts w:asciiTheme="minorHAnsi" w:eastAsia="Times New Roman" w:hAnsiTheme="minorHAnsi"/>
                <w:iCs/>
                <w:szCs w:val="17"/>
                <w:lang w:eastAsia="en-US"/>
              </w:rPr>
              <w:t>October</w:t>
            </w:r>
            <w:r w:rsidR="001F64CF" w:rsidRPr="00762380">
              <w:rPr>
                <w:rFonts w:asciiTheme="minorHAnsi" w:eastAsia="Times New Roman" w:hAnsiTheme="minorHAnsi"/>
                <w:iCs/>
                <w:szCs w:val="17"/>
                <w:lang w:eastAsia="en-US"/>
              </w:rPr>
              <w:t> </w:t>
            </w:r>
            <w:r w:rsidRPr="00762380">
              <w:rPr>
                <w:rFonts w:asciiTheme="minorHAnsi" w:eastAsia="Times New Roman" w:hAnsiTheme="minorHAnsi"/>
                <w:iCs/>
                <w:szCs w:val="17"/>
                <w:lang w:eastAsia="en-US"/>
              </w:rPr>
              <w:t xml:space="preserve">2016. Thirteen high-level </w:t>
            </w:r>
            <w:r w:rsidR="006D2F23" w:rsidRPr="00762380">
              <w:rPr>
                <w:rFonts w:asciiTheme="minorHAnsi" w:eastAsia="Times New Roman" w:hAnsiTheme="minorHAnsi"/>
                <w:iCs/>
                <w:szCs w:val="17"/>
                <w:lang w:eastAsia="en-US"/>
              </w:rPr>
              <w:t xml:space="preserve">Cambodian Government </w:t>
            </w:r>
            <w:r w:rsidRPr="00762380">
              <w:rPr>
                <w:rFonts w:asciiTheme="minorHAnsi" w:eastAsia="Times New Roman" w:hAnsiTheme="minorHAnsi"/>
                <w:iCs/>
                <w:szCs w:val="17"/>
                <w:lang w:eastAsia="en-US"/>
              </w:rPr>
              <w:t xml:space="preserve">delegates travelled to Canberra for three days of meetings. Senior Minister, HE </w:t>
            </w:r>
            <w:proofErr w:type="spellStart"/>
            <w:r w:rsidRPr="00762380">
              <w:rPr>
                <w:rFonts w:asciiTheme="minorHAnsi" w:eastAsia="Times New Roman" w:hAnsiTheme="minorHAnsi"/>
                <w:iCs/>
                <w:szCs w:val="17"/>
                <w:lang w:eastAsia="en-US"/>
              </w:rPr>
              <w:t>Chhieng</w:t>
            </w:r>
            <w:proofErr w:type="spellEnd"/>
            <w:r w:rsidRPr="00762380">
              <w:rPr>
                <w:rFonts w:asciiTheme="minorHAnsi" w:eastAsia="Times New Roman" w:hAnsiTheme="minorHAnsi"/>
                <w:iCs/>
                <w:szCs w:val="17"/>
                <w:lang w:eastAsia="en-US"/>
              </w:rPr>
              <w:t xml:space="preserve"> </w:t>
            </w:r>
            <w:proofErr w:type="spellStart"/>
            <w:r w:rsidRPr="00762380">
              <w:rPr>
                <w:rFonts w:asciiTheme="minorHAnsi" w:eastAsia="Times New Roman" w:hAnsiTheme="minorHAnsi"/>
                <w:iCs/>
                <w:szCs w:val="17"/>
                <w:lang w:eastAsia="en-US"/>
              </w:rPr>
              <w:t>Yannara</w:t>
            </w:r>
            <w:proofErr w:type="spellEnd"/>
            <w:r w:rsidRPr="00762380">
              <w:rPr>
                <w:rFonts w:asciiTheme="minorHAnsi" w:eastAsia="Times New Roman" w:hAnsiTheme="minorHAnsi"/>
                <w:iCs/>
                <w:szCs w:val="17"/>
                <w:lang w:eastAsia="en-US"/>
              </w:rPr>
              <w:t>, led the Cambodian delegation. The joint Australia-Cambodia</w:t>
            </w:r>
            <w:r w:rsidR="006D2F23" w:rsidRPr="00762380">
              <w:rPr>
                <w:rFonts w:asciiTheme="minorHAnsi" w:eastAsia="Times New Roman" w:hAnsiTheme="minorHAnsi"/>
                <w:iCs/>
                <w:szCs w:val="17"/>
                <w:lang w:eastAsia="en-US"/>
              </w:rPr>
              <w:t xml:space="preserve"> HLC </w:t>
            </w:r>
            <w:r w:rsidRPr="00762380">
              <w:rPr>
                <w:rFonts w:asciiTheme="minorHAnsi" w:eastAsia="Times New Roman" w:hAnsiTheme="minorHAnsi"/>
                <w:iCs/>
                <w:szCs w:val="17"/>
                <w:lang w:eastAsia="en-US"/>
              </w:rPr>
              <w:t xml:space="preserve">statement </w:t>
            </w:r>
            <w:r w:rsidR="006D2F23" w:rsidRPr="00762380">
              <w:rPr>
                <w:rFonts w:asciiTheme="minorHAnsi" w:eastAsia="Times New Roman" w:hAnsiTheme="minorHAnsi"/>
                <w:iCs/>
                <w:szCs w:val="17"/>
                <w:lang w:eastAsia="en-US"/>
              </w:rPr>
              <w:t>confirmed Australian aid remains aligned to Cambodian Government priorities.</w:t>
            </w:r>
            <w:r w:rsidR="006D2F23" w:rsidRPr="00BE24EE">
              <w:rPr>
                <w:rFonts w:eastAsia="Times New Roman"/>
                <w:iCs/>
                <w:szCs w:val="17"/>
              </w:rPr>
              <w:t xml:space="preserve"> </w:t>
            </w:r>
          </w:p>
        </w:tc>
      </w:tr>
      <w:tr w:rsidR="0024725F" w:rsidRPr="00280CC1" w14:paraId="20ECB92A" w14:textId="77777777" w:rsidTr="00280CC1">
        <w:trPr>
          <w:cnfStyle w:val="000000010000" w:firstRow="0" w:lastRow="0" w:firstColumn="0" w:lastColumn="0" w:oddVBand="0" w:evenVBand="0" w:oddHBand="0" w:evenHBand="1" w:firstRowFirstColumn="0" w:firstRowLastColumn="0" w:lastRowFirstColumn="0" w:lastRowLastColumn="0"/>
        </w:trPr>
        <w:tc>
          <w:tcPr>
            <w:tcW w:w="5571" w:type="dxa"/>
          </w:tcPr>
          <w:p w14:paraId="1159497F" w14:textId="77777777" w:rsidR="00BE24EE" w:rsidRDefault="0024725F" w:rsidP="0024725F">
            <w:pPr>
              <w:keepLines/>
              <w:spacing w:before="40" w:after="40" w:line="200" w:lineRule="atLeast"/>
              <w:rPr>
                <w:rFonts w:asciiTheme="minorHAnsi" w:eastAsia="Times New Roman" w:hAnsiTheme="minorHAnsi"/>
                <w:iCs/>
                <w:szCs w:val="17"/>
                <w:lang w:eastAsia="en-US"/>
              </w:rPr>
            </w:pPr>
            <w:r w:rsidRPr="00C93EAC">
              <w:rPr>
                <w:rFonts w:asciiTheme="minorHAnsi" w:eastAsia="Times New Roman" w:hAnsiTheme="minorHAnsi"/>
                <w:iCs/>
                <w:szCs w:val="17"/>
                <w:lang w:eastAsia="en-US"/>
              </w:rPr>
              <w:t xml:space="preserve">Focus our efforts on safeguards risks, specifically child protection and resettlement when working in partnership with multilateral organisations. </w:t>
            </w:r>
          </w:p>
          <w:p w14:paraId="2BFB0DD1" w14:textId="77777777" w:rsidR="00BE24EE" w:rsidRDefault="00BE24EE" w:rsidP="0024725F">
            <w:pPr>
              <w:keepLines/>
              <w:spacing w:before="40" w:after="40" w:line="200" w:lineRule="atLeast"/>
              <w:rPr>
                <w:rFonts w:asciiTheme="minorHAnsi" w:eastAsia="Times New Roman" w:hAnsiTheme="minorHAnsi"/>
                <w:iCs/>
                <w:szCs w:val="17"/>
                <w:lang w:eastAsia="en-US"/>
              </w:rPr>
            </w:pPr>
          </w:p>
          <w:p w14:paraId="1AC2C6A9" w14:textId="77777777" w:rsidR="00BE24EE" w:rsidRDefault="00BE24EE" w:rsidP="0024725F">
            <w:pPr>
              <w:keepLines/>
              <w:spacing w:before="40" w:after="40" w:line="200" w:lineRule="atLeast"/>
              <w:rPr>
                <w:rFonts w:asciiTheme="minorHAnsi" w:eastAsia="Times New Roman" w:hAnsiTheme="minorHAnsi"/>
                <w:iCs/>
                <w:szCs w:val="17"/>
                <w:lang w:eastAsia="en-US"/>
              </w:rPr>
            </w:pPr>
          </w:p>
          <w:p w14:paraId="277C2F7C" w14:textId="77777777" w:rsidR="00BE24EE" w:rsidRDefault="00BE24EE" w:rsidP="0024725F">
            <w:pPr>
              <w:keepLines/>
              <w:spacing w:before="40" w:after="40" w:line="200" w:lineRule="atLeast"/>
              <w:rPr>
                <w:rFonts w:asciiTheme="minorHAnsi" w:eastAsia="Times New Roman" w:hAnsiTheme="minorHAnsi"/>
                <w:iCs/>
                <w:szCs w:val="17"/>
                <w:lang w:eastAsia="en-US"/>
              </w:rPr>
            </w:pPr>
          </w:p>
          <w:p w14:paraId="5E69E6EC" w14:textId="77777777" w:rsidR="00BE24EE" w:rsidRDefault="00BE24EE" w:rsidP="0024725F">
            <w:pPr>
              <w:keepLines/>
              <w:spacing w:before="40" w:after="40" w:line="200" w:lineRule="atLeast"/>
              <w:rPr>
                <w:rFonts w:asciiTheme="minorHAnsi" w:eastAsia="Times New Roman" w:hAnsiTheme="minorHAnsi"/>
                <w:iCs/>
                <w:szCs w:val="17"/>
                <w:lang w:eastAsia="en-US"/>
              </w:rPr>
            </w:pPr>
          </w:p>
          <w:p w14:paraId="10342E04" w14:textId="77777777" w:rsidR="00BE24EE" w:rsidRDefault="00BE24EE" w:rsidP="0024725F">
            <w:pPr>
              <w:keepLines/>
              <w:spacing w:before="40" w:after="40" w:line="200" w:lineRule="atLeast"/>
              <w:rPr>
                <w:rFonts w:asciiTheme="minorHAnsi" w:eastAsia="Times New Roman" w:hAnsiTheme="minorHAnsi"/>
                <w:iCs/>
                <w:szCs w:val="17"/>
                <w:lang w:eastAsia="en-US"/>
              </w:rPr>
            </w:pPr>
          </w:p>
          <w:p w14:paraId="7760EB78" w14:textId="77777777" w:rsidR="00BE24EE" w:rsidRDefault="00BE24EE" w:rsidP="0024725F">
            <w:pPr>
              <w:keepLines/>
              <w:spacing w:before="40" w:after="40" w:line="200" w:lineRule="atLeast"/>
              <w:rPr>
                <w:rFonts w:asciiTheme="minorHAnsi" w:eastAsia="Times New Roman" w:hAnsiTheme="minorHAnsi"/>
                <w:iCs/>
                <w:szCs w:val="17"/>
                <w:lang w:eastAsia="en-US"/>
              </w:rPr>
            </w:pPr>
          </w:p>
          <w:p w14:paraId="357D7719" w14:textId="70DD31E9" w:rsidR="0024725F" w:rsidRPr="00C93EAC" w:rsidRDefault="0024725F" w:rsidP="0024725F">
            <w:pPr>
              <w:keepLines/>
              <w:spacing w:before="40" w:after="40" w:line="200" w:lineRule="atLeast"/>
              <w:rPr>
                <w:rFonts w:asciiTheme="minorHAnsi" w:eastAsia="Times New Roman" w:hAnsiTheme="minorHAnsi"/>
                <w:iCs/>
                <w:szCs w:val="17"/>
                <w:lang w:eastAsia="en-US"/>
              </w:rPr>
            </w:pPr>
          </w:p>
        </w:tc>
        <w:tc>
          <w:tcPr>
            <w:tcW w:w="941" w:type="dxa"/>
            <w:shd w:val="clear" w:color="auto" w:fill="7FB64D"/>
          </w:tcPr>
          <w:p w14:paraId="294EDA97" w14:textId="77777777" w:rsidR="0024725F" w:rsidRPr="00280CC1" w:rsidRDefault="0024725F" w:rsidP="0024725F">
            <w:pPr>
              <w:keepLines/>
              <w:spacing w:before="40" w:after="40" w:line="200" w:lineRule="atLeast"/>
              <w:jc w:val="center"/>
              <w:rPr>
                <w:rFonts w:asciiTheme="minorHAnsi" w:eastAsia="Times New Roman" w:hAnsiTheme="minorHAnsi"/>
                <w:iCs/>
                <w:color w:val="FFFFFF" w:themeColor="background1"/>
                <w:szCs w:val="17"/>
                <w:lang w:eastAsia="en-US"/>
              </w:rPr>
            </w:pPr>
            <w:r w:rsidRPr="00280CC1">
              <w:rPr>
                <w:rFonts w:asciiTheme="minorHAnsi" w:eastAsia="Times New Roman" w:hAnsiTheme="minorHAnsi"/>
                <w:iCs/>
                <w:color w:val="FFFFFF" w:themeColor="background1"/>
                <w:szCs w:val="17"/>
                <w:lang w:eastAsia="en-US"/>
              </w:rPr>
              <w:t>Achieved</w:t>
            </w:r>
            <w:r w:rsidRPr="00280CC1">
              <w:rPr>
                <w:rFonts w:eastAsia="Times New Roman"/>
                <w:iCs/>
                <w:color w:val="FFFFFF" w:themeColor="background1"/>
                <w:szCs w:val="17"/>
              </w:rPr>
              <w:fldChar w:fldCharType="begin"/>
            </w:r>
            <w:r w:rsidRPr="00280CC1">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280CC1">
              <w:rPr>
                <w:rFonts w:eastAsia="Times New Roman"/>
                <w:iCs/>
                <w:color w:val="FFFFFF" w:themeColor="background1"/>
                <w:szCs w:val="17"/>
              </w:rPr>
              <w:fldChar w:fldCharType="end"/>
            </w:r>
          </w:p>
        </w:tc>
        <w:tc>
          <w:tcPr>
            <w:tcW w:w="7268" w:type="dxa"/>
          </w:tcPr>
          <w:p w14:paraId="5124AAE5" w14:textId="77777777" w:rsidR="0024725F" w:rsidRPr="00280CC1" w:rsidRDefault="0024725F" w:rsidP="00930D43">
            <w:pPr>
              <w:keepLines/>
              <w:spacing w:before="40" w:after="40" w:line="200" w:lineRule="atLeast"/>
              <w:rPr>
                <w:rFonts w:asciiTheme="minorHAnsi" w:eastAsia="Times New Roman" w:hAnsiTheme="minorHAnsi"/>
                <w:iCs/>
                <w:szCs w:val="17"/>
                <w:lang w:eastAsia="en-US"/>
              </w:rPr>
            </w:pPr>
            <w:r w:rsidRPr="00762380">
              <w:rPr>
                <w:rFonts w:asciiTheme="minorHAnsi" w:eastAsia="Times New Roman" w:hAnsiTheme="minorHAnsi"/>
                <w:iCs/>
                <w:szCs w:val="17"/>
                <w:lang w:eastAsia="en-US"/>
              </w:rPr>
              <w:t>Post management continues to stress the importance for staff to proactively manage safeguard and cross-cutting risks. Prior to funding any new partners, Post undertakes a baseline due diligence assessment to ensure the partner has appropriate policies and processes in place to manage risks, especially child protection, Work Health &amp; Safety, fraud and corruption issues. Sectoral managers also engage with their respective partners on these issues throughout the duration of the program</w:t>
            </w:r>
            <w:r w:rsidRPr="00BE24EE">
              <w:rPr>
                <w:rFonts w:eastAsia="Times New Roman"/>
                <w:iCs/>
                <w:szCs w:val="17"/>
              </w:rPr>
              <w:t xml:space="preserve">. </w:t>
            </w:r>
          </w:p>
          <w:p w14:paraId="06BCFD72" w14:textId="77777777" w:rsidR="0024725F" w:rsidRPr="00280CC1" w:rsidRDefault="0024725F" w:rsidP="00930D43">
            <w:pPr>
              <w:keepLines/>
              <w:spacing w:before="40" w:after="40" w:line="200" w:lineRule="atLeast"/>
              <w:rPr>
                <w:rFonts w:asciiTheme="minorHAnsi" w:eastAsia="Times New Roman" w:hAnsiTheme="minorHAnsi"/>
                <w:iCs/>
                <w:szCs w:val="17"/>
                <w:lang w:eastAsia="en-US"/>
              </w:rPr>
            </w:pPr>
            <w:r w:rsidRPr="003D6685">
              <w:rPr>
                <w:rFonts w:asciiTheme="minorHAnsi" w:eastAsia="Times New Roman" w:hAnsiTheme="minorHAnsi"/>
                <w:iCs/>
                <w:szCs w:val="17"/>
                <w:lang w:eastAsia="en-US"/>
              </w:rPr>
              <w:t>Post is</w:t>
            </w:r>
            <w:r w:rsidR="00BF45AE" w:rsidRPr="003D6685">
              <w:rPr>
                <w:rFonts w:asciiTheme="minorHAnsi" w:eastAsia="Times New Roman" w:hAnsiTheme="minorHAnsi"/>
                <w:iCs/>
                <w:szCs w:val="17"/>
                <w:lang w:eastAsia="en-US"/>
              </w:rPr>
              <w:t xml:space="preserve"> proactively</w:t>
            </w:r>
            <w:r w:rsidRPr="003D6685">
              <w:rPr>
                <w:rFonts w:asciiTheme="minorHAnsi" w:eastAsia="Times New Roman" w:hAnsiTheme="minorHAnsi"/>
                <w:iCs/>
                <w:szCs w:val="17"/>
                <w:lang w:eastAsia="en-US"/>
              </w:rPr>
              <w:t xml:space="preserve"> working with the Fraud Control Section to progress and close active cases</w:t>
            </w:r>
            <w:r w:rsidR="00B51FA7" w:rsidRPr="003D6685">
              <w:rPr>
                <w:rFonts w:asciiTheme="minorHAnsi" w:eastAsia="Times New Roman" w:hAnsiTheme="minorHAnsi"/>
                <w:iCs/>
                <w:szCs w:val="17"/>
                <w:lang w:eastAsia="en-US"/>
              </w:rPr>
              <w:t xml:space="preserve">. </w:t>
            </w:r>
          </w:p>
          <w:p w14:paraId="1B53A142" w14:textId="77777777" w:rsidR="0024725F" w:rsidRPr="00A43E00" w:rsidRDefault="0024725F" w:rsidP="00F12140">
            <w:pPr>
              <w:keepLines/>
              <w:spacing w:before="40" w:after="40" w:line="200" w:lineRule="atLeast"/>
              <w:rPr>
                <w:rFonts w:asciiTheme="minorHAnsi" w:eastAsia="Times New Roman" w:hAnsiTheme="minorHAnsi"/>
                <w:iCs/>
                <w:szCs w:val="17"/>
                <w:lang w:eastAsia="en-US"/>
              </w:rPr>
            </w:pPr>
            <w:r w:rsidRPr="003D6685">
              <w:rPr>
                <w:rFonts w:asciiTheme="minorHAnsi" w:eastAsia="Times New Roman" w:hAnsiTheme="minorHAnsi"/>
                <w:iCs/>
                <w:szCs w:val="17"/>
                <w:lang w:eastAsia="en-US"/>
              </w:rPr>
              <w:t xml:space="preserve">Post continues to keep abreast of any revised safeguard policies and ensure that all staff and implementing partners are aware and briefed of any policy changes. </w:t>
            </w:r>
          </w:p>
          <w:p w14:paraId="725E2635" w14:textId="6A5E4019" w:rsidR="001F64CF" w:rsidRPr="00280CC1" w:rsidRDefault="001F64CF" w:rsidP="0029505D">
            <w:pPr>
              <w:keepLines/>
              <w:spacing w:before="40" w:after="40" w:line="200" w:lineRule="atLeast"/>
              <w:rPr>
                <w:rFonts w:asciiTheme="minorHAnsi" w:eastAsia="Times New Roman" w:hAnsiTheme="minorHAnsi"/>
                <w:iCs/>
                <w:szCs w:val="17"/>
                <w:lang w:eastAsia="en-US"/>
              </w:rPr>
            </w:pPr>
          </w:p>
        </w:tc>
      </w:tr>
      <w:tr w:rsidR="00BE24EE" w:rsidRPr="00280CC1" w14:paraId="106A0A72" w14:textId="77777777" w:rsidTr="00280CC1">
        <w:trPr>
          <w:cnfStyle w:val="000000010000" w:firstRow="0" w:lastRow="0" w:firstColumn="0" w:lastColumn="0" w:oddVBand="0" w:evenVBand="0" w:oddHBand="0" w:evenHBand="1" w:firstRowFirstColumn="0" w:firstRowLastColumn="0" w:lastRowFirstColumn="0" w:lastRowLastColumn="0"/>
        </w:trPr>
        <w:tc>
          <w:tcPr>
            <w:tcW w:w="5571" w:type="dxa"/>
          </w:tcPr>
          <w:p w14:paraId="164B689F" w14:textId="50C7B50B" w:rsidR="00BE24EE" w:rsidRPr="003D6685" w:rsidRDefault="00BE24EE" w:rsidP="0024725F">
            <w:pPr>
              <w:keepLines/>
              <w:spacing w:before="40" w:after="40" w:line="200" w:lineRule="atLeast"/>
              <w:rPr>
                <w:rFonts w:asciiTheme="minorHAnsi" w:eastAsia="Times New Roman" w:hAnsiTheme="minorHAnsi"/>
                <w:iCs/>
                <w:szCs w:val="17"/>
                <w:lang w:eastAsia="en-US"/>
              </w:rPr>
            </w:pPr>
            <w:r w:rsidRPr="00C93EAC">
              <w:rPr>
                <w:rFonts w:asciiTheme="minorHAnsi" w:eastAsia="Times New Roman" w:hAnsiTheme="minorHAnsi"/>
                <w:iCs/>
                <w:szCs w:val="17"/>
                <w:lang w:eastAsia="en-US"/>
              </w:rPr>
              <w:t xml:space="preserve">Assess and implement the most efficient and effective mechanism to </w:t>
            </w:r>
            <w:r w:rsidRPr="00004635">
              <w:rPr>
                <w:rFonts w:asciiTheme="minorHAnsi" w:eastAsia="Times New Roman" w:hAnsiTheme="minorHAnsi"/>
                <w:iCs/>
                <w:szCs w:val="17"/>
                <w:lang w:eastAsia="en-US"/>
              </w:rPr>
              <w:t>employ safeguard specialists on retainer for access by all investments by March 2017</w:t>
            </w:r>
          </w:p>
        </w:tc>
        <w:tc>
          <w:tcPr>
            <w:tcW w:w="941" w:type="dxa"/>
            <w:shd w:val="clear" w:color="auto" w:fill="7FB64D"/>
          </w:tcPr>
          <w:p w14:paraId="65F94F76" w14:textId="6ECB1097" w:rsidR="00BE24EE" w:rsidRPr="00280CC1" w:rsidRDefault="00BE24EE" w:rsidP="0024725F">
            <w:pPr>
              <w:keepLines/>
              <w:spacing w:before="40" w:after="40" w:line="200" w:lineRule="atLeast"/>
              <w:jc w:val="center"/>
              <w:rPr>
                <w:rFonts w:eastAsia="Times New Roman"/>
                <w:iCs/>
                <w:color w:val="FFFFFF" w:themeColor="background1"/>
                <w:szCs w:val="17"/>
              </w:rPr>
            </w:pPr>
            <w:r w:rsidRPr="00280CC1">
              <w:rPr>
                <w:rFonts w:asciiTheme="minorHAnsi" w:eastAsia="Times New Roman" w:hAnsiTheme="minorHAnsi"/>
                <w:iCs/>
                <w:color w:val="FFFFFF" w:themeColor="background1"/>
                <w:szCs w:val="17"/>
                <w:lang w:eastAsia="en-US"/>
              </w:rPr>
              <w:t>Achieved</w:t>
            </w:r>
            <w:r w:rsidRPr="00280CC1">
              <w:rPr>
                <w:rFonts w:eastAsia="Times New Roman"/>
                <w:iCs/>
                <w:color w:val="FFFFFF" w:themeColor="background1"/>
                <w:szCs w:val="17"/>
              </w:rPr>
              <w:fldChar w:fldCharType="begin"/>
            </w:r>
            <w:r w:rsidRPr="00280CC1">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280CC1">
              <w:rPr>
                <w:rFonts w:eastAsia="Times New Roman"/>
                <w:iCs/>
                <w:color w:val="FFFFFF" w:themeColor="background1"/>
                <w:szCs w:val="17"/>
              </w:rPr>
              <w:fldChar w:fldCharType="end"/>
            </w:r>
          </w:p>
        </w:tc>
        <w:tc>
          <w:tcPr>
            <w:tcW w:w="7268" w:type="dxa"/>
          </w:tcPr>
          <w:p w14:paraId="286A4872" w14:textId="6B869E2C" w:rsidR="00BE24EE" w:rsidRPr="003D6685" w:rsidRDefault="00BE24EE" w:rsidP="00930D43">
            <w:pPr>
              <w:keepLines/>
              <w:spacing w:before="40" w:after="40" w:line="200" w:lineRule="atLeast"/>
              <w:rPr>
                <w:rFonts w:asciiTheme="minorHAnsi" w:eastAsia="Times New Roman" w:hAnsiTheme="minorHAnsi"/>
                <w:iCs/>
                <w:szCs w:val="17"/>
                <w:lang w:eastAsia="en-US"/>
              </w:rPr>
            </w:pPr>
            <w:r w:rsidRPr="003D6685">
              <w:rPr>
                <w:rFonts w:asciiTheme="minorHAnsi" w:eastAsia="Times New Roman" w:hAnsiTheme="minorHAnsi"/>
                <w:iCs/>
                <w:szCs w:val="17"/>
                <w:lang w:eastAsia="en-US"/>
              </w:rPr>
              <w:t>Sector specialists, including resettlement expertise, have been recruited to assist in program oversight of key aid investments including health and infrastructure</w:t>
            </w:r>
          </w:p>
        </w:tc>
      </w:tr>
      <w:tr w:rsidR="0024725F" w:rsidRPr="00280CC1" w14:paraId="3A4A5580" w14:textId="77777777" w:rsidTr="00BF45AE">
        <w:trPr>
          <w:cnfStyle w:val="000000010000" w:firstRow="0" w:lastRow="0" w:firstColumn="0" w:lastColumn="0" w:oddVBand="0" w:evenVBand="0" w:oddHBand="0" w:evenHBand="1" w:firstRowFirstColumn="0" w:firstRowLastColumn="0" w:lastRowFirstColumn="0" w:lastRowLastColumn="0"/>
        </w:trPr>
        <w:tc>
          <w:tcPr>
            <w:tcW w:w="5571" w:type="dxa"/>
          </w:tcPr>
          <w:p w14:paraId="3488481D" w14:textId="77777777" w:rsidR="0024725F" w:rsidRPr="00280CC1" w:rsidRDefault="0024725F" w:rsidP="0024725F">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 xml:space="preserve">Enhance gender equality performance of our investments, documenting how this will be achieved and measured in the Post Gender Action Plan (GAP) to be developed by June 2017. </w:t>
            </w:r>
          </w:p>
        </w:tc>
        <w:tc>
          <w:tcPr>
            <w:tcW w:w="941" w:type="dxa"/>
            <w:shd w:val="clear" w:color="auto" w:fill="7FB64D" w:themeFill="accent3" w:themeFillShade="BF"/>
          </w:tcPr>
          <w:p w14:paraId="6B4361CA" w14:textId="77777777" w:rsidR="0024725F" w:rsidRPr="00280CC1" w:rsidRDefault="0024725F" w:rsidP="0024725F">
            <w:pPr>
              <w:keepLines/>
              <w:spacing w:before="40" w:after="40" w:line="200" w:lineRule="atLeast"/>
              <w:jc w:val="center"/>
              <w:rPr>
                <w:rFonts w:asciiTheme="minorHAnsi" w:eastAsia="Times New Roman" w:hAnsiTheme="minorHAnsi"/>
                <w:iCs/>
                <w:color w:val="FFFFFF" w:themeColor="background1"/>
                <w:szCs w:val="17"/>
                <w:lang w:eastAsia="en-US"/>
              </w:rPr>
            </w:pPr>
            <w:r w:rsidRPr="00280CC1">
              <w:rPr>
                <w:rFonts w:asciiTheme="minorHAnsi" w:eastAsia="Times New Roman" w:hAnsiTheme="minorHAnsi"/>
                <w:iCs/>
                <w:color w:val="FFFFFF" w:themeColor="background1"/>
                <w:szCs w:val="17"/>
                <w:lang w:eastAsia="en-US"/>
              </w:rPr>
              <w:t>Achieved</w:t>
            </w:r>
          </w:p>
        </w:tc>
        <w:tc>
          <w:tcPr>
            <w:tcW w:w="7268" w:type="dxa"/>
          </w:tcPr>
          <w:p w14:paraId="130B79BF" w14:textId="77777777" w:rsidR="0024725F" w:rsidRPr="00280CC1" w:rsidRDefault="0024725F" w:rsidP="0024725F">
            <w:pPr>
              <w:keepLines/>
              <w:spacing w:before="40" w:after="40" w:line="200" w:lineRule="atLeast"/>
              <w:rPr>
                <w:rFonts w:asciiTheme="minorHAnsi" w:eastAsia="Times New Roman" w:hAnsiTheme="minorHAnsi"/>
                <w:iCs/>
                <w:szCs w:val="17"/>
                <w:lang w:eastAsia="en-US"/>
              </w:rPr>
            </w:pPr>
            <w:r w:rsidRPr="003D6685">
              <w:rPr>
                <w:rFonts w:asciiTheme="minorHAnsi" w:eastAsia="Times New Roman" w:hAnsiTheme="minorHAnsi"/>
                <w:iCs/>
                <w:szCs w:val="17"/>
                <w:lang w:eastAsia="en-US"/>
              </w:rPr>
              <w:t>The Post GAP was approved in November 2016 and included several commitments to strengthen performance of aid investments. Gender focal points regularly review and monitor progress under this plan. Post will report on achievements under this Plan annually.</w:t>
            </w:r>
          </w:p>
        </w:tc>
      </w:tr>
      <w:tr w:rsidR="0024725F" w:rsidRPr="00280CC1" w14:paraId="725C0247" w14:textId="77777777" w:rsidTr="00FD29AF">
        <w:trPr>
          <w:cnfStyle w:val="000000010000" w:firstRow="0" w:lastRow="0" w:firstColumn="0" w:lastColumn="0" w:oddVBand="0" w:evenVBand="0" w:oddHBand="0" w:evenHBand="1" w:firstRowFirstColumn="0" w:firstRowLastColumn="0" w:lastRowFirstColumn="0" w:lastRowLastColumn="0"/>
        </w:trPr>
        <w:tc>
          <w:tcPr>
            <w:tcW w:w="5571" w:type="dxa"/>
          </w:tcPr>
          <w:p w14:paraId="50BEE36B" w14:textId="77777777" w:rsidR="0024725F" w:rsidRPr="00280CC1" w:rsidRDefault="0024725F" w:rsidP="0024725F">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 xml:space="preserve">Continue to consolidate on the good progress already made throughout 2015-16, with a goal to reduce agreements under management to 47 by June 2017. </w:t>
            </w:r>
          </w:p>
        </w:tc>
        <w:tc>
          <w:tcPr>
            <w:tcW w:w="941" w:type="dxa"/>
            <w:shd w:val="clear" w:color="auto" w:fill="7FB64D" w:themeFill="accent3" w:themeFillShade="BF"/>
          </w:tcPr>
          <w:p w14:paraId="46276A7E" w14:textId="77777777" w:rsidR="0024725F" w:rsidRPr="00280CC1" w:rsidRDefault="0024725F" w:rsidP="0024725F">
            <w:pPr>
              <w:keepLines/>
              <w:spacing w:before="40" w:after="40" w:line="200" w:lineRule="atLeast"/>
              <w:jc w:val="center"/>
              <w:rPr>
                <w:rFonts w:asciiTheme="minorHAnsi" w:eastAsia="Times New Roman" w:hAnsiTheme="minorHAnsi"/>
                <w:iCs/>
                <w:color w:val="FFFFFF" w:themeColor="background1"/>
                <w:szCs w:val="17"/>
                <w:lang w:eastAsia="en-US"/>
              </w:rPr>
            </w:pPr>
            <w:r w:rsidRPr="00280CC1">
              <w:rPr>
                <w:rFonts w:asciiTheme="minorHAnsi" w:eastAsia="Times New Roman" w:hAnsiTheme="minorHAnsi"/>
                <w:iCs/>
                <w:color w:val="FFFFFF" w:themeColor="background1"/>
                <w:szCs w:val="17"/>
                <w:lang w:eastAsia="en-US"/>
              </w:rPr>
              <w:t>Achieved</w:t>
            </w:r>
          </w:p>
        </w:tc>
        <w:tc>
          <w:tcPr>
            <w:tcW w:w="7268" w:type="dxa"/>
          </w:tcPr>
          <w:p w14:paraId="712D4FD1" w14:textId="77777777" w:rsidR="0024725F" w:rsidRPr="00280CC1" w:rsidRDefault="0024725F" w:rsidP="0029505D">
            <w:pPr>
              <w:keepLines/>
              <w:spacing w:before="40" w:after="40" w:line="200" w:lineRule="atLeast"/>
              <w:rPr>
                <w:rFonts w:asciiTheme="minorHAnsi" w:eastAsia="Times New Roman" w:hAnsiTheme="minorHAnsi"/>
                <w:iCs/>
                <w:szCs w:val="17"/>
                <w:lang w:eastAsia="en-US"/>
              </w:rPr>
            </w:pPr>
            <w:r w:rsidRPr="003D6685">
              <w:rPr>
                <w:rFonts w:asciiTheme="minorHAnsi" w:eastAsia="Times New Roman" w:hAnsiTheme="minorHAnsi"/>
                <w:iCs/>
                <w:szCs w:val="17"/>
                <w:lang w:eastAsia="en-US"/>
              </w:rPr>
              <w:t xml:space="preserve">Post further reduced the number of investments and agreements from 26 to 20 and 53 to 31, respectively. </w:t>
            </w:r>
          </w:p>
        </w:tc>
      </w:tr>
      <w:tr w:rsidR="0024725F" w:rsidRPr="00280CC1" w14:paraId="45D787B6" w14:textId="77777777" w:rsidTr="00FD29AF">
        <w:trPr>
          <w:cnfStyle w:val="000000010000" w:firstRow="0" w:lastRow="0" w:firstColumn="0" w:lastColumn="0" w:oddVBand="0" w:evenVBand="0" w:oddHBand="0" w:evenHBand="1" w:firstRowFirstColumn="0" w:firstRowLastColumn="0" w:lastRowFirstColumn="0" w:lastRowLastColumn="0"/>
        </w:trPr>
        <w:tc>
          <w:tcPr>
            <w:tcW w:w="5571" w:type="dxa"/>
          </w:tcPr>
          <w:p w14:paraId="4ED059A6" w14:textId="77777777" w:rsidR="0024725F" w:rsidRPr="00280CC1" w:rsidRDefault="0024725F" w:rsidP="0024725F">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 xml:space="preserve">Revise the indicators in the Performance Assessment Framework to align with the new programs by December 2016. Review regularly to ensure they maintain currency. </w:t>
            </w:r>
          </w:p>
        </w:tc>
        <w:tc>
          <w:tcPr>
            <w:tcW w:w="941" w:type="dxa"/>
            <w:shd w:val="clear" w:color="auto" w:fill="7FB64D" w:themeFill="accent3" w:themeFillShade="BF"/>
          </w:tcPr>
          <w:p w14:paraId="2A0C18E3" w14:textId="77777777" w:rsidR="0024725F" w:rsidRPr="00280CC1" w:rsidRDefault="00FD29AF" w:rsidP="0024725F">
            <w:pPr>
              <w:keepLines/>
              <w:spacing w:before="40" w:after="40" w:line="200" w:lineRule="atLeast"/>
              <w:jc w:val="center"/>
              <w:rPr>
                <w:rFonts w:eastAsia="Times New Roman"/>
                <w:iCs/>
                <w:color w:val="FFFFFF" w:themeColor="background1"/>
                <w:szCs w:val="17"/>
              </w:rPr>
            </w:pPr>
            <w:r w:rsidRPr="00280CC1">
              <w:rPr>
                <w:rFonts w:eastAsia="Times New Roman"/>
                <w:iCs/>
                <w:color w:val="FFFFFF" w:themeColor="background1"/>
                <w:szCs w:val="17"/>
              </w:rPr>
              <w:t>Achieved</w:t>
            </w:r>
          </w:p>
        </w:tc>
        <w:tc>
          <w:tcPr>
            <w:tcW w:w="7268" w:type="dxa"/>
          </w:tcPr>
          <w:p w14:paraId="2D237F4D" w14:textId="77777777" w:rsidR="0024725F" w:rsidRPr="00280CC1" w:rsidRDefault="0024725F" w:rsidP="0024725F">
            <w:pPr>
              <w:keepLines/>
              <w:spacing w:before="40" w:after="40" w:line="200" w:lineRule="atLeast"/>
              <w:rPr>
                <w:rFonts w:asciiTheme="minorHAnsi" w:eastAsia="Times New Roman" w:hAnsiTheme="minorHAnsi"/>
                <w:iCs/>
                <w:szCs w:val="17"/>
                <w:lang w:eastAsia="en-US"/>
              </w:rPr>
            </w:pPr>
            <w:r w:rsidRPr="003D6685">
              <w:rPr>
                <w:rFonts w:asciiTheme="minorHAnsi" w:eastAsia="Times New Roman" w:hAnsiTheme="minorHAnsi"/>
                <w:iCs/>
                <w:szCs w:val="17"/>
                <w:lang w:eastAsia="en-US"/>
              </w:rPr>
              <w:t>PAF indicators have been reviewed and updated. The revised PAF indicators has been monitored and reported in Annex E.</w:t>
            </w:r>
          </w:p>
        </w:tc>
      </w:tr>
      <w:tr w:rsidR="0024725F" w:rsidRPr="00280CC1" w14:paraId="6E1406CE" w14:textId="77777777" w:rsidTr="00FD29AF">
        <w:trPr>
          <w:cnfStyle w:val="000000010000" w:firstRow="0" w:lastRow="0" w:firstColumn="0" w:lastColumn="0" w:oddVBand="0" w:evenVBand="0" w:oddHBand="0" w:evenHBand="1" w:firstRowFirstColumn="0" w:firstRowLastColumn="0" w:lastRowFirstColumn="0" w:lastRowLastColumn="0"/>
        </w:trPr>
        <w:tc>
          <w:tcPr>
            <w:tcW w:w="5571" w:type="dxa"/>
          </w:tcPr>
          <w:p w14:paraId="787E29AE" w14:textId="77777777" w:rsidR="0024725F" w:rsidRPr="00280CC1" w:rsidRDefault="0024725F" w:rsidP="0024725F">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 xml:space="preserve">Pursue dialogue with the Cambodian Government and other donors using the lessons and examples of the CAVAC program: on private sector development in the agriculture sector; and, irrigation scheme planning, operation and maintenance. </w:t>
            </w:r>
          </w:p>
        </w:tc>
        <w:tc>
          <w:tcPr>
            <w:tcW w:w="941" w:type="dxa"/>
            <w:shd w:val="clear" w:color="auto" w:fill="7FB64D" w:themeFill="accent3" w:themeFillShade="BF"/>
          </w:tcPr>
          <w:p w14:paraId="1B11ECE0" w14:textId="77777777" w:rsidR="0024725F" w:rsidRPr="00280CC1" w:rsidRDefault="00FD29AF" w:rsidP="0024725F">
            <w:pPr>
              <w:keepLines/>
              <w:spacing w:before="40" w:after="40" w:line="200" w:lineRule="atLeast"/>
              <w:jc w:val="center"/>
              <w:rPr>
                <w:rFonts w:eastAsia="Times New Roman"/>
                <w:iCs/>
                <w:color w:val="FFFFFF" w:themeColor="background1"/>
                <w:szCs w:val="17"/>
              </w:rPr>
            </w:pPr>
            <w:r w:rsidRPr="00280CC1">
              <w:rPr>
                <w:rFonts w:eastAsia="Times New Roman"/>
                <w:iCs/>
                <w:color w:val="FFFFFF" w:themeColor="background1"/>
                <w:szCs w:val="17"/>
              </w:rPr>
              <w:t>Achieved</w:t>
            </w:r>
          </w:p>
        </w:tc>
        <w:tc>
          <w:tcPr>
            <w:tcW w:w="7268" w:type="dxa"/>
          </w:tcPr>
          <w:p w14:paraId="19B9202C" w14:textId="77777777" w:rsidR="0024725F" w:rsidRPr="00280CC1" w:rsidRDefault="0024725F" w:rsidP="0024725F">
            <w:pPr>
              <w:keepLines/>
              <w:spacing w:before="40" w:after="40" w:line="200" w:lineRule="atLeast"/>
              <w:rPr>
                <w:rFonts w:asciiTheme="minorHAnsi" w:eastAsia="Times New Roman" w:hAnsiTheme="minorHAnsi"/>
                <w:iCs/>
                <w:szCs w:val="17"/>
                <w:lang w:eastAsia="en-US"/>
              </w:rPr>
            </w:pPr>
            <w:r w:rsidRPr="003D6685">
              <w:rPr>
                <w:rFonts w:asciiTheme="minorHAnsi" w:eastAsia="Times New Roman" w:hAnsiTheme="minorHAnsi"/>
                <w:iCs/>
                <w:szCs w:val="17"/>
                <w:lang w:eastAsia="en-US"/>
              </w:rPr>
              <w:t>Post organised a dissemination workshop on CAVAC achievements. ODE is finalising the completion evaluation of CAVAC I report. The findings and recommendation of the evaluation will feed into CAVAC II through management responses.</w:t>
            </w:r>
          </w:p>
        </w:tc>
      </w:tr>
      <w:tr w:rsidR="0024725F" w:rsidRPr="00280CC1" w14:paraId="1DAD7F9C" w14:textId="77777777" w:rsidTr="00280CC1">
        <w:trPr>
          <w:cnfStyle w:val="000000010000" w:firstRow="0" w:lastRow="0" w:firstColumn="0" w:lastColumn="0" w:oddVBand="0" w:evenVBand="0" w:oddHBand="0" w:evenHBand="1" w:firstRowFirstColumn="0" w:firstRowLastColumn="0" w:lastRowFirstColumn="0" w:lastRowLastColumn="0"/>
        </w:trPr>
        <w:tc>
          <w:tcPr>
            <w:tcW w:w="5571" w:type="dxa"/>
          </w:tcPr>
          <w:p w14:paraId="11561057" w14:textId="77777777" w:rsidR="0024725F" w:rsidRPr="003D6685" w:rsidRDefault="0024725F" w:rsidP="0024725F">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Consider ways to reduce men’s vulnerability to landmine incidences, by reviewing landmines education activities and exploring behavioural insights, in consult with our partners by June 2017.</w:t>
            </w:r>
          </w:p>
        </w:tc>
        <w:tc>
          <w:tcPr>
            <w:tcW w:w="941" w:type="dxa"/>
            <w:shd w:val="clear" w:color="auto" w:fill="7FB64D"/>
          </w:tcPr>
          <w:p w14:paraId="2DBD84B1" w14:textId="77777777" w:rsidR="0024725F" w:rsidRPr="00280CC1" w:rsidRDefault="00FE5D2B" w:rsidP="00CE2164">
            <w:pPr>
              <w:keepLines/>
              <w:spacing w:before="40" w:after="40" w:line="200" w:lineRule="atLeast"/>
            </w:pPr>
            <w:r w:rsidRPr="00280CC1">
              <w:rPr>
                <w:rFonts w:eastAsia="Times New Roman"/>
                <w:iCs/>
                <w:color w:val="FFFFFF" w:themeColor="background1"/>
                <w:szCs w:val="17"/>
              </w:rPr>
              <w:t>Achieved</w:t>
            </w:r>
          </w:p>
        </w:tc>
        <w:tc>
          <w:tcPr>
            <w:tcW w:w="7268" w:type="dxa"/>
          </w:tcPr>
          <w:p w14:paraId="5A983EC9" w14:textId="0412B4B1" w:rsidR="0024725F" w:rsidRPr="003D6685" w:rsidRDefault="00FE5D2B" w:rsidP="00A43E00">
            <w:pPr>
              <w:keepLines/>
              <w:spacing w:before="40" w:after="40" w:line="200" w:lineRule="atLeast"/>
              <w:rPr>
                <w:rFonts w:asciiTheme="minorHAnsi" w:eastAsia="Times New Roman" w:hAnsiTheme="minorHAnsi"/>
                <w:iCs/>
                <w:szCs w:val="17"/>
                <w:lang w:eastAsia="en-US"/>
              </w:rPr>
            </w:pPr>
            <w:r w:rsidRPr="003D6685">
              <w:rPr>
                <w:rFonts w:asciiTheme="minorHAnsi" w:eastAsia="Times New Roman" w:hAnsiTheme="minorHAnsi"/>
                <w:iCs/>
                <w:szCs w:val="17"/>
                <w:lang w:eastAsia="en-US"/>
              </w:rPr>
              <w:t xml:space="preserve">Post regularly communicated with UNDP and the </w:t>
            </w:r>
            <w:r w:rsidR="00BD077D">
              <w:rPr>
                <w:rFonts w:asciiTheme="minorHAnsi" w:eastAsia="Times New Roman" w:hAnsiTheme="minorHAnsi"/>
                <w:iCs/>
                <w:szCs w:val="17"/>
                <w:lang w:eastAsia="en-US"/>
              </w:rPr>
              <w:t xml:space="preserve">Cambodian </w:t>
            </w:r>
            <w:r w:rsidRPr="003D6685">
              <w:rPr>
                <w:rFonts w:asciiTheme="minorHAnsi" w:eastAsia="Times New Roman" w:hAnsiTheme="minorHAnsi"/>
                <w:iCs/>
                <w:szCs w:val="17"/>
                <w:lang w:eastAsia="en-US"/>
              </w:rPr>
              <w:t>Government officials to strengthen their mine risk education activities, in particular among men. From January to December 2016, 83</w:t>
            </w:r>
            <w:r w:rsidR="001F64CF" w:rsidRPr="003D6685">
              <w:rPr>
                <w:rFonts w:asciiTheme="minorHAnsi" w:eastAsia="Times New Roman" w:hAnsiTheme="minorHAnsi"/>
                <w:iCs/>
                <w:szCs w:val="17"/>
                <w:lang w:eastAsia="en-US"/>
              </w:rPr>
              <w:t> </w:t>
            </w:r>
            <w:r w:rsidRPr="003D6685">
              <w:rPr>
                <w:rFonts w:asciiTheme="minorHAnsi" w:eastAsia="Times New Roman" w:hAnsiTheme="minorHAnsi"/>
                <w:iCs/>
                <w:szCs w:val="17"/>
                <w:lang w:eastAsia="en-US"/>
              </w:rPr>
              <w:t>Mine</w:t>
            </w:r>
            <w:r w:rsidR="001F64CF" w:rsidRPr="003D6685">
              <w:rPr>
                <w:rFonts w:asciiTheme="minorHAnsi" w:eastAsia="Times New Roman" w:hAnsiTheme="minorHAnsi"/>
                <w:iCs/>
                <w:szCs w:val="17"/>
                <w:lang w:eastAsia="en-US"/>
              </w:rPr>
              <w:t xml:space="preserve"> </w:t>
            </w:r>
            <w:r w:rsidRPr="003D6685">
              <w:rPr>
                <w:rFonts w:asciiTheme="minorHAnsi" w:eastAsia="Times New Roman" w:hAnsiTheme="minorHAnsi"/>
                <w:iCs/>
                <w:szCs w:val="17"/>
                <w:lang w:eastAsia="en-US"/>
              </w:rPr>
              <w:t>/</w:t>
            </w:r>
            <w:r w:rsidR="001F64CF" w:rsidRPr="003D6685">
              <w:rPr>
                <w:rFonts w:asciiTheme="minorHAnsi" w:eastAsia="Times New Roman" w:hAnsiTheme="minorHAnsi"/>
                <w:iCs/>
                <w:szCs w:val="17"/>
                <w:lang w:eastAsia="en-US"/>
              </w:rPr>
              <w:t xml:space="preserve"> </w:t>
            </w:r>
            <w:r w:rsidR="00CC6012" w:rsidRPr="003D6685">
              <w:rPr>
                <w:rFonts w:asciiTheme="minorHAnsi" w:eastAsia="Times New Roman" w:hAnsiTheme="minorHAnsi"/>
                <w:iCs/>
                <w:szCs w:val="17"/>
                <w:lang w:eastAsia="en-US"/>
              </w:rPr>
              <w:t xml:space="preserve">Explosive Remnants of War (ERW) </w:t>
            </w:r>
            <w:r w:rsidRPr="003D6685">
              <w:rPr>
                <w:rFonts w:asciiTheme="minorHAnsi" w:eastAsia="Times New Roman" w:hAnsiTheme="minorHAnsi"/>
                <w:iCs/>
                <w:szCs w:val="17"/>
                <w:lang w:eastAsia="en-US"/>
              </w:rPr>
              <w:t>casualties</w:t>
            </w:r>
            <w:r w:rsidR="00A43E00" w:rsidRPr="003D6685">
              <w:rPr>
                <w:rFonts w:asciiTheme="minorHAnsi" w:eastAsia="Times New Roman" w:hAnsiTheme="minorHAnsi"/>
                <w:iCs/>
                <w:szCs w:val="17"/>
                <w:lang w:eastAsia="en-US"/>
              </w:rPr>
              <w:t xml:space="preserve"> were recorded. Of them, 75 w</w:t>
            </w:r>
            <w:r w:rsidRPr="003D6685">
              <w:rPr>
                <w:rFonts w:asciiTheme="minorHAnsi" w:eastAsia="Times New Roman" w:hAnsiTheme="minorHAnsi"/>
                <w:iCs/>
                <w:szCs w:val="17"/>
                <w:lang w:eastAsia="en-US"/>
              </w:rPr>
              <w:t xml:space="preserve">ere men and boys. Although the number of male casualties </w:t>
            </w:r>
            <w:r w:rsidR="001F64CF" w:rsidRPr="003D6685">
              <w:rPr>
                <w:rFonts w:asciiTheme="minorHAnsi" w:eastAsia="Times New Roman" w:hAnsiTheme="minorHAnsi"/>
                <w:iCs/>
                <w:szCs w:val="17"/>
                <w:lang w:eastAsia="en-US"/>
              </w:rPr>
              <w:t xml:space="preserve">is </w:t>
            </w:r>
            <w:r w:rsidRPr="003D6685">
              <w:rPr>
                <w:rFonts w:asciiTheme="minorHAnsi" w:eastAsia="Times New Roman" w:hAnsiTheme="minorHAnsi"/>
                <w:iCs/>
                <w:szCs w:val="17"/>
                <w:lang w:eastAsia="en-US"/>
              </w:rPr>
              <w:t>still high, this number decreased significantly from 100 male casualties (25</w:t>
            </w:r>
            <w:r w:rsidR="00663C9A" w:rsidRPr="003D6685">
              <w:rPr>
                <w:rFonts w:asciiTheme="minorHAnsi" w:eastAsia="Times New Roman" w:hAnsiTheme="minorHAnsi"/>
                <w:iCs/>
                <w:szCs w:val="17"/>
                <w:lang w:eastAsia="en-US"/>
              </w:rPr>
              <w:t xml:space="preserve"> per cent</w:t>
            </w:r>
            <w:r w:rsidRPr="003D6685">
              <w:rPr>
                <w:rFonts w:asciiTheme="minorHAnsi" w:eastAsia="Times New Roman" w:hAnsiTheme="minorHAnsi"/>
                <w:iCs/>
                <w:szCs w:val="17"/>
                <w:lang w:eastAsia="en-US"/>
              </w:rPr>
              <w:t>) in 2015.</w:t>
            </w:r>
          </w:p>
        </w:tc>
      </w:tr>
    </w:tbl>
    <w:p w14:paraId="24054E4D" w14:textId="0E150429" w:rsidR="00732930" w:rsidRPr="00280CC1" w:rsidRDefault="00732930"/>
    <w:tbl>
      <w:tblPr>
        <w:tblStyle w:val="APPR"/>
        <w:tblpPr w:leftFromText="180" w:rightFromText="180" w:vertAnchor="text" w:tblpY="1"/>
        <w:tblW w:w="4901" w:type="pct"/>
        <w:tblLayout w:type="fixed"/>
        <w:tblLook w:val="0000" w:firstRow="0" w:lastRow="0" w:firstColumn="0" w:lastColumn="0" w:noHBand="0" w:noVBand="0"/>
      </w:tblPr>
      <w:tblGrid>
        <w:gridCol w:w="5613"/>
        <w:gridCol w:w="969"/>
        <w:gridCol w:w="7310"/>
      </w:tblGrid>
      <w:tr w:rsidR="0024725F" w:rsidRPr="00280CC1" w14:paraId="6C8260ED" w14:textId="77777777" w:rsidTr="00F86921">
        <w:trPr>
          <w:cnfStyle w:val="000000010000" w:firstRow="0" w:lastRow="0" w:firstColumn="0" w:lastColumn="0" w:oddVBand="0" w:evenVBand="0" w:oddHBand="0" w:evenHBand="1" w:firstRowFirstColumn="0" w:firstRowLastColumn="0" w:lastRowFirstColumn="0" w:lastRowLastColumn="0"/>
        </w:trPr>
        <w:tc>
          <w:tcPr>
            <w:tcW w:w="5571" w:type="dxa"/>
          </w:tcPr>
          <w:p w14:paraId="7A99B683" w14:textId="77777777" w:rsidR="0024725F" w:rsidRPr="00456F4C" w:rsidRDefault="0024725F" w:rsidP="0024725F">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lastRenderedPageBreak/>
              <w:t>Employ technical assistance (gender, public financial management and health financing) by October 2016 to strengthen Post oversight of the Health Equity and Quality Improvement Project and scope potential support for private sector engagement within the health sector, based on a pending International Finance Corporation (IFC) report and on further analysis, by June 2017.</w:t>
            </w:r>
          </w:p>
        </w:tc>
        <w:tc>
          <w:tcPr>
            <w:tcW w:w="941" w:type="dxa"/>
            <w:shd w:val="clear" w:color="auto" w:fill="D3875F" w:themeFill="accent2"/>
          </w:tcPr>
          <w:p w14:paraId="75FBB7EC" w14:textId="77777777" w:rsidR="0024725F" w:rsidRPr="00280CC1" w:rsidRDefault="0024725F" w:rsidP="0024725F">
            <w:pPr>
              <w:keepLines/>
              <w:spacing w:before="40" w:after="40" w:line="200" w:lineRule="atLeast"/>
              <w:jc w:val="center"/>
              <w:rPr>
                <w:rFonts w:eastAsia="Times New Roman"/>
                <w:iCs/>
                <w:color w:val="FFFFFF" w:themeColor="background1"/>
                <w:szCs w:val="17"/>
              </w:rPr>
            </w:pPr>
            <w:r w:rsidRPr="00280CC1">
              <w:rPr>
                <w:rFonts w:asciiTheme="minorHAnsi" w:eastAsia="Times New Roman" w:hAnsiTheme="minorHAnsi"/>
                <w:iCs/>
                <w:color w:val="FFFFFF" w:themeColor="background1"/>
                <w:szCs w:val="17"/>
                <w:lang w:eastAsia="en-US"/>
              </w:rPr>
              <w:t>Partly achieved</w:t>
            </w:r>
          </w:p>
        </w:tc>
        <w:tc>
          <w:tcPr>
            <w:tcW w:w="7268" w:type="dxa"/>
          </w:tcPr>
          <w:p w14:paraId="54CBCE25" w14:textId="77777777" w:rsidR="0024725F" w:rsidRPr="00280CC1" w:rsidRDefault="0024725F" w:rsidP="00F86921">
            <w:pPr>
              <w:keepLines/>
              <w:spacing w:before="40" w:after="40" w:line="200" w:lineRule="atLeast"/>
              <w:rPr>
                <w:rFonts w:asciiTheme="minorHAnsi" w:eastAsia="Times New Roman" w:hAnsiTheme="minorHAnsi"/>
                <w:iCs/>
                <w:szCs w:val="17"/>
                <w:lang w:eastAsia="en-US"/>
              </w:rPr>
            </w:pPr>
            <w:r w:rsidRPr="003D6685">
              <w:rPr>
                <w:rFonts w:asciiTheme="minorHAnsi" w:eastAsia="Times New Roman" w:hAnsiTheme="minorHAnsi"/>
                <w:iCs/>
                <w:szCs w:val="17"/>
                <w:lang w:eastAsia="en-US"/>
              </w:rPr>
              <w:t>Public Financial Management and Health Financing advisers were recruited in March 2017 and provided inputs to the March H</w:t>
            </w:r>
            <w:r w:rsidRPr="003D6685">
              <w:rPr>
                <w:rFonts w:asciiTheme="minorHAnsi" w:eastAsia="Times New Roman" w:hAnsiTheme="minorHAnsi"/>
                <w:iCs/>
                <w:szCs w:val="17"/>
                <w:lang w:eastAsia="en-US"/>
              </w:rPr>
              <w:noBreakHyphen/>
              <w:t xml:space="preserve">EQIP Implementation Support Mission (held twice a year). A Gender Adviser has been recruited to participate in the H-EQIP Gender Assessment being conducted in early 2017-18. </w:t>
            </w:r>
          </w:p>
          <w:p w14:paraId="29B0538F" w14:textId="77777777" w:rsidR="0024725F" w:rsidRPr="00280CC1" w:rsidRDefault="0024725F" w:rsidP="0029505D">
            <w:pPr>
              <w:keepLines/>
              <w:spacing w:before="40" w:after="40" w:line="200" w:lineRule="atLeast"/>
              <w:rPr>
                <w:rFonts w:asciiTheme="minorHAnsi" w:eastAsia="Times New Roman" w:hAnsiTheme="minorHAnsi"/>
                <w:iCs/>
                <w:szCs w:val="17"/>
                <w:lang w:eastAsia="en-US"/>
              </w:rPr>
            </w:pPr>
            <w:r w:rsidRPr="003D6685">
              <w:rPr>
                <w:rFonts w:asciiTheme="minorHAnsi" w:eastAsia="Times New Roman" w:hAnsiTheme="minorHAnsi"/>
                <w:iCs/>
                <w:szCs w:val="17"/>
                <w:lang w:eastAsia="en-US"/>
              </w:rPr>
              <w:t xml:space="preserve">The private sector engagement in the health sector report </w:t>
            </w:r>
            <w:r w:rsidR="00CC6012" w:rsidRPr="003D6685">
              <w:rPr>
                <w:rFonts w:asciiTheme="minorHAnsi" w:eastAsia="Times New Roman" w:hAnsiTheme="minorHAnsi"/>
                <w:iCs/>
                <w:szCs w:val="17"/>
                <w:lang w:eastAsia="en-US"/>
              </w:rPr>
              <w:t xml:space="preserve">developed by the IFC </w:t>
            </w:r>
            <w:r w:rsidRPr="003D6685">
              <w:rPr>
                <w:rFonts w:asciiTheme="minorHAnsi" w:eastAsia="Times New Roman" w:hAnsiTheme="minorHAnsi"/>
                <w:iCs/>
                <w:szCs w:val="17"/>
                <w:lang w:eastAsia="en-US"/>
              </w:rPr>
              <w:t>did not identify a clear way forward for Australia to engage in the private health sector in Cambodia. Post will continue to explore other avenues for identifying potential engagement.</w:t>
            </w:r>
          </w:p>
        </w:tc>
      </w:tr>
      <w:tr w:rsidR="0024725F" w:rsidRPr="00280CC1" w14:paraId="03AECE3E" w14:textId="77777777" w:rsidTr="00F86921">
        <w:trPr>
          <w:cnfStyle w:val="000000010000" w:firstRow="0" w:lastRow="0" w:firstColumn="0" w:lastColumn="0" w:oddVBand="0" w:evenVBand="0" w:oddHBand="0" w:evenHBand="1" w:firstRowFirstColumn="0" w:firstRowLastColumn="0" w:lastRowFirstColumn="0" w:lastRowLastColumn="0"/>
        </w:trPr>
        <w:tc>
          <w:tcPr>
            <w:tcW w:w="5571" w:type="dxa"/>
          </w:tcPr>
          <w:p w14:paraId="60CD44FA" w14:textId="4858D5AD" w:rsidR="0024725F" w:rsidRPr="00280CC1" w:rsidRDefault="0024725F" w:rsidP="0024725F">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Assess and decide whether to continue our investments in ending violence against women and disability beyond 2016-17. If support continues, design an efficient and effective mechanism to maximise investments in both areas by June 2017</w:t>
            </w:r>
            <w:r w:rsidR="00456F4C">
              <w:rPr>
                <w:rFonts w:asciiTheme="minorHAnsi" w:eastAsia="Times New Roman" w:hAnsiTheme="minorHAnsi"/>
                <w:iCs/>
                <w:szCs w:val="17"/>
                <w:lang w:eastAsia="en-US"/>
              </w:rPr>
              <w:t>.</w:t>
            </w:r>
          </w:p>
        </w:tc>
        <w:tc>
          <w:tcPr>
            <w:tcW w:w="941" w:type="dxa"/>
            <w:shd w:val="clear" w:color="auto" w:fill="7FB64D" w:themeFill="accent3" w:themeFillShade="BF"/>
          </w:tcPr>
          <w:p w14:paraId="3DDC25C7" w14:textId="77777777" w:rsidR="0024725F" w:rsidRPr="00280CC1" w:rsidRDefault="0024725F" w:rsidP="0024725F">
            <w:pPr>
              <w:keepLines/>
              <w:spacing w:before="40" w:after="40" w:line="200" w:lineRule="atLeast"/>
              <w:jc w:val="center"/>
              <w:rPr>
                <w:rFonts w:asciiTheme="minorHAnsi" w:eastAsia="Times New Roman" w:hAnsiTheme="minorHAnsi"/>
                <w:iCs/>
                <w:color w:val="FFFFFF" w:themeColor="background1"/>
                <w:szCs w:val="17"/>
                <w:lang w:eastAsia="en-US"/>
              </w:rPr>
            </w:pPr>
            <w:r w:rsidRPr="00280CC1">
              <w:rPr>
                <w:rFonts w:asciiTheme="minorHAnsi" w:eastAsia="Times New Roman" w:hAnsiTheme="minorHAnsi"/>
                <w:iCs/>
                <w:color w:val="FFFFFF" w:themeColor="background1"/>
                <w:szCs w:val="17"/>
                <w:lang w:eastAsia="en-US"/>
              </w:rPr>
              <w:t>Achieved</w:t>
            </w:r>
          </w:p>
        </w:tc>
        <w:tc>
          <w:tcPr>
            <w:tcW w:w="7268" w:type="dxa"/>
          </w:tcPr>
          <w:p w14:paraId="41A21FE8" w14:textId="77777777" w:rsidR="0024725F" w:rsidRPr="00280CC1" w:rsidRDefault="0024725F" w:rsidP="0029505D">
            <w:pPr>
              <w:keepLines/>
              <w:spacing w:before="40" w:after="40" w:line="200" w:lineRule="atLeast"/>
              <w:rPr>
                <w:rFonts w:asciiTheme="minorHAnsi" w:eastAsia="Times New Roman" w:hAnsiTheme="minorHAnsi"/>
                <w:iCs/>
                <w:szCs w:val="17"/>
                <w:lang w:eastAsia="en-US"/>
              </w:rPr>
            </w:pPr>
            <w:r w:rsidRPr="003D6685">
              <w:rPr>
                <w:rFonts w:asciiTheme="minorHAnsi" w:eastAsia="Times New Roman" w:hAnsiTheme="minorHAnsi"/>
                <w:iCs/>
                <w:szCs w:val="17"/>
                <w:lang w:eastAsia="en-US"/>
              </w:rPr>
              <w:t>The Australia-Cambodia Cooperation for Equitable Sustainable Services (ACCESS) program design</w:t>
            </w:r>
            <w:r w:rsidR="00CC6012" w:rsidRPr="003D6685">
              <w:rPr>
                <w:rFonts w:asciiTheme="minorHAnsi" w:eastAsia="Times New Roman" w:hAnsiTheme="minorHAnsi"/>
                <w:iCs/>
                <w:szCs w:val="17"/>
                <w:lang w:eastAsia="en-US"/>
              </w:rPr>
              <w:t xml:space="preserve"> is nearing completion</w:t>
            </w:r>
            <w:r w:rsidRPr="003D6685">
              <w:rPr>
                <w:rFonts w:asciiTheme="minorHAnsi" w:eastAsia="Times New Roman" w:hAnsiTheme="minorHAnsi"/>
                <w:iCs/>
                <w:szCs w:val="17"/>
                <w:lang w:eastAsia="en-US"/>
              </w:rPr>
              <w:t>. This design will continue Australian investment in ending violence against women and disability from 2018-2023.</w:t>
            </w:r>
          </w:p>
        </w:tc>
      </w:tr>
    </w:tbl>
    <w:p w14:paraId="642AD486" w14:textId="77777777" w:rsidR="00400B0F" w:rsidRPr="00280CC1" w:rsidRDefault="00400B0F" w:rsidP="00400B0F">
      <w:pPr>
        <w:spacing w:before="20" w:after="20" w:line="180" w:lineRule="atLeast"/>
        <w:jc w:val="both"/>
        <w:rPr>
          <w:rFonts w:eastAsia="Times New Roman"/>
          <w:b/>
          <w:sz w:val="16"/>
          <w:szCs w:val="14"/>
        </w:rPr>
      </w:pPr>
      <w:r w:rsidRPr="00280CC1">
        <w:rPr>
          <w:rFonts w:eastAsia="Times New Roman"/>
          <w:b/>
          <w:sz w:val="16"/>
          <w:szCs w:val="14"/>
        </w:rPr>
        <w:t xml:space="preserve">Note: </w:t>
      </w:r>
    </w:p>
    <w:p w14:paraId="5A27F4C4" w14:textId="77777777" w:rsidR="00400B0F" w:rsidRPr="00280CC1" w:rsidRDefault="00400B0F" w:rsidP="00400B0F">
      <w:pPr>
        <w:spacing w:before="20" w:after="20" w:line="180" w:lineRule="atLeast"/>
        <w:jc w:val="both"/>
        <w:rPr>
          <w:rFonts w:eastAsia="Times New Roman"/>
          <w:b/>
          <w:sz w:val="16"/>
          <w:szCs w:val="14"/>
        </w:rPr>
      </w:pPr>
      <w:r w:rsidRPr="00280CC1">
        <w:rPr>
          <w:rFonts w:eastAsia="Times New Roman"/>
          <w:b/>
          <w:color w:val="72AF2F"/>
          <w:sz w:val="16"/>
          <w:szCs w:val="14"/>
        </w:rPr>
        <w:sym w:font="Webdings" w:char="F067"/>
      </w:r>
      <w:r w:rsidRPr="00280CC1">
        <w:rPr>
          <w:rFonts w:eastAsia="Times New Roman"/>
          <w:b/>
          <w:sz w:val="16"/>
          <w:szCs w:val="14"/>
        </w:rPr>
        <w:t> </w:t>
      </w:r>
      <w:r w:rsidRPr="00280CC1">
        <w:rPr>
          <w:rFonts w:eastAsia="Times New Roman"/>
          <w:b/>
          <w:sz w:val="16"/>
          <w:szCs w:val="14"/>
        </w:rPr>
        <w:t xml:space="preserve"> Achieved</w:t>
      </w:r>
      <w:r w:rsidR="00B51FA7" w:rsidRPr="00280CC1">
        <w:rPr>
          <w:rFonts w:eastAsia="Times New Roman"/>
          <w:b/>
          <w:sz w:val="16"/>
          <w:szCs w:val="14"/>
        </w:rPr>
        <w:t xml:space="preserve">. </w:t>
      </w:r>
      <w:r w:rsidRPr="00280CC1">
        <w:rPr>
          <w:rFonts w:eastAsia="Times New Roman"/>
          <w:b/>
          <w:sz w:val="16"/>
          <w:szCs w:val="14"/>
        </w:rPr>
        <w:t xml:space="preserve">Significant progress has been made in addressing the issue </w:t>
      </w:r>
    </w:p>
    <w:p w14:paraId="49E5E61C" w14:textId="77777777" w:rsidR="00400B0F" w:rsidRPr="00280CC1" w:rsidRDefault="00400B0F" w:rsidP="00400B0F">
      <w:pPr>
        <w:spacing w:before="20" w:after="20" w:line="180" w:lineRule="atLeast"/>
        <w:jc w:val="both"/>
        <w:rPr>
          <w:rFonts w:eastAsia="Times New Roman"/>
          <w:b/>
          <w:sz w:val="16"/>
          <w:szCs w:val="14"/>
        </w:rPr>
      </w:pPr>
      <w:r w:rsidRPr="00280CC1">
        <w:rPr>
          <w:rFonts w:eastAsia="Times New Roman"/>
          <w:b/>
          <w:color w:val="E36C0A"/>
          <w:sz w:val="16"/>
          <w:szCs w:val="14"/>
        </w:rPr>
        <w:sym w:font="Webdings" w:char="F067"/>
      </w:r>
      <w:r w:rsidRPr="00280CC1">
        <w:rPr>
          <w:rFonts w:eastAsia="Times New Roman"/>
          <w:b/>
          <w:sz w:val="16"/>
          <w:szCs w:val="14"/>
        </w:rPr>
        <w:t> </w:t>
      </w:r>
      <w:r w:rsidRPr="00280CC1">
        <w:rPr>
          <w:rFonts w:eastAsia="Times New Roman"/>
          <w:b/>
          <w:sz w:val="16"/>
          <w:szCs w:val="14"/>
        </w:rPr>
        <w:t xml:space="preserve"> Partly achieved</w:t>
      </w:r>
      <w:r w:rsidR="00B51FA7" w:rsidRPr="00280CC1">
        <w:rPr>
          <w:rFonts w:eastAsia="Times New Roman"/>
          <w:b/>
          <w:sz w:val="16"/>
          <w:szCs w:val="14"/>
        </w:rPr>
        <w:t xml:space="preserve">. </w:t>
      </w:r>
      <w:r w:rsidRPr="00280CC1">
        <w:rPr>
          <w:rFonts w:eastAsia="Times New Roman"/>
          <w:b/>
          <w:sz w:val="16"/>
          <w:szCs w:val="14"/>
        </w:rPr>
        <w:t xml:space="preserve">Some progress has been made in addressing the issue, but the issue has not been resolved </w:t>
      </w:r>
    </w:p>
    <w:p w14:paraId="13B99106" w14:textId="77777777" w:rsidR="00084CA8" w:rsidRDefault="00400B0F" w:rsidP="00400B0F">
      <w:pPr>
        <w:spacing w:before="20" w:after="20" w:line="180" w:lineRule="atLeast"/>
        <w:jc w:val="both"/>
        <w:rPr>
          <w:rFonts w:eastAsia="Times New Roman"/>
          <w:b/>
          <w:sz w:val="16"/>
          <w:szCs w:val="14"/>
        </w:rPr>
      </w:pPr>
      <w:r w:rsidRPr="00280CC1">
        <w:rPr>
          <w:rFonts w:eastAsia="Times New Roman"/>
          <w:b/>
          <w:color w:val="FF0000"/>
          <w:sz w:val="16"/>
          <w:szCs w:val="14"/>
        </w:rPr>
        <w:sym w:font="Webdings" w:char="F067"/>
      </w:r>
      <w:r w:rsidRPr="00280CC1">
        <w:rPr>
          <w:rFonts w:eastAsia="Times New Roman"/>
          <w:b/>
          <w:sz w:val="16"/>
          <w:szCs w:val="14"/>
        </w:rPr>
        <w:t> </w:t>
      </w:r>
      <w:r w:rsidRPr="00280CC1">
        <w:rPr>
          <w:rFonts w:eastAsia="Times New Roman"/>
          <w:b/>
          <w:sz w:val="16"/>
          <w:szCs w:val="14"/>
        </w:rPr>
        <w:t xml:space="preserve"> Not achieved. Progress in addressing the issue has been significantly below expectations</w:t>
      </w:r>
    </w:p>
    <w:p w14:paraId="50FD4648" w14:textId="77777777" w:rsidR="00084CA8" w:rsidRDefault="00084CA8">
      <w:pPr>
        <w:suppressAutoHyphens w:val="0"/>
        <w:spacing w:before="0" w:after="120" w:line="440" w:lineRule="atLeast"/>
        <w:rPr>
          <w:rFonts w:eastAsia="Times New Roman"/>
          <w:b/>
          <w:sz w:val="16"/>
          <w:szCs w:val="14"/>
        </w:rPr>
      </w:pPr>
      <w:r>
        <w:rPr>
          <w:rFonts w:eastAsia="Times New Roman"/>
          <w:b/>
          <w:sz w:val="16"/>
          <w:szCs w:val="14"/>
        </w:rPr>
        <w:br w:type="page"/>
      </w:r>
    </w:p>
    <w:p w14:paraId="1F7E0D5A" w14:textId="77777777" w:rsidR="00400B0F" w:rsidRPr="00280CC1" w:rsidRDefault="00400B0F" w:rsidP="00400B0F">
      <w:pPr>
        <w:spacing w:before="20" w:after="20" w:line="180" w:lineRule="atLeast"/>
        <w:jc w:val="both"/>
        <w:rPr>
          <w:rFonts w:eastAsia="Times New Roman"/>
          <w:b/>
          <w:sz w:val="16"/>
          <w:szCs w:val="14"/>
        </w:rPr>
      </w:pPr>
    </w:p>
    <w:p w14:paraId="41D2FD54" w14:textId="77777777" w:rsidR="00033AB7" w:rsidRPr="00280CC1" w:rsidRDefault="002A51CA" w:rsidP="00400B0F">
      <w:pPr>
        <w:pStyle w:val="Subtitle"/>
        <w:numPr>
          <w:ilvl w:val="0"/>
          <w:numId w:val="0"/>
        </w:numPr>
      </w:pPr>
      <w:r w:rsidRPr="00280CC1">
        <w:rPr>
          <w:rFonts w:ascii="Franklin Gothic Book" w:eastAsia="Times New Roman" w:hAnsi="Franklin Gothic Book"/>
          <w:sz w:val="21"/>
        </w:rPr>
        <w:t xml:space="preserve"> </w:t>
      </w:r>
      <w:r w:rsidR="00400B0F" w:rsidRPr="00280CC1">
        <w:t xml:space="preserve">Annex B </w:t>
      </w:r>
      <w:r w:rsidR="00033AB7" w:rsidRPr="00280CC1">
        <w:t>–</w:t>
      </w:r>
      <w:r w:rsidR="00400B0F" w:rsidRPr="00280CC1">
        <w:t xml:space="preserve"> </w:t>
      </w:r>
      <w:r w:rsidR="00033AB7" w:rsidRPr="00280CC1">
        <w:t>PERFORMANCE BENCHMARKS</w:t>
      </w:r>
    </w:p>
    <w:p w14:paraId="564D4BDE" w14:textId="77777777" w:rsidR="00CE5DF0" w:rsidRPr="00280CC1" w:rsidRDefault="00320251" w:rsidP="00CE5DF0">
      <w:pPr>
        <w:rPr>
          <w:rFonts w:ascii="Franklin Gothic Book" w:eastAsia="Times New Roman" w:hAnsi="Franklin Gothic Book"/>
          <w:b/>
          <w:sz w:val="24"/>
          <w:szCs w:val="24"/>
        </w:rPr>
      </w:pPr>
      <w:r w:rsidRPr="00280CC1">
        <w:rPr>
          <w:rFonts w:ascii="Franklin Gothic Book" w:eastAsia="Times New Roman" w:hAnsi="Franklin Gothic Book"/>
          <w:b/>
          <w:sz w:val="24"/>
          <w:szCs w:val="24"/>
        </w:rPr>
        <w:t>Progress towards Pe</w:t>
      </w:r>
      <w:r w:rsidR="00117745" w:rsidRPr="00280CC1">
        <w:rPr>
          <w:rFonts w:ascii="Franklin Gothic Book" w:eastAsia="Times New Roman" w:hAnsi="Franklin Gothic Book"/>
          <w:b/>
          <w:sz w:val="24"/>
          <w:szCs w:val="24"/>
        </w:rPr>
        <w:t>rformance Benchmarks in 2016-17</w:t>
      </w:r>
    </w:p>
    <w:tbl>
      <w:tblPr>
        <w:tblStyle w:val="DFATTable"/>
        <w:tblW w:w="5051" w:type="pct"/>
        <w:tblLook w:val="04A0" w:firstRow="1" w:lastRow="0" w:firstColumn="1" w:lastColumn="0" w:noHBand="0" w:noVBand="1"/>
      </w:tblPr>
      <w:tblGrid>
        <w:gridCol w:w="2208"/>
        <w:gridCol w:w="3459"/>
        <w:gridCol w:w="1377"/>
        <w:gridCol w:w="7274"/>
      </w:tblGrid>
      <w:tr w:rsidR="00400B0F" w:rsidRPr="00280CC1" w14:paraId="6DCFE0FB" w14:textId="77777777" w:rsidTr="00280CC1">
        <w:trPr>
          <w:tblHeader/>
        </w:trPr>
        <w:tc>
          <w:tcPr>
            <w:tcW w:w="771" w:type="pct"/>
            <w:tcMar>
              <w:top w:w="57" w:type="dxa"/>
              <w:bottom w:w="57" w:type="dxa"/>
            </w:tcMar>
          </w:tcPr>
          <w:p w14:paraId="6E646102" w14:textId="77777777" w:rsidR="00400B0F" w:rsidRPr="00280CC1" w:rsidRDefault="00400B0F" w:rsidP="006F27B1">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Aid objective</w:t>
            </w:r>
          </w:p>
        </w:tc>
        <w:tc>
          <w:tcPr>
            <w:tcW w:w="1208" w:type="pct"/>
          </w:tcPr>
          <w:p w14:paraId="1BEA7002" w14:textId="77777777" w:rsidR="00400B0F" w:rsidRPr="00280CC1" w:rsidRDefault="00320251" w:rsidP="00320251">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Performance B</w:t>
            </w:r>
            <w:r w:rsidR="00400B0F" w:rsidRPr="00280CC1">
              <w:rPr>
                <w:rFonts w:asciiTheme="minorHAnsi" w:eastAsia="Times New Roman" w:hAnsiTheme="minorHAnsi"/>
                <w:b/>
                <w:iCs/>
                <w:szCs w:val="17"/>
                <w:lang w:eastAsia="en-US"/>
              </w:rPr>
              <w:t xml:space="preserve">enchmark </w:t>
            </w:r>
          </w:p>
        </w:tc>
        <w:tc>
          <w:tcPr>
            <w:tcW w:w="481" w:type="pct"/>
          </w:tcPr>
          <w:p w14:paraId="0BD7ADF5" w14:textId="77777777" w:rsidR="00400B0F" w:rsidRPr="00280CC1" w:rsidRDefault="00400B0F" w:rsidP="009E7BB8">
            <w:pPr>
              <w:keepLines/>
              <w:spacing w:before="80" w:after="80" w:line="200" w:lineRule="atLeast"/>
              <w:jc w:val="center"/>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Rating</w:t>
            </w:r>
          </w:p>
        </w:tc>
        <w:tc>
          <w:tcPr>
            <w:tcW w:w="2540" w:type="pct"/>
          </w:tcPr>
          <w:p w14:paraId="6C395071" w14:textId="77777777" w:rsidR="00400B0F" w:rsidRPr="00280CC1" w:rsidRDefault="00400B0F" w:rsidP="001103E6">
            <w:pPr>
              <w:keepLines/>
              <w:spacing w:before="80" w:after="80" w:line="200" w:lineRule="atLeast"/>
              <w:jc w:val="center"/>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Progress in 201</w:t>
            </w:r>
            <w:r w:rsidR="001103E6" w:rsidRPr="00280CC1">
              <w:rPr>
                <w:rFonts w:asciiTheme="minorHAnsi" w:eastAsia="Times New Roman" w:hAnsiTheme="minorHAnsi"/>
                <w:b/>
                <w:iCs/>
                <w:szCs w:val="17"/>
                <w:lang w:eastAsia="en-US"/>
              </w:rPr>
              <w:t>6</w:t>
            </w:r>
            <w:r w:rsidRPr="00280CC1">
              <w:rPr>
                <w:rFonts w:asciiTheme="minorHAnsi" w:eastAsia="Times New Roman" w:hAnsiTheme="minorHAnsi"/>
                <w:b/>
                <w:iCs/>
                <w:szCs w:val="17"/>
                <w:lang w:eastAsia="en-US"/>
              </w:rPr>
              <w:t>-1</w:t>
            </w:r>
            <w:r w:rsidR="001103E6" w:rsidRPr="00280CC1">
              <w:rPr>
                <w:rFonts w:asciiTheme="minorHAnsi" w:eastAsia="Times New Roman" w:hAnsiTheme="minorHAnsi"/>
                <w:b/>
                <w:iCs/>
                <w:szCs w:val="17"/>
                <w:lang w:eastAsia="en-US"/>
              </w:rPr>
              <w:t>7</w:t>
            </w:r>
          </w:p>
        </w:tc>
      </w:tr>
      <w:tr w:rsidR="00400B0F" w:rsidRPr="00280CC1" w14:paraId="0E18918E" w14:textId="77777777" w:rsidTr="00280CC1">
        <w:tc>
          <w:tcPr>
            <w:tcW w:w="771" w:type="pct"/>
            <w:tcMar>
              <w:top w:w="57" w:type="dxa"/>
              <w:bottom w:w="57" w:type="dxa"/>
            </w:tcMar>
          </w:tcPr>
          <w:p w14:paraId="5AF6E69B" w14:textId="77777777" w:rsidR="00400B0F" w:rsidRPr="00280CC1" w:rsidRDefault="008D34C7" w:rsidP="00320251">
            <w:pPr>
              <w:keepLines/>
              <w:spacing w:before="40" w:after="40" w:line="200" w:lineRule="atLeast"/>
              <w:rPr>
                <w:rFonts w:asciiTheme="minorHAnsi" w:eastAsia="Times New Roman" w:hAnsiTheme="minorHAnsi"/>
                <w:iCs/>
                <w:szCs w:val="17"/>
                <w:lang w:eastAsia="en-US"/>
              </w:rPr>
            </w:pPr>
            <w:r w:rsidRPr="00280CC1">
              <w:rPr>
                <w:rFonts w:asciiTheme="minorHAnsi" w:hAnsiTheme="minorHAnsi"/>
                <w:b/>
                <w:sz w:val="18"/>
              </w:rPr>
              <w:t>Improved access to essential infrastructure</w:t>
            </w:r>
          </w:p>
        </w:tc>
        <w:tc>
          <w:tcPr>
            <w:tcW w:w="1208" w:type="pct"/>
          </w:tcPr>
          <w:p w14:paraId="4CF9B807" w14:textId="77777777" w:rsidR="00400B0F" w:rsidRPr="00280CC1" w:rsidRDefault="00BB3084" w:rsidP="008D34C7">
            <w:pPr>
              <w:keepLines/>
              <w:spacing w:before="40" w:after="40" w:line="200" w:lineRule="atLeast"/>
              <w:rPr>
                <w:rFonts w:asciiTheme="minorHAnsi" w:hAnsiTheme="minorHAnsi"/>
                <w:sz w:val="18"/>
              </w:rPr>
            </w:pPr>
            <w:r w:rsidRPr="003D6685">
              <w:rPr>
                <w:rFonts w:asciiTheme="minorHAnsi" w:eastAsia="Times New Roman" w:hAnsiTheme="minorHAnsi"/>
                <w:iCs/>
                <w:szCs w:val="17"/>
                <w:lang w:eastAsia="en-US"/>
              </w:rPr>
              <w:t>Number of people (women and men) that will directly benefit from a new committed household or business  connection to electricity and/or piped, treated water (202,500 people with committed connections)</w:t>
            </w:r>
            <w:r w:rsidRPr="00280CC1">
              <w:rPr>
                <w:rFonts w:ascii="Cambria" w:hAnsi="Cambria"/>
                <w:sz w:val="20"/>
                <w:szCs w:val="20"/>
              </w:rPr>
              <w:t xml:space="preserve"> </w:t>
            </w:r>
          </w:p>
        </w:tc>
        <w:tc>
          <w:tcPr>
            <w:tcW w:w="481" w:type="pct"/>
            <w:shd w:val="clear" w:color="auto" w:fill="7FB64D"/>
          </w:tcPr>
          <w:p w14:paraId="2315B7B7" w14:textId="77777777" w:rsidR="00400B0F" w:rsidRPr="00280CC1" w:rsidRDefault="00BB3084"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280CC1">
              <w:rPr>
                <w:rFonts w:asciiTheme="minorHAnsi" w:eastAsia="Times New Roman" w:hAnsiTheme="minorHAnsi"/>
                <w:iCs/>
                <w:color w:val="FFFFFF" w:themeColor="background1"/>
                <w:szCs w:val="17"/>
                <w:lang w:eastAsia="en-US"/>
              </w:rPr>
              <w:t>Achieved</w:t>
            </w:r>
          </w:p>
        </w:tc>
        <w:tc>
          <w:tcPr>
            <w:tcW w:w="2540" w:type="pct"/>
          </w:tcPr>
          <w:p w14:paraId="1335B2C9" w14:textId="77777777" w:rsidR="00400B0F" w:rsidRPr="00280CC1" w:rsidRDefault="00CC6012" w:rsidP="0029505D">
            <w:pPr>
              <w:keepLines/>
              <w:spacing w:before="40" w:after="40" w:line="200" w:lineRule="atLeast"/>
              <w:rPr>
                <w:rFonts w:asciiTheme="minorHAnsi" w:eastAsia="Times New Roman" w:hAnsiTheme="minorHAnsi"/>
                <w:iCs/>
                <w:szCs w:val="17"/>
                <w:lang w:eastAsia="en-US"/>
              </w:rPr>
            </w:pPr>
            <w:r w:rsidRPr="003D6685">
              <w:rPr>
                <w:rFonts w:asciiTheme="minorHAnsi" w:eastAsia="Times New Roman" w:hAnsiTheme="minorHAnsi"/>
                <w:iCs/>
                <w:szCs w:val="17"/>
                <w:lang w:eastAsia="en-US"/>
              </w:rPr>
              <w:t xml:space="preserve">Exceeded target. </w:t>
            </w:r>
            <w:r w:rsidR="00084CA8" w:rsidRPr="003D6685">
              <w:rPr>
                <w:rFonts w:asciiTheme="minorHAnsi" w:eastAsia="Times New Roman" w:hAnsiTheme="minorHAnsi"/>
                <w:iCs/>
                <w:szCs w:val="17"/>
                <w:lang w:eastAsia="en-US"/>
              </w:rPr>
              <w:t xml:space="preserve">212,111 people </w:t>
            </w:r>
            <w:r w:rsidR="00BB3084" w:rsidRPr="003D6685">
              <w:rPr>
                <w:rFonts w:asciiTheme="minorHAnsi" w:eastAsia="Times New Roman" w:hAnsiTheme="minorHAnsi"/>
                <w:iCs/>
                <w:szCs w:val="17"/>
                <w:lang w:eastAsia="en-US"/>
              </w:rPr>
              <w:t>(</w:t>
            </w:r>
            <w:r w:rsidR="007453B9" w:rsidRPr="003D6685">
              <w:rPr>
                <w:rFonts w:asciiTheme="minorHAnsi" w:eastAsia="Times New Roman" w:hAnsiTheme="minorHAnsi"/>
                <w:iCs/>
                <w:szCs w:val="17"/>
                <w:lang w:eastAsia="en-US"/>
              </w:rPr>
              <w:t>108,601</w:t>
            </w:r>
            <w:r w:rsidRPr="003D6685">
              <w:rPr>
                <w:rFonts w:asciiTheme="minorHAnsi" w:eastAsia="Times New Roman" w:hAnsiTheme="minorHAnsi"/>
                <w:iCs/>
                <w:szCs w:val="17"/>
                <w:lang w:eastAsia="en-US"/>
              </w:rPr>
              <w:t xml:space="preserve"> </w:t>
            </w:r>
            <w:r w:rsidR="00BB3084" w:rsidRPr="003D6685">
              <w:rPr>
                <w:rFonts w:asciiTheme="minorHAnsi" w:eastAsia="Times New Roman" w:hAnsiTheme="minorHAnsi"/>
                <w:iCs/>
                <w:szCs w:val="17"/>
                <w:lang w:eastAsia="en-US"/>
              </w:rPr>
              <w:t xml:space="preserve">women and </w:t>
            </w:r>
            <w:r w:rsidR="007453B9" w:rsidRPr="003D6685">
              <w:rPr>
                <w:rFonts w:asciiTheme="minorHAnsi" w:eastAsia="Times New Roman" w:hAnsiTheme="minorHAnsi"/>
                <w:iCs/>
                <w:szCs w:val="17"/>
                <w:lang w:eastAsia="en-US"/>
              </w:rPr>
              <w:t>103,510</w:t>
            </w:r>
            <w:r w:rsidRPr="003D6685">
              <w:rPr>
                <w:rFonts w:asciiTheme="minorHAnsi" w:eastAsia="Times New Roman" w:hAnsiTheme="minorHAnsi"/>
                <w:iCs/>
                <w:szCs w:val="17"/>
                <w:lang w:eastAsia="en-US"/>
              </w:rPr>
              <w:t xml:space="preserve"> </w:t>
            </w:r>
            <w:r w:rsidR="00BB3084" w:rsidRPr="003D6685">
              <w:rPr>
                <w:rFonts w:asciiTheme="minorHAnsi" w:eastAsia="Times New Roman" w:hAnsiTheme="minorHAnsi"/>
                <w:iCs/>
                <w:szCs w:val="17"/>
                <w:lang w:eastAsia="en-US"/>
              </w:rPr>
              <w:t xml:space="preserve">men) </w:t>
            </w:r>
            <w:r w:rsidRPr="003D6685">
              <w:rPr>
                <w:rFonts w:asciiTheme="minorHAnsi" w:eastAsia="Times New Roman" w:hAnsiTheme="minorHAnsi"/>
                <w:iCs/>
                <w:szCs w:val="17"/>
                <w:lang w:eastAsia="en-US"/>
              </w:rPr>
              <w:t xml:space="preserve">will </w:t>
            </w:r>
            <w:r w:rsidR="00BB3084" w:rsidRPr="003D6685">
              <w:rPr>
                <w:rFonts w:asciiTheme="minorHAnsi" w:eastAsia="Times New Roman" w:hAnsiTheme="minorHAnsi"/>
                <w:iCs/>
                <w:szCs w:val="17"/>
                <w:lang w:eastAsia="en-US"/>
              </w:rPr>
              <w:t xml:space="preserve">directly benefit from a new committed household or business connection to electricity and/or piped, treated water. </w:t>
            </w:r>
            <w:r w:rsidRPr="003D6685">
              <w:rPr>
                <w:rFonts w:asciiTheme="minorHAnsi" w:eastAsia="Times New Roman" w:hAnsiTheme="minorHAnsi"/>
                <w:iCs/>
                <w:szCs w:val="17"/>
                <w:lang w:eastAsia="en-US"/>
              </w:rPr>
              <w:t>The 3i program</w:t>
            </w:r>
            <w:r w:rsidR="00BB3084" w:rsidRPr="003D6685">
              <w:rPr>
                <w:rFonts w:asciiTheme="minorHAnsi" w:eastAsia="Times New Roman" w:hAnsiTheme="minorHAnsi"/>
                <w:iCs/>
                <w:szCs w:val="17"/>
                <w:lang w:eastAsia="en-US"/>
              </w:rPr>
              <w:t xml:space="preserve"> allocates grant co-financing across the electricity distribution and piped, treated water sectors based on market interest. This is the basis for a combined electricity and/or water connection target.</w:t>
            </w:r>
          </w:p>
        </w:tc>
      </w:tr>
      <w:tr w:rsidR="0041795F" w:rsidRPr="00280CC1" w14:paraId="6D204C1F" w14:textId="77777777" w:rsidTr="007453B9">
        <w:tc>
          <w:tcPr>
            <w:tcW w:w="771" w:type="pct"/>
            <w:tcBorders>
              <w:top w:val="single" w:sz="4" w:space="0" w:color="auto"/>
              <w:bottom w:val="nil"/>
            </w:tcBorders>
            <w:tcMar>
              <w:top w:w="57" w:type="dxa"/>
              <w:bottom w:w="57" w:type="dxa"/>
            </w:tcMar>
          </w:tcPr>
          <w:p w14:paraId="5F94A177" w14:textId="77777777" w:rsidR="0041795F" w:rsidRPr="00280CC1" w:rsidRDefault="0041795F" w:rsidP="00320251">
            <w:pPr>
              <w:keepLines/>
              <w:spacing w:before="40" w:after="40" w:line="200" w:lineRule="atLeast"/>
              <w:rPr>
                <w:b/>
                <w:sz w:val="18"/>
              </w:rPr>
            </w:pPr>
            <w:r w:rsidRPr="00280CC1">
              <w:rPr>
                <w:rFonts w:asciiTheme="minorHAnsi" w:hAnsiTheme="minorHAnsi"/>
                <w:b/>
                <w:sz w:val="18"/>
              </w:rPr>
              <w:t>Increased agricultural productivity and farmer incomes</w:t>
            </w:r>
          </w:p>
        </w:tc>
        <w:tc>
          <w:tcPr>
            <w:tcW w:w="1208" w:type="pct"/>
            <w:tcBorders>
              <w:top w:val="single" w:sz="4" w:space="0" w:color="auto"/>
              <w:bottom w:val="nil"/>
            </w:tcBorders>
          </w:tcPr>
          <w:p w14:paraId="64034ADD" w14:textId="77777777" w:rsidR="0041795F" w:rsidRPr="00280CC1" w:rsidRDefault="00591CE3" w:rsidP="002C3223">
            <w:pPr>
              <w:keepLines/>
              <w:spacing w:before="40" w:after="40" w:line="200" w:lineRule="atLeast"/>
              <w:rPr>
                <w:rFonts w:asciiTheme="minorHAnsi" w:hAnsiTheme="minorHAnsi"/>
                <w:sz w:val="18"/>
              </w:rPr>
            </w:pPr>
            <w:r w:rsidRPr="003D6685">
              <w:rPr>
                <w:rFonts w:asciiTheme="minorHAnsi" w:eastAsia="Times New Roman" w:hAnsiTheme="minorHAnsi"/>
                <w:iCs/>
                <w:szCs w:val="17"/>
                <w:lang w:eastAsia="en-US"/>
              </w:rPr>
              <w:t>Additional</w:t>
            </w:r>
            <w:r w:rsidRPr="00456F4C">
              <w:rPr>
                <w:rFonts w:asciiTheme="minorHAnsi" w:eastAsia="Times New Roman" w:hAnsiTheme="minorHAnsi"/>
                <w:iCs/>
                <w:szCs w:val="17"/>
                <w:lang w:eastAsia="en-US"/>
              </w:rPr>
              <w:t xml:space="preserve"> </w:t>
            </w:r>
            <w:r w:rsidR="002C3223" w:rsidRPr="00456F4C">
              <w:rPr>
                <w:rFonts w:asciiTheme="minorHAnsi" w:eastAsia="Times New Roman" w:hAnsiTheme="minorHAnsi"/>
                <w:iCs/>
                <w:szCs w:val="17"/>
                <w:lang w:eastAsia="en-US"/>
              </w:rPr>
              <w:t xml:space="preserve">production </w:t>
            </w:r>
            <w:r w:rsidRPr="00456F4C">
              <w:rPr>
                <w:rFonts w:asciiTheme="minorHAnsi" w:eastAsia="Times New Roman" w:hAnsiTheme="minorHAnsi"/>
                <w:iCs/>
                <w:szCs w:val="17"/>
                <w:lang w:eastAsia="en-US"/>
              </w:rPr>
              <w:t>per year as a result of DFAT-supported irrigation schemes (83,680 ton of paddy)</w:t>
            </w:r>
          </w:p>
        </w:tc>
        <w:tc>
          <w:tcPr>
            <w:tcW w:w="481" w:type="pct"/>
            <w:tcBorders>
              <w:top w:val="single" w:sz="4" w:space="0" w:color="auto"/>
              <w:bottom w:val="nil"/>
            </w:tcBorders>
            <w:shd w:val="clear" w:color="auto" w:fill="D3875F"/>
          </w:tcPr>
          <w:p w14:paraId="6D5BEB0E" w14:textId="77777777" w:rsidR="0041795F" w:rsidRPr="00280CC1" w:rsidRDefault="00F86B59" w:rsidP="006F27B1">
            <w:pPr>
              <w:keepLines/>
              <w:spacing w:before="40" w:after="40" w:line="200" w:lineRule="atLeast"/>
              <w:jc w:val="center"/>
              <w:rPr>
                <w:rFonts w:eastAsia="Times New Roman"/>
                <w:iCs/>
                <w:color w:val="FFFFFF" w:themeColor="background1"/>
                <w:szCs w:val="17"/>
              </w:rPr>
            </w:pPr>
            <w:r w:rsidRPr="00456F4C">
              <w:rPr>
                <w:rFonts w:asciiTheme="minorHAnsi" w:eastAsia="Times New Roman" w:hAnsiTheme="minorHAnsi"/>
                <w:iCs/>
                <w:color w:val="FFFFFF" w:themeColor="background1"/>
                <w:szCs w:val="17"/>
                <w:lang w:eastAsia="en-US"/>
              </w:rPr>
              <w:t>Partly achieved</w:t>
            </w:r>
          </w:p>
        </w:tc>
        <w:tc>
          <w:tcPr>
            <w:tcW w:w="2540" w:type="pct"/>
            <w:tcBorders>
              <w:top w:val="single" w:sz="4" w:space="0" w:color="auto"/>
              <w:bottom w:val="nil"/>
            </w:tcBorders>
          </w:tcPr>
          <w:p w14:paraId="7A557211" w14:textId="77777777" w:rsidR="00912960" w:rsidRPr="003D6685" w:rsidRDefault="00912960" w:rsidP="00912960">
            <w:pPr>
              <w:keepLines/>
              <w:spacing w:before="40" w:after="40" w:line="200" w:lineRule="atLeast"/>
              <w:rPr>
                <w:rFonts w:asciiTheme="minorHAnsi" w:eastAsia="Times New Roman" w:hAnsiTheme="minorHAnsi"/>
                <w:iCs/>
                <w:szCs w:val="17"/>
                <w:lang w:eastAsia="en-US"/>
              </w:rPr>
            </w:pPr>
            <w:r w:rsidRPr="003D6685">
              <w:rPr>
                <w:rFonts w:asciiTheme="minorHAnsi" w:eastAsia="Times New Roman" w:hAnsiTheme="minorHAnsi"/>
                <w:iCs/>
                <w:szCs w:val="17"/>
                <w:lang w:eastAsia="en-US"/>
              </w:rPr>
              <w:t>Preliminary calculations as at 30 June 2017. A more accurate calculation will be undertaken at the end of rice season on December 2017.</w:t>
            </w:r>
          </w:p>
          <w:p w14:paraId="3B05EB4A" w14:textId="77777777" w:rsidR="0041795F" w:rsidRPr="00280CC1" w:rsidRDefault="00912960" w:rsidP="0029505D">
            <w:pPr>
              <w:keepLines/>
              <w:spacing w:before="40" w:after="40" w:line="200" w:lineRule="atLeast"/>
              <w:rPr>
                <w:rFonts w:asciiTheme="minorHAnsi" w:hAnsiTheme="minorHAnsi"/>
                <w:sz w:val="18"/>
              </w:rPr>
            </w:pPr>
            <w:r w:rsidRPr="003D6685">
              <w:rPr>
                <w:rFonts w:asciiTheme="minorHAnsi" w:eastAsia="Times New Roman" w:hAnsiTheme="minorHAnsi"/>
                <w:iCs/>
                <w:szCs w:val="17"/>
                <w:lang w:eastAsia="en-US"/>
              </w:rPr>
              <w:t>Practices are still changing to allow full uptake of year-round irrigation. For example, some farmers continue to grow rice varieties which do not allow them to grow a second rice crop, even with improved access to water.</w:t>
            </w:r>
          </w:p>
        </w:tc>
      </w:tr>
      <w:tr w:rsidR="0041795F" w:rsidRPr="00280CC1" w14:paraId="3AFBB43F" w14:textId="77777777" w:rsidTr="005F02B8">
        <w:tc>
          <w:tcPr>
            <w:tcW w:w="771" w:type="pct"/>
            <w:tcBorders>
              <w:top w:val="nil"/>
              <w:bottom w:val="single" w:sz="4" w:space="0" w:color="auto"/>
            </w:tcBorders>
            <w:tcMar>
              <w:top w:w="57" w:type="dxa"/>
              <w:bottom w:w="57" w:type="dxa"/>
            </w:tcMar>
          </w:tcPr>
          <w:p w14:paraId="0B154417" w14:textId="77777777" w:rsidR="0041795F" w:rsidRPr="00280CC1" w:rsidRDefault="0041795F" w:rsidP="00320251">
            <w:pPr>
              <w:keepLines/>
              <w:spacing w:before="40" w:after="40" w:line="200" w:lineRule="atLeast"/>
              <w:rPr>
                <w:b/>
                <w:sz w:val="18"/>
              </w:rPr>
            </w:pPr>
          </w:p>
        </w:tc>
        <w:tc>
          <w:tcPr>
            <w:tcW w:w="1208" w:type="pct"/>
            <w:tcBorders>
              <w:top w:val="nil"/>
              <w:bottom w:val="single" w:sz="4" w:space="0" w:color="auto"/>
            </w:tcBorders>
          </w:tcPr>
          <w:p w14:paraId="49E1DF87" w14:textId="77777777" w:rsidR="0041795F" w:rsidRPr="003D6685" w:rsidRDefault="00591CE3" w:rsidP="008D34C7">
            <w:pPr>
              <w:keepLines/>
              <w:spacing w:before="40" w:after="40" w:line="200" w:lineRule="atLeast"/>
              <w:rPr>
                <w:szCs w:val="17"/>
              </w:rPr>
            </w:pPr>
            <w:r w:rsidRPr="00456F4C">
              <w:rPr>
                <w:rFonts w:asciiTheme="minorHAnsi" w:eastAsia="Times New Roman" w:hAnsiTheme="minorHAnsi"/>
                <w:iCs/>
                <w:szCs w:val="17"/>
                <w:lang w:eastAsia="en-US"/>
              </w:rPr>
              <w:t>Land contaminated by landmines and other Explosive Remnants of War (ERW) released for productive use</w:t>
            </w:r>
            <w:r w:rsidR="0041795F" w:rsidRPr="00456F4C">
              <w:rPr>
                <w:rFonts w:asciiTheme="minorHAnsi" w:eastAsia="Times New Roman" w:hAnsiTheme="minorHAnsi"/>
                <w:iCs/>
                <w:szCs w:val="17"/>
                <w:lang w:eastAsia="en-US"/>
              </w:rPr>
              <w:t xml:space="preserve"> (6.</w:t>
            </w:r>
            <w:r w:rsidRPr="00456F4C">
              <w:rPr>
                <w:rFonts w:asciiTheme="minorHAnsi" w:eastAsia="Times New Roman" w:hAnsiTheme="minorHAnsi"/>
                <w:iCs/>
                <w:szCs w:val="17"/>
                <w:lang w:eastAsia="en-US"/>
              </w:rPr>
              <w:t>7</w:t>
            </w:r>
            <w:r w:rsidR="0041795F" w:rsidRPr="00456F4C">
              <w:rPr>
                <w:rFonts w:asciiTheme="minorHAnsi" w:eastAsia="Times New Roman" w:hAnsiTheme="minorHAnsi"/>
                <w:iCs/>
                <w:szCs w:val="17"/>
                <w:lang w:eastAsia="en-US"/>
              </w:rPr>
              <w:t>5km2</w:t>
            </w:r>
            <w:r w:rsidR="0041795F" w:rsidRPr="003D6685">
              <w:rPr>
                <w:rFonts w:asciiTheme="minorHAnsi" w:hAnsiTheme="minorHAnsi"/>
                <w:szCs w:val="17"/>
              </w:rPr>
              <w:t>)</w:t>
            </w:r>
          </w:p>
        </w:tc>
        <w:tc>
          <w:tcPr>
            <w:tcW w:w="481" w:type="pct"/>
            <w:tcBorders>
              <w:top w:val="nil"/>
              <w:bottom w:val="single" w:sz="4" w:space="0" w:color="auto"/>
            </w:tcBorders>
            <w:shd w:val="clear" w:color="auto" w:fill="92D050"/>
          </w:tcPr>
          <w:p w14:paraId="79490838" w14:textId="77777777" w:rsidR="0041795F" w:rsidRPr="00456F4C" w:rsidRDefault="002B64A1"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456F4C">
              <w:rPr>
                <w:rFonts w:asciiTheme="minorHAnsi" w:eastAsia="Times New Roman" w:hAnsiTheme="minorHAnsi"/>
                <w:iCs/>
                <w:color w:val="FFFFFF" w:themeColor="background1"/>
                <w:szCs w:val="17"/>
                <w:lang w:eastAsia="en-US"/>
              </w:rPr>
              <w:t>A</w:t>
            </w:r>
            <w:r w:rsidR="00190106" w:rsidRPr="00456F4C">
              <w:rPr>
                <w:rFonts w:asciiTheme="minorHAnsi" w:eastAsia="Times New Roman" w:hAnsiTheme="minorHAnsi"/>
                <w:iCs/>
                <w:color w:val="FFFFFF" w:themeColor="background1"/>
                <w:szCs w:val="17"/>
                <w:lang w:eastAsia="en-US"/>
              </w:rPr>
              <w:t>chieved</w:t>
            </w:r>
          </w:p>
        </w:tc>
        <w:tc>
          <w:tcPr>
            <w:tcW w:w="2540" w:type="pct"/>
            <w:tcBorders>
              <w:top w:val="nil"/>
              <w:bottom w:val="single" w:sz="4" w:space="0" w:color="auto"/>
            </w:tcBorders>
          </w:tcPr>
          <w:p w14:paraId="01CD45CE" w14:textId="77777777" w:rsidR="0041795F" w:rsidRPr="003D6685" w:rsidRDefault="00CC6012" w:rsidP="0029505D">
            <w:pPr>
              <w:keepLines/>
              <w:spacing w:before="40" w:after="40" w:line="200" w:lineRule="atLeast"/>
              <w:rPr>
                <w:rFonts w:asciiTheme="minorHAnsi" w:hAnsiTheme="minorHAnsi"/>
                <w:szCs w:val="17"/>
              </w:rPr>
            </w:pPr>
            <w:r w:rsidRPr="003D6685">
              <w:rPr>
                <w:rFonts w:asciiTheme="minorHAnsi" w:eastAsia="Times New Roman" w:hAnsiTheme="minorHAnsi"/>
                <w:iCs/>
                <w:szCs w:val="17"/>
                <w:lang w:eastAsia="en-US"/>
              </w:rPr>
              <w:t>Exceeded</w:t>
            </w:r>
            <w:r w:rsidRPr="00456F4C">
              <w:rPr>
                <w:rFonts w:asciiTheme="minorHAnsi" w:eastAsia="Times New Roman" w:hAnsiTheme="minorHAnsi"/>
                <w:iCs/>
                <w:szCs w:val="17"/>
                <w:lang w:eastAsia="en-US"/>
              </w:rPr>
              <w:t xml:space="preserve"> target. </w:t>
            </w:r>
            <w:r w:rsidR="002B64A1" w:rsidRPr="00456F4C">
              <w:rPr>
                <w:rFonts w:asciiTheme="minorHAnsi" w:eastAsia="Times New Roman" w:hAnsiTheme="minorHAnsi"/>
                <w:iCs/>
                <w:szCs w:val="17"/>
                <w:lang w:eastAsia="en-US"/>
              </w:rPr>
              <w:t xml:space="preserve">8.8 km2 land contaminated by landmines and other </w:t>
            </w:r>
            <w:r w:rsidRPr="00456F4C">
              <w:rPr>
                <w:rFonts w:asciiTheme="minorHAnsi" w:eastAsia="Times New Roman" w:hAnsiTheme="minorHAnsi"/>
                <w:iCs/>
                <w:szCs w:val="17"/>
                <w:lang w:eastAsia="en-US"/>
              </w:rPr>
              <w:t xml:space="preserve">ERWs </w:t>
            </w:r>
            <w:r w:rsidR="002B64A1" w:rsidRPr="00456F4C">
              <w:rPr>
                <w:rFonts w:asciiTheme="minorHAnsi" w:eastAsia="Times New Roman" w:hAnsiTheme="minorHAnsi"/>
                <w:iCs/>
                <w:szCs w:val="17"/>
                <w:lang w:eastAsia="en-US"/>
              </w:rPr>
              <w:t xml:space="preserve">released for </w:t>
            </w:r>
            <w:r w:rsidR="002B64A1" w:rsidRPr="003D6685">
              <w:rPr>
                <w:rFonts w:asciiTheme="minorHAnsi" w:eastAsia="Times New Roman" w:hAnsiTheme="minorHAnsi"/>
                <w:iCs/>
                <w:szCs w:val="17"/>
                <w:lang w:eastAsia="en-US"/>
              </w:rPr>
              <w:t>productive</w:t>
            </w:r>
            <w:r w:rsidR="002B64A1" w:rsidRPr="00456F4C">
              <w:rPr>
                <w:rFonts w:asciiTheme="minorHAnsi" w:eastAsia="Times New Roman" w:hAnsiTheme="minorHAnsi"/>
                <w:iCs/>
                <w:szCs w:val="17"/>
                <w:lang w:eastAsia="en-US"/>
              </w:rPr>
              <w:t xml:space="preserve"> use.</w:t>
            </w:r>
            <w:r w:rsidR="002B64A1" w:rsidRPr="003D6685">
              <w:rPr>
                <w:rFonts w:asciiTheme="minorHAnsi" w:hAnsiTheme="minorHAnsi"/>
                <w:szCs w:val="17"/>
              </w:rPr>
              <w:t xml:space="preserve"> </w:t>
            </w:r>
          </w:p>
        </w:tc>
      </w:tr>
      <w:tr w:rsidR="00CF2559" w:rsidRPr="00280CC1" w14:paraId="736C252B" w14:textId="77777777" w:rsidTr="005F02B8">
        <w:tc>
          <w:tcPr>
            <w:tcW w:w="771" w:type="pct"/>
            <w:tcBorders>
              <w:top w:val="single" w:sz="4" w:space="0" w:color="auto"/>
              <w:bottom w:val="nil"/>
            </w:tcBorders>
            <w:tcMar>
              <w:top w:w="57" w:type="dxa"/>
              <w:bottom w:w="57" w:type="dxa"/>
            </w:tcMar>
          </w:tcPr>
          <w:p w14:paraId="653EA882" w14:textId="77777777" w:rsidR="00CF2559" w:rsidRPr="00280CC1" w:rsidRDefault="00CF2559" w:rsidP="00CF2559">
            <w:pPr>
              <w:keepLines/>
              <w:spacing w:before="40" w:after="40" w:line="200" w:lineRule="atLeast"/>
              <w:rPr>
                <w:b/>
                <w:sz w:val="18"/>
              </w:rPr>
            </w:pPr>
            <w:r w:rsidRPr="00280CC1">
              <w:rPr>
                <w:rFonts w:asciiTheme="minorHAnsi" w:hAnsiTheme="minorHAnsi"/>
                <w:b/>
                <w:sz w:val="18"/>
              </w:rPr>
              <w:t>Better health and education outcomes</w:t>
            </w:r>
          </w:p>
        </w:tc>
        <w:tc>
          <w:tcPr>
            <w:tcW w:w="1208" w:type="pct"/>
            <w:tcBorders>
              <w:top w:val="single" w:sz="4" w:space="0" w:color="auto"/>
              <w:bottom w:val="nil"/>
            </w:tcBorders>
          </w:tcPr>
          <w:p w14:paraId="2FD368FB" w14:textId="77777777" w:rsidR="00CF2559" w:rsidRPr="003D6685" w:rsidRDefault="00CF2559" w:rsidP="00CF2559">
            <w:pPr>
              <w:keepLines/>
              <w:spacing w:before="40" w:after="40" w:line="200" w:lineRule="atLeast"/>
              <w:rPr>
                <w:rFonts w:asciiTheme="minorHAnsi" w:eastAsia="Times New Roman" w:hAnsiTheme="minorHAnsi"/>
                <w:iCs/>
                <w:szCs w:val="17"/>
                <w:lang w:eastAsia="en-US"/>
              </w:rPr>
            </w:pPr>
            <w:r w:rsidRPr="003D6685">
              <w:rPr>
                <w:rFonts w:asciiTheme="minorHAnsi" w:eastAsia="Times New Roman" w:hAnsiTheme="minorHAnsi"/>
                <w:iCs/>
                <w:szCs w:val="17"/>
                <w:lang w:eastAsia="en-US"/>
              </w:rPr>
              <w:t>Number of health facilities exceeding 60 per cent score on the quality assessment of health facilities tool (Baseline + 10</w:t>
            </w:r>
            <w:r w:rsidR="00663C9A" w:rsidRPr="003D6685">
              <w:rPr>
                <w:rFonts w:asciiTheme="minorHAnsi" w:eastAsia="Times New Roman" w:hAnsiTheme="minorHAnsi"/>
                <w:iCs/>
                <w:szCs w:val="17"/>
                <w:lang w:eastAsia="en-US"/>
              </w:rPr>
              <w:t xml:space="preserve"> per cent</w:t>
            </w:r>
            <w:r w:rsidRPr="003D6685">
              <w:rPr>
                <w:rFonts w:asciiTheme="minorHAnsi" w:eastAsia="Times New Roman" w:hAnsiTheme="minorHAnsi"/>
                <w:iCs/>
                <w:szCs w:val="17"/>
                <w:lang w:eastAsia="en-US"/>
              </w:rPr>
              <w:t>)</w:t>
            </w:r>
          </w:p>
        </w:tc>
        <w:tc>
          <w:tcPr>
            <w:tcW w:w="481" w:type="pct"/>
            <w:tcBorders>
              <w:top w:val="single" w:sz="4" w:space="0" w:color="auto"/>
              <w:bottom w:val="nil"/>
            </w:tcBorders>
            <w:shd w:val="clear" w:color="auto" w:fill="auto"/>
          </w:tcPr>
          <w:p w14:paraId="5C6F3249" w14:textId="77777777" w:rsidR="00CF2559" w:rsidRPr="00280CC1" w:rsidRDefault="00CF2559" w:rsidP="00CF2559">
            <w:pPr>
              <w:keepLines/>
              <w:spacing w:before="40" w:after="40" w:line="200" w:lineRule="atLeast"/>
              <w:jc w:val="center"/>
              <w:rPr>
                <w:rFonts w:eastAsia="Times New Roman"/>
                <w:iCs/>
                <w:color w:val="auto"/>
                <w:szCs w:val="17"/>
              </w:rPr>
            </w:pPr>
            <w:r w:rsidRPr="00456F4C">
              <w:rPr>
                <w:rFonts w:asciiTheme="minorHAnsi" w:eastAsia="Times New Roman" w:hAnsiTheme="minorHAnsi"/>
                <w:iCs/>
                <w:color w:val="auto"/>
                <w:szCs w:val="17"/>
                <w:lang w:eastAsia="en-US"/>
              </w:rPr>
              <w:t>Not available</w:t>
            </w:r>
          </w:p>
        </w:tc>
        <w:tc>
          <w:tcPr>
            <w:tcW w:w="2540" w:type="pct"/>
            <w:tcBorders>
              <w:top w:val="single" w:sz="4" w:space="0" w:color="auto"/>
              <w:bottom w:val="nil"/>
            </w:tcBorders>
          </w:tcPr>
          <w:p w14:paraId="30E8F0D7" w14:textId="77777777" w:rsidR="00CF2559" w:rsidRPr="003D6685" w:rsidRDefault="00CF2559" w:rsidP="0029505D">
            <w:pPr>
              <w:keepLines/>
              <w:spacing w:before="40" w:after="40" w:line="200" w:lineRule="atLeast"/>
              <w:rPr>
                <w:rFonts w:asciiTheme="minorHAnsi" w:eastAsia="Times New Roman" w:hAnsiTheme="minorHAnsi"/>
                <w:iCs/>
                <w:szCs w:val="17"/>
                <w:lang w:eastAsia="en-US"/>
              </w:rPr>
            </w:pPr>
            <w:r w:rsidRPr="003D6685">
              <w:rPr>
                <w:rFonts w:asciiTheme="minorHAnsi" w:eastAsia="Times New Roman" w:hAnsiTheme="minorHAnsi"/>
                <w:iCs/>
                <w:szCs w:val="17"/>
                <w:lang w:eastAsia="en-US"/>
              </w:rPr>
              <w:t xml:space="preserve">Due to delays in H-EQIP project implementation </w:t>
            </w:r>
            <w:r w:rsidR="00CC6012" w:rsidRPr="003D6685">
              <w:rPr>
                <w:rFonts w:asciiTheme="minorHAnsi" w:eastAsia="Times New Roman" w:hAnsiTheme="minorHAnsi"/>
                <w:iCs/>
                <w:szCs w:val="17"/>
                <w:lang w:eastAsia="en-US"/>
              </w:rPr>
              <w:t>in its first year</w:t>
            </w:r>
            <w:r w:rsidRPr="003D6685">
              <w:rPr>
                <w:rFonts w:asciiTheme="minorHAnsi" w:eastAsia="Times New Roman" w:hAnsiTheme="minorHAnsi"/>
                <w:iCs/>
                <w:szCs w:val="17"/>
                <w:lang w:eastAsia="en-US"/>
              </w:rPr>
              <w:t xml:space="preserve"> the quality assessment tool only begun to be implemented in May 2017. The first round of assessments </w:t>
            </w:r>
            <w:r w:rsidR="00CC6012" w:rsidRPr="003D6685">
              <w:rPr>
                <w:rFonts w:asciiTheme="minorHAnsi" w:eastAsia="Times New Roman" w:hAnsiTheme="minorHAnsi"/>
                <w:iCs/>
                <w:szCs w:val="17"/>
                <w:lang w:eastAsia="en-US"/>
              </w:rPr>
              <w:t xml:space="preserve">will set the baseline. To date, only a </w:t>
            </w:r>
            <w:r w:rsidRPr="003D6685">
              <w:rPr>
                <w:rFonts w:asciiTheme="minorHAnsi" w:eastAsia="Times New Roman" w:hAnsiTheme="minorHAnsi"/>
                <w:iCs/>
                <w:szCs w:val="17"/>
                <w:lang w:eastAsia="en-US"/>
              </w:rPr>
              <w:t>third of health facilities</w:t>
            </w:r>
            <w:r w:rsidR="00CC6012" w:rsidRPr="003D6685">
              <w:rPr>
                <w:rFonts w:asciiTheme="minorHAnsi" w:eastAsia="Times New Roman" w:hAnsiTheme="minorHAnsi"/>
                <w:iCs/>
                <w:szCs w:val="17"/>
                <w:lang w:eastAsia="en-US"/>
              </w:rPr>
              <w:t xml:space="preserve"> have been assessed, with</w:t>
            </w:r>
            <w:r w:rsidRPr="003D6685">
              <w:rPr>
                <w:rFonts w:asciiTheme="minorHAnsi" w:eastAsia="Times New Roman" w:hAnsiTheme="minorHAnsi"/>
                <w:iCs/>
                <w:szCs w:val="17"/>
                <w:lang w:eastAsia="en-US"/>
              </w:rPr>
              <w:t xml:space="preserve"> remaining facilities to be </w:t>
            </w:r>
            <w:r w:rsidR="00CC6012" w:rsidRPr="003D6685">
              <w:rPr>
                <w:rFonts w:asciiTheme="minorHAnsi" w:eastAsia="Times New Roman" w:hAnsiTheme="minorHAnsi"/>
                <w:iCs/>
                <w:szCs w:val="17"/>
                <w:lang w:eastAsia="en-US"/>
              </w:rPr>
              <w:t>assessed</w:t>
            </w:r>
            <w:r w:rsidRPr="003D6685">
              <w:rPr>
                <w:rFonts w:asciiTheme="minorHAnsi" w:eastAsia="Times New Roman" w:hAnsiTheme="minorHAnsi"/>
                <w:iCs/>
                <w:szCs w:val="17"/>
                <w:lang w:eastAsia="en-US"/>
              </w:rPr>
              <w:t xml:space="preserve"> by the end of 2017</w:t>
            </w:r>
            <w:r w:rsidR="00467C0D" w:rsidRPr="003D6685">
              <w:rPr>
                <w:rFonts w:asciiTheme="minorHAnsi" w:eastAsia="Times New Roman" w:hAnsiTheme="minorHAnsi"/>
                <w:iCs/>
                <w:szCs w:val="17"/>
                <w:lang w:eastAsia="en-US"/>
              </w:rPr>
              <w:t xml:space="preserve">. </w:t>
            </w:r>
          </w:p>
        </w:tc>
      </w:tr>
      <w:tr w:rsidR="00CF2559" w:rsidRPr="00280CC1" w14:paraId="6AB2FE73" w14:textId="77777777" w:rsidTr="005F02B8">
        <w:tc>
          <w:tcPr>
            <w:tcW w:w="771" w:type="pct"/>
            <w:tcBorders>
              <w:top w:val="nil"/>
              <w:bottom w:val="single" w:sz="4" w:space="0" w:color="auto"/>
            </w:tcBorders>
            <w:tcMar>
              <w:top w:w="57" w:type="dxa"/>
              <w:bottom w:w="57" w:type="dxa"/>
            </w:tcMar>
          </w:tcPr>
          <w:p w14:paraId="16DAE440" w14:textId="77777777" w:rsidR="00CF2559" w:rsidRPr="00280CC1" w:rsidRDefault="00CF2559" w:rsidP="00CF2559">
            <w:pPr>
              <w:keepLines/>
              <w:spacing w:before="40" w:after="40" w:line="200" w:lineRule="atLeast"/>
              <w:rPr>
                <w:b/>
                <w:sz w:val="18"/>
              </w:rPr>
            </w:pPr>
          </w:p>
        </w:tc>
        <w:tc>
          <w:tcPr>
            <w:tcW w:w="1208" w:type="pct"/>
            <w:tcBorders>
              <w:top w:val="nil"/>
              <w:bottom w:val="single" w:sz="4" w:space="0" w:color="auto"/>
            </w:tcBorders>
          </w:tcPr>
          <w:p w14:paraId="66732804" w14:textId="77777777" w:rsidR="00CF2559" w:rsidRPr="003D6685" w:rsidRDefault="00CF2559" w:rsidP="00CF2559">
            <w:pPr>
              <w:keepLines/>
              <w:spacing w:before="40" w:after="40" w:line="200" w:lineRule="atLeast"/>
              <w:rPr>
                <w:rFonts w:asciiTheme="minorHAnsi" w:eastAsia="Times New Roman" w:hAnsiTheme="minorHAnsi"/>
                <w:iCs/>
                <w:szCs w:val="17"/>
                <w:lang w:eastAsia="en-US"/>
              </w:rPr>
            </w:pPr>
            <w:r w:rsidRPr="003D6685">
              <w:rPr>
                <w:rFonts w:asciiTheme="minorHAnsi" w:eastAsia="Times New Roman" w:hAnsiTheme="minorHAnsi"/>
                <w:iCs/>
                <w:szCs w:val="17"/>
                <w:lang w:eastAsia="en-US"/>
              </w:rPr>
              <w:t xml:space="preserve">Number and </w:t>
            </w:r>
            <w:r w:rsidR="00261D61" w:rsidRPr="003D6685">
              <w:rPr>
                <w:rFonts w:asciiTheme="minorHAnsi" w:eastAsia="Times New Roman" w:hAnsiTheme="minorHAnsi"/>
                <w:iCs/>
                <w:szCs w:val="17"/>
                <w:lang w:eastAsia="en-US"/>
              </w:rPr>
              <w:t>per cent</w:t>
            </w:r>
            <w:r w:rsidRPr="003D6685">
              <w:rPr>
                <w:rFonts w:asciiTheme="minorHAnsi" w:eastAsia="Times New Roman" w:hAnsiTheme="minorHAnsi"/>
                <w:iCs/>
                <w:szCs w:val="17"/>
                <w:lang w:eastAsia="en-US"/>
              </w:rPr>
              <w:t xml:space="preserve"> of Australia Awards scholarships awarded to women and men (50 female/50 male)</w:t>
            </w:r>
          </w:p>
        </w:tc>
        <w:tc>
          <w:tcPr>
            <w:tcW w:w="481" w:type="pct"/>
            <w:tcBorders>
              <w:top w:val="nil"/>
              <w:bottom w:val="single" w:sz="4" w:space="0" w:color="auto"/>
            </w:tcBorders>
            <w:shd w:val="clear" w:color="auto" w:fill="D3875F"/>
          </w:tcPr>
          <w:p w14:paraId="6AD30734" w14:textId="77777777" w:rsidR="00CF2559" w:rsidRPr="00280CC1" w:rsidRDefault="00CF2559" w:rsidP="00CF2559">
            <w:pPr>
              <w:keepLines/>
              <w:spacing w:before="40" w:after="40" w:line="200" w:lineRule="atLeast"/>
              <w:jc w:val="center"/>
              <w:rPr>
                <w:rFonts w:eastAsia="Times New Roman"/>
                <w:iCs/>
                <w:color w:val="FFFFFF" w:themeColor="background1"/>
                <w:szCs w:val="17"/>
              </w:rPr>
            </w:pPr>
            <w:r w:rsidRPr="00456F4C">
              <w:rPr>
                <w:rFonts w:asciiTheme="minorHAnsi" w:eastAsia="Times New Roman" w:hAnsiTheme="minorHAnsi"/>
                <w:iCs/>
                <w:color w:val="FFFFFF" w:themeColor="background1"/>
                <w:szCs w:val="17"/>
                <w:lang w:eastAsia="en-US"/>
              </w:rPr>
              <w:t>Partly achieved</w:t>
            </w:r>
          </w:p>
        </w:tc>
        <w:tc>
          <w:tcPr>
            <w:tcW w:w="2540" w:type="pct"/>
            <w:tcBorders>
              <w:top w:val="nil"/>
              <w:bottom w:val="single" w:sz="4" w:space="0" w:color="auto"/>
            </w:tcBorders>
          </w:tcPr>
          <w:p w14:paraId="3CC8495B" w14:textId="77777777" w:rsidR="00CF2559" w:rsidRPr="003D6685" w:rsidRDefault="00CF2559" w:rsidP="00CF2559">
            <w:pPr>
              <w:keepLines/>
              <w:spacing w:before="40" w:after="40" w:line="200" w:lineRule="atLeast"/>
              <w:rPr>
                <w:rFonts w:asciiTheme="minorHAnsi" w:eastAsia="Times New Roman" w:hAnsiTheme="minorHAnsi"/>
                <w:iCs/>
                <w:szCs w:val="17"/>
                <w:lang w:eastAsia="en-US"/>
              </w:rPr>
            </w:pPr>
            <w:r w:rsidRPr="003D6685">
              <w:rPr>
                <w:rFonts w:asciiTheme="minorHAnsi" w:eastAsia="Times New Roman" w:hAnsiTheme="minorHAnsi"/>
                <w:iCs/>
                <w:szCs w:val="17"/>
                <w:lang w:eastAsia="en-US"/>
              </w:rPr>
              <w:t xml:space="preserve">Partly achieved as progress less than anticipated. 45 Australia Awards Scholarships were offered, and of those, only 16 scholarships (36 </w:t>
            </w:r>
            <w:r w:rsidR="00467C0D" w:rsidRPr="003D6685">
              <w:rPr>
                <w:rFonts w:asciiTheme="minorHAnsi" w:eastAsia="Times New Roman" w:hAnsiTheme="minorHAnsi"/>
                <w:iCs/>
                <w:szCs w:val="17"/>
                <w:lang w:eastAsia="en-US"/>
              </w:rPr>
              <w:t>per cent</w:t>
            </w:r>
            <w:r w:rsidRPr="003D6685">
              <w:rPr>
                <w:rFonts w:asciiTheme="minorHAnsi" w:eastAsia="Times New Roman" w:hAnsiTheme="minorHAnsi"/>
                <w:iCs/>
                <w:szCs w:val="17"/>
                <w:lang w:eastAsia="en-US"/>
              </w:rPr>
              <w:t xml:space="preserve">) were offered to women. We did not reach our target due to an increase in the number of ineligible applications, a decrease in applications from women and an overall lower quality of applicants, compared to previous years. </w:t>
            </w:r>
          </w:p>
        </w:tc>
      </w:tr>
      <w:tr w:rsidR="00CF2559" w:rsidRPr="00280CC1" w14:paraId="36B40321" w14:textId="77777777" w:rsidTr="00280CC1">
        <w:tc>
          <w:tcPr>
            <w:tcW w:w="771" w:type="pct"/>
            <w:tcBorders>
              <w:top w:val="single" w:sz="4" w:space="0" w:color="auto"/>
              <w:bottom w:val="single" w:sz="12" w:space="0" w:color="auto"/>
            </w:tcBorders>
            <w:tcMar>
              <w:top w:w="57" w:type="dxa"/>
              <w:bottom w:w="57" w:type="dxa"/>
            </w:tcMar>
          </w:tcPr>
          <w:p w14:paraId="6FD86C2C" w14:textId="77777777" w:rsidR="00CF2559" w:rsidRPr="00280CC1" w:rsidRDefault="00CF2559" w:rsidP="00CF2559">
            <w:pPr>
              <w:keepLines/>
              <w:spacing w:before="40" w:after="40" w:line="200" w:lineRule="atLeast"/>
              <w:rPr>
                <w:rFonts w:asciiTheme="minorHAnsi" w:hAnsiTheme="minorHAnsi"/>
                <w:sz w:val="18"/>
              </w:rPr>
            </w:pPr>
            <w:r w:rsidRPr="00280CC1">
              <w:rPr>
                <w:rFonts w:asciiTheme="minorHAnsi" w:hAnsiTheme="minorHAnsi"/>
                <w:b/>
                <w:sz w:val="18"/>
              </w:rPr>
              <w:t>Reduced gender-based violence</w:t>
            </w:r>
          </w:p>
        </w:tc>
        <w:tc>
          <w:tcPr>
            <w:tcW w:w="1208" w:type="pct"/>
            <w:tcBorders>
              <w:top w:val="single" w:sz="4" w:space="0" w:color="auto"/>
              <w:bottom w:val="single" w:sz="12" w:space="0" w:color="auto"/>
            </w:tcBorders>
          </w:tcPr>
          <w:p w14:paraId="5CBAD17D" w14:textId="77777777" w:rsidR="00CF2559" w:rsidRPr="00280CC1" w:rsidRDefault="00CF2559" w:rsidP="00CF2559">
            <w:pPr>
              <w:keepLines/>
              <w:spacing w:before="40" w:after="40" w:line="200" w:lineRule="atLeast"/>
              <w:rPr>
                <w:rFonts w:asciiTheme="minorHAnsi" w:hAnsiTheme="minorHAnsi"/>
                <w:sz w:val="18"/>
              </w:rPr>
            </w:pPr>
            <w:r w:rsidRPr="003D6685">
              <w:rPr>
                <w:rFonts w:asciiTheme="minorHAnsi" w:eastAsia="Times New Roman" w:hAnsiTheme="minorHAnsi"/>
                <w:iCs/>
                <w:szCs w:val="17"/>
                <w:lang w:eastAsia="en-US"/>
              </w:rPr>
              <w:t>Additional women survivors of violence receiving services such as counselling (1,000)</w:t>
            </w:r>
          </w:p>
        </w:tc>
        <w:tc>
          <w:tcPr>
            <w:tcW w:w="481" w:type="pct"/>
            <w:tcBorders>
              <w:top w:val="single" w:sz="4" w:space="0" w:color="auto"/>
              <w:bottom w:val="single" w:sz="12" w:space="0" w:color="auto"/>
            </w:tcBorders>
            <w:shd w:val="clear" w:color="auto" w:fill="92D050"/>
          </w:tcPr>
          <w:p w14:paraId="06038BD8" w14:textId="77777777" w:rsidR="00CF2559" w:rsidRPr="00280CC1" w:rsidRDefault="00956638" w:rsidP="00CF2559">
            <w:pPr>
              <w:keepLines/>
              <w:spacing w:before="40" w:after="40" w:line="200" w:lineRule="atLeast"/>
              <w:jc w:val="center"/>
              <w:rPr>
                <w:rFonts w:eastAsia="Times New Roman"/>
                <w:iCs/>
                <w:color w:val="FFFFFF" w:themeColor="background1"/>
                <w:szCs w:val="17"/>
              </w:rPr>
            </w:pPr>
            <w:r w:rsidRPr="00456F4C">
              <w:rPr>
                <w:rFonts w:asciiTheme="minorHAnsi" w:eastAsia="Times New Roman" w:hAnsiTheme="minorHAnsi"/>
                <w:iCs/>
                <w:color w:val="FFFFFF" w:themeColor="background1"/>
                <w:szCs w:val="17"/>
                <w:lang w:eastAsia="en-US"/>
              </w:rPr>
              <w:t>Achieved</w:t>
            </w:r>
          </w:p>
        </w:tc>
        <w:tc>
          <w:tcPr>
            <w:tcW w:w="2540" w:type="pct"/>
            <w:tcBorders>
              <w:top w:val="single" w:sz="4" w:space="0" w:color="auto"/>
              <w:bottom w:val="single" w:sz="12" w:space="0" w:color="auto"/>
            </w:tcBorders>
          </w:tcPr>
          <w:p w14:paraId="5118925E" w14:textId="77777777" w:rsidR="00CF2559" w:rsidRPr="00280CC1" w:rsidRDefault="00956638" w:rsidP="00CF2559">
            <w:pPr>
              <w:keepLines/>
              <w:spacing w:before="40" w:after="40" w:line="200" w:lineRule="atLeast"/>
              <w:rPr>
                <w:rFonts w:asciiTheme="minorHAnsi" w:hAnsiTheme="minorHAnsi"/>
                <w:sz w:val="18"/>
              </w:rPr>
            </w:pPr>
            <w:r w:rsidRPr="003D6685">
              <w:rPr>
                <w:rFonts w:asciiTheme="minorHAnsi" w:eastAsia="Times New Roman" w:hAnsiTheme="minorHAnsi"/>
                <w:iCs/>
                <w:szCs w:val="17"/>
                <w:lang w:eastAsia="en-US"/>
              </w:rPr>
              <w:t xml:space="preserve">While technically this target was not met (in 2015-16 9,950 women received services, an additional 1,000 women would be 10,950), 2015-16 had a higher than expected rate of service delivery. The rate of service delivery achieved </w:t>
            </w:r>
            <w:r w:rsidR="00690F45" w:rsidRPr="003D6685">
              <w:rPr>
                <w:rFonts w:asciiTheme="minorHAnsi" w:eastAsia="Times New Roman" w:hAnsiTheme="minorHAnsi"/>
                <w:iCs/>
                <w:szCs w:val="17"/>
                <w:lang w:eastAsia="en-US"/>
              </w:rPr>
              <w:t>this year</w:t>
            </w:r>
            <w:r w:rsidRPr="003D6685">
              <w:rPr>
                <w:rFonts w:asciiTheme="minorHAnsi" w:eastAsia="Times New Roman" w:hAnsiTheme="minorHAnsi"/>
                <w:iCs/>
                <w:szCs w:val="17"/>
                <w:lang w:eastAsia="en-US"/>
              </w:rPr>
              <w:t xml:space="preserve"> was still higher than original targets. In 2014-15 3,200 women received services. As such, the target for 2016-17 was originally 5,200 women receiving services in 2016-17 (an additional 2,000 women).</w:t>
            </w:r>
          </w:p>
        </w:tc>
      </w:tr>
    </w:tbl>
    <w:p w14:paraId="32E8E0CE" w14:textId="77777777" w:rsidR="00400B0F" w:rsidRPr="00280CC1" w:rsidRDefault="00400B0F" w:rsidP="00400B0F">
      <w:pPr>
        <w:spacing w:before="20" w:after="20" w:line="180" w:lineRule="atLeast"/>
        <w:jc w:val="both"/>
        <w:rPr>
          <w:rFonts w:eastAsia="Times New Roman"/>
          <w:b/>
          <w:sz w:val="16"/>
          <w:szCs w:val="14"/>
        </w:rPr>
      </w:pPr>
      <w:r w:rsidRPr="00280CC1">
        <w:rPr>
          <w:rFonts w:eastAsia="Times New Roman"/>
          <w:b/>
          <w:sz w:val="16"/>
          <w:szCs w:val="14"/>
        </w:rPr>
        <w:t xml:space="preserve">Note: </w:t>
      </w:r>
    </w:p>
    <w:p w14:paraId="2B05142E" w14:textId="77777777" w:rsidR="00400B0F" w:rsidRPr="00280CC1" w:rsidRDefault="00400B0F" w:rsidP="00400B0F">
      <w:pPr>
        <w:spacing w:before="20" w:after="20" w:line="180" w:lineRule="atLeast"/>
        <w:jc w:val="both"/>
        <w:rPr>
          <w:rFonts w:eastAsia="Times New Roman"/>
          <w:b/>
          <w:sz w:val="16"/>
          <w:szCs w:val="14"/>
        </w:rPr>
      </w:pPr>
      <w:r w:rsidRPr="00280CC1">
        <w:rPr>
          <w:rFonts w:eastAsia="Times New Roman"/>
          <w:b/>
          <w:color w:val="72AF2F"/>
          <w:sz w:val="16"/>
          <w:szCs w:val="14"/>
        </w:rPr>
        <w:sym w:font="Webdings" w:char="F067"/>
      </w:r>
      <w:r w:rsidRPr="00280CC1">
        <w:rPr>
          <w:rFonts w:eastAsia="Times New Roman"/>
          <w:b/>
          <w:sz w:val="16"/>
          <w:szCs w:val="14"/>
        </w:rPr>
        <w:t> </w:t>
      </w:r>
      <w:r w:rsidRPr="00280CC1">
        <w:rPr>
          <w:rFonts w:eastAsia="Times New Roman"/>
          <w:b/>
          <w:sz w:val="16"/>
          <w:szCs w:val="14"/>
        </w:rPr>
        <w:t xml:space="preserve"> Achieved</w:t>
      </w:r>
      <w:r w:rsidR="00B51FA7" w:rsidRPr="00280CC1">
        <w:rPr>
          <w:rFonts w:eastAsia="Times New Roman"/>
          <w:b/>
          <w:sz w:val="16"/>
          <w:szCs w:val="14"/>
        </w:rPr>
        <w:t xml:space="preserve">. </w:t>
      </w:r>
      <w:r w:rsidRPr="00280CC1">
        <w:rPr>
          <w:rFonts w:eastAsia="Times New Roman"/>
          <w:b/>
          <w:sz w:val="16"/>
          <w:szCs w:val="14"/>
        </w:rPr>
        <w:t xml:space="preserve">Significant progress has been made and the performance benchmark was achieved </w:t>
      </w:r>
    </w:p>
    <w:p w14:paraId="7CE3FE47" w14:textId="77777777" w:rsidR="00400B0F" w:rsidRPr="00280CC1" w:rsidRDefault="00400B0F" w:rsidP="00400B0F">
      <w:pPr>
        <w:spacing w:before="20" w:after="20" w:line="180" w:lineRule="atLeast"/>
        <w:jc w:val="both"/>
        <w:rPr>
          <w:rFonts w:eastAsia="Times New Roman"/>
          <w:b/>
          <w:sz w:val="16"/>
          <w:szCs w:val="14"/>
        </w:rPr>
      </w:pPr>
      <w:r w:rsidRPr="00280CC1">
        <w:rPr>
          <w:rFonts w:eastAsia="Times New Roman"/>
          <w:b/>
          <w:color w:val="E36C0A"/>
          <w:sz w:val="16"/>
          <w:szCs w:val="14"/>
        </w:rPr>
        <w:sym w:font="Webdings" w:char="F067"/>
      </w:r>
      <w:r w:rsidRPr="00280CC1">
        <w:rPr>
          <w:rFonts w:eastAsia="Times New Roman"/>
          <w:b/>
          <w:sz w:val="16"/>
          <w:szCs w:val="14"/>
        </w:rPr>
        <w:t> </w:t>
      </w:r>
      <w:r w:rsidRPr="00280CC1">
        <w:rPr>
          <w:rFonts w:eastAsia="Times New Roman"/>
          <w:b/>
          <w:sz w:val="16"/>
          <w:szCs w:val="14"/>
        </w:rPr>
        <w:t xml:space="preserve"> Partly achieved</w:t>
      </w:r>
      <w:r w:rsidR="00B51FA7" w:rsidRPr="00280CC1">
        <w:rPr>
          <w:rFonts w:eastAsia="Times New Roman"/>
          <w:b/>
          <w:sz w:val="16"/>
          <w:szCs w:val="14"/>
        </w:rPr>
        <w:t xml:space="preserve">. </w:t>
      </w:r>
      <w:r w:rsidRPr="00280CC1">
        <w:rPr>
          <w:rFonts w:eastAsia="Times New Roman"/>
          <w:b/>
          <w:sz w:val="16"/>
          <w:szCs w:val="14"/>
        </w:rPr>
        <w:t xml:space="preserve">Some progress has been made towards achieving the performance benchmark, but progress was less than anticipated. </w:t>
      </w:r>
    </w:p>
    <w:p w14:paraId="519ED444" w14:textId="77777777" w:rsidR="00400B0F" w:rsidRPr="00280CC1" w:rsidRDefault="00400B0F" w:rsidP="00400B0F">
      <w:pPr>
        <w:spacing w:before="20" w:after="20" w:line="180" w:lineRule="atLeast"/>
        <w:jc w:val="both"/>
        <w:rPr>
          <w:rFonts w:eastAsia="Times New Roman"/>
          <w:b/>
          <w:sz w:val="16"/>
          <w:szCs w:val="14"/>
        </w:rPr>
      </w:pPr>
      <w:r w:rsidRPr="00280CC1">
        <w:rPr>
          <w:rFonts w:eastAsia="Times New Roman"/>
          <w:b/>
          <w:color w:val="FF0000"/>
          <w:sz w:val="16"/>
          <w:szCs w:val="14"/>
        </w:rPr>
        <w:sym w:font="Webdings" w:char="F067"/>
      </w:r>
      <w:r w:rsidRPr="00280CC1">
        <w:rPr>
          <w:rFonts w:eastAsia="Times New Roman"/>
          <w:b/>
          <w:sz w:val="16"/>
          <w:szCs w:val="14"/>
        </w:rPr>
        <w:t> </w:t>
      </w:r>
      <w:r w:rsidRPr="00280CC1">
        <w:rPr>
          <w:rFonts w:eastAsia="Times New Roman"/>
          <w:b/>
          <w:sz w:val="16"/>
          <w:szCs w:val="14"/>
        </w:rPr>
        <w:t xml:space="preserve"> Not achieved. Progress towards the performance benchmark has been significantly below expectations</w:t>
      </w:r>
    </w:p>
    <w:p w14:paraId="554212E3" w14:textId="77777777" w:rsidR="007B4865" w:rsidRPr="00280CC1" w:rsidRDefault="007B4865" w:rsidP="007B4865">
      <w:pPr>
        <w:rPr>
          <w:rFonts w:ascii="Franklin Gothic Book" w:eastAsia="Times New Roman" w:hAnsi="Franklin Gothic Book"/>
          <w:b/>
          <w:sz w:val="24"/>
          <w:szCs w:val="24"/>
        </w:rPr>
      </w:pPr>
    </w:p>
    <w:p w14:paraId="62DB74AA" w14:textId="77777777" w:rsidR="00CE5DF0" w:rsidRPr="00280CC1" w:rsidRDefault="00CE5DF0" w:rsidP="007B4865">
      <w:pPr>
        <w:rPr>
          <w:rFonts w:ascii="Franklin Gothic Book" w:eastAsia="Times New Roman" w:hAnsi="Franklin Gothic Book"/>
          <w:b/>
          <w:sz w:val="24"/>
          <w:szCs w:val="24"/>
        </w:rPr>
      </w:pPr>
      <w:r w:rsidRPr="00280CC1">
        <w:rPr>
          <w:rFonts w:ascii="Franklin Gothic Book" w:eastAsia="Times New Roman" w:hAnsi="Franklin Gothic Book"/>
          <w:b/>
          <w:sz w:val="24"/>
          <w:szCs w:val="24"/>
        </w:rPr>
        <w:lastRenderedPageBreak/>
        <w:t xml:space="preserve">Performance Benchmarks </w:t>
      </w:r>
      <w:r w:rsidR="00320251" w:rsidRPr="00280CC1">
        <w:rPr>
          <w:rFonts w:ascii="Franklin Gothic Book" w:eastAsia="Times New Roman" w:hAnsi="Franklin Gothic Book"/>
          <w:b/>
          <w:sz w:val="24"/>
          <w:szCs w:val="24"/>
        </w:rPr>
        <w:t>for remainder of A</w:t>
      </w:r>
      <w:r w:rsidR="007B4865" w:rsidRPr="00280CC1">
        <w:rPr>
          <w:rFonts w:ascii="Franklin Gothic Book" w:eastAsia="Times New Roman" w:hAnsi="Franklin Gothic Book"/>
          <w:b/>
          <w:sz w:val="24"/>
          <w:szCs w:val="24"/>
        </w:rPr>
        <w:t xml:space="preserve">id </w:t>
      </w:r>
      <w:r w:rsidR="00320251" w:rsidRPr="00280CC1">
        <w:rPr>
          <w:rFonts w:ascii="Franklin Gothic Book" w:eastAsia="Times New Roman" w:hAnsi="Franklin Gothic Book"/>
          <w:b/>
          <w:sz w:val="24"/>
          <w:szCs w:val="24"/>
        </w:rPr>
        <w:t>I</w:t>
      </w:r>
      <w:r w:rsidR="007B4865" w:rsidRPr="00280CC1">
        <w:rPr>
          <w:rFonts w:ascii="Franklin Gothic Book" w:eastAsia="Times New Roman" w:hAnsi="Franklin Gothic Book"/>
          <w:b/>
          <w:sz w:val="24"/>
          <w:szCs w:val="24"/>
        </w:rPr>
        <w:t xml:space="preserve">nvestment </w:t>
      </w:r>
      <w:r w:rsidR="00320251" w:rsidRPr="00280CC1">
        <w:rPr>
          <w:rFonts w:ascii="Franklin Gothic Book" w:eastAsia="Times New Roman" w:hAnsi="Franklin Gothic Book"/>
          <w:b/>
          <w:sz w:val="24"/>
          <w:szCs w:val="24"/>
        </w:rPr>
        <w:t>P</w:t>
      </w:r>
      <w:r w:rsidR="007B4865" w:rsidRPr="00280CC1">
        <w:rPr>
          <w:rFonts w:ascii="Franklin Gothic Book" w:eastAsia="Times New Roman" w:hAnsi="Franklin Gothic Book"/>
          <w:b/>
          <w:sz w:val="24"/>
          <w:szCs w:val="24"/>
        </w:rPr>
        <w:t xml:space="preserve">lan </w:t>
      </w:r>
      <w:r w:rsidR="00320251" w:rsidRPr="00280CC1">
        <w:rPr>
          <w:rFonts w:ascii="Franklin Gothic Book" w:eastAsia="Times New Roman" w:hAnsi="Franklin Gothic Book"/>
          <w:b/>
          <w:sz w:val="24"/>
          <w:szCs w:val="24"/>
        </w:rPr>
        <w:t xml:space="preserve"> </w:t>
      </w:r>
      <w:r w:rsidRPr="00280CC1">
        <w:rPr>
          <w:rFonts w:ascii="Franklin Gothic Book" w:eastAsia="Times New Roman" w:hAnsi="Franklin Gothic Book"/>
          <w:b/>
          <w:sz w:val="24"/>
          <w:szCs w:val="24"/>
        </w:rPr>
        <w:t xml:space="preserve"> </w:t>
      </w:r>
    </w:p>
    <w:p w14:paraId="181794AC" w14:textId="77777777" w:rsidR="007B4865" w:rsidRPr="00280CC1" w:rsidRDefault="007B4865" w:rsidP="007B4865">
      <w:pPr>
        <w:rPr>
          <w:rFonts w:ascii="Franklin Gothic Book" w:eastAsia="Times New Roman" w:hAnsi="Franklin Gothic Book"/>
          <w:b/>
          <w:sz w:val="24"/>
          <w:szCs w:val="24"/>
        </w:rPr>
      </w:pPr>
    </w:p>
    <w:tbl>
      <w:tblPr>
        <w:tblStyle w:val="DFATTable"/>
        <w:tblW w:w="4946" w:type="pct"/>
        <w:tblLook w:val="04A0" w:firstRow="1" w:lastRow="0" w:firstColumn="1" w:lastColumn="0" w:noHBand="0" w:noVBand="1"/>
      </w:tblPr>
      <w:tblGrid>
        <w:gridCol w:w="2246"/>
        <w:gridCol w:w="4231"/>
        <w:gridCol w:w="2243"/>
        <w:gridCol w:w="2852"/>
        <w:gridCol w:w="2448"/>
      </w:tblGrid>
      <w:tr w:rsidR="00320251" w:rsidRPr="00280CC1" w14:paraId="69B35D34" w14:textId="77777777" w:rsidTr="007B4865">
        <w:trPr>
          <w:trHeight w:val="331"/>
        </w:trPr>
        <w:tc>
          <w:tcPr>
            <w:tcW w:w="801" w:type="pct"/>
            <w:tcBorders>
              <w:top w:val="single" w:sz="12" w:space="0" w:color="auto"/>
              <w:left w:val="nil"/>
              <w:bottom w:val="nil"/>
              <w:right w:val="nil"/>
            </w:tcBorders>
          </w:tcPr>
          <w:p w14:paraId="5BAF4813" w14:textId="77777777" w:rsidR="00320251" w:rsidRPr="00280CC1" w:rsidRDefault="00320251" w:rsidP="00320251">
            <w:pPr>
              <w:pStyle w:val="NormalIndented"/>
              <w:rPr>
                <w:rFonts w:asciiTheme="minorHAnsi" w:hAnsiTheme="minorHAnsi"/>
              </w:rPr>
            </w:pPr>
            <w:r w:rsidRPr="00280CC1">
              <w:rPr>
                <w:rFonts w:asciiTheme="minorHAnsi" w:eastAsia="Times New Roman" w:hAnsiTheme="minorHAnsi"/>
                <w:b/>
                <w:iCs/>
                <w:szCs w:val="17"/>
                <w:lang w:eastAsia="en-US"/>
              </w:rPr>
              <w:t>Aid objective</w:t>
            </w:r>
          </w:p>
        </w:tc>
        <w:tc>
          <w:tcPr>
            <w:tcW w:w="1509" w:type="pct"/>
            <w:tcBorders>
              <w:top w:val="single" w:sz="12" w:space="0" w:color="auto"/>
              <w:left w:val="nil"/>
              <w:bottom w:val="nil"/>
              <w:right w:val="nil"/>
            </w:tcBorders>
          </w:tcPr>
          <w:p w14:paraId="6E6CE694" w14:textId="77777777" w:rsidR="00320251" w:rsidRPr="00280CC1" w:rsidRDefault="00320251" w:rsidP="00320251">
            <w:pPr>
              <w:pStyle w:val="NormalIndented"/>
              <w:rPr>
                <w:rFonts w:asciiTheme="minorHAnsi" w:hAnsiTheme="minorHAnsi"/>
              </w:rPr>
            </w:pPr>
            <w:r w:rsidRPr="00280CC1">
              <w:rPr>
                <w:rFonts w:asciiTheme="minorHAnsi" w:eastAsia="Times New Roman" w:hAnsiTheme="minorHAnsi"/>
                <w:b/>
                <w:iCs/>
                <w:szCs w:val="17"/>
                <w:lang w:eastAsia="en-US"/>
              </w:rPr>
              <w:t xml:space="preserve">Performance Benchmark </w:t>
            </w:r>
          </w:p>
        </w:tc>
        <w:tc>
          <w:tcPr>
            <w:tcW w:w="800" w:type="pct"/>
            <w:tcBorders>
              <w:top w:val="single" w:sz="12" w:space="0" w:color="auto"/>
              <w:left w:val="nil"/>
              <w:bottom w:val="nil"/>
              <w:right w:val="nil"/>
            </w:tcBorders>
            <w:hideMark/>
          </w:tcPr>
          <w:p w14:paraId="62D6A843" w14:textId="77777777" w:rsidR="00320251" w:rsidRPr="00280CC1" w:rsidRDefault="00320251" w:rsidP="00320251">
            <w:pPr>
              <w:pStyle w:val="NormalIndented"/>
              <w:ind w:left="0"/>
              <w:jc w:val="center"/>
              <w:rPr>
                <w:rFonts w:asciiTheme="minorHAnsi" w:hAnsiTheme="minorHAnsi"/>
                <w:b/>
              </w:rPr>
            </w:pPr>
            <w:r w:rsidRPr="00280CC1">
              <w:rPr>
                <w:rFonts w:asciiTheme="minorHAnsi" w:hAnsiTheme="minorHAnsi"/>
                <w:b/>
              </w:rPr>
              <w:t>2017-18</w:t>
            </w:r>
          </w:p>
        </w:tc>
        <w:tc>
          <w:tcPr>
            <w:tcW w:w="1017" w:type="pct"/>
            <w:tcBorders>
              <w:top w:val="single" w:sz="12" w:space="0" w:color="auto"/>
              <w:left w:val="nil"/>
              <w:bottom w:val="nil"/>
              <w:right w:val="nil"/>
            </w:tcBorders>
            <w:hideMark/>
          </w:tcPr>
          <w:p w14:paraId="6001ECC7" w14:textId="77777777" w:rsidR="00320251" w:rsidRDefault="00320251" w:rsidP="00320251">
            <w:pPr>
              <w:pStyle w:val="NormalIndented"/>
              <w:ind w:left="33"/>
              <w:jc w:val="center"/>
              <w:rPr>
                <w:rFonts w:asciiTheme="minorHAnsi" w:hAnsiTheme="minorHAnsi"/>
                <w:b/>
              </w:rPr>
            </w:pPr>
            <w:r w:rsidRPr="00280CC1">
              <w:rPr>
                <w:rFonts w:asciiTheme="minorHAnsi" w:hAnsiTheme="minorHAnsi"/>
                <w:b/>
              </w:rPr>
              <w:t>2018-19</w:t>
            </w:r>
          </w:p>
          <w:p w14:paraId="44E57159" w14:textId="77777777" w:rsidR="00C51A53" w:rsidRPr="00280CC1" w:rsidRDefault="00C51A53" w:rsidP="00320251">
            <w:pPr>
              <w:pStyle w:val="NormalIndented"/>
              <w:ind w:left="33"/>
              <w:jc w:val="center"/>
              <w:rPr>
                <w:rFonts w:asciiTheme="minorHAnsi" w:hAnsiTheme="minorHAnsi"/>
                <w:b/>
              </w:rPr>
            </w:pPr>
            <w:r>
              <w:rPr>
                <w:rFonts w:asciiTheme="minorHAnsi" w:hAnsiTheme="minorHAnsi"/>
                <w:b/>
              </w:rPr>
              <w:t>New AIP</w:t>
            </w:r>
          </w:p>
        </w:tc>
        <w:tc>
          <w:tcPr>
            <w:tcW w:w="873" w:type="pct"/>
            <w:tcBorders>
              <w:top w:val="single" w:sz="12" w:space="0" w:color="auto"/>
              <w:left w:val="nil"/>
              <w:bottom w:val="nil"/>
              <w:right w:val="nil"/>
            </w:tcBorders>
            <w:hideMark/>
          </w:tcPr>
          <w:p w14:paraId="313A421E" w14:textId="77777777" w:rsidR="00320251" w:rsidRDefault="00320251" w:rsidP="00320251">
            <w:pPr>
              <w:pStyle w:val="NormalIndented"/>
              <w:ind w:left="34"/>
              <w:jc w:val="center"/>
              <w:rPr>
                <w:rFonts w:asciiTheme="minorHAnsi" w:hAnsiTheme="minorHAnsi"/>
                <w:b/>
              </w:rPr>
            </w:pPr>
            <w:r w:rsidRPr="00280CC1">
              <w:rPr>
                <w:rFonts w:asciiTheme="minorHAnsi" w:hAnsiTheme="minorHAnsi"/>
                <w:b/>
              </w:rPr>
              <w:t>2019-20</w:t>
            </w:r>
          </w:p>
          <w:p w14:paraId="23074A1F" w14:textId="77777777" w:rsidR="00C51A53" w:rsidRPr="00280CC1" w:rsidRDefault="00C51A53" w:rsidP="00320251">
            <w:pPr>
              <w:pStyle w:val="NormalIndented"/>
              <w:ind w:left="34"/>
              <w:jc w:val="center"/>
              <w:rPr>
                <w:rFonts w:asciiTheme="minorHAnsi" w:hAnsiTheme="minorHAnsi"/>
                <w:b/>
              </w:rPr>
            </w:pPr>
            <w:r>
              <w:rPr>
                <w:rFonts w:asciiTheme="minorHAnsi" w:hAnsiTheme="minorHAnsi"/>
                <w:b/>
              </w:rPr>
              <w:t>New AIP</w:t>
            </w:r>
          </w:p>
        </w:tc>
      </w:tr>
      <w:tr w:rsidR="00320251" w:rsidRPr="00280CC1" w14:paraId="1F782691" w14:textId="77777777" w:rsidTr="007B4865">
        <w:trPr>
          <w:gridAfter w:val="1"/>
          <w:wAfter w:w="873" w:type="pct"/>
          <w:trHeight w:val="425"/>
        </w:trPr>
        <w:tc>
          <w:tcPr>
            <w:tcW w:w="801" w:type="pct"/>
            <w:tcBorders>
              <w:top w:val="nil"/>
              <w:left w:val="nil"/>
              <w:bottom w:val="nil"/>
              <w:right w:val="nil"/>
            </w:tcBorders>
            <w:hideMark/>
          </w:tcPr>
          <w:p w14:paraId="210B7AD8" w14:textId="77777777" w:rsidR="00320251" w:rsidRPr="00280CC1" w:rsidRDefault="00320251" w:rsidP="00320251">
            <w:pPr>
              <w:pStyle w:val="NormalIndented"/>
              <w:rPr>
                <w:rFonts w:asciiTheme="minorHAnsi" w:hAnsiTheme="minorHAnsi"/>
                <w:i/>
                <w:color w:val="808080" w:themeColor="background1" w:themeShade="80"/>
                <w:sz w:val="18"/>
              </w:rPr>
            </w:pPr>
          </w:p>
        </w:tc>
        <w:tc>
          <w:tcPr>
            <w:tcW w:w="3326" w:type="pct"/>
            <w:gridSpan w:val="3"/>
            <w:tcBorders>
              <w:top w:val="nil"/>
              <w:left w:val="nil"/>
              <w:bottom w:val="nil"/>
            </w:tcBorders>
            <w:hideMark/>
          </w:tcPr>
          <w:p w14:paraId="507479F9" w14:textId="77777777" w:rsidR="00320251" w:rsidRPr="00280CC1" w:rsidRDefault="00320251" w:rsidP="00320251">
            <w:pPr>
              <w:pStyle w:val="NormalIndented"/>
              <w:rPr>
                <w:i/>
                <w:color w:val="808080" w:themeColor="background1" w:themeShade="80"/>
              </w:rPr>
            </w:pPr>
          </w:p>
        </w:tc>
      </w:tr>
      <w:tr w:rsidR="00601822" w:rsidRPr="00280CC1" w14:paraId="4D54A5A6" w14:textId="77777777" w:rsidTr="00C51A53">
        <w:trPr>
          <w:trHeight w:val="984"/>
        </w:trPr>
        <w:tc>
          <w:tcPr>
            <w:tcW w:w="801" w:type="pct"/>
            <w:tcBorders>
              <w:top w:val="single" w:sz="4" w:space="0" w:color="auto"/>
              <w:left w:val="nil"/>
              <w:bottom w:val="nil"/>
              <w:right w:val="nil"/>
            </w:tcBorders>
          </w:tcPr>
          <w:p w14:paraId="5F6C4BBC" w14:textId="77777777" w:rsidR="00601822" w:rsidRPr="00280CC1" w:rsidRDefault="00601822" w:rsidP="00601822">
            <w:pPr>
              <w:pStyle w:val="NormalIndented"/>
              <w:rPr>
                <w:rFonts w:asciiTheme="minorHAnsi" w:hAnsiTheme="minorHAnsi"/>
                <w:b/>
                <w:i/>
                <w:color w:val="808080" w:themeColor="background1" w:themeShade="80"/>
                <w:sz w:val="18"/>
              </w:rPr>
            </w:pPr>
            <w:r w:rsidRPr="00280CC1">
              <w:rPr>
                <w:rFonts w:asciiTheme="minorHAnsi" w:eastAsia="Times New Roman" w:hAnsiTheme="minorHAnsi"/>
                <w:b/>
                <w:iCs/>
                <w:szCs w:val="17"/>
                <w:lang w:eastAsia="en-US"/>
              </w:rPr>
              <w:t>Improving access to essential infrastructure</w:t>
            </w:r>
          </w:p>
        </w:tc>
        <w:tc>
          <w:tcPr>
            <w:tcW w:w="1509" w:type="pct"/>
            <w:tcBorders>
              <w:top w:val="single" w:sz="4" w:space="0" w:color="auto"/>
              <w:left w:val="nil"/>
              <w:bottom w:val="nil"/>
              <w:right w:val="nil"/>
            </w:tcBorders>
          </w:tcPr>
          <w:p w14:paraId="58A25AF0" w14:textId="77777777" w:rsidR="00601822" w:rsidRPr="0060518C" w:rsidRDefault="00BB3084" w:rsidP="003D6685">
            <w:pPr>
              <w:keepLines/>
              <w:spacing w:before="40" w:after="40" w:line="200" w:lineRule="atLeast"/>
              <w:rPr>
                <w:rFonts w:asciiTheme="minorHAnsi" w:eastAsia="Times New Roman" w:hAnsiTheme="minorHAnsi"/>
                <w:iCs/>
                <w:szCs w:val="17"/>
                <w:lang w:eastAsia="en-US"/>
              </w:rPr>
            </w:pPr>
            <w:r w:rsidRPr="0060518C">
              <w:rPr>
                <w:rFonts w:asciiTheme="minorHAnsi" w:eastAsia="Times New Roman" w:hAnsiTheme="minorHAnsi"/>
                <w:iCs/>
                <w:szCs w:val="17"/>
                <w:lang w:eastAsia="en-US"/>
              </w:rPr>
              <w:t xml:space="preserve">Number of people (women and men) that will directly benefit from a new committed household or </w:t>
            </w:r>
            <w:r w:rsidRPr="003D6685">
              <w:rPr>
                <w:rFonts w:asciiTheme="minorHAnsi" w:eastAsia="Times New Roman" w:hAnsiTheme="minorHAnsi"/>
                <w:iCs/>
                <w:szCs w:val="17"/>
                <w:lang w:eastAsia="en-US"/>
              </w:rPr>
              <w:t>business</w:t>
            </w:r>
            <w:r w:rsidRPr="0060518C">
              <w:rPr>
                <w:rFonts w:asciiTheme="minorHAnsi" w:eastAsia="Times New Roman" w:hAnsiTheme="minorHAnsi"/>
                <w:iCs/>
                <w:szCs w:val="17"/>
                <w:lang w:eastAsia="en-US"/>
              </w:rPr>
              <w:t>  connection to electricity and/or piped, treated water</w:t>
            </w:r>
          </w:p>
        </w:tc>
        <w:tc>
          <w:tcPr>
            <w:tcW w:w="800" w:type="pct"/>
            <w:tcBorders>
              <w:top w:val="single" w:sz="4" w:space="0" w:color="auto"/>
              <w:left w:val="nil"/>
              <w:bottom w:val="nil"/>
              <w:right w:val="nil"/>
            </w:tcBorders>
            <w:hideMark/>
          </w:tcPr>
          <w:p w14:paraId="67879BC0" w14:textId="77777777" w:rsidR="00601822" w:rsidRPr="0060518C" w:rsidRDefault="00261D61" w:rsidP="000A79B7">
            <w:pPr>
              <w:keepLines/>
              <w:spacing w:before="40" w:after="40" w:line="200" w:lineRule="atLeast"/>
              <w:rPr>
                <w:rFonts w:asciiTheme="minorHAnsi" w:eastAsia="Times New Roman" w:hAnsiTheme="minorHAnsi"/>
                <w:iCs/>
                <w:szCs w:val="17"/>
                <w:lang w:eastAsia="en-US"/>
              </w:rPr>
            </w:pPr>
            <w:r w:rsidRPr="0060518C">
              <w:rPr>
                <w:rFonts w:asciiTheme="minorHAnsi" w:eastAsia="Times New Roman" w:hAnsiTheme="minorHAnsi"/>
                <w:iCs/>
                <w:szCs w:val="17"/>
                <w:lang w:eastAsia="en-US"/>
              </w:rPr>
              <w:t>486,000 people with committed connections</w:t>
            </w:r>
          </w:p>
        </w:tc>
        <w:tc>
          <w:tcPr>
            <w:tcW w:w="1017" w:type="pct"/>
            <w:tcBorders>
              <w:top w:val="single" w:sz="4" w:space="0" w:color="auto"/>
              <w:left w:val="nil"/>
              <w:bottom w:val="nil"/>
              <w:right w:val="nil"/>
            </w:tcBorders>
          </w:tcPr>
          <w:p w14:paraId="586F0A89" w14:textId="77777777" w:rsidR="00601822" w:rsidRPr="00280CC1" w:rsidRDefault="00601822" w:rsidP="00601822">
            <w:pPr>
              <w:pStyle w:val="NormalIndented"/>
              <w:jc w:val="center"/>
              <w:rPr>
                <w:rFonts w:asciiTheme="minorHAnsi" w:hAnsiTheme="minorHAnsi"/>
                <w:i/>
                <w:color w:val="808080" w:themeColor="background1" w:themeShade="80"/>
                <w:szCs w:val="20"/>
                <w:lang w:eastAsia="en-US"/>
              </w:rPr>
            </w:pPr>
          </w:p>
        </w:tc>
        <w:tc>
          <w:tcPr>
            <w:tcW w:w="873" w:type="pct"/>
            <w:tcBorders>
              <w:top w:val="single" w:sz="4" w:space="0" w:color="auto"/>
              <w:left w:val="nil"/>
              <w:bottom w:val="nil"/>
              <w:right w:val="nil"/>
            </w:tcBorders>
          </w:tcPr>
          <w:p w14:paraId="36F4184A" w14:textId="77777777" w:rsidR="00601822" w:rsidRPr="00280CC1" w:rsidRDefault="00601822" w:rsidP="00601822">
            <w:pPr>
              <w:pStyle w:val="NormalIndented"/>
              <w:ind w:left="0"/>
              <w:jc w:val="center"/>
              <w:rPr>
                <w:rFonts w:asciiTheme="minorHAnsi" w:hAnsiTheme="minorHAnsi"/>
                <w:i/>
                <w:color w:val="808080" w:themeColor="background1" w:themeShade="80"/>
                <w:szCs w:val="20"/>
                <w:lang w:eastAsia="en-US"/>
              </w:rPr>
            </w:pPr>
          </w:p>
        </w:tc>
      </w:tr>
      <w:tr w:rsidR="00601822" w:rsidRPr="00280CC1" w14:paraId="5FF80BFA" w14:textId="77777777" w:rsidTr="00601822">
        <w:trPr>
          <w:trHeight w:val="984"/>
        </w:trPr>
        <w:tc>
          <w:tcPr>
            <w:tcW w:w="801" w:type="pct"/>
            <w:tcBorders>
              <w:top w:val="single" w:sz="4" w:space="0" w:color="auto"/>
              <w:left w:val="nil"/>
              <w:bottom w:val="nil"/>
              <w:right w:val="nil"/>
            </w:tcBorders>
          </w:tcPr>
          <w:p w14:paraId="4363B82E" w14:textId="77777777" w:rsidR="00601822" w:rsidRPr="00280CC1" w:rsidRDefault="00601822" w:rsidP="00601822">
            <w:pPr>
              <w:pStyle w:val="NormalIndented"/>
              <w:rPr>
                <w:rFonts w:eastAsia="Times New Roman"/>
                <w:b/>
                <w:iCs/>
                <w:szCs w:val="17"/>
              </w:rPr>
            </w:pPr>
            <w:r w:rsidRPr="00280CC1">
              <w:rPr>
                <w:rFonts w:asciiTheme="minorHAnsi" w:eastAsia="Times New Roman" w:hAnsiTheme="minorHAnsi"/>
                <w:b/>
                <w:iCs/>
                <w:szCs w:val="17"/>
                <w:lang w:eastAsia="en-US"/>
              </w:rPr>
              <w:t>Increasing agricultural productivity and farmer incomes</w:t>
            </w:r>
          </w:p>
        </w:tc>
        <w:tc>
          <w:tcPr>
            <w:tcW w:w="1509" w:type="pct"/>
            <w:tcBorders>
              <w:top w:val="single" w:sz="4" w:space="0" w:color="auto"/>
              <w:left w:val="nil"/>
              <w:bottom w:val="nil"/>
              <w:right w:val="nil"/>
            </w:tcBorders>
          </w:tcPr>
          <w:p w14:paraId="639DA59C" w14:textId="77777777" w:rsidR="00601822" w:rsidRPr="0060518C" w:rsidRDefault="00601822" w:rsidP="000A79B7">
            <w:pPr>
              <w:keepLines/>
              <w:spacing w:before="40" w:after="40" w:line="200" w:lineRule="atLeast"/>
              <w:rPr>
                <w:rFonts w:asciiTheme="minorHAnsi" w:eastAsia="Times New Roman" w:hAnsiTheme="minorHAnsi"/>
                <w:iCs/>
                <w:szCs w:val="17"/>
                <w:lang w:eastAsia="en-US"/>
              </w:rPr>
            </w:pPr>
            <w:r w:rsidRPr="0060518C">
              <w:rPr>
                <w:rFonts w:asciiTheme="minorHAnsi" w:eastAsia="Times New Roman" w:hAnsiTheme="minorHAnsi"/>
                <w:iCs/>
                <w:szCs w:val="17"/>
                <w:lang w:eastAsia="en-US"/>
              </w:rPr>
              <w:t>Additional producti</w:t>
            </w:r>
            <w:r w:rsidR="00142D71" w:rsidRPr="0060518C">
              <w:rPr>
                <w:rFonts w:asciiTheme="minorHAnsi" w:eastAsia="Times New Roman" w:hAnsiTheme="minorHAnsi"/>
                <w:iCs/>
                <w:szCs w:val="17"/>
                <w:lang w:eastAsia="en-US"/>
              </w:rPr>
              <w:t>on</w:t>
            </w:r>
            <w:r w:rsidRPr="0060518C">
              <w:rPr>
                <w:rFonts w:asciiTheme="minorHAnsi" w:eastAsia="Times New Roman" w:hAnsiTheme="minorHAnsi"/>
                <w:iCs/>
                <w:szCs w:val="17"/>
                <w:lang w:eastAsia="en-US"/>
              </w:rPr>
              <w:t xml:space="preserve"> per year as a result of DFAT-supported irrigation schemes</w:t>
            </w:r>
          </w:p>
        </w:tc>
        <w:tc>
          <w:tcPr>
            <w:tcW w:w="800" w:type="pct"/>
            <w:tcBorders>
              <w:top w:val="single" w:sz="4" w:space="0" w:color="auto"/>
              <w:left w:val="nil"/>
              <w:bottom w:val="nil"/>
              <w:right w:val="nil"/>
            </w:tcBorders>
          </w:tcPr>
          <w:p w14:paraId="31E736E7" w14:textId="77777777" w:rsidR="00601822" w:rsidRPr="0060518C" w:rsidRDefault="00601822" w:rsidP="000A79B7">
            <w:pPr>
              <w:keepLines/>
              <w:spacing w:before="40" w:after="40" w:line="200" w:lineRule="atLeast"/>
              <w:rPr>
                <w:rFonts w:asciiTheme="minorHAnsi" w:eastAsia="Times New Roman" w:hAnsiTheme="minorHAnsi"/>
                <w:iCs/>
                <w:szCs w:val="17"/>
                <w:lang w:eastAsia="en-US"/>
              </w:rPr>
            </w:pPr>
            <w:r w:rsidRPr="0060518C">
              <w:rPr>
                <w:rFonts w:asciiTheme="minorHAnsi" w:eastAsia="Times New Roman" w:hAnsiTheme="minorHAnsi"/>
                <w:iCs/>
                <w:szCs w:val="17"/>
                <w:lang w:eastAsia="en-US"/>
              </w:rPr>
              <w:t>29,000 ton of paddy</w:t>
            </w:r>
          </w:p>
        </w:tc>
        <w:tc>
          <w:tcPr>
            <w:tcW w:w="1017" w:type="pct"/>
            <w:tcBorders>
              <w:top w:val="single" w:sz="4" w:space="0" w:color="auto"/>
              <w:left w:val="nil"/>
              <w:bottom w:val="nil"/>
              <w:right w:val="nil"/>
            </w:tcBorders>
          </w:tcPr>
          <w:p w14:paraId="0E31FE9C" w14:textId="77777777" w:rsidR="00601822" w:rsidRPr="00280CC1" w:rsidRDefault="00601822" w:rsidP="00601822">
            <w:pPr>
              <w:pStyle w:val="NormalIndented"/>
              <w:jc w:val="center"/>
              <w:rPr>
                <w:rFonts w:asciiTheme="minorHAnsi" w:hAnsiTheme="minorHAnsi"/>
                <w:i/>
                <w:color w:val="808080" w:themeColor="background1" w:themeShade="80"/>
                <w:szCs w:val="20"/>
                <w:lang w:eastAsia="en-US"/>
              </w:rPr>
            </w:pPr>
          </w:p>
        </w:tc>
        <w:tc>
          <w:tcPr>
            <w:tcW w:w="873" w:type="pct"/>
            <w:tcBorders>
              <w:top w:val="single" w:sz="4" w:space="0" w:color="auto"/>
              <w:left w:val="nil"/>
              <w:bottom w:val="nil"/>
              <w:right w:val="nil"/>
            </w:tcBorders>
          </w:tcPr>
          <w:p w14:paraId="2F014D1D" w14:textId="77777777" w:rsidR="00601822" w:rsidRPr="00280CC1" w:rsidRDefault="00601822" w:rsidP="00601822">
            <w:pPr>
              <w:pStyle w:val="NormalIndented"/>
              <w:ind w:left="0"/>
              <w:jc w:val="center"/>
              <w:rPr>
                <w:rFonts w:asciiTheme="minorHAnsi" w:hAnsiTheme="minorHAnsi"/>
                <w:i/>
                <w:color w:val="808080" w:themeColor="background1" w:themeShade="80"/>
                <w:szCs w:val="20"/>
                <w:lang w:eastAsia="en-US"/>
              </w:rPr>
            </w:pPr>
          </w:p>
        </w:tc>
      </w:tr>
      <w:tr w:rsidR="00601822" w:rsidRPr="00280CC1" w14:paraId="4436C3E7" w14:textId="77777777" w:rsidTr="005F02B8">
        <w:trPr>
          <w:trHeight w:val="763"/>
        </w:trPr>
        <w:tc>
          <w:tcPr>
            <w:tcW w:w="801" w:type="pct"/>
            <w:tcBorders>
              <w:top w:val="nil"/>
              <w:left w:val="nil"/>
              <w:bottom w:val="single" w:sz="4" w:space="0" w:color="auto"/>
              <w:right w:val="nil"/>
            </w:tcBorders>
          </w:tcPr>
          <w:p w14:paraId="49F069BC" w14:textId="77777777" w:rsidR="00601822" w:rsidRPr="00280CC1" w:rsidRDefault="00601822" w:rsidP="00601822">
            <w:pPr>
              <w:pStyle w:val="NormalIndented"/>
              <w:rPr>
                <w:rFonts w:eastAsia="Times New Roman"/>
                <w:b/>
                <w:iCs/>
                <w:szCs w:val="17"/>
              </w:rPr>
            </w:pPr>
          </w:p>
        </w:tc>
        <w:tc>
          <w:tcPr>
            <w:tcW w:w="1509" w:type="pct"/>
            <w:tcBorders>
              <w:top w:val="nil"/>
              <w:left w:val="nil"/>
              <w:bottom w:val="single" w:sz="4" w:space="0" w:color="auto"/>
              <w:right w:val="nil"/>
            </w:tcBorders>
          </w:tcPr>
          <w:p w14:paraId="27152B10" w14:textId="77777777" w:rsidR="00601822" w:rsidRPr="0060518C" w:rsidRDefault="00601822" w:rsidP="000A79B7">
            <w:pPr>
              <w:keepLines/>
              <w:spacing w:before="40" w:after="40" w:line="200" w:lineRule="atLeast"/>
              <w:rPr>
                <w:rFonts w:asciiTheme="minorHAnsi" w:eastAsia="Times New Roman" w:hAnsiTheme="minorHAnsi"/>
                <w:iCs/>
                <w:szCs w:val="17"/>
                <w:lang w:eastAsia="en-US"/>
              </w:rPr>
            </w:pPr>
            <w:r w:rsidRPr="0060518C">
              <w:rPr>
                <w:rFonts w:asciiTheme="minorHAnsi" w:eastAsia="Times New Roman" w:hAnsiTheme="minorHAnsi"/>
                <w:iCs/>
                <w:szCs w:val="17"/>
                <w:lang w:eastAsia="en-US"/>
              </w:rPr>
              <w:t xml:space="preserve">Land contaminated by landmines and other </w:t>
            </w:r>
            <w:r w:rsidR="00CC6012" w:rsidRPr="0060518C">
              <w:rPr>
                <w:rFonts w:asciiTheme="minorHAnsi" w:eastAsia="Times New Roman" w:hAnsiTheme="minorHAnsi"/>
                <w:iCs/>
                <w:szCs w:val="17"/>
                <w:lang w:eastAsia="en-US"/>
              </w:rPr>
              <w:t>ERW</w:t>
            </w:r>
            <w:r w:rsidRPr="0060518C">
              <w:rPr>
                <w:rFonts w:asciiTheme="minorHAnsi" w:eastAsia="Times New Roman" w:hAnsiTheme="minorHAnsi"/>
                <w:iCs/>
                <w:szCs w:val="17"/>
                <w:lang w:eastAsia="en-US"/>
              </w:rPr>
              <w:t xml:space="preserve"> released for productive use </w:t>
            </w:r>
          </w:p>
        </w:tc>
        <w:tc>
          <w:tcPr>
            <w:tcW w:w="800" w:type="pct"/>
            <w:tcBorders>
              <w:top w:val="nil"/>
              <w:left w:val="nil"/>
              <w:bottom w:val="single" w:sz="4" w:space="0" w:color="auto"/>
              <w:right w:val="nil"/>
            </w:tcBorders>
          </w:tcPr>
          <w:p w14:paraId="7221CF83" w14:textId="77777777" w:rsidR="00601822" w:rsidRPr="0060518C" w:rsidRDefault="00601822" w:rsidP="000A79B7">
            <w:pPr>
              <w:keepLines/>
              <w:spacing w:before="40" w:after="40" w:line="200" w:lineRule="atLeast"/>
              <w:rPr>
                <w:rFonts w:asciiTheme="minorHAnsi" w:eastAsia="Times New Roman" w:hAnsiTheme="minorHAnsi"/>
                <w:iCs/>
                <w:szCs w:val="17"/>
                <w:lang w:eastAsia="en-US"/>
              </w:rPr>
            </w:pPr>
            <w:r w:rsidRPr="0060518C">
              <w:rPr>
                <w:rFonts w:asciiTheme="minorHAnsi" w:eastAsia="Times New Roman" w:hAnsiTheme="minorHAnsi"/>
                <w:iCs/>
                <w:szCs w:val="17"/>
                <w:lang w:eastAsia="en-US"/>
              </w:rPr>
              <w:t>6.75km</w:t>
            </w:r>
            <w:r w:rsidRPr="0060518C">
              <w:rPr>
                <w:rFonts w:asciiTheme="minorHAnsi" w:eastAsia="Times New Roman" w:hAnsiTheme="minorHAnsi"/>
                <w:iCs/>
                <w:szCs w:val="17"/>
                <w:vertAlign w:val="superscript"/>
                <w:lang w:eastAsia="en-US"/>
              </w:rPr>
              <w:t>2</w:t>
            </w:r>
          </w:p>
        </w:tc>
        <w:tc>
          <w:tcPr>
            <w:tcW w:w="1017" w:type="pct"/>
            <w:tcBorders>
              <w:top w:val="nil"/>
              <w:left w:val="nil"/>
              <w:bottom w:val="single" w:sz="4" w:space="0" w:color="auto"/>
              <w:right w:val="nil"/>
            </w:tcBorders>
          </w:tcPr>
          <w:p w14:paraId="1622D877" w14:textId="77777777" w:rsidR="00601822" w:rsidRPr="00280CC1" w:rsidRDefault="00601822" w:rsidP="00601822">
            <w:pPr>
              <w:pStyle w:val="NormalIndented"/>
              <w:jc w:val="center"/>
              <w:rPr>
                <w:rFonts w:asciiTheme="minorHAnsi" w:hAnsiTheme="minorHAnsi"/>
                <w:i/>
                <w:color w:val="808080" w:themeColor="background1" w:themeShade="80"/>
                <w:szCs w:val="20"/>
                <w:lang w:eastAsia="en-US"/>
              </w:rPr>
            </w:pPr>
          </w:p>
        </w:tc>
        <w:tc>
          <w:tcPr>
            <w:tcW w:w="873" w:type="pct"/>
            <w:tcBorders>
              <w:top w:val="nil"/>
              <w:left w:val="nil"/>
              <w:bottom w:val="single" w:sz="4" w:space="0" w:color="auto"/>
              <w:right w:val="nil"/>
            </w:tcBorders>
          </w:tcPr>
          <w:p w14:paraId="51D71B15" w14:textId="77777777" w:rsidR="00601822" w:rsidRPr="00280CC1" w:rsidRDefault="00601822" w:rsidP="00601822">
            <w:pPr>
              <w:pStyle w:val="NormalIndented"/>
              <w:ind w:left="0"/>
              <w:jc w:val="center"/>
              <w:rPr>
                <w:rFonts w:asciiTheme="minorHAnsi" w:hAnsiTheme="minorHAnsi"/>
                <w:i/>
                <w:color w:val="808080" w:themeColor="background1" w:themeShade="80"/>
                <w:szCs w:val="20"/>
                <w:lang w:eastAsia="en-US"/>
              </w:rPr>
            </w:pPr>
          </w:p>
        </w:tc>
      </w:tr>
      <w:tr w:rsidR="00601822" w:rsidRPr="00280CC1" w14:paraId="7A4E345A" w14:textId="77777777" w:rsidTr="00601822">
        <w:trPr>
          <w:trHeight w:val="984"/>
        </w:trPr>
        <w:tc>
          <w:tcPr>
            <w:tcW w:w="801" w:type="pct"/>
            <w:tcBorders>
              <w:top w:val="single" w:sz="4" w:space="0" w:color="auto"/>
              <w:left w:val="nil"/>
              <w:bottom w:val="nil"/>
              <w:right w:val="nil"/>
            </w:tcBorders>
          </w:tcPr>
          <w:p w14:paraId="04065581" w14:textId="77777777" w:rsidR="00601822" w:rsidRPr="00280CC1" w:rsidRDefault="00601822" w:rsidP="00601822">
            <w:pPr>
              <w:pStyle w:val="NormalIndented"/>
              <w:rPr>
                <w:rFonts w:eastAsia="Times New Roman"/>
                <w:b/>
                <w:iCs/>
                <w:szCs w:val="17"/>
              </w:rPr>
            </w:pPr>
            <w:r w:rsidRPr="00280CC1">
              <w:rPr>
                <w:rFonts w:asciiTheme="minorHAnsi" w:hAnsiTheme="minorHAnsi"/>
                <w:b/>
                <w:sz w:val="18"/>
              </w:rPr>
              <w:t>Better health and education outcomes</w:t>
            </w:r>
          </w:p>
        </w:tc>
        <w:tc>
          <w:tcPr>
            <w:tcW w:w="1509" w:type="pct"/>
            <w:tcBorders>
              <w:top w:val="single" w:sz="4" w:space="0" w:color="auto"/>
              <w:left w:val="nil"/>
              <w:bottom w:val="nil"/>
              <w:right w:val="nil"/>
            </w:tcBorders>
          </w:tcPr>
          <w:p w14:paraId="020AEE83" w14:textId="77777777" w:rsidR="00601822" w:rsidRPr="0060518C" w:rsidRDefault="00601822" w:rsidP="000A79B7">
            <w:pPr>
              <w:keepLines/>
              <w:spacing w:before="40" w:after="40" w:line="200" w:lineRule="atLeast"/>
              <w:rPr>
                <w:rFonts w:asciiTheme="minorHAnsi" w:eastAsia="Times New Roman" w:hAnsiTheme="minorHAnsi"/>
                <w:iCs/>
                <w:szCs w:val="17"/>
                <w:lang w:eastAsia="en-US"/>
              </w:rPr>
            </w:pPr>
            <w:r w:rsidRPr="0060518C">
              <w:rPr>
                <w:rFonts w:asciiTheme="minorHAnsi" w:eastAsia="Times New Roman" w:hAnsiTheme="minorHAnsi"/>
                <w:iCs/>
                <w:szCs w:val="17"/>
                <w:lang w:eastAsia="en-US"/>
              </w:rPr>
              <w:t>Number of health facilities exceeding 60 per cent score on the quality assessment of health facilities tool</w:t>
            </w:r>
          </w:p>
        </w:tc>
        <w:tc>
          <w:tcPr>
            <w:tcW w:w="800" w:type="pct"/>
            <w:tcBorders>
              <w:top w:val="single" w:sz="4" w:space="0" w:color="auto"/>
              <w:left w:val="nil"/>
              <w:bottom w:val="nil"/>
              <w:right w:val="nil"/>
            </w:tcBorders>
          </w:tcPr>
          <w:p w14:paraId="786CD75A" w14:textId="77777777" w:rsidR="00601822" w:rsidRPr="0060518C" w:rsidRDefault="00601822" w:rsidP="000A79B7">
            <w:pPr>
              <w:keepLines/>
              <w:spacing w:before="40" w:after="40" w:line="200" w:lineRule="atLeast"/>
              <w:rPr>
                <w:rFonts w:asciiTheme="minorHAnsi" w:eastAsia="Times New Roman" w:hAnsiTheme="minorHAnsi"/>
                <w:iCs/>
                <w:szCs w:val="17"/>
                <w:lang w:eastAsia="en-US"/>
              </w:rPr>
            </w:pPr>
            <w:r w:rsidRPr="0060518C">
              <w:rPr>
                <w:rFonts w:asciiTheme="minorHAnsi" w:eastAsia="Times New Roman" w:hAnsiTheme="minorHAnsi"/>
                <w:iCs/>
                <w:szCs w:val="17"/>
                <w:lang w:eastAsia="en-US"/>
              </w:rPr>
              <w:t>Baseline + 20 per cent</w:t>
            </w:r>
          </w:p>
        </w:tc>
        <w:tc>
          <w:tcPr>
            <w:tcW w:w="1017" w:type="pct"/>
            <w:tcBorders>
              <w:top w:val="single" w:sz="4" w:space="0" w:color="auto"/>
              <w:left w:val="nil"/>
              <w:bottom w:val="nil"/>
              <w:right w:val="nil"/>
            </w:tcBorders>
          </w:tcPr>
          <w:p w14:paraId="028E87A5" w14:textId="77777777" w:rsidR="00601822" w:rsidRPr="0060518C" w:rsidRDefault="00601822" w:rsidP="00601822">
            <w:pPr>
              <w:pStyle w:val="NormalIndented"/>
              <w:jc w:val="center"/>
              <w:rPr>
                <w:rFonts w:asciiTheme="minorHAnsi" w:eastAsia="Times New Roman" w:hAnsiTheme="minorHAnsi"/>
                <w:iCs/>
                <w:szCs w:val="17"/>
                <w:lang w:eastAsia="en-US"/>
              </w:rPr>
            </w:pPr>
          </w:p>
        </w:tc>
        <w:tc>
          <w:tcPr>
            <w:tcW w:w="873" w:type="pct"/>
            <w:tcBorders>
              <w:top w:val="single" w:sz="4" w:space="0" w:color="auto"/>
              <w:left w:val="nil"/>
              <w:bottom w:val="nil"/>
              <w:right w:val="nil"/>
            </w:tcBorders>
          </w:tcPr>
          <w:p w14:paraId="30F6775F" w14:textId="77777777" w:rsidR="00601822" w:rsidRPr="00280CC1" w:rsidRDefault="00601822" w:rsidP="00601822">
            <w:pPr>
              <w:pStyle w:val="NormalIndented"/>
              <w:ind w:left="0"/>
              <w:jc w:val="center"/>
              <w:rPr>
                <w:rFonts w:asciiTheme="minorHAnsi" w:hAnsiTheme="minorHAnsi"/>
                <w:i/>
                <w:color w:val="808080" w:themeColor="background1" w:themeShade="80"/>
                <w:szCs w:val="20"/>
                <w:lang w:eastAsia="en-US"/>
              </w:rPr>
            </w:pPr>
          </w:p>
        </w:tc>
      </w:tr>
      <w:tr w:rsidR="00601822" w:rsidRPr="00280CC1" w14:paraId="67693CED" w14:textId="77777777" w:rsidTr="00601822">
        <w:trPr>
          <w:trHeight w:val="984"/>
        </w:trPr>
        <w:tc>
          <w:tcPr>
            <w:tcW w:w="801" w:type="pct"/>
            <w:tcBorders>
              <w:top w:val="nil"/>
              <w:left w:val="nil"/>
              <w:bottom w:val="single" w:sz="4" w:space="0" w:color="auto"/>
              <w:right w:val="nil"/>
            </w:tcBorders>
          </w:tcPr>
          <w:p w14:paraId="253B646C" w14:textId="77777777" w:rsidR="00601822" w:rsidRPr="00280CC1" w:rsidRDefault="00601822" w:rsidP="00601822">
            <w:pPr>
              <w:pStyle w:val="NormalIndented"/>
              <w:rPr>
                <w:rFonts w:eastAsia="Times New Roman"/>
                <w:b/>
                <w:iCs/>
                <w:szCs w:val="17"/>
              </w:rPr>
            </w:pPr>
          </w:p>
        </w:tc>
        <w:tc>
          <w:tcPr>
            <w:tcW w:w="1509" w:type="pct"/>
            <w:tcBorders>
              <w:top w:val="nil"/>
              <w:left w:val="nil"/>
              <w:bottom w:val="single" w:sz="4" w:space="0" w:color="auto"/>
              <w:right w:val="nil"/>
            </w:tcBorders>
          </w:tcPr>
          <w:p w14:paraId="7288434C" w14:textId="77777777" w:rsidR="00601822" w:rsidRPr="0060518C" w:rsidRDefault="00601822" w:rsidP="000A79B7">
            <w:pPr>
              <w:keepLines/>
              <w:spacing w:before="40" w:after="40" w:line="200" w:lineRule="atLeast"/>
              <w:rPr>
                <w:rFonts w:asciiTheme="minorHAnsi" w:eastAsia="Times New Roman" w:hAnsiTheme="minorHAnsi"/>
                <w:iCs/>
                <w:szCs w:val="17"/>
                <w:lang w:eastAsia="en-US"/>
              </w:rPr>
            </w:pPr>
            <w:r w:rsidRPr="0060518C">
              <w:rPr>
                <w:rFonts w:asciiTheme="minorHAnsi" w:eastAsia="Times New Roman" w:hAnsiTheme="minorHAnsi"/>
                <w:iCs/>
                <w:szCs w:val="17"/>
                <w:lang w:eastAsia="en-US"/>
              </w:rPr>
              <w:t xml:space="preserve">Number and </w:t>
            </w:r>
            <w:r w:rsidR="00467C0D" w:rsidRPr="0060518C">
              <w:rPr>
                <w:rFonts w:asciiTheme="minorHAnsi" w:eastAsia="Times New Roman" w:hAnsiTheme="minorHAnsi"/>
                <w:iCs/>
                <w:szCs w:val="17"/>
                <w:lang w:eastAsia="en-US"/>
              </w:rPr>
              <w:t>per cent</w:t>
            </w:r>
            <w:r w:rsidRPr="0060518C">
              <w:rPr>
                <w:rFonts w:asciiTheme="minorHAnsi" w:eastAsia="Times New Roman" w:hAnsiTheme="minorHAnsi"/>
                <w:iCs/>
                <w:szCs w:val="17"/>
                <w:lang w:eastAsia="en-US"/>
              </w:rPr>
              <w:t xml:space="preserve"> of Australia Awards scholarships awarded to women and men</w:t>
            </w:r>
          </w:p>
        </w:tc>
        <w:tc>
          <w:tcPr>
            <w:tcW w:w="800" w:type="pct"/>
            <w:tcBorders>
              <w:top w:val="nil"/>
              <w:left w:val="nil"/>
              <w:bottom w:val="single" w:sz="4" w:space="0" w:color="auto"/>
              <w:right w:val="nil"/>
            </w:tcBorders>
          </w:tcPr>
          <w:p w14:paraId="708AA00F" w14:textId="77777777" w:rsidR="00601822" w:rsidRPr="009E1C8A" w:rsidRDefault="00601822" w:rsidP="000A79B7">
            <w:pPr>
              <w:keepLines/>
              <w:spacing w:before="40" w:after="40" w:line="200" w:lineRule="atLeast"/>
              <w:rPr>
                <w:rFonts w:asciiTheme="minorHAnsi" w:eastAsia="Times New Roman" w:hAnsiTheme="minorHAnsi"/>
                <w:iCs/>
                <w:szCs w:val="17"/>
                <w:lang w:eastAsia="en-US"/>
              </w:rPr>
            </w:pPr>
            <w:r w:rsidRPr="0060518C">
              <w:rPr>
                <w:rFonts w:asciiTheme="minorHAnsi" w:eastAsia="Times New Roman" w:hAnsiTheme="minorHAnsi"/>
                <w:iCs/>
                <w:szCs w:val="17"/>
                <w:lang w:eastAsia="en-US"/>
              </w:rPr>
              <w:t>25/25 (50 per cent women, 50 per cent men)</w:t>
            </w:r>
          </w:p>
        </w:tc>
        <w:tc>
          <w:tcPr>
            <w:tcW w:w="1017" w:type="pct"/>
            <w:tcBorders>
              <w:top w:val="nil"/>
              <w:left w:val="nil"/>
              <w:bottom w:val="single" w:sz="4" w:space="0" w:color="auto"/>
              <w:right w:val="nil"/>
            </w:tcBorders>
          </w:tcPr>
          <w:p w14:paraId="112B5D8F" w14:textId="77777777" w:rsidR="00601822" w:rsidRPr="0060518C" w:rsidRDefault="00601822" w:rsidP="000A79B7">
            <w:pPr>
              <w:keepLines/>
              <w:spacing w:before="40" w:after="40" w:line="200" w:lineRule="atLeast"/>
              <w:rPr>
                <w:rFonts w:asciiTheme="minorHAnsi" w:eastAsia="Times New Roman" w:hAnsiTheme="minorHAnsi"/>
                <w:iCs/>
                <w:szCs w:val="17"/>
                <w:lang w:eastAsia="en-US"/>
              </w:rPr>
            </w:pPr>
          </w:p>
        </w:tc>
        <w:tc>
          <w:tcPr>
            <w:tcW w:w="873" w:type="pct"/>
            <w:tcBorders>
              <w:top w:val="nil"/>
              <w:left w:val="nil"/>
              <w:bottom w:val="single" w:sz="4" w:space="0" w:color="auto"/>
              <w:right w:val="nil"/>
            </w:tcBorders>
          </w:tcPr>
          <w:p w14:paraId="47B0DF09" w14:textId="77777777" w:rsidR="00601822" w:rsidRPr="00280CC1" w:rsidRDefault="00601822" w:rsidP="00601822">
            <w:pPr>
              <w:pStyle w:val="NormalIndented"/>
              <w:ind w:left="0"/>
              <w:jc w:val="center"/>
              <w:rPr>
                <w:rFonts w:asciiTheme="minorHAnsi" w:hAnsiTheme="minorHAnsi"/>
                <w:i/>
                <w:color w:val="808080" w:themeColor="background1" w:themeShade="80"/>
                <w:szCs w:val="20"/>
                <w:lang w:eastAsia="en-US"/>
              </w:rPr>
            </w:pPr>
          </w:p>
        </w:tc>
      </w:tr>
      <w:tr w:rsidR="00601822" w:rsidRPr="00280CC1" w14:paraId="6DFC5F08" w14:textId="77777777" w:rsidTr="00601822">
        <w:trPr>
          <w:trHeight w:val="614"/>
        </w:trPr>
        <w:tc>
          <w:tcPr>
            <w:tcW w:w="801" w:type="pct"/>
            <w:tcBorders>
              <w:top w:val="single" w:sz="4" w:space="0" w:color="auto"/>
              <w:left w:val="nil"/>
              <w:bottom w:val="single" w:sz="12" w:space="0" w:color="auto"/>
              <w:right w:val="nil"/>
            </w:tcBorders>
          </w:tcPr>
          <w:p w14:paraId="4B533613" w14:textId="77777777" w:rsidR="00601822" w:rsidRPr="00280CC1" w:rsidRDefault="00601822" w:rsidP="00601822">
            <w:pPr>
              <w:pStyle w:val="NormalIndented"/>
              <w:rPr>
                <w:rFonts w:asciiTheme="minorHAnsi" w:hAnsiTheme="minorHAnsi"/>
                <w:i/>
                <w:color w:val="808080" w:themeColor="background1" w:themeShade="80"/>
                <w:sz w:val="18"/>
              </w:rPr>
            </w:pPr>
            <w:r w:rsidRPr="00280CC1">
              <w:rPr>
                <w:rFonts w:asciiTheme="minorHAnsi" w:hAnsiTheme="minorHAnsi"/>
                <w:b/>
                <w:sz w:val="18"/>
              </w:rPr>
              <w:t>Reduced gender-based violence</w:t>
            </w:r>
          </w:p>
        </w:tc>
        <w:tc>
          <w:tcPr>
            <w:tcW w:w="1509" w:type="pct"/>
            <w:tcBorders>
              <w:top w:val="single" w:sz="4" w:space="0" w:color="auto"/>
              <w:left w:val="nil"/>
              <w:bottom w:val="single" w:sz="12" w:space="0" w:color="auto"/>
              <w:right w:val="nil"/>
            </w:tcBorders>
          </w:tcPr>
          <w:p w14:paraId="524E58E8" w14:textId="77777777" w:rsidR="00601822" w:rsidRPr="0060518C" w:rsidRDefault="00601822" w:rsidP="0060518C">
            <w:pPr>
              <w:keepLines/>
              <w:spacing w:before="40" w:after="40" w:line="200" w:lineRule="atLeast"/>
              <w:rPr>
                <w:rFonts w:asciiTheme="minorHAnsi" w:eastAsia="Times New Roman" w:hAnsiTheme="minorHAnsi"/>
                <w:iCs/>
                <w:szCs w:val="17"/>
                <w:lang w:eastAsia="en-US"/>
              </w:rPr>
            </w:pPr>
            <w:r w:rsidRPr="0060518C">
              <w:rPr>
                <w:rFonts w:asciiTheme="minorHAnsi" w:eastAsia="Times New Roman" w:hAnsiTheme="minorHAnsi"/>
                <w:iCs/>
                <w:szCs w:val="17"/>
                <w:lang w:eastAsia="en-US"/>
              </w:rPr>
              <w:t>Additional women survivors of violence receiving services such as counselling</w:t>
            </w:r>
          </w:p>
        </w:tc>
        <w:tc>
          <w:tcPr>
            <w:tcW w:w="800" w:type="pct"/>
            <w:tcBorders>
              <w:top w:val="single" w:sz="4" w:space="0" w:color="auto"/>
              <w:left w:val="nil"/>
              <w:bottom w:val="single" w:sz="12" w:space="0" w:color="auto"/>
              <w:right w:val="nil"/>
            </w:tcBorders>
          </w:tcPr>
          <w:p w14:paraId="22B5AC9A" w14:textId="77777777" w:rsidR="00601822" w:rsidRPr="009E1C8A" w:rsidRDefault="00EB48A7" w:rsidP="0060518C">
            <w:pPr>
              <w:keepLines/>
              <w:spacing w:before="40" w:after="40" w:line="200" w:lineRule="atLeast"/>
              <w:rPr>
                <w:rFonts w:asciiTheme="minorHAnsi" w:eastAsia="Times New Roman" w:hAnsiTheme="minorHAnsi"/>
                <w:iCs/>
                <w:szCs w:val="17"/>
                <w:lang w:eastAsia="en-US"/>
              </w:rPr>
            </w:pPr>
            <w:r w:rsidRPr="0060518C">
              <w:rPr>
                <w:rFonts w:asciiTheme="minorHAnsi" w:eastAsia="Times New Roman" w:hAnsiTheme="minorHAnsi"/>
                <w:iCs/>
                <w:szCs w:val="17"/>
                <w:lang w:eastAsia="en-US"/>
              </w:rPr>
              <w:t>N/A (program in transition)</w:t>
            </w:r>
          </w:p>
        </w:tc>
        <w:tc>
          <w:tcPr>
            <w:tcW w:w="1017" w:type="pct"/>
            <w:tcBorders>
              <w:top w:val="single" w:sz="4" w:space="0" w:color="auto"/>
              <w:left w:val="nil"/>
              <w:bottom w:val="single" w:sz="12" w:space="0" w:color="auto"/>
              <w:right w:val="nil"/>
            </w:tcBorders>
          </w:tcPr>
          <w:p w14:paraId="2EAB4E23" w14:textId="77777777" w:rsidR="00601822" w:rsidRPr="0060518C" w:rsidRDefault="00601822" w:rsidP="0060518C">
            <w:pPr>
              <w:keepLines/>
              <w:spacing w:before="40" w:after="40" w:line="200" w:lineRule="atLeast"/>
              <w:rPr>
                <w:rFonts w:asciiTheme="minorHAnsi" w:eastAsia="Times New Roman" w:hAnsiTheme="minorHAnsi"/>
                <w:iCs/>
                <w:szCs w:val="17"/>
                <w:lang w:eastAsia="en-US"/>
              </w:rPr>
            </w:pPr>
          </w:p>
        </w:tc>
        <w:tc>
          <w:tcPr>
            <w:tcW w:w="873" w:type="pct"/>
            <w:tcBorders>
              <w:top w:val="single" w:sz="4" w:space="0" w:color="auto"/>
              <w:left w:val="nil"/>
              <w:bottom w:val="single" w:sz="12" w:space="0" w:color="auto"/>
              <w:right w:val="nil"/>
            </w:tcBorders>
          </w:tcPr>
          <w:p w14:paraId="7CE16569" w14:textId="77777777" w:rsidR="00601822" w:rsidRPr="00280CC1" w:rsidRDefault="00601822" w:rsidP="00601822">
            <w:pPr>
              <w:pStyle w:val="NormalIndented"/>
              <w:ind w:left="0"/>
              <w:jc w:val="center"/>
              <w:rPr>
                <w:rFonts w:asciiTheme="minorHAnsi" w:hAnsiTheme="minorHAnsi"/>
                <w:i/>
                <w:color w:val="808080" w:themeColor="background1" w:themeShade="80"/>
                <w:szCs w:val="20"/>
                <w:lang w:eastAsia="en-US"/>
              </w:rPr>
            </w:pPr>
          </w:p>
        </w:tc>
      </w:tr>
    </w:tbl>
    <w:p w14:paraId="05D6B9B6" w14:textId="77777777" w:rsidR="00400B0F" w:rsidRPr="00280CC1" w:rsidRDefault="00400B0F">
      <w:pPr>
        <w:suppressAutoHyphens w:val="0"/>
        <w:spacing w:before="0" w:after="120" w:line="440" w:lineRule="atLeast"/>
        <w:rPr>
          <w:rFonts w:ascii="Franklin Gothic Book" w:eastAsia="Times New Roman" w:hAnsi="Franklin Gothic Book"/>
          <w:sz w:val="21"/>
        </w:rPr>
      </w:pPr>
      <w:r w:rsidRPr="00280CC1">
        <w:rPr>
          <w:rFonts w:ascii="Franklin Gothic Book" w:eastAsia="Times New Roman" w:hAnsi="Franklin Gothic Book"/>
          <w:sz w:val="21"/>
        </w:rPr>
        <w:br w:type="page"/>
      </w:r>
    </w:p>
    <w:p w14:paraId="199F1BB7" w14:textId="77777777" w:rsidR="00400B0F" w:rsidRPr="00280CC1" w:rsidRDefault="00400B0F" w:rsidP="00784031">
      <w:pPr>
        <w:pStyle w:val="Subtitle"/>
        <w:numPr>
          <w:ilvl w:val="0"/>
          <w:numId w:val="0"/>
        </w:numPr>
      </w:pPr>
      <w:r w:rsidRPr="00280CC1">
        <w:lastRenderedPageBreak/>
        <w:t>Annex C - Evaluation Planning</w:t>
      </w:r>
    </w:p>
    <w:p w14:paraId="07F6EF7C" w14:textId="77777777" w:rsidR="00400B0F" w:rsidRPr="00280CC1" w:rsidRDefault="00400B0F" w:rsidP="008C2F58">
      <w:pPr>
        <w:rPr>
          <w:b/>
          <w:sz w:val="24"/>
        </w:rPr>
      </w:pPr>
      <w:r w:rsidRPr="00280CC1">
        <w:rPr>
          <w:b/>
          <w:sz w:val="24"/>
        </w:rPr>
        <w:t>List of evaluations co</w:t>
      </w:r>
      <w:r w:rsidR="00A32230" w:rsidRPr="00280CC1">
        <w:rPr>
          <w:b/>
          <w:sz w:val="24"/>
        </w:rPr>
        <w:t>mpleted in the reporting period</w:t>
      </w:r>
    </w:p>
    <w:tbl>
      <w:tblPr>
        <w:tblStyle w:val="APPR"/>
        <w:tblW w:w="14453" w:type="dxa"/>
        <w:tblBorders>
          <w:top w:val="none" w:sz="0" w:space="0" w:color="auto"/>
          <w:bottom w:val="single" w:sz="4" w:space="0" w:color="auto"/>
        </w:tblBorders>
        <w:tblLayout w:type="fixed"/>
        <w:tblLook w:val="04A0" w:firstRow="1" w:lastRow="0" w:firstColumn="1" w:lastColumn="0" w:noHBand="0" w:noVBand="1"/>
      </w:tblPr>
      <w:tblGrid>
        <w:gridCol w:w="3106"/>
        <w:gridCol w:w="4685"/>
        <w:gridCol w:w="1425"/>
        <w:gridCol w:w="1981"/>
        <w:gridCol w:w="1699"/>
        <w:gridCol w:w="1557"/>
      </w:tblGrid>
      <w:tr w:rsidR="00400B0F" w:rsidRPr="00280CC1" w14:paraId="2AE09E8E" w14:textId="77777777" w:rsidTr="004B0A61">
        <w:trPr>
          <w:cnfStyle w:val="100000000000" w:firstRow="1" w:lastRow="0" w:firstColumn="0" w:lastColumn="0" w:oddVBand="0" w:evenVBand="0" w:oddHBand="0" w:evenHBand="0" w:firstRowFirstColumn="0" w:firstRowLastColumn="0" w:lastRowFirstColumn="0" w:lastRowLastColumn="0"/>
        </w:trPr>
        <w:tc>
          <w:tcPr>
            <w:tcW w:w="3064" w:type="dxa"/>
            <w:tcBorders>
              <w:top w:val="single" w:sz="4" w:space="0" w:color="auto"/>
              <w:bottom w:val="single" w:sz="4" w:space="0" w:color="auto"/>
            </w:tcBorders>
          </w:tcPr>
          <w:p w14:paraId="274E1DC6" w14:textId="77777777" w:rsidR="00400B0F" w:rsidRDefault="004B0A61" w:rsidP="006F27B1">
            <w:pPr>
              <w:keepLines/>
              <w:spacing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 </w:t>
            </w:r>
            <w:r w:rsidR="00EE2FEA">
              <w:rPr>
                <w:rFonts w:asciiTheme="minorHAnsi" w:eastAsia="Times New Roman" w:hAnsiTheme="minorHAnsi"/>
                <w:iCs/>
                <w:szCs w:val="17"/>
                <w:lang w:eastAsia="en-US"/>
              </w:rPr>
              <w:t xml:space="preserve">Investment number and name </w:t>
            </w:r>
          </w:p>
          <w:p w14:paraId="7AD8F178" w14:textId="77777777" w:rsidR="00EE2FEA" w:rsidRPr="00280CC1" w:rsidRDefault="00EE2FEA" w:rsidP="006F27B1">
            <w:pPr>
              <w:keepLines/>
              <w:spacing w:line="200" w:lineRule="atLeast"/>
              <w:rPr>
                <w:rFonts w:asciiTheme="minorHAnsi" w:eastAsia="Times New Roman" w:hAnsiTheme="minorHAnsi"/>
                <w:b w:val="0"/>
                <w:iCs/>
                <w:szCs w:val="17"/>
                <w:lang w:eastAsia="en-US"/>
              </w:rPr>
            </w:pPr>
            <w:r>
              <w:rPr>
                <w:rFonts w:asciiTheme="minorHAnsi" w:eastAsia="Times New Roman" w:hAnsiTheme="minorHAnsi"/>
                <w:iCs/>
                <w:szCs w:val="17"/>
                <w:lang w:eastAsia="en-US"/>
              </w:rPr>
              <w:t>(if applicable)</w:t>
            </w:r>
          </w:p>
        </w:tc>
        <w:tc>
          <w:tcPr>
            <w:tcW w:w="4657" w:type="dxa"/>
            <w:tcBorders>
              <w:top w:val="single" w:sz="4" w:space="0" w:color="auto"/>
              <w:bottom w:val="single" w:sz="4" w:space="0" w:color="auto"/>
            </w:tcBorders>
          </w:tcPr>
          <w:p w14:paraId="6FB47FCD" w14:textId="77777777" w:rsidR="00400B0F" w:rsidRPr="00280CC1" w:rsidRDefault="00400B0F" w:rsidP="006F27B1">
            <w:pPr>
              <w:keepLines/>
              <w:spacing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Name of evaluation</w:t>
            </w:r>
          </w:p>
        </w:tc>
        <w:tc>
          <w:tcPr>
            <w:tcW w:w="1397" w:type="dxa"/>
            <w:tcBorders>
              <w:top w:val="single" w:sz="4" w:space="0" w:color="auto"/>
              <w:bottom w:val="single" w:sz="4" w:space="0" w:color="auto"/>
            </w:tcBorders>
          </w:tcPr>
          <w:p w14:paraId="7A97DB5F" w14:textId="77777777" w:rsidR="00400B0F" w:rsidRPr="00280CC1" w:rsidRDefault="00400B0F" w:rsidP="006F27B1">
            <w:pPr>
              <w:keepLines/>
              <w:spacing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Date completed</w:t>
            </w:r>
          </w:p>
        </w:tc>
        <w:tc>
          <w:tcPr>
            <w:tcW w:w="1953" w:type="dxa"/>
            <w:tcBorders>
              <w:top w:val="single" w:sz="4" w:space="0" w:color="auto"/>
              <w:bottom w:val="single" w:sz="4" w:space="0" w:color="auto"/>
            </w:tcBorders>
          </w:tcPr>
          <w:p w14:paraId="2EC7CE1D" w14:textId="77777777" w:rsidR="00400B0F" w:rsidRPr="00280CC1" w:rsidRDefault="00400B0F" w:rsidP="006F27B1">
            <w:pPr>
              <w:keepLines/>
              <w:spacing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Date Evaluation report Uploaded into AidWorks</w:t>
            </w:r>
          </w:p>
        </w:tc>
        <w:tc>
          <w:tcPr>
            <w:tcW w:w="1671" w:type="dxa"/>
            <w:tcBorders>
              <w:top w:val="single" w:sz="4" w:space="0" w:color="auto"/>
              <w:bottom w:val="single" w:sz="4" w:space="0" w:color="auto"/>
            </w:tcBorders>
          </w:tcPr>
          <w:p w14:paraId="423AF917" w14:textId="77777777" w:rsidR="00400B0F" w:rsidRPr="00280CC1" w:rsidRDefault="00400B0F" w:rsidP="006F27B1">
            <w:pPr>
              <w:keepLines/>
              <w:spacing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Date Management response uploaded into AidWorks</w:t>
            </w:r>
          </w:p>
        </w:tc>
        <w:tc>
          <w:tcPr>
            <w:tcW w:w="1515" w:type="dxa"/>
            <w:tcBorders>
              <w:top w:val="single" w:sz="4" w:space="0" w:color="auto"/>
              <w:bottom w:val="single" w:sz="4" w:space="0" w:color="auto"/>
            </w:tcBorders>
          </w:tcPr>
          <w:p w14:paraId="6B72B6ED" w14:textId="77777777" w:rsidR="00400B0F" w:rsidRPr="00280CC1" w:rsidRDefault="00400B0F" w:rsidP="006F27B1">
            <w:pPr>
              <w:keepLines/>
              <w:spacing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Published on website</w:t>
            </w:r>
          </w:p>
        </w:tc>
      </w:tr>
      <w:tr w:rsidR="004B0A61" w:rsidRPr="00280CC1" w14:paraId="7DF83AB8" w14:textId="77777777" w:rsidTr="004B0A61">
        <w:trPr>
          <w:cnfStyle w:val="100000000000" w:firstRow="1" w:lastRow="0" w:firstColumn="0" w:lastColumn="0" w:oddVBand="0" w:evenVBand="0" w:oddHBand="0" w:evenHBand="0" w:firstRowFirstColumn="0" w:firstRowLastColumn="0" w:lastRowFirstColumn="0" w:lastRowLastColumn="0"/>
        </w:trPr>
        <w:tc>
          <w:tcPr>
            <w:tcW w:w="3064" w:type="dxa"/>
            <w:tcBorders>
              <w:bottom w:val="single" w:sz="4" w:space="0" w:color="auto"/>
            </w:tcBorders>
          </w:tcPr>
          <w:p w14:paraId="062F7C31" w14:textId="77777777" w:rsidR="004B0A61" w:rsidRPr="00280CC1" w:rsidRDefault="004B0A61" w:rsidP="004B0A61">
            <w:pPr>
              <w:keepLines/>
              <w:spacing w:before="40" w:after="40" w:line="200" w:lineRule="atLeast"/>
              <w:rPr>
                <w:rFonts w:asciiTheme="minorHAnsi" w:eastAsia="Times New Roman" w:hAnsiTheme="minorHAnsi"/>
                <w:b w:val="0"/>
                <w:iCs/>
                <w:szCs w:val="17"/>
                <w:lang w:eastAsia="en-US"/>
              </w:rPr>
            </w:pPr>
            <w:r w:rsidRPr="00280CC1">
              <w:rPr>
                <w:rFonts w:asciiTheme="minorHAnsi" w:eastAsia="Times New Roman" w:hAnsiTheme="minorHAnsi"/>
                <w:b w:val="0"/>
                <w:iCs/>
                <w:szCs w:val="17"/>
                <w:lang w:eastAsia="en-US"/>
              </w:rPr>
              <w:t xml:space="preserve">ING741: Cambodia Delivering Better Health </w:t>
            </w:r>
          </w:p>
        </w:tc>
        <w:tc>
          <w:tcPr>
            <w:tcW w:w="4657" w:type="dxa"/>
            <w:tcBorders>
              <w:bottom w:val="single" w:sz="4" w:space="0" w:color="auto"/>
            </w:tcBorders>
          </w:tcPr>
          <w:p w14:paraId="66BC05AB" w14:textId="77777777" w:rsidR="004B0A61" w:rsidRPr="00280CC1" w:rsidRDefault="004B0A61" w:rsidP="004B0A6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Second Health Sector Support Program </w:t>
            </w:r>
            <w:r w:rsidRPr="00280CC1">
              <w:rPr>
                <w:rFonts w:asciiTheme="minorHAnsi" w:eastAsia="Times New Roman" w:hAnsiTheme="minorHAnsi"/>
                <w:b w:val="0"/>
                <w:iCs/>
                <w:szCs w:val="17"/>
                <w:lang w:eastAsia="en-US"/>
              </w:rPr>
              <w:t xml:space="preserve">Independent Completion Review </w:t>
            </w:r>
          </w:p>
        </w:tc>
        <w:tc>
          <w:tcPr>
            <w:tcW w:w="1397" w:type="dxa"/>
            <w:tcBorders>
              <w:bottom w:val="single" w:sz="4" w:space="0" w:color="auto"/>
            </w:tcBorders>
          </w:tcPr>
          <w:p w14:paraId="56324EDB" w14:textId="77777777" w:rsidR="004B0A61" w:rsidRPr="00280CC1" w:rsidRDefault="004B0A61" w:rsidP="004B0A61">
            <w:pPr>
              <w:keepLines/>
              <w:spacing w:before="40" w:after="40" w:line="200" w:lineRule="atLeast"/>
              <w:rPr>
                <w:rFonts w:asciiTheme="minorHAnsi" w:eastAsia="Times New Roman" w:hAnsiTheme="minorHAnsi"/>
                <w:b w:val="0"/>
                <w:iCs/>
                <w:szCs w:val="17"/>
                <w:lang w:eastAsia="en-US"/>
              </w:rPr>
            </w:pPr>
            <w:r w:rsidRPr="00280CC1">
              <w:rPr>
                <w:rFonts w:asciiTheme="minorHAnsi" w:eastAsia="Times New Roman" w:hAnsiTheme="minorHAnsi"/>
                <w:b w:val="0"/>
                <w:iCs/>
                <w:szCs w:val="17"/>
                <w:lang w:eastAsia="en-US"/>
              </w:rPr>
              <w:t>29 December 2016</w:t>
            </w:r>
          </w:p>
        </w:tc>
        <w:tc>
          <w:tcPr>
            <w:tcW w:w="1953" w:type="dxa"/>
            <w:tcBorders>
              <w:bottom w:val="single" w:sz="4" w:space="0" w:color="auto"/>
            </w:tcBorders>
          </w:tcPr>
          <w:p w14:paraId="63080A50" w14:textId="77777777" w:rsidR="004B0A61" w:rsidRPr="00280CC1" w:rsidRDefault="004B0A61" w:rsidP="004B0A61">
            <w:pPr>
              <w:keepLines/>
              <w:spacing w:before="40" w:after="40" w:line="200" w:lineRule="atLeast"/>
              <w:rPr>
                <w:rFonts w:asciiTheme="minorHAnsi" w:eastAsia="Times New Roman" w:hAnsiTheme="minorHAnsi"/>
                <w:b w:val="0"/>
                <w:iCs/>
                <w:szCs w:val="17"/>
                <w:lang w:eastAsia="en-US"/>
              </w:rPr>
            </w:pPr>
            <w:r w:rsidRPr="00280CC1">
              <w:rPr>
                <w:rFonts w:asciiTheme="minorHAnsi" w:eastAsia="Times New Roman" w:hAnsiTheme="minorHAnsi"/>
                <w:b w:val="0"/>
                <w:iCs/>
                <w:szCs w:val="17"/>
                <w:lang w:eastAsia="en-US"/>
              </w:rPr>
              <w:t>06 March 2017</w:t>
            </w:r>
          </w:p>
        </w:tc>
        <w:tc>
          <w:tcPr>
            <w:tcW w:w="1671" w:type="dxa"/>
            <w:tcBorders>
              <w:bottom w:val="single" w:sz="4" w:space="0" w:color="auto"/>
            </w:tcBorders>
          </w:tcPr>
          <w:p w14:paraId="46808856" w14:textId="77777777" w:rsidR="004B0A61" w:rsidRPr="00280CC1" w:rsidRDefault="004B0A61" w:rsidP="004B0A61">
            <w:pPr>
              <w:keepLines/>
              <w:spacing w:before="40" w:after="40" w:line="200" w:lineRule="atLeast"/>
              <w:rPr>
                <w:rFonts w:asciiTheme="minorHAnsi" w:eastAsia="Times New Roman" w:hAnsiTheme="minorHAnsi"/>
                <w:b w:val="0"/>
                <w:iCs/>
                <w:szCs w:val="17"/>
                <w:lang w:eastAsia="en-US"/>
              </w:rPr>
            </w:pPr>
            <w:r w:rsidRPr="00280CC1">
              <w:rPr>
                <w:rFonts w:asciiTheme="minorHAnsi" w:eastAsia="Times New Roman" w:hAnsiTheme="minorHAnsi"/>
                <w:b w:val="0"/>
                <w:iCs/>
                <w:szCs w:val="17"/>
                <w:lang w:eastAsia="en-US"/>
              </w:rPr>
              <w:t>06 March 2017</w:t>
            </w:r>
          </w:p>
        </w:tc>
        <w:tc>
          <w:tcPr>
            <w:tcW w:w="1515" w:type="dxa"/>
            <w:tcBorders>
              <w:bottom w:val="single" w:sz="4" w:space="0" w:color="auto"/>
            </w:tcBorders>
          </w:tcPr>
          <w:p w14:paraId="4BFB2CF3" w14:textId="77777777" w:rsidR="004B0A61" w:rsidRPr="00280CC1" w:rsidRDefault="004B0A61" w:rsidP="004B0A61">
            <w:pPr>
              <w:keepLines/>
              <w:spacing w:before="40" w:after="40" w:line="200" w:lineRule="atLeast"/>
              <w:rPr>
                <w:rFonts w:asciiTheme="minorHAnsi" w:eastAsia="Times New Roman" w:hAnsiTheme="minorHAnsi"/>
                <w:b w:val="0"/>
                <w:iCs/>
                <w:szCs w:val="17"/>
                <w:lang w:eastAsia="en-US"/>
              </w:rPr>
            </w:pPr>
            <w:r w:rsidRPr="00280CC1">
              <w:rPr>
                <w:rFonts w:asciiTheme="minorHAnsi" w:eastAsia="Times New Roman" w:hAnsiTheme="minorHAnsi"/>
                <w:b w:val="0"/>
                <w:iCs/>
                <w:szCs w:val="17"/>
                <w:lang w:eastAsia="en-US"/>
              </w:rPr>
              <w:t>World Bank website</w:t>
            </w:r>
          </w:p>
        </w:tc>
      </w:tr>
      <w:tr w:rsidR="004B0A61" w:rsidRPr="00280CC1" w14:paraId="231335A0" w14:textId="77777777" w:rsidTr="004B0A61">
        <w:trPr>
          <w:cnfStyle w:val="100000000000" w:firstRow="1" w:lastRow="0" w:firstColumn="0" w:lastColumn="0" w:oddVBand="0" w:evenVBand="0" w:oddHBand="0" w:evenHBand="0" w:firstRowFirstColumn="0" w:firstRowLastColumn="0" w:lastRowFirstColumn="0" w:lastRowLastColumn="0"/>
        </w:trPr>
        <w:tc>
          <w:tcPr>
            <w:tcW w:w="3064" w:type="dxa"/>
            <w:tcBorders>
              <w:bottom w:val="none" w:sz="0" w:space="0" w:color="auto"/>
            </w:tcBorders>
          </w:tcPr>
          <w:p w14:paraId="36F199E2" w14:textId="77777777" w:rsidR="004B0A61" w:rsidRPr="00280CC1" w:rsidRDefault="004B0A61" w:rsidP="004B0A61">
            <w:pPr>
              <w:keepLines/>
              <w:spacing w:before="40" w:after="40" w:line="200" w:lineRule="atLeast"/>
              <w:rPr>
                <w:rFonts w:asciiTheme="minorHAnsi" w:eastAsia="Times New Roman" w:hAnsiTheme="minorHAnsi"/>
                <w:b w:val="0"/>
                <w:iCs/>
                <w:szCs w:val="17"/>
                <w:lang w:eastAsia="en-US"/>
              </w:rPr>
            </w:pPr>
            <w:r w:rsidRPr="00280CC1">
              <w:rPr>
                <w:rFonts w:asciiTheme="minorHAnsi" w:eastAsia="Times New Roman" w:hAnsiTheme="minorHAnsi"/>
                <w:b w:val="0"/>
                <w:iCs/>
                <w:szCs w:val="17"/>
                <w:lang w:eastAsia="en-US"/>
              </w:rPr>
              <w:t>ING741 Cambodia Agricultural Value Chain Program</w:t>
            </w:r>
            <w:r w:rsidR="000D2D3F">
              <w:rPr>
                <w:rFonts w:asciiTheme="minorHAnsi" w:eastAsia="Times New Roman" w:hAnsiTheme="minorHAnsi"/>
                <w:b w:val="0"/>
                <w:iCs/>
                <w:szCs w:val="17"/>
                <w:lang w:eastAsia="en-US"/>
              </w:rPr>
              <w:t xml:space="preserve"> Phase I</w:t>
            </w:r>
          </w:p>
        </w:tc>
        <w:tc>
          <w:tcPr>
            <w:tcW w:w="4657" w:type="dxa"/>
            <w:tcBorders>
              <w:bottom w:val="none" w:sz="0" w:space="0" w:color="auto"/>
            </w:tcBorders>
          </w:tcPr>
          <w:p w14:paraId="6DA94273" w14:textId="77777777" w:rsidR="004B0A61" w:rsidRPr="00280CC1" w:rsidRDefault="004B0A61" w:rsidP="004B0A6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Office of Development Effectiveness </w:t>
            </w:r>
            <w:r w:rsidRPr="00280CC1">
              <w:rPr>
                <w:rFonts w:asciiTheme="minorHAnsi" w:eastAsia="Times New Roman" w:hAnsiTheme="minorHAnsi"/>
                <w:b w:val="0"/>
                <w:iCs/>
                <w:szCs w:val="17"/>
                <w:lang w:eastAsia="en-US"/>
              </w:rPr>
              <w:t>Completion Evaluation</w:t>
            </w:r>
          </w:p>
        </w:tc>
        <w:tc>
          <w:tcPr>
            <w:tcW w:w="1397" w:type="dxa"/>
            <w:tcBorders>
              <w:bottom w:val="none" w:sz="0" w:space="0" w:color="auto"/>
            </w:tcBorders>
          </w:tcPr>
          <w:p w14:paraId="11671D55" w14:textId="77777777" w:rsidR="004B0A61" w:rsidRPr="00280CC1" w:rsidRDefault="004B0A61" w:rsidP="004B0A61">
            <w:pPr>
              <w:keepLines/>
              <w:spacing w:before="40" w:after="40" w:line="200" w:lineRule="atLeast"/>
              <w:rPr>
                <w:rFonts w:asciiTheme="minorHAnsi" w:eastAsia="Times New Roman" w:hAnsiTheme="minorHAnsi"/>
                <w:b w:val="0"/>
                <w:iCs/>
                <w:szCs w:val="17"/>
                <w:lang w:eastAsia="en-US"/>
              </w:rPr>
            </w:pPr>
            <w:r w:rsidRPr="00280CC1">
              <w:rPr>
                <w:rFonts w:asciiTheme="minorHAnsi" w:eastAsia="Times New Roman" w:hAnsiTheme="minorHAnsi"/>
                <w:b w:val="0"/>
                <w:iCs/>
                <w:szCs w:val="17"/>
                <w:lang w:eastAsia="en-US"/>
              </w:rPr>
              <w:t>September 2017</w:t>
            </w:r>
          </w:p>
        </w:tc>
        <w:tc>
          <w:tcPr>
            <w:tcW w:w="1953" w:type="dxa"/>
            <w:tcBorders>
              <w:bottom w:val="none" w:sz="0" w:space="0" w:color="auto"/>
            </w:tcBorders>
          </w:tcPr>
          <w:p w14:paraId="3BDCFA8E" w14:textId="77777777" w:rsidR="004B0A61" w:rsidRPr="00280CC1" w:rsidRDefault="004B0A61" w:rsidP="004B0A61">
            <w:pPr>
              <w:keepLines/>
              <w:spacing w:before="40" w:after="40" w:line="200" w:lineRule="atLeast"/>
              <w:rPr>
                <w:rFonts w:asciiTheme="minorHAnsi" w:eastAsia="Times New Roman" w:hAnsiTheme="minorHAnsi"/>
                <w:b w:val="0"/>
                <w:iCs/>
                <w:szCs w:val="17"/>
                <w:lang w:eastAsia="en-US"/>
              </w:rPr>
            </w:pPr>
            <w:r w:rsidRPr="00280CC1">
              <w:rPr>
                <w:rFonts w:asciiTheme="minorHAnsi" w:eastAsia="Times New Roman" w:hAnsiTheme="minorHAnsi"/>
                <w:b w:val="0"/>
                <w:iCs/>
                <w:szCs w:val="17"/>
                <w:lang w:eastAsia="en-US"/>
              </w:rPr>
              <w:t>To be uploaded September 2017</w:t>
            </w:r>
          </w:p>
        </w:tc>
        <w:tc>
          <w:tcPr>
            <w:tcW w:w="1671" w:type="dxa"/>
            <w:tcBorders>
              <w:bottom w:val="none" w:sz="0" w:space="0" w:color="auto"/>
            </w:tcBorders>
          </w:tcPr>
          <w:p w14:paraId="2784E7AA" w14:textId="77777777" w:rsidR="004B0A61" w:rsidRPr="00280CC1" w:rsidRDefault="004B0A61" w:rsidP="004B0A61">
            <w:pPr>
              <w:keepLines/>
              <w:spacing w:before="40" w:after="40" w:line="200" w:lineRule="atLeast"/>
              <w:rPr>
                <w:rFonts w:asciiTheme="minorHAnsi" w:eastAsia="Times New Roman" w:hAnsiTheme="minorHAnsi"/>
                <w:b w:val="0"/>
                <w:iCs/>
                <w:szCs w:val="17"/>
                <w:lang w:eastAsia="en-US"/>
              </w:rPr>
            </w:pPr>
            <w:r w:rsidRPr="00280CC1">
              <w:rPr>
                <w:rFonts w:asciiTheme="minorHAnsi" w:eastAsia="Times New Roman" w:hAnsiTheme="minorHAnsi"/>
                <w:b w:val="0"/>
                <w:iCs/>
                <w:szCs w:val="17"/>
                <w:lang w:eastAsia="en-US"/>
              </w:rPr>
              <w:t>To be uploaded September 2017</w:t>
            </w:r>
          </w:p>
        </w:tc>
        <w:tc>
          <w:tcPr>
            <w:tcW w:w="1515" w:type="dxa"/>
            <w:tcBorders>
              <w:bottom w:val="none" w:sz="0" w:space="0" w:color="auto"/>
            </w:tcBorders>
          </w:tcPr>
          <w:p w14:paraId="30B82293" w14:textId="77777777" w:rsidR="004B0A61" w:rsidRPr="00280CC1" w:rsidRDefault="004B0A61" w:rsidP="004B0A61">
            <w:pPr>
              <w:keepLines/>
              <w:spacing w:before="40" w:after="40" w:line="200" w:lineRule="atLeast"/>
              <w:rPr>
                <w:rFonts w:asciiTheme="minorHAnsi" w:eastAsia="Times New Roman" w:hAnsiTheme="minorHAnsi"/>
                <w:b w:val="0"/>
                <w:iCs/>
                <w:szCs w:val="17"/>
                <w:lang w:eastAsia="en-US"/>
              </w:rPr>
            </w:pPr>
            <w:r w:rsidRPr="00280CC1">
              <w:rPr>
                <w:rFonts w:asciiTheme="minorHAnsi" w:eastAsia="Times New Roman" w:hAnsiTheme="minorHAnsi"/>
                <w:b w:val="0"/>
                <w:iCs/>
                <w:szCs w:val="17"/>
                <w:lang w:eastAsia="en-US"/>
              </w:rPr>
              <w:t>To be published DFAT website</w:t>
            </w:r>
          </w:p>
        </w:tc>
      </w:tr>
    </w:tbl>
    <w:p w14:paraId="32FCF4E5" w14:textId="77777777" w:rsidR="004B0A61" w:rsidRDefault="004B0A61" w:rsidP="008C2F58">
      <w:pPr>
        <w:rPr>
          <w:b/>
          <w:sz w:val="24"/>
        </w:rPr>
      </w:pPr>
    </w:p>
    <w:p w14:paraId="2D4BD0C1" w14:textId="77777777" w:rsidR="004B0A61" w:rsidRDefault="004B0A61" w:rsidP="008C2F58">
      <w:pPr>
        <w:rPr>
          <w:b/>
          <w:sz w:val="24"/>
        </w:rPr>
      </w:pPr>
    </w:p>
    <w:p w14:paraId="5094549A" w14:textId="77777777" w:rsidR="00400B0F" w:rsidRPr="00280CC1" w:rsidRDefault="00400B0F" w:rsidP="008C2F58">
      <w:pPr>
        <w:rPr>
          <w:b/>
          <w:sz w:val="24"/>
        </w:rPr>
      </w:pPr>
      <w:r w:rsidRPr="00280CC1">
        <w:rPr>
          <w:b/>
          <w:sz w:val="24"/>
        </w:rPr>
        <w:t xml:space="preserve">List of program prioritised evaluations planned for the next 12 months </w:t>
      </w:r>
    </w:p>
    <w:tbl>
      <w:tblPr>
        <w:tblStyle w:val="APPR"/>
        <w:tblW w:w="0" w:type="auto"/>
        <w:tblLook w:val="0600" w:firstRow="0" w:lastRow="0" w:firstColumn="0" w:lastColumn="0" w:noHBand="1" w:noVBand="1"/>
      </w:tblPr>
      <w:tblGrid>
        <w:gridCol w:w="2466"/>
        <w:gridCol w:w="2360"/>
        <w:gridCol w:w="2447"/>
        <w:gridCol w:w="2216"/>
        <w:gridCol w:w="2328"/>
        <w:gridCol w:w="2356"/>
      </w:tblGrid>
      <w:tr w:rsidR="00400B0F" w:rsidRPr="00280CC1" w14:paraId="03875DCF" w14:textId="77777777" w:rsidTr="004B0A61">
        <w:tc>
          <w:tcPr>
            <w:tcW w:w="2424" w:type="dxa"/>
          </w:tcPr>
          <w:p w14:paraId="657E85A3" w14:textId="77777777" w:rsidR="00400B0F" w:rsidRPr="00280CC1" w:rsidRDefault="00400B0F" w:rsidP="006F27B1">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Evaluation title</w:t>
            </w:r>
          </w:p>
        </w:tc>
        <w:tc>
          <w:tcPr>
            <w:tcW w:w="2332" w:type="dxa"/>
          </w:tcPr>
          <w:p w14:paraId="41D9BB6C" w14:textId="77777777" w:rsidR="00400B0F" w:rsidRPr="00280CC1" w:rsidRDefault="00400B0F" w:rsidP="006F27B1">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 xml:space="preserve">Investment number and name (if applicable) </w:t>
            </w:r>
          </w:p>
        </w:tc>
        <w:tc>
          <w:tcPr>
            <w:tcW w:w="2419" w:type="dxa"/>
          </w:tcPr>
          <w:p w14:paraId="58F7E5B7" w14:textId="77777777" w:rsidR="00400B0F" w:rsidRPr="00280CC1" w:rsidRDefault="00400B0F" w:rsidP="006F27B1">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Date – planned commencement (month/year)</w:t>
            </w:r>
          </w:p>
        </w:tc>
        <w:tc>
          <w:tcPr>
            <w:tcW w:w="2188" w:type="dxa"/>
          </w:tcPr>
          <w:p w14:paraId="39348242" w14:textId="77777777" w:rsidR="00400B0F" w:rsidRPr="00280CC1" w:rsidRDefault="00400B0F" w:rsidP="006F27B1">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Date – planned completion (month/year)</w:t>
            </w:r>
          </w:p>
        </w:tc>
        <w:tc>
          <w:tcPr>
            <w:tcW w:w="2300" w:type="dxa"/>
          </w:tcPr>
          <w:p w14:paraId="2E760395" w14:textId="77777777" w:rsidR="00400B0F" w:rsidRPr="00280CC1" w:rsidRDefault="00400B0F" w:rsidP="006F27B1">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Purpose of evaluation</w:t>
            </w:r>
          </w:p>
        </w:tc>
        <w:tc>
          <w:tcPr>
            <w:tcW w:w="2314" w:type="dxa"/>
          </w:tcPr>
          <w:p w14:paraId="00742A4C" w14:textId="77777777" w:rsidR="00400B0F" w:rsidRPr="00280CC1" w:rsidRDefault="00400B0F" w:rsidP="006F27B1">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Evaluation type</w:t>
            </w:r>
          </w:p>
        </w:tc>
      </w:tr>
      <w:tr w:rsidR="004B0A61" w:rsidRPr="00280CC1" w14:paraId="350012E5" w14:textId="77777777" w:rsidTr="004B0A61">
        <w:tc>
          <w:tcPr>
            <w:tcW w:w="2424" w:type="dxa"/>
            <w:tcBorders>
              <w:top w:val="single" w:sz="4" w:space="0" w:color="auto"/>
              <w:bottom w:val="nil"/>
            </w:tcBorders>
          </w:tcPr>
          <w:p w14:paraId="7B268A84" w14:textId="77777777" w:rsidR="004B0A61" w:rsidRPr="000A79B7" w:rsidRDefault="000D2D3F" w:rsidP="000D2D3F">
            <w:pPr>
              <w:keepLines/>
              <w:spacing w:before="40" w:after="40" w:line="200" w:lineRule="atLeast"/>
              <w:rPr>
                <w:rFonts w:asciiTheme="minorHAnsi" w:eastAsia="Times New Roman" w:hAnsiTheme="minorHAnsi"/>
                <w:bCs/>
                <w:iCs/>
                <w:szCs w:val="17"/>
                <w:lang w:eastAsia="en-US"/>
              </w:rPr>
            </w:pPr>
            <w:r w:rsidRPr="000A79B7">
              <w:rPr>
                <w:rFonts w:asciiTheme="minorHAnsi" w:eastAsia="Times New Roman" w:hAnsiTheme="minorHAnsi"/>
                <w:bCs/>
                <w:iCs/>
                <w:szCs w:val="17"/>
                <w:lang w:eastAsia="en-US"/>
              </w:rPr>
              <w:t xml:space="preserve">3i Scalability Review </w:t>
            </w:r>
          </w:p>
        </w:tc>
        <w:tc>
          <w:tcPr>
            <w:tcW w:w="2332" w:type="dxa"/>
            <w:tcBorders>
              <w:top w:val="single" w:sz="4" w:space="0" w:color="auto"/>
              <w:bottom w:val="nil"/>
            </w:tcBorders>
          </w:tcPr>
          <w:p w14:paraId="109CD7C2" w14:textId="77777777" w:rsidR="000D2D3F" w:rsidRPr="000A79B7" w:rsidRDefault="000D2D3F" w:rsidP="000D2D3F">
            <w:pPr>
              <w:keepLines/>
              <w:spacing w:before="40" w:after="40" w:line="200" w:lineRule="atLeast"/>
              <w:rPr>
                <w:rFonts w:asciiTheme="minorHAnsi" w:eastAsia="Times New Roman" w:hAnsiTheme="minorHAnsi"/>
                <w:bCs/>
                <w:iCs/>
                <w:szCs w:val="17"/>
                <w:lang w:eastAsia="en-US"/>
              </w:rPr>
            </w:pPr>
            <w:r w:rsidRPr="000A79B7">
              <w:rPr>
                <w:rFonts w:asciiTheme="minorHAnsi" w:eastAsia="Times New Roman" w:hAnsiTheme="minorHAnsi"/>
                <w:bCs/>
                <w:iCs/>
                <w:szCs w:val="17"/>
                <w:lang w:eastAsia="en-US"/>
              </w:rPr>
              <w:t>INL435 Investing in Infrastructure (3i)</w:t>
            </w:r>
          </w:p>
          <w:p w14:paraId="6C0DF3FB" w14:textId="77777777" w:rsidR="004B0A61" w:rsidRPr="000A79B7" w:rsidRDefault="004B0A61" w:rsidP="004B0A61">
            <w:pPr>
              <w:keepLines/>
              <w:spacing w:before="40" w:after="40" w:line="200" w:lineRule="atLeast"/>
              <w:rPr>
                <w:rFonts w:asciiTheme="minorHAnsi" w:eastAsia="Times New Roman" w:hAnsiTheme="minorHAnsi"/>
                <w:bCs/>
                <w:iCs/>
                <w:szCs w:val="17"/>
                <w:lang w:eastAsia="en-US"/>
              </w:rPr>
            </w:pPr>
          </w:p>
        </w:tc>
        <w:tc>
          <w:tcPr>
            <w:tcW w:w="2419" w:type="dxa"/>
            <w:tcBorders>
              <w:top w:val="single" w:sz="4" w:space="0" w:color="auto"/>
              <w:bottom w:val="nil"/>
            </w:tcBorders>
          </w:tcPr>
          <w:p w14:paraId="6E55E176" w14:textId="77777777" w:rsidR="004B0A61" w:rsidRPr="000A79B7" w:rsidRDefault="004B0A61" w:rsidP="004B0A61">
            <w:pPr>
              <w:keepLines/>
              <w:spacing w:before="40" w:after="40" w:line="200" w:lineRule="atLeast"/>
              <w:rPr>
                <w:rFonts w:asciiTheme="minorHAnsi" w:eastAsia="Times New Roman" w:hAnsiTheme="minorHAnsi"/>
                <w:bCs/>
                <w:iCs/>
                <w:szCs w:val="17"/>
                <w:lang w:eastAsia="en-US"/>
              </w:rPr>
            </w:pPr>
            <w:r w:rsidRPr="000A79B7">
              <w:rPr>
                <w:rFonts w:asciiTheme="minorHAnsi" w:eastAsia="Times New Roman" w:hAnsiTheme="minorHAnsi"/>
                <w:bCs/>
                <w:iCs/>
                <w:szCs w:val="17"/>
                <w:lang w:eastAsia="en-US"/>
              </w:rPr>
              <w:t>In progress. Completion expected December 2017</w:t>
            </w:r>
          </w:p>
        </w:tc>
        <w:tc>
          <w:tcPr>
            <w:tcW w:w="2188" w:type="dxa"/>
            <w:tcBorders>
              <w:top w:val="single" w:sz="4" w:space="0" w:color="auto"/>
              <w:bottom w:val="nil"/>
            </w:tcBorders>
          </w:tcPr>
          <w:p w14:paraId="6FB760AE" w14:textId="77777777" w:rsidR="004B0A61" w:rsidRPr="000A79B7" w:rsidRDefault="004B0A61" w:rsidP="004B0A61">
            <w:pPr>
              <w:keepLines/>
              <w:spacing w:before="40" w:after="40" w:line="200" w:lineRule="atLeast"/>
              <w:rPr>
                <w:rFonts w:asciiTheme="minorHAnsi" w:eastAsia="Times New Roman" w:hAnsiTheme="minorHAnsi"/>
                <w:bCs/>
                <w:iCs/>
                <w:szCs w:val="17"/>
                <w:lang w:eastAsia="en-US"/>
              </w:rPr>
            </w:pPr>
            <w:r w:rsidRPr="000A79B7">
              <w:rPr>
                <w:rFonts w:asciiTheme="minorHAnsi" w:eastAsia="Times New Roman" w:hAnsiTheme="minorHAnsi"/>
                <w:bCs/>
                <w:iCs/>
                <w:szCs w:val="17"/>
                <w:lang w:eastAsia="en-US"/>
              </w:rPr>
              <w:t xml:space="preserve">To be uploaded </w:t>
            </w:r>
            <w:r w:rsidR="000D2D3F" w:rsidRPr="000A79B7">
              <w:rPr>
                <w:rFonts w:asciiTheme="minorHAnsi" w:eastAsia="Times New Roman" w:hAnsiTheme="minorHAnsi"/>
                <w:bCs/>
                <w:iCs/>
                <w:szCs w:val="17"/>
                <w:lang w:eastAsia="en-US"/>
              </w:rPr>
              <w:t>March</w:t>
            </w:r>
            <w:r w:rsidRPr="000A79B7">
              <w:rPr>
                <w:rFonts w:asciiTheme="minorHAnsi" w:eastAsia="Times New Roman" w:hAnsiTheme="minorHAnsi"/>
                <w:bCs/>
                <w:iCs/>
                <w:szCs w:val="17"/>
                <w:lang w:eastAsia="en-US"/>
              </w:rPr>
              <w:t xml:space="preserve"> 201</w:t>
            </w:r>
            <w:r w:rsidR="000D2D3F" w:rsidRPr="000A79B7">
              <w:rPr>
                <w:rFonts w:asciiTheme="minorHAnsi" w:eastAsia="Times New Roman" w:hAnsiTheme="minorHAnsi"/>
                <w:bCs/>
                <w:iCs/>
                <w:szCs w:val="17"/>
                <w:lang w:eastAsia="en-US"/>
              </w:rPr>
              <w:t>8</w:t>
            </w:r>
          </w:p>
        </w:tc>
        <w:tc>
          <w:tcPr>
            <w:tcW w:w="2300" w:type="dxa"/>
            <w:tcBorders>
              <w:top w:val="single" w:sz="4" w:space="0" w:color="auto"/>
              <w:bottom w:val="nil"/>
            </w:tcBorders>
          </w:tcPr>
          <w:p w14:paraId="6904D3F1" w14:textId="77777777" w:rsidR="004B0A61" w:rsidRPr="000A79B7" w:rsidRDefault="000D2D3F" w:rsidP="004B0A61">
            <w:pPr>
              <w:keepLines/>
              <w:spacing w:before="40" w:after="40" w:line="200" w:lineRule="atLeast"/>
              <w:rPr>
                <w:rFonts w:asciiTheme="minorHAnsi" w:eastAsia="Times New Roman" w:hAnsiTheme="minorHAnsi"/>
                <w:bCs/>
                <w:iCs/>
                <w:szCs w:val="17"/>
                <w:lang w:eastAsia="en-US"/>
              </w:rPr>
            </w:pPr>
            <w:r w:rsidRPr="000A79B7">
              <w:rPr>
                <w:rFonts w:asciiTheme="minorHAnsi" w:eastAsia="Times New Roman" w:hAnsiTheme="minorHAnsi"/>
                <w:bCs/>
                <w:iCs/>
                <w:szCs w:val="17"/>
                <w:lang w:eastAsia="en-US"/>
              </w:rPr>
              <w:t xml:space="preserve">Determine future scale of budget and timeframe based on assessment  of effectiveness and efficiency to date </w:t>
            </w:r>
          </w:p>
        </w:tc>
        <w:tc>
          <w:tcPr>
            <w:tcW w:w="2314" w:type="dxa"/>
            <w:tcBorders>
              <w:top w:val="single" w:sz="4" w:space="0" w:color="auto"/>
              <w:bottom w:val="nil"/>
            </w:tcBorders>
          </w:tcPr>
          <w:p w14:paraId="7943B191" w14:textId="77777777" w:rsidR="004B0A61" w:rsidRPr="000A79B7" w:rsidRDefault="000D2D3F" w:rsidP="004B0A61">
            <w:pPr>
              <w:keepLines/>
              <w:spacing w:before="40" w:after="40" w:line="200" w:lineRule="atLeast"/>
              <w:rPr>
                <w:rFonts w:asciiTheme="minorHAnsi" w:eastAsia="Times New Roman" w:hAnsiTheme="minorHAnsi"/>
                <w:bCs/>
                <w:iCs/>
                <w:szCs w:val="17"/>
                <w:lang w:eastAsia="en-US"/>
              </w:rPr>
            </w:pPr>
            <w:r w:rsidRPr="000A79B7">
              <w:rPr>
                <w:rFonts w:asciiTheme="minorHAnsi" w:eastAsia="Times New Roman" w:hAnsiTheme="minorHAnsi"/>
                <w:bCs/>
                <w:iCs/>
                <w:szCs w:val="17"/>
                <w:lang w:eastAsia="en-US"/>
              </w:rPr>
              <w:t>DFAT led</w:t>
            </w:r>
          </w:p>
        </w:tc>
      </w:tr>
      <w:tr w:rsidR="004B0A61" w:rsidRPr="00280CC1" w14:paraId="5965DF0E" w14:textId="77777777" w:rsidTr="004B0A61">
        <w:tc>
          <w:tcPr>
            <w:tcW w:w="2424" w:type="dxa"/>
            <w:tcBorders>
              <w:top w:val="single" w:sz="4" w:space="0" w:color="auto"/>
              <w:bottom w:val="nil"/>
            </w:tcBorders>
          </w:tcPr>
          <w:p w14:paraId="5EE1A18C" w14:textId="77777777" w:rsidR="004B0A61" w:rsidRPr="000A79B7" w:rsidRDefault="000D2D3F" w:rsidP="004B0A61">
            <w:pPr>
              <w:keepLines/>
              <w:spacing w:before="40" w:after="40" w:line="200" w:lineRule="atLeast"/>
              <w:rPr>
                <w:rFonts w:asciiTheme="minorHAnsi" w:eastAsia="Times New Roman" w:hAnsiTheme="minorHAnsi"/>
                <w:bCs/>
                <w:iCs/>
                <w:szCs w:val="17"/>
                <w:lang w:eastAsia="en-US"/>
              </w:rPr>
            </w:pPr>
            <w:r w:rsidRPr="000A79B7">
              <w:rPr>
                <w:rFonts w:asciiTheme="minorHAnsi" w:eastAsia="Times New Roman" w:hAnsiTheme="minorHAnsi"/>
                <w:bCs/>
                <w:iCs/>
                <w:szCs w:val="17"/>
                <w:lang w:eastAsia="en-US"/>
              </w:rPr>
              <w:t xml:space="preserve">CAVAC Phase II </w:t>
            </w:r>
            <w:r w:rsidR="004B0A61" w:rsidRPr="000A79B7">
              <w:rPr>
                <w:rFonts w:asciiTheme="minorHAnsi" w:eastAsia="Times New Roman" w:hAnsiTheme="minorHAnsi"/>
                <w:bCs/>
                <w:iCs/>
                <w:szCs w:val="17"/>
                <w:lang w:eastAsia="en-US"/>
              </w:rPr>
              <w:t>Mid-term Evaluation</w:t>
            </w:r>
          </w:p>
        </w:tc>
        <w:tc>
          <w:tcPr>
            <w:tcW w:w="2332" w:type="dxa"/>
            <w:tcBorders>
              <w:top w:val="single" w:sz="4" w:space="0" w:color="auto"/>
              <w:bottom w:val="nil"/>
            </w:tcBorders>
          </w:tcPr>
          <w:p w14:paraId="10FF6735" w14:textId="77777777" w:rsidR="004B0A61" w:rsidRPr="000A79B7" w:rsidRDefault="004B0A61" w:rsidP="004B0A61">
            <w:pPr>
              <w:keepLines/>
              <w:spacing w:before="40" w:after="40" w:line="200" w:lineRule="atLeast"/>
              <w:rPr>
                <w:rFonts w:asciiTheme="minorHAnsi" w:eastAsia="Times New Roman" w:hAnsiTheme="minorHAnsi"/>
                <w:bCs/>
                <w:iCs/>
                <w:szCs w:val="17"/>
                <w:lang w:eastAsia="en-US"/>
              </w:rPr>
            </w:pPr>
            <w:r w:rsidRPr="000A79B7">
              <w:rPr>
                <w:rFonts w:asciiTheme="minorHAnsi" w:eastAsia="Times New Roman" w:hAnsiTheme="minorHAnsi"/>
                <w:bCs/>
                <w:iCs/>
                <w:szCs w:val="17"/>
                <w:lang w:eastAsia="en-US"/>
              </w:rPr>
              <w:t>ING741 Cambodia Agricultural Value Chain Program</w:t>
            </w:r>
            <w:r w:rsidR="000D2D3F" w:rsidRPr="000A79B7">
              <w:rPr>
                <w:rFonts w:asciiTheme="minorHAnsi" w:eastAsia="Times New Roman" w:hAnsiTheme="minorHAnsi"/>
                <w:bCs/>
                <w:iCs/>
                <w:szCs w:val="17"/>
                <w:lang w:eastAsia="en-US"/>
              </w:rPr>
              <w:t xml:space="preserve"> Phase II</w:t>
            </w:r>
          </w:p>
        </w:tc>
        <w:tc>
          <w:tcPr>
            <w:tcW w:w="2419" w:type="dxa"/>
            <w:tcBorders>
              <w:top w:val="single" w:sz="4" w:space="0" w:color="auto"/>
              <w:bottom w:val="nil"/>
            </w:tcBorders>
          </w:tcPr>
          <w:p w14:paraId="31270C95" w14:textId="77777777" w:rsidR="004B0A61" w:rsidRPr="000A79B7" w:rsidRDefault="004B0A61" w:rsidP="004B0A61">
            <w:pPr>
              <w:keepLines/>
              <w:spacing w:before="40" w:after="40" w:line="200" w:lineRule="atLeast"/>
              <w:rPr>
                <w:rFonts w:asciiTheme="minorHAnsi" w:eastAsia="Times New Roman" w:hAnsiTheme="minorHAnsi"/>
                <w:bCs/>
                <w:iCs/>
                <w:szCs w:val="17"/>
                <w:lang w:eastAsia="en-US"/>
              </w:rPr>
            </w:pPr>
            <w:r w:rsidRPr="000A79B7">
              <w:rPr>
                <w:rFonts w:asciiTheme="minorHAnsi" w:eastAsia="Times New Roman" w:hAnsiTheme="minorHAnsi"/>
                <w:bCs/>
                <w:iCs/>
                <w:szCs w:val="17"/>
                <w:lang w:eastAsia="en-US"/>
              </w:rPr>
              <w:t>February 2018</w:t>
            </w:r>
          </w:p>
        </w:tc>
        <w:tc>
          <w:tcPr>
            <w:tcW w:w="2188" w:type="dxa"/>
            <w:tcBorders>
              <w:top w:val="single" w:sz="4" w:space="0" w:color="auto"/>
              <w:bottom w:val="nil"/>
            </w:tcBorders>
          </w:tcPr>
          <w:p w14:paraId="421A900A" w14:textId="77777777" w:rsidR="004B0A61" w:rsidRPr="000A79B7" w:rsidRDefault="000D2D3F" w:rsidP="004B0A61">
            <w:pPr>
              <w:keepLines/>
              <w:spacing w:before="40" w:after="40" w:line="200" w:lineRule="atLeast"/>
              <w:rPr>
                <w:rFonts w:asciiTheme="minorHAnsi" w:eastAsia="Times New Roman" w:hAnsiTheme="minorHAnsi"/>
                <w:bCs/>
                <w:iCs/>
                <w:szCs w:val="17"/>
                <w:lang w:eastAsia="en-US"/>
              </w:rPr>
            </w:pPr>
            <w:r w:rsidRPr="000A79B7">
              <w:rPr>
                <w:rFonts w:asciiTheme="minorHAnsi" w:eastAsia="Times New Roman" w:hAnsiTheme="minorHAnsi"/>
                <w:bCs/>
                <w:iCs/>
                <w:szCs w:val="17"/>
                <w:lang w:eastAsia="en-US"/>
              </w:rPr>
              <w:t>May</w:t>
            </w:r>
            <w:r w:rsidR="004B0A61" w:rsidRPr="000A79B7">
              <w:rPr>
                <w:rFonts w:asciiTheme="minorHAnsi" w:eastAsia="Times New Roman" w:hAnsiTheme="minorHAnsi"/>
                <w:bCs/>
                <w:iCs/>
                <w:szCs w:val="17"/>
                <w:lang w:eastAsia="en-US"/>
              </w:rPr>
              <w:t xml:space="preserve"> 2018</w:t>
            </w:r>
          </w:p>
        </w:tc>
        <w:tc>
          <w:tcPr>
            <w:tcW w:w="2300" w:type="dxa"/>
            <w:tcBorders>
              <w:top w:val="single" w:sz="4" w:space="0" w:color="auto"/>
              <w:bottom w:val="nil"/>
            </w:tcBorders>
          </w:tcPr>
          <w:p w14:paraId="1014964B" w14:textId="77777777" w:rsidR="004B0A61" w:rsidRPr="000A79B7" w:rsidRDefault="004B0A61" w:rsidP="004B0A61">
            <w:pPr>
              <w:keepLines/>
              <w:spacing w:before="40" w:after="40" w:line="200" w:lineRule="atLeast"/>
              <w:rPr>
                <w:rFonts w:asciiTheme="minorHAnsi" w:eastAsia="Times New Roman" w:hAnsiTheme="minorHAnsi"/>
                <w:bCs/>
                <w:iCs/>
                <w:szCs w:val="17"/>
                <w:lang w:eastAsia="en-US"/>
              </w:rPr>
            </w:pPr>
            <w:r w:rsidRPr="000A79B7">
              <w:rPr>
                <w:rFonts w:asciiTheme="minorHAnsi" w:eastAsia="Times New Roman" w:hAnsiTheme="minorHAnsi"/>
                <w:bCs/>
                <w:iCs/>
                <w:szCs w:val="17"/>
                <w:lang w:eastAsia="en-US"/>
              </w:rPr>
              <w:t>Improve existing investment, with a focus on policy dialogue and strategic influence</w:t>
            </w:r>
          </w:p>
        </w:tc>
        <w:tc>
          <w:tcPr>
            <w:tcW w:w="2314" w:type="dxa"/>
            <w:tcBorders>
              <w:top w:val="single" w:sz="4" w:space="0" w:color="auto"/>
              <w:bottom w:val="nil"/>
            </w:tcBorders>
          </w:tcPr>
          <w:p w14:paraId="00D679BE" w14:textId="77777777" w:rsidR="004B0A61" w:rsidRPr="000A79B7" w:rsidRDefault="004B0A61" w:rsidP="004B0A61">
            <w:pPr>
              <w:keepLines/>
              <w:spacing w:before="40" w:after="40" w:line="200" w:lineRule="atLeast"/>
              <w:rPr>
                <w:rFonts w:asciiTheme="minorHAnsi" w:eastAsia="Times New Roman" w:hAnsiTheme="minorHAnsi"/>
                <w:bCs/>
                <w:iCs/>
                <w:szCs w:val="17"/>
                <w:lang w:eastAsia="en-US"/>
              </w:rPr>
            </w:pPr>
            <w:r w:rsidRPr="000A79B7">
              <w:rPr>
                <w:rFonts w:asciiTheme="minorHAnsi" w:eastAsia="Times New Roman" w:hAnsiTheme="minorHAnsi"/>
                <w:bCs/>
                <w:iCs/>
                <w:szCs w:val="17"/>
                <w:lang w:eastAsia="en-US"/>
              </w:rPr>
              <w:t>DFAT led (includes consultants engaged by DFAT)</w:t>
            </w:r>
          </w:p>
          <w:p w14:paraId="3F090DDE" w14:textId="77777777" w:rsidR="004B0A61" w:rsidRPr="000A79B7" w:rsidRDefault="004B0A61" w:rsidP="004B0A61">
            <w:pPr>
              <w:keepLines/>
              <w:spacing w:before="40" w:after="40" w:line="200" w:lineRule="atLeast"/>
              <w:rPr>
                <w:rFonts w:asciiTheme="minorHAnsi" w:eastAsia="Times New Roman" w:hAnsiTheme="minorHAnsi"/>
                <w:bCs/>
                <w:iCs/>
                <w:szCs w:val="17"/>
                <w:lang w:eastAsia="en-US"/>
              </w:rPr>
            </w:pPr>
            <w:r w:rsidRPr="000A79B7">
              <w:rPr>
                <w:rFonts w:asciiTheme="minorHAnsi" w:eastAsia="Times New Roman" w:hAnsiTheme="minorHAnsi"/>
                <w:bCs/>
                <w:iCs/>
                <w:szCs w:val="17"/>
                <w:lang w:eastAsia="en-US"/>
              </w:rPr>
              <w:t xml:space="preserve"> </w:t>
            </w:r>
          </w:p>
        </w:tc>
      </w:tr>
      <w:tr w:rsidR="004B0A61" w:rsidRPr="00280CC1" w14:paraId="13791EEF" w14:textId="77777777" w:rsidTr="004B0A61">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329"/>
        </w:trPr>
        <w:tc>
          <w:tcPr>
            <w:tcW w:w="2424" w:type="dxa"/>
          </w:tcPr>
          <w:p w14:paraId="342B067C" w14:textId="77777777" w:rsidR="004B0A61" w:rsidRPr="00280CC1" w:rsidRDefault="004B0A61" w:rsidP="00AA0A6E">
            <w:pPr>
              <w:keepLines/>
              <w:spacing w:before="40" w:after="40" w:line="200" w:lineRule="atLeast"/>
              <w:rPr>
                <w:rFonts w:asciiTheme="minorHAnsi" w:eastAsia="Times New Roman" w:hAnsiTheme="minorHAnsi"/>
                <w:b w:val="0"/>
                <w:iCs/>
                <w:szCs w:val="17"/>
                <w:lang w:eastAsia="en-US"/>
              </w:rPr>
            </w:pPr>
          </w:p>
        </w:tc>
        <w:tc>
          <w:tcPr>
            <w:tcW w:w="2332" w:type="dxa"/>
          </w:tcPr>
          <w:p w14:paraId="71A49A30" w14:textId="77777777" w:rsidR="004B0A61" w:rsidRPr="00280CC1" w:rsidRDefault="004B0A61" w:rsidP="00AA0A6E">
            <w:pPr>
              <w:keepLines/>
              <w:spacing w:before="40" w:after="40" w:line="200" w:lineRule="atLeast"/>
              <w:rPr>
                <w:rFonts w:asciiTheme="minorHAnsi" w:eastAsia="Times New Roman" w:hAnsiTheme="minorHAnsi"/>
                <w:b w:val="0"/>
                <w:iCs/>
                <w:szCs w:val="17"/>
                <w:lang w:eastAsia="en-US"/>
              </w:rPr>
            </w:pPr>
          </w:p>
        </w:tc>
        <w:tc>
          <w:tcPr>
            <w:tcW w:w="2419" w:type="dxa"/>
          </w:tcPr>
          <w:p w14:paraId="52BC06CB" w14:textId="77777777" w:rsidR="004B0A61" w:rsidRPr="00280CC1" w:rsidRDefault="004B0A61" w:rsidP="00AA0A6E">
            <w:pPr>
              <w:keepLines/>
              <w:spacing w:before="40" w:after="40" w:line="200" w:lineRule="atLeast"/>
              <w:rPr>
                <w:rFonts w:asciiTheme="minorHAnsi" w:eastAsia="Times New Roman" w:hAnsiTheme="minorHAnsi"/>
                <w:b w:val="0"/>
                <w:iCs/>
                <w:szCs w:val="17"/>
                <w:lang w:eastAsia="en-US"/>
              </w:rPr>
            </w:pPr>
          </w:p>
        </w:tc>
        <w:tc>
          <w:tcPr>
            <w:tcW w:w="2188" w:type="dxa"/>
          </w:tcPr>
          <w:p w14:paraId="125D6E32" w14:textId="77777777" w:rsidR="004B0A61" w:rsidRPr="00280CC1" w:rsidRDefault="004B0A61" w:rsidP="00AA0A6E">
            <w:pPr>
              <w:keepLines/>
              <w:spacing w:before="40" w:after="40" w:line="200" w:lineRule="atLeast"/>
              <w:rPr>
                <w:rFonts w:asciiTheme="minorHAnsi" w:eastAsia="Times New Roman" w:hAnsiTheme="minorHAnsi"/>
                <w:b w:val="0"/>
                <w:iCs/>
                <w:szCs w:val="17"/>
                <w:lang w:eastAsia="en-US"/>
              </w:rPr>
            </w:pPr>
          </w:p>
        </w:tc>
        <w:tc>
          <w:tcPr>
            <w:tcW w:w="2300" w:type="dxa"/>
          </w:tcPr>
          <w:p w14:paraId="25591C7A" w14:textId="77777777" w:rsidR="004B0A61" w:rsidRPr="00280CC1" w:rsidRDefault="004B0A61" w:rsidP="00AA0A6E">
            <w:pPr>
              <w:keepLines/>
              <w:spacing w:before="40" w:after="40" w:line="200" w:lineRule="atLeast"/>
              <w:rPr>
                <w:rFonts w:asciiTheme="minorHAnsi" w:eastAsia="Times New Roman" w:hAnsiTheme="minorHAnsi"/>
                <w:b w:val="0"/>
                <w:iCs/>
                <w:szCs w:val="17"/>
                <w:lang w:eastAsia="en-US"/>
              </w:rPr>
            </w:pPr>
          </w:p>
        </w:tc>
        <w:tc>
          <w:tcPr>
            <w:tcW w:w="2314" w:type="dxa"/>
          </w:tcPr>
          <w:p w14:paraId="66A64384" w14:textId="77777777" w:rsidR="004B0A61" w:rsidRPr="00280CC1" w:rsidRDefault="004B0A61" w:rsidP="00AA0A6E">
            <w:pPr>
              <w:keepLines/>
              <w:spacing w:before="40" w:after="40" w:line="200" w:lineRule="atLeast"/>
              <w:rPr>
                <w:rFonts w:asciiTheme="minorHAnsi" w:eastAsia="Times New Roman" w:hAnsiTheme="minorHAnsi"/>
                <w:b w:val="0"/>
                <w:iCs/>
                <w:szCs w:val="17"/>
                <w:lang w:eastAsia="en-US"/>
              </w:rPr>
            </w:pPr>
          </w:p>
        </w:tc>
      </w:tr>
    </w:tbl>
    <w:p w14:paraId="28A47398" w14:textId="77777777" w:rsidR="00400B0F" w:rsidRPr="00280CC1" w:rsidRDefault="00400B0F" w:rsidP="00400B0F">
      <w:pPr>
        <w:rPr>
          <w:b/>
        </w:rPr>
        <w:sectPr w:rsidR="00400B0F" w:rsidRPr="00280CC1" w:rsidSect="00567D48">
          <w:headerReference w:type="even" r:id="rId29"/>
          <w:headerReference w:type="default" r:id="rId30"/>
          <w:headerReference w:type="first" r:id="rId31"/>
          <w:footerReference w:type="first" r:id="rId32"/>
          <w:footnotePr>
            <w:numRestart w:val="eachPage"/>
          </w:footnotePr>
          <w:pgSz w:w="16838" w:h="11906" w:orient="landscape" w:code="9"/>
          <w:pgMar w:top="1272" w:right="1814" w:bottom="851" w:left="851" w:header="709" w:footer="230" w:gutter="0"/>
          <w:cols w:space="708"/>
          <w:titlePg/>
          <w:docGrid w:linePitch="360"/>
        </w:sectPr>
      </w:pPr>
    </w:p>
    <w:p w14:paraId="47F34D9C" w14:textId="27535B83" w:rsidR="00400B0F" w:rsidRPr="00280CC1" w:rsidRDefault="00400B0F" w:rsidP="00400B0F">
      <w:pPr>
        <w:keepNext/>
        <w:tabs>
          <w:tab w:val="left" w:pos="1560"/>
        </w:tabs>
        <w:spacing w:before="360" w:after="120"/>
        <w:outlineLvl w:val="1"/>
        <w:rPr>
          <w:rFonts w:eastAsiaTheme="majorEastAsia" w:cstheme="majorBidi"/>
          <w:bCs/>
          <w:iCs/>
          <w:caps/>
          <w:spacing w:val="-10"/>
          <w:kern w:val="28"/>
          <w:sz w:val="38"/>
          <w:szCs w:val="24"/>
        </w:rPr>
      </w:pPr>
      <w:r w:rsidRPr="00280CC1">
        <w:rPr>
          <w:rFonts w:eastAsiaTheme="majorEastAsia" w:cstheme="majorBidi"/>
          <w:bCs/>
          <w:iCs/>
          <w:caps/>
          <w:spacing w:val="-10"/>
          <w:kern w:val="28"/>
          <w:sz w:val="38"/>
          <w:szCs w:val="24"/>
        </w:rPr>
        <w:lastRenderedPageBreak/>
        <w:t xml:space="preserve">Annex </w:t>
      </w:r>
      <w:proofErr w:type="gramStart"/>
      <w:r w:rsidRPr="00280CC1">
        <w:rPr>
          <w:rFonts w:eastAsiaTheme="majorEastAsia" w:cstheme="majorBidi"/>
          <w:bCs/>
          <w:iCs/>
          <w:caps/>
          <w:spacing w:val="-10"/>
          <w:kern w:val="28"/>
          <w:sz w:val="38"/>
          <w:szCs w:val="24"/>
        </w:rPr>
        <w:t xml:space="preserve">D </w:t>
      </w:r>
      <w:r w:rsidR="00C20EEC">
        <w:rPr>
          <w:rFonts w:eastAsiaTheme="majorEastAsia" w:cstheme="majorBidi"/>
          <w:bCs/>
          <w:iCs/>
          <w:caps/>
          <w:spacing w:val="-10"/>
          <w:kern w:val="28"/>
          <w:sz w:val="38"/>
          <w:szCs w:val="24"/>
        </w:rPr>
        <w:t xml:space="preserve"> </w:t>
      </w:r>
      <w:r w:rsidRPr="00280CC1">
        <w:rPr>
          <w:rFonts w:eastAsiaTheme="majorEastAsia" w:cstheme="majorBidi"/>
          <w:bCs/>
          <w:iCs/>
          <w:caps/>
          <w:spacing w:val="-10"/>
          <w:kern w:val="28"/>
          <w:sz w:val="38"/>
          <w:szCs w:val="24"/>
        </w:rPr>
        <w:t>-</w:t>
      </w:r>
      <w:proofErr w:type="gramEnd"/>
      <w:r w:rsidRPr="00280CC1">
        <w:rPr>
          <w:rFonts w:eastAsiaTheme="majorEastAsia" w:cstheme="majorBidi"/>
          <w:bCs/>
          <w:iCs/>
          <w:caps/>
          <w:spacing w:val="-10"/>
          <w:kern w:val="28"/>
          <w:sz w:val="38"/>
          <w:szCs w:val="24"/>
        </w:rPr>
        <w:t xml:space="preserve"> Aid Quality Check ratings</w:t>
      </w:r>
    </w:p>
    <w:p w14:paraId="5BF526C6" w14:textId="77777777" w:rsidR="009378B8" w:rsidRPr="00280CC1" w:rsidRDefault="00400B0F" w:rsidP="00400B0F">
      <w:pPr>
        <w:keepNext/>
        <w:numPr>
          <w:ilvl w:val="2"/>
          <w:numId w:val="0"/>
        </w:numPr>
        <w:spacing w:before="240" w:after="120"/>
        <w:outlineLvl w:val="2"/>
        <w:rPr>
          <w:rFonts w:asciiTheme="majorHAnsi" w:eastAsiaTheme="majorEastAsia" w:hAnsiTheme="majorHAnsi" w:cstheme="majorBidi"/>
          <w:caps/>
          <w:sz w:val="38"/>
          <w:szCs w:val="26"/>
        </w:rPr>
      </w:pPr>
      <w:r w:rsidRPr="00280CC1">
        <w:rPr>
          <w:rFonts w:asciiTheme="majorHAnsi" w:eastAsiaTheme="majorEastAsia" w:hAnsiTheme="majorHAnsi" w:cstheme="majorBidi"/>
          <w:caps/>
          <w:sz w:val="38"/>
          <w:szCs w:val="26"/>
        </w:rPr>
        <w:t>AQC ratings</w:t>
      </w:r>
      <w:r w:rsidR="00483B7E">
        <w:rPr>
          <w:rFonts w:asciiTheme="majorHAnsi" w:eastAsiaTheme="majorEastAsia" w:hAnsiTheme="majorHAnsi" w:cstheme="majorBidi"/>
          <w:caps/>
          <w:sz w:val="38"/>
          <w:szCs w:val="26"/>
        </w:rPr>
        <w:br/>
      </w:r>
      <w:r w:rsidR="009378B8" w:rsidRPr="00280CC1">
        <w:t>AQC investment performance over the previous 12 months and where available last year’s AQC ratings are included.</w:t>
      </w:r>
    </w:p>
    <w:tbl>
      <w:tblPr>
        <w:tblStyle w:val="APPR"/>
        <w:tblW w:w="4814" w:type="pct"/>
        <w:tblInd w:w="136" w:type="dxa"/>
        <w:tblBorders>
          <w:top w:val="none" w:sz="0" w:space="0" w:color="auto"/>
          <w:bottom w:val="single" w:sz="4" w:space="0" w:color="auto"/>
        </w:tblBorders>
        <w:tblLook w:val="0000" w:firstRow="0" w:lastRow="0" w:firstColumn="0" w:lastColumn="0" w:noHBand="0" w:noVBand="0"/>
      </w:tblPr>
      <w:tblGrid>
        <w:gridCol w:w="3978"/>
        <w:gridCol w:w="1134"/>
        <w:gridCol w:w="981"/>
        <w:gridCol w:w="984"/>
        <w:gridCol w:w="1143"/>
        <w:gridCol w:w="1261"/>
        <w:gridCol w:w="1549"/>
        <w:gridCol w:w="1150"/>
        <w:gridCol w:w="1393"/>
        <w:gridCol w:w="1137"/>
      </w:tblGrid>
      <w:tr w:rsidR="009934B7" w:rsidRPr="00280CC1" w14:paraId="6FBFB83D" w14:textId="77777777" w:rsidTr="009934B7">
        <w:trPr>
          <w:cnfStyle w:val="000000010000" w:firstRow="0" w:lastRow="0" w:firstColumn="0" w:lastColumn="0" w:oddVBand="0" w:evenVBand="0" w:oddHBand="0" w:evenHBand="1" w:firstRowFirstColumn="0" w:firstRowLastColumn="0" w:lastRowFirstColumn="0" w:lastRowLastColumn="0"/>
        </w:trPr>
        <w:tc>
          <w:tcPr>
            <w:tcW w:w="1337" w:type="pct"/>
            <w:tcBorders>
              <w:top w:val="single" w:sz="4" w:space="0" w:color="auto"/>
              <w:bottom w:val="single" w:sz="4" w:space="0" w:color="auto"/>
            </w:tcBorders>
          </w:tcPr>
          <w:p w14:paraId="4E21B193" w14:textId="304F6025" w:rsidR="00A8411F" w:rsidRPr="00280CC1" w:rsidRDefault="00A8411F" w:rsidP="009378B8">
            <w:pPr>
              <w:keepLines/>
              <w:spacing w:before="80" w:after="80" w:line="200" w:lineRule="atLeast"/>
              <w:rPr>
                <w:rFonts w:eastAsia="Times New Roman"/>
                <w:b/>
                <w:iCs/>
                <w:szCs w:val="17"/>
              </w:rPr>
            </w:pPr>
            <w:r w:rsidRPr="00280CC1">
              <w:rPr>
                <w:rFonts w:asciiTheme="minorHAnsi" w:eastAsia="Times New Roman" w:hAnsiTheme="minorHAnsi"/>
                <w:b/>
                <w:iCs/>
                <w:szCs w:val="17"/>
                <w:lang w:eastAsia="en-US"/>
              </w:rPr>
              <w:t>Investment name</w:t>
            </w:r>
          </w:p>
        </w:tc>
        <w:tc>
          <w:tcPr>
            <w:tcW w:w="376" w:type="pct"/>
            <w:tcBorders>
              <w:top w:val="single" w:sz="4" w:space="0" w:color="auto"/>
              <w:bottom w:val="single" w:sz="4" w:space="0" w:color="auto"/>
            </w:tcBorders>
          </w:tcPr>
          <w:p w14:paraId="16068C12" w14:textId="3A5D7B7F" w:rsidR="00A8411F" w:rsidRPr="00280CC1" w:rsidRDefault="00A8411F" w:rsidP="009378B8">
            <w:pPr>
              <w:keepLines/>
              <w:spacing w:before="80" w:after="80" w:line="200" w:lineRule="atLeast"/>
              <w:rPr>
                <w:rFonts w:eastAsia="Times New Roman"/>
                <w:b/>
                <w:iCs/>
                <w:szCs w:val="17"/>
              </w:rPr>
            </w:pPr>
            <w:r w:rsidRPr="00280CC1">
              <w:rPr>
                <w:rFonts w:asciiTheme="minorHAnsi" w:eastAsia="Times New Roman" w:hAnsiTheme="minorHAnsi"/>
                <w:b/>
                <w:iCs/>
                <w:szCs w:val="17"/>
                <w:lang w:eastAsia="en-US"/>
              </w:rPr>
              <w:t>Approved budget and duration</w:t>
            </w:r>
          </w:p>
        </w:tc>
        <w:tc>
          <w:tcPr>
            <w:tcW w:w="324" w:type="pct"/>
            <w:tcBorders>
              <w:top w:val="single" w:sz="4" w:space="0" w:color="auto"/>
              <w:bottom w:val="single" w:sz="4" w:space="0" w:color="auto"/>
            </w:tcBorders>
          </w:tcPr>
          <w:p w14:paraId="1A8152B1" w14:textId="6CECF38F" w:rsidR="00A8411F" w:rsidRPr="00280CC1" w:rsidRDefault="00020BC9" w:rsidP="009378B8">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Year on y</w:t>
            </w:r>
            <w:r w:rsidR="00A8411F" w:rsidRPr="00280CC1">
              <w:rPr>
                <w:rFonts w:asciiTheme="minorHAnsi" w:eastAsia="Times New Roman" w:hAnsiTheme="minorHAnsi"/>
                <w:b/>
                <w:iCs/>
                <w:szCs w:val="17"/>
                <w:lang w:eastAsia="en-US"/>
              </w:rPr>
              <w:t>ear</w:t>
            </w:r>
          </w:p>
        </w:tc>
        <w:tc>
          <w:tcPr>
            <w:tcW w:w="325" w:type="pct"/>
            <w:tcBorders>
              <w:top w:val="single" w:sz="4" w:space="0" w:color="auto"/>
              <w:bottom w:val="single" w:sz="4" w:space="0" w:color="auto"/>
            </w:tcBorders>
          </w:tcPr>
          <w:p w14:paraId="6E4E0CEA" w14:textId="77777777" w:rsidR="00A8411F" w:rsidRPr="00280CC1" w:rsidRDefault="00A8411F" w:rsidP="009378B8">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Relevance</w:t>
            </w:r>
          </w:p>
        </w:tc>
        <w:tc>
          <w:tcPr>
            <w:tcW w:w="379" w:type="pct"/>
            <w:tcBorders>
              <w:top w:val="single" w:sz="4" w:space="0" w:color="auto"/>
              <w:bottom w:val="single" w:sz="4" w:space="0" w:color="auto"/>
            </w:tcBorders>
          </w:tcPr>
          <w:p w14:paraId="43526B30" w14:textId="77777777" w:rsidR="00A8411F" w:rsidRPr="00280CC1" w:rsidRDefault="00A8411F" w:rsidP="009378B8">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Effectiveness</w:t>
            </w:r>
          </w:p>
        </w:tc>
        <w:tc>
          <w:tcPr>
            <w:tcW w:w="419" w:type="pct"/>
            <w:tcBorders>
              <w:top w:val="single" w:sz="4" w:space="0" w:color="auto"/>
              <w:bottom w:val="single" w:sz="4" w:space="0" w:color="auto"/>
            </w:tcBorders>
          </w:tcPr>
          <w:p w14:paraId="4BE6E5C8" w14:textId="77777777" w:rsidR="00A8411F" w:rsidRPr="00280CC1" w:rsidRDefault="00A8411F" w:rsidP="009378B8">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Efficiency</w:t>
            </w:r>
          </w:p>
        </w:tc>
        <w:tc>
          <w:tcPr>
            <w:tcW w:w="517" w:type="pct"/>
            <w:tcBorders>
              <w:top w:val="single" w:sz="4" w:space="0" w:color="auto"/>
              <w:bottom w:val="single" w:sz="4" w:space="0" w:color="auto"/>
            </w:tcBorders>
          </w:tcPr>
          <w:p w14:paraId="7409FF39" w14:textId="77777777" w:rsidR="00A8411F" w:rsidRPr="00280CC1" w:rsidRDefault="00A8411F" w:rsidP="009378B8">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Monitoring and Evaluation</w:t>
            </w:r>
          </w:p>
        </w:tc>
        <w:tc>
          <w:tcPr>
            <w:tcW w:w="381" w:type="pct"/>
            <w:tcBorders>
              <w:top w:val="single" w:sz="4" w:space="0" w:color="auto"/>
              <w:bottom w:val="single" w:sz="4" w:space="0" w:color="auto"/>
            </w:tcBorders>
          </w:tcPr>
          <w:p w14:paraId="3E91182E" w14:textId="77777777" w:rsidR="00A8411F" w:rsidRPr="00280CC1" w:rsidRDefault="00A8411F" w:rsidP="009378B8">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Sustainability</w:t>
            </w:r>
          </w:p>
        </w:tc>
        <w:tc>
          <w:tcPr>
            <w:tcW w:w="464" w:type="pct"/>
            <w:tcBorders>
              <w:top w:val="single" w:sz="4" w:space="0" w:color="auto"/>
              <w:bottom w:val="single" w:sz="4" w:space="0" w:color="auto"/>
            </w:tcBorders>
          </w:tcPr>
          <w:p w14:paraId="5F597AE5" w14:textId="77777777" w:rsidR="00A8411F" w:rsidRPr="00280CC1" w:rsidRDefault="00A8411F" w:rsidP="009378B8">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Gender equality</w:t>
            </w:r>
          </w:p>
        </w:tc>
        <w:tc>
          <w:tcPr>
            <w:tcW w:w="372" w:type="pct"/>
            <w:tcBorders>
              <w:top w:val="single" w:sz="4" w:space="0" w:color="auto"/>
              <w:bottom w:val="single" w:sz="4" w:space="0" w:color="auto"/>
            </w:tcBorders>
          </w:tcPr>
          <w:p w14:paraId="06CC8966" w14:textId="77777777" w:rsidR="00A8411F" w:rsidRPr="00280CC1" w:rsidRDefault="00A8411F" w:rsidP="009378B8">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Risks  and Safeguards</w:t>
            </w:r>
          </w:p>
        </w:tc>
      </w:tr>
      <w:tr w:rsidR="009934B7" w:rsidRPr="00280CC1" w14:paraId="283D6566"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337" w:type="pct"/>
          </w:tcPr>
          <w:p w14:paraId="6E95EC2C" w14:textId="02D4ED70" w:rsidR="00A8411F" w:rsidRPr="00A8411F" w:rsidRDefault="00AB664F" w:rsidP="00A8411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Rural Energy Project</w:t>
            </w:r>
          </w:p>
        </w:tc>
        <w:tc>
          <w:tcPr>
            <w:tcW w:w="376" w:type="pct"/>
          </w:tcPr>
          <w:p w14:paraId="4E96D61F" w14:textId="000F8771" w:rsidR="00A8411F" w:rsidRPr="00A8411F" w:rsidRDefault="00D61920" w:rsidP="00A8411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$7.8</w:t>
            </w:r>
            <w:r w:rsidR="00A8411F" w:rsidRPr="00EE2FEA">
              <w:rPr>
                <w:rFonts w:asciiTheme="minorHAnsi" w:eastAsia="Times New Roman" w:hAnsiTheme="minorHAnsi"/>
                <w:iCs/>
                <w:szCs w:val="17"/>
                <w:lang w:eastAsia="en-US"/>
              </w:rPr>
              <w:t>m</w:t>
            </w:r>
          </w:p>
        </w:tc>
        <w:tc>
          <w:tcPr>
            <w:tcW w:w="324" w:type="pct"/>
          </w:tcPr>
          <w:p w14:paraId="5E6388C1" w14:textId="77777777" w:rsidR="00A8411F" w:rsidRPr="00280CC1" w:rsidRDefault="00A8411F" w:rsidP="00A8411F">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2017 AQC</w:t>
            </w:r>
          </w:p>
        </w:tc>
        <w:tc>
          <w:tcPr>
            <w:tcW w:w="325" w:type="pct"/>
            <w:shd w:val="clear" w:color="auto" w:fill="92D050"/>
            <w:noWrap/>
          </w:tcPr>
          <w:p w14:paraId="2B8237EB"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379" w:type="pct"/>
            <w:shd w:val="clear" w:color="auto" w:fill="FFFF00"/>
            <w:noWrap/>
          </w:tcPr>
          <w:p w14:paraId="3DA80A1D"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19" w:type="pct"/>
            <w:shd w:val="clear" w:color="auto" w:fill="FFFF00"/>
            <w:noWrap/>
          </w:tcPr>
          <w:p w14:paraId="7298C8E8"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517" w:type="pct"/>
            <w:shd w:val="clear" w:color="auto" w:fill="92D050"/>
            <w:noWrap/>
          </w:tcPr>
          <w:p w14:paraId="6A606C55"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381" w:type="pct"/>
            <w:shd w:val="clear" w:color="auto" w:fill="92D050"/>
            <w:noWrap/>
          </w:tcPr>
          <w:p w14:paraId="1028E30E"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64" w:type="pct"/>
            <w:shd w:val="clear" w:color="auto" w:fill="92D050"/>
            <w:noWrap/>
          </w:tcPr>
          <w:p w14:paraId="0B9B5253"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372" w:type="pct"/>
            <w:shd w:val="clear" w:color="auto" w:fill="auto"/>
          </w:tcPr>
          <w:p w14:paraId="60B20381"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r>
      <w:tr w:rsidR="009934B7" w:rsidRPr="00280CC1" w14:paraId="296A1F93"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337" w:type="pct"/>
            <w:tcBorders>
              <w:bottom w:val="single" w:sz="4" w:space="0" w:color="auto"/>
            </w:tcBorders>
          </w:tcPr>
          <w:p w14:paraId="6D4AAE7F" w14:textId="77777777" w:rsidR="00A8411F" w:rsidRPr="00A8411F" w:rsidRDefault="00A8411F" w:rsidP="000163DD">
            <w:pPr>
              <w:keepLines/>
              <w:spacing w:before="40" w:after="40" w:line="200" w:lineRule="atLeast"/>
              <w:rPr>
                <w:rFonts w:asciiTheme="minorHAnsi" w:eastAsia="Times New Roman" w:hAnsiTheme="minorHAnsi"/>
                <w:iCs/>
                <w:szCs w:val="17"/>
                <w:lang w:eastAsia="en-US"/>
              </w:rPr>
            </w:pPr>
          </w:p>
        </w:tc>
        <w:tc>
          <w:tcPr>
            <w:tcW w:w="376" w:type="pct"/>
            <w:tcBorders>
              <w:bottom w:val="single" w:sz="4" w:space="0" w:color="auto"/>
            </w:tcBorders>
          </w:tcPr>
          <w:p w14:paraId="46B9FD33" w14:textId="360E55ED" w:rsidR="00A8411F" w:rsidRPr="00A8411F" w:rsidRDefault="00AB664F" w:rsidP="000163D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2014-18</w:t>
            </w:r>
          </w:p>
        </w:tc>
        <w:tc>
          <w:tcPr>
            <w:tcW w:w="324" w:type="pct"/>
            <w:tcBorders>
              <w:bottom w:val="single" w:sz="4" w:space="0" w:color="auto"/>
            </w:tcBorders>
          </w:tcPr>
          <w:p w14:paraId="5448BDE3" w14:textId="77777777" w:rsidR="00A8411F" w:rsidRPr="00280CC1" w:rsidRDefault="00A8411F" w:rsidP="000163DD">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2016 AQC</w:t>
            </w:r>
          </w:p>
        </w:tc>
        <w:tc>
          <w:tcPr>
            <w:tcW w:w="325" w:type="pct"/>
            <w:tcBorders>
              <w:bottom w:val="single" w:sz="4" w:space="0" w:color="auto"/>
            </w:tcBorders>
            <w:shd w:val="clear" w:color="auto" w:fill="92D050"/>
            <w:noWrap/>
            <w:vAlign w:val="center"/>
          </w:tcPr>
          <w:p w14:paraId="05A97FBD"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379" w:type="pct"/>
            <w:tcBorders>
              <w:bottom w:val="single" w:sz="4" w:space="0" w:color="auto"/>
            </w:tcBorders>
            <w:shd w:val="clear" w:color="auto" w:fill="FFFF00"/>
            <w:noWrap/>
            <w:vAlign w:val="center"/>
          </w:tcPr>
          <w:p w14:paraId="52963A12"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419" w:type="pct"/>
            <w:tcBorders>
              <w:bottom w:val="single" w:sz="4" w:space="0" w:color="auto"/>
            </w:tcBorders>
            <w:shd w:val="clear" w:color="auto" w:fill="92D050"/>
            <w:noWrap/>
            <w:vAlign w:val="center"/>
          </w:tcPr>
          <w:p w14:paraId="683E9828"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517" w:type="pct"/>
            <w:tcBorders>
              <w:bottom w:val="single" w:sz="4" w:space="0" w:color="auto"/>
            </w:tcBorders>
            <w:shd w:val="clear" w:color="auto" w:fill="92D050"/>
            <w:noWrap/>
            <w:vAlign w:val="center"/>
          </w:tcPr>
          <w:p w14:paraId="44602BA5"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381" w:type="pct"/>
            <w:tcBorders>
              <w:bottom w:val="single" w:sz="4" w:space="0" w:color="auto"/>
            </w:tcBorders>
            <w:shd w:val="clear" w:color="auto" w:fill="92D050"/>
            <w:noWrap/>
            <w:vAlign w:val="center"/>
          </w:tcPr>
          <w:p w14:paraId="38772F1C"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464" w:type="pct"/>
            <w:tcBorders>
              <w:bottom w:val="single" w:sz="4" w:space="0" w:color="auto"/>
            </w:tcBorders>
            <w:shd w:val="clear" w:color="auto" w:fill="92D050"/>
            <w:noWrap/>
            <w:vAlign w:val="center"/>
          </w:tcPr>
          <w:p w14:paraId="4F571AAA"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372" w:type="pct"/>
            <w:tcBorders>
              <w:bottom w:val="single" w:sz="4" w:space="0" w:color="auto"/>
            </w:tcBorders>
            <w:shd w:val="clear" w:color="auto" w:fill="92D050"/>
            <w:vAlign w:val="center"/>
          </w:tcPr>
          <w:p w14:paraId="5BA6CF43"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r>
      <w:tr w:rsidR="009934B7" w:rsidRPr="00280CC1" w14:paraId="45953021"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337" w:type="pct"/>
          </w:tcPr>
          <w:p w14:paraId="7A058CEF" w14:textId="214B93EE" w:rsidR="00A8411F" w:rsidRPr="00A8411F" w:rsidRDefault="00A8411F" w:rsidP="00A8411F">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Cambodia Infrastructure Investment 2013-2020</w:t>
            </w:r>
            <w:r>
              <w:rPr>
                <w:rFonts w:asciiTheme="minorHAnsi" w:eastAsia="Times New Roman" w:hAnsiTheme="minorHAnsi"/>
                <w:iCs/>
                <w:szCs w:val="17"/>
                <w:lang w:eastAsia="en-US"/>
              </w:rPr>
              <w:t xml:space="preserve"> </w:t>
            </w:r>
          </w:p>
        </w:tc>
        <w:tc>
          <w:tcPr>
            <w:tcW w:w="376" w:type="pct"/>
          </w:tcPr>
          <w:p w14:paraId="16FA53DC" w14:textId="045B0054" w:rsidR="00A8411F" w:rsidRPr="00A8411F" w:rsidRDefault="00A8411F" w:rsidP="009D36E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w:t>
            </w:r>
            <w:r w:rsidRPr="00280CC1">
              <w:rPr>
                <w:rFonts w:asciiTheme="minorHAnsi" w:eastAsia="Times New Roman" w:hAnsiTheme="minorHAnsi"/>
                <w:iCs/>
                <w:szCs w:val="17"/>
                <w:lang w:eastAsia="en-US"/>
              </w:rPr>
              <w:t>40.0m</w:t>
            </w:r>
          </w:p>
        </w:tc>
        <w:tc>
          <w:tcPr>
            <w:tcW w:w="324" w:type="pct"/>
          </w:tcPr>
          <w:p w14:paraId="5262F694" w14:textId="77777777" w:rsidR="00A8411F" w:rsidRPr="00280CC1" w:rsidRDefault="00A8411F" w:rsidP="001103E6">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2017 AQC</w:t>
            </w:r>
          </w:p>
        </w:tc>
        <w:tc>
          <w:tcPr>
            <w:tcW w:w="325" w:type="pct"/>
            <w:shd w:val="clear" w:color="auto" w:fill="FFFF00"/>
            <w:noWrap/>
          </w:tcPr>
          <w:p w14:paraId="399A781D"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379" w:type="pct"/>
            <w:shd w:val="clear" w:color="auto" w:fill="FFC000"/>
            <w:noWrap/>
          </w:tcPr>
          <w:p w14:paraId="75FEBD09"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3</w:t>
            </w:r>
          </w:p>
        </w:tc>
        <w:tc>
          <w:tcPr>
            <w:tcW w:w="419" w:type="pct"/>
            <w:shd w:val="clear" w:color="auto" w:fill="FF0000"/>
            <w:noWrap/>
          </w:tcPr>
          <w:p w14:paraId="48A6ED91"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2</w:t>
            </w:r>
          </w:p>
        </w:tc>
        <w:tc>
          <w:tcPr>
            <w:tcW w:w="517" w:type="pct"/>
            <w:shd w:val="clear" w:color="auto" w:fill="FFC000"/>
            <w:noWrap/>
          </w:tcPr>
          <w:p w14:paraId="46F4B1B6"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3</w:t>
            </w:r>
          </w:p>
        </w:tc>
        <w:tc>
          <w:tcPr>
            <w:tcW w:w="381" w:type="pct"/>
            <w:shd w:val="clear" w:color="auto" w:fill="FFFF00"/>
            <w:noWrap/>
          </w:tcPr>
          <w:p w14:paraId="34526B62"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64" w:type="pct"/>
            <w:shd w:val="clear" w:color="auto" w:fill="FFFF00"/>
            <w:noWrap/>
          </w:tcPr>
          <w:p w14:paraId="58EE6764"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372" w:type="pct"/>
            <w:shd w:val="clear" w:color="auto" w:fill="auto"/>
          </w:tcPr>
          <w:p w14:paraId="4D014A88"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r>
      <w:tr w:rsidR="009934B7" w:rsidRPr="00280CC1" w14:paraId="2F9F454D"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337" w:type="pct"/>
            <w:tcBorders>
              <w:bottom w:val="single" w:sz="4" w:space="0" w:color="auto"/>
            </w:tcBorders>
          </w:tcPr>
          <w:p w14:paraId="15055D30" w14:textId="4BC013B3" w:rsidR="00A8411F" w:rsidRPr="00A8411F" w:rsidRDefault="00AB664F" w:rsidP="00A8411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(includes RRIP II</w:t>
            </w:r>
            <w:r w:rsidR="00A8411F">
              <w:rPr>
                <w:rFonts w:asciiTheme="minorHAnsi" w:eastAsia="Times New Roman" w:hAnsiTheme="minorHAnsi"/>
                <w:iCs/>
                <w:szCs w:val="17"/>
                <w:lang w:eastAsia="en-US"/>
              </w:rPr>
              <w:t>*)</w:t>
            </w:r>
          </w:p>
        </w:tc>
        <w:tc>
          <w:tcPr>
            <w:tcW w:w="376" w:type="pct"/>
            <w:tcBorders>
              <w:bottom w:val="single" w:sz="4" w:space="0" w:color="auto"/>
            </w:tcBorders>
          </w:tcPr>
          <w:p w14:paraId="08072ED1" w14:textId="16B1985F" w:rsidR="00A8411F" w:rsidRPr="00A8411F" w:rsidRDefault="00A8411F" w:rsidP="00A8411F">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2013-20</w:t>
            </w:r>
          </w:p>
        </w:tc>
        <w:tc>
          <w:tcPr>
            <w:tcW w:w="324" w:type="pct"/>
            <w:tcBorders>
              <w:bottom w:val="single" w:sz="4" w:space="0" w:color="auto"/>
            </w:tcBorders>
          </w:tcPr>
          <w:p w14:paraId="7EFBF8ED" w14:textId="77777777" w:rsidR="00A8411F" w:rsidRPr="00280CC1" w:rsidRDefault="00A8411F" w:rsidP="000163DD">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2016 AQC</w:t>
            </w:r>
          </w:p>
        </w:tc>
        <w:tc>
          <w:tcPr>
            <w:tcW w:w="325" w:type="pct"/>
            <w:tcBorders>
              <w:bottom w:val="single" w:sz="4" w:space="0" w:color="auto"/>
            </w:tcBorders>
            <w:shd w:val="clear" w:color="auto" w:fill="92D050"/>
            <w:noWrap/>
            <w:vAlign w:val="center"/>
          </w:tcPr>
          <w:p w14:paraId="2389891F"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379" w:type="pct"/>
            <w:tcBorders>
              <w:bottom w:val="single" w:sz="4" w:space="0" w:color="auto"/>
            </w:tcBorders>
            <w:shd w:val="clear" w:color="auto" w:fill="92D050"/>
            <w:noWrap/>
            <w:vAlign w:val="center"/>
          </w:tcPr>
          <w:p w14:paraId="6E5E28D3"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419" w:type="pct"/>
            <w:tcBorders>
              <w:bottom w:val="single" w:sz="4" w:space="0" w:color="auto"/>
            </w:tcBorders>
            <w:shd w:val="clear" w:color="auto" w:fill="92D050"/>
            <w:noWrap/>
            <w:vAlign w:val="center"/>
          </w:tcPr>
          <w:p w14:paraId="2D511A31"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517" w:type="pct"/>
            <w:tcBorders>
              <w:bottom w:val="single" w:sz="4" w:space="0" w:color="auto"/>
            </w:tcBorders>
            <w:shd w:val="clear" w:color="auto" w:fill="92D050"/>
            <w:noWrap/>
            <w:vAlign w:val="center"/>
          </w:tcPr>
          <w:p w14:paraId="1B66A73D"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381" w:type="pct"/>
            <w:tcBorders>
              <w:bottom w:val="single" w:sz="4" w:space="0" w:color="auto"/>
            </w:tcBorders>
            <w:shd w:val="clear" w:color="auto" w:fill="92D050"/>
            <w:noWrap/>
            <w:vAlign w:val="center"/>
          </w:tcPr>
          <w:p w14:paraId="4C2A960B"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464" w:type="pct"/>
            <w:tcBorders>
              <w:bottom w:val="single" w:sz="4" w:space="0" w:color="auto"/>
            </w:tcBorders>
            <w:shd w:val="clear" w:color="auto" w:fill="FFFF00"/>
            <w:noWrap/>
            <w:vAlign w:val="center"/>
          </w:tcPr>
          <w:p w14:paraId="18CAF765"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372" w:type="pct"/>
            <w:tcBorders>
              <w:bottom w:val="single" w:sz="4" w:space="0" w:color="auto"/>
            </w:tcBorders>
            <w:shd w:val="clear" w:color="auto" w:fill="FFFF00"/>
            <w:vAlign w:val="center"/>
          </w:tcPr>
          <w:p w14:paraId="3D819789"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r>
      <w:tr w:rsidR="009934B7" w:rsidRPr="00280CC1" w14:paraId="38C619C8"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337" w:type="pct"/>
          </w:tcPr>
          <w:p w14:paraId="4031CF65" w14:textId="4E42170D" w:rsidR="00A8411F" w:rsidRPr="00A8411F" w:rsidRDefault="00A8411F" w:rsidP="005A5E37">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3i - Investing In Infrastructure</w:t>
            </w:r>
          </w:p>
        </w:tc>
        <w:tc>
          <w:tcPr>
            <w:tcW w:w="376" w:type="pct"/>
          </w:tcPr>
          <w:p w14:paraId="718D97C6" w14:textId="15E2CD3E" w:rsidR="00A8411F" w:rsidRPr="00A8411F" w:rsidRDefault="00D61920" w:rsidP="005A5E3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$45.4</w:t>
            </w:r>
            <w:r w:rsidR="00A8411F" w:rsidRPr="00280CC1">
              <w:rPr>
                <w:rFonts w:asciiTheme="minorHAnsi" w:eastAsia="Times New Roman" w:hAnsiTheme="minorHAnsi"/>
                <w:iCs/>
                <w:szCs w:val="17"/>
                <w:lang w:eastAsia="en-US"/>
              </w:rPr>
              <w:t>m</w:t>
            </w:r>
          </w:p>
        </w:tc>
        <w:tc>
          <w:tcPr>
            <w:tcW w:w="324" w:type="pct"/>
          </w:tcPr>
          <w:p w14:paraId="151924DD" w14:textId="77777777" w:rsidR="00A8411F" w:rsidRPr="00280CC1" w:rsidRDefault="00A8411F" w:rsidP="005A5E37">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2017 AQC</w:t>
            </w:r>
          </w:p>
        </w:tc>
        <w:tc>
          <w:tcPr>
            <w:tcW w:w="325" w:type="pct"/>
            <w:shd w:val="clear" w:color="auto" w:fill="92D050"/>
            <w:noWrap/>
          </w:tcPr>
          <w:p w14:paraId="00A7F2A7"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379" w:type="pct"/>
            <w:shd w:val="clear" w:color="auto" w:fill="92D050"/>
            <w:noWrap/>
          </w:tcPr>
          <w:p w14:paraId="4614A545"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19" w:type="pct"/>
            <w:shd w:val="clear" w:color="auto" w:fill="92D050"/>
            <w:noWrap/>
          </w:tcPr>
          <w:p w14:paraId="21150F2D"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517" w:type="pct"/>
            <w:shd w:val="clear" w:color="auto" w:fill="FFFF00"/>
            <w:noWrap/>
          </w:tcPr>
          <w:p w14:paraId="3FF3FEC0"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381" w:type="pct"/>
            <w:shd w:val="clear" w:color="auto" w:fill="92D050"/>
            <w:noWrap/>
          </w:tcPr>
          <w:p w14:paraId="0E80D795"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64" w:type="pct"/>
            <w:shd w:val="clear" w:color="auto" w:fill="FFFF00"/>
            <w:noWrap/>
          </w:tcPr>
          <w:p w14:paraId="7FDB1BB5"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372" w:type="pct"/>
            <w:shd w:val="clear" w:color="auto" w:fill="auto"/>
          </w:tcPr>
          <w:p w14:paraId="13C2F1E2"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r>
      <w:tr w:rsidR="009934B7" w:rsidRPr="00280CC1" w14:paraId="09FCA671"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337" w:type="pct"/>
            <w:tcBorders>
              <w:bottom w:val="single" w:sz="4" w:space="0" w:color="auto"/>
            </w:tcBorders>
          </w:tcPr>
          <w:p w14:paraId="3863346F" w14:textId="77777777" w:rsidR="00A8411F" w:rsidRPr="00A8411F" w:rsidRDefault="00A8411F" w:rsidP="000163DD">
            <w:pPr>
              <w:keepLines/>
              <w:spacing w:before="40" w:after="40" w:line="200" w:lineRule="atLeast"/>
              <w:rPr>
                <w:rFonts w:asciiTheme="minorHAnsi" w:eastAsia="Times New Roman" w:hAnsiTheme="minorHAnsi"/>
                <w:iCs/>
                <w:szCs w:val="17"/>
                <w:lang w:eastAsia="en-US"/>
              </w:rPr>
            </w:pPr>
          </w:p>
        </w:tc>
        <w:tc>
          <w:tcPr>
            <w:tcW w:w="376" w:type="pct"/>
            <w:tcBorders>
              <w:bottom w:val="single" w:sz="4" w:space="0" w:color="auto"/>
            </w:tcBorders>
          </w:tcPr>
          <w:p w14:paraId="279042CF" w14:textId="02B62AAA" w:rsidR="00A8411F" w:rsidRPr="00A8411F" w:rsidRDefault="00AB664F" w:rsidP="000163D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2015-21</w:t>
            </w:r>
          </w:p>
        </w:tc>
        <w:tc>
          <w:tcPr>
            <w:tcW w:w="324" w:type="pct"/>
            <w:tcBorders>
              <w:bottom w:val="single" w:sz="4" w:space="0" w:color="auto"/>
            </w:tcBorders>
          </w:tcPr>
          <w:p w14:paraId="0AD76784" w14:textId="77777777" w:rsidR="00A8411F" w:rsidRPr="00280CC1" w:rsidRDefault="00A8411F" w:rsidP="000163DD">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2016 AQC</w:t>
            </w:r>
          </w:p>
        </w:tc>
        <w:tc>
          <w:tcPr>
            <w:tcW w:w="325" w:type="pct"/>
            <w:tcBorders>
              <w:bottom w:val="single" w:sz="4" w:space="0" w:color="auto"/>
            </w:tcBorders>
            <w:shd w:val="clear" w:color="auto" w:fill="92D050"/>
            <w:noWrap/>
            <w:vAlign w:val="center"/>
          </w:tcPr>
          <w:p w14:paraId="04AAF9EA"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379" w:type="pct"/>
            <w:tcBorders>
              <w:bottom w:val="single" w:sz="4" w:space="0" w:color="auto"/>
            </w:tcBorders>
            <w:shd w:val="clear" w:color="auto" w:fill="FFFF00"/>
            <w:noWrap/>
            <w:vAlign w:val="center"/>
          </w:tcPr>
          <w:p w14:paraId="2E423A02"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419" w:type="pct"/>
            <w:tcBorders>
              <w:bottom w:val="single" w:sz="4" w:space="0" w:color="auto"/>
            </w:tcBorders>
            <w:shd w:val="clear" w:color="auto" w:fill="FFFF00"/>
            <w:noWrap/>
            <w:vAlign w:val="center"/>
          </w:tcPr>
          <w:p w14:paraId="3DB83AD0"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517" w:type="pct"/>
            <w:tcBorders>
              <w:bottom w:val="single" w:sz="4" w:space="0" w:color="auto"/>
            </w:tcBorders>
            <w:shd w:val="clear" w:color="auto" w:fill="FFFF00"/>
            <w:noWrap/>
            <w:vAlign w:val="center"/>
          </w:tcPr>
          <w:p w14:paraId="5FB52077"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381" w:type="pct"/>
            <w:tcBorders>
              <w:bottom w:val="single" w:sz="4" w:space="0" w:color="auto"/>
            </w:tcBorders>
            <w:shd w:val="clear" w:color="auto" w:fill="FFFF00"/>
            <w:noWrap/>
            <w:vAlign w:val="center"/>
          </w:tcPr>
          <w:p w14:paraId="42AB6C71"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464" w:type="pct"/>
            <w:tcBorders>
              <w:bottom w:val="single" w:sz="4" w:space="0" w:color="auto"/>
            </w:tcBorders>
            <w:shd w:val="clear" w:color="auto" w:fill="FFC000"/>
            <w:noWrap/>
            <w:vAlign w:val="center"/>
          </w:tcPr>
          <w:p w14:paraId="456C0484"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3</w:t>
            </w:r>
          </w:p>
        </w:tc>
        <w:tc>
          <w:tcPr>
            <w:tcW w:w="372" w:type="pct"/>
            <w:tcBorders>
              <w:bottom w:val="single" w:sz="4" w:space="0" w:color="auto"/>
            </w:tcBorders>
            <w:shd w:val="clear" w:color="auto" w:fill="92D050"/>
            <w:vAlign w:val="center"/>
          </w:tcPr>
          <w:p w14:paraId="5BF61125"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r>
      <w:tr w:rsidR="009934B7" w:rsidRPr="00280CC1" w14:paraId="079668A6"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337" w:type="pct"/>
          </w:tcPr>
          <w:p w14:paraId="23F7A2C0" w14:textId="79281A45" w:rsidR="00A8411F" w:rsidRPr="00A8411F" w:rsidRDefault="00A8411F" w:rsidP="00D865AB">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Cambodia Agricultural Value Chain Program Phase 2</w:t>
            </w:r>
          </w:p>
        </w:tc>
        <w:tc>
          <w:tcPr>
            <w:tcW w:w="376" w:type="pct"/>
          </w:tcPr>
          <w:p w14:paraId="4989A3A9" w14:textId="4EFA076B" w:rsidR="00A8411F" w:rsidRPr="00A8411F" w:rsidRDefault="00D61920" w:rsidP="00D865AB">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$89.7</w:t>
            </w:r>
            <w:r w:rsidR="00A8411F">
              <w:rPr>
                <w:rFonts w:asciiTheme="minorHAnsi" w:eastAsia="Times New Roman" w:hAnsiTheme="minorHAnsi"/>
                <w:iCs/>
                <w:szCs w:val="17"/>
                <w:lang w:eastAsia="en-US"/>
              </w:rPr>
              <w:t>m</w:t>
            </w:r>
          </w:p>
        </w:tc>
        <w:tc>
          <w:tcPr>
            <w:tcW w:w="324" w:type="pct"/>
          </w:tcPr>
          <w:p w14:paraId="0A6501BE" w14:textId="77777777" w:rsidR="00A8411F" w:rsidRPr="00280CC1" w:rsidRDefault="00A8411F" w:rsidP="00D865AB">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2017 AQC</w:t>
            </w:r>
          </w:p>
        </w:tc>
        <w:tc>
          <w:tcPr>
            <w:tcW w:w="325" w:type="pct"/>
            <w:shd w:val="clear" w:color="auto" w:fill="92D050"/>
            <w:noWrap/>
          </w:tcPr>
          <w:p w14:paraId="60008F7E" w14:textId="2B575B35" w:rsidR="00A8411F" w:rsidRPr="00280CC1" w:rsidRDefault="00003B03" w:rsidP="000D7E3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79" w:type="pct"/>
            <w:shd w:val="clear" w:color="auto" w:fill="FFFF00"/>
            <w:noWrap/>
          </w:tcPr>
          <w:p w14:paraId="108DBAD4"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19" w:type="pct"/>
            <w:shd w:val="clear" w:color="auto" w:fill="FFFF00"/>
            <w:noWrap/>
          </w:tcPr>
          <w:p w14:paraId="284519A1"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517" w:type="pct"/>
            <w:shd w:val="clear" w:color="auto" w:fill="FFFF00"/>
            <w:noWrap/>
          </w:tcPr>
          <w:p w14:paraId="7DF4FB51"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381" w:type="pct"/>
            <w:shd w:val="clear" w:color="auto" w:fill="92D050"/>
            <w:noWrap/>
          </w:tcPr>
          <w:p w14:paraId="3A5A5DB8"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64" w:type="pct"/>
            <w:shd w:val="clear" w:color="auto" w:fill="FFFF00"/>
            <w:noWrap/>
          </w:tcPr>
          <w:p w14:paraId="37CA2918"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372" w:type="pct"/>
            <w:shd w:val="clear" w:color="auto" w:fill="auto"/>
          </w:tcPr>
          <w:p w14:paraId="619761F9"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r>
      <w:tr w:rsidR="009934B7" w:rsidRPr="00280CC1" w14:paraId="4B4207AE"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337" w:type="pct"/>
            <w:tcBorders>
              <w:bottom w:val="single" w:sz="4" w:space="0" w:color="auto"/>
            </w:tcBorders>
          </w:tcPr>
          <w:p w14:paraId="13DED34D" w14:textId="77777777" w:rsidR="00A8411F" w:rsidRPr="00A8411F" w:rsidRDefault="00A8411F" w:rsidP="000163DD">
            <w:pPr>
              <w:keepLines/>
              <w:spacing w:before="40" w:after="40" w:line="200" w:lineRule="atLeast"/>
              <w:rPr>
                <w:rFonts w:asciiTheme="minorHAnsi" w:eastAsia="Times New Roman" w:hAnsiTheme="minorHAnsi"/>
                <w:iCs/>
                <w:szCs w:val="17"/>
                <w:lang w:eastAsia="en-US"/>
              </w:rPr>
            </w:pPr>
          </w:p>
        </w:tc>
        <w:tc>
          <w:tcPr>
            <w:tcW w:w="376" w:type="pct"/>
            <w:tcBorders>
              <w:bottom w:val="single" w:sz="4" w:space="0" w:color="auto"/>
            </w:tcBorders>
          </w:tcPr>
          <w:p w14:paraId="1C2F2AC5" w14:textId="63CF7360" w:rsidR="00A8411F" w:rsidRPr="00A8411F" w:rsidRDefault="00AB664F" w:rsidP="000163D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2016</w:t>
            </w:r>
            <w:r w:rsidR="00A8411F" w:rsidRPr="00280CC1">
              <w:rPr>
                <w:rFonts w:asciiTheme="minorHAnsi" w:eastAsia="Times New Roman" w:hAnsiTheme="minorHAnsi"/>
                <w:iCs/>
                <w:szCs w:val="17"/>
                <w:lang w:eastAsia="en-US"/>
              </w:rPr>
              <w:t>-21</w:t>
            </w:r>
          </w:p>
        </w:tc>
        <w:tc>
          <w:tcPr>
            <w:tcW w:w="324" w:type="pct"/>
            <w:tcBorders>
              <w:bottom w:val="single" w:sz="4" w:space="0" w:color="auto"/>
            </w:tcBorders>
            <w:shd w:val="clear" w:color="auto" w:fill="auto"/>
          </w:tcPr>
          <w:p w14:paraId="6BD243BB" w14:textId="77777777" w:rsidR="00A8411F" w:rsidRPr="00280CC1" w:rsidRDefault="00A8411F" w:rsidP="000163DD">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2016 AQC</w:t>
            </w:r>
          </w:p>
        </w:tc>
        <w:tc>
          <w:tcPr>
            <w:tcW w:w="325" w:type="pct"/>
            <w:tcBorders>
              <w:bottom w:val="single" w:sz="4" w:space="0" w:color="auto"/>
            </w:tcBorders>
            <w:shd w:val="clear" w:color="auto" w:fill="auto"/>
            <w:noWrap/>
            <w:vAlign w:val="center"/>
          </w:tcPr>
          <w:p w14:paraId="7C7D5C62"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E</w:t>
            </w:r>
          </w:p>
        </w:tc>
        <w:tc>
          <w:tcPr>
            <w:tcW w:w="379" w:type="pct"/>
            <w:tcBorders>
              <w:bottom w:val="single" w:sz="4" w:space="0" w:color="auto"/>
            </w:tcBorders>
            <w:shd w:val="clear" w:color="auto" w:fill="auto"/>
            <w:noWrap/>
            <w:vAlign w:val="center"/>
          </w:tcPr>
          <w:p w14:paraId="704E1AC1"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E</w:t>
            </w:r>
          </w:p>
        </w:tc>
        <w:tc>
          <w:tcPr>
            <w:tcW w:w="419" w:type="pct"/>
            <w:tcBorders>
              <w:bottom w:val="single" w:sz="4" w:space="0" w:color="auto"/>
            </w:tcBorders>
            <w:shd w:val="clear" w:color="auto" w:fill="auto"/>
            <w:noWrap/>
            <w:vAlign w:val="center"/>
          </w:tcPr>
          <w:p w14:paraId="7F654164"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E</w:t>
            </w:r>
          </w:p>
        </w:tc>
        <w:tc>
          <w:tcPr>
            <w:tcW w:w="517" w:type="pct"/>
            <w:tcBorders>
              <w:bottom w:val="single" w:sz="4" w:space="0" w:color="auto"/>
            </w:tcBorders>
            <w:shd w:val="clear" w:color="auto" w:fill="auto"/>
            <w:noWrap/>
            <w:vAlign w:val="center"/>
          </w:tcPr>
          <w:p w14:paraId="6A8A8D17"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E</w:t>
            </w:r>
          </w:p>
        </w:tc>
        <w:tc>
          <w:tcPr>
            <w:tcW w:w="381" w:type="pct"/>
            <w:tcBorders>
              <w:bottom w:val="single" w:sz="4" w:space="0" w:color="auto"/>
            </w:tcBorders>
            <w:shd w:val="clear" w:color="auto" w:fill="auto"/>
            <w:noWrap/>
            <w:vAlign w:val="center"/>
          </w:tcPr>
          <w:p w14:paraId="60539D9F"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E</w:t>
            </w:r>
          </w:p>
        </w:tc>
        <w:tc>
          <w:tcPr>
            <w:tcW w:w="464" w:type="pct"/>
            <w:tcBorders>
              <w:bottom w:val="single" w:sz="4" w:space="0" w:color="auto"/>
            </w:tcBorders>
            <w:shd w:val="clear" w:color="auto" w:fill="auto"/>
            <w:noWrap/>
            <w:vAlign w:val="center"/>
          </w:tcPr>
          <w:p w14:paraId="02D2B6AE"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E</w:t>
            </w:r>
          </w:p>
        </w:tc>
        <w:tc>
          <w:tcPr>
            <w:tcW w:w="372" w:type="pct"/>
            <w:tcBorders>
              <w:bottom w:val="single" w:sz="4" w:space="0" w:color="auto"/>
            </w:tcBorders>
            <w:shd w:val="clear" w:color="auto" w:fill="auto"/>
            <w:vAlign w:val="center"/>
          </w:tcPr>
          <w:p w14:paraId="68B6E37C"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E</w:t>
            </w:r>
          </w:p>
        </w:tc>
      </w:tr>
      <w:tr w:rsidR="009934B7" w:rsidRPr="00280CC1" w14:paraId="1609C05F"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337" w:type="pct"/>
          </w:tcPr>
          <w:p w14:paraId="135BF0F9" w14:textId="288A09C9" w:rsidR="00A8411F" w:rsidRPr="00A8411F" w:rsidRDefault="00A8411F" w:rsidP="0098292F">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Clearing for Results Phase III</w:t>
            </w:r>
            <w:r w:rsidR="00AB664F">
              <w:rPr>
                <w:rFonts w:asciiTheme="minorHAnsi" w:eastAsia="Times New Roman" w:hAnsiTheme="minorHAnsi"/>
                <w:iCs/>
                <w:szCs w:val="17"/>
                <w:lang w:eastAsia="en-US"/>
              </w:rPr>
              <w:t>*</w:t>
            </w:r>
          </w:p>
        </w:tc>
        <w:tc>
          <w:tcPr>
            <w:tcW w:w="376" w:type="pct"/>
          </w:tcPr>
          <w:p w14:paraId="0999E781" w14:textId="2881E2E9" w:rsidR="00A8411F" w:rsidRPr="00A8411F" w:rsidRDefault="00A8411F" w:rsidP="0098292F">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$9.0m</w:t>
            </w:r>
          </w:p>
        </w:tc>
        <w:tc>
          <w:tcPr>
            <w:tcW w:w="324" w:type="pct"/>
          </w:tcPr>
          <w:p w14:paraId="2C5EEBB1" w14:textId="77777777" w:rsidR="00A8411F" w:rsidRPr="00280CC1" w:rsidRDefault="00A8411F" w:rsidP="0098292F">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2017 AQC</w:t>
            </w:r>
          </w:p>
        </w:tc>
        <w:tc>
          <w:tcPr>
            <w:tcW w:w="325" w:type="pct"/>
            <w:shd w:val="clear" w:color="auto" w:fill="92D050"/>
            <w:noWrap/>
          </w:tcPr>
          <w:p w14:paraId="5084A151"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379" w:type="pct"/>
            <w:shd w:val="clear" w:color="auto" w:fill="FFC000"/>
            <w:noWrap/>
          </w:tcPr>
          <w:p w14:paraId="0B2D8D3A"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3</w:t>
            </w:r>
          </w:p>
        </w:tc>
        <w:tc>
          <w:tcPr>
            <w:tcW w:w="419" w:type="pct"/>
            <w:shd w:val="clear" w:color="auto" w:fill="FFC000"/>
            <w:noWrap/>
          </w:tcPr>
          <w:p w14:paraId="6D8F93A7"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3</w:t>
            </w:r>
          </w:p>
        </w:tc>
        <w:tc>
          <w:tcPr>
            <w:tcW w:w="517" w:type="pct"/>
            <w:shd w:val="clear" w:color="auto" w:fill="FFFF00"/>
            <w:noWrap/>
          </w:tcPr>
          <w:p w14:paraId="3820669A"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381" w:type="pct"/>
            <w:shd w:val="clear" w:color="auto" w:fill="FFFF00"/>
            <w:noWrap/>
          </w:tcPr>
          <w:p w14:paraId="4E0D0261"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64" w:type="pct"/>
            <w:shd w:val="clear" w:color="auto" w:fill="FFFF00"/>
            <w:noWrap/>
          </w:tcPr>
          <w:p w14:paraId="6421144F"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372" w:type="pct"/>
            <w:shd w:val="clear" w:color="auto" w:fill="auto"/>
          </w:tcPr>
          <w:p w14:paraId="64150911"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r>
      <w:tr w:rsidR="009934B7" w:rsidRPr="00280CC1" w14:paraId="2F54755B"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337" w:type="pct"/>
            <w:tcBorders>
              <w:bottom w:val="single" w:sz="4" w:space="0" w:color="auto"/>
            </w:tcBorders>
          </w:tcPr>
          <w:p w14:paraId="0B7AF185" w14:textId="77777777" w:rsidR="00A8411F" w:rsidRPr="00A8411F" w:rsidRDefault="00A8411F" w:rsidP="0098292F">
            <w:pPr>
              <w:keepLines/>
              <w:spacing w:before="40" w:after="40" w:line="200" w:lineRule="atLeast"/>
              <w:rPr>
                <w:rFonts w:asciiTheme="minorHAnsi" w:eastAsia="Times New Roman" w:hAnsiTheme="minorHAnsi"/>
                <w:iCs/>
                <w:szCs w:val="17"/>
                <w:lang w:eastAsia="en-US"/>
              </w:rPr>
            </w:pPr>
          </w:p>
        </w:tc>
        <w:tc>
          <w:tcPr>
            <w:tcW w:w="376" w:type="pct"/>
            <w:tcBorders>
              <w:bottom w:val="single" w:sz="4" w:space="0" w:color="auto"/>
            </w:tcBorders>
          </w:tcPr>
          <w:p w14:paraId="39E0BBAF" w14:textId="4945094C" w:rsidR="00A8411F" w:rsidRPr="00A8411F" w:rsidRDefault="00A8411F" w:rsidP="00AB664F">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w:t>
            </w:r>
            <w:r w:rsidR="00AB664F">
              <w:rPr>
                <w:rFonts w:asciiTheme="minorHAnsi" w:eastAsia="Times New Roman" w:hAnsiTheme="minorHAnsi"/>
                <w:iCs/>
                <w:szCs w:val="17"/>
                <w:lang w:eastAsia="en-US"/>
              </w:rPr>
              <w:t>6</w:t>
            </w:r>
            <w:r w:rsidRPr="00280CC1">
              <w:rPr>
                <w:rFonts w:asciiTheme="minorHAnsi" w:eastAsia="Times New Roman" w:hAnsiTheme="minorHAnsi"/>
                <w:iCs/>
                <w:szCs w:val="17"/>
                <w:lang w:eastAsia="en-US"/>
              </w:rPr>
              <w:t>-18</w:t>
            </w:r>
          </w:p>
        </w:tc>
        <w:tc>
          <w:tcPr>
            <w:tcW w:w="324" w:type="pct"/>
            <w:tcBorders>
              <w:bottom w:val="single" w:sz="4" w:space="0" w:color="auto"/>
            </w:tcBorders>
            <w:shd w:val="clear" w:color="auto" w:fill="auto"/>
          </w:tcPr>
          <w:p w14:paraId="2239FC78" w14:textId="77777777" w:rsidR="00A8411F" w:rsidRPr="00280CC1" w:rsidRDefault="00A8411F" w:rsidP="0098292F">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2016 AQC</w:t>
            </w:r>
          </w:p>
        </w:tc>
        <w:tc>
          <w:tcPr>
            <w:tcW w:w="325" w:type="pct"/>
            <w:tcBorders>
              <w:bottom w:val="single" w:sz="4" w:space="0" w:color="auto"/>
            </w:tcBorders>
            <w:shd w:val="clear" w:color="auto" w:fill="auto"/>
            <w:noWrap/>
          </w:tcPr>
          <w:p w14:paraId="25974D21"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c>
          <w:tcPr>
            <w:tcW w:w="379" w:type="pct"/>
            <w:tcBorders>
              <w:bottom w:val="single" w:sz="4" w:space="0" w:color="auto"/>
            </w:tcBorders>
            <w:shd w:val="clear" w:color="auto" w:fill="auto"/>
            <w:noWrap/>
          </w:tcPr>
          <w:p w14:paraId="3876B40B"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c>
          <w:tcPr>
            <w:tcW w:w="419" w:type="pct"/>
            <w:tcBorders>
              <w:bottom w:val="single" w:sz="4" w:space="0" w:color="auto"/>
            </w:tcBorders>
            <w:shd w:val="clear" w:color="auto" w:fill="auto"/>
            <w:noWrap/>
          </w:tcPr>
          <w:p w14:paraId="3CE5E7A8"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c>
          <w:tcPr>
            <w:tcW w:w="517" w:type="pct"/>
            <w:tcBorders>
              <w:bottom w:val="single" w:sz="4" w:space="0" w:color="auto"/>
            </w:tcBorders>
            <w:shd w:val="clear" w:color="auto" w:fill="auto"/>
            <w:noWrap/>
          </w:tcPr>
          <w:p w14:paraId="5AF4F3D1"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c>
          <w:tcPr>
            <w:tcW w:w="381" w:type="pct"/>
            <w:tcBorders>
              <w:bottom w:val="single" w:sz="4" w:space="0" w:color="auto"/>
            </w:tcBorders>
            <w:shd w:val="clear" w:color="auto" w:fill="auto"/>
            <w:noWrap/>
          </w:tcPr>
          <w:p w14:paraId="023A8653"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c>
          <w:tcPr>
            <w:tcW w:w="464" w:type="pct"/>
            <w:tcBorders>
              <w:bottom w:val="single" w:sz="4" w:space="0" w:color="auto"/>
            </w:tcBorders>
            <w:shd w:val="clear" w:color="auto" w:fill="auto"/>
            <w:noWrap/>
          </w:tcPr>
          <w:p w14:paraId="1A3FD920"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c>
          <w:tcPr>
            <w:tcW w:w="372" w:type="pct"/>
            <w:tcBorders>
              <w:bottom w:val="single" w:sz="4" w:space="0" w:color="auto"/>
            </w:tcBorders>
            <w:shd w:val="clear" w:color="auto" w:fill="auto"/>
          </w:tcPr>
          <w:p w14:paraId="1E79523B" w14:textId="77777777" w:rsidR="00A8411F" w:rsidRPr="00280CC1" w:rsidRDefault="00A8411F" w:rsidP="000D7E3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r>
      <w:tr w:rsidR="009934B7" w:rsidRPr="00280CC1" w14:paraId="3424E270"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337" w:type="pct"/>
          </w:tcPr>
          <w:p w14:paraId="625A8AB2" w14:textId="5C1471BC" w:rsidR="00A8411F" w:rsidRPr="00A8411F" w:rsidRDefault="00A8411F" w:rsidP="0098292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Delivering Better Health (</w:t>
            </w:r>
            <w:r w:rsidR="00D61920">
              <w:rPr>
                <w:rFonts w:asciiTheme="minorHAnsi" w:eastAsia="Times New Roman" w:hAnsiTheme="minorHAnsi"/>
                <w:iCs/>
                <w:szCs w:val="17"/>
                <w:lang w:eastAsia="en-US"/>
              </w:rPr>
              <w:t xml:space="preserve">includes </w:t>
            </w:r>
            <w:r>
              <w:rPr>
                <w:rFonts w:asciiTheme="minorHAnsi" w:eastAsia="Times New Roman" w:hAnsiTheme="minorHAnsi"/>
                <w:iCs/>
                <w:szCs w:val="17"/>
                <w:lang w:eastAsia="en-US"/>
              </w:rPr>
              <w:t>Partnering to Save Lives)**</w:t>
            </w:r>
          </w:p>
        </w:tc>
        <w:tc>
          <w:tcPr>
            <w:tcW w:w="376" w:type="pct"/>
          </w:tcPr>
          <w:p w14:paraId="684F49A3" w14:textId="77777777" w:rsidR="00A8411F" w:rsidRPr="00280CC1" w:rsidRDefault="00A8411F" w:rsidP="0086630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$22.7m</w:t>
            </w:r>
          </w:p>
          <w:p w14:paraId="22D3CE83" w14:textId="44C8E647" w:rsidR="00A8411F" w:rsidRPr="00A8411F" w:rsidRDefault="00A8411F" w:rsidP="00866305">
            <w:pPr>
              <w:keepLines/>
              <w:spacing w:before="40" w:after="40" w:line="200" w:lineRule="atLeast"/>
              <w:rPr>
                <w:rFonts w:asciiTheme="minorHAnsi" w:eastAsia="Times New Roman" w:hAnsiTheme="minorHAnsi"/>
                <w:iCs/>
                <w:szCs w:val="17"/>
                <w:lang w:eastAsia="en-US"/>
              </w:rPr>
            </w:pPr>
            <w:r w:rsidRPr="0029505D">
              <w:rPr>
                <w:rFonts w:asciiTheme="minorHAnsi" w:eastAsia="Times New Roman" w:hAnsiTheme="minorHAnsi"/>
                <w:iCs/>
                <w:szCs w:val="17"/>
                <w:lang w:eastAsia="en-US"/>
              </w:rPr>
              <w:t>20</w:t>
            </w:r>
            <w:r>
              <w:rPr>
                <w:rFonts w:asciiTheme="minorHAnsi" w:eastAsia="Times New Roman" w:hAnsiTheme="minorHAnsi"/>
                <w:iCs/>
                <w:szCs w:val="17"/>
                <w:lang w:eastAsia="en-US"/>
              </w:rPr>
              <w:t>07</w:t>
            </w:r>
            <w:r w:rsidRPr="00EE2FEA">
              <w:rPr>
                <w:rFonts w:asciiTheme="minorHAnsi" w:eastAsia="Times New Roman" w:hAnsiTheme="minorHAnsi"/>
                <w:iCs/>
                <w:szCs w:val="17"/>
                <w:lang w:eastAsia="en-US"/>
              </w:rPr>
              <w:t>-18</w:t>
            </w:r>
          </w:p>
        </w:tc>
        <w:tc>
          <w:tcPr>
            <w:tcW w:w="324" w:type="pct"/>
          </w:tcPr>
          <w:p w14:paraId="5203A6B2" w14:textId="77777777" w:rsidR="00A8411F" w:rsidRPr="00280CC1" w:rsidRDefault="00A8411F" w:rsidP="0003583D">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2017 AQC</w:t>
            </w:r>
          </w:p>
        </w:tc>
        <w:tc>
          <w:tcPr>
            <w:tcW w:w="325" w:type="pct"/>
            <w:shd w:val="clear" w:color="auto" w:fill="92D050"/>
            <w:noWrap/>
            <w:vAlign w:val="center"/>
          </w:tcPr>
          <w:p w14:paraId="711ED733"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379" w:type="pct"/>
            <w:shd w:val="clear" w:color="auto" w:fill="92D050"/>
            <w:noWrap/>
            <w:vAlign w:val="center"/>
          </w:tcPr>
          <w:p w14:paraId="4732A5E1"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19" w:type="pct"/>
            <w:shd w:val="clear" w:color="auto" w:fill="92D050"/>
            <w:noWrap/>
            <w:vAlign w:val="center"/>
          </w:tcPr>
          <w:p w14:paraId="7D12875F"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517" w:type="pct"/>
            <w:shd w:val="clear" w:color="auto" w:fill="92D050"/>
            <w:noWrap/>
            <w:vAlign w:val="center"/>
          </w:tcPr>
          <w:p w14:paraId="4AE03129"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381" w:type="pct"/>
            <w:shd w:val="clear" w:color="auto" w:fill="FFFF00"/>
            <w:noWrap/>
            <w:vAlign w:val="center"/>
          </w:tcPr>
          <w:p w14:paraId="15CAD03B"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64" w:type="pct"/>
            <w:shd w:val="clear" w:color="auto" w:fill="92D050"/>
            <w:noWrap/>
            <w:vAlign w:val="center"/>
          </w:tcPr>
          <w:p w14:paraId="20A33536"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372" w:type="pct"/>
            <w:shd w:val="clear" w:color="auto" w:fill="auto"/>
            <w:vAlign w:val="center"/>
          </w:tcPr>
          <w:p w14:paraId="303D20ED"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r>
      <w:tr w:rsidR="009934B7" w:rsidRPr="00280CC1" w14:paraId="75563C40"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337" w:type="pct"/>
            <w:tcBorders>
              <w:bottom w:val="single" w:sz="4" w:space="0" w:color="auto"/>
            </w:tcBorders>
          </w:tcPr>
          <w:p w14:paraId="3445A192" w14:textId="77777777" w:rsidR="00A8411F" w:rsidRDefault="00A8411F" w:rsidP="0086630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Delivering Better Health **</w:t>
            </w:r>
          </w:p>
          <w:p w14:paraId="5F355911" w14:textId="77777777" w:rsidR="00A8411F" w:rsidRPr="00A8411F" w:rsidRDefault="00A8411F" w:rsidP="0003583D">
            <w:pPr>
              <w:keepLines/>
              <w:spacing w:before="40" w:after="40" w:line="200" w:lineRule="atLeast"/>
              <w:rPr>
                <w:rFonts w:asciiTheme="minorHAnsi" w:eastAsia="Times New Roman" w:hAnsiTheme="minorHAnsi"/>
                <w:iCs/>
                <w:szCs w:val="17"/>
                <w:lang w:eastAsia="en-US"/>
              </w:rPr>
            </w:pPr>
          </w:p>
        </w:tc>
        <w:tc>
          <w:tcPr>
            <w:tcW w:w="376" w:type="pct"/>
            <w:tcBorders>
              <w:bottom w:val="single" w:sz="4" w:space="0" w:color="auto"/>
            </w:tcBorders>
          </w:tcPr>
          <w:p w14:paraId="43E4A731" w14:textId="77777777" w:rsidR="00A8411F" w:rsidRPr="00280CC1" w:rsidRDefault="00A8411F" w:rsidP="0086630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$118.7m</w:t>
            </w:r>
          </w:p>
          <w:p w14:paraId="30A8C4FB" w14:textId="35EED466" w:rsidR="00A8411F" w:rsidRPr="00A8411F" w:rsidRDefault="00A8411F" w:rsidP="00866305">
            <w:pPr>
              <w:keepLines/>
              <w:spacing w:before="40" w:after="40" w:line="200" w:lineRule="atLeast"/>
              <w:rPr>
                <w:rFonts w:asciiTheme="minorHAnsi" w:eastAsia="Times New Roman" w:hAnsiTheme="minorHAnsi"/>
                <w:iCs/>
                <w:szCs w:val="17"/>
                <w:lang w:eastAsia="en-US"/>
              </w:rPr>
            </w:pPr>
            <w:r w:rsidRPr="0029505D">
              <w:rPr>
                <w:rFonts w:asciiTheme="minorHAnsi" w:eastAsia="Times New Roman" w:hAnsiTheme="minorHAnsi"/>
                <w:iCs/>
                <w:szCs w:val="17"/>
                <w:lang w:eastAsia="en-US"/>
              </w:rPr>
              <w:t>20</w:t>
            </w:r>
            <w:r>
              <w:rPr>
                <w:rFonts w:asciiTheme="minorHAnsi" w:eastAsia="Times New Roman" w:hAnsiTheme="minorHAnsi"/>
                <w:iCs/>
                <w:szCs w:val="17"/>
                <w:lang w:eastAsia="en-US"/>
              </w:rPr>
              <w:t>07</w:t>
            </w:r>
            <w:r w:rsidRPr="00EE2FEA">
              <w:rPr>
                <w:rFonts w:asciiTheme="minorHAnsi" w:eastAsia="Times New Roman" w:hAnsiTheme="minorHAnsi"/>
                <w:iCs/>
                <w:szCs w:val="17"/>
                <w:lang w:eastAsia="en-US"/>
              </w:rPr>
              <w:t>-18</w:t>
            </w:r>
          </w:p>
        </w:tc>
        <w:tc>
          <w:tcPr>
            <w:tcW w:w="324" w:type="pct"/>
            <w:tcBorders>
              <w:bottom w:val="single" w:sz="4" w:space="0" w:color="auto"/>
            </w:tcBorders>
          </w:tcPr>
          <w:p w14:paraId="0C9D6188" w14:textId="77777777" w:rsidR="00A8411F" w:rsidRPr="00280CC1" w:rsidRDefault="00A8411F" w:rsidP="0003583D">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2016 AQC</w:t>
            </w:r>
          </w:p>
        </w:tc>
        <w:tc>
          <w:tcPr>
            <w:tcW w:w="325" w:type="pct"/>
            <w:tcBorders>
              <w:bottom w:val="single" w:sz="4" w:space="0" w:color="auto"/>
            </w:tcBorders>
            <w:shd w:val="clear" w:color="auto" w:fill="92D050"/>
            <w:noWrap/>
            <w:vAlign w:val="center"/>
          </w:tcPr>
          <w:p w14:paraId="0CB35C00"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6</w:t>
            </w:r>
          </w:p>
        </w:tc>
        <w:tc>
          <w:tcPr>
            <w:tcW w:w="379" w:type="pct"/>
            <w:tcBorders>
              <w:bottom w:val="single" w:sz="4" w:space="0" w:color="auto"/>
            </w:tcBorders>
            <w:shd w:val="clear" w:color="auto" w:fill="92D050"/>
            <w:noWrap/>
            <w:vAlign w:val="center"/>
          </w:tcPr>
          <w:p w14:paraId="57DD2B50"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419" w:type="pct"/>
            <w:tcBorders>
              <w:bottom w:val="single" w:sz="4" w:space="0" w:color="auto"/>
            </w:tcBorders>
            <w:shd w:val="clear" w:color="auto" w:fill="FFFF00"/>
            <w:noWrap/>
            <w:vAlign w:val="center"/>
          </w:tcPr>
          <w:p w14:paraId="5AD3888F"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517" w:type="pct"/>
            <w:tcBorders>
              <w:bottom w:val="single" w:sz="4" w:space="0" w:color="auto"/>
            </w:tcBorders>
            <w:shd w:val="clear" w:color="auto" w:fill="92D050"/>
            <w:noWrap/>
            <w:vAlign w:val="center"/>
          </w:tcPr>
          <w:p w14:paraId="002AB064"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381" w:type="pct"/>
            <w:tcBorders>
              <w:bottom w:val="single" w:sz="4" w:space="0" w:color="auto"/>
            </w:tcBorders>
            <w:shd w:val="clear" w:color="auto" w:fill="92D050"/>
            <w:noWrap/>
            <w:vAlign w:val="center"/>
          </w:tcPr>
          <w:p w14:paraId="00BDA906"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464" w:type="pct"/>
            <w:tcBorders>
              <w:bottom w:val="single" w:sz="4" w:space="0" w:color="auto"/>
            </w:tcBorders>
            <w:shd w:val="clear" w:color="auto" w:fill="FFFF00"/>
            <w:noWrap/>
            <w:vAlign w:val="center"/>
          </w:tcPr>
          <w:p w14:paraId="070A039B"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372" w:type="pct"/>
            <w:tcBorders>
              <w:bottom w:val="single" w:sz="4" w:space="0" w:color="auto"/>
            </w:tcBorders>
            <w:shd w:val="clear" w:color="auto" w:fill="FFFF00"/>
            <w:vAlign w:val="center"/>
          </w:tcPr>
          <w:p w14:paraId="26390A8B" w14:textId="77777777" w:rsidR="00A8411F" w:rsidRPr="00280CC1" w:rsidRDefault="00A8411F" w:rsidP="000163D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r>
      <w:tr w:rsidR="009934B7" w:rsidRPr="00280CC1" w14:paraId="4B367994"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337" w:type="pct"/>
          </w:tcPr>
          <w:p w14:paraId="44474FC7" w14:textId="42813640" w:rsidR="00A8411F" w:rsidRDefault="00A8411F" w:rsidP="00F45FEB">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Health Equity and Quality Improvement Program</w:t>
            </w:r>
          </w:p>
        </w:tc>
        <w:tc>
          <w:tcPr>
            <w:tcW w:w="376" w:type="pct"/>
          </w:tcPr>
          <w:p w14:paraId="00DBB288" w14:textId="34D4DB09" w:rsidR="00A8411F" w:rsidRDefault="00A8411F" w:rsidP="00F45FEB">
            <w:pPr>
              <w:keepLines/>
              <w:spacing w:before="40" w:after="40" w:line="200" w:lineRule="atLeast"/>
              <w:rPr>
                <w:rFonts w:eastAsia="Times New Roman"/>
                <w:iCs/>
                <w:szCs w:val="17"/>
              </w:rPr>
            </w:pPr>
            <w:r>
              <w:rPr>
                <w:rFonts w:asciiTheme="minorHAnsi" w:eastAsia="Times New Roman" w:hAnsiTheme="minorHAnsi"/>
                <w:iCs/>
                <w:szCs w:val="17"/>
                <w:lang w:eastAsia="en-US"/>
              </w:rPr>
              <w:t>$55.3</w:t>
            </w:r>
            <w:r w:rsidRPr="00280CC1">
              <w:rPr>
                <w:rFonts w:asciiTheme="minorHAnsi" w:eastAsia="Times New Roman" w:hAnsiTheme="minorHAnsi"/>
                <w:iCs/>
                <w:szCs w:val="17"/>
                <w:lang w:eastAsia="en-US"/>
              </w:rPr>
              <w:t>m</w:t>
            </w:r>
          </w:p>
        </w:tc>
        <w:tc>
          <w:tcPr>
            <w:tcW w:w="324" w:type="pct"/>
          </w:tcPr>
          <w:p w14:paraId="5809DBCC" w14:textId="77777777" w:rsidR="00A8411F" w:rsidRPr="00280CC1" w:rsidRDefault="00A8411F" w:rsidP="00F45FEB">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2017 AQC</w:t>
            </w:r>
          </w:p>
        </w:tc>
        <w:tc>
          <w:tcPr>
            <w:tcW w:w="325" w:type="pct"/>
            <w:shd w:val="clear" w:color="auto" w:fill="92D050"/>
            <w:noWrap/>
          </w:tcPr>
          <w:p w14:paraId="0D42121B" w14:textId="77777777" w:rsidR="00A8411F" w:rsidRPr="00280CC1" w:rsidRDefault="00A8411F" w:rsidP="00F45FE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6</w:t>
            </w:r>
          </w:p>
        </w:tc>
        <w:tc>
          <w:tcPr>
            <w:tcW w:w="379" w:type="pct"/>
            <w:shd w:val="clear" w:color="auto" w:fill="FFFF00"/>
            <w:noWrap/>
          </w:tcPr>
          <w:p w14:paraId="3ABD45FD" w14:textId="77777777" w:rsidR="00A8411F" w:rsidRPr="00280CC1" w:rsidRDefault="00A8411F" w:rsidP="00F45FE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19" w:type="pct"/>
            <w:shd w:val="clear" w:color="auto" w:fill="FFFF00"/>
            <w:noWrap/>
          </w:tcPr>
          <w:p w14:paraId="0A32CCE3" w14:textId="77777777" w:rsidR="00A8411F" w:rsidRPr="00280CC1" w:rsidRDefault="00A8411F" w:rsidP="00F45FE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517" w:type="pct"/>
            <w:shd w:val="clear" w:color="auto" w:fill="FFFF00"/>
            <w:noWrap/>
          </w:tcPr>
          <w:p w14:paraId="59EAC900" w14:textId="77777777" w:rsidR="00A8411F" w:rsidRPr="00280CC1" w:rsidRDefault="00A8411F" w:rsidP="00F45FE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381" w:type="pct"/>
            <w:shd w:val="clear" w:color="auto" w:fill="92D050"/>
            <w:noWrap/>
          </w:tcPr>
          <w:p w14:paraId="1F2DE91B" w14:textId="77777777" w:rsidR="00A8411F" w:rsidRPr="00280CC1" w:rsidRDefault="00A8411F" w:rsidP="00F45FE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64" w:type="pct"/>
            <w:shd w:val="clear" w:color="auto" w:fill="FFFF00"/>
            <w:noWrap/>
          </w:tcPr>
          <w:p w14:paraId="3F547E0F" w14:textId="77777777" w:rsidR="00A8411F" w:rsidRPr="00280CC1" w:rsidRDefault="00A8411F" w:rsidP="00F45FE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372" w:type="pct"/>
            <w:shd w:val="clear" w:color="auto" w:fill="auto"/>
          </w:tcPr>
          <w:p w14:paraId="2774E9B5" w14:textId="77777777" w:rsidR="00A8411F" w:rsidRPr="00280CC1" w:rsidRDefault="00A8411F" w:rsidP="00F45FE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r>
      <w:tr w:rsidR="009934B7" w:rsidRPr="00280CC1" w14:paraId="1F71DCBF"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337" w:type="pct"/>
          </w:tcPr>
          <w:p w14:paraId="03AF12E7" w14:textId="091A1204" w:rsidR="00A8411F" w:rsidRPr="00280CC1" w:rsidRDefault="00A8411F" w:rsidP="00F45FEB">
            <w:pPr>
              <w:keepLines/>
              <w:spacing w:before="40" w:after="40" w:line="200" w:lineRule="atLeast"/>
              <w:rPr>
                <w:rFonts w:eastAsia="Times New Roman"/>
                <w:iCs/>
                <w:szCs w:val="17"/>
              </w:rPr>
            </w:pPr>
            <w:r>
              <w:rPr>
                <w:rFonts w:asciiTheme="minorHAnsi" w:eastAsia="Times New Roman" w:hAnsiTheme="minorHAnsi"/>
                <w:iCs/>
                <w:szCs w:val="17"/>
                <w:lang w:eastAsia="en-US"/>
              </w:rPr>
              <w:t>(includes IDPoor3)</w:t>
            </w:r>
          </w:p>
        </w:tc>
        <w:tc>
          <w:tcPr>
            <w:tcW w:w="376" w:type="pct"/>
          </w:tcPr>
          <w:p w14:paraId="0BF13754" w14:textId="3E165240" w:rsidR="00A8411F" w:rsidRPr="00280CC1" w:rsidRDefault="00A8411F" w:rsidP="0020044A">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2016-2</w:t>
            </w:r>
            <w:r w:rsidR="0020044A">
              <w:rPr>
                <w:rFonts w:asciiTheme="minorHAnsi" w:eastAsia="Times New Roman" w:hAnsiTheme="minorHAnsi"/>
                <w:iCs/>
                <w:szCs w:val="17"/>
                <w:lang w:eastAsia="en-US"/>
              </w:rPr>
              <w:t>0</w:t>
            </w:r>
          </w:p>
        </w:tc>
        <w:tc>
          <w:tcPr>
            <w:tcW w:w="324" w:type="pct"/>
            <w:shd w:val="clear" w:color="auto" w:fill="auto"/>
          </w:tcPr>
          <w:p w14:paraId="742A5066" w14:textId="77777777" w:rsidR="00A8411F" w:rsidRPr="00280CC1" w:rsidRDefault="00A8411F" w:rsidP="00F45FEB">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2016 AQC</w:t>
            </w:r>
          </w:p>
        </w:tc>
        <w:tc>
          <w:tcPr>
            <w:tcW w:w="325" w:type="pct"/>
            <w:shd w:val="clear" w:color="auto" w:fill="auto"/>
            <w:noWrap/>
          </w:tcPr>
          <w:p w14:paraId="165B5883" w14:textId="77777777" w:rsidR="00A8411F" w:rsidRPr="00280CC1" w:rsidRDefault="00A8411F" w:rsidP="00F45FE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c>
          <w:tcPr>
            <w:tcW w:w="379" w:type="pct"/>
            <w:shd w:val="clear" w:color="auto" w:fill="auto"/>
            <w:noWrap/>
          </w:tcPr>
          <w:p w14:paraId="495F4C04" w14:textId="77777777" w:rsidR="00A8411F" w:rsidRPr="00280CC1" w:rsidRDefault="00A8411F" w:rsidP="00F45FE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c>
          <w:tcPr>
            <w:tcW w:w="419" w:type="pct"/>
            <w:shd w:val="clear" w:color="auto" w:fill="auto"/>
            <w:noWrap/>
          </w:tcPr>
          <w:p w14:paraId="67F418A8" w14:textId="77777777" w:rsidR="00A8411F" w:rsidRPr="00280CC1" w:rsidRDefault="00A8411F" w:rsidP="00F45FE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c>
          <w:tcPr>
            <w:tcW w:w="517" w:type="pct"/>
            <w:shd w:val="clear" w:color="auto" w:fill="auto"/>
            <w:noWrap/>
          </w:tcPr>
          <w:p w14:paraId="1A62D1C1" w14:textId="77777777" w:rsidR="00A8411F" w:rsidRPr="00280CC1" w:rsidRDefault="00A8411F" w:rsidP="00F45FE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c>
          <w:tcPr>
            <w:tcW w:w="381" w:type="pct"/>
            <w:shd w:val="clear" w:color="auto" w:fill="auto"/>
            <w:noWrap/>
          </w:tcPr>
          <w:p w14:paraId="5C15A218" w14:textId="77777777" w:rsidR="00A8411F" w:rsidRPr="00280CC1" w:rsidRDefault="00A8411F" w:rsidP="00F45FE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c>
          <w:tcPr>
            <w:tcW w:w="464" w:type="pct"/>
            <w:shd w:val="clear" w:color="auto" w:fill="auto"/>
            <w:noWrap/>
          </w:tcPr>
          <w:p w14:paraId="44F84969" w14:textId="77777777" w:rsidR="00A8411F" w:rsidRPr="00280CC1" w:rsidRDefault="00A8411F" w:rsidP="00F45FE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c>
          <w:tcPr>
            <w:tcW w:w="372" w:type="pct"/>
            <w:shd w:val="clear" w:color="auto" w:fill="auto"/>
          </w:tcPr>
          <w:p w14:paraId="0425210F" w14:textId="77777777" w:rsidR="00A8411F" w:rsidRPr="00280CC1" w:rsidRDefault="00A8411F" w:rsidP="00F45FEB">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r>
    </w:tbl>
    <w:p w14:paraId="6E2E49E0" w14:textId="669D4339" w:rsidR="0003583D" w:rsidRDefault="00AB664F" w:rsidP="0003583D">
      <w:r>
        <w:rPr>
          <w:rFonts w:eastAsia="Times New Roman"/>
          <w:iCs/>
          <w:sz w:val="17"/>
          <w:szCs w:val="17"/>
        </w:rPr>
        <w:t>*R</w:t>
      </w:r>
      <w:r w:rsidR="0003583D" w:rsidRPr="002A4B77">
        <w:rPr>
          <w:rFonts w:eastAsia="Times New Roman"/>
          <w:iCs/>
          <w:sz w:val="17"/>
          <w:szCs w:val="17"/>
        </w:rPr>
        <w:t>ated as</w:t>
      </w:r>
      <w:r>
        <w:rPr>
          <w:rFonts w:eastAsia="Times New Roman"/>
          <w:iCs/>
          <w:sz w:val="17"/>
          <w:szCs w:val="17"/>
        </w:rPr>
        <w:t xml:space="preserve"> an</w:t>
      </w:r>
      <w:r w:rsidR="0003583D" w:rsidRPr="002A4B77">
        <w:rPr>
          <w:rFonts w:eastAsia="Times New Roman"/>
          <w:iCs/>
          <w:sz w:val="17"/>
          <w:szCs w:val="17"/>
        </w:rPr>
        <w:t xml:space="preserve"> Initiatives Requiring Improvement (IRI) in the 2016 Aid Quality Check process.</w:t>
      </w:r>
      <w:r w:rsidR="0003583D">
        <w:t xml:space="preserve"> </w:t>
      </w:r>
    </w:p>
    <w:p w14:paraId="00D502F3" w14:textId="77777777" w:rsidR="0003583D" w:rsidRDefault="0003583D" w:rsidP="00BB3F0E">
      <w:pPr>
        <w:spacing w:after="120" w:line="240" w:lineRule="auto"/>
      </w:pPr>
      <w:r>
        <w:t>**</w:t>
      </w:r>
      <w:r w:rsidRPr="00EE2FEA">
        <w:rPr>
          <w:rFonts w:eastAsia="Times New Roman"/>
          <w:iCs/>
          <w:sz w:val="17"/>
          <w:szCs w:val="17"/>
        </w:rPr>
        <w:t>Note the Delivering Better Health Initiative consisted of over 60 agreements, including the Second Health Sector Support Program (HSSP2)</w:t>
      </w:r>
      <w:r w:rsidR="004A6D18">
        <w:rPr>
          <w:rFonts w:eastAsia="Times New Roman"/>
          <w:iCs/>
          <w:sz w:val="17"/>
          <w:szCs w:val="17"/>
        </w:rPr>
        <w:t xml:space="preserve"> and </w:t>
      </w:r>
      <w:proofErr w:type="spellStart"/>
      <w:r w:rsidR="004A6D18">
        <w:rPr>
          <w:rFonts w:eastAsia="Times New Roman"/>
          <w:iCs/>
          <w:sz w:val="17"/>
          <w:szCs w:val="17"/>
        </w:rPr>
        <w:t>IDPoor</w:t>
      </w:r>
      <w:proofErr w:type="spellEnd"/>
      <w:r w:rsidR="004A6D18">
        <w:rPr>
          <w:rFonts w:eastAsia="Times New Roman"/>
          <w:iCs/>
          <w:sz w:val="17"/>
          <w:szCs w:val="17"/>
        </w:rPr>
        <w:t xml:space="preserve"> Phase 2. In 2016</w:t>
      </w:r>
      <w:r w:rsidRPr="00EE2FEA">
        <w:rPr>
          <w:rFonts w:eastAsia="Times New Roman"/>
          <w:iCs/>
          <w:sz w:val="17"/>
          <w:szCs w:val="17"/>
        </w:rPr>
        <w:t xml:space="preserve"> </w:t>
      </w:r>
      <w:r>
        <w:rPr>
          <w:rFonts w:eastAsia="Times New Roman"/>
          <w:iCs/>
          <w:sz w:val="17"/>
          <w:szCs w:val="17"/>
        </w:rPr>
        <w:t xml:space="preserve">HSSP2 </w:t>
      </w:r>
      <w:r w:rsidR="004A6D18">
        <w:rPr>
          <w:rFonts w:eastAsia="Times New Roman"/>
          <w:iCs/>
          <w:sz w:val="17"/>
          <w:szCs w:val="17"/>
        </w:rPr>
        <w:t xml:space="preserve">and </w:t>
      </w:r>
      <w:proofErr w:type="spellStart"/>
      <w:r w:rsidR="004A6D18">
        <w:rPr>
          <w:rFonts w:eastAsia="Times New Roman"/>
          <w:iCs/>
          <w:sz w:val="17"/>
          <w:szCs w:val="17"/>
        </w:rPr>
        <w:t>IDPoor</w:t>
      </w:r>
      <w:proofErr w:type="spellEnd"/>
      <w:r w:rsidR="004A6D18">
        <w:rPr>
          <w:rFonts w:eastAsia="Times New Roman"/>
          <w:iCs/>
          <w:sz w:val="17"/>
          <w:szCs w:val="17"/>
        </w:rPr>
        <w:t xml:space="preserve"> Phase 2 </w:t>
      </w:r>
      <w:r>
        <w:rPr>
          <w:rFonts w:eastAsia="Times New Roman"/>
          <w:iCs/>
          <w:sz w:val="17"/>
          <w:szCs w:val="17"/>
        </w:rPr>
        <w:t>ended. I</w:t>
      </w:r>
      <w:r w:rsidRPr="00EE2FEA">
        <w:rPr>
          <w:rFonts w:eastAsia="Times New Roman"/>
          <w:iCs/>
          <w:sz w:val="17"/>
          <w:szCs w:val="17"/>
        </w:rPr>
        <w:t xml:space="preserve">t was decided to undertake an FAQC for this </w:t>
      </w:r>
      <w:r>
        <w:rPr>
          <w:rFonts w:eastAsia="Times New Roman"/>
          <w:iCs/>
          <w:sz w:val="17"/>
          <w:szCs w:val="17"/>
        </w:rPr>
        <w:t>major part of the initiative</w:t>
      </w:r>
      <w:r w:rsidR="004A6D18">
        <w:rPr>
          <w:rFonts w:eastAsia="Times New Roman"/>
          <w:iCs/>
          <w:sz w:val="17"/>
          <w:szCs w:val="17"/>
        </w:rPr>
        <w:t xml:space="preserve"> ($77.2</w:t>
      </w:r>
      <w:r w:rsidR="00BB3F0E">
        <w:rPr>
          <w:rFonts w:eastAsia="Times New Roman"/>
          <w:iCs/>
          <w:sz w:val="17"/>
          <w:szCs w:val="17"/>
        </w:rPr>
        <w:t>m of the total)</w:t>
      </w:r>
      <w:r w:rsidRPr="00EE2FEA">
        <w:rPr>
          <w:rFonts w:eastAsia="Times New Roman"/>
          <w:iCs/>
          <w:sz w:val="17"/>
          <w:szCs w:val="17"/>
        </w:rPr>
        <w:t xml:space="preserve">. As a result, the 2017 AQC only refers to </w:t>
      </w:r>
      <w:r w:rsidR="00BB3F0E">
        <w:rPr>
          <w:rFonts w:eastAsia="Times New Roman"/>
          <w:iCs/>
          <w:sz w:val="17"/>
          <w:szCs w:val="17"/>
        </w:rPr>
        <w:t xml:space="preserve">residual active activities under the Initiative - </w:t>
      </w:r>
      <w:r w:rsidRPr="00EE2FEA">
        <w:rPr>
          <w:rFonts w:eastAsia="Times New Roman"/>
          <w:iCs/>
          <w:sz w:val="17"/>
          <w:szCs w:val="17"/>
        </w:rPr>
        <w:t xml:space="preserve">Partnering to </w:t>
      </w:r>
      <w:r w:rsidR="00BB3F0E">
        <w:rPr>
          <w:rFonts w:eastAsia="Times New Roman"/>
          <w:iCs/>
          <w:sz w:val="17"/>
          <w:szCs w:val="17"/>
        </w:rPr>
        <w:t xml:space="preserve">Save Lives and </w:t>
      </w:r>
      <w:r>
        <w:rPr>
          <w:rFonts w:eastAsia="Times New Roman"/>
          <w:iCs/>
          <w:sz w:val="17"/>
          <w:szCs w:val="17"/>
        </w:rPr>
        <w:t>Human R</w:t>
      </w:r>
      <w:r w:rsidRPr="00EE2FEA">
        <w:rPr>
          <w:rFonts w:eastAsia="Times New Roman"/>
          <w:iCs/>
          <w:sz w:val="17"/>
          <w:szCs w:val="17"/>
        </w:rPr>
        <w:t xml:space="preserve">esources </w:t>
      </w:r>
      <w:r>
        <w:rPr>
          <w:rFonts w:eastAsia="Times New Roman"/>
          <w:iCs/>
          <w:sz w:val="17"/>
          <w:szCs w:val="17"/>
        </w:rPr>
        <w:t xml:space="preserve">for Health </w:t>
      </w:r>
      <w:r w:rsidRPr="00EE2FEA">
        <w:rPr>
          <w:rFonts w:eastAsia="Times New Roman"/>
          <w:iCs/>
          <w:sz w:val="17"/>
          <w:szCs w:val="17"/>
        </w:rPr>
        <w:t xml:space="preserve">project. </w:t>
      </w:r>
    </w:p>
    <w:tbl>
      <w:tblPr>
        <w:tblStyle w:val="APPR"/>
        <w:tblW w:w="4750" w:type="pct"/>
        <w:tblInd w:w="136" w:type="dxa"/>
        <w:tblBorders>
          <w:top w:val="none" w:sz="0" w:space="0" w:color="auto"/>
          <w:bottom w:val="single" w:sz="4" w:space="0" w:color="auto"/>
        </w:tblBorders>
        <w:tblLook w:val="0000" w:firstRow="0" w:lastRow="0" w:firstColumn="0" w:lastColumn="0" w:noHBand="0" w:noVBand="0"/>
      </w:tblPr>
      <w:tblGrid>
        <w:gridCol w:w="3694"/>
        <w:gridCol w:w="1310"/>
        <w:gridCol w:w="957"/>
        <w:gridCol w:w="943"/>
        <w:gridCol w:w="1143"/>
        <w:gridCol w:w="897"/>
        <w:gridCol w:w="2062"/>
        <w:gridCol w:w="1150"/>
        <w:gridCol w:w="1346"/>
        <w:gridCol w:w="1012"/>
      </w:tblGrid>
      <w:tr w:rsidR="009934B7" w:rsidRPr="00280CC1" w14:paraId="2A841D0C"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258" w:type="pct"/>
            <w:tcBorders>
              <w:top w:val="single" w:sz="4" w:space="0" w:color="auto"/>
              <w:bottom w:val="single" w:sz="4" w:space="0" w:color="auto"/>
            </w:tcBorders>
          </w:tcPr>
          <w:p w14:paraId="741E6DC7" w14:textId="078A8CF3" w:rsidR="00A8411F" w:rsidRPr="00280CC1" w:rsidRDefault="00A8411F" w:rsidP="0003583D">
            <w:pPr>
              <w:keepLines/>
              <w:spacing w:before="80" w:after="80" w:line="200" w:lineRule="atLeast"/>
              <w:rPr>
                <w:rFonts w:eastAsia="Times New Roman"/>
                <w:b/>
                <w:iCs/>
                <w:szCs w:val="17"/>
              </w:rPr>
            </w:pPr>
            <w:r w:rsidRPr="00280CC1">
              <w:rPr>
                <w:rFonts w:asciiTheme="minorHAnsi" w:eastAsia="Times New Roman" w:hAnsiTheme="minorHAnsi"/>
                <w:b/>
                <w:iCs/>
                <w:szCs w:val="17"/>
                <w:lang w:eastAsia="en-US"/>
              </w:rPr>
              <w:lastRenderedPageBreak/>
              <w:t>Investment name</w:t>
            </w:r>
          </w:p>
        </w:tc>
        <w:tc>
          <w:tcPr>
            <w:tcW w:w="442" w:type="pct"/>
            <w:tcBorders>
              <w:top w:val="single" w:sz="4" w:space="0" w:color="auto"/>
              <w:bottom w:val="single" w:sz="4" w:space="0" w:color="auto"/>
            </w:tcBorders>
          </w:tcPr>
          <w:p w14:paraId="7FA4B0EE" w14:textId="30850C73" w:rsidR="00A8411F" w:rsidRPr="00280CC1" w:rsidRDefault="00A8411F" w:rsidP="0003583D">
            <w:pPr>
              <w:keepLines/>
              <w:spacing w:before="80" w:after="80" w:line="200" w:lineRule="atLeast"/>
              <w:rPr>
                <w:rFonts w:eastAsia="Times New Roman"/>
                <w:b/>
                <w:iCs/>
                <w:szCs w:val="17"/>
              </w:rPr>
            </w:pPr>
            <w:r w:rsidRPr="00280CC1">
              <w:rPr>
                <w:rFonts w:asciiTheme="minorHAnsi" w:eastAsia="Times New Roman" w:hAnsiTheme="minorHAnsi"/>
                <w:b/>
                <w:iCs/>
                <w:szCs w:val="17"/>
                <w:lang w:eastAsia="en-US"/>
              </w:rPr>
              <w:t>Approved budget and duration</w:t>
            </w:r>
          </w:p>
        </w:tc>
        <w:tc>
          <w:tcPr>
            <w:tcW w:w="320" w:type="pct"/>
            <w:tcBorders>
              <w:top w:val="single" w:sz="4" w:space="0" w:color="auto"/>
              <w:bottom w:val="single" w:sz="4" w:space="0" w:color="auto"/>
            </w:tcBorders>
            <w:shd w:val="clear" w:color="auto" w:fill="auto"/>
          </w:tcPr>
          <w:p w14:paraId="434A6B33" w14:textId="77777777" w:rsidR="00A8411F" w:rsidRPr="00280CC1" w:rsidRDefault="00A8411F" w:rsidP="0003583D">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year on year</w:t>
            </w:r>
          </w:p>
        </w:tc>
        <w:tc>
          <w:tcPr>
            <w:tcW w:w="315" w:type="pct"/>
            <w:tcBorders>
              <w:top w:val="single" w:sz="4" w:space="0" w:color="auto"/>
              <w:bottom w:val="single" w:sz="4" w:space="0" w:color="auto"/>
            </w:tcBorders>
            <w:shd w:val="clear" w:color="auto" w:fill="auto"/>
            <w:noWrap/>
          </w:tcPr>
          <w:p w14:paraId="18FF6829" w14:textId="77777777" w:rsidR="00A8411F" w:rsidRPr="00280CC1" w:rsidRDefault="00A8411F" w:rsidP="0003583D">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Relevance</w:t>
            </w:r>
          </w:p>
        </w:tc>
        <w:tc>
          <w:tcPr>
            <w:tcW w:w="384" w:type="pct"/>
            <w:tcBorders>
              <w:top w:val="single" w:sz="4" w:space="0" w:color="auto"/>
              <w:bottom w:val="single" w:sz="4" w:space="0" w:color="auto"/>
            </w:tcBorders>
            <w:shd w:val="clear" w:color="auto" w:fill="auto"/>
            <w:noWrap/>
          </w:tcPr>
          <w:p w14:paraId="194B9E33" w14:textId="77777777" w:rsidR="00A8411F" w:rsidRPr="00280CC1" w:rsidRDefault="00A8411F" w:rsidP="0003583D">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Effectiveness</w:t>
            </w:r>
          </w:p>
        </w:tc>
        <w:tc>
          <w:tcPr>
            <w:tcW w:w="300" w:type="pct"/>
            <w:tcBorders>
              <w:top w:val="single" w:sz="4" w:space="0" w:color="auto"/>
              <w:bottom w:val="single" w:sz="4" w:space="0" w:color="auto"/>
            </w:tcBorders>
            <w:shd w:val="clear" w:color="auto" w:fill="auto"/>
            <w:noWrap/>
          </w:tcPr>
          <w:p w14:paraId="0500D1F0" w14:textId="77777777" w:rsidR="00A8411F" w:rsidRPr="00280CC1" w:rsidRDefault="00A8411F" w:rsidP="0003583D">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Efficiency</w:t>
            </w:r>
          </w:p>
        </w:tc>
        <w:tc>
          <w:tcPr>
            <w:tcW w:w="701" w:type="pct"/>
            <w:tcBorders>
              <w:top w:val="single" w:sz="4" w:space="0" w:color="auto"/>
              <w:bottom w:val="single" w:sz="4" w:space="0" w:color="auto"/>
            </w:tcBorders>
            <w:shd w:val="clear" w:color="auto" w:fill="auto"/>
            <w:noWrap/>
          </w:tcPr>
          <w:p w14:paraId="0B829BA3" w14:textId="77777777" w:rsidR="00A8411F" w:rsidRPr="00280CC1" w:rsidRDefault="00A8411F" w:rsidP="0003583D">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Monitoring and Evaluation</w:t>
            </w:r>
          </w:p>
        </w:tc>
        <w:tc>
          <w:tcPr>
            <w:tcW w:w="387" w:type="pct"/>
            <w:tcBorders>
              <w:top w:val="single" w:sz="4" w:space="0" w:color="auto"/>
              <w:bottom w:val="single" w:sz="4" w:space="0" w:color="auto"/>
            </w:tcBorders>
            <w:shd w:val="clear" w:color="auto" w:fill="auto"/>
            <w:noWrap/>
          </w:tcPr>
          <w:p w14:paraId="2C997F94" w14:textId="77777777" w:rsidR="00A8411F" w:rsidRPr="00280CC1" w:rsidRDefault="00A8411F" w:rsidP="0003583D">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Sustainability</w:t>
            </w:r>
          </w:p>
        </w:tc>
        <w:tc>
          <w:tcPr>
            <w:tcW w:w="454" w:type="pct"/>
            <w:tcBorders>
              <w:top w:val="single" w:sz="4" w:space="0" w:color="auto"/>
              <w:bottom w:val="single" w:sz="4" w:space="0" w:color="auto"/>
            </w:tcBorders>
            <w:shd w:val="clear" w:color="auto" w:fill="auto"/>
            <w:noWrap/>
          </w:tcPr>
          <w:p w14:paraId="17C00F8F" w14:textId="77777777" w:rsidR="00A8411F" w:rsidRPr="00280CC1" w:rsidRDefault="00A8411F" w:rsidP="0003583D">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Gender equality</w:t>
            </w:r>
          </w:p>
        </w:tc>
        <w:tc>
          <w:tcPr>
            <w:tcW w:w="334" w:type="pct"/>
            <w:tcBorders>
              <w:top w:val="single" w:sz="4" w:space="0" w:color="auto"/>
              <w:bottom w:val="single" w:sz="4" w:space="0" w:color="auto"/>
            </w:tcBorders>
            <w:shd w:val="clear" w:color="auto" w:fill="auto"/>
          </w:tcPr>
          <w:p w14:paraId="3E219CAB" w14:textId="77777777" w:rsidR="00A8411F" w:rsidRPr="00280CC1" w:rsidRDefault="00A8411F" w:rsidP="0003583D">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Risks  and Safeguards</w:t>
            </w:r>
          </w:p>
        </w:tc>
      </w:tr>
      <w:tr w:rsidR="009934B7" w:rsidRPr="00280CC1" w14:paraId="5FB39033"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258" w:type="pct"/>
          </w:tcPr>
          <w:p w14:paraId="4A4AD80E" w14:textId="61A7C50A" w:rsidR="00A8411F" w:rsidRDefault="00A8411F" w:rsidP="0003583D">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Cambodia Australian Scholarship Initiative</w:t>
            </w:r>
          </w:p>
        </w:tc>
        <w:tc>
          <w:tcPr>
            <w:tcW w:w="442" w:type="pct"/>
          </w:tcPr>
          <w:p w14:paraId="52DE2279" w14:textId="6A89D4FB" w:rsidR="00A8411F" w:rsidRDefault="00A8411F" w:rsidP="0003583D">
            <w:pPr>
              <w:keepLines/>
              <w:spacing w:before="40" w:after="40" w:line="200" w:lineRule="atLeast"/>
              <w:rPr>
                <w:rFonts w:eastAsia="Times New Roman"/>
                <w:iCs/>
                <w:szCs w:val="17"/>
              </w:rPr>
            </w:pPr>
            <w:r>
              <w:rPr>
                <w:rFonts w:asciiTheme="minorHAnsi" w:eastAsia="Times New Roman" w:hAnsiTheme="minorHAnsi"/>
                <w:iCs/>
                <w:szCs w:val="17"/>
                <w:lang w:eastAsia="en-US"/>
              </w:rPr>
              <w:t>$13.2</w:t>
            </w:r>
            <w:r w:rsidRPr="00280CC1">
              <w:rPr>
                <w:rFonts w:asciiTheme="minorHAnsi" w:eastAsia="Times New Roman" w:hAnsiTheme="minorHAnsi"/>
                <w:iCs/>
                <w:szCs w:val="17"/>
                <w:lang w:eastAsia="en-US"/>
              </w:rPr>
              <w:t>m</w:t>
            </w:r>
          </w:p>
        </w:tc>
        <w:tc>
          <w:tcPr>
            <w:tcW w:w="320" w:type="pct"/>
          </w:tcPr>
          <w:p w14:paraId="367929A0" w14:textId="77777777" w:rsidR="00A8411F" w:rsidRPr="00280CC1" w:rsidRDefault="00A8411F" w:rsidP="0003583D">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2017 AQC</w:t>
            </w:r>
          </w:p>
        </w:tc>
        <w:tc>
          <w:tcPr>
            <w:tcW w:w="315" w:type="pct"/>
            <w:shd w:val="clear" w:color="auto" w:fill="92D050"/>
            <w:noWrap/>
          </w:tcPr>
          <w:p w14:paraId="613EA7E1"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384" w:type="pct"/>
            <w:shd w:val="clear" w:color="auto" w:fill="92D050"/>
            <w:noWrap/>
          </w:tcPr>
          <w:p w14:paraId="3BBB4AE4"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300" w:type="pct"/>
            <w:shd w:val="clear" w:color="auto" w:fill="92D050"/>
            <w:noWrap/>
          </w:tcPr>
          <w:p w14:paraId="1B34D2BD"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701" w:type="pct"/>
            <w:shd w:val="clear" w:color="auto" w:fill="92D050"/>
            <w:noWrap/>
          </w:tcPr>
          <w:p w14:paraId="54856231"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387" w:type="pct"/>
            <w:shd w:val="clear" w:color="auto" w:fill="FFFF00"/>
            <w:noWrap/>
          </w:tcPr>
          <w:p w14:paraId="1C14E139"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54" w:type="pct"/>
            <w:shd w:val="clear" w:color="auto" w:fill="FFFF00"/>
            <w:noWrap/>
          </w:tcPr>
          <w:p w14:paraId="6810FF01"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334" w:type="pct"/>
            <w:shd w:val="clear" w:color="auto" w:fill="auto"/>
          </w:tcPr>
          <w:p w14:paraId="6F13A526"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r>
      <w:tr w:rsidR="009934B7" w:rsidRPr="00280CC1" w14:paraId="0580EE02"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258" w:type="pct"/>
            <w:tcBorders>
              <w:bottom w:val="single" w:sz="4" w:space="0" w:color="auto"/>
            </w:tcBorders>
          </w:tcPr>
          <w:p w14:paraId="63789248" w14:textId="77777777" w:rsidR="00A8411F" w:rsidRPr="00280CC1" w:rsidRDefault="00A8411F" w:rsidP="0003583D">
            <w:pPr>
              <w:keepLines/>
              <w:spacing w:before="40" w:after="40" w:line="200" w:lineRule="atLeast"/>
              <w:rPr>
                <w:rFonts w:eastAsia="Times New Roman"/>
                <w:iCs/>
                <w:szCs w:val="17"/>
              </w:rPr>
            </w:pPr>
          </w:p>
        </w:tc>
        <w:tc>
          <w:tcPr>
            <w:tcW w:w="442" w:type="pct"/>
            <w:tcBorders>
              <w:bottom w:val="single" w:sz="4" w:space="0" w:color="auto"/>
            </w:tcBorders>
          </w:tcPr>
          <w:p w14:paraId="7D39B8E1" w14:textId="09EA7D58" w:rsidR="00A8411F" w:rsidRPr="00280CC1" w:rsidRDefault="00A8411F" w:rsidP="0003583D">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2013-18</w:t>
            </w:r>
          </w:p>
        </w:tc>
        <w:tc>
          <w:tcPr>
            <w:tcW w:w="320" w:type="pct"/>
            <w:tcBorders>
              <w:bottom w:val="single" w:sz="4" w:space="0" w:color="auto"/>
            </w:tcBorders>
          </w:tcPr>
          <w:p w14:paraId="42DC57BF" w14:textId="77777777" w:rsidR="00A8411F" w:rsidRPr="00280CC1" w:rsidRDefault="00A8411F" w:rsidP="0003583D">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2016 AQC</w:t>
            </w:r>
          </w:p>
        </w:tc>
        <w:tc>
          <w:tcPr>
            <w:tcW w:w="315" w:type="pct"/>
            <w:tcBorders>
              <w:bottom w:val="single" w:sz="4" w:space="0" w:color="auto"/>
            </w:tcBorders>
            <w:shd w:val="clear" w:color="auto" w:fill="92D050"/>
            <w:noWrap/>
            <w:vAlign w:val="center"/>
          </w:tcPr>
          <w:p w14:paraId="1A1F07B7"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384" w:type="pct"/>
            <w:tcBorders>
              <w:bottom w:val="single" w:sz="4" w:space="0" w:color="auto"/>
            </w:tcBorders>
            <w:shd w:val="clear" w:color="auto" w:fill="92D050"/>
            <w:noWrap/>
            <w:vAlign w:val="center"/>
          </w:tcPr>
          <w:p w14:paraId="3377BC57"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300" w:type="pct"/>
            <w:tcBorders>
              <w:bottom w:val="single" w:sz="4" w:space="0" w:color="auto"/>
            </w:tcBorders>
            <w:shd w:val="clear" w:color="auto" w:fill="92D050"/>
            <w:noWrap/>
            <w:vAlign w:val="center"/>
          </w:tcPr>
          <w:p w14:paraId="13812CAD"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701" w:type="pct"/>
            <w:tcBorders>
              <w:bottom w:val="single" w:sz="4" w:space="0" w:color="auto"/>
            </w:tcBorders>
            <w:shd w:val="clear" w:color="auto" w:fill="92D050"/>
            <w:noWrap/>
            <w:vAlign w:val="center"/>
          </w:tcPr>
          <w:p w14:paraId="5D9B9EDF"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387" w:type="pct"/>
            <w:tcBorders>
              <w:bottom w:val="single" w:sz="4" w:space="0" w:color="auto"/>
            </w:tcBorders>
            <w:shd w:val="clear" w:color="auto" w:fill="92D050"/>
            <w:noWrap/>
            <w:vAlign w:val="center"/>
          </w:tcPr>
          <w:p w14:paraId="362AA96E"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454" w:type="pct"/>
            <w:tcBorders>
              <w:bottom w:val="single" w:sz="4" w:space="0" w:color="auto"/>
            </w:tcBorders>
            <w:shd w:val="clear" w:color="auto" w:fill="FFFF00"/>
            <w:noWrap/>
            <w:vAlign w:val="center"/>
          </w:tcPr>
          <w:p w14:paraId="1DB2A154"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334" w:type="pct"/>
            <w:tcBorders>
              <w:bottom w:val="single" w:sz="4" w:space="0" w:color="auto"/>
            </w:tcBorders>
            <w:shd w:val="clear" w:color="auto" w:fill="92D050"/>
            <w:vAlign w:val="center"/>
          </w:tcPr>
          <w:p w14:paraId="68E3C81D"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r>
      <w:tr w:rsidR="009934B7" w:rsidRPr="00280CC1" w14:paraId="1BAA116F"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258" w:type="pct"/>
          </w:tcPr>
          <w:p w14:paraId="007E40AB" w14:textId="0ABCDCFA" w:rsidR="00A8411F" w:rsidRPr="00280CC1" w:rsidRDefault="00A8411F" w:rsidP="0003583D">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Disability Rights Initiative Cambodia</w:t>
            </w:r>
          </w:p>
        </w:tc>
        <w:tc>
          <w:tcPr>
            <w:tcW w:w="442" w:type="pct"/>
          </w:tcPr>
          <w:p w14:paraId="22181B51" w14:textId="48D8D16F" w:rsidR="00A8411F" w:rsidRPr="00280CC1" w:rsidRDefault="00A8411F" w:rsidP="0003583D">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$10.4m</w:t>
            </w:r>
          </w:p>
        </w:tc>
        <w:tc>
          <w:tcPr>
            <w:tcW w:w="320" w:type="pct"/>
          </w:tcPr>
          <w:p w14:paraId="3AFFA1E6" w14:textId="77777777" w:rsidR="00A8411F" w:rsidRPr="00280CC1" w:rsidRDefault="00A8411F" w:rsidP="0003583D">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2017 AQC</w:t>
            </w:r>
          </w:p>
        </w:tc>
        <w:tc>
          <w:tcPr>
            <w:tcW w:w="315" w:type="pct"/>
            <w:shd w:val="clear" w:color="auto" w:fill="FFFF00"/>
            <w:noWrap/>
          </w:tcPr>
          <w:p w14:paraId="7BF2D92E"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384" w:type="pct"/>
            <w:shd w:val="clear" w:color="auto" w:fill="FFFF00"/>
            <w:noWrap/>
          </w:tcPr>
          <w:p w14:paraId="2E82B7BE"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300" w:type="pct"/>
            <w:shd w:val="clear" w:color="auto" w:fill="FFFF00"/>
            <w:noWrap/>
          </w:tcPr>
          <w:p w14:paraId="67CFBB94"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701" w:type="pct"/>
            <w:shd w:val="clear" w:color="auto" w:fill="FFFF00"/>
            <w:noWrap/>
          </w:tcPr>
          <w:p w14:paraId="275C0884"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387" w:type="pct"/>
            <w:shd w:val="clear" w:color="auto" w:fill="FFC000"/>
            <w:noWrap/>
          </w:tcPr>
          <w:p w14:paraId="10BF6B13"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3</w:t>
            </w:r>
          </w:p>
        </w:tc>
        <w:tc>
          <w:tcPr>
            <w:tcW w:w="454" w:type="pct"/>
            <w:shd w:val="clear" w:color="auto" w:fill="FFFF00"/>
            <w:noWrap/>
          </w:tcPr>
          <w:p w14:paraId="1A7B7772"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334" w:type="pct"/>
            <w:shd w:val="clear" w:color="auto" w:fill="auto"/>
          </w:tcPr>
          <w:p w14:paraId="0DA20518"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r>
      <w:tr w:rsidR="009934B7" w:rsidRPr="00280CC1" w14:paraId="424A82C4"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258" w:type="pct"/>
            <w:tcBorders>
              <w:bottom w:val="single" w:sz="4" w:space="0" w:color="auto"/>
            </w:tcBorders>
          </w:tcPr>
          <w:p w14:paraId="7D9A6A98" w14:textId="77777777" w:rsidR="00A8411F" w:rsidRPr="00280CC1" w:rsidRDefault="00A8411F" w:rsidP="0003583D">
            <w:pPr>
              <w:keepLines/>
              <w:spacing w:before="40" w:after="40" w:line="200" w:lineRule="atLeast"/>
              <w:rPr>
                <w:rFonts w:eastAsia="Times New Roman"/>
                <w:iCs/>
                <w:szCs w:val="17"/>
              </w:rPr>
            </w:pPr>
          </w:p>
        </w:tc>
        <w:tc>
          <w:tcPr>
            <w:tcW w:w="442" w:type="pct"/>
            <w:tcBorders>
              <w:bottom w:val="single" w:sz="4" w:space="0" w:color="auto"/>
            </w:tcBorders>
          </w:tcPr>
          <w:p w14:paraId="5AF4A825" w14:textId="62DAE147" w:rsidR="00A8411F" w:rsidRPr="00280CC1" w:rsidRDefault="00A8411F" w:rsidP="0003583D">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201</w:t>
            </w:r>
            <w:r>
              <w:rPr>
                <w:rFonts w:asciiTheme="minorHAnsi" w:eastAsia="Times New Roman" w:hAnsiTheme="minorHAnsi"/>
                <w:iCs/>
                <w:szCs w:val="17"/>
                <w:lang w:eastAsia="en-US"/>
              </w:rPr>
              <w:t>4</w:t>
            </w:r>
            <w:r w:rsidR="0020044A">
              <w:rPr>
                <w:rFonts w:asciiTheme="minorHAnsi" w:eastAsia="Times New Roman" w:hAnsiTheme="minorHAnsi"/>
                <w:iCs/>
                <w:szCs w:val="17"/>
                <w:lang w:eastAsia="en-US"/>
              </w:rPr>
              <w:t>-17</w:t>
            </w:r>
          </w:p>
        </w:tc>
        <w:tc>
          <w:tcPr>
            <w:tcW w:w="320" w:type="pct"/>
            <w:tcBorders>
              <w:bottom w:val="single" w:sz="4" w:space="0" w:color="auto"/>
            </w:tcBorders>
          </w:tcPr>
          <w:p w14:paraId="29B7ADBE" w14:textId="77777777" w:rsidR="00A8411F" w:rsidRPr="00280CC1" w:rsidRDefault="00A8411F" w:rsidP="0003583D">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2016 AQC</w:t>
            </w:r>
          </w:p>
        </w:tc>
        <w:tc>
          <w:tcPr>
            <w:tcW w:w="315" w:type="pct"/>
            <w:tcBorders>
              <w:bottom w:val="single" w:sz="4" w:space="0" w:color="auto"/>
            </w:tcBorders>
            <w:shd w:val="clear" w:color="auto" w:fill="FFFF00"/>
            <w:noWrap/>
            <w:vAlign w:val="center"/>
          </w:tcPr>
          <w:p w14:paraId="06912D97"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384" w:type="pct"/>
            <w:tcBorders>
              <w:bottom w:val="single" w:sz="4" w:space="0" w:color="auto"/>
            </w:tcBorders>
            <w:shd w:val="clear" w:color="auto" w:fill="FFFF00"/>
            <w:noWrap/>
            <w:vAlign w:val="center"/>
          </w:tcPr>
          <w:p w14:paraId="0A8EABFC"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300" w:type="pct"/>
            <w:tcBorders>
              <w:bottom w:val="single" w:sz="4" w:space="0" w:color="auto"/>
            </w:tcBorders>
            <w:shd w:val="clear" w:color="auto" w:fill="FFC000"/>
            <w:noWrap/>
            <w:vAlign w:val="center"/>
          </w:tcPr>
          <w:p w14:paraId="1E68A9E2"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3</w:t>
            </w:r>
          </w:p>
        </w:tc>
        <w:tc>
          <w:tcPr>
            <w:tcW w:w="701" w:type="pct"/>
            <w:tcBorders>
              <w:bottom w:val="single" w:sz="4" w:space="0" w:color="auto"/>
            </w:tcBorders>
            <w:shd w:val="clear" w:color="auto" w:fill="FFFF00"/>
            <w:noWrap/>
            <w:vAlign w:val="center"/>
          </w:tcPr>
          <w:p w14:paraId="3049F395"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387" w:type="pct"/>
            <w:tcBorders>
              <w:bottom w:val="single" w:sz="4" w:space="0" w:color="auto"/>
            </w:tcBorders>
            <w:shd w:val="clear" w:color="auto" w:fill="FFC000"/>
            <w:noWrap/>
            <w:vAlign w:val="center"/>
          </w:tcPr>
          <w:p w14:paraId="2012629D"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3</w:t>
            </w:r>
          </w:p>
        </w:tc>
        <w:tc>
          <w:tcPr>
            <w:tcW w:w="454" w:type="pct"/>
            <w:tcBorders>
              <w:bottom w:val="single" w:sz="4" w:space="0" w:color="auto"/>
            </w:tcBorders>
            <w:shd w:val="clear" w:color="auto" w:fill="FFFF00"/>
            <w:noWrap/>
            <w:vAlign w:val="center"/>
          </w:tcPr>
          <w:p w14:paraId="7C5DDF72"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334" w:type="pct"/>
            <w:tcBorders>
              <w:bottom w:val="single" w:sz="4" w:space="0" w:color="auto"/>
            </w:tcBorders>
            <w:shd w:val="clear" w:color="auto" w:fill="FFFF00"/>
            <w:vAlign w:val="center"/>
          </w:tcPr>
          <w:p w14:paraId="38522462"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r>
      <w:tr w:rsidR="009934B7" w:rsidRPr="00280CC1" w14:paraId="7E9737CC"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258" w:type="pct"/>
          </w:tcPr>
          <w:p w14:paraId="781EAACA" w14:textId="1B1567C0" w:rsidR="00A8411F" w:rsidRPr="00280CC1" w:rsidRDefault="00CA0F64" w:rsidP="0003583D">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Ending Violence Against Women in Cambodia</w:t>
            </w:r>
          </w:p>
        </w:tc>
        <w:tc>
          <w:tcPr>
            <w:tcW w:w="442" w:type="pct"/>
          </w:tcPr>
          <w:p w14:paraId="11D52770" w14:textId="3AE76D9A" w:rsidR="00A8411F" w:rsidRPr="00280CC1" w:rsidRDefault="00CA0F64" w:rsidP="0003583D">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$13.4m</w:t>
            </w:r>
          </w:p>
        </w:tc>
        <w:tc>
          <w:tcPr>
            <w:tcW w:w="320" w:type="pct"/>
          </w:tcPr>
          <w:p w14:paraId="0B8BCF98" w14:textId="77777777" w:rsidR="00A8411F" w:rsidRPr="00280CC1" w:rsidRDefault="00A8411F" w:rsidP="0003583D">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2017 AQC</w:t>
            </w:r>
          </w:p>
        </w:tc>
        <w:tc>
          <w:tcPr>
            <w:tcW w:w="315" w:type="pct"/>
            <w:shd w:val="clear" w:color="auto" w:fill="92D050"/>
            <w:noWrap/>
          </w:tcPr>
          <w:p w14:paraId="0DA7A7EE"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384" w:type="pct"/>
            <w:shd w:val="clear" w:color="auto" w:fill="92D050"/>
            <w:noWrap/>
          </w:tcPr>
          <w:p w14:paraId="73E2014B"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300" w:type="pct"/>
            <w:shd w:val="clear" w:color="auto" w:fill="FFFF00"/>
            <w:noWrap/>
          </w:tcPr>
          <w:p w14:paraId="40587E0D"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701" w:type="pct"/>
            <w:shd w:val="clear" w:color="auto" w:fill="92D050"/>
            <w:noWrap/>
          </w:tcPr>
          <w:p w14:paraId="1DE89077"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387" w:type="pct"/>
            <w:shd w:val="clear" w:color="auto" w:fill="FFFF00"/>
            <w:noWrap/>
          </w:tcPr>
          <w:p w14:paraId="7DFAF39A"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54" w:type="pct"/>
            <w:shd w:val="clear" w:color="auto" w:fill="92D050"/>
            <w:noWrap/>
          </w:tcPr>
          <w:p w14:paraId="1F605B00"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334" w:type="pct"/>
            <w:shd w:val="clear" w:color="auto" w:fill="auto"/>
          </w:tcPr>
          <w:p w14:paraId="4E8FD2CF"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r>
      <w:tr w:rsidR="009934B7" w:rsidRPr="00280CC1" w14:paraId="1C132B30"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258" w:type="pct"/>
            <w:tcBorders>
              <w:bottom w:val="single" w:sz="4" w:space="0" w:color="auto"/>
            </w:tcBorders>
          </w:tcPr>
          <w:p w14:paraId="2CD1D825" w14:textId="77777777" w:rsidR="00A8411F" w:rsidRPr="00280CC1" w:rsidRDefault="00A8411F" w:rsidP="0003583D">
            <w:pPr>
              <w:keepLines/>
              <w:spacing w:before="40" w:after="40" w:line="200" w:lineRule="atLeast"/>
              <w:rPr>
                <w:rFonts w:eastAsia="Times New Roman"/>
                <w:iCs/>
                <w:szCs w:val="17"/>
              </w:rPr>
            </w:pPr>
          </w:p>
        </w:tc>
        <w:tc>
          <w:tcPr>
            <w:tcW w:w="442" w:type="pct"/>
            <w:tcBorders>
              <w:bottom w:val="single" w:sz="4" w:space="0" w:color="auto"/>
            </w:tcBorders>
          </w:tcPr>
          <w:p w14:paraId="4DFB750C" w14:textId="4F8F791B" w:rsidR="00A8411F" w:rsidRPr="00280CC1" w:rsidRDefault="00CA0F64" w:rsidP="0003583D">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2012-17</w:t>
            </w:r>
          </w:p>
        </w:tc>
        <w:tc>
          <w:tcPr>
            <w:tcW w:w="320" w:type="pct"/>
            <w:tcBorders>
              <w:bottom w:val="single" w:sz="4" w:space="0" w:color="auto"/>
            </w:tcBorders>
          </w:tcPr>
          <w:p w14:paraId="3C2B709D" w14:textId="77777777" w:rsidR="00A8411F" w:rsidRPr="00280CC1" w:rsidRDefault="00A8411F" w:rsidP="0003583D">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2016 AQC</w:t>
            </w:r>
          </w:p>
        </w:tc>
        <w:tc>
          <w:tcPr>
            <w:tcW w:w="315" w:type="pct"/>
            <w:tcBorders>
              <w:bottom w:val="single" w:sz="4" w:space="0" w:color="auto"/>
            </w:tcBorders>
            <w:shd w:val="clear" w:color="auto" w:fill="92D050"/>
            <w:noWrap/>
            <w:vAlign w:val="center"/>
          </w:tcPr>
          <w:p w14:paraId="698BFB72"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384" w:type="pct"/>
            <w:tcBorders>
              <w:bottom w:val="single" w:sz="4" w:space="0" w:color="auto"/>
            </w:tcBorders>
            <w:shd w:val="clear" w:color="auto" w:fill="FFFF00"/>
            <w:noWrap/>
            <w:vAlign w:val="center"/>
          </w:tcPr>
          <w:p w14:paraId="3A3A2380"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300" w:type="pct"/>
            <w:tcBorders>
              <w:bottom w:val="single" w:sz="4" w:space="0" w:color="auto"/>
            </w:tcBorders>
            <w:shd w:val="clear" w:color="auto" w:fill="FFFF00"/>
            <w:noWrap/>
            <w:vAlign w:val="center"/>
          </w:tcPr>
          <w:p w14:paraId="6370AC3B"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701" w:type="pct"/>
            <w:tcBorders>
              <w:bottom w:val="single" w:sz="4" w:space="0" w:color="auto"/>
            </w:tcBorders>
            <w:shd w:val="clear" w:color="auto" w:fill="FFFF00"/>
            <w:noWrap/>
            <w:vAlign w:val="center"/>
          </w:tcPr>
          <w:p w14:paraId="748C3F41"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387" w:type="pct"/>
            <w:tcBorders>
              <w:bottom w:val="single" w:sz="4" w:space="0" w:color="auto"/>
            </w:tcBorders>
            <w:shd w:val="clear" w:color="auto" w:fill="FFFF00"/>
            <w:noWrap/>
            <w:vAlign w:val="center"/>
          </w:tcPr>
          <w:p w14:paraId="43638910"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454" w:type="pct"/>
            <w:tcBorders>
              <w:bottom w:val="single" w:sz="4" w:space="0" w:color="auto"/>
            </w:tcBorders>
            <w:shd w:val="clear" w:color="auto" w:fill="92D050"/>
            <w:noWrap/>
            <w:vAlign w:val="center"/>
          </w:tcPr>
          <w:p w14:paraId="5C8E0CBE"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334" w:type="pct"/>
            <w:tcBorders>
              <w:bottom w:val="single" w:sz="4" w:space="0" w:color="auto"/>
            </w:tcBorders>
            <w:shd w:val="clear" w:color="auto" w:fill="92D050"/>
            <w:vAlign w:val="center"/>
          </w:tcPr>
          <w:p w14:paraId="508BBE5F"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r>
      <w:tr w:rsidR="009934B7" w:rsidRPr="00280CC1" w14:paraId="2E932087"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258" w:type="pct"/>
          </w:tcPr>
          <w:p w14:paraId="6D6FADD2" w14:textId="1AFBE899" w:rsidR="00A8411F" w:rsidRPr="00280CC1" w:rsidRDefault="00CA0F64" w:rsidP="0003583D">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Community Policing Initiative in Cambodia</w:t>
            </w:r>
          </w:p>
        </w:tc>
        <w:tc>
          <w:tcPr>
            <w:tcW w:w="442" w:type="pct"/>
          </w:tcPr>
          <w:p w14:paraId="489B0D06" w14:textId="427975D6" w:rsidR="00A8411F" w:rsidRPr="00280CC1" w:rsidRDefault="00CA0F64" w:rsidP="00D61920">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$4.</w:t>
            </w:r>
            <w:r w:rsidR="00D61920">
              <w:rPr>
                <w:rFonts w:asciiTheme="minorHAnsi" w:eastAsia="Times New Roman" w:hAnsiTheme="minorHAnsi"/>
                <w:iCs/>
                <w:szCs w:val="17"/>
                <w:lang w:eastAsia="en-US"/>
              </w:rPr>
              <w:t>4</w:t>
            </w:r>
            <w:r w:rsidRPr="00280CC1">
              <w:rPr>
                <w:rFonts w:asciiTheme="minorHAnsi" w:eastAsia="Times New Roman" w:hAnsiTheme="minorHAnsi"/>
                <w:iCs/>
                <w:szCs w:val="17"/>
                <w:lang w:eastAsia="en-US"/>
              </w:rPr>
              <w:t>m</w:t>
            </w:r>
          </w:p>
        </w:tc>
        <w:tc>
          <w:tcPr>
            <w:tcW w:w="320" w:type="pct"/>
          </w:tcPr>
          <w:p w14:paraId="04FD3D3D" w14:textId="77777777" w:rsidR="00A8411F" w:rsidRPr="00280CC1" w:rsidRDefault="00A8411F" w:rsidP="0003583D">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2017 AQC</w:t>
            </w:r>
          </w:p>
        </w:tc>
        <w:tc>
          <w:tcPr>
            <w:tcW w:w="315" w:type="pct"/>
            <w:shd w:val="clear" w:color="auto" w:fill="92D050"/>
            <w:noWrap/>
          </w:tcPr>
          <w:p w14:paraId="02230BE1"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384" w:type="pct"/>
            <w:shd w:val="clear" w:color="auto" w:fill="92D050"/>
            <w:noWrap/>
          </w:tcPr>
          <w:p w14:paraId="158B6B7E"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300" w:type="pct"/>
            <w:shd w:val="clear" w:color="auto" w:fill="FFFF00"/>
            <w:noWrap/>
          </w:tcPr>
          <w:p w14:paraId="20A76F75"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701" w:type="pct"/>
            <w:shd w:val="clear" w:color="auto" w:fill="FFFF00"/>
            <w:noWrap/>
          </w:tcPr>
          <w:p w14:paraId="526BAC33"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387" w:type="pct"/>
            <w:shd w:val="clear" w:color="auto" w:fill="92D050"/>
            <w:noWrap/>
          </w:tcPr>
          <w:p w14:paraId="07BA126C"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54" w:type="pct"/>
            <w:shd w:val="clear" w:color="auto" w:fill="FFFF00"/>
            <w:noWrap/>
          </w:tcPr>
          <w:p w14:paraId="0861704F"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334" w:type="pct"/>
            <w:shd w:val="clear" w:color="auto" w:fill="auto"/>
          </w:tcPr>
          <w:p w14:paraId="1D1E4D95"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r>
      <w:tr w:rsidR="009934B7" w:rsidRPr="00280CC1" w14:paraId="2A358BE9"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258" w:type="pct"/>
            <w:tcBorders>
              <w:bottom w:val="single" w:sz="4" w:space="0" w:color="auto"/>
            </w:tcBorders>
          </w:tcPr>
          <w:p w14:paraId="06BB7DBC" w14:textId="77777777" w:rsidR="00A8411F" w:rsidRPr="00280CC1" w:rsidRDefault="00A8411F" w:rsidP="0003583D">
            <w:pPr>
              <w:keepLines/>
              <w:spacing w:before="40" w:after="40" w:line="200" w:lineRule="atLeast"/>
              <w:rPr>
                <w:rFonts w:eastAsia="Times New Roman"/>
                <w:iCs/>
                <w:szCs w:val="17"/>
              </w:rPr>
            </w:pPr>
          </w:p>
        </w:tc>
        <w:tc>
          <w:tcPr>
            <w:tcW w:w="442" w:type="pct"/>
            <w:tcBorders>
              <w:bottom w:val="single" w:sz="4" w:space="0" w:color="auto"/>
            </w:tcBorders>
          </w:tcPr>
          <w:p w14:paraId="2835B73B" w14:textId="607F1AD0" w:rsidR="00A8411F" w:rsidRPr="00280CC1" w:rsidRDefault="00CA0F64" w:rsidP="0003583D">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201</w:t>
            </w:r>
            <w:r>
              <w:rPr>
                <w:rFonts w:asciiTheme="minorHAnsi" w:eastAsia="Times New Roman" w:hAnsiTheme="minorHAnsi"/>
                <w:iCs/>
                <w:szCs w:val="17"/>
                <w:lang w:eastAsia="en-US"/>
              </w:rPr>
              <w:t>6</w:t>
            </w:r>
            <w:r w:rsidRPr="00280CC1">
              <w:rPr>
                <w:rFonts w:asciiTheme="minorHAnsi" w:eastAsia="Times New Roman" w:hAnsiTheme="minorHAnsi"/>
                <w:iCs/>
                <w:szCs w:val="17"/>
                <w:lang w:eastAsia="en-US"/>
              </w:rPr>
              <w:t>-19</w:t>
            </w:r>
          </w:p>
        </w:tc>
        <w:tc>
          <w:tcPr>
            <w:tcW w:w="320" w:type="pct"/>
            <w:tcBorders>
              <w:bottom w:val="single" w:sz="4" w:space="0" w:color="auto"/>
            </w:tcBorders>
          </w:tcPr>
          <w:p w14:paraId="5843CD01" w14:textId="77777777" w:rsidR="00A8411F" w:rsidRPr="00280CC1" w:rsidRDefault="00A8411F" w:rsidP="0003583D">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2016 AQC</w:t>
            </w:r>
          </w:p>
        </w:tc>
        <w:tc>
          <w:tcPr>
            <w:tcW w:w="315" w:type="pct"/>
            <w:tcBorders>
              <w:bottom w:val="single" w:sz="4" w:space="0" w:color="auto"/>
            </w:tcBorders>
            <w:shd w:val="clear" w:color="auto" w:fill="auto"/>
            <w:noWrap/>
          </w:tcPr>
          <w:p w14:paraId="3C1C8D6F"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c>
          <w:tcPr>
            <w:tcW w:w="384" w:type="pct"/>
            <w:tcBorders>
              <w:bottom w:val="single" w:sz="4" w:space="0" w:color="auto"/>
            </w:tcBorders>
            <w:shd w:val="clear" w:color="auto" w:fill="auto"/>
            <w:noWrap/>
          </w:tcPr>
          <w:p w14:paraId="2E6AAEA5"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c>
          <w:tcPr>
            <w:tcW w:w="300" w:type="pct"/>
            <w:tcBorders>
              <w:bottom w:val="single" w:sz="4" w:space="0" w:color="auto"/>
            </w:tcBorders>
            <w:shd w:val="clear" w:color="auto" w:fill="auto"/>
            <w:noWrap/>
          </w:tcPr>
          <w:p w14:paraId="4DBAC92E"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c>
          <w:tcPr>
            <w:tcW w:w="701" w:type="pct"/>
            <w:tcBorders>
              <w:bottom w:val="single" w:sz="4" w:space="0" w:color="auto"/>
            </w:tcBorders>
            <w:shd w:val="clear" w:color="auto" w:fill="auto"/>
            <w:noWrap/>
          </w:tcPr>
          <w:p w14:paraId="11C4D05E"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c>
          <w:tcPr>
            <w:tcW w:w="387" w:type="pct"/>
            <w:tcBorders>
              <w:bottom w:val="single" w:sz="4" w:space="0" w:color="auto"/>
            </w:tcBorders>
            <w:shd w:val="clear" w:color="auto" w:fill="auto"/>
            <w:noWrap/>
          </w:tcPr>
          <w:p w14:paraId="467A53C8"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c>
          <w:tcPr>
            <w:tcW w:w="454" w:type="pct"/>
            <w:tcBorders>
              <w:bottom w:val="single" w:sz="4" w:space="0" w:color="auto"/>
            </w:tcBorders>
            <w:shd w:val="clear" w:color="auto" w:fill="auto"/>
            <w:noWrap/>
          </w:tcPr>
          <w:p w14:paraId="5DECEAE2"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c>
          <w:tcPr>
            <w:tcW w:w="334" w:type="pct"/>
            <w:tcBorders>
              <w:bottom w:val="single" w:sz="4" w:space="0" w:color="auto"/>
            </w:tcBorders>
            <w:shd w:val="clear" w:color="auto" w:fill="auto"/>
          </w:tcPr>
          <w:p w14:paraId="64FBC806"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r>
      <w:tr w:rsidR="009934B7" w:rsidRPr="00280CC1" w14:paraId="2489FFE0"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258" w:type="pct"/>
          </w:tcPr>
          <w:p w14:paraId="0014B732" w14:textId="499169BF" w:rsidR="00A8411F" w:rsidRPr="00280CC1" w:rsidRDefault="00CA0F64" w:rsidP="000469A4">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 xml:space="preserve">Cambodia Communication Assistance Project </w:t>
            </w:r>
          </w:p>
        </w:tc>
        <w:tc>
          <w:tcPr>
            <w:tcW w:w="442" w:type="pct"/>
          </w:tcPr>
          <w:p w14:paraId="6992789F" w14:textId="16A82FF2" w:rsidR="00A8411F" w:rsidRPr="00280CC1" w:rsidRDefault="00CA0F64" w:rsidP="0003583D">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$3.5m</w:t>
            </w:r>
          </w:p>
        </w:tc>
        <w:tc>
          <w:tcPr>
            <w:tcW w:w="320" w:type="pct"/>
          </w:tcPr>
          <w:p w14:paraId="74DB379A" w14:textId="77777777" w:rsidR="00A8411F" w:rsidRPr="00280CC1" w:rsidRDefault="00A8411F" w:rsidP="0003583D">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2017 AQC</w:t>
            </w:r>
          </w:p>
        </w:tc>
        <w:tc>
          <w:tcPr>
            <w:tcW w:w="315" w:type="pct"/>
            <w:shd w:val="clear" w:color="auto" w:fill="92D050"/>
            <w:noWrap/>
          </w:tcPr>
          <w:p w14:paraId="18F0FDB1"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384" w:type="pct"/>
            <w:shd w:val="clear" w:color="auto" w:fill="92D050"/>
            <w:noWrap/>
          </w:tcPr>
          <w:p w14:paraId="704134C2"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300" w:type="pct"/>
            <w:shd w:val="clear" w:color="auto" w:fill="92D050"/>
            <w:noWrap/>
          </w:tcPr>
          <w:p w14:paraId="1091DEEE"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701" w:type="pct"/>
            <w:shd w:val="clear" w:color="auto" w:fill="92D050"/>
            <w:noWrap/>
          </w:tcPr>
          <w:p w14:paraId="47220C07"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387" w:type="pct"/>
            <w:shd w:val="clear" w:color="auto" w:fill="FFFF00"/>
            <w:noWrap/>
          </w:tcPr>
          <w:p w14:paraId="003451E5"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54" w:type="pct"/>
            <w:shd w:val="clear" w:color="auto" w:fill="92D050"/>
            <w:noWrap/>
          </w:tcPr>
          <w:p w14:paraId="72368080"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334" w:type="pct"/>
            <w:shd w:val="clear" w:color="auto" w:fill="auto"/>
          </w:tcPr>
          <w:p w14:paraId="2FECA530"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r>
      <w:tr w:rsidR="009934B7" w:rsidRPr="00280CC1" w14:paraId="024A5DD8"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258" w:type="pct"/>
            <w:tcBorders>
              <w:bottom w:val="single" w:sz="4" w:space="0" w:color="auto"/>
            </w:tcBorders>
          </w:tcPr>
          <w:p w14:paraId="52CFBBE4" w14:textId="6A929C0D" w:rsidR="00A8411F" w:rsidRPr="00280CC1" w:rsidRDefault="000469A4" w:rsidP="0003583D">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Phase 2</w:t>
            </w:r>
          </w:p>
        </w:tc>
        <w:tc>
          <w:tcPr>
            <w:tcW w:w="442" w:type="pct"/>
            <w:tcBorders>
              <w:bottom w:val="single" w:sz="4" w:space="0" w:color="auto"/>
            </w:tcBorders>
          </w:tcPr>
          <w:p w14:paraId="7C578197" w14:textId="020ACED6" w:rsidR="00A8411F" w:rsidRPr="00280CC1" w:rsidRDefault="0020044A" w:rsidP="0003583D">
            <w:pPr>
              <w:keepLines/>
              <w:spacing w:before="40" w:after="40" w:line="200" w:lineRule="atLeast"/>
              <w:rPr>
                <w:rFonts w:eastAsia="Times New Roman"/>
                <w:iCs/>
                <w:szCs w:val="17"/>
              </w:rPr>
            </w:pPr>
            <w:r>
              <w:rPr>
                <w:rFonts w:asciiTheme="minorHAnsi" w:eastAsia="Times New Roman" w:hAnsiTheme="minorHAnsi"/>
                <w:iCs/>
                <w:szCs w:val="17"/>
                <w:lang w:eastAsia="en-US"/>
              </w:rPr>
              <w:t>2015</w:t>
            </w:r>
            <w:r w:rsidR="00CA0F64">
              <w:rPr>
                <w:rFonts w:asciiTheme="minorHAnsi" w:eastAsia="Times New Roman" w:hAnsiTheme="minorHAnsi"/>
                <w:iCs/>
                <w:szCs w:val="17"/>
                <w:lang w:eastAsia="en-US"/>
              </w:rPr>
              <w:t>-</w:t>
            </w:r>
            <w:r>
              <w:rPr>
                <w:rFonts w:asciiTheme="minorHAnsi" w:eastAsia="Times New Roman" w:hAnsiTheme="minorHAnsi"/>
                <w:iCs/>
                <w:szCs w:val="17"/>
                <w:lang w:eastAsia="en-US"/>
              </w:rPr>
              <w:t>18</w:t>
            </w:r>
          </w:p>
        </w:tc>
        <w:tc>
          <w:tcPr>
            <w:tcW w:w="320" w:type="pct"/>
            <w:tcBorders>
              <w:bottom w:val="single" w:sz="4" w:space="0" w:color="auto"/>
            </w:tcBorders>
          </w:tcPr>
          <w:p w14:paraId="3ACAAAB8" w14:textId="77777777" w:rsidR="00A8411F" w:rsidRPr="00280CC1" w:rsidRDefault="00A8411F" w:rsidP="0003583D">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2016 AQC</w:t>
            </w:r>
          </w:p>
        </w:tc>
        <w:tc>
          <w:tcPr>
            <w:tcW w:w="315" w:type="pct"/>
            <w:tcBorders>
              <w:bottom w:val="single" w:sz="4" w:space="0" w:color="auto"/>
            </w:tcBorders>
            <w:shd w:val="clear" w:color="auto" w:fill="92D050"/>
            <w:noWrap/>
            <w:vAlign w:val="center"/>
          </w:tcPr>
          <w:p w14:paraId="0C043761"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384" w:type="pct"/>
            <w:tcBorders>
              <w:bottom w:val="single" w:sz="4" w:space="0" w:color="auto"/>
            </w:tcBorders>
            <w:shd w:val="clear" w:color="auto" w:fill="FFFF00"/>
            <w:noWrap/>
            <w:vAlign w:val="center"/>
          </w:tcPr>
          <w:p w14:paraId="18CD323F"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300" w:type="pct"/>
            <w:tcBorders>
              <w:bottom w:val="single" w:sz="4" w:space="0" w:color="auto"/>
            </w:tcBorders>
            <w:shd w:val="clear" w:color="auto" w:fill="92D050"/>
            <w:noWrap/>
            <w:vAlign w:val="center"/>
          </w:tcPr>
          <w:p w14:paraId="130D6299"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701" w:type="pct"/>
            <w:tcBorders>
              <w:bottom w:val="single" w:sz="4" w:space="0" w:color="auto"/>
            </w:tcBorders>
            <w:shd w:val="clear" w:color="auto" w:fill="FFFF00"/>
            <w:noWrap/>
            <w:vAlign w:val="center"/>
          </w:tcPr>
          <w:p w14:paraId="038C348B"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387" w:type="pct"/>
            <w:tcBorders>
              <w:bottom w:val="single" w:sz="4" w:space="0" w:color="auto"/>
            </w:tcBorders>
            <w:shd w:val="clear" w:color="auto" w:fill="FFFF00"/>
            <w:noWrap/>
            <w:vAlign w:val="center"/>
          </w:tcPr>
          <w:p w14:paraId="34C86B60"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454" w:type="pct"/>
            <w:tcBorders>
              <w:bottom w:val="single" w:sz="4" w:space="0" w:color="auto"/>
            </w:tcBorders>
            <w:shd w:val="clear" w:color="auto" w:fill="92D050"/>
            <w:noWrap/>
            <w:vAlign w:val="center"/>
          </w:tcPr>
          <w:p w14:paraId="07CC022B"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334" w:type="pct"/>
            <w:tcBorders>
              <w:bottom w:val="single" w:sz="4" w:space="0" w:color="auto"/>
            </w:tcBorders>
            <w:shd w:val="clear" w:color="auto" w:fill="92D050"/>
            <w:vAlign w:val="center"/>
          </w:tcPr>
          <w:p w14:paraId="387BD941"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r>
      <w:tr w:rsidR="009934B7" w:rsidRPr="00280CC1" w14:paraId="0B94724B"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258" w:type="pct"/>
          </w:tcPr>
          <w:p w14:paraId="5FB3597F" w14:textId="3FFFDF93" w:rsidR="00A8411F" w:rsidRPr="00280CC1" w:rsidRDefault="00CA0F64" w:rsidP="0003583D">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Cambodia Public Financial Management</w:t>
            </w:r>
          </w:p>
        </w:tc>
        <w:tc>
          <w:tcPr>
            <w:tcW w:w="442" w:type="pct"/>
          </w:tcPr>
          <w:p w14:paraId="3A875AD1" w14:textId="1752A895" w:rsidR="00A8411F" w:rsidRPr="00280CC1" w:rsidRDefault="00CA0F64" w:rsidP="0003583D">
            <w:pPr>
              <w:keepLines/>
              <w:spacing w:before="40" w:after="40" w:line="200" w:lineRule="atLeast"/>
              <w:rPr>
                <w:rFonts w:eastAsia="Times New Roman"/>
                <w:iCs/>
                <w:szCs w:val="17"/>
              </w:rPr>
            </w:pPr>
            <w:r w:rsidRPr="00280CC1">
              <w:rPr>
                <w:rFonts w:asciiTheme="minorHAnsi" w:eastAsia="Times New Roman" w:hAnsiTheme="minorHAnsi"/>
                <w:iCs/>
                <w:szCs w:val="17"/>
                <w:lang w:eastAsia="en-US"/>
              </w:rPr>
              <w:t>$3.3m</w:t>
            </w:r>
          </w:p>
        </w:tc>
        <w:tc>
          <w:tcPr>
            <w:tcW w:w="320" w:type="pct"/>
          </w:tcPr>
          <w:p w14:paraId="102AD09E" w14:textId="77777777" w:rsidR="00A8411F" w:rsidRPr="00280CC1" w:rsidRDefault="00A8411F" w:rsidP="0003583D">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2017 AQC</w:t>
            </w:r>
          </w:p>
        </w:tc>
        <w:tc>
          <w:tcPr>
            <w:tcW w:w="315" w:type="pct"/>
            <w:shd w:val="clear" w:color="auto" w:fill="FFFF00"/>
            <w:noWrap/>
          </w:tcPr>
          <w:p w14:paraId="5591FBF6"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384" w:type="pct"/>
            <w:shd w:val="clear" w:color="auto" w:fill="FFFF00"/>
            <w:noWrap/>
          </w:tcPr>
          <w:p w14:paraId="5C7BFFE8"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300" w:type="pct"/>
            <w:shd w:val="clear" w:color="auto" w:fill="FFFF00"/>
            <w:noWrap/>
          </w:tcPr>
          <w:p w14:paraId="1C154492"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701" w:type="pct"/>
            <w:shd w:val="clear" w:color="auto" w:fill="FFFF00"/>
            <w:noWrap/>
          </w:tcPr>
          <w:p w14:paraId="76F44DFB"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387" w:type="pct"/>
            <w:shd w:val="clear" w:color="auto" w:fill="92D050"/>
            <w:noWrap/>
          </w:tcPr>
          <w:p w14:paraId="15609830"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54" w:type="pct"/>
            <w:shd w:val="clear" w:color="auto" w:fill="FF0000"/>
            <w:noWrap/>
          </w:tcPr>
          <w:p w14:paraId="35BB229C"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2</w:t>
            </w:r>
          </w:p>
        </w:tc>
        <w:tc>
          <w:tcPr>
            <w:tcW w:w="334" w:type="pct"/>
          </w:tcPr>
          <w:p w14:paraId="672B84D9" w14:textId="77777777" w:rsidR="00A8411F" w:rsidRPr="00280CC1" w:rsidRDefault="00A8411F" w:rsidP="0003583D">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r>
      <w:tr w:rsidR="009934B7" w:rsidRPr="00280CC1" w14:paraId="01B8561A"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258" w:type="pct"/>
            <w:tcBorders>
              <w:bottom w:val="single" w:sz="4" w:space="0" w:color="auto"/>
            </w:tcBorders>
          </w:tcPr>
          <w:p w14:paraId="24A76703" w14:textId="77777777" w:rsidR="00A8411F" w:rsidRPr="00280CC1" w:rsidRDefault="00A8411F" w:rsidP="0003583D">
            <w:pPr>
              <w:keepLines/>
              <w:spacing w:before="40" w:after="40" w:line="200" w:lineRule="atLeast"/>
              <w:rPr>
                <w:rFonts w:eastAsia="Times New Roman"/>
                <w:iCs/>
                <w:szCs w:val="17"/>
              </w:rPr>
            </w:pPr>
          </w:p>
        </w:tc>
        <w:tc>
          <w:tcPr>
            <w:tcW w:w="442" w:type="pct"/>
            <w:tcBorders>
              <w:bottom w:val="single" w:sz="4" w:space="0" w:color="auto"/>
            </w:tcBorders>
          </w:tcPr>
          <w:p w14:paraId="11550E1C" w14:textId="6553B47B" w:rsidR="00A8411F" w:rsidRPr="00280CC1" w:rsidRDefault="0020044A" w:rsidP="0020044A">
            <w:pPr>
              <w:keepLines/>
              <w:spacing w:before="40" w:after="40" w:line="200" w:lineRule="atLeast"/>
              <w:rPr>
                <w:rFonts w:eastAsia="Times New Roman"/>
                <w:iCs/>
                <w:szCs w:val="17"/>
              </w:rPr>
            </w:pPr>
            <w:r>
              <w:rPr>
                <w:rFonts w:asciiTheme="minorHAnsi" w:eastAsia="Times New Roman" w:hAnsiTheme="minorHAnsi"/>
                <w:iCs/>
                <w:szCs w:val="17"/>
                <w:lang w:eastAsia="en-US"/>
              </w:rPr>
              <w:t>2005</w:t>
            </w:r>
            <w:r w:rsidR="00CA0F64">
              <w:rPr>
                <w:rFonts w:asciiTheme="minorHAnsi" w:eastAsia="Times New Roman" w:hAnsiTheme="minorHAnsi"/>
                <w:iCs/>
                <w:szCs w:val="17"/>
                <w:lang w:eastAsia="en-US"/>
              </w:rPr>
              <w:t>-</w:t>
            </w:r>
            <w:r w:rsidR="00CA0F64" w:rsidRPr="00280CC1">
              <w:rPr>
                <w:rFonts w:asciiTheme="minorHAnsi" w:eastAsia="Times New Roman" w:hAnsiTheme="minorHAnsi"/>
                <w:iCs/>
                <w:szCs w:val="17"/>
                <w:lang w:eastAsia="en-US"/>
              </w:rPr>
              <w:t>1</w:t>
            </w:r>
            <w:r>
              <w:rPr>
                <w:rFonts w:asciiTheme="minorHAnsi" w:eastAsia="Times New Roman" w:hAnsiTheme="minorHAnsi"/>
                <w:iCs/>
                <w:szCs w:val="17"/>
                <w:lang w:eastAsia="en-US"/>
              </w:rPr>
              <w:t>6</w:t>
            </w:r>
          </w:p>
        </w:tc>
        <w:tc>
          <w:tcPr>
            <w:tcW w:w="320" w:type="pct"/>
            <w:tcBorders>
              <w:bottom w:val="single" w:sz="4" w:space="0" w:color="auto"/>
            </w:tcBorders>
          </w:tcPr>
          <w:p w14:paraId="14396E88" w14:textId="77777777" w:rsidR="00A8411F" w:rsidRPr="00280CC1" w:rsidRDefault="00A8411F" w:rsidP="0003583D">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2016 AQC</w:t>
            </w:r>
          </w:p>
        </w:tc>
        <w:tc>
          <w:tcPr>
            <w:tcW w:w="315" w:type="pct"/>
            <w:tcBorders>
              <w:bottom w:val="single" w:sz="4" w:space="0" w:color="auto"/>
            </w:tcBorders>
            <w:shd w:val="clear" w:color="auto" w:fill="92D050"/>
            <w:noWrap/>
            <w:vAlign w:val="center"/>
          </w:tcPr>
          <w:p w14:paraId="7A5206D5"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5</w:t>
            </w:r>
          </w:p>
        </w:tc>
        <w:tc>
          <w:tcPr>
            <w:tcW w:w="384" w:type="pct"/>
            <w:tcBorders>
              <w:bottom w:val="single" w:sz="4" w:space="0" w:color="auto"/>
            </w:tcBorders>
            <w:shd w:val="clear" w:color="auto" w:fill="FFFF00"/>
            <w:noWrap/>
            <w:vAlign w:val="center"/>
          </w:tcPr>
          <w:p w14:paraId="37DD18C2"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300" w:type="pct"/>
            <w:tcBorders>
              <w:bottom w:val="single" w:sz="4" w:space="0" w:color="auto"/>
            </w:tcBorders>
            <w:shd w:val="clear" w:color="auto" w:fill="FFFF00"/>
            <w:noWrap/>
            <w:vAlign w:val="center"/>
          </w:tcPr>
          <w:p w14:paraId="380B9C39"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701" w:type="pct"/>
            <w:tcBorders>
              <w:bottom w:val="single" w:sz="4" w:space="0" w:color="auto"/>
            </w:tcBorders>
            <w:shd w:val="clear" w:color="auto" w:fill="FFFF00"/>
            <w:noWrap/>
            <w:vAlign w:val="center"/>
          </w:tcPr>
          <w:p w14:paraId="30751711"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387" w:type="pct"/>
            <w:tcBorders>
              <w:bottom w:val="single" w:sz="4" w:space="0" w:color="auto"/>
            </w:tcBorders>
            <w:shd w:val="clear" w:color="auto" w:fill="FFFF00"/>
            <w:noWrap/>
            <w:vAlign w:val="center"/>
          </w:tcPr>
          <w:p w14:paraId="1702B148"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c>
          <w:tcPr>
            <w:tcW w:w="454" w:type="pct"/>
            <w:tcBorders>
              <w:bottom w:val="single" w:sz="4" w:space="0" w:color="auto"/>
            </w:tcBorders>
            <w:shd w:val="clear" w:color="auto" w:fill="FFC000"/>
            <w:noWrap/>
            <w:vAlign w:val="center"/>
          </w:tcPr>
          <w:p w14:paraId="5D57E348"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3</w:t>
            </w:r>
          </w:p>
        </w:tc>
        <w:tc>
          <w:tcPr>
            <w:tcW w:w="334" w:type="pct"/>
            <w:tcBorders>
              <w:bottom w:val="single" w:sz="4" w:space="0" w:color="auto"/>
            </w:tcBorders>
            <w:shd w:val="clear" w:color="auto" w:fill="FFFF00"/>
            <w:vAlign w:val="center"/>
          </w:tcPr>
          <w:p w14:paraId="0FB72FFA"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4</w:t>
            </w:r>
          </w:p>
        </w:tc>
      </w:tr>
      <w:tr w:rsidR="009934B7" w:rsidRPr="00280CC1" w14:paraId="1FE0189E"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258" w:type="pct"/>
          </w:tcPr>
          <w:p w14:paraId="1C751D6A" w14:textId="7804CFC2" w:rsidR="00A8411F" w:rsidRPr="0029505D" w:rsidRDefault="00CA0F64" w:rsidP="0003583D">
            <w:pPr>
              <w:keepLines/>
              <w:spacing w:before="40" w:after="40" w:line="200" w:lineRule="atLeast"/>
              <w:rPr>
                <w:rFonts w:eastAsia="Times New Roman"/>
                <w:iCs/>
                <w:szCs w:val="17"/>
              </w:rPr>
            </w:pPr>
            <w:r w:rsidRPr="00280CC1">
              <w:rPr>
                <w:rFonts w:ascii="Calibri Light" w:hAnsi="Calibri Light" w:cs="Arial"/>
                <w:color w:val="495965"/>
                <w:szCs w:val="17"/>
              </w:rPr>
              <w:t>Support to</w:t>
            </w:r>
            <w:r>
              <w:rPr>
                <w:rFonts w:ascii="Calibri Light" w:hAnsi="Calibri Light" w:cs="Arial"/>
                <w:color w:val="495965"/>
                <w:szCs w:val="17"/>
              </w:rPr>
              <w:t xml:space="preserve"> the</w:t>
            </w:r>
            <w:r w:rsidRPr="00280CC1">
              <w:rPr>
                <w:rFonts w:ascii="Calibri Light" w:hAnsi="Calibri Light" w:cs="Arial"/>
                <w:color w:val="495965"/>
                <w:szCs w:val="17"/>
              </w:rPr>
              <w:t xml:space="preserve"> Khmer Rouge Tribunal</w:t>
            </w:r>
          </w:p>
        </w:tc>
        <w:tc>
          <w:tcPr>
            <w:tcW w:w="442" w:type="pct"/>
          </w:tcPr>
          <w:p w14:paraId="4CA112C0" w14:textId="30245048" w:rsidR="00A8411F" w:rsidRPr="0029505D" w:rsidRDefault="00CA0F64" w:rsidP="0003583D">
            <w:pPr>
              <w:keepLines/>
              <w:spacing w:before="40" w:after="40" w:line="200" w:lineRule="atLeast"/>
              <w:rPr>
                <w:rFonts w:eastAsia="Times New Roman"/>
                <w:iCs/>
                <w:szCs w:val="17"/>
              </w:rPr>
            </w:pPr>
            <w:r w:rsidRPr="0029505D">
              <w:rPr>
                <w:rFonts w:asciiTheme="minorHAnsi" w:eastAsia="Times New Roman" w:hAnsiTheme="minorHAnsi"/>
                <w:iCs/>
                <w:szCs w:val="17"/>
                <w:lang w:eastAsia="en-US"/>
              </w:rPr>
              <w:t>$</w:t>
            </w:r>
            <w:r w:rsidRPr="00EE2FEA">
              <w:rPr>
                <w:rFonts w:asciiTheme="minorHAnsi" w:eastAsia="Times New Roman" w:hAnsiTheme="minorHAnsi"/>
                <w:iCs/>
                <w:szCs w:val="17"/>
                <w:lang w:eastAsia="en-US"/>
              </w:rPr>
              <w:t>39.0m</w:t>
            </w:r>
          </w:p>
        </w:tc>
        <w:tc>
          <w:tcPr>
            <w:tcW w:w="320" w:type="pct"/>
          </w:tcPr>
          <w:p w14:paraId="2D50DD2F" w14:textId="77777777" w:rsidR="00A8411F" w:rsidRPr="00280CC1" w:rsidRDefault="00A8411F" w:rsidP="0003583D">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2017 AQC</w:t>
            </w:r>
          </w:p>
        </w:tc>
        <w:tc>
          <w:tcPr>
            <w:tcW w:w="315" w:type="pct"/>
            <w:shd w:val="clear" w:color="auto" w:fill="auto"/>
            <w:noWrap/>
            <w:vAlign w:val="center"/>
          </w:tcPr>
          <w:p w14:paraId="12420E56"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E</w:t>
            </w:r>
          </w:p>
        </w:tc>
        <w:tc>
          <w:tcPr>
            <w:tcW w:w="384" w:type="pct"/>
            <w:shd w:val="clear" w:color="auto" w:fill="auto"/>
            <w:noWrap/>
            <w:vAlign w:val="center"/>
          </w:tcPr>
          <w:p w14:paraId="0B2CA232"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E</w:t>
            </w:r>
          </w:p>
        </w:tc>
        <w:tc>
          <w:tcPr>
            <w:tcW w:w="300" w:type="pct"/>
            <w:shd w:val="clear" w:color="auto" w:fill="auto"/>
            <w:noWrap/>
            <w:vAlign w:val="center"/>
          </w:tcPr>
          <w:p w14:paraId="4A5702B0"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E</w:t>
            </w:r>
          </w:p>
        </w:tc>
        <w:tc>
          <w:tcPr>
            <w:tcW w:w="701" w:type="pct"/>
            <w:shd w:val="clear" w:color="auto" w:fill="auto"/>
            <w:noWrap/>
            <w:vAlign w:val="center"/>
          </w:tcPr>
          <w:p w14:paraId="070EE3B5"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E</w:t>
            </w:r>
          </w:p>
        </w:tc>
        <w:tc>
          <w:tcPr>
            <w:tcW w:w="387" w:type="pct"/>
            <w:shd w:val="clear" w:color="auto" w:fill="auto"/>
            <w:noWrap/>
            <w:vAlign w:val="center"/>
          </w:tcPr>
          <w:p w14:paraId="614256BE"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E</w:t>
            </w:r>
          </w:p>
        </w:tc>
        <w:tc>
          <w:tcPr>
            <w:tcW w:w="454" w:type="pct"/>
            <w:shd w:val="clear" w:color="auto" w:fill="auto"/>
            <w:noWrap/>
            <w:vAlign w:val="center"/>
          </w:tcPr>
          <w:p w14:paraId="49069582"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E</w:t>
            </w:r>
          </w:p>
        </w:tc>
        <w:tc>
          <w:tcPr>
            <w:tcW w:w="334" w:type="pct"/>
            <w:shd w:val="clear" w:color="auto" w:fill="auto"/>
            <w:vAlign w:val="center"/>
          </w:tcPr>
          <w:p w14:paraId="1CA277F1"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E</w:t>
            </w:r>
          </w:p>
        </w:tc>
      </w:tr>
      <w:tr w:rsidR="009934B7" w:rsidRPr="00280CC1" w14:paraId="6EEF38A9" w14:textId="77777777" w:rsidTr="009934B7">
        <w:trPr>
          <w:cnfStyle w:val="000000010000" w:firstRow="0" w:lastRow="0" w:firstColumn="0" w:lastColumn="0" w:oddVBand="0" w:evenVBand="0" w:oddHBand="0" w:evenHBand="1" w:firstRowFirstColumn="0" w:firstRowLastColumn="0" w:lastRowFirstColumn="0" w:lastRowLastColumn="0"/>
          <w:trHeight w:val="284"/>
        </w:trPr>
        <w:tc>
          <w:tcPr>
            <w:tcW w:w="1258" w:type="pct"/>
          </w:tcPr>
          <w:p w14:paraId="2893073B" w14:textId="77777777" w:rsidR="00A8411F" w:rsidRPr="00280CC1" w:rsidRDefault="00A8411F" w:rsidP="0003583D">
            <w:pPr>
              <w:keepLines/>
              <w:spacing w:before="40" w:after="40" w:line="200" w:lineRule="atLeast"/>
              <w:rPr>
                <w:rFonts w:eastAsia="Times New Roman"/>
                <w:iCs/>
                <w:szCs w:val="17"/>
              </w:rPr>
            </w:pPr>
          </w:p>
        </w:tc>
        <w:tc>
          <w:tcPr>
            <w:tcW w:w="442" w:type="pct"/>
          </w:tcPr>
          <w:p w14:paraId="2A9A4C26" w14:textId="79571C5B" w:rsidR="00A8411F" w:rsidRPr="00280CC1" w:rsidRDefault="00CA0F64" w:rsidP="0003583D">
            <w:pPr>
              <w:keepLines/>
              <w:spacing w:before="40" w:after="40" w:line="200" w:lineRule="atLeast"/>
              <w:rPr>
                <w:rFonts w:eastAsia="Times New Roman"/>
                <w:iCs/>
                <w:szCs w:val="17"/>
              </w:rPr>
            </w:pPr>
            <w:r w:rsidRPr="00EE2FEA">
              <w:rPr>
                <w:rFonts w:asciiTheme="minorHAnsi" w:eastAsia="Times New Roman" w:hAnsiTheme="minorHAnsi"/>
                <w:iCs/>
                <w:szCs w:val="17"/>
                <w:lang w:eastAsia="en-US"/>
              </w:rPr>
              <w:t>2003-18</w:t>
            </w:r>
          </w:p>
        </w:tc>
        <w:tc>
          <w:tcPr>
            <w:tcW w:w="320" w:type="pct"/>
          </w:tcPr>
          <w:p w14:paraId="66CC91E0" w14:textId="77777777" w:rsidR="00A8411F" w:rsidRPr="00280CC1" w:rsidRDefault="00A8411F" w:rsidP="0003583D">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2016 AQC</w:t>
            </w:r>
          </w:p>
        </w:tc>
        <w:tc>
          <w:tcPr>
            <w:tcW w:w="315" w:type="pct"/>
            <w:shd w:val="clear" w:color="auto" w:fill="auto"/>
            <w:noWrap/>
            <w:vAlign w:val="center"/>
          </w:tcPr>
          <w:p w14:paraId="51052746"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E</w:t>
            </w:r>
          </w:p>
        </w:tc>
        <w:tc>
          <w:tcPr>
            <w:tcW w:w="384" w:type="pct"/>
            <w:shd w:val="clear" w:color="auto" w:fill="auto"/>
            <w:noWrap/>
            <w:vAlign w:val="center"/>
          </w:tcPr>
          <w:p w14:paraId="4DC08DA8"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E</w:t>
            </w:r>
          </w:p>
        </w:tc>
        <w:tc>
          <w:tcPr>
            <w:tcW w:w="300" w:type="pct"/>
            <w:shd w:val="clear" w:color="auto" w:fill="auto"/>
            <w:noWrap/>
            <w:vAlign w:val="center"/>
          </w:tcPr>
          <w:p w14:paraId="6F074F14"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E</w:t>
            </w:r>
          </w:p>
        </w:tc>
        <w:tc>
          <w:tcPr>
            <w:tcW w:w="701" w:type="pct"/>
            <w:shd w:val="clear" w:color="auto" w:fill="auto"/>
            <w:noWrap/>
            <w:vAlign w:val="center"/>
          </w:tcPr>
          <w:p w14:paraId="0671A56F"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E</w:t>
            </w:r>
          </w:p>
        </w:tc>
        <w:tc>
          <w:tcPr>
            <w:tcW w:w="387" w:type="pct"/>
            <w:shd w:val="clear" w:color="auto" w:fill="auto"/>
            <w:noWrap/>
            <w:vAlign w:val="center"/>
          </w:tcPr>
          <w:p w14:paraId="50E44DD8"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E</w:t>
            </w:r>
          </w:p>
        </w:tc>
        <w:tc>
          <w:tcPr>
            <w:tcW w:w="454" w:type="pct"/>
            <w:shd w:val="clear" w:color="auto" w:fill="auto"/>
            <w:noWrap/>
            <w:vAlign w:val="center"/>
          </w:tcPr>
          <w:p w14:paraId="618B2BFC"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E</w:t>
            </w:r>
          </w:p>
        </w:tc>
        <w:tc>
          <w:tcPr>
            <w:tcW w:w="334" w:type="pct"/>
            <w:shd w:val="clear" w:color="auto" w:fill="auto"/>
            <w:vAlign w:val="center"/>
          </w:tcPr>
          <w:p w14:paraId="33235E8E" w14:textId="77777777" w:rsidR="00A8411F" w:rsidRPr="00280CC1" w:rsidRDefault="00A8411F" w:rsidP="0003583D">
            <w:pPr>
              <w:spacing w:before="0" w:after="0" w:line="240" w:lineRule="auto"/>
              <w:jc w:val="center"/>
              <w:rPr>
                <w:rFonts w:ascii="Calibri Light" w:hAnsi="Calibri Light" w:cs="Arial"/>
                <w:color w:val="495965"/>
                <w:szCs w:val="17"/>
              </w:rPr>
            </w:pPr>
            <w:r w:rsidRPr="00280CC1">
              <w:rPr>
                <w:rFonts w:ascii="Calibri Light" w:hAnsi="Calibri Light" w:cs="Arial"/>
                <w:color w:val="495965"/>
                <w:szCs w:val="17"/>
              </w:rPr>
              <w:t>E</w:t>
            </w:r>
          </w:p>
        </w:tc>
      </w:tr>
    </w:tbl>
    <w:p w14:paraId="6A5DABBF" w14:textId="77777777" w:rsidR="00400B0F" w:rsidRPr="00280CC1" w:rsidRDefault="00400B0F" w:rsidP="00400B0F">
      <w:pPr>
        <w:rPr>
          <w:iCs/>
        </w:rPr>
      </w:pPr>
    </w:p>
    <w:p w14:paraId="26929E12" w14:textId="77777777" w:rsidR="00A56F14" w:rsidRPr="00280CC1" w:rsidRDefault="00A56F14" w:rsidP="00400B0F">
      <w:pPr>
        <w:keepNext/>
        <w:numPr>
          <w:ilvl w:val="2"/>
          <w:numId w:val="0"/>
        </w:numPr>
        <w:spacing w:before="240" w:after="120"/>
        <w:outlineLvl w:val="2"/>
        <w:rPr>
          <w:rFonts w:ascii="Helvetica" w:eastAsia="Times New Roman" w:hAnsi="Helvetica" w:cs="Arial"/>
          <w:b/>
          <w:color w:val="124486"/>
          <w:kern w:val="28"/>
          <w:lang w:eastAsia="zh-CN"/>
        </w:rPr>
      </w:pPr>
    </w:p>
    <w:p w14:paraId="61C6F0A7" w14:textId="77777777" w:rsidR="00400B0F" w:rsidRPr="00280CC1" w:rsidRDefault="00400B0F" w:rsidP="00400B0F">
      <w:pPr>
        <w:keepNext/>
        <w:numPr>
          <w:ilvl w:val="2"/>
          <w:numId w:val="0"/>
        </w:numPr>
        <w:spacing w:before="240" w:after="120"/>
        <w:outlineLvl w:val="2"/>
        <w:rPr>
          <w:rFonts w:ascii="Helvetica" w:eastAsia="Times New Roman" w:hAnsi="Helvetica" w:cs="Arial"/>
          <w:b/>
          <w:color w:val="124486"/>
          <w:kern w:val="28"/>
          <w:lang w:eastAsia="zh-CN"/>
        </w:rPr>
      </w:pPr>
    </w:p>
    <w:p w14:paraId="280B27E3" w14:textId="77777777" w:rsidR="00400B0F" w:rsidRPr="00280CC1" w:rsidRDefault="00400B0F" w:rsidP="00400B0F">
      <w:pPr>
        <w:keepNext/>
        <w:numPr>
          <w:ilvl w:val="2"/>
          <w:numId w:val="0"/>
        </w:numPr>
        <w:spacing w:before="240" w:after="120"/>
        <w:outlineLvl w:val="2"/>
        <w:rPr>
          <w:rFonts w:ascii="Helvetica" w:eastAsia="Times New Roman" w:hAnsi="Helvetica" w:cs="Arial"/>
          <w:b/>
          <w:color w:val="124486"/>
          <w:kern w:val="28"/>
          <w:lang w:eastAsia="zh-CN"/>
        </w:rPr>
      </w:pPr>
    </w:p>
    <w:p w14:paraId="4F05F48C" w14:textId="77777777" w:rsidR="00A56F14" w:rsidRPr="00280CC1" w:rsidRDefault="00A56F14" w:rsidP="003D6685">
      <w:pPr>
        <w:keepLines/>
        <w:spacing w:before="40" w:after="40" w:line="200" w:lineRule="atLeast"/>
      </w:pPr>
    </w:p>
    <w:p w14:paraId="32838AD5" w14:textId="77777777" w:rsidR="00400B0F" w:rsidRPr="00280CC1" w:rsidRDefault="00400B0F">
      <w:pPr>
        <w:suppressAutoHyphens w:val="0"/>
        <w:spacing w:before="0" w:after="120" w:line="440" w:lineRule="atLeast"/>
      </w:pPr>
      <w:r w:rsidRPr="00280CC1">
        <w:br w:type="page"/>
      </w:r>
    </w:p>
    <w:p w14:paraId="7B71DD66" w14:textId="1E461B72" w:rsidR="00400B0F" w:rsidRPr="00280CC1" w:rsidRDefault="00400B0F" w:rsidP="00400B0F">
      <w:pPr>
        <w:keepNext/>
        <w:numPr>
          <w:ilvl w:val="2"/>
          <w:numId w:val="0"/>
        </w:numPr>
        <w:spacing w:before="240" w:after="120"/>
        <w:outlineLvl w:val="2"/>
        <w:rPr>
          <w:rFonts w:ascii="Helvetica" w:eastAsia="Times New Roman" w:hAnsi="Helvetica" w:cs="Arial"/>
          <w:b/>
          <w:color w:val="124486"/>
          <w:kern w:val="28"/>
          <w:lang w:eastAsia="zh-CN"/>
        </w:rPr>
      </w:pPr>
      <w:r w:rsidRPr="00280CC1">
        <w:rPr>
          <w:rFonts w:asciiTheme="majorHAnsi" w:eastAsiaTheme="majorEastAsia" w:hAnsiTheme="majorHAnsi" w:cstheme="majorBidi"/>
          <w:caps/>
          <w:sz w:val="38"/>
          <w:szCs w:val="26"/>
        </w:rPr>
        <w:lastRenderedPageBreak/>
        <w:t>FAQC ratings</w:t>
      </w:r>
      <w:r w:rsidRPr="00280CC1">
        <w:rPr>
          <w:rFonts w:ascii="Helvetica" w:eastAsia="Times New Roman" w:hAnsi="Helvetica" w:cs="Arial"/>
          <w:b/>
          <w:color w:val="124486"/>
          <w:kern w:val="28"/>
          <w:lang w:eastAsia="zh-CN"/>
        </w:rPr>
        <w:t xml:space="preserve"> </w:t>
      </w:r>
    </w:p>
    <w:p w14:paraId="5A4791F5" w14:textId="77777777" w:rsidR="00400B0F" w:rsidRPr="00280CC1" w:rsidRDefault="00400B0F" w:rsidP="00784031">
      <w:r w:rsidRPr="00280CC1">
        <w:t>Final AQCs assess performance over the lifetime of the investment (ratings are not compared to previous years).</w:t>
      </w:r>
    </w:p>
    <w:tbl>
      <w:tblPr>
        <w:tblStyle w:val="APPR"/>
        <w:tblW w:w="5000" w:type="pct"/>
        <w:tblLook w:val="0000" w:firstRow="0" w:lastRow="0" w:firstColumn="0" w:lastColumn="0" w:noHBand="0" w:noVBand="0"/>
      </w:tblPr>
      <w:tblGrid>
        <w:gridCol w:w="2815"/>
        <w:gridCol w:w="2044"/>
        <w:gridCol w:w="1304"/>
        <w:gridCol w:w="1301"/>
        <w:gridCol w:w="1304"/>
        <w:gridCol w:w="1301"/>
        <w:gridCol w:w="1304"/>
        <w:gridCol w:w="1300"/>
        <w:gridCol w:w="1303"/>
        <w:gridCol w:w="1302"/>
      </w:tblGrid>
      <w:tr w:rsidR="00400B0F" w:rsidRPr="00280CC1" w14:paraId="142AD0C8" w14:textId="77777777" w:rsidTr="00CF39D8">
        <w:trPr>
          <w:cnfStyle w:val="000000010000" w:firstRow="0" w:lastRow="0" w:firstColumn="0" w:lastColumn="0" w:oddVBand="0" w:evenVBand="0" w:oddHBand="0" w:evenHBand="1" w:firstRowFirstColumn="0" w:firstRowLastColumn="0" w:lastRowFirstColumn="0" w:lastRowLastColumn="0"/>
          <w:trHeight w:val="1505"/>
        </w:trPr>
        <w:tc>
          <w:tcPr>
            <w:tcW w:w="906" w:type="pct"/>
          </w:tcPr>
          <w:p w14:paraId="06B7403F" w14:textId="77777777" w:rsidR="00400B0F" w:rsidRPr="00280CC1" w:rsidRDefault="00400B0F" w:rsidP="006F27B1">
            <w:pPr>
              <w:keepLines/>
              <w:spacing w:before="80" w:after="80" w:line="200" w:lineRule="atLeast"/>
              <w:rPr>
                <w:rFonts w:asciiTheme="minorHAnsi" w:eastAsia="Times New Roman" w:hAnsiTheme="minorHAnsi"/>
                <w:b/>
                <w:iCs/>
                <w:szCs w:val="17"/>
                <w:lang w:eastAsia="en-US"/>
              </w:rPr>
            </w:pPr>
            <w:r w:rsidRPr="00280CC1">
              <w:rPr>
                <w:rFonts w:eastAsia="Times New Roman"/>
                <w:b/>
                <w:iCs/>
                <w:noProof/>
                <w:szCs w:val="17"/>
                <w:lang w:val="en-AU" w:bidi="km-KH"/>
              </w:rPr>
              <w:drawing>
                <wp:anchor distT="0" distB="0" distL="114300" distR="114300" simplePos="0" relativeHeight="251679744" behindDoc="0" locked="0" layoutInCell="1" allowOverlap="1" wp14:anchorId="45080DC8" wp14:editId="61057E75">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CC1">
              <w:rPr>
                <w:rFonts w:asciiTheme="minorHAnsi" w:eastAsia="Times New Roman" w:hAnsiTheme="minorHAnsi"/>
                <w:b/>
                <w:iCs/>
                <w:szCs w:val="17"/>
                <w:lang w:eastAsia="en-US"/>
              </w:rPr>
              <w:t>Investment name</w:t>
            </w:r>
          </w:p>
        </w:tc>
        <w:tc>
          <w:tcPr>
            <w:tcW w:w="659" w:type="pct"/>
            <w:textDirection w:val="btLr"/>
          </w:tcPr>
          <w:p w14:paraId="3F285501" w14:textId="77777777" w:rsidR="00400B0F" w:rsidRPr="00280CC1" w:rsidRDefault="00400B0F" w:rsidP="006F27B1">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Approved budget and duration</w:t>
            </w:r>
          </w:p>
        </w:tc>
        <w:tc>
          <w:tcPr>
            <w:tcW w:w="417" w:type="pct"/>
            <w:noWrap/>
            <w:textDirection w:val="btLr"/>
          </w:tcPr>
          <w:p w14:paraId="0951CFF9" w14:textId="77777777" w:rsidR="00400B0F" w:rsidRPr="00280CC1" w:rsidRDefault="00400B0F" w:rsidP="006F27B1">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Overall rating</w:t>
            </w:r>
          </w:p>
        </w:tc>
        <w:tc>
          <w:tcPr>
            <w:tcW w:w="416" w:type="pct"/>
            <w:noWrap/>
            <w:textDirection w:val="btLr"/>
          </w:tcPr>
          <w:p w14:paraId="22A4374F" w14:textId="77777777" w:rsidR="00400B0F" w:rsidRPr="00280CC1" w:rsidRDefault="00400B0F" w:rsidP="006F27B1">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Relevance</w:t>
            </w:r>
          </w:p>
        </w:tc>
        <w:tc>
          <w:tcPr>
            <w:tcW w:w="417" w:type="pct"/>
            <w:noWrap/>
            <w:textDirection w:val="btLr"/>
          </w:tcPr>
          <w:p w14:paraId="10EA9FDA" w14:textId="77777777" w:rsidR="00400B0F" w:rsidRPr="00280CC1" w:rsidRDefault="00400B0F" w:rsidP="006F27B1">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Effectiveness</w:t>
            </w:r>
          </w:p>
        </w:tc>
        <w:tc>
          <w:tcPr>
            <w:tcW w:w="416" w:type="pct"/>
            <w:noWrap/>
            <w:textDirection w:val="btLr"/>
          </w:tcPr>
          <w:p w14:paraId="140332FC" w14:textId="77777777" w:rsidR="00400B0F" w:rsidRPr="00280CC1" w:rsidRDefault="00400B0F" w:rsidP="006F27B1">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Efficiency</w:t>
            </w:r>
          </w:p>
        </w:tc>
        <w:tc>
          <w:tcPr>
            <w:tcW w:w="417" w:type="pct"/>
            <w:noWrap/>
            <w:textDirection w:val="btLr"/>
          </w:tcPr>
          <w:p w14:paraId="59C79748" w14:textId="77777777" w:rsidR="00400B0F" w:rsidRPr="00280CC1" w:rsidRDefault="00400B0F" w:rsidP="006F27B1">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Monitoring and Evaluation</w:t>
            </w:r>
          </w:p>
        </w:tc>
        <w:tc>
          <w:tcPr>
            <w:tcW w:w="416" w:type="pct"/>
            <w:noWrap/>
            <w:textDirection w:val="btLr"/>
          </w:tcPr>
          <w:p w14:paraId="590385AA" w14:textId="77777777" w:rsidR="00400B0F" w:rsidRPr="00280CC1" w:rsidRDefault="00400B0F" w:rsidP="006F27B1">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Sustainability</w:t>
            </w:r>
          </w:p>
        </w:tc>
        <w:tc>
          <w:tcPr>
            <w:tcW w:w="417" w:type="pct"/>
            <w:textDirection w:val="btLr"/>
          </w:tcPr>
          <w:p w14:paraId="772BA2CC" w14:textId="77777777" w:rsidR="00400B0F" w:rsidRPr="00280CC1" w:rsidRDefault="00400B0F" w:rsidP="006F27B1">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Gender equality</w:t>
            </w:r>
          </w:p>
        </w:tc>
        <w:tc>
          <w:tcPr>
            <w:tcW w:w="412" w:type="pct"/>
            <w:textDirection w:val="btLr"/>
          </w:tcPr>
          <w:p w14:paraId="6011565B" w14:textId="77777777" w:rsidR="00400B0F" w:rsidRPr="00280CC1" w:rsidRDefault="00400B0F" w:rsidP="006F27B1">
            <w:pPr>
              <w:keepLines/>
              <w:spacing w:before="80" w:after="80" w:line="200" w:lineRule="atLeast"/>
              <w:rPr>
                <w:rFonts w:asciiTheme="minorHAnsi" w:eastAsia="Times New Roman" w:hAnsiTheme="minorHAnsi"/>
                <w:b/>
                <w:iCs/>
                <w:szCs w:val="17"/>
                <w:lang w:eastAsia="en-US"/>
              </w:rPr>
            </w:pPr>
            <w:r w:rsidRPr="00280CC1">
              <w:rPr>
                <w:rFonts w:asciiTheme="minorHAnsi" w:eastAsia="Times New Roman" w:hAnsiTheme="minorHAnsi"/>
                <w:b/>
                <w:iCs/>
                <w:szCs w:val="17"/>
                <w:lang w:eastAsia="en-US"/>
              </w:rPr>
              <w:t>Risks  and Safeguards</w:t>
            </w:r>
          </w:p>
        </w:tc>
      </w:tr>
      <w:tr w:rsidR="004D249A" w:rsidRPr="00280CC1" w14:paraId="4632A7EF" w14:textId="77777777" w:rsidTr="00264D7A">
        <w:trPr>
          <w:cnfStyle w:val="000000010000" w:firstRow="0" w:lastRow="0" w:firstColumn="0" w:lastColumn="0" w:oddVBand="0" w:evenVBand="0" w:oddHBand="0" w:evenHBand="1" w:firstRowFirstColumn="0" w:firstRowLastColumn="0" w:lastRowFirstColumn="0" w:lastRowLastColumn="0"/>
          <w:trHeight w:val="284"/>
        </w:trPr>
        <w:tc>
          <w:tcPr>
            <w:tcW w:w="906" w:type="pct"/>
          </w:tcPr>
          <w:p w14:paraId="49983577" w14:textId="77777777" w:rsidR="00CF39D8" w:rsidRPr="00280CC1" w:rsidRDefault="00CF39D8" w:rsidP="00CF39D8">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Cambodia Emergency Flood Rehabilitation Project</w:t>
            </w:r>
          </w:p>
        </w:tc>
        <w:tc>
          <w:tcPr>
            <w:tcW w:w="659" w:type="pct"/>
          </w:tcPr>
          <w:p w14:paraId="6F47E188" w14:textId="0EBBD038" w:rsidR="00CF39D8" w:rsidRPr="00280CC1" w:rsidRDefault="00BB3F0E" w:rsidP="006F4623">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w:t>
            </w:r>
            <w:r w:rsidR="00D61920">
              <w:rPr>
                <w:rFonts w:asciiTheme="minorHAnsi" w:eastAsia="Times New Roman" w:hAnsiTheme="minorHAnsi"/>
                <w:iCs/>
                <w:szCs w:val="17"/>
                <w:lang w:eastAsia="en-US"/>
              </w:rPr>
              <w:t>12.6</w:t>
            </w:r>
            <w:r w:rsidR="00CF39D8" w:rsidRPr="00280CC1">
              <w:rPr>
                <w:rFonts w:asciiTheme="minorHAnsi" w:eastAsia="Times New Roman" w:hAnsiTheme="minorHAnsi"/>
                <w:iCs/>
                <w:szCs w:val="17"/>
                <w:lang w:eastAsia="en-US"/>
              </w:rPr>
              <w:t>m</w:t>
            </w:r>
          </w:p>
          <w:p w14:paraId="33A40D4D" w14:textId="05A6C05C" w:rsidR="00CF39D8" w:rsidRPr="00280CC1" w:rsidRDefault="0020044A" w:rsidP="006F4623">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2012</w:t>
            </w:r>
            <w:r w:rsidR="00CF39D8" w:rsidRPr="00280CC1">
              <w:rPr>
                <w:rFonts w:asciiTheme="minorHAnsi" w:eastAsia="Times New Roman" w:hAnsiTheme="minorHAnsi"/>
                <w:iCs/>
                <w:szCs w:val="17"/>
                <w:lang w:eastAsia="en-US"/>
              </w:rPr>
              <w:t xml:space="preserve">-18 </w:t>
            </w:r>
          </w:p>
        </w:tc>
        <w:tc>
          <w:tcPr>
            <w:tcW w:w="417" w:type="pct"/>
            <w:shd w:val="clear" w:color="auto" w:fill="92D050"/>
            <w:noWrap/>
            <w:vAlign w:val="center"/>
          </w:tcPr>
          <w:p w14:paraId="379F1638" w14:textId="77777777" w:rsidR="00CF39D8" w:rsidRPr="00280CC1" w:rsidRDefault="004D249A"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16" w:type="pct"/>
            <w:shd w:val="clear" w:color="auto" w:fill="92D050"/>
            <w:noWrap/>
            <w:vAlign w:val="center"/>
          </w:tcPr>
          <w:p w14:paraId="6D24349D" w14:textId="77777777" w:rsidR="00CF39D8" w:rsidRPr="00280CC1" w:rsidRDefault="00CF39D8"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17" w:type="pct"/>
            <w:shd w:val="clear" w:color="auto" w:fill="92D050"/>
            <w:noWrap/>
            <w:vAlign w:val="center"/>
          </w:tcPr>
          <w:p w14:paraId="210355CF" w14:textId="77777777" w:rsidR="00CF39D8" w:rsidRPr="00280CC1" w:rsidRDefault="00CF39D8"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16" w:type="pct"/>
            <w:shd w:val="clear" w:color="auto" w:fill="92D050"/>
            <w:noWrap/>
            <w:vAlign w:val="center"/>
          </w:tcPr>
          <w:p w14:paraId="17FFB9E6" w14:textId="77777777" w:rsidR="00CF39D8" w:rsidRPr="00280CC1" w:rsidRDefault="00CF39D8"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17" w:type="pct"/>
            <w:shd w:val="clear" w:color="auto" w:fill="92D050"/>
            <w:noWrap/>
            <w:vAlign w:val="center"/>
          </w:tcPr>
          <w:p w14:paraId="488B5BE9" w14:textId="77777777" w:rsidR="00CF39D8" w:rsidRPr="00280CC1" w:rsidRDefault="00264D7A"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16" w:type="pct"/>
            <w:shd w:val="clear" w:color="auto" w:fill="92D050"/>
            <w:noWrap/>
            <w:vAlign w:val="center"/>
          </w:tcPr>
          <w:p w14:paraId="2551CBB1" w14:textId="77777777" w:rsidR="00CF39D8" w:rsidRPr="00280CC1" w:rsidRDefault="00CF39D8"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17" w:type="pct"/>
            <w:shd w:val="clear" w:color="auto" w:fill="FFFF00"/>
            <w:vAlign w:val="center"/>
          </w:tcPr>
          <w:p w14:paraId="4E001B2B" w14:textId="77777777" w:rsidR="00CF39D8" w:rsidRPr="00280CC1" w:rsidRDefault="00264D7A"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12" w:type="pct"/>
            <w:shd w:val="clear" w:color="auto" w:fill="auto"/>
            <w:vAlign w:val="center"/>
          </w:tcPr>
          <w:p w14:paraId="751F209A" w14:textId="77777777" w:rsidR="00CF39D8" w:rsidRPr="00280CC1" w:rsidRDefault="00CF39D8"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r>
      <w:tr w:rsidR="00CF39D8" w:rsidRPr="00280CC1" w14:paraId="7D616C2E" w14:textId="77777777" w:rsidTr="00770EFD">
        <w:trPr>
          <w:cnfStyle w:val="000000010000" w:firstRow="0" w:lastRow="0" w:firstColumn="0" w:lastColumn="0" w:oddVBand="0" w:evenVBand="0" w:oddHBand="0" w:evenHBand="1" w:firstRowFirstColumn="0" w:firstRowLastColumn="0" w:lastRowFirstColumn="0" w:lastRowLastColumn="0"/>
          <w:trHeight w:val="284"/>
        </w:trPr>
        <w:tc>
          <w:tcPr>
            <w:tcW w:w="906" w:type="pct"/>
          </w:tcPr>
          <w:p w14:paraId="20615C8F" w14:textId="77777777" w:rsidR="00CF39D8" w:rsidRPr="009E1C8A" w:rsidRDefault="00CF39D8" w:rsidP="006F27B1">
            <w:pPr>
              <w:keepLines/>
              <w:spacing w:before="40" w:after="40" w:line="200" w:lineRule="atLeast"/>
              <w:rPr>
                <w:rFonts w:asciiTheme="minorHAnsi" w:eastAsia="Times New Roman" w:hAnsiTheme="minorHAnsi"/>
                <w:iCs/>
                <w:szCs w:val="17"/>
                <w:lang w:eastAsia="en-US"/>
              </w:rPr>
            </w:pPr>
            <w:r w:rsidRPr="00EE2FEA">
              <w:rPr>
                <w:rFonts w:asciiTheme="minorHAnsi" w:eastAsia="Times New Roman" w:hAnsiTheme="minorHAnsi"/>
                <w:iCs/>
                <w:szCs w:val="17"/>
                <w:lang w:eastAsia="en-US"/>
              </w:rPr>
              <w:t>Smallholder Agriculture and Social Protection</w:t>
            </w:r>
          </w:p>
        </w:tc>
        <w:tc>
          <w:tcPr>
            <w:tcW w:w="659" w:type="pct"/>
          </w:tcPr>
          <w:p w14:paraId="5228A088" w14:textId="77777777" w:rsidR="00CF39D8" w:rsidRPr="00280CC1" w:rsidRDefault="00BB3F0E" w:rsidP="006F4623">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w:t>
            </w:r>
            <w:r w:rsidR="00CF39D8" w:rsidRPr="00280CC1">
              <w:rPr>
                <w:rFonts w:asciiTheme="minorHAnsi" w:eastAsia="Times New Roman" w:hAnsiTheme="minorHAnsi"/>
                <w:iCs/>
                <w:szCs w:val="17"/>
                <w:lang w:eastAsia="en-US"/>
              </w:rPr>
              <w:t xml:space="preserve">4.0m </w:t>
            </w:r>
          </w:p>
          <w:p w14:paraId="7BA35F4A" w14:textId="77777777" w:rsidR="00CF39D8" w:rsidRPr="00280CC1" w:rsidRDefault="00CF39D8" w:rsidP="006F4623">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2009-17</w:t>
            </w:r>
          </w:p>
        </w:tc>
        <w:tc>
          <w:tcPr>
            <w:tcW w:w="417" w:type="pct"/>
            <w:shd w:val="clear" w:color="auto" w:fill="FFFF00"/>
            <w:noWrap/>
            <w:vAlign w:val="center"/>
          </w:tcPr>
          <w:p w14:paraId="458B8A93" w14:textId="77777777" w:rsidR="00CF39D8" w:rsidRPr="00280CC1" w:rsidRDefault="005B23DE"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16" w:type="pct"/>
            <w:shd w:val="clear" w:color="auto" w:fill="FFFF00"/>
            <w:noWrap/>
            <w:vAlign w:val="center"/>
          </w:tcPr>
          <w:p w14:paraId="15500A70" w14:textId="77777777" w:rsidR="00CF39D8" w:rsidRPr="00280CC1" w:rsidRDefault="00B71D60"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17" w:type="pct"/>
            <w:shd w:val="clear" w:color="auto" w:fill="FFFF00"/>
            <w:noWrap/>
            <w:vAlign w:val="center"/>
          </w:tcPr>
          <w:p w14:paraId="3AAD26C8" w14:textId="77777777" w:rsidR="00CF39D8" w:rsidRPr="00280CC1" w:rsidRDefault="00B71D60"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16" w:type="pct"/>
            <w:shd w:val="clear" w:color="auto" w:fill="FFFF00"/>
            <w:noWrap/>
            <w:vAlign w:val="center"/>
          </w:tcPr>
          <w:p w14:paraId="1FB5940F" w14:textId="77777777" w:rsidR="00CF39D8" w:rsidRPr="00280CC1" w:rsidRDefault="00B71D60"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17" w:type="pct"/>
            <w:shd w:val="clear" w:color="auto" w:fill="FFC000"/>
            <w:noWrap/>
            <w:vAlign w:val="center"/>
          </w:tcPr>
          <w:p w14:paraId="13FDCF48" w14:textId="77777777" w:rsidR="00CF39D8" w:rsidRPr="00280CC1" w:rsidRDefault="005B23DE"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3</w:t>
            </w:r>
          </w:p>
        </w:tc>
        <w:tc>
          <w:tcPr>
            <w:tcW w:w="416" w:type="pct"/>
            <w:shd w:val="clear" w:color="auto" w:fill="FFC000"/>
            <w:noWrap/>
            <w:vAlign w:val="center"/>
          </w:tcPr>
          <w:p w14:paraId="0B05A9BE" w14:textId="77777777" w:rsidR="00CF39D8" w:rsidRPr="00280CC1" w:rsidRDefault="005B23DE"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3</w:t>
            </w:r>
          </w:p>
        </w:tc>
        <w:tc>
          <w:tcPr>
            <w:tcW w:w="417" w:type="pct"/>
            <w:shd w:val="clear" w:color="auto" w:fill="FFC000"/>
            <w:vAlign w:val="center"/>
          </w:tcPr>
          <w:p w14:paraId="734D946B" w14:textId="77777777" w:rsidR="00CF39D8" w:rsidRPr="00280CC1" w:rsidRDefault="005B23DE"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3</w:t>
            </w:r>
          </w:p>
        </w:tc>
        <w:tc>
          <w:tcPr>
            <w:tcW w:w="412" w:type="pct"/>
            <w:shd w:val="clear" w:color="auto" w:fill="auto"/>
            <w:vAlign w:val="center"/>
          </w:tcPr>
          <w:p w14:paraId="0243C822" w14:textId="77777777" w:rsidR="00CF39D8" w:rsidRPr="00280CC1" w:rsidRDefault="005B23DE"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r>
      <w:tr w:rsidR="004D249A" w:rsidRPr="00280CC1" w14:paraId="4AF9E842" w14:textId="77777777" w:rsidTr="00B67008">
        <w:trPr>
          <w:cnfStyle w:val="000000010000" w:firstRow="0" w:lastRow="0" w:firstColumn="0" w:lastColumn="0" w:oddVBand="0" w:evenVBand="0" w:oddHBand="0" w:evenHBand="1" w:firstRowFirstColumn="0" w:firstRowLastColumn="0" w:lastRowFirstColumn="0" w:lastRowLastColumn="0"/>
          <w:trHeight w:val="284"/>
        </w:trPr>
        <w:tc>
          <w:tcPr>
            <w:tcW w:w="906" w:type="pct"/>
          </w:tcPr>
          <w:p w14:paraId="1D802AE2" w14:textId="77777777" w:rsidR="00665AFD" w:rsidRPr="009E1C8A" w:rsidRDefault="00BB3F0E"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Delivering Better Health (</w:t>
            </w:r>
            <w:r w:rsidR="00665AFD">
              <w:rPr>
                <w:rFonts w:asciiTheme="minorHAnsi" w:eastAsia="Times New Roman" w:hAnsiTheme="minorHAnsi"/>
                <w:iCs/>
                <w:szCs w:val="17"/>
                <w:lang w:eastAsia="en-US"/>
              </w:rPr>
              <w:t>Second Health Sector Support Program</w:t>
            </w:r>
            <w:r w:rsidR="004A6D18">
              <w:rPr>
                <w:rFonts w:asciiTheme="minorHAnsi" w:eastAsia="Times New Roman" w:hAnsiTheme="minorHAnsi"/>
                <w:iCs/>
                <w:szCs w:val="17"/>
                <w:lang w:eastAsia="en-US"/>
              </w:rPr>
              <w:t xml:space="preserve"> and </w:t>
            </w:r>
            <w:proofErr w:type="spellStart"/>
            <w:r w:rsidR="004A6D18">
              <w:rPr>
                <w:rFonts w:asciiTheme="minorHAnsi" w:eastAsia="Times New Roman" w:hAnsiTheme="minorHAnsi"/>
                <w:iCs/>
                <w:szCs w:val="17"/>
                <w:lang w:eastAsia="en-US"/>
              </w:rPr>
              <w:t>IDPoor</w:t>
            </w:r>
            <w:proofErr w:type="spellEnd"/>
            <w:r w:rsidR="004A6D18">
              <w:rPr>
                <w:rFonts w:asciiTheme="minorHAnsi" w:eastAsia="Times New Roman" w:hAnsiTheme="minorHAnsi"/>
                <w:iCs/>
                <w:szCs w:val="17"/>
                <w:lang w:eastAsia="en-US"/>
              </w:rPr>
              <w:t xml:space="preserve"> Phase 2</w:t>
            </w:r>
            <w:r>
              <w:rPr>
                <w:rFonts w:asciiTheme="minorHAnsi" w:eastAsia="Times New Roman" w:hAnsiTheme="minorHAnsi"/>
                <w:iCs/>
                <w:szCs w:val="17"/>
                <w:lang w:eastAsia="en-US"/>
              </w:rPr>
              <w:t>)</w:t>
            </w:r>
          </w:p>
        </w:tc>
        <w:tc>
          <w:tcPr>
            <w:tcW w:w="659" w:type="pct"/>
          </w:tcPr>
          <w:p w14:paraId="58F9E88E" w14:textId="77777777" w:rsidR="00B67008" w:rsidRPr="00280CC1" w:rsidRDefault="00BB3F0E" w:rsidP="006F4623">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w:t>
            </w:r>
            <w:r w:rsidR="004A6D18">
              <w:rPr>
                <w:rFonts w:asciiTheme="minorHAnsi" w:eastAsia="Times New Roman" w:hAnsiTheme="minorHAnsi"/>
                <w:iCs/>
                <w:szCs w:val="17"/>
                <w:lang w:eastAsia="en-US"/>
              </w:rPr>
              <w:t>77</w:t>
            </w:r>
            <w:r w:rsidR="00B67008" w:rsidRPr="00280CC1">
              <w:rPr>
                <w:rFonts w:asciiTheme="minorHAnsi" w:eastAsia="Times New Roman" w:hAnsiTheme="minorHAnsi"/>
                <w:iCs/>
                <w:szCs w:val="17"/>
                <w:lang w:eastAsia="en-US"/>
              </w:rPr>
              <w:t>.</w:t>
            </w:r>
            <w:r>
              <w:rPr>
                <w:rFonts w:asciiTheme="minorHAnsi" w:eastAsia="Times New Roman" w:hAnsiTheme="minorHAnsi"/>
                <w:iCs/>
                <w:szCs w:val="17"/>
                <w:lang w:eastAsia="en-US"/>
              </w:rPr>
              <w:t>2</w:t>
            </w:r>
            <w:r w:rsidR="00B67008" w:rsidRPr="00280CC1">
              <w:rPr>
                <w:rFonts w:asciiTheme="minorHAnsi" w:eastAsia="Times New Roman" w:hAnsiTheme="minorHAnsi"/>
                <w:iCs/>
                <w:szCs w:val="17"/>
                <w:lang w:eastAsia="en-US"/>
              </w:rPr>
              <w:t>m</w:t>
            </w:r>
          </w:p>
          <w:p w14:paraId="065B823B" w14:textId="77777777" w:rsidR="004D249A" w:rsidRPr="00280CC1" w:rsidRDefault="00264D7A" w:rsidP="006F4623">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2007-1</w:t>
            </w:r>
            <w:r w:rsidR="00B67008" w:rsidRPr="00280CC1">
              <w:rPr>
                <w:rFonts w:asciiTheme="minorHAnsi" w:eastAsia="Times New Roman" w:hAnsiTheme="minorHAnsi"/>
                <w:iCs/>
                <w:szCs w:val="17"/>
                <w:lang w:eastAsia="en-US"/>
              </w:rPr>
              <w:t>6</w:t>
            </w:r>
          </w:p>
        </w:tc>
        <w:tc>
          <w:tcPr>
            <w:tcW w:w="417" w:type="pct"/>
            <w:shd w:val="clear" w:color="auto" w:fill="92D050"/>
            <w:noWrap/>
            <w:vAlign w:val="center"/>
          </w:tcPr>
          <w:p w14:paraId="7F9FC176" w14:textId="77777777" w:rsidR="004D249A" w:rsidRPr="00280CC1" w:rsidRDefault="00B67008"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16" w:type="pct"/>
            <w:shd w:val="clear" w:color="auto" w:fill="92D050"/>
            <w:noWrap/>
            <w:vAlign w:val="center"/>
          </w:tcPr>
          <w:p w14:paraId="2ECDB644" w14:textId="77777777" w:rsidR="004D249A" w:rsidRPr="00280CC1" w:rsidRDefault="00B67008"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6</w:t>
            </w:r>
          </w:p>
        </w:tc>
        <w:tc>
          <w:tcPr>
            <w:tcW w:w="417" w:type="pct"/>
            <w:shd w:val="clear" w:color="auto" w:fill="92D050"/>
            <w:noWrap/>
            <w:vAlign w:val="center"/>
          </w:tcPr>
          <w:p w14:paraId="24D625D9" w14:textId="77777777" w:rsidR="004D249A" w:rsidRPr="00280CC1" w:rsidRDefault="00B67008"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16" w:type="pct"/>
            <w:shd w:val="clear" w:color="auto" w:fill="FFFF00"/>
            <w:noWrap/>
            <w:vAlign w:val="center"/>
          </w:tcPr>
          <w:p w14:paraId="4676B2D3" w14:textId="77777777" w:rsidR="004D249A" w:rsidRPr="00280CC1" w:rsidRDefault="00B67008"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17" w:type="pct"/>
            <w:shd w:val="clear" w:color="auto" w:fill="92D050"/>
            <w:noWrap/>
            <w:vAlign w:val="center"/>
          </w:tcPr>
          <w:p w14:paraId="52B71CF2" w14:textId="77777777" w:rsidR="004D249A" w:rsidRPr="00280CC1" w:rsidRDefault="00B67008"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16" w:type="pct"/>
            <w:shd w:val="clear" w:color="auto" w:fill="92D050"/>
            <w:noWrap/>
            <w:vAlign w:val="center"/>
          </w:tcPr>
          <w:p w14:paraId="55DE5704" w14:textId="77777777" w:rsidR="004D249A" w:rsidRPr="00280CC1" w:rsidRDefault="00B67008"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17" w:type="pct"/>
            <w:shd w:val="clear" w:color="auto" w:fill="92D050"/>
            <w:vAlign w:val="center"/>
          </w:tcPr>
          <w:p w14:paraId="4DBD0BE5" w14:textId="77777777" w:rsidR="004D249A" w:rsidRPr="00280CC1" w:rsidRDefault="00B67008"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12" w:type="pct"/>
            <w:shd w:val="clear" w:color="auto" w:fill="auto"/>
            <w:vAlign w:val="center"/>
          </w:tcPr>
          <w:p w14:paraId="687E290E" w14:textId="77777777" w:rsidR="004D249A" w:rsidRPr="00280CC1" w:rsidRDefault="00B67008"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r>
      <w:tr w:rsidR="004D249A" w:rsidRPr="00280CC1" w14:paraId="1D645DF1" w14:textId="77777777" w:rsidTr="00770EFD">
        <w:trPr>
          <w:cnfStyle w:val="000000010000" w:firstRow="0" w:lastRow="0" w:firstColumn="0" w:lastColumn="0" w:oddVBand="0" w:evenVBand="0" w:oddHBand="0" w:evenHBand="1" w:firstRowFirstColumn="0" w:firstRowLastColumn="0" w:lastRowFirstColumn="0" w:lastRowLastColumn="0"/>
          <w:trHeight w:val="284"/>
        </w:trPr>
        <w:tc>
          <w:tcPr>
            <w:tcW w:w="906" w:type="pct"/>
          </w:tcPr>
          <w:p w14:paraId="70501493" w14:textId="77777777" w:rsidR="004D249A" w:rsidRPr="009E1C8A" w:rsidRDefault="00264D7A" w:rsidP="006F27B1">
            <w:pPr>
              <w:keepLines/>
              <w:spacing w:before="40" w:after="40" w:line="200" w:lineRule="atLeast"/>
              <w:rPr>
                <w:rFonts w:asciiTheme="minorHAnsi" w:eastAsia="Times New Roman" w:hAnsiTheme="minorHAnsi"/>
                <w:iCs/>
                <w:szCs w:val="17"/>
                <w:lang w:eastAsia="en-US"/>
              </w:rPr>
            </w:pPr>
            <w:r w:rsidRPr="00EE2FEA">
              <w:rPr>
                <w:rFonts w:asciiTheme="minorHAnsi" w:eastAsia="Times New Roman" w:hAnsiTheme="minorHAnsi"/>
                <w:iCs/>
                <w:szCs w:val="17"/>
                <w:lang w:eastAsia="en-US"/>
              </w:rPr>
              <w:t>Cambodia Law and Justice Sector Support</w:t>
            </w:r>
          </w:p>
        </w:tc>
        <w:tc>
          <w:tcPr>
            <w:tcW w:w="659" w:type="pct"/>
          </w:tcPr>
          <w:p w14:paraId="4B323B1F" w14:textId="77777777" w:rsidR="004D249A" w:rsidRPr="00280CC1" w:rsidRDefault="00BB3F0E" w:rsidP="006F4623">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w:t>
            </w:r>
            <w:r w:rsidR="00264D7A" w:rsidRPr="00280CC1">
              <w:rPr>
                <w:rFonts w:asciiTheme="minorHAnsi" w:eastAsia="Times New Roman" w:hAnsiTheme="minorHAnsi"/>
                <w:iCs/>
                <w:szCs w:val="17"/>
                <w:lang w:eastAsia="en-US"/>
              </w:rPr>
              <w:t>11.3m</w:t>
            </w:r>
          </w:p>
          <w:p w14:paraId="6112E781" w14:textId="77777777" w:rsidR="00264D7A" w:rsidRPr="00280CC1" w:rsidRDefault="00264D7A" w:rsidP="006F4623">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iCs/>
                <w:szCs w:val="17"/>
                <w:lang w:eastAsia="en-US"/>
              </w:rPr>
              <w:t>2012-16</w:t>
            </w:r>
          </w:p>
        </w:tc>
        <w:tc>
          <w:tcPr>
            <w:tcW w:w="417" w:type="pct"/>
            <w:shd w:val="clear" w:color="auto" w:fill="FFFF00"/>
            <w:noWrap/>
            <w:vAlign w:val="center"/>
          </w:tcPr>
          <w:p w14:paraId="2D483880" w14:textId="77777777" w:rsidR="004D249A" w:rsidRPr="00280CC1" w:rsidRDefault="00264D7A"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16" w:type="pct"/>
            <w:shd w:val="clear" w:color="auto" w:fill="FFFF00"/>
            <w:noWrap/>
            <w:vAlign w:val="center"/>
          </w:tcPr>
          <w:p w14:paraId="46AC4AE9" w14:textId="77777777" w:rsidR="004D249A" w:rsidRPr="00280CC1" w:rsidRDefault="00264D7A"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17" w:type="pct"/>
            <w:shd w:val="clear" w:color="auto" w:fill="FFC000"/>
            <w:noWrap/>
            <w:vAlign w:val="center"/>
          </w:tcPr>
          <w:p w14:paraId="5AC2A043" w14:textId="77777777" w:rsidR="004D249A" w:rsidRPr="00280CC1" w:rsidRDefault="00264D7A"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3</w:t>
            </w:r>
          </w:p>
        </w:tc>
        <w:tc>
          <w:tcPr>
            <w:tcW w:w="416" w:type="pct"/>
            <w:shd w:val="clear" w:color="auto" w:fill="92D050"/>
            <w:noWrap/>
            <w:vAlign w:val="center"/>
          </w:tcPr>
          <w:p w14:paraId="778B1F73" w14:textId="77777777" w:rsidR="004D249A" w:rsidRPr="00280CC1" w:rsidRDefault="00264D7A"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17" w:type="pct"/>
            <w:shd w:val="clear" w:color="auto" w:fill="FFFF00"/>
            <w:noWrap/>
            <w:vAlign w:val="center"/>
          </w:tcPr>
          <w:p w14:paraId="2F427B4F" w14:textId="77777777" w:rsidR="004D249A" w:rsidRPr="00280CC1" w:rsidRDefault="00264D7A"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16" w:type="pct"/>
            <w:shd w:val="clear" w:color="auto" w:fill="FFFF00"/>
            <w:noWrap/>
            <w:vAlign w:val="center"/>
          </w:tcPr>
          <w:p w14:paraId="24815B58" w14:textId="77777777" w:rsidR="004D249A" w:rsidRPr="00280CC1" w:rsidRDefault="00264D7A"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17" w:type="pct"/>
            <w:shd w:val="clear" w:color="auto" w:fill="FFFF00"/>
            <w:vAlign w:val="center"/>
          </w:tcPr>
          <w:p w14:paraId="119A0A0D" w14:textId="77777777" w:rsidR="004D249A" w:rsidRPr="00280CC1" w:rsidRDefault="00264D7A"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12" w:type="pct"/>
            <w:shd w:val="clear" w:color="auto" w:fill="auto"/>
            <w:vAlign w:val="center"/>
          </w:tcPr>
          <w:p w14:paraId="5D804859" w14:textId="77777777" w:rsidR="004D249A" w:rsidRPr="00280CC1" w:rsidRDefault="00264D7A" w:rsidP="006F4623">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r>
    </w:tbl>
    <w:p w14:paraId="2E74B7B3" w14:textId="77777777" w:rsidR="00400B0F" w:rsidRPr="00280CC1" w:rsidRDefault="00400B0F" w:rsidP="00400B0F">
      <w:pPr>
        <w:spacing w:before="20" w:after="20" w:line="180" w:lineRule="atLeast"/>
        <w:jc w:val="both"/>
        <w:rPr>
          <w:rFonts w:ascii="Franklin Gothic Book" w:eastAsia="Times New Roman" w:hAnsi="Franklin Gothic Book"/>
          <w:b/>
          <w:sz w:val="14"/>
          <w:szCs w:val="14"/>
        </w:rPr>
      </w:pPr>
    </w:p>
    <w:p w14:paraId="4EB81D00" w14:textId="77777777" w:rsidR="00400B0F" w:rsidRPr="00280CC1" w:rsidRDefault="00400B0F" w:rsidP="00400B0F">
      <w:pPr>
        <w:spacing w:before="20" w:after="20" w:line="180" w:lineRule="atLeast"/>
        <w:jc w:val="both"/>
        <w:rPr>
          <w:rFonts w:eastAsia="Times New Roman"/>
          <w:b/>
          <w:sz w:val="16"/>
          <w:szCs w:val="14"/>
        </w:rPr>
      </w:pPr>
      <w:r w:rsidRPr="00280CC1">
        <w:rPr>
          <w:rFonts w:eastAsia="Times New Roman"/>
          <w:b/>
          <w:sz w:val="16"/>
          <w:szCs w:val="14"/>
        </w:rPr>
        <w:t>Definitions of rating scale:</w:t>
      </w:r>
      <w:r w:rsidRPr="00280CC1">
        <w:rPr>
          <w:rFonts w:eastAsia="Times New Roman"/>
          <w:b/>
          <w:sz w:val="16"/>
          <w:szCs w:val="14"/>
        </w:rPr>
        <w:tab/>
      </w:r>
    </w:p>
    <w:p w14:paraId="083D7414" w14:textId="77777777" w:rsidR="00400B0F" w:rsidRPr="00280CC1" w:rsidRDefault="00400B0F" w:rsidP="00400B0F">
      <w:pPr>
        <w:spacing w:before="20" w:after="20" w:line="180" w:lineRule="atLeast"/>
        <w:jc w:val="both"/>
        <w:rPr>
          <w:rFonts w:eastAsia="Times New Roman"/>
          <w:b/>
          <w:sz w:val="16"/>
          <w:szCs w:val="14"/>
        </w:rPr>
      </w:pPr>
      <w:r w:rsidRPr="00280CC1">
        <w:rPr>
          <w:rFonts w:eastAsia="Times New Roman"/>
          <w:b/>
          <w:sz w:val="16"/>
          <w:szCs w:val="14"/>
        </w:rPr>
        <w:t>Satisfactory (4, 5 and 6)</w:t>
      </w:r>
    </w:p>
    <w:p w14:paraId="389AC608" w14:textId="77777777" w:rsidR="00400B0F" w:rsidRPr="00280CC1" w:rsidRDefault="00400B0F" w:rsidP="00400B0F">
      <w:pPr>
        <w:spacing w:before="20" w:after="20" w:line="180" w:lineRule="atLeast"/>
        <w:jc w:val="both"/>
        <w:rPr>
          <w:rFonts w:eastAsia="Times New Roman"/>
          <w:b/>
          <w:sz w:val="16"/>
          <w:szCs w:val="14"/>
        </w:rPr>
      </w:pPr>
      <w:r w:rsidRPr="00280CC1">
        <w:rPr>
          <w:rFonts w:eastAsia="Times New Roman"/>
          <w:b/>
          <w:color w:val="72AF2F"/>
          <w:sz w:val="16"/>
          <w:szCs w:val="14"/>
        </w:rPr>
        <w:sym w:font="Webdings" w:char="F067"/>
      </w:r>
      <w:r w:rsidRPr="00280CC1">
        <w:rPr>
          <w:rFonts w:eastAsia="Times New Roman"/>
          <w:b/>
          <w:sz w:val="16"/>
          <w:szCs w:val="14"/>
        </w:rPr>
        <w:t xml:space="preserve"> 6 = Very good; satisfies criteria in all areas</w:t>
      </w:r>
      <w:r w:rsidR="00B51FA7" w:rsidRPr="00280CC1">
        <w:rPr>
          <w:rFonts w:eastAsia="Times New Roman"/>
          <w:b/>
          <w:sz w:val="16"/>
          <w:szCs w:val="14"/>
        </w:rPr>
        <w:t xml:space="preserve">. </w:t>
      </w:r>
      <w:r w:rsidRPr="00280CC1">
        <w:rPr>
          <w:rFonts w:eastAsia="Times New Roman"/>
          <w:b/>
          <w:color w:val="72AF2F"/>
          <w:sz w:val="16"/>
          <w:szCs w:val="14"/>
        </w:rPr>
        <w:sym w:font="Webdings" w:char="F067"/>
      </w:r>
      <w:r w:rsidRPr="00280CC1">
        <w:rPr>
          <w:rFonts w:eastAsia="Times New Roman"/>
          <w:b/>
          <w:sz w:val="16"/>
          <w:szCs w:val="14"/>
        </w:rPr>
        <w:t xml:space="preserve"> 5 = Good; satisfies criteria in almost all areas.</w:t>
      </w:r>
    </w:p>
    <w:p w14:paraId="24AC0589" w14:textId="77777777" w:rsidR="00400B0F" w:rsidRPr="00280CC1" w:rsidRDefault="00400B0F" w:rsidP="00400B0F">
      <w:pPr>
        <w:spacing w:before="20" w:after="20" w:line="180" w:lineRule="atLeast"/>
        <w:jc w:val="both"/>
        <w:rPr>
          <w:rFonts w:eastAsia="Times New Roman"/>
          <w:b/>
          <w:sz w:val="16"/>
          <w:szCs w:val="14"/>
        </w:rPr>
      </w:pPr>
      <w:r w:rsidRPr="00280CC1">
        <w:rPr>
          <w:rFonts w:eastAsia="Times New Roman"/>
          <w:b/>
          <w:color w:val="FFFF00"/>
          <w:sz w:val="16"/>
          <w:szCs w:val="14"/>
        </w:rPr>
        <w:sym w:font="Webdings" w:char="F067"/>
      </w:r>
      <w:r w:rsidRPr="00280CC1">
        <w:rPr>
          <w:rFonts w:eastAsia="Times New Roman"/>
          <w:b/>
          <w:sz w:val="16"/>
          <w:szCs w:val="14"/>
        </w:rPr>
        <w:t xml:space="preserve"> 4 = Adequate; on balance, satisfies criteria; does not fail in any major area.</w:t>
      </w:r>
    </w:p>
    <w:p w14:paraId="765D306F" w14:textId="77777777" w:rsidR="00400B0F" w:rsidRPr="00280CC1" w:rsidRDefault="00400B0F" w:rsidP="00400B0F">
      <w:pPr>
        <w:spacing w:before="20" w:after="20" w:line="180" w:lineRule="atLeast"/>
        <w:jc w:val="both"/>
        <w:rPr>
          <w:rFonts w:eastAsia="Times New Roman"/>
          <w:b/>
          <w:sz w:val="16"/>
          <w:szCs w:val="14"/>
        </w:rPr>
      </w:pPr>
      <w:r w:rsidRPr="00280CC1">
        <w:rPr>
          <w:rFonts w:eastAsia="Times New Roman"/>
          <w:b/>
          <w:sz w:val="16"/>
          <w:szCs w:val="14"/>
        </w:rPr>
        <w:t>Less than satisfactory (1, 2 and 3)</w:t>
      </w:r>
    </w:p>
    <w:p w14:paraId="70180017" w14:textId="77777777" w:rsidR="00400B0F" w:rsidRPr="00280CC1" w:rsidRDefault="00400B0F" w:rsidP="00400B0F">
      <w:pPr>
        <w:spacing w:before="20" w:after="20" w:line="180" w:lineRule="atLeast"/>
        <w:jc w:val="both"/>
        <w:rPr>
          <w:rFonts w:eastAsia="Times New Roman"/>
          <w:b/>
          <w:sz w:val="16"/>
          <w:szCs w:val="14"/>
        </w:rPr>
      </w:pPr>
      <w:r w:rsidRPr="00280CC1">
        <w:rPr>
          <w:rFonts w:eastAsia="Times New Roman"/>
          <w:b/>
          <w:color w:val="E36C0A"/>
          <w:sz w:val="16"/>
          <w:szCs w:val="14"/>
        </w:rPr>
        <w:sym w:font="Webdings" w:char="F067"/>
      </w:r>
      <w:r w:rsidRPr="00280CC1">
        <w:rPr>
          <w:rFonts w:eastAsia="Times New Roman"/>
          <w:b/>
          <w:color w:val="E36C0A"/>
          <w:sz w:val="16"/>
          <w:szCs w:val="14"/>
        </w:rPr>
        <w:t xml:space="preserve"> </w:t>
      </w:r>
      <w:r w:rsidRPr="00280CC1">
        <w:rPr>
          <w:rFonts w:eastAsia="Times New Roman"/>
          <w:b/>
          <w:sz w:val="16"/>
          <w:szCs w:val="14"/>
        </w:rPr>
        <w:t>3 = Less than adequate; on balance does not satisfy criteria and/or fails in at least one major area.</w:t>
      </w:r>
    </w:p>
    <w:p w14:paraId="63C8769A" w14:textId="77777777" w:rsidR="004E0264" w:rsidRPr="00280CC1" w:rsidRDefault="00400B0F" w:rsidP="00784031">
      <w:pPr>
        <w:spacing w:before="20" w:after="20" w:line="180" w:lineRule="atLeast"/>
        <w:rPr>
          <w:rFonts w:eastAsia="Times New Roman"/>
          <w:b/>
          <w:sz w:val="16"/>
          <w:szCs w:val="14"/>
        </w:rPr>
      </w:pPr>
      <w:r w:rsidRPr="00280CC1">
        <w:rPr>
          <w:rFonts w:eastAsia="Times New Roman"/>
          <w:b/>
          <w:color w:val="FF0000"/>
          <w:sz w:val="16"/>
          <w:szCs w:val="14"/>
        </w:rPr>
        <w:sym w:font="Webdings" w:char="F067"/>
      </w:r>
      <w:r w:rsidRPr="00280CC1">
        <w:rPr>
          <w:rFonts w:eastAsia="Times New Roman"/>
          <w:b/>
          <w:sz w:val="16"/>
          <w:szCs w:val="14"/>
        </w:rPr>
        <w:t xml:space="preserve"> 2 = Poor; does not satisfy criteria in major areas</w:t>
      </w:r>
      <w:r w:rsidR="00B51FA7" w:rsidRPr="00280CC1">
        <w:rPr>
          <w:rFonts w:eastAsia="Times New Roman"/>
          <w:b/>
          <w:sz w:val="16"/>
          <w:szCs w:val="14"/>
        </w:rPr>
        <w:t xml:space="preserve">. </w:t>
      </w:r>
      <w:r w:rsidRPr="00280CC1">
        <w:rPr>
          <w:rFonts w:eastAsia="Times New Roman"/>
          <w:b/>
          <w:color w:val="FF0000"/>
          <w:sz w:val="16"/>
          <w:szCs w:val="14"/>
        </w:rPr>
        <w:sym w:font="Webdings" w:char="F067"/>
      </w:r>
      <w:r w:rsidRPr="00280CC1">
        <w:rPr>
          <w:rFonts w:eastAsia="Times New Roman"/>
          <w:b/>
          <w:sz w:val="16"/>
          <w:szCs w:val="14"/>
        </w:rPr>
        <w:t xml:space="preserve"> 1 = Very poor; does not satisfy criteria in many major area.</w:t>
      </w:r>
    </w:p>
    <w:p w14:paraId="1C7AE2B7" w14:textId="77777777" w:rsidR="004E0264" w:rsidRPr="00280CC1" w:rsidRDefault="004E0264" w:rsidP="004E0264">
      <w:r w:rsidRPr="00280CC1">
        <w:br w:type="page"/>
      </w:r>
    </w:p>
    <w:p w14:paraId="3158481E" w14:textId="77777777" w:rsidR="00400B0F" w:rsidRPr="00280CC1" w:rsidRDefault="00400B0F" w:rsidP="00400B0F">
      <w:pPr>
        <w:spacing w:before="20" w:after="20" w:line="180" w:lineRule="atLeast"/>
        <w:rPr>
          <w:rFonts w:eastAsiaTheme="majorEastAsia" w:cstheme="majorBidi"/>
          <w:bCs/>
          <w:iCs/>
          <w:caps/>
          <w:spacing w:val="-10"/>
          <w:kern w:val="28"/>
          <w:sz w:val="38"/>
          <w:szCs w:val="24"/>
        </w:rPr>
      </w:pPr>
      <w:r w:rsidRPr="00280CC1">
        <w:rPr>
          <w:rFonts w:eastAsiaTheme="majorEastAsia" w:cstheme="majorBidi"/>
          <w:bCs/>
          <w:iCs/>
          <w:caps/>
          <w:spacing w:val="-10"/>
          <w:kern w:val="28"/>
          <w:sz w:val="38"/>
          <w:szCs w:val="24"/>
        </w:rPr>
        <w:lastRenderedPageBreak/>
        <w:t>Annex E – Performance Assessment Framework</w:t>
      </w:r>
    </w:p>
    <w:p w14:paraId="22D3853C" w14:textId="77777777" w:rsidR="00400B0F" w:rsidRPr="00280CC1" w:rsidRDefault="00400B0F" w:rsidP="00400B0F">
      <w:pPr>
        <w:spacing w:before="20" w:after="20" w:line="180" w:lineRule="atLeast"/>
        <w:rPr>
          <w:rFonts w:ascii="Helvetica" w:eastAsia="Times New Roman" w:hAnsi="Helvetica" w:cs="Arial"/>
          <w:color w:val="007FAD"/>
          <w:kern w:val="28"/>
          <w:sz w:val="28"/>
          <w:szCs w:val="28"/>
        </w:rPr>
      </w:pPr>
    </w:p>
    <w:p w14:paraId="6A73FBB5" w14:textId="77777777" w:rsidR="00785818" w:rsidRPr="00280CC1" w:rsidRDefault="00785818" w:rsidP="00785818">
      <w:pPr>
        <w:rPr>
          <w:rFonts w:asciiTheme="majorHAnsi" w:hAnsiTheme="majorHAnsi"/>
          <w:b/>
        </w:rPr>
      </w:pPr>
      <w:r w:rsidRPr="00280CC1">
        <w:rPr>
          <w:rFonts w:asciiTheme="majorHAnsi" w:hAnsiTheme="majorHAnsi"/>
          <w:b/>
        </w:rPr>
        <w:t>Objective 1: Improving access to essential infrastructure</w:t>
      </w:r>
    </w:p>
    <w:tbl>
      <w:tblPr>
        <w:tblStyle w:val="CHtablestyle"/>
        <w:tblW w:w="4778" w:type="pct"/>
        <w:tblLook w:val="04A0" w:firstRow="1" w:lastRow="0" w:firstColumn="1" w:lastColumn="0" w:noHBand="0" w:noVBand="1"/>
      </w:tblPr>
      <w:tblGrid>
        <w:gridCol w:w="2474"/>
        <w:gridCol w:w="555"/>
        <w:gridCol w:w="3278"/>
        <w:gridCol w:w="2539"/>
        <w:gridCol w:w="2115"/>
        <w:gridCol w:w="3639"/>
      </w:tblGrid>
      <w:tr w:rsidR="008C6958" w:rsidRPr="00280CC1" w14:paraId="27755F5D" w14:textId="77777777" w:rsidTr="00567D48">
        <w:trPr>
          <w:cnfStyle w:val="100000000000" w:firstRow="1" w:lastRow="0" w:firstColumn="0" w:lastColumn="0" w:oddVBand="0" w:evenVBand="0" w:oddHBand="0" w:evenHBand="0" w:firstRowFirstColumn="0" w:firstRowLastColumn="0" w:lastRowFirstColumn="0" w:lastRowLastColumn="0"/>
        </w:trPr>
        <w:tc>
          <w:tcPr>
            <w:tcW w:w="3030" w:type="dxa"/>
            <w:gridSpan w:val="2"/>
            <w:tcBorders>
              <w:top w:val="single" w:sz="2" w:space="0" w:color="808080" w:themeColor="background1" w:themeShade="80"/>
              <w:bottom w:val="single" w:sz="4" w:space="0" w:color="808080" w:themeColor="background1" w:themeShade="80"/>
            </w:tcBorders>
          </w:tcPr>
          <w:p w14:paraId="7E8C3374" w14:textId="77777777" w:rsidR="00785818" w:rsidRPr="00280CC1" w:rsidRDefault="00785818" w:rsidP="00E87A91">
            <w:pPr>
              <w:spacing w:before="20" w:after="20"/>
              <w:rPr>
                <w:rFonts w:asciiTheme="majorHAnsi" w:hAnsiTheme="majorHAnsi"/>
                <w:szCs w:val="20"/>
              </w:rPr>
            </w:pPr>
            <w:r w:rsidRPr="00280CC1">
              <w:rPr>
                <w:rFonts w:asciiTheme="majorHAnsi" w:hAnsiTheme="majorHAnsi"/>
                <w:szCs w:val="20"/>
              </w:rPr>
              <w:br w:type="page"/>
            </w:r>
            <w:r w:rsidRPr="00280CC1">
              <w:rPr>
                <w:rFonts w:asciiTheme="majorHAnsi" w:hAnsiTheme="majorHAnsi"/>
                <w:szCs w:val="20"/>
              </w:rPr>
              <w:br w:type="page"/>
            </w:r>
          </w:p>
        </w:tc>
        <w:tc>
          <w:tcPr>
            <w:tcW w:w="3278" w:type="dxa"/>
            <w:tcBorders>
              <w:top w:val="single" w:sz="2" w:space="0" w:color="808080" w:themeColor="background1" w:themeShade="80"/>
              <w:bottom w:val="single" w:sz="4" w:space="0" w:color="808080" w:themeColor="background1" w:themeShade="80"/>
            </w:tcBorders>
          </w:tcPr>
          <w:p w14:paraId="639EEE23" w14:textId="77777777" w:rsidR="00785818" w:rsidRPr="00280CC1" w:rsidRDefault="00785818" w:rsidP="00E87A91">
            <w:pPr>
              <w:spacing w:before="20" w:after="20"/>
              <w:rPr>
                <w:rFonts w:asciiTheme="majorHAnsi" w:hAnsiTheme="majorHAnsi"/>
                <w:szCs w:val="20"/>
              </w:rPr>
            </w:pPr>
            <w:r w:rsidRPr="00280CC1">
              <w:rPr>
                <w:rFonts w:asciiTheme="majorHAnsi" w:hAnsiTheme="majorHAnsi"/>
                <w:szCs w:val="20"/>
              </w:rPr>
              <w:t xml:space="preserve">Indicator </w:t>
            </w:r>
          </w:p>
        </w:tc>
        <w:tc>
          <w:tcPr>
            <w:tcW w:w="2539" w:type="dxa"/>
            <w:tcBorders>
              <w:top w:val="single" w:sz="2" w:space="0" w:color="808080" w:themeColor="background1" w:themeShade="80"/>
              <w:bottom w:val="single" w:sz="4" w:space="0" w:color="808080" w:themeColor="background1" w:themeShade="80"/>
            </w:tcBorders>
          </w:tcPr>
          <w:p w14:paraId="63229E70" w14:textId="77777777" w:rsidR="00785818" w:rsidRPr="00280CC1" w:rsidRDefault="00785818" w:rsidP="00E87A91">
            <w:pPr>
              <w:spacing w:before="20" w:after="20"/>
              <w:rPr>
                <w:rFonts w:asciiTheme="majorHAnsi" w:hAnsiTheme="majorHAnsi"/>
                <w:szCs w:val="20"/>
              </w:rPr>
            </w:pPr>
            <w:r w:rsidRPr="00280CC1">
              <w:rPr>
                <w:rFonts w:asciiTheme="majorHAnsi" w:hAnsiTheme="majorHAnsi"/>
                <w:szCs w:val="20"/>
              </w:rPr>
              <w:t>2016/17 Targets</w:t>
            </w:r>
          </w:p>
        </w:tc>
        <w:tc>
          <w:tcPr>
            <w:tcW w:w="2115" w:type="dxa"/>
            <w:tcBorders>
              <w:top w:val="single" w:sz="2" w:space="0" w:color="808080" w:themeColor="background1" w:themeShade="80"/>
              <w:bottom w:val="single" w:sz="4" w:space="0" w:color="808080" w:themeColor="background1" w:themeShade="80"/>
            </w:tcBorders>
          </w:tcPr>
          <w:p w14:paraId="422513D7" w14:textId="77777777" w:rsidR="00785818" w:rsidRPr="00280CC1" w:rsidRDefault="00785818" w:rsidP="00E87A91">
            <w:pPr>
              <w:spacing w:before="20" w:after="20"/>
              <w:rPr>
                <w:rFonts w:asciiTheme="majorHAnsi" w:hAnsiTheme="majorHAnsi"/>
                <w:szCs w:val="20"/>
              </w:rPr>
            </w:pPr>
            <w:r w:rsidRPr="00280CC1">
              <w:rPr>
                <w:rFonts w:asciiTheme="majorHAnsi" w:hAnsiTheme="majorHAnsi"/>
                <w:szCs w:val="20"/>
              </w:rPr>
              <w:t>2016/17 Results</w:t>
            </w:r>
          </w:p>
        </w:tc>
        <w:tc>
          <w:tcPr>
            <w:tcW w:w="3639" w:type="dxa"/>
            <w:tcBorders>
              <w:top w:val="single" w:sz="2" w:space="0" w:color="808080" w:themeColor="background1" w:themeShade="80"/>
              <w:bottom w:val="single" w:sz="4" w:space="0" w:color="808080" w:themeColor="background1" w:themeShade="80"/>
            </w:tcBorders>
          </w:tcPr>
          <w:p w14:paraId="23770130" w14:textId="77777777" w:rsidR="00785818" w:rsidRPr="00280CC1" w:rsidRDefault="00785818" w:rsidP="00E87A91">
            <w:pPr>
              <w:spacing w:before="20" w:after="20"/>
              <w:rPr>
                <w:rFonts w:asciiTheme="majorHAnsi" w:hAnsiTheme="majorHAnsi"/>
                <w:szCs w:val="20"/>
              </w:rPr>
            </w:pPr>
            <w:r w:rsidRPr="00280CC1">
              <w:rPr>
                <w:rFonts w:asciiTheme="majorHAnsi" w:hAnsiTheme="majorHAnsi"/>
                <w:szCs w:val="20"/>
              </w:rPr>
              <w:t>Explanation for Results</w:t>
            </w:r>
          </w:p>
        </w:tc>
      </w:tr>
      <w:tr w:rsidR="008C6958" w:rsidRPr="00280CC1" w14:paraId="6387FEB0" w14:textId="77777777" w:rsidTr="00567D48">
        <w:tc>
          <w:tcPr>
            <w:tcW w:w="2475" w:type="dxa"/>
            <w:tcBorders>
              <w:bottom w:val="single" w:sz="2" w:space="0" w:color="808080" w:themeColor="background1" w:themeShade="80"/>
            </w:tcBorders>
            <w:shd w:val="clear" w:color="auto" w:fill="D5EEE0" w:themeFill="accent6" w:themeFillTint="33"/>
          </w:tcPr>
          <w:p w14:paraId="5CD82CDA" w14:textId="77777777" w:rsidR="00785818" w:rsidRPr="00665AFD" w:rsidRDefault="00E97AAD" w:rsidP="00E87A91">
            <w:pPr>
              <w:spacing w:before="60" w:after="20"/>
              <w:rPr>
                <w:rFonts w:asciiTheme="majorHAnsi" w:hAnsiTheme="majorHAnsi"/>
                <w:szCs w:val="20"/>
              </w:rPr>
            </w:pPr>
            <w:r w:rsidRPr="0029505D">
              <w:rPr>
                <w:rFonts w:asciiTheme="majorHAnsi" w:eastAsia="Times New Roman" w:hAnsiTheme="majorHAnsi" w:cstheme="minorHAnsi"/>
                <w:szCs w:val="20"/>
                <w:lang w:eastAsia="en-AU"/>
              </w:rPr>
              <w:t>1. Improvements in infrastructure and the economic environment</w:t>
            </w:r>
          </w:p>
        </w:tc>
        <w:tc>
          <w:tcPr>
            <w:tcW w:w="3833" w:type="dxa"/>
            <w:gridSpan w:val="2"/>
            <w:tcBorders>
              <w:bottom w:val="single" w:sz="2" w:space="0" w:color="808080" w:themeColor="background1" w:themeShade="80"/>
            </w:tcBorders>
            <w:shd w:val="clear" w:color="auto" w:fill="D5EEE0" w:themeFill="accent6" w:themeFillTint="33"/>
          </w:tcPr>
          <w:p w14:paraId="6C3D9EA1" w14:textId="77777777" w:rsidR="00785818" w:rsidRPr="00665AFD" w:rsidRDefault="00E97AAD" w:rsidP="00E97AAD">
            <w:pPr>
              <w:spacing w:before="60" w:after="20"/>
              <w:rPr>
                <w:rFonts w:asciiTheme="majorHAnsi" w:hAnsiTheme="majorHAnsi"/>
                <w:szCs w:val="20"/>
              </w:rPr>
            </w:pPr>
            <w:r w:rsidRPr="00665AFD">
              <w:rPr>
                <w:rFonts w:asciiTheme="majorHAnsi" w:hAnsiTheme="majorHAnsi"/>
                <w:szCs w:val="20"/>
              </w:rPr>
              <w:t>1</w:t>
            </w:r>
            <w:r w:rsidR="00785818" w:rsidRPr="00665AFD">
              <w:rPr>
                <w:rFonts w:asciiTheme="majorHAnsi" w:hAnsiTheme="majorHAnsi"/>
                <w:szCs w:val="20"/>
              </w:rPr>
              <w:t xml:space="preserve">. </w:t>
            </w:r>
            <w:r w:rsidRPr="009E1C8A">
              <w:rPr>
                <w:rFonts w:asciiTheme="majorHAnsi" w:hAnsiTheme="majorHAnsi"/>
                <w:szCs w:val="20"/>
              </w:rPr>
              <w:t>Number of people (women and men) that will directly benefit from a new committed household or business  connection to electricity and/or piped, treated water</w:t>
            </w:r>
            <w:r w:rsidRPr="0029505D" w:rsidDel="00E97AAD">
              <w:rPr>
                <w:rFonts w:asciiTheme="majorHAnsi" w:hAnsiTheme="majorHAnsi"/>
                <w:szCs w:val="20"/>
              </w:rPr>
              <w:t xml:space="preserve"> </w:t>
            </w:r>
            <w:r w:rsidR="00785818" w:rsidRPr="00665AFD">
              <w:rPr>
                <w:rFonts w:asciiTheme="majorHAnsi" w:hAnsiTheme="majorHAnsi"/>
                <w:color w:val="FF0000"/>
                <w:szCs w:val="20"/>
              </w:rPr>
              <w:t>(AIP Benchmark)</w:t>
            </w:r>
          </w:p>
        </w:tc>
        <w:tc>
          <w:tcPr>
            <w:tcW w:w="2539" w:type="dxa"/>
            <w:tcBorders>
              <w:bottom w:val="single" w:sz="2" w:space="0" w:color="808080" w:themeColor="background1" w:themeShade="80"/>
            </w:tcBorders>
            <w:shd w:val="clear" w:color="auto" w:fill="D5EEE0" w:themeFill="accent6" w:themeFillTint="33"/>
          </w:tcPr>
          <w:p w14:paraId="12FB74DC" w14:textId="77777777" w:rsidR="00785818" w:rsidRPr="0029505D" w:rsidRDefault="00E97AAD" w:rsidP="00E87A91">
            <w:pPr>
              <w:spacing w:before="60" w:after="20"/>
              <w:rPr>
                <w:rFonts w:asciiTheme="majorHAnsi" w:hAnsiTheme="majorHAnsi"/>
                <w:szCs w:val="20"/>
              </w:rPr>
            </w:pPr>
            <w:r w:rsidRPr="009E1C8A">
              <w:rPr>
                <w:rFonts w:asciiTheme="majorHAnsi" w:hAnsiTheme="majorHAnsi"/>
                <w:szCs w:val="20"/>
              </w:rPr>
              <w:t>202,500 people with committed connections</w:t>
            </w:r>
          </w:p>
        </w:tc>
        <w:tc>
          <w:tcPr>
            <w:tcW w:w="2115" w:type="dxa"/>
            <w:tcBorders>
              <w:bottom w:val="single" w:sz="2" w:space="0" w:color="808080" w:themeColor="background1" w:themeShade="80"/>
            </w:tcBorders>
            <w:shd w:val="clear" w:color="auto" w:fill="D5EEE0" w:themeFill="accent6" w:themeFillTint="33"/>
          </w:tcPr>
          <w:p w14:paraId="53BEE4D4" w14:textId="77777777" w:rsidR="00785818" w:rsidRPr="0029505D" w:rsidRDefault="00E97AAD" w:rsidP="00E87A91">
            <w:pPr>
              <w:spacing w:before="60" w:after="20"/>
              <w:rPr>
                <w:rFonts w:asciiTheme="majorHAnsi" w:hAnsiTheme="majorHAnsi"/>
                <w:i/>
                <w:szCs w:val="20"/>
              </w:rPr>
            </w:pPr>
            <w:r w:rsidRPr="009E1C8A">
              <w:rPr>
                <w:rFonts w:asciiTheme="majorHAnsi" w:hAnsiTheme="majorHAnsi"/>
                <w:szCs w:val="20"/>
              </w:rPr>
              <w:t>212,111 people (excluding electricity connection through REP)</w:t>
            </w:r>
          </w:p>
        </w:tc>
        <w:tc>
          <w:tcPr>
            <w:tcW w:w="3639" w:type="dxa"/>
            <w:tcBorders>
              <w:bottom w:val="single" w:sz="2" w:space="0" w:color="808080" w:themeColor="background1" w:themeShade="80"/>
            </w:tcBorders>
            <w:shd w:val="clear" w:color="auto" w:fill="D5EEE0" w:themeFill="accent6" w:themeFillTint="33"/>
          </w:tcPr>
          <w:p w14:paraId="5D5D68BD" w14:textId="77777777" w:rsidR="00785818" w:rsidRPr="0029505D" w:rsidRDefault="00665AFD" w:rsidP="0029505D">
            <w:pPr>
              <w:spacing w:before="60" w:after="20"/>
              <w:rPr>
                <w:rFonts w:asciiTheme="majorHAnsi" w:hAnsiTheme="majorHAnsi"/>
                <w:i/>
                <w:szCs w:val="20"/>
              </w:rPr>
            </w:pPr>
            <w:r>
              <w:rPr>
                <w:rFonts w:asciiTheme="majorHAnsi" w:hAnsiTheme="majorHAnsi"/>
                <w:szCs w:val="20"/>
              </w:rPr>
              <w:t>3i</w:t>
            </w:r>
            <w:r w:rsidR="00E97AAD" w:rsidRPr="009E1C8A">
              <w:rPr>
                <w:rFonts w:asciiTheme="majorHAnsi" w:hAnsiTheme="majorHAnsi"/>
                <w:szCs w:val="20"/>
              </w:rPr>
              <w:t xml:space="preserve"> allocates grant co-financing across the electricity distribution and piped, treated water sectors based on market interest. This is the basis for a combined electricity and/or water connection target.</w:t>
            </w:r>
          </w:p>
        </w:tc>
      </w:tr>
      <w:tr w:rsidR="00E84B31" w:rsidRPr="00280CC1" w14:paraId="4941AC75" w14:textId="77777777" w:rsidTr="00567D48">
        <w:tc>
          <w:tcPr>
            <w:tcW w:w="2475" w:type="dxa"/>
            <w:tcBorders>
              <w:top w:val="single" w:sz="2" w:space="0" w:color="808080" w:themeColor="background1" w:themeShade="80"/>
              <w:bottom w:val="nil"/>
            </w:tcBorders>
            <w:shd w:val="clear" w:color="auto" w:fill="D5EEE0" w:themeFill="accent6" w:themeFillTint="33"/>
          </w:tcPr>
          <w:p w14:paraId="0E827E9D" w14:textId="1E5B94AF" w:rsidR="00E84B31" w:rsidRPr="0029505D" w:rsidRDefault="00E84B31" w:rsidP="00E87A91">
            <w:pPr>
              <w:spacing w:before="60" w:after="20"/>
              <w:rPr>
                <w:rFonts w:asciiTheme="majorHAnsi" w:eastAsia="Times New Roman" w:hAnsiTheme="majorHAnsi" w:cstheme="minorHAnsi"/>
                <w:szCs w:val="20"/>
                <w:lang w:eastAsia="en-AU"/>
              </w:rPr>
            </w:pPr>
            <w:r w:rsidRPr="00BA16B1">
              <w:rPr>
                <w:rFonts w:asciiTheme="majorHAnsi" w:hAnsiTheme="majorHAnsi"/>
                <w:szCs w:val="20"/>
              </w:rPr>
              <w:t>2.  Improved access to schools, health care facilities and other essential services in targeted rural areas</w:t>
            </w:r>
          </w:p>
        </w:tc>
        <w:tc>
          <w:tcPr>
            <w:tcW w:w="3833" w:type="dxa"/>
            <w:gridSpan w:val="2"/>
            <w:tcBorders>
              <w:top w:val="single" w:sz="2" w:space="0" w:color="808080" w:themeColor="background1" w:themeShade="80"/>
              <w:bottom w:val="single" w:sz="2" w:space="0" w:color="808080" w:themeColor="background1" w:themeShade="80"/>
            </w:tcBorders>
            <w:shd w:val="clear" w:color="auto" w:fill="D5EEE0" w:themeFill="accent6" w:themeFillTint="33"/>
          </w:tcPr>
          <w:p w14:paraId="3F4010EC" w14:textId="7F44B21D" w:rsidR="00E84B31" w:rsidRPr="00665AFD" w:rsidRDefault="00E84B31" w:rsidP="00E97AAD">
            <w:pPr>
              <w:spacing w:before="60" w:after="20"/>
              <w:rPr>
                <w:rFonts w:asciiTheme="majorHAnsi" w:hAnsiTheme="majorHAnsi"/>
                <w:szCs w:val="20"/>
              </w:rPr>
            </w:pPr>
            <w:r w:rsidRPr="00665AFD">
              <w:rPr>
                <w:rFonts w:asciiTheme="majorHAnsi" w:hAnsiTheme="majorHAnsi"/>
                <w:szCs w:val="20"/>
              </w:rPr>
              <w:t>2. Satisfactory progress is achieved on the implementation of civil works and ‘soft work’ packages in rural road rehabilitation efforts</w:t>
            </w:r>
            <w:r w:rsidR="003C1797">
              <w:rPr>
                <w:rFonts w:asciiTheme="majorHAnsi" w:hAnsiTheme="majorHAnsi"/>
                <w:szCs w:val="20"/>
              </w:rPr>
              <w:t>.</w:t>
            </w:r>
          </w:p>
        </w:tc>
        <w:tc>
          <w:tcPr>
            <w:tcW w:w="2539" w:type="dxa"/>
            <w:tcBorders>
              <w:top w:val="single" w:sz="2" w:space="0" w:color="808080" w:themeColor="background1" w:themeShade="80"/>
              <w:bottom w:val="single" w:sz="2" w:space="0" w:color="808080" w:themeColor="background1" w:themeShade="80"/>
            </w:tcBorders>
            <w:shd w:val="clear" w:color="auto" w:fill="D5EEE0" w:themeFill="accent6" w:themeFillTint="33"/>
          </w:tcPr>
          <w:p w14:paraId="17D5F6F1" w14:textId="0971FEB2" w:rsidR="00E84B31" w:rsidRPr="009E1C8A" w:rsidRDefault="00E84B31" w:rsidP="00E87A91">
            <w:pPr>
              <w:spacing w:before="60" w:after="20"/>
              <w:rPr>
                <w:rFonts w:asciiTheme="majorHAnsi" w:hAnsiTheme="majorHAnsi"/>
                <w:szCs w:val="20"/>
              </w:rPr>
            </w:pPr>
            <w:r w:rsidRPr="009E1C8A">
              <w:rPr>
                <w:rFonts w:asciiTheme="majorHAnsi" w:hAnsiTheme="majorHAnsi"/>
                <w:szCs w:val="20"/>
              </w:rPr>
              <w:t>Overall slippage does not exceed 10 per</w:t>
            </w:r>
            <w:r>
              <w:rPr>
                <w:rFonts w:asciiTheme="majorHAnsi" w:hAnsiTheme="majorHAnsi"/>
                <w:szCs w:val="20"/>
              </w:rPr>
              <w:t xml:space="preserve"> </w:t>
            </w:r>
            <w:r w:rsidRPr="009E1C8A">
              <w:rPr>
                <w:rFonts w:asciiTheme="majorHAnsi" w:hAnsiTheme="majorHAnsi"/>
                <w:szCs w:val="20"/>
              </w:rPr>
              <w:t>cent and no major delays are experienced on financing packages</w:t>
            </w:r>
            <w:r w:rsidR="003C1797">
              <w:rPr>
                <w:rFonts w:asciiTheme="majorHAnsi" w:hAnsiTheme="majorHAnsi"/>
                <w:szCs w:val="20"/>
              </w:rPr>
              <w:t>.</w:t>
            </w:r>
          </w:p>
        </w:tc>
        <w:tc>
          <w:tcPr>
            <w:tcW w:w="2115" w:type="dxa"/>
            <w:tcBorders>
              <w:top w:val="single" w:sz="2" w:space="0" w:color="808080" w:themeColor="background1" w:themeShade="80"/>
              <w:bottom w:val="single" w:sz="2" w:space="0" w:color="808080" w:themeColor="background1" w:themeShade="80"/>
            </w:tcBorders>
            <w:shd w:val="clear" w:color="auto" w:fill="D5EEE0" w:themeFill="accent6" w:themeFillTint="33"/>
          </w:tcPr>
          <w:p w14:paraId="066F40CA" w14:textId="4DE55FA1" w:rsidR="00E84B31" w:rsidRPr="009E1C8A" w:rsidRDefault="00E84B31" w:rsidP="00E87A91">
            <w:pPr>
              <w:spacing w:before="60" w:after="20"/>
              <w:rPr>
                <w:rFonts w:asciiTheme="majorHAnsi" w:hAnsiTheme="majorHAnsi"/>
                <w:szCs w:val="20"/>
              </w:rPr>
            </w:pPr>
            <w:r w:rsidRPr="009E1C8A">
              <w:rPr>
                <w:rFonts w:asciiTheme="majorHAnsi" w:hAnsiTheme="majorHAnsi"/>
                <w:szCs w:val="20"/>
              </w:rPr>
              <w:t xml:space="preserve">Overall slippage of </w:t>
            </w:r>
            <w:r w:rsidRPr="009E1C8A">
              <w:rPr>
                <w:rFonts w:asciiTheme="majorHAnsi" w:hAnsiTheme="majorHAnsi"/>
                <w:szCs w:val="20"/>
              </w:rPr>
              <w:noBreakHyphen/>
              <w:t>1.3 per cent with some major procurement delays</w:t>
            </w:r>
          </w:p>
        </w:tc>
        <w:tc>
          <w:tcPr>
            <w:tcW w:w="3639" w:type="dxa"/>
            <w:tcBorders>
              <w:top w:val="single" w:sz="2" w:space="0" w:color="808080" w:themeColor="background1" w:themeShade="80"/>
              <w:bottom w:val="single" w:sz="2" w:space="0" w:color="808080" w:themeColor="background1" w:themeShade="80"/>
            </w:tcBorders>
            <w:shd w:val="clear" w:color="auto" w:fill="D5EEE0" w:themeFill="accent6" w:themeFillTint="33"/>
          </w:tcPr>
          <w:p w14:paraId="75153290" w14:textId="2A8B14D8" w:rsidR="00E84B31" w:rsidRDefault="00E84B31" w:rsidP="0029505D">
            <w:pPr>
              <w:spacing w:before="60" w:after="20"/>
              <w:rPr>
                <w:rFonts w:asciiTheme="majorHAnsi" w:hAnsiTheme="majorHAnsi"/>
                <w:szCs w:val="20"/>
              </w:rPr>
            </w:pPr>
            <w:r w:rsidRPr="009E1C8A">
              <w:rPr>
                <w:rFonts w:asciiTheme="majorHAnsi" w:hAnsiTheme="majorHAnsi"/>
                <w:szCs w:val="20"/>
                <w:lang w:eastAsia="en-AU"/>
              </w:rPr>
              <w:t xml:space="preserve">While </w:t>
            </w:r>
            <w:r w:rsidRPr="009E1C8A">
              <w:rPr>
                <w:rFonts w:asciiTheme="majorHAnsi" w:hAnsiTheme="majorHAnsi"/>
                <w:szCs w:val="20"/>
              </w:rPr>
              <w:t>overall</w:t>
            </w:r>
            <w:r w:rsidRPr="009E1C8A">
              <w:rPr>
                <w:rFonts w:asciiTheme="majorHAnsi" w:hAnsiTheme="majorHAnsi"/>
                <w:szCs w:val="20"/>
                <w:lang w:eastAsia="en-AU"/>
              </w:rPr>
              <w:t xml:space="preserve"> slippage was within acceptable limits due to good civil works progress in 2017, slow procurement of the original financing package during 2016 contributed to major delays on several project components.</w:t>
            </w:r>
          </w:p>
        </w:tc>
      </w:tr>
      <w:tr w:rsidR="003C1797" w:rsidRPr="00280CC1" w14:paraId="427CF6C9" w14:textId="77777777" w:rsidTr="00567D48">
        <w:tc>
          <w:tcPr>
            <w:tcW w:w="2475" w:type="dxa"/>
            <w:tcBorders>
              <w:top w:val="nil"/>
              <w:bottom w:val="single" w:sz="2" w:space="0" w:color="808080" w:themeColor="background1" w:themeShade="80"/>
            </w:tcBorders>
            <w:shd w:val="clear" w:color="auto" w:fill="D5EEE0" w:themeFill="accent6" w:themeFillTint="33"/>
          </w:tcPr>
          <w:p w14:paraId="26A9BD76" w14:textId="77777777" w:rsidR="003C1797" w:rsidRPr="00BA16B1" w:rsidRDefault="003C1797" w:rsidP="003C1797">
            <w:pPr>
              <w:spacing w:before="60" w:after="20"/>
              <w:rPr>
                <w:rFonts w:asciiTheme="majorHAnsi" w:hAnsiTheme="majorHAnsi"/>
                <w:szCs w:val="20"/>
              </w:rPr>
            </w:pPr>
          </w:p>
        </w:tc>
        <w:tc>
          <w:tcPr>
            <w:tcW w:w="3833" w:type="dxa"/>
            <w:gridSpan w:val="2"/>
            <w:tcBorders>
              <w:top w:val="single" w:sz="2" w:space="0" w:color="808080" w:themeColor="background1" w:themeShade="80"/>
              <w:bottom w:val="single" w:sz="2" w:space="0" w:color="808080" w:themeColor="background1" w:themeShade="80"/>
            </w:tcBorders>
            <w:shd w:val="clear" w:color="auto" w:fill="D5EEE0" w:themeFill="accent6" w:themeFillTint="33"/>
          </w:tcPr>
          <w:p w14:paraId="58D6245E" w14:textId="012AA3E7" w:rsidR="003C1797" w:rsidRPr="00665AFD" w:rsidRDefault="003C1797" w:rsidP="003C1797">
            <w:pPr>
              <w:spacing w:before="60" w:after="20"/>
              <w:rPr>
                <w:rFonts w:asciiTheme="majorHAnsi" w:hAnsiTheme="majorHAnsi"/>
                <w:szCs w:val="20"/>
              </w:rPr>
            </w:pPr>
            <w:r w:rsidRPr="00665AFD">
              <w:rPr>
                <w:rFonts w:asciiTheme="majorHAnsi" w:hAnsiTheme="majorHAnsi"/>
                <w:szCs w:val="20"/>
              </w:rPr>
              <w:t>3. Proportion of unskilled labour days on Australian-funded rural road rehabilitation works performed by women</w:t>
            </w:r>
            <w:r>
              <w:rPr>
                <w:rFonts w:asciiTheme="majorHAnsi" w:hAnsiTheme="majorHAnsi"/>
                <w:szCs w:val="20"/>
              </w:rPr>
              <w:t>.</w:t>
            </w:r>
          </w:p>
        </w:tc>
        <w:tc>
          <w:tcPr>
            <w:tcW w:w="2539" w:type="dxa"/>
            <w:tcBorders>
              <w:top w:val="single" w:sz="2" w:space="0" w:color="808080" w:themeColor="background1" w:themeShade="80"/>
              <w:bottom w:val="single" w:sz="2" w:space="0" w:color="808080" w:themeColor="background1" w:themeShade="80"/>
            </w:tcBorders>
            <w:shd w:val="clear" w:color="auto" w:fill="D5EEE0" w:themeFill="accent6" w:themeFillTint="33"/>
          </w:tcPr>
          <w:p w14:paraId="2A3E1573" w14:textId="739A5EC5" w:rsidR="003C1797" w:rsidRPr="009E1C8A" w:rsidRDefault="003C1797" w:rsidP="003C1797">
            <w:pPr>
              <w:spacing w:before="60" w:after="20"/>
              <w:rPr>
                <w:rFonts w:asciiTheme="majorHAnsi" w:hAnsiTheme="majorHAnsi"/>
                <w:szCs w:val="20"/>
              </w:rPr>
            </w:pPr>
            <w:r w:rsidRPr="009E1C8A">
              <w:rPr>
                <w:rFonts w:asciiTheme="majorHAnsi" w:hAnsiTheme="majorHAnsi"/>
                <w:szCs w:val="20"/>
              </w:rPr>
              <w:t>25 per</w:t>
            </w:r>
            <w:r>
              <w:rPr>
                <w:rFonts w:asciiTheme="majorHAnsi" w:hAnsiTheme="majorHAnsi"/>
                <w:szCs w:val="20"/>
              </w:rPr>
              <w:t xml:space="preserve"> </w:t>
            </w:r>
            <w:r w:rsidRPr="009E1C8A">
              <w:rPr>
                <w:rFonts w:asciiTheme="majorHAnsi" w:hAnsiTheme="majorHAnsi"/>
                <w:szCs w:val="20"/>
              </w:rPr>
              <w:t>cent of labour days</w:t>
            </w:r>
          </w:p>
        </w:tc>
        <w:tc>
          <w:tcPr>
            <w:tcW w:w="2115" w:type="dxa"/>
            <w:tcBorders>
              <w:top w:val="single" w:sz="2" w:space="0" w:color="808080" w:themeColor="background1" w:themeShade="80"/>
              <w:bottom w:val="single" w:sz="2" w:space="0" w:color="808080" w:themeColor="background1" w:themeShade="80"/>
            </w:tcBorders>
            <w:shd w:val="clear" w:color="auto" w:fill="D5EEE0" w:themeFill="accent6" w:themeFillTint="33"/>
          </w:tcPr>
          <w:p w14:paraId="2AC99473" w14:textId="0432A6E7" w:rsidR="003C1797" w:rsidRPr="009E1C8A" w:rsidRDefault="003C1797" w:rsidP="003C1797">
            <w:pPr>
              <w:spacing w:before="60" w:after="20"/>
              <w:rPr>
                <w:rFonts w:asciiTheme="majorHAnsi" w:hAnsiTheme="majorHAnsi"/>
                <w:szCs w:val="20"/>
              </w:rPr>
            </w:pPr>
            <w:r w:rsidRPr="009E1C8A">
              <w:rPr>
                <w:rFonts w:asciiTheme="majorHAnsi" w:hAnsiTheme="majorHAnsi"/>
                <w:szCs w:val="20"/>
              </w:rPr>
              <w:t>27.44 per</w:t>
            </w:r>
            <w:r>
              <w:rPr>
                <w:rFonts w:asciiTheme="majorHAnsi" w:hAnsiTheme="majorHAnsi"/>
                <w:szCs w:val="20"/>
              </w:rPr>
              <w:t xml:space="preserve"> </w:t>
            </w:r>
            <w:r w:rsidRPr="009E1C8A">
              <w:rPr>
                <w:rFonts w:asciiTheme="majorHAnsi" w:hAnsiTheme="majorHAnsi"/>
                <w:szCs w:val="20"/>
              </w:rPr>
              <w:t>cent</w:t>
            </w:r>
          </w:p>
        </w:tc>
        <w:tc>
          <w:tcPr>
            <w:tcW w:w="3639" w:type="dxa"/>
            <w:tcBorders>
              <w:top w:val="single" w:sz="2" w:space="0" w:color="808080" w:themeColor="background1" w:themeShade="80"/>
              <w:bottom w:val="single" w:sz="2" w:space="0" w:color="808080" w:themeColor="background1" w:themeShade="80"/>
            </w:tcBorders>
            <w:shd w:val="clear" w:color="auto" w:fill="D5EEE0" w:themeFill="accent6" w:themeFillTint="33"/>
          </w:tcPr>
          <w:p w14:paraId="1250D80C" w14:textId="26399ECC" w:rsidR="003C1797" w:rsidRPr="009E1C8A" w:rsidRDefault="003C1797" w:rsidP="003C1797">
            <w:pPr>
              <w:spacing w:before="60" w:after="20"/>
              <w:rPr>
                <w:rFonts w:asciiTheme="majorHAnsi" w:hAnsiTheme="majorHAnsi"/>
                <w:szCs w:val="20"/>
                <w:lang w:eastAsia="en-AU"/>
              </w:rPr>
            </w:pPr>
            <w:r w:rsidRPr="009E1C8A">
              <w:rPr>
                <w:rFonts w:asciiTheme="majorHAnsi" w:hAnsiTheme="majorHAnsi"/>
                <w:szCs w:val="20"/>
              </w:rPr>
              <w:t>Based on Gender Action Plan Report, as of March 2017.</w:t>
            </w:r>
          </w:p>
        </w:tc>
      </w:tr>
      <w:tr w:rsidR="00785818" w:rsidRPr="00280CC1" w14:paraId="31CF41D7" w14:textId="77777777" w:rsidTr="00567D48">
        <w:tc>
          <w:tcPr>
            <w:tcW w:w="14601" w:type="dxa"/>
            <w:gridSpan w:val="6"/>
            <w:shd w:val="clear" w:color="auto" w:fill="FFFFFF" w:themeFill="background1"/>
          </w:tcPr>
          <w:p w14:paraId="43E91A87" w14:textId="77777777" w:rsidR="00785818" w:rsidRPr="00280CC1" w:rsidRDefault="00785818" w:rsidP="00E87A91">
            <w:pPr>
              <w:rPr>
                <w:rFonts w:asciiTheme="majorHAnsi" w:hAnsiTheme="majorHAnsi"/>
                <w:b/>
              </w:rPr>
            </w:pPr>
          </w:p>
          <w:p w14:paraId="60AB9711" w14:textId="77777777" w:rsidR="00785818" w:rsidRPr="00280CC1" w:rsidRDefault="00785818" w:rsidP="00E87A91">
            <w:pPr>
              <w:rPr>
                <w:rFonts w:asciiTheme="majorHAnsi" w:hAnsiTheme="majorHAnsi"/>
                <w:b/>
              </w:rPr>
            </w:pPr>
            <w:r w:rsidRPr="00280CC1">
              <w:rPr>
                <w:rFonts w:asciiTheme="majorHAnsi" w:hAnsiTheme="majorHAnsi"/>
                <w:b/>
              </w:rPr>
              <w:t>Objective 2: Increasing agricultural productivity and farmer incomes</w:t>
            </w:r>
          </w:p>
        </w:tc>
      </w:tr>
      <w:tr w:rsidR="008C6958" w:rsidRPr="00280CC1" w14:paraId="2EDBE369" w14:textId="77777777" w:rsidTr="00567D48">
        <w:tc>
          <w:tcPr>
            <w:tcW w:w="3030" w:type="dxa"/>
            <w:gridSpan w:val="2"/>
            <w:shd w:val="clear" w:color="auto" w:fill="D7DEE2" w:themeFill="text2" w:themeFillTint="33"/>
          </w:tcPr>
          <w:p w14:paraId="771DA6B3" w14:textId="77777777" w:rsidR="00785818" w:rsidRPr="00280CC1" w:rsidRDefault="00785818" w:rsidP="00E87A91">
            <w:pPr>
              <w:spacing w:before="20" w:after="20"/>
              <w:rPr>
                <w:rFonts w:asciiTheme="majorHAnsi" w:hAnsiTheme="majorHAnsi"/>
                <w:szCs w:val="20"/>
              </w:rPr>
            </w:pPr>
            <w:r w:rsidRPr="00280CC1">
              <w:rPr>
                <w:rFonts w:asciiTheme="majorHAnsi" w:hAnsiTheme="majorHAnsi"/>
                <w:szCs w:val="20"/>
              </w:rPr>
              <w:br w:type="page"/>
            </w:r>
            <w:r w:rsidRPr="00280CC1">
              <w:rPr>
                <w:rFonts w:asciiTheme="majorHAnsi" w:hAnsiTheme="majorHAnsi"/>
                <w:szCs w:val="20"/>
              </w:rPr>
              <w:br w:type="page"/>
            </w:r>
          </w:p>
        </w:tc>
        <w:tc>
          <w:tcPr>
            <w:tcW w:w="3278" w:type="dxa"/>
            <w:shd w:val="clear" w:color="auto" w:fill="D7DEE2" w:themeFill="text2" w:themeFillTint="33"/>
          </w:tcPr>
          <w:p w14:paraId="479119D0" w14:textId="77777777" w:rsidR="00785818" w:rsidRPr="00280CC1" w:rsidRDefault="00785818" w:rsidP="00E87A91">
            <w:pPr>
              <w:spacing w:before="20" w:after="20"/>
              <w:rPr>
                <w:rFonts w:asciiTheme="majorHAnsi" w:hAnsiTheme="majorHAnsi"/>
                <w:szCs w:val="20"/>
              </w:rPr>
            </w:pPr>
            <w:r w:rsidRPr="00280CC1">
              <w:rPr>
                <w:rFonts w:asciiTheme="majorHAnsi" w:hAnsiTheme="majorHAnsi"/>
                <w:szCs w:val="20"/>
              </w:rPr>
              <w:t xml:space="preserve">Indicator </w:t>
            </w:r>
          </w:p>
        </w:tc>
        <w:tc>
          <w:tcPr>
            <w:tcW w:w="2539" w:type="dxa"/>
            <w:shd w:val="clear" w:color="auto" w:fill="D7DEE2" w:themeFill="text2" w:themeFillTint="33"/>
          </w:tcPr>
          <w:p w14:paraId="249812E9" w14:textId="77777777" w:rsidR="00785818" w:rsidRPr="00280CC1" w:rsidRDefault="00785818" w:rsidP="00E87A91">
            <w:pPr>
              <w:spacing w:before="20" w:after="20"/>
              <w:rPr>
                <w:rFonts w:asciiTheme="majorHAnsi" w:hAnsiTheme="majorHAnsi"/>
                <w:szCs w:val="20"/>
              </w:rPr>
            </w:pPr>
            <w:r w:rsidRPr="00280CC1">
              <w:rPr>
                <w:rFonts w:asciiTheme="majorHAnsi" w:hAnsiTheme="majorHAnsi"/>
                <w:szCs w:val="20"/>
              </w:rPr>
              <w:t>2016/17 Targets</w:t>
            </w:r>
          </w:p>
        </w:tc>
        <w:tc>
          <w:tcPr>
            <w:tcW w:w="2115" w:type="dxa"/>
            <w:shd w:val="clear" w:color="auto" w:fill="D7DEE2" w:themeFill="text2" w:themeFillTint="33"/>
          </w:tcPr>
          <w:p w14:paraId="791A4005" w14:textId="77777777" w:rsidR="00785818" w:rsidRPr="00280CC1" w:rsidRDefault="00785818" w:rsidP="00E87A91">
            <w:pPr>
              <w:spacing w:before="20" w:after="20"/>
              <w:rPr>
                <w:rFonts w:asciiTheme="majorHAnsi" w:hAnsiTheme="majorHAnsi"/>
                <w:szCs w:val="20"/>
              </w:rPr>
            </w:pPr>
            <w:r w:rsidRPr="00280CC1">
              <w:rPr>
                <w:rFonts w:asciiTheme="majorHAnsi" w:hAnsiTheme="majorHAnsi"/>
                <w:szCs w:val="20"/>
              </w:rPr>
              <w:t>2016/17 Results</w:t>
            </w:r>
          </w:p>
        </w:tc>
        <w:tc>
          <w:tcPr>
            <w:tcW w:w="3639" w:type="dxa"/>
            <w:shd w:val="clear" w:color="auto" w:fill="D7DEE2" w:themeFill="text2" w:themeFillTint="33"/>
          </w:tcPr>
          <w:p w14:paraId="7F16F5AD" w14:textId="77777777" w:rsidR="00785818" w:rsidRPr="00280CC1" w:rsidRDefault="00785818" w:rsidP="00E87A91">
            <w:pPr>
              <w:spacing w:before="20" w:after="20"/>
              <w:rPr>
                <w:rFonts w:asciiTheme="majorHAnsi" w:hAnsiTheme="majorHAnsi"/>
                <w:szCs w:val="20"/>
              </w:rPr>
            </w:pPr>
            <w:r w:rsidRPr="00280CC1">
              <w:rPr>
                <w:rFonts w:asciiTheme="majorHAnsi" w:hAnsiTheme="majorHAnsi"/>
                <w:szCs w:val="20"/>
              </w:rPr>
              <w:t>Explanation for Results</w:t>
            </w:r>
          </w:p>
        </w:tc>
      </w:tr>
      <w:tr w:rsidR="003C1797" w:rsidRPr="00280CC1" w14:paraId="748541EE" w14:textId="77777777" w:rsidTr="00567D48">
        <w:tc>
          <w:tcPr>
            <w:tcW w:w="2475" w:type="dxa"/>
            <w:tcBorders>
              <w:bottom w:val="nil"/>
            </w:tcBorders>
            <w:shd w:val="clear" w:color="auto" w:fill="EEF5E7" w:themeFill="accent3" w:themeFillTint="33"/>
            <w:vAlign w:val="center"/>
          </w:tcPr>
          <w:p w14:paraId="3496475F" w14:textId="3F3E4E39" w:rsidR="003C1797" w:rsidRPr="00280CC1" w:rsidRDefault="003C1797" w:rsidP="003C1797">
            <w:pPr>
              <w:spacing w:before="60" w:after="20"/>
              <w:rPr>
                <w:rFonts w:asciiTheme="majorHAnsi" w:eastAsia="Times New Roman" w:hAnsiTheme="majorHAnsi" w:cstheme="minorHAnsi"/>
                <w:szCs w:val="20"/>
                <w:lang w:eastAsia="en-AU"/>
              </w:rPr>
            </w:pPr>
            <w:r>
              <w:rPr>
                <w:rFonts w:asciiTheme="majorHAnsi" w:eastAsia="Times New Roman" w:hAnsiTheme="majorHAnsi" w:cstheme="minorHAnsi"/>
                <w:szCs w:val="20"/>
                <w:lang w:eastAsia="en-AU"/>
              </w:rPr>
              <w:t xml:space="preserve">3.  </w:t>
            </w:r>
            <w:r w:rsidRPr="00B331CD">
              <w:rPr>
                <w:rFonts w:asciiTheme="majorHAnsi" w:eastAsia="Times New Roman" w:hAnsiTheme="majorHAnsi" w:cstheme="minorHAnsi"/>
                <w:szCs w:val="20"/>
                <w:lang w:eastAsia="en-AU"/>
              </w:rPr>
              <w:t>Farming households have knowledge of and apply improved farming practices</w:t>
            </w:r>
          </w:p>
        </w:tc>
        <w:tc>
          <w:tcPr>
            <w:tcW w:w="3833" w:type="dxa"/>
            <w:gridSpan w:val="2"/>
            <w:shd w:val="clear" w:color="auto" w:fill="EEF5E7" w:themeFill="accent3" w:themeFillTint="33"/>
          </w:tcPr>
          <w:p w14:paraId="043CDA63" w14:textId="2A1AC504" w:rsidR="003C1797" w:rsidRPr="00280CC1" w:rsidRDefault="003C1797" w:rsidP="003C1797">
            <w:pPr>
              <w:rPr>
                <w:rFonts w:asciiTheme="majorHAnsi" w:hAnsiTheme="majorHAnsi"/>
                <w:szCs w:val="20"/>
              </w:rPr>
            </w:pPr>
            <w:r w:rsidRPr="00280CC1">
              <w:rPr>
                <w:rFonts w:asciiTheme="majorHAnsi" w:hAnsiTheme="majorHAnsi"/>
                <w:szCs w:val="20"/>
              </w:rPr>
              <w:t>4. Number of farming households that have changed farming practices due to DFAT interventions</w:t>
            </w:r>
          </w:p>
        </w:tc>
        <w:tc>
          <w:tcPr>
            <w:tcW w:w="2539" w:type="dxa"/>
            <w:shd w:val="clear" w:color="auto" w:fill="EEF5E7" w:themeFill="accent3" w:themeFillTint="33"/>
          </w:tcPr>
          <w:p w14:paraId="2D92B765" w14:textId="76A4B21F" w:rsidR="003C1797" w:rsidRPr="00280CC1" w:rsidRDefault="003C1797" w:rsidP="003C1797">
            <w:pPr>
              <w:spacing w:before="60" w:after="20"/>
              <w:rPr>
                <w:rFonts w:asciiTheme="majorHAnsi" w:hAnsiTheme="majorHAnsi"/>
                <w:szCs w:val="20"/>
              </w:rPr>
            </w:pPr>
            <w:r w:rsidRPr="00280CC1">
              <w:rPr>
                <w:rFonts w:asciiTheme="majorHAnsi" w:hAnsiTheme="majorHAnsi"/>
                <w:szCs w:val="20"/>
              </w:rPr>
              <w:t>2,655 Households</w:t>
            </w:r>
          </w:p>
        </w:tc>
        <w:tc>
          <w:tcPr>
            <w:tcW w:w="2115" w:type="dxa"/>
            <w:shd w:val="clear" w:color="auto" w:fill="EEF5E7" w:themeFill="accent3" w:themeFillTint="33"/>
          </w:tcPr>
          <w:p w14:paraId="709276B4" w14:textId="27525769" w:rsidR="003C1797" w:rsidRPr="009E1C8A" w:rsidRDefault="003C1797" w:rsidP="003C1797">
            <w:pPr>
              <w:spacing w:before="60" w:after="20"/>
              <w:rPr>
                <w:rFonts w:asciiTheme="majorHAnsi" w:hAnsiTheme="majorHAnsi"/>
                <w:szCs w:val="20"/>
              </w:rPr>
            </w:pPr>
            <w:r w:rsidRPr="009E1C8A">
              <w:rPr>
                <w:rFonts w:asciiTheme="majorHAnsi" w:hAnsiTheme="majorHAnsi"/>
                <w:szCs w:val="20"/>
              </w:rPr>
              <w:t>Not validated</w:t>
            </w:r>
          </w:p>
        </w:tc>
        <w:tc>
          <w:tcPr>
            <w:tcW w:w="3639" w:type="dxa"/>
            <w:shd w:val="clear" w:color="auto" w:fill="EEF5E7" w:themeFill="accent3" w:themeFillTint="33"/>
          </w:tcPr>
          <w:p w14:paraId="1CF00C45" w14:textId="77777777" w:rsidR="003C1797" w:rsidRPr="009E1C8A" w:rsidRDefault="003C1797" w:rsidP="003C1797">
            <w:pPr>
              <w:spacing w:before="60" w:after="20"/>
              <w:rPr>
                <w:rFonts w:asciiTheme="majorHAnsi" w:hAnsiTheme="majorHAnsi"/>
                <w:szCs w:val="20"/>
              </w:rPr>
            </w:pPr>
            <w:r w:rsidRPr="009E1C8A">
              <w:rPr>
                <w:rFonts w:asciiTheme="majorHAnsi" w:hAnsiTheme="majorHAnsi"/>
                <w:szCs w:val="20"/>
              </w:rPr>
              <w:t xml:space="preserve">The timing to validate this new indicator in 2017 is not feasible, but will be validated in 2018. </w:t>
            </w:r>
          </w:p>
          <w:p w14:paraId="3DE0CF80" w14:textId="77777777" w:rsidR="003C1797" w:rsidRPr="009E1C8A" w:rsidRDefault="003C1797" w:rsidP="003C1797">
            <w:pPr>
              <w:spacing w:before="60" w:after="20"/>
              <w:rPr>
                <w:rFonts w:asciiTheme="majorHAnsi" w:hAnsiTheme="majorHAnsi"/>
                <w:szCs w:val="20"/>
              </w:rPr>
            </w:pPr>
          </w:p>
        </w:tc>
      </w:tr>
      <w:tr w:rsidR="003C1797" w:rsidRPr="00280CC1" w14:paraId="2BB14A1A" w14:textId="77777777" w:rsidTr="00567D48">
        <w:tc>
          <w:tcPr>
            <w:tcW w:w="2475" w:type="dxa"/>
            <w:tcBorders>
              <w:top w:val="nil"/>
            </w:tcBorders>
            <w:shd w:val="clear" w:color="auto" w:fill="EEF5E7" w:themeFill="accent3" w:themeFillTint="33"/>
            <w:vAlign w:val="center"/>
          </w:tcPr>
          <w:p w14:paraId="03EAACBA" w14:textId="77777777" w:rsidR="003C1797" w:rsidRPr="00280CC1" w:rsidRDefault="003C1797" w:rsidP="003C1797">
            <w:pPr>
              <w:spacing w:before="60" w:after="20"/>
              <w:rPr>
                <w:rFonts w:asciiTheme="majorHAnsi" w:eastAsia="Times New Roman" w:hAnsiTheme="majorHAnsi" w:cstheme="minorHAnsi"/>
                <w:szCs w:val="20"/>
                <w:lang w:eastAsia="en-AU"/>
              </w:rPr>
            </w:pPr>
          </w:p>
        </w:tc>
        <w:tc>
          <w:tcPr>
            <w:tcW w:w="3833" w:type="dxa"/>
            <w:gridSpan w:val="2"/>
            <w:shd w:val="clear" w:color="auto" w:fill="EEF5E7" w:themeFill="accent3" w:themeFillTint="33"/>
          </w:tcPr>
          <w:p w14:paraId="5CF0FE1C" w14:textId="40DDA3F6" w:rsidR="003C1797" w:rsidRPr="00280CC1" w:rsidRDefault="003C1797" w:rsidP="003C1797">
            <w:pPr>
              <w:rPr>
                <w:rFonts w:asciiTheme="majorHAnsi" w:hAnsiTheme="majorHAnsi"/>
                <w:szCs w:val="20"/>
              </w:rPr>
            </w:pPr>
            <w:r w:rsidRPr="00280CC1">
              <w:rPr>
                <w:rFonts w:asciiTheme="majorHAnsi" w:hAnsiTheme="majorHAnsi"/>
                <w:szCs w:val="20"/>
              </w:rPr>
              <w:t>5. Additional producti</w:t>
            </w:r>
            <w:r>
              <w:rPr>
                <w:rFonts w:asciiTheme="majorHAnsi" w:hAnsiTheme="majorHAnsi"/>
                <w:szCs w:val="20"/>
              </w:rPr>
              <w:t xml:space="preserve">on </w:t>
            </w:r>
            <w:r w:rsidRPr="00280CC1">
              <w:rPr>
                <w:rFonts w:asciiTheme="majorHAnsi" w:hAnsiTheme="majorHAnsi"/>
                <w:szCs w:val="20"/>
              </w:rPr>
              <w:t xml:space="preserve">per year as a result of DFAT-supported irrigation schemes </w:t>
            </w:r>
            <w:r w:rsidRPr="00280CC1">
              <w:rPr>
                <w:rFonts w:asciiTheme="majorHAnsi" w:hAnsiTheme="majorHAnsi"/>
                <w:b/>
                <w:color w:val="FF0000"/>
                <w:szCs w:val="20"/>
              </w:rPr>
              <w:t>(AIP Benchmark)</w:t>
            </w:r>
          </w:p>
        </w:tc>
        <w:tc>
          <w:tcPr>
            <w:tcW w:w="2539" w:type="dxa"/>
            <w:shd w:val="clear" w:color="auto" w:fill="EEF5E7" w:themeFill="accent3" w:themeFillTint="33"/>
          </w:tcPr>
          <w:p w14:paraId="24516E43" w14:textId="40138497" w:rsidR="003C1797" w:rsidRPr="00280CC1" w:rsidRDefault="003C1797" w:rsidP="003C1797">
            <w:pPr>
              <w:spacing w:before="60" w:after="20"/>
              <w:rPr>
                <w:rFonts w:asciiTheme="majorHAnsi" w:hAnsiTheme="majorHAnsi"/>
                <w:szCs w:val="20"/>
              </w:rPr>
            </w:pPr>
            <w:r w:rsidRPr="00280CC1">
              <w:rPr>
                <w:rFonts w:asciiTheme="majorHAnsi" w:hAnsiTheme="majorHAnsi"/>
                <w:szCs w:val="20"/>
              </w:rPr>
              <w:t>83,680 ton of paddy</w:t>
            </w:r>
          </w:p>
        </w:tc>
        <w:tc>
          <w:tcPr>
            <w:tcW w:w="2115" w:type="dxa"/>
            <w:shd w:val="clear" w:color="auto" w:fill="EEF5E7" w:themeFill="accent3" w:themeFillTint="33"/>
          </w:tcPr>
          <w:p w14:paraId="62FFBE01" w14:textId="47D2604F" w:rsidR="003C1797" w:rsidRPr="009E1C8A" w:rsidRDefault="003C1797" w:rsidP="003C1797">
            <w:pPr>
              <w:spacing w:before="60" w:after="20"/>
              <w:rPr>
                <w:rFonts w:asciiTheme="majorHAnsi" w:hAnsiTheme="majorHAnsi"/>
                <w:szCs w:val="20"/>
              </w:rPr>
            </w:pPr>
            <w:r w:rsidRPr="009E1C8A">
              <w:rPr>
                <w:rFonts w:asciiTheme="majorHAnsi" w:hAnsiTheme="majorHAnsi" w:cstheme="minorBidi"/>
                <w:szCs w:val="20"/>
              </w:rPr>
              <w:t>65,430 ton of paddy</w:t>
            </w:r>
          </w:p>
        </w:tc>
        <w:tc>
          <w:tcPr>
            <w:tcW w:w="3639" w:type="dxa"/>
            <w:shd w:val="clear" w:color="auto" w:fill="EEF5E7" w:themeFill="accent3" w:themeFillTint="33"/>
          </w:tcPr>
          <w:p w14:paraId="08291903" w14:textId="6CC58D2A" w:rsidR="003C1797" w:rsidRPr="009E1C8A" w:rsidRDefault="003C1797" w:rsidP="003C1797">
            <w:pPr>
              <w:spacing w:before="60" w:after="20"/>
              <w:rPr>
                <w:rFonts w:asciiTheme="majorHAnsi" w:hAnsiTheme="majorHAnsi"/>
                <w:szCs w:val="20"/>
              </w:rPr>
            </w:pPr>
            <w:r w:rsidRPr="00483B7E">
              <w:rPr>
                <w:rFonts w:asciiTheme="majorHAnsi" w:hAnsiTheme="majorHAnsi"/>
                <w:szCs w:val="20"/>
              </w:rPr>
              <w:t xml:space="preserve">Preliminary calculations </w:t>
            </w:r>
            <w:r>
              <w:rPr>
                <w:rFonts w:asciiTheme="majorHAnsi" w:hAnsiTheme="majorHAnsi"/>
                <w:szCs w:val="20"/>
              </w:rPr>
              <w:t>as at</w:t>
            </w:r>
            <w:r w:rsidRPr="00483B7E">
              <w:rPr>
                <w:rFonts w:asciiTheme="majorHAnsi" w:hAnsiTheme="majorHAnsi"/>
                <w:szCs w:val="20"/>
              </w:rPr>
              <w:t xml:space="preserve"> 30</w:t>
            </w:r>
            <w:r>
              <w:rPr>
                <w:rFonts w:asciiTheme="majorHAnsi" w:hAnsiTheme="majorHAnsi"/>
                <w:szCs w:val="20"/>
              </w:rPr>
              <w:t> </w:t>
            </w:r>
            <w:r w:rsidRPr="0029505D">
              <w:rPr>
                <w:rFonts w:asciiTheme="majorHAnsi" w:hAnsiTheme="majorHAnsi"/>
                <w:szCs w:val="20"/>
              </w:rPr>
              <w:t xml:space="preserve">June 2017. </w:t>
            </w:r>
            <w:r w:rsidRPr="00483B7E">
              <w:rPr>
                <w:rFonts w:asciiTheme="majorHAnsi" w:hAnsiTheme="majorHAnsi"/>
                <w:szCs w:val="20"/>
              </w:rPr>
              <w:t>A more accurate calculation will</w:t>
            </w:r>
            <w:r>
              <w:rPr>
                <w:rFonts w:asciiTheme="majorHAnsi" w:hAnsiTheme="majorHAnsi"/>
                <w:szCs w:val="20"/>
              </w:rPr>
              <w:t xml:space="preserve"> </w:t>
            </w:r>
            <w:r w:rsidRPr="00483B7E">
              <w:rPr>
                <w:rFonts w:asciiTheme="majorHAnsi" w:hAnsiTheme="majorHAnsi"/>
                <w:szCs w:val="20"/>
              </w:rPr>
              <w:t>be undertaken at the end of rice season on December 2017.</w:t>
            </w:r>
          </w:p>
        </w:tc>
      </w:tr>
      <w:tr w:rsidR="003C1797" w:rsidRPr="00280CC1" w14:paraId="17419B25" w14:textId="77777777" w:rsidTr="00567D48">
        <w:tc>
          <w:tcPr>
            <w:tcW w:w="2475" w:type="dxa"/>
            <w:shd w:val="clear" w:color="auto" w:fill="EEF5E7" w:themeFill="accent3" w:themeFillTint="33"/>
            <w:vAlign w:val="center"/>
          </w:tcPr>
          <w:p w14:paraId="05A34162" w14:textId="77777777" w:rsidR="003C1797" w:rsidRPr="00280CC1" w:rsidRDefault="003C1797" w:rsidP="003C1797">
            <w:pPr>
              <w:spacing w:before="60" w:after="20"/>
              <w:rPr>
                <w:rFonts w:asciiTheme="majorHAnsi" w:hAnsiTheme="majorHAnsi"/>
                <w:szCs w:val="20"/>
              </w:rPr>
            </w:pPr>
            <w:r w:rsidRPr="00280CC1">
              <w:rPr>
                <w:rFonts w:asciiTheme="majorHAnsi" w:eastAsia="Times New Roman" w:hAnsiTheme="majorHAnsi" w:cstheme="minorHAnsi"/>
                <w:szCs w:val="20"/>
                <w:lang w:eastAsia="en-AU"/>
              </w:rPr>
              <w:lastRenderedPageBreak/>
              <w:t>4. Farming households have improved access to quality agricultural inputs</w:t>
            </w:r>
          </w:p>
        </w:tc>
        <w:tc>
          <w:tcPr>
            <w:tcW w:w="3833" w:type="dxa"/>
            <w:gridSpan w:val="2"/>
            <w:shd w:val="clear" w:color="auto" w:fill="EEF5E7" w:themeFill="accent3" w:themeFillTint="33"/>
          </w:tcPr>
          <w:p w14:paraId="630FF3B6" w14:textId="77777777" w:rsidR="003C1797" w:rsidRPr="00280CC1" w:rsidRDefault="003C1797" w:rsidP="003C1797">
            <w:pPr>
              <w:rPr>
                <w:rFonts w:asciiTheme="majorHAnsi" w:hAnsiTheme="majorHAnsi"/>
                <w:szCs w:val="20"/>
              </w:rPr>
            </w:pPr>
            <w:r w:rsidRPr="00280CC1">
              <w:rPr>
                <w:rFonts w:asciiTheme="majorHAnsi" w:hAnsiTheme="majorHAnsi"/>
                <w:szCs w:val="20"/>
              </w:rPr>
              <w:t xml:space="preserve">6. Number of farming households that gain access to sustainable irrigation </w:t>
            </w:r>
          </w:p>
        </w:tc>
        <w:tc>
          <w:tcPr>
            <w:tcW w:w="2539" w:type="dxa"/>
            <w:shd w:val="clear" w:color="auto" w:fill="EEF5E7" w:themeFill="accent3" w:themeFillTint="33"/>
          </w:tcPr>
          <w:p w14:paraId="76058646" w14:textId="77777777" w:rsidR="003C1797" w:rsidRPr="00280CC1" w:rsidRDefault="003C1797" w:rsidP="003C1797">
            <w:pPr>
              <w:spacing w:before="60" w:after="20"/>
              <w:rPr>
                <w:rFonts w:asciiTheme="majorHAnsi" w:hAnsiTheme="majorHAnsi"/>
                <w:szCs w:val="20"/>
              </w:rPr>
            </w:pPr>
            <w:r w:rsidRPr="00280CC1">
              <w:rPr>
                <w:rFonts w:asciiTheme="majorHAnsi" w:hAnsiTheme="majorHAnsi"/>
                <w:szCs w:val="20"/>
              </w:rPr>
              <w:t>8,010 households</w:t>
            </w:r>
          </w:p>
        </w:tc>
        <w:tc>
          <w:tcPr>
            <w:tcW w:w="2115" w:type="dxa"/>
            <w:shd w:val="clear" w:color="auto" w:fill="EEF5E7" w:themeFill="accent3" w:themeFillTint="33"/>
          </w:tcPr>
          <w:p w14:paraId="4CFD209E" w14:textId="77777777" w:rsidR="003C1797" w:rsidRPr="009E1C8A" w:rsidRDefault="003C1797" w:rsidP="003C1797">
            <w:pPr>
              <w:spacing w:before="60" w:after="20"/>
              <w:rPr>
                <w:rFonts w:asciiTheme="majorHAnsi" w:hAnsiTheme="majorHAnsi"/>
                <w:szCs w:val="20"/>
              </w:rPr>
            </w:pPr>
            <w:r w:rsidRPr="009E1C8A">
              <w:rPr>
                <w:rFonts w:asciiTheme="majorHAnsi" w:hAnsiTheme="majorHAnsi" w:cstheme="minorBidi"/>
                <w:szCs w:val="20"/>
              </w:rPr>
              <w:t>5,539 households</w:t>
            </w:r>
          </w:p>
        </w:tc>
        <w:tc>
          <w:tcPr>
            <w:tcW w:w="3639" w:type="dxa"/>
            <w:shd w:val="clear" w:color="auto" w:fill="EEF5E7" w:themeFill="accent3" w:themeFillTint="33"/>
          </w:tcPr>
          <w:p w14:paraId="25D92A89" w14:textId="77777777" w:rsidR="003C1797" w:rsidRPr="009E1C8A" w:rsidRDefault="003C1797" w:rsidP="003C1797">
            <w:pPr>
              <w:spacing w:before="60" w:after="20"/>
              <w:rPr>
                <w:rFonts w:asciiTheme="majorHAnsi" w:hAnsiTheme="majorHAnsi"/>
                <w:szCs w:val="20"/>
              </w:rPr>
            </w:pPr>
            <w:r w:rsidRPr="009E1C8A">
              <w:rPr>
                <w:rFonts w:asciiTheme="majorHAnsi" w:hAnsiTheme="majorHAnsi"/>
                <w:szCs w:val="20"/>
              </w:rPr>
              <w:t>Partly achieved</w:t>
            </w:r>
            <w:r>
              <w:rPr>
                <w:rFonts w:asciiTheme="majorHAnsi" w:hAnsiTheme="majorHAnsi"/>
                <w:szCs w:val="20"/>
              </w:rPr>
              <w:t xml:space="preserve">. While the planned seven irrigation schemes were completed this year, household impact numbers were lower than expected. </w:t>
            </w:r>
          </w:p>
        </w:tc>
      </w:tr>
      <w:tr w:rsidR="003C1797" w:rsidRPr="00280CC1" w14:paraId="2F3678EA" w14:textId="77777777" w:rsidTr="00567D48">
        <w:tc>
          <w:tcPr>
            <w:tcW w:w="2475" w:type="dxa"/>
            <w:shd w:val="clear" w:color="auto" w:fill="EEF5E7" w:themeFill="accent3" w:themeFillTint="33"/>
            <w:vAlign w:val="center"/>
          </w:tcPr>
          <w:p w14:paraId="4AE997F5" w14:textId="77777777" w:rsidR="003C1797" w:rsidRPr="00280CC1" w:rsidRDefault="003C1797" w:rsidP="003C1797">
            <w:pPr>
              <w:spacing w:before="60" w:after="20"/>
              <w:rPr>
                <w:rFonts w:asciiTheme="majorHAnsi" w:hAnsiTheme="majorHAnsi"/>
                <w:szCs w:val="20"/>
              </w:rPr>
            </w:pPr>
            <w:r w:rsidRPr="00280CC1">
              <w:rPr>
                <w:rFonts w:asciiTheme="majorHAnsi" w:hAnsiTheme="majorHAnsi"/>
                <w:szCs w:val="20"/>
              </w:rPr>
              <w:t>5. More land available for productive use</w:t>
            </w:r>
          </w:p>
        </w:tc>
        <w:tc>
          <w:tcPr>
            <w:tcW w:w="3833" w:type="dxa"/>
            <w:gridSpan w:val="2"/>
            <w:shd w:val="clear" w:color="auto" w:fill="EEF5E7" w:themeFill="accent3" w:themeFillTint="33"/>
          </w:tcPr>
          <w:p w14:paraId="7E7770B6" w14:textId="77777777" w:rsidR="003C1797" w:rsidRPr="00280CC1" w:rsidRDefault="003C1797" w:rsidP="003C1797">
            <w:pPr>
              <w:spacing w:before="60" w:after="20"/>
              <w:rPr>
                <w:rFonts w:asciiTheme="majorHAnsi" w:hAnsiTheme="majorHAnsi"/>
                <w:b/>
                <w:szCs w:val="20"/>
              </w:rPr>
            </w:pPr>
            <w:r w:rsidRPr="00280CC1">
              <w:rPr>
                <w:rFonts w:asciiTheme="majorHAnsi" w:hAnsiTheme="majorHAnsi"/>
                <w:szCs w:val="20"/>
              </w:rPr>
              <w:t xml:space="preserve">7. Land contaminated by landmines and other </w:t>
            </w:r>
            <w:r>
              <w:rPr>
                <w:rFonts w:asciiTheme="majorHAnsi" w:hAnsiTheme="majorHAnsi"/>
                <w:szCs w:val="20"/>
              </w:rPr>
              <w:t>ERW</w:t>
            </w:r>
            <w:r w:rsidRPr="00280CC1">
              <w:rPr>
                <w:rFonts w:asciiTheme="majorHAnsi" w:hAnsiTheme="majorHAnsi"/>
                <w:szCs w:val="20"/>
              </w:rPr>
              <w:t xml:space="preserve"> released for productive use </w:t>
            </w:r>
            <w:r w:rsidRPr="00280CC1">
              <w:rPr>
                <w:rFonts w:asciiTheme="majorHAnsi" w:hAnsiTheme="majorHAnsi"/>
                <w:b/>
                <w:color w:val="FF0000"/>
                <w:szCs w:val="20"/>
              </w:rPr>
              <w:t>(AIP Benchmark)</w:t>
            </w:r>
          </w:p>
        </w:tc>
        <w:tc>
          <w:tcPr>
            <w:tcW w:w="2539" w:type="dxa"/>
            <w:shd w:val="clear" w:color="auto" w:fill="EEF5E7" w:themeFill="accent3" w:themeFillTint="33"/>
          </w:tcPr>
          <w:p w14:paraId="472BE6BC" w14:textId="77777777" w:rsidR="003C1797" w:rsidRPr="00280CC1" w:rsidRDefault="003C1797" w:rsidP="003C1797">
            <w:pPr>
              <w:spacing w:before="60" w:after="20"/>
              <w:rPr>
                <w:rFonts w:asciiTheme="majorHAnsi" w:hAnsiTheme="majorHAnsi"/>
                <w:szCs w:val="20"/>
              </w:rPr>
            </w:pPr>
            <w:r w:rsidRPr="00280CC1">
              <w:rPr>
                <w:rFonts w:asciiTheme="majorHAnsi" w:hAnsiTheme="majorHAnsi"/>
                <w:szCs w:val="20"/>
              </w:rPr>
              <w:t>6.75km</w:t>
            </w:r>
            <w:r w:rsidRPr="009E1C8A">
              <w:rPr>
                <w:rFonts w:asciiTheme="majorHAnsi" w:hAnsiTheme="majorHAnsi"/>
                <w:szCs w:val="20"/>
              </w:rPr>
              <w:t>2</w:t>
            </w:r>
          </w:p>
        </w:tc>
        <w:tc>
          <w:tcPr>
            <w:tcW w:w="2115" w:type="dxa"/>
            <w:shd w:val="clear" w:color="auto" w:fill="EEF5E7" w:themeFill="accent3" w:themeFillTint="33"/>
          </w:tcPr>
          <w:p w14:paraId="7A3F946F" w14:textId="77777777" w:rsidR="003C1797" w:rsidRPr="009E1C8A" w:rsidRDefault="003C1797" w:rsidP="003C1797">
            <w:pPr>
              <w:spacing w:before="60" w:after="20"/>
              <w:rPr>
                <w:rFonts w:asciiTheme="majorHAnsi" w:hAnsiTheme="majorHAnsi"/>
                <w:szCs w:val="20"/>
              </w:rPr>
            </w:pPr>
            <w:r w:rsidRPr="009E1C8A">
              <w:rPr>
                <w:rFonts w:asciiTheme="majorHAnsi" w:hAnsiTheme="majorHAnsi"/>
                <w:szCs w:val="20"/>
              </w:rPr>
              <w:t>8.8 km2</w:t>
            </w:r>
          </w:p>
        </w:tc>
        <w:tc>
          <w:tcPr>
            <w:tcW w:w="3639" w:type="dxa"/>
            <w:shd w:val="clear" w:color="auto" w:fill="EEF5E7" w:themeFill="accent3" w:themeFillTint="33"/>
          </w:tcPr>
          <w:p w14:paraId="742E53DE" w14:textId="77777777" w:rsidR="003C1797" w:rsidRPr="009E1C8A" w:rsidRDefault="003C1797" w:rsidP="003C1797">
            <w:pPr>
              <w:spacing w:before="60" w:after="20"/>
              <w:rPr>
                <w:rFonts w:asciiTheme="majorHAnsi" w:hAnsiTheme="majorHAnsi"/>
                <w:szCs w:val="20"/>
              </w:rPr>
            </w:pPr>
            <w:r w:rsidRPr="009E1C8A">
              <w:rPr>
                <w:rFonts w:asciiTheme="majorHAnsi" w:hAnsiTheme="majorHAnsi"/>
                <w:szCs w:val="20"/>
              </w:rPr>
              <w:t xml:space="preserve">Target exceeded. </w:t>
            </w:r>
          </w:p>
          <w:p w14:paraId="30545B11" w14:textId="77777777" w:rsidR="003C1797" w:rsidRPr="009E1C8A" w:rsidRDefault="003C1797" w:rsidP="003C1797">
            <w:pPr>
              <w:spacing w:before="60" w:after="20"/>
              <w:rPr>
                <w:rFonts w:asciiTheme="majorHAnsi" w:hAnsiTheme="majorHAnsi"/>
                <w:szCs w:val="20"/>
              </w:rPr>
            </w:pPr>
          </w:p>
        </w:tc>
      </w:tr>
    </w:tbl>
    <w:p w14:paraId="223EDB25" w14:textId="77777777" w:rsidR="003C1797" w:rsidRDefault="003C1797" w:rsidP="003C1797">
      <w:pPr>
        <w:rPr>
          <w:rFonts w:asciiTheme="majorHAnsi" w:hAnsiTheme="majorHAnsi"/>
          <w:b/>
        </w:rPr>
      </w:pPr>
    </w:p>
    <w:p w14:paraId="6443E354" w14:textId="56374AD6" w:rsidR="00785818" w:rsidRPr="003C1797" w:rsidRDefault="00785818" w:rsidP="003C1797">
      <w:pPr>
        <w:rPr>
          <w:rFonts w:asciiTheme="majorHAnsi" w:hAnsiTheme="majorHAnsi" w:cs="Times New Roman"/>
          <w:b/>
          <w:sz w:val="20"/>
        </w:rPr>
      </w:pPr>
      <w:r w:rsidRPr="003C1797">
        <w:rPr>
          <w:rFonts w:asciiTheme="majorHAnsi" w:hAnsiTheme="majorHAnsi" w:cs="Times New Roman"/>
          <w:b/>
          <w:sz w:val="20"/>
        </w:rPr>
        <w:t>Objective 3: Better health and education outcomes</w:t>
      </w:r>
    </w:p>
    <w:tbl>
      <w:tblPr>
        <w:tblStyle w:val="CHtablestyle"/>
        <w:tblW w:w="4769" w:type="pct"/>
        <w:tblLook w:val="04A0" w:firstRow="1" w:lastRow="0" w:firstColumn="1" w:lastColumn="0" w:noHBand="0" w:noVBand="1"/>
      </w:tblPr>
      <w:tblGrid>
        <w:gridCol w:w="2536"/>
        <w:gridCol w:w="3845"/>
        <w:gridCol w:w="2551"/>
        <w:gridCol w:w="1983"/>
        <w:gridCol w:w="3657"/>
      </w:tblGrid>
      <w:tr w:rsidR="00785818" w:rsidRPr="00280CC1" w14:paraId="0BD53D37" w14:textId="77777777" w:rsidTr="00567D48">
        <w:trPr>
          <w:cnfStyle w:val="100000000000" w:firstRow="1" w:lastRow="0" w:firstColumn="0" w:lastColumn="0" w:oddVBand="0" w:evenVBand="0" w:oddHBand="0" w:evenHBand="0" w:firstRowFirstColumn="0" w:firstRowLastColumn="0" w:lastRowFirstColumn="0" w:lastRowLastColumn="0"/>
        </w:trPr>
        <w:tc>
          <w:tcPr>
            <w:tcW w:w="2536" w:type="dxa"/>
            <w:tcBorders>
              <w:top w:val="single" w:sz="2" w:space="0" w:color="808080" w:themeColor="background1" w:themeShade="80"/>
              <w:bottom w:val="single" w:sz="4" w:space="0" w:color="808080" w:themeColor="background1" w:themeShade="80"/>
            </w:tcBorders>
            <w:shd w:val="clear" w:color="auto" w:fill="D7DEE2" w:themeFill="text2" w:themeFillTint="33"/>
          </w:tcPr>
          <w:p w14:paraId="1B74EF3A" w14:textId="77777777" w:rsidR="00785818" w:rsidRPr="00280CC1" w:rsidRDefault="00785818" w:rsidP="00E87A91">
            <w:pPr>
              <w:spacing w:before="20" w:after="20"/>
              <w:rPr>
                <w:rFonts w:asciiTheme="majorHAnsi" w:hAnsiTheme="majorHAnsi"/>
                <w:szCs w:val="20"/>
              </w:rPr>
            </w:pPr>
            <w:r w:rsidRPr="00280CC1">
              <w:rPr>
                <w:rFonts w:asciiTheme="majorHAnsi" w:hAnsiTheme="majorHAnsi"/>
                <w:szCs w:val="20"/>
              </w:rPr>
              <w:br w:type="page"/>
            </w:r>
            <w:r w:rsidRPr="00280CC1">
              <w:rPr>
                <w:rFonts w:asciiTheme="majorHAnsi" w:hAnsiTheme="majorHAnsi"/>
                <w:szCs w:val="20"/>
              </w:rPr>
              <w:br w:type="page"/>
            </w:r>
          </w:p>
        </w:tc>
        <w:tc>
          <w:tcPr>
            <w:tcW w:w="3845" w:type="dxa"/>
            <w:tcBorders>
              <w:top w:val="single" w:sz="2" w:space="0" w:color="808080" w:themeColor="background1" w:themeShade="80"/>
              <w:bottom w:val="single" w:sz="4" w:space="0" w:color="808080" w:themeColor="background1" w:themeShade="80"/>
            </w:tcBorders>
            <w:shd w:val="clear" w:color="auto" w:fill="D7DEE2" w:themeFill="text2" w:themeFillTint="33"/>
          </w:tcPr>
          <w:p w14:paraId="700A3226" w14:textId="77777777" w:rsidR="00785818" w:rsidRPr="00280CC1" w:rsidRDefault="00785818" w:rsidP="00E87A91">
            <w:pPr>
              <w:spacing w:before="20" w:after="20"/>
              <w:rPr>
                <w:rFonts w:asciiTheme="majorHAnsi" w:hAnsiTheme="majorHAnsi"/>
                <w:szCs w:val="20"/>
              </w:rPr>
            </w:pPr>
            <w:r w:rsidRPr="00280CC1">
              <w:rPr>
                <w:rFonts w:asciiTheme="majorHAnsi" w:hAnsiTheme="majorHAnsi"/>
                <w:szCs w:val="20"/>
              </w:rPr>
              <w:t xml:space="preserve">Indicator </w:t>
            </w:r>
          </w:p>
        </w:tc>
        <w:tc>
          <w:tcPr>
            <w:tcW w:w="2551" w:type="dxa"/>
            <w:tcBorders>
              <w:top w:val="single" w:sz="2" w:space="0" w:color="808080" w:themeColor="background1" w:themeShade="80"/>
              <w:bottom w:val="single" w:sz="4" w:space="0" w:color="808080" w:themeColor="background1" w:themeShade="80"/>
            </w:tcBorders>
            <w:shd w:val="clear" w:color="auto" w:fill="D7DEE2" w:themeFill="text2" w:themeFillTint="33"/>
          </w:tcPr>
          <w:p w14:paraId="5232D0D8" w14:textId="77777777" w:rsidR="00785818" w:rsidRPr="00280CC1" w:rsidRDefault="00785818" w:rsidP="00E87A91">
            <w:pPr>
              <w:spacing w:before="20" w:after="20"/>
              <w:rPr>
                <w:rFonts w:asciiTheme="majorHAnsi" w:hAnsiTheme="majorHAnsi"/>
                <w:szCs w:val="20"/>
              </w:rPr>
            </w:pPr>
            <w:r w:rsidRPr="00280CC1">
              <w:rPr>
                <w:rFonts w:asciiTheme="majorHAnsi" w:hAnsiTheme="majorHAnsi"/>
                <w:szCs w:val="20"/>
              </w:rPr>
              <w:t>2016/17 Targets</w:t>
            </w:r>
          </w:p>
        </w:tc>
        <w:tc>
          <w:tcPr>
            <w:tcW w:w="1983" w:type="dxa"/>
            <w:tcBorders>
              <w:top w:val="single" w:sz="2" w:space="0" w:color="808080" w:themeColor="background1" w:themeShade="80"/>
              <w:bottom w:val="single" w:sz="4" w:space="0" w:color="808080" w:themeColor="background1" w:themeShade="80"/>
            </w:tcBorders>
            <w:shd w:val="clear" w:color="auto" w:fill="D7DEE2" w:themeFill="text2" w:themeFillTint="33"/>
          </w:tcPr>
          <w:p w14:paraId="0282BDD2" w14:textId="77777777" w:rsidR="00785818" w:rsidRPr="00280CC1" w:rsidRDefault="00785818" w:rsidP="00E87A91">
            <w:pPr>
              <w:spacing w:before="20" w:after="20"/>
              <w:rPr>
                <w:rFonts w:asciiTheme="majorHAnsi" w:hAnsiTheme="majorHAnsi"/>
                <w:szCs w:val="20"/>
              </w:rPr>
            </w:pPr>
            <w:r w:rsidRPr="00280CC1">
              <w:rPr>
                <w:rFonts w:asciiTheme="majorHAnsi" w:hAnsiTheme="majorHAnsi"/>
                <w:szCs w:val="20"/>
              </w:rPr>
              <w:t>2016/17 Results</w:t>
            </w:r>
          </w:p>
        </w:tc>
        <w:tc>
          <w:tcPr>
            <w:tcW w:w="3657" w:type="dxa"/>
            <w:tcBorders>
              <w:top w:val="single" w:sz="2" w:space="0" w:color="808080" w:themeColor="background1" w:themeShade="80"/>
              <w:bottom w:val="single" w:sz="4" w:space="0" w:color="808080" w:themeColor="background1" w:themeShade="80"/>
            </w:tcBorders>
            <w:shd w:val="clear" w:color="auto" w:fill="D7DEE2" w:themeFill="text2" w:themeFillTint="33"/>
          </w:tcPr>
          <w:p w14:paraId="6CB8E279" w14:textId="77777777" w:rsidR="00785818" w:rsidRPr="00280CC1" w:rsidRDefault="00785818" w:rsidP="00E87A91">
            <w:pPr>
              <w:spacing w:before="20" w:after="20"/>
              <w:rPr>
                <w:rFonts w:asciiTheme="majorHAnsi" w:hAnsiTheme="majorHAnsi"/>
                <w:szCs w:val="20"/>
              </w:rPr>
            </w:pPr>
            <w:r w:rsidRPr="00280CC1">
              <w:rPr>
                <w:rFonts w:asciiTheme="majorHAnsi" w:hAnsiTheme="majorHAnsi"/>
                <w:szCs w:val="20"/>
              </w:rPr>
              <w:t>Explanation for Results</w:t>
            </w:r>
          </w:p>
        </w:tc>
      </w:tr>
      <w:tr w:rsidR="003C1797" w:rsidRPr="00280CC1" w14:paraId="28C03E61" w14:textId="77777777" w:rsidTr="00567D48">
        <w:tc>
          <w:tcPr>
            <w:tcW w:w="2536" w:type="dxa"/>
            <w:tcBorders>
              <w:top w:val="single" w:sz="4" w:space="0" w:color="808080" w:themeColor="background1" w:themeShade="80"/>
              <w:bottom w:val="nil"/>
            </w:tcBorders>
            <w:shd w:val="clear" w:color="auto" w:fill="F2F2F2" w:themeFill="background1" w:themeFillShade="F2"/>
          </w:tcPr>
          <w:p w14:paraId="754363A3" w14:textId="4B183F7E" w:rsidR="003C1797" w:rsidRPr="00280CC1" w:rsidRDefault="003C1797" w:rsidP="00E87A91">
            <w:pPr>
              <w:spacing w:before="20" w:after="20"/>
              <w:rPr>
                <w:rFonts w:asciiTheme="majorHAnsi" w:hAnsiTheme="majorHAnsi"/>
                <w:szCs w:val="20"/>
              </w:rPr>
            </w:pPr>
            <w:r>
              <w:rPr>
                <w:rFonts w:asciiTheme="majorHAnsi" w:hAnsiTheme="majorHAnsi"/>
                <w:szCs w:val="20"/>
              </w:rPr>
              <w:t>6.  Increased access to quality health services for the poor, women and children</w:t>
            </w:r>
          </w:p>
        </w:tc>
        <w:tc>
          <w:tcPr>
            <w:tcW w:w="3845" w:type="dxa"/>
            <w:tcBorders>
              <w:top w:val="single" w:sz="4" w:space="0" w:color="808080" w:themeColor="background1" w:themeShade="80"/>
            </w:tcBorders>
            <w:shd w:val="clear" w:color="auto" w:fill="F2F2F2" w:themeFill="background1" w:themeFillShade="F2"/>
          </w:tcPr>
          <w:p w14:paraId="35525ECC" w14:textId="4FACF35B" w:rsidR="003C1797" w:rsidRPr="00280CC1" w:rsidRDefault="003C1797" w:rsidP="00E87A91">
            <w:pPr>
              <w:spacing w:before="20" w:after="20"/>
              <w:rPr>
                <w:rFonts w:asciiTheme="majorHAnsi" w:hAnsiTheme="majorHAnsi"/>
                <w:szCs w:val="20"/>
              </w:rPr>
            </w:pPr>
            <w:r w:rsidRPr="0029505D">
              <w:rPr>
                <w:rFonts w:asciiTheme="majorHAnsi" w:hAnsiTheme="majorHAnsi"/>
                <w:szCs w:val="20"/>
              </w:rPr>
              <w:t>8</w:t>
            </w:r>
            <w:r w:rsidRPr="00912960">
              <w:rPr>
                <w:rFonts w:asciiTheme="majorHAnsi" w:hAnsiTheme="majorHAnsi"/>
                <w:szCs w:val="20"/>
              </w:rPr>
              <w:t xml:space="preserve">. Number of health facilities exceeding 60 per cent score on the quality assessment of health facilities tool </w:t>
            </w:r>
            <w:r w:rsidRPr="00912960">
              <w:rPr>
                <w:rFonts w:asciiTheme="majorHAnsi" w:hAnsiTheme="majorHAnsi"/>
                <w:b/>
                <w:color w:val="FF0000"/>
                <w:szCs w:val="20"/>
              </w:rPr>
              <w:t>(AIP Benchmark)</w:t>
            </w:r>
          </w:p>
        </w:tc>
        <w:tc>
          <w:tcPr>
            <w:tcW w:w="2551" w:type="dxa"/>
            <w:tcBorders>
              <w:top w:val="single" w:sz="4" w:space="0" w:color="808080" w:themeColor="background1" w:themeShade="80"/>
            </w:tcBorders>
            <w:shd w:val="clear" w:color="auto" w:fill="F2F2F2" w:themeFill="background1" w:themeFillShade="F2"/>
          </w:tcPr>
          <w:p w14:paraId="340B983E" w14:textId="63E27309" w:rsidR="003C1797" w:rsidRPr="00280CC1" w:rsidRDefault="003C1797" w:rsidP="00E87A91">
            <w:pPr>
              <w:spacing w:before="20" w:after="20"/>
              <w:rPr>
                <w:rFonts w:asciiTheme="majorHAnsi" w:hAnsiTheme="majorHAnsi"/>
                <w:szCs w:val="20"/>
              </w:rPr>
            </w:pPr>
            <w:r w:rsidRPr="00912960">
              <w:rPr>
                <w:rFonts w:asciiTheme="majorHAnsi" w:hAnsiTheme="majorHAnsi"/>
                <w:szCs w:val="20"/>
              </w:rPr>
              <w:t>Baseline + 10 per cent</w:t>
            </w:r>
          </w:p>
        </w:tc>
        <w:tc>
          <w:tcPr>
            <w:tcW w:w="1983" w:type="dxa"/>
            <w:tcBorders>
              <w:top w:val="single" w:sz="4" w:space="0" w:color="808080" w:themeColor="background1" w:themeShade="80"/>
            </w:tcBorders>
            <w:shd w:val="clear" w:color="auto" w:fill="F2F2F2" w:themeFill="background1" w:themeFillShade="F2"/>
          </w:tcPr>
          <w:p w14:paraId="3BDC5E16" w14:textId="441BB212" w:rsidR="003C1797" w:rsidRPr="00280CC1" w:rsidRDefault="003C1797" w:rsidP="00E87A91">
            <w:pPr>
              <w:spacing w:before="20" w:after="20"/>
              <w:rPr>
                <w:rFonts w:asciiTheme="majorHAnsi" w:hAnsiTheme="majorHAnsi"/>
                <w:szCs w:val="20"/>
              </w:rPr>
            </w:pPr>
            <w:r w:rsidRPr="009E1C8A">
              <w:rPr>
                <w:rFonts w:asciiTheme="majorHAnsi" w:hAnsiTheme="majorHAnsi"/>
                <w:szCs w:val="20"/>
              </w:rPr>
              <w:t>Not available</w:t>
            </w:r>
          </w:p>
        </w:tc>
        <w:tc>
          <w:tcPr>
            <w:tcW w:w="3657" w:type="dxa"/>
            <w:tcBorders>
              <w:top w:val="single" w:sz="4" w:space="0" w:color="808080" w:themeColor="background1" w:themeShade="80"/>
            </w:tcBorders>
            <w:shd w:val="clear" w:color="auto" w:fill="F2F2F2" w:themeFill="background1" w:themeFillShade="F2"/>
          </w:tcPr>
          <w:p w14:paraId="10124A7C" w14:textId="19608150" w:rsidR="003C1797" w:rsidRPr="00280CC1" w:rsidRDefault="003C1797" w:rsidP="00E87A91">
            <w:pPr>
              <w:spacing w:before="20" w:after="20"/>
              <w:rPr>
                <w:rFonts w:asciiTheme="majorHAnsi" w:hAnsiTheme="majorHAnsi"/>
                <w:szCs w:val="20"/>
              </w:rPr>
            </w:pPr>
            <w:r w:rsidRPr="00483B7E">
              <w:rPr>
                <w:rFonts w:asciiTheme="majorHAnsi" w:hAnsiTheme="majorHAnsi"/>
                <w:szCs w:val="20"/>
              </w:rPr>
              <w:t>Due to delays in H-EQIP project implementation in its first year</w:t>
            </w:r>
            <w:r>
              <w:rPr>
                <w:rFonts w:asciiTheme="majorHAnsi" w:hAnsiTheme="majorHAnsi"/>
                <w:szCs w:val="20"/>
              </w:rPr>
              <w:t>,</w:t>
            </w:r>
            <w:r w:rsidRPr="00483B7E">
              <w:rPr>
                <w:rFonts w:asciiTheme="majorHAnsi" w:hAnsiTheme="majorHAnsi"/>
                <w:szCs w:val="20"/>
              </w:rPr>
              <w:t xml:space="preserve"> the quality assessment tool only begun to be implemented in May 2017. The first round of assessments will set the baseline. To date, only a third of health facilities have been assessed, with remaining facilities to be assessed by the end of 2017.</w:t>
            </w:r>
          </w:p>
        </w:tc>
      </w:tr>
      <w:tr w:rsidR="003C1797" w:rsidRPr="00280CC1" w14:paraId="685DC2CD" w14:textId="77777777" w:rsidTr="00567D48">
        <w:tc>
          <w:tcPr>
            <w:tcW w:w="2536" w:type="dxa"/>
            <w:tcBorders>
              <w:top w:val="nil"/>
              <w:bottom w:val="nil"/>
            </w:tcBorders>
            <w:shd w:val="clear" w:color="auto" w:fill="F2F2F2" w:themeFill="background1" w:themeFillShade="F2"/>
          </w:tcPr>
          <w:p w14:paraId="24ADE06A" w14:textId="77777777" w:rsidR="003C1797" w:rsidRDefault="003C1797" w:rsidP="003C1797">
            <w:pPr>
              <w:spacing w:before="20" w:after="20"/>
              <w:rPr>
                <w:rFonts w:asciiTheme="majorHAnsi" w:hAnsiTheme="majorHAnsi"/>
                <w:szCs w:val="20"/>
              </w:rPr>
            </w:pPr>
          </w:p>
        </w:tc>
        <w:tc>
          <w:tcPr>
            <w:tcW w:w="3845" w:type="dxa"/>
            <w:shd w:val="clear" w:color="auto" w:fill="F2F2F2" w:themeFill="background1" w:themeFillShade="F2"/>
          </w:tcPr>
          <w:p w14:paraId="3D871860" w14:textId="6D8E204E" w:rsidR="003C1797" w:rsidRPr="0029505D" w:rsidRDefault="003C1797" w:rsidP="003C1797">
            <w:pPr>
              <w:spacing w:before="20" w:after="20"/>
              <w:rPr>
                <w:rFonts w:asciiTheme="majorHAnsi" w:hAnsiTheme="majorHAnsi"/>
                <w:szCs w:val="20"/>
              </w:rPr>
            </w:pPr>
            <w:r w:rsidRPr="0029505D">
              <w:rPr>
                <w:rFonts w:asciiTheme="majorHAnsi" w:hAnsiTheme="majorHAnsi"/>
                <w:szCs w:val="20"/>
              </w:rPr>
              <w:t>9</w:t>
            </w:r>
            <w:r w:rsidRPr="00912960">
              <w:rPr>
                <w:rFonts w:asciiTheme="majorHAnsi" w:hAnsiTheme="majorHAnsi"/>
                <w:szCs w:val="20"/>
              </w:rPr>
              <w:t>. Utilisation of health services by Health Equity Fund beneficiaries</w:t>
            </w:r>
          </w:p>
        </w:tc>
        <w:tc>
          <w:tcPr>
            <w:tcW w:w="2551" w:type="dxa"/>
            <w:shd w:val="clear" w:color="auto" w:fill="F2F2F2" w:themeFill="background1" w:themeFillShade="F2"/>
          </w:tcPr>
          <w:p w14:paraId="02BEFADD" w14:textId="290D3F70" w:rsidR="003C1797" w:rsidRPr="00912960" w:rsidRDefault="003C1797" w:rsidP="003C1797">
            <w:pPr>
              <w:spacing w:before="20" w:after="20"/>
              <w:rPr>
                <w:rFonts w:asciiTheme="majorHAnsi" w:hAnsiTheme="majorHAnsi"/>
                <w:szCs w:val="20"/>
              </w:rPr>
            </w:pPr>
            <w:r w:rsidRPr="00912960">
              <w:rPr>
                <w:rFonts w:asciiTheme="majorHAnsi" w:hAnsiTheme="majorHAnsi"/>
                <w:szCs w:val="20"/>
              </w:rPr>
              <w:t>55 per cent</w:t>
            </w:r>
          </w:p>
        </w:tc>
        <w:tc>
          <w:tcPr>
            <w:tcW w:w="1983" w:type="dxa"/>
            <w:shd w:val="clear" w:color="auto" w:fill="F2F2F2" w:themeFill="background1" w:themeFillShade="F2"/>
          </w:tcPr>
          <w:p w14:paraId="73AA978B" w14:textId="7C47733E" w:rsidR="003C1797" w:rsidRPr="009E1C8A" w:rsidRDefault="003C1797" w:rsidP="003C1797">
            <w:pPr>
              <w:spacing w:before="20" w:after="20"/>
              <w:rPr>
                <w:rFonts w:asciiTheme="majorHAnsi" w:hAnsiTheme="majorHAnsi"/>
                <w:szCs w:val="20"/>
              </w:rPr>
            </w:pPr>
            <w:r w:rsidRPr="009E1C8A">
              <w:rPr>
                <w:rFonts w:asciiTheme="majorHAnsi" w:hAnsiTheme="majorHAnsi"/>
                <w:szCs w:val="20"/>
              </w:rPr>
              <w:t>Not available</w:t>
            </w:r>
          </w:p>
        </w:tc>
        <w:tc>
          <w:tcPr>
            <w:tcW w:w="3657" w:type="dxa"/>
            <w:shd w:val="clear" w:color="auto" w:fill="F2F2F2" w:themeFill="background1" w:themeFillShade="F2"/>
          </w:tcPr>
          <w:p w14:paraId="5C1CFD45" w14:textId="77777777" w:rsidR="003C1797" w:rsidRPr="009E1C8A" w:rsidRDefault="003C1797" w:rsidP="003C1797">
            <w:pPr>
              <w:spacing w:before="60" w:after="20"/>
              <w:rPr>
                <w:rFonts w:asciiTheme="majorHAnsi" w:hAnsiTheme="majorHAnsi"/>
                <w:szCs w:val="20"/>
              </w:rPr>
            </w:pPr>
            <w:r w:rsidRPr="009E1C8A">
              <w:rPr>
                <w:rFonts w:asciiTheme="majorHAnsi" w:hAnsiTheme="majorHAnsi"/>
                <w:szCs w:val="20"/>
              </w:rPr>
              <w:t>Data for this indicator is not currently available. DFAT is working with H</w:t>
            </w:r>
            <w:r w:rsidRPr="009E1C8A">
              <w:rPr>
                <w:rFonts w:asciiTheme="majorHAnsi" w:hAnsiTheme="majorHAnsi"/>
                <w:szCs w:val="20"/>
              </w:rPr>
              <w:noBreakHyphen/>
              <w:t xml:space="preserve">EQIP partners to rectify this issue. </w:t>
            </w:r>
          </w:p>
          <w:p w14:paraId="7284B697" w14:textId="5F2D21B2" w:rsidR="003C1797" w:rsidRPr="00483B7E" w:rsidRDefault="003C1797" w:rsidP="003C1797">
            <w:pPr>
              <w:spacing w:before="20" w:after="20"/>
              <w:rPr>
                <w:rFonts w:asciiTheme="majorHAnsi" w:hAnsiTheme="majorHAnsi"/>
                <w:szCs w:val="20"/>
              </w:rPr>
            </w:pPr>
            <w:r w:rsidRPr="009E1C8A">
              <w:rPr>
                <w:rFonts w:asciiTheme="majorHAnsi" w:hAnsiTheme="majorHAnsi"/>
                <w:szCs w:val="20"/>
              </w:rPr>
              <w:t xml:space="preserve">Data on the number of Health Equity Fund cases shows that while numbers decreased by </w:t>
            </w:r>
            <w:r>
              <w:rPr>
                <w:rFonts w:asciiTheme="majorHAnsi" w:hAnsiTheme="majorHAnsi"/>
                <w:szCs w:val="20"/>
              </w:rPr>
              <w:t>six</w:t>
            </w:r>
            <w:r w:rsidRPr="009E1C8A">
              <w:rPr>
                <w:rFonts w:asciiTheme="majorHAnsi" w:hAnsiTheme="majorHAnsi"/>
                <w:szCs w:val="20"/>
              </w:rPr>
              <w:t xml:space="preserve"> per cent in the first quarter of 2017 due to delays in some elements of H</w:t>
            </w:r>
            <w:r w:rsidRPr="009E1C8A">
              <w:rPr>
                <w:rFonts w:asciiTheme="majorHAnsi" w:hAnsiTheme="majorHAnsi"/>
                <w:szCs w:val="20"/>
              </w:rPr>
              <w:noBreakHyphen/>
              <w:t>EQIP project implementation, the number of Health Equity Fund cases has increased in the second quarter to near baseline levels.</w:t>
            </w:r>
          </w:p>
        </w:tc>
      </w:tr>
      <w:tr w:rsidR="00462A58" w:rsidRPr="00280CC1" w14:paraId="1F4FEB3D" w14:textId="77777777" w:rsidTr="00567D48">
        <w:tc>
          <w:tcPr>
            <w:tcW w:w="2536" w:type="dxa"/>
            <w:tcBorders>
              <w:top w:val="nil"/>
              <w:bottom w:val="nil"/>
            </w:tcBorders>
            <w:shd w:val="clear" w:color="auto" w:fill="F2F2F2" w:themeFill="background1" w:themeFillShade="F2"/>
          </w:tcPr>
          <w:p w14:paraId="0631E6CE" w14:textId="77777777" w:rsidR="00462A58" w:rsidRDefault="00462A58" w:rsidP="00462A58">
            <w:pPr>
              <w:spacing w:before="20" w:after="20"/>
              <w:rPr>
                <w:rFonts w:asciiTheme="majorHAnsi" w:hAnsiTheme="majorHAnsi"/>
                <w:szCs w:val="20"/>
              </w:rPr>
            </w:pPr>
          </w:p>
        </w:tc>
        <w:tc>
          <w:tcPr>
            <w:tcW w:w="3845" w:type="dxa"/>
            <w:shd w:val="clear" w:color="auto" w:fill="F2F2F2" w:themeFill="background1" w:themeFillShade="F2"/>
          </w:tcPr>
          <w:p w14:paraId="43700DE1" w14:textId="5AC9B73F" w:rsidR="00462A58" w:rsidRPr="0029505D" w:rsidRDefault="00462A58" w:rsidP="00462A58">
            <w:pPr>
              <w:spacing w:before="20" w:after="20"/>
              <w:rPr>
                <w:rFonts w:asciiTheme="majorHAnsi" w:hAnsiTheme="majorHAnsi"/>
                <w:szCs w:val="20"/>
              </w:rPr>
            </w:pPr>
            <w:r w:rsidRPr="0029505D">
              <w:rPr>
                <w:rFonts w:asciiTheme="majorHAnsi" w:hAnsiTheme="majorHAnsi"/>
                <w:szCs w:val="20"/>
              </w:rPr>
              <w:t>1</w:t>
            </w:r>
            <w:r w:rsidRPr="00912960">
              <w:rPr>
                <w:rFonts w:asciiTheme="majorHAnsi" w:hAnsiTheme="majorHAnsi"/>
                <w:szCs w:val="20"/>
              </w:rPr>
              <w:t>0. Percentage of women delivering in a health facility with a skilled attendant</w:t>
            </w:r>
          </w:p>
        </w:tc>
        <w:tc>
          <w:tcPr>
            <w:tcW w:w="2551" w:type="dxa"/>
            <w:shd w:val="clear" w:color="auto" w:fill="F2F2F2" w:themeFill="background1" w:themeFillShade="F2"/>
          </w:tcPr>
          <w:p w14:paraId="3CD14E8D" w14:textId="0787CB6D" w:rsidR="00462A58" w:rsidRPr="00912960" w:rsidRDefault="00462A58" w:rsidP="00462A58">
            <w:pPr>
              <w:spacing w:before="20" w:after="20"/>
              <w:rPr>
                <w:rFonts w:asciiTheme="majorHAnsi" w:hAnsiTheme="majorHAnsi"/>
                <w:szCs w:val="20"/>
              </w:rPr>
            </w:pPr>
            <w:r w:rsidRPr="00912960">
              <w:rPr>
                <w:rFonts w:asciiTheme="majorHAnsi" w:hAnsiTheme="majorHAnsi"/>
                <w:szCs w:val="20"/>
              </w:rPr>
              <w:t>&gt; 80 per cent</w:t>
            </w:r>
          </w:p>
        </w:tc>
        <w:tc>
          <w:tcPr>
            <w:tcW w:w="1983" w:type="dxa"/>
            <w:shd w:val="clear" w:color="auto" w:fill="F2F2F2" w:themeFill="background1" w:themeFillShade="F2"/>
          </w:tcPr>
          <w:p w14:paraId="44BF3A95" w14:textId="7F93B869" w:rsidR="00462A58" w:rsidRPr="009E1C8A" w:rsidRDefault="00462A58" w:rsidP="00462A58">
            <w:pPr>
              <w:spacing w:before="20" w:after="20"/>
              <w:rPr>
                <w:rFonts w:asciiTheme="majorHAnsi" w:hAnsiTheme="majorHAnsi"/>
                <w:szCs w:val="20"/>
              </w:rPr>
            </w:pPr>
            <w:r w:rsidRPr="009E1C8A">
              <w:rPr>
                <w:rFonts w:asciiTheme="majorHAnsi" w:hAnsiTheme="majorHAnsi"/>
                <w:szCs w:val="20"/>
              </w:rPr>
              <w:t>80.52 per cent</w:t>
            </w:r>
          </w:p>
        </w:tc>
        <w:tc>
          <w:tcPr>
            <w:tcW w:w="3657" w:type="dxa"/>
            <w:shd w:val="clear" w:color="auto" w:fill="F2F2F2" w:themeFill="background1" w:themeFillShade="F2"/>
          </w:tcPr>
          <w:p w14:paraId="77374B47" w14:textId="61168D9A" w:rsidR="00462A58" w:rsidRPr="009E1C8A" w:rsidRDefault="00462A58" w:rsidP="00462A58">
            <w:pPr>
              <w:spacing w:before="60" w:after="20"/>
              <w:rPr>
                <w:rFonts w:asciiTheme="majorHAnsi" w:hAnsiTheme="majorHAnsi"/>
                <w:szCs w:val="20"/>
              </w:rPr>
            </w:pPr>
            <w:r w:rsidRPr="009E1C8A">
              <w:rPr>
                <w:rFonts w:asciiTheme="majorHAnsi" w:hAnsiTheme="majorHAnsi"/>
                <w:szCs w:val="20"/>
              </w:rPr>
              <w:t>Achieved</w:t>
            </w:r>
            <w:r w:rsidRPr="0029505D">
              <w:rPr>
                <w:rFonts w:asciiTheme="majorHAnsi" w:hAnsiTheme="majorHAnsi"/>
                <w:szCs w:val="20"/>
              </w:rPr>
              <w:t>.</w:t>
            </w:r>
          </w:p>
        </w:tc>
      </w:tr>
      <w:tr w:rsidR="00462A58" w:rsidRPr="00280CC1" w14:paraId="212C00BD" w14:textId="77777777" w:rsidTr="00567D48">
        <w:tc>
          <w:tcPr>
            <w:tcW w:w="2536" w:type="dxa"/>
            <w:tcBorders>
              <w:top w:val="nil"/>
              <w:bottom w:val="single" w:sz="4" w:space="0" w:color="808080" w:themeColor="background1" w:themeShade="80"/>
            </w:tcBorders>
            <w:shd w:val="clear" w:color="auto" w:fill="F2F2F2" w:themeFill="background1" w:themeFillShade="F2"/>
          </w:tcPr>
          <w:p w14:paraId="58446C6B" w14:textId="77777777" w:rsidR="00462A58" w:rsidRDefault="00462A58" w:rsidP="00462A58">
            <w:pPr>
              <w:spacing w:before="20" w:after="20"/>
              <w:rPr>
                <w:rFonts w:asciiTheme="majorHAnsi" w:hAnsiTheme="majorHAnsi"/>
                <w:szCs w:val="20"/>
              </w:rPr>
            </w:pPr>
          </w:p>
        </w:tc>
        <w:tc>
          <w:tcPr>
            <w:tcW w:w="3845" w:type="dxa"/>
            <w:shd w:val="clear" w:color="auto" w:fill="F2F2F2" w:themeFill="background1" w:themeFillShade="F2"/>
          </w:tcPr>
          <w:p w14:paraId="54001C29" w14:textId="4F826DB7" w:rsidR="00462A58" w:rsidRPr="0029505D" w:rsidRDefault="00462A58" w:rsidP="00462A58">
            <w:pPr>
              <w:spacing w:before="20" w:after="20"/>
              <w:rPr>
                <w:rFonts w:asciiTheme="majorHAnsi" w:hAnsiTheme="majorHAnsi"/>
                <w:szCs w:val="20"/>
              </w:rPr>
            </w:pPr>
            <w:r w:rsidRPr="0029505D">
              <w:rPr>
                <w:rFonts w:asciiTheme="majorHAnsi" w:hAnsiTheme="majorHAnsi"/>
                <w:szCs w:val="20"/>
              </w:rPr>
              <w:t>1</w:t>
            </w:r>
            <w:r w:rsidRPr="00912960">
              <w:rPr>
                <w:rFonts w:asciiTheme="majorHAnsi" w:hAnsiTheme="majorHAnsi"/>
                <w:szCs w:val="20"/>
              </w:rPr>
              <w:t>1. Percentage of women aged 15-49 years who are married or in union and used modern contraceptive methods</w:t>
            </w:r>
          </w:p>
        </w:tc>
        <w:tc>
          <w:tcPr>
            <w:tcW w:w="2551" w:type="dxa"/>
            <w:shd w:val="clear" w:color="auto" w:fill="F2F2F2" w:themeFill="background1" w:themeFillShade="F2"/>
          </w:tcPr>
          <w:p w14:paraId="23454230" w14:textId="59B7D461" w:rsidR="00462A58" w:rsidRPr="00912960" w:rsidRDefault="00462A58" w:rsidP="00462A58">
            <w:pPr>
              <w:spacing w:before="20" w:after="20"/>
              <w:rPr>
                <w:rFonts w:asciiTheme="majorHAnsi" w:hAnsiTheme="majorHAnsi"/>
                <w:szCs w:val="20"/>
              </w:rPr>
            </w:pPr>
            <w:r w:rsidRPr="00912960">
              <w:rPr>
                <w:rFonts w:asciiTheme="majorHAnsi" w:hAnsiTheme="majorHAnsi"/>
                <w:szCs w:val="20"/>
              </w:rPr>
              <w:t>40 per cent</w:t>
            </w:r>
          </w:p>
        </w:tc>
        <w:tc>
          <w:tcPr>
            <w:tcW w:w="1983" w:type="dxa"/>
            <w:shd w:val="clear" w:color="auto" w:fill="F2F2F2" w:themeFill="background1" w:themeFillShade="F2"/>
          </w:tcPr>
          <w:p w14:paraId="3308F77E" w14:textId="7C5B7157" w:rsidR="00462A58" w:rsidRPr="009E1C8A" w:rsidRDefault="00462A58" w:rsidP="00462A58">
            <w:pPr>
              <w:spacing w:before="20" w:after="20"/>
              <w:rPr>
                <w:rFonts w:asciiTheme="majorHAnsi" w:hAnsiTheme="majorHAnsi"/>
                <w:szCs w:val="20"/>
              </w:rPr>
            </w:pPr>
            <w:r w:rsidRPr="009E1C8A">
              <w:rPr>
                <w:rFonts w:asciiTheme="majorHAnsi" w:hAnsiTheme="majorHAnsi"/>
                <w:szCs w:val="20"/>
              </w:rPr>
              <w:t>37.65 per cent  - 42.65</w:t>
            </w:r>
            <w:r>
              <w:rPr>
                <w:rFonts w:asciiTheme="majorHAnsi" w:hAnsiTheme="majorHAnsi"/>
                <w:szCs w:val="20"/>
              </w:rPr>
              <w:t> </w:t>
            </w:r>
            <w:r w:rsidRPr="009E1C8A">
              <w:rPr>
                <w:rFonts w:asciiTheme="majorHAnsi" w:hAnsiTheme="majorHAnsi"/>
                <w:szCs w:val="20"/>
              </w:rPr>
              <w:t>per cent</w:t>
            </w:r>
          </w:p>
        </w:tc>
        <w:tc>
          <w:tcPr>
            <w:tcW w:w="3657" w:type="dxa"/>
            <w:shd w:val="clear" w:color="auto" w:fill="F2F2F2" w:themeFill="background1" w:themeFillShade="F2"/>
          </w:tcPr>
          <w:p w14:paraId="7A0B5E42" w14:textId="5B180A38" w:rsidR="00462A58" w:rsidRPr="009E1C8A" w:rsidRDefault="00462A58" w:rsidP="00462A58">
            <w:pPr>
              <w:spacing w:before="60" w:after="20"/>
              <w:rPr>
                <w:rFonts w:asciiTheme="majorHAnsi" w:hAnsiTheme="majorHAnsi"/>
                <w:szCs w:val="20"/>
              </w:rPr>
            </w:pPr>
            <w:r w:rsidRPr="009E1C8A">
              <w:rPr>
                <w:rFonts w:asciiTheme="majorHAnsi" w:hAnsiTheme="majorHAnsi"/>
                <w:szCs w:val="20"/>
              </w:rPr>
              <w:t xml:space="preserve">Achieved. The target reflects </w:t>
            </w:r>
            <w:r>
              <w:rPr>
                <w:rFonts w:asciiTheme="majorHAnsi" w:hAnsiTheme="majorHAnsi"/>
                <w:szCs w:val="20"/>
              </w:rPr>
              <w:t xml:space="preserve">the </w:t>
            </w:r>
            <w:r w:rsidRPr="009E1C8A">
              <w:rPr>
                <w:rFonts w:asciiTheme="majorHAnsi" w:hAnsiTheme="majorHAnsi"/>
                <w:szCs w:val="20"/>
              </w:rPr>
              <w:t>Cambodian Government target of 40 per cent use in public and private (including NGO) facilities. However, in 2016-17 the Ministry of Health only provided accurate figures for utilisation in the public health system. The Ministry of Health estimated that the percentage of modern contraceptive methods by private providers contributed a further 5 to 10 per cent (2017 Health Congress).</w:t>
            </w:r>
          </w:p>
        </w:tc>
      </w:tr>
      <w:tr w:rsidR="00462A58" w:rsidRPr="00280CC1" w14:paraId="422659DC" w14:textId="77777777" w:rsidTr="00567D48">
        <w:tc>
          <w:tcPr>
            <w:tcW w:w="2536" w:type="dxa"/>
            <w:tcBorders>
              <w:top w:val="single" w:sz="4" w:space="0" w:color="808080" w:themeColor="background1" w:themeShade="80"/>
              <w:bottom w:val="nil"/>
            </w:tcBorders>
            <w:shd w:val="clear" w:color="auto" w:fill="F2F2F2" w:themeFill="background1" w:themeFillShade="F2"/>
          </w:tcPr>
          <w:p w14:paraId="19E7FE81" w14:textId="7CDE0B33" w:rsidR="00462A58" w:rsidRDefault="00462A58" w:rsidP="00462A58">
            <w:pPr>
              <w:spacing w:before="20" w:after="20"/>
              <w:rPr>
                <w:rFonts w:asciiTheme="majorHAnsi" w:hAnsiTheme="majorHAnsi"/>
                <w:szCs w:val="20"/>
              </w:rPr>
            </w:pPr>
            <w:r>
              <w:rPr>
                <w:rFonts w:asciiTheme="majorHAnsi" w:hAnsiTheme="majorHAnsi"/>
                <w:szCs w:val="20"/>
              </w:rPr>
              <w:t>7.  Australia Awards Alumni contribute to Cambodia’s development</w:t>
            </w:r>
          </w:p>
        </w:tc>
        <w:tc>
          <w:tcPr>
            <w:tcW w:w="3845" w:type="dxa"/>
            <w:shd w:val="clear" w:color="auto" w:fill="F2F2F2" w:themeFill="background1" w:themeFillShade="F2"/>
          </w:tcPr>
          <w:p w14:paraId="741B595A" w14:textId="16D40027" w:rsidR="00462A58" w:rsidRPr="0029505D" w:rsidRDefault="00462A58" w:rsidP="00462A58">
            <w:pPr>
              <w:spacing w:before="20" w:after="20"/>
              <w:rPr>
                <w:rFonts w:asciiTheme="majorHAnsi" w:hAnsiTheme="majorHAnsi"/>
                <w:szCs w:val="20"/>
              </w:rPr>
            </w:pPr>
            <w:r w:rsidRPr="0029505D">
              <w:rPr>
                <w:rFonts w:asciiTheme="majorHAnsi" w:hAnsiTheme="majorHAnsi"/>
                <w:szCs w:val="20"/>
              </w:rPr>
              <w:t>1</w:t>
            </w:r>
            <w:r w:rsidRPr="00912960">
              <w:rPr>
                <w:rFonts w:asciiTheme="majorHAnsi" w:hAnsiTheme="majorHAnsi"/>
                <w:szCs w:val="20"/>
              </w:rPr>
              <w:t xml:space="preserve">2. Number and percentage of Australia Awards scholarships awarded to women and men </w:t>
            </w:r>
            <w:r w:rsidRPr="00912960">
              <w:rPr>
                <w:rFonts w:asciiTheme="majorHAnsi" w:hAnsiTheme="majorHAnsi"/>
                <w:b/>
                <w:color w:val="FF0000"/>
                <w:szCs w:val="20"/>
              </w:rPr>
              <w:t>(AIP Benchmark)</w:t>
            </w:r>
          </w:p>
        </w:tc>
        <w:tc>
          <w:tcPr>
            <w:tcW w:w="2551" w:type="dxa"/>
            <w:shd w:val="clear" w:color="auto" w:fill="F2F2F2" w:themeFill="background1" w:themeFillShade="F2"/>
          </w:tcPr>
          <w:p w14:paraId="5E168CB1" w14:textId="77777777" w:rsidR="00462A58" w:rsidRPr="00912960" w:rsidRDefault="00462A58" w:rsidP="00462A58">
            <w:pPr>
              <w:spacing w:before="60" w:after="20"/>
              <w:rPr>
                <w:rFonts w:asciiTheme="majorHAnsi" w:hAnsiTheme="majorHAnsi"/>
                <w:szCs w:val="20"/>
              </w:rPr>
            </w:pPr>
            <w:r w:rsidRPr="00912960">
              <w:rPr>
                <w:rFonts w:asciiTheme="majorHAnsi" w:hAnsiTheme="majorHAnsi"/>
                <w:szCs w:val="20"/>
              </w:rPr>
              <w:t>25/25</w:t>
            </w:r>
          </w:p>
          <w:p w14:paraId="583FBE44" w14:textId="222048CE" w:rsidR="00462A58" w:rsidRPr="00912960" w:rsidRDefault="00462A58" w:rsidP="00462A58">
            <w:pPr>
              <w:spacing w:before="20" w:after="20"/>
              <w:rPr>
                <w:rFonts w:asciiTheme="majorHAnsi" w:hAnsiTheme="majorHAnsi"/>
                <w:szCs w:val="20"/>
              </w:rPr>
            </w:pPr>
            <w:r w:rsidRPr="00912960">
              <w:rPr>
                <w:rFonts w:asciiTheme="majorHAnsi" w:hAnsiTheme="majorHAnsi"/>
                <w:szCs w:val="20"/>
              </w:rPr>
              <w:t>(50 per cent women, 50 per cent men)</w:t>
            </w:r>
          </w:p>
        </w:tc>
        <w:tc>
          <w:tcPr>
            <w:tcW w:w="1983" w:type="dxa"/>
            <w:shd w:val="clear" w:color="auto" w:fill="F2F2F2" w:themeFill="background1" w:themeFillShade="F2"/>
          </w:tcPr>
          <w:p w14:paraId="20731830" w14:textId="4B95CCE5" w:rsidR="00462A58" w:rsidRPr="009E1C8A" w:rsidRDefault="00462A58" w:rsidP="00462A58">
            <w:pPr>
              <w:spacing w:before="20" w:after="20"/>
              <w:rPr>
                <w:rFonts w:asciiTheme="majorHAnsi" w:hAnsiTheme="majorHAnsi"/>
                <w:szCs w:val="20"/>
              </w:rPr>
            </w:pPr>
            <w:r w:rsidRPr="009E1C8A">
              <w:rPr>
                <w:rFonts w:asciiTheme="majorHAnsi" w:hAnsiTheme="majorHAnsi"/>
                <w:szCs w:val="20"/>
              </w:rPr>
              <w:t>16/29</w:t>
            </w:r>
          </w:p>
        </w:tc>
        <w:tc>
          <w:tcPr>
            <w:tcW w:w="3657" w:type="dxa"/>
            <w:shd w:val="clear" w:color="auto" w:fill="F2F2F2" w:themeFill="background1" w:themeFillShade="F2"/>
          </w:tcPr>
          <w:p w14:paraId="7A73A8F9" w14:textId="4CE240A9" w:rsidR="00462A58" w:rsidRPr="009E1C8A" w:rsidRDefault="00462A58" w:rsidP="00462A58">
            <w:pPr>
              <w:spacing w:before="60" w:after="20"/>
              <w:rPr>
                <w:rFonts w:asciiTheme="majorHAnsi" w:hAnsiTheme="majorHAnsi"/>
                <w:szCs w:val="20"/>
              </w:rPr>
            </w:pPr>
            <w:r>
              <w:rPr>
                <w:rFonts w:asciiTheme="majorHAnsi" w:hAnsiTheme="majorHAnsi"/>
                <w:szCs w:val="20"/>
              </w:rPr>
              <w:t xml:space="preserve">Not achieved. In 2016-17 there was </w:t>
            </w:r>
            <w:r w:rsidRPr="009E1C8A">
              <w:rPr>
                <w:rFonts w:asciiTheme="majorHAnsi" w:hAnsiTheme="majorHAnsi"/>
                <w:szCs w:val="20"/>
              </w:rPr>
              <w:t>an increase in ineligible applications, a decrease in applications from women and an overall lower quality of applicants, compared to previous years.</w:t>
            </w:r>
          </w:p>
        </w:tc>
      </w:tr>
      <w:tr w:rsidR="00462A58" w:rsidRPr="00280CC1" w14:paraId="2E88CC17" w14:textId="77777777" w:rsidTr="00567D48">
        <w:tc>
          <w:tcPr>
            <w:tcW w:w="2536" w:type="dxa"/>
            <w:tcBorders>
              <w:top w:val="nil"/>
            </w:tcBorders>
            <w:shd w:val="clear" w:color="auto" w:fill="F2F2F2" w:themeFill="background1" w:themeFillShade="F2"/>
          </w:tcPr>
          <w:p w14:paraId="0B6CFDE1" w14:textId="77777777" w:rsidR="00462A58" w:rsidRDefault="00462A58" w:rsidP="00462A58">
            <w:pPr>
              <w:spacing w:before="20" w:after="20"/>
              <w:rPr>
                <w:rFonts w:asciiTheme="majorHAnsi" w:hAnsiTheme="majorHAnsi"/>
                <w:szCs w:val="20"/>
              </w:rPr>
            </w:pPr>
          </w:p>
        </w:tc>
        <w:tc>
          <w:tcPr>
            <w:tcW w:w="3845" w:type="dxa"/>
            <w:shd w:val="clear" w:color="auto" w:fill="F2F2F2" w:themeFill="background1" w:themeFillShade="F2"/>
          </w:tcPr>
          <w:p w14:paraId="6F54642C" w14:textId="17D9526D" w:rsidR="00462A58" w:rsidRPr="0029505D" w:rsidRDefault="00462A58" w:rsidP="00462A58">
            <w:pPr>
              <w:spacing w:before="20" w:after="20"/>
              <w:rPr>
                <w:rFonts w:asciiTheme="majorHAnsi" w:hAnsiTheme="majorHAnsi"/>
                <w:szCs w:val="20"/>
              </w:rPr>
            </w:pPr>
            <w:r w:rsidRPr="0029505D">
              <w:rPr>
                <w:rFonts w:asciiTheme="majorHAnsi" w:hAnsiTheme="majorHAnsi"/>
                <w:szCs w:val="20"/>
              </w:rPr>
              <w:t>1</w:t>
            </w:r>
            <w:r w:rsidRPr="00912960">
              <w:rPr>
                <w:rFonts w:asciiTheme="majorHAnsi" w:hAnsiTheme="majorHAnsi"/>
                <w:szCs w:val="20"/>
              </w:rPr>
              <w:t>3. Increase in pe</w:t>
            </w:r>
            <w:r>
              <w:rPr>
                <w:rFonts w:asciiTheme="majorHAnsi" w:hAnsiTheme="majorHAnsi"/>
                <w:szCs w:val="20"/>
              </w:rPr>
              <w:t>r</w:t>
            </w:r>
            <w:r w:rsidRPr="0029505D">
              <w:rPr>
                <w:rFonts w:asciiTheme="majorHAnsi" w:hAnsiTheme="majorHAnsi"/>
                <w:szCs w:val="20"/>
              </w:rPr>
              <w:t>cent</w:t>
            </w:r>
            <w:r w:rsidRPr="00912960">
              <w:rPr>
                <w:rFonts w:asciiTheme="majorHAnsi" w:hAnsiTheme="majorHAnsi"/>
                <w:szCs w:val="20"/>
              </w:rPr>
              <w:t>age of applicants for an Australia Awards Scholarship who are women</w:t>
            </w:r>
          </w:p>
        </w:tc>
        <w:tc>
          <w:tcPr>
            <w:tcW w:w="2551" w:type="dxa"/>
            <w:shd w:val="clear" w:color="auto" w:fill="F2F2F2" w:themeFill="background1" w:themeFillShade="F2"/>
          </w:tcPr>
          <w:p w14:paraId="1393D81C" w14:textId="073BD181" w:rsidR="00462A58" w:rsidRPr="00912960" w:rsidRDefault="00462A58" w:rsidP="00462A58">
            <w:pPr>
              <w:spacing w:before="20" w:after="20"/>
              <w:rPr>
                <w:rFonts w:asciiTheme="majorHAnsi" w:hAnsiTheme="majorHAnsi"/>
                <w:szCs w:val="20"/>
              </w:rPr>
            </w:pPr>
            <w:r w:rsidRPr="00912960">
              <w:rPr>
                <w:rFonts w:asciiTheme="majorHAnsi" w:hAnsiTheme="majorHAnsi"/>
                <w:szCs w:val="20"/>
              </w:rPr>
              <w:t>38 per cent of applicant for an Australia Awards Scholarship are women</w:t>
            </w:r>
          </w:p>
        </w:tc>
        <w:tc>
          <w:tcPr>
            <w:tcW w:w="1983" w:type="dxa"/>
            <w:shd w:val="clear" w:color="auto" w:fill="F2F2F2" w:themeFill="background1" w:themeFillShade="F2"/>
          </w:tcPr>
          <w:p w14:paraId="29D661D8" w14:textId="1CE0F44B" w:rsidR="00462A58" w:rsidRPr="009E1C8A" w:rsidRDefault="00462A58" w:rsidP="00462A58">
            <w:pPr>
              <w:spacing w:before="20" w:after="20"/>
              <w:rPr>
                <w:rFonts w:asciiTheme="majorHAnsi" w:hAnsiTheme="majorHAnsi"/>
                <w:szCs w:val="20"/>
              </w:rPr>
            </w:pPr>
            <w:r w:rsidRPr="009E1C8A">
              <w:rPr>
                <w:rFonts w:asciiTheme="majorHAnsi" w:hAnsiTheme="majorHAnsi"/>
                <w:szCs w:val="20"/>
              </w:rPr>
              <w:t>36 per cent</w:t>
            </w:r>
          </w:p>
        </w:tc>
        <w:tc>
          <w:tcPr>
            <w:tcW w:w="3657" w:type="dxa"/>
            <w:shd w:val="clear" w:color="auto" w:fill="F2F2F2" w:themeFill="background1" w:themeFillShade="F2"/>
          </w:tcPr>
          <w:p w14:paraId="207473BD" w14:textId="7D089E16" w:rsidR="00462A58" w:rsidRPr="009E1C8A" w:rsidRDefault="00462A58" w:rsidP="00462A58">
            <w:pPr>
              <w:spacing w:before="60" w:after="20"/>
              <w:rPr>
                <w:rFonts w:asciiTheme="majorHAnsi" w:hAnsiTheme="majorHAnsi"/>
                <w:szCs w:val="20"/>
              </w:rPr>
            </w:pPr>
            <w:r w:rsidRPr="009E1C8A">
              <w:rPr>
                <w:rFonts w:asciiTheme="majorHAnsi" w:hAnsiTheme="majorHAnsi"/>
                <w:szCs w:val="20"/>
              </w:rPr>
              <w:t xml:space="preserve">While women applicants were on par with male applicants with getting a scholarship, the gender inequality rests in there being less female applicants. </w:t>
            </w:r>
          </w:p>
        </w:tc>
      </w:tr>
    </w:tbl>
    <w:p w14:paraId="0625F743" w14:textId="77777777" w:rsidR="00462A58" w:rsidRDefault="00462A58" w:rsidP="00462A58">
      <w:pPr>
        <w:rPr>
          <w:rFonts w:asciiTheme="majorHAnsi" w:hAnsiTheme="majorHAnsi"/>
          <w:b/>
        </w:rPr>
      </w:pPr>
    </w:p>
    <w:p w14:paraId="66BC67DD" w14:textId="0F2B2B3A" w:rsidR="00785818" w:rsidRPr="00462A58" w:rsidRDefault="00785818" w:rsidP="00462A58">
      <w:pPr>
        <w:rPr>
          <w:rFonts w:asciiTheme="majorHAnsi" w:hAnsiTheme="majorHAnsi"/>
          <w:b/>
        </w:rPr>
      </w:pPr>
      <w:r w:rsidRPr="00462A58">
        <w:rPr>
          <w:rFonts w:asciiTheme="majorHAnsi" w:hAnsiTheme="majorHAnsi"/>
          <w:b/>
        </w:rPr>
        <w:t>Cross-cutting issues</w:t>
      </w:r>
    </w:p>
    <w:tbl>
      <w:tblPr>
        <w:tblStyle w:val="CHtablestyle"/>
        <w:tblW w:w="4778" w:type="pct"/>
        <w:tblLook w:val="04A0" w:firstRow="1" w:lastRow="0" w:firstColumn="1" w:lastColumn="0" w:noHBand="0" w:noVBand="1"/>
      </w:tblPr>
      <w:tblGrid>
        <w:gridCol w:w="2550"/>
        <w:gridCol w:w="555"/>
        <w:gridCol w:w="3282"/>
        <w:gridCol w:w="95"/>
        <w:gridCol w:w="2307"/>
        <w:gridCol w:w="2268"/>
        <w:gridCol w:w="91"/>
        <w:gridCol w:w="3452"/>
      </w:tblGrid>
      <w:tr w:rsidR="000F43FD" w:rsidRPr="00280CC1" w14:paraId="39AA0846" w14:textId="77777777" w:rsidTr="00567D48">
        <w:trPr>
          <w:cnfStyle w:val="100000000000" w:firstRow="1" w:lastRow="0" w:firstColumn="0" w:lastColumn="0" w:oddVBand="0" w:evenVBand="0" w:oddHBand="0" w:evenHBand="0" w:firstRowFirstColumn="0" w:firstRowLastColumn="0" w:lastRowFirstColumn="0" w:lastRowLastColumn="0"/>
        </w:trPr>
        <w:tc>
          <w:tcPr>
            <w:tcW w:w="3106" w:type="dxa"/>
            <w:gridSpan w:val="2"/>
            <w:tcBorders>
              <w:top w:val="single" w:sz="2" w:space="0" w:color="808080" w:themeColor="background1" w:themeShade="80"/>
            </w:tcBorders>
            <w:shd w:val="clear" w:color="auto" w:fill="D7DEE2" w:themeFill="text2" w:themeFillTint="33"/>
          </w:tcPr>
          <w:p w14:paraId="64E97DA6" w14:textId="77777777" w:rsidR="00785818" w:rsidRPr="00280CC1" w:rsidRDefault="00785818" w:rsidP="00E87A91">
            <w:pPr>
              <w:spacing w:before="20" w:after="20"/>
              <w:rPr>
                <w:rFonts w:asciiTheme="majorHAnsi" w:hAnsiTheme="majorHAnsi"/>
                <w:szCs w:val="20"/>
              </w:rPr>
            </w:pPr>
            <w:r w:rsidRPr="00280CC1">
              <w:rPr>
                <w:rFonts w:asciiTheme="majorHAnsi" w:hAnsiTheme="majorHAnsi"/>
                <w:szCs w:val="20"/>
              </w:rPr>
              <w:br w:type="page"/>
            </w:r>
            <w:r w:rsidRPr="00280CC1">
              <w:rPr>
                <w:rFonts w:asciiTheme="majorHAnsi" w:hAnsiTheme="majorHAnsi"/>
                <w:szCs w:val="20"/>
              </w:rPr>
              <w:br w:type="page"/>
            </w:r>
          </w:p>
        </w:tc>
        <w:tc>
          <w:tcPr>
            <w:tcW w:w="3377" w:type="dxa"/>
            <w:gridSpan w:val="2"/>
            <w:tcBorders>
              <w:top w:val="single" w:sz="2" w:space="0" w:color="808080" w:themeColor="background1" w:themeShade="80"/>
            </w:tcBorders>
            <w:shd w:val="clear" w:color="auto" w:fill="D7DEE2" w:themeFill="text2" w:themeFillTint="33"/>
          </w:tcPr>
          <w:p w14:paraId="6C862683" w14:textId="77777777" w:rsidR="00785818" w:rsidRPr="00280CC1" w:rsidRDefault="00785818" w:rsidP="00E87A91">
            <w:pPr>
              <w:spacing w:before="20" w:after="20"/>
              <w:rPr>
                <w:rFonts w:asciiTheme="majorHAnsi" w:hAnsiTheme="majorHAnsi"/>
                <w:szCs w:val="20"/>
              </w:rPr>
            </w:pPr>
            <w:r w:rsidRPr="00280CC1">
              <w:rPr>
                <w:rFonts w:asciiTheme="majorHAnsi" w:hAnsiTheme="majorHAnsi"/>
                <w:szCs w:val="20"/>
              </w:rPr>
              <w:t xml:space="preserve">Indicator </w:t>
            </w:r>
          </w:p>
        </w:tc>
        <w:tc>
          <w:tcPr>
            <w:tcW w:w="2307" w:type="dxa"/>
            <w:tcBorders>
              <w:top w:val="single" w:sz="2" w:space="0" w:color="808080" w:themeColor="background1" w:themeShade="80"/>
            </w:tcBorders>
            <w:shd w:val="clear" w:color="auto" w:fill="D7DEE2" w:themeFill="text2" w:themeFillTint="33"/>
          </w:tcPr>
          <w:p w14:paraId="71806E4A" w14:textId="77777777" w:rsidR="00785818" w:rsidRPr="00280CC1" w:rsidRDefault="00785818" w:rsidP="00E87A91">
            <w:pPr>
              <w:spacing w:before="20" w:after="20"/>
              <w:rPr>
                <w:rFonts w:asciiTheme="majorHAnsi" w:hAnsiTheme="majorHAnsi"/>
                <w:szCs w:val="20"/>
              </w:rPr>
            </w:pPr>
            <w:r w:rsidRPr="00280CC1">
              <w:rPr>
                <w:rFonts w:asciiTheme="majorHAnsi" w:hAnsiTheme="majorHAnsi"/>
                <w:szCs w:val="20"/>
              </w:rPr>
              <w:t>2016/17 Targets</w:t>
            </w:r>
          </w:p>
        </w:tc>
        <w:tc>
          <w:tcPr>
            <w:tcW w:w="2359" w:type="dxa"/>
            <w:gridSpan w:val="2"/>
            <w:tcBorders>
              <w:top w:val="single" w:sz="2" w:space="0" w:color="808080" w:themeColor="background1" w:themeShade="80"/>
            </w:tcBorders>
            <w:shd w:val="clear" w:color="auto" w:fill="D7DEE2" w:themeFill="text2" w:themeFillTint="33"/>
          </w:tcPr>
          <w:p w14:paraId="67141314" w14:textId="77777777" w:rsidR="00785818" w:rsidRPr="00280CC1" w:rsidRDefault="00785818" w:rsidP="00E87A91">
            <w:pPr>
              <w:spacing w:before="20" w:after="20"/>
              <w:rPr>
                <w:rFonts w:asciiTheme="majorHAnsi" w:hAnsiTheme="majorHAnsi"/>
                <w:szCs w:val="20"/>
              </w:rPr>
            </w:pPr>
            <w:r w:rsidRPr="00280CC1">
              <w:rPr>
                <w:rFonts w:asciiTheme="majorHAnsi" w:hAnsiTheme="majorHAnsi"/>
                <w:szCs w:val="20"/>
              </w:rPr>
              <w:t>2016/17 Results</w:t>
            </w:r>
          </w:p>
        </w:tc>
        <w:tc>
          <w:tcPr>
            <w:tcW w:w="3452" w:type="dxa"/>
            <w:tcBorders>
              <w:top w:val="single" w:sz="2" w:space="0" w:color="808080" w:themeColor="background1" w:themeShade="80"/>
            </w:tcBorders>
            <w:shd w:val="clear" w:color="auto" w:fill="D7DEE2" w:themeFill="text2" w:themeFillTint="33"/>
          </w:tcPr>
          <w:p w14:paraId="082CCC66" w14:textId="77777777" w:rsidR="00785818" w:rsidRPr="00280CC1" w:rsidRDefault="00785818" w:rsidP="00E87A91">
            <w:pPr>
              <w:spacing w:before="20" w:after="20"/>
              <w:rPr>
                <w:rFonts w:asciiTheme="majorHAnsi" w:hAnsiTheme="majorHAnsi"/>
                <w:szCs w:val="20"/>
              </w:rPr>
            </w:pPr>
            <w:r w:rsidRPr="00280CC1">
              <w:rPr>
                <w:rFonts w:asciiTheme="majorHAnsi" w:hAnsiTheme="majorHAnsi"/>
                <w:szCs w:val="20"/>
              </w:rPr>
              <w:t>Explanation for Results</w:t>
            </w:r>
          </w:p>
        </w:tc>
      </w:tr>
      <w:tr w:rsidR="000F43FD" w:rsidRPr="00280CC1" w14:paraId="4B6F0C02" w14:textId="77777777" w:rsidTr="00567D48">
        <w:tc>
          <w:tcPr>
            <w:tcW w:w="2551" w:type="dxa"/>
            <w:shd w:val="clear" w:color="auto" w:fill="D7DEE2" w:themeFill="text2" w:themeFillTint="33"/>
          </w:tcPr>
          <w:p w14:paraId="4B0C2724" w14:textId="77777777" w:rsidR="00785818" w:rsidRPr="00912960" w:rsidRDefault="00785818" w:rsidP="00E87A91">
            <w:pPr>
              <w:spacing w:before="60" w:after="20"/>
              <w:rPr>
                <w:rFonts w:asciiTheme="majorHAnsi" w:hAnsiTheme="majorHAnsi"/>
                <w:szCs w:val="20"/>
              </w:rPr>
            </w:pPr>
            <w:r w:rsidRPr="0029505D">
              <w:rPr>
                <w:rFonts w:asciiTheme="majorHAnsi" w:hAnsiTheme="majorHAnsi"/>
                <w:szCs w:val="20"/>
              </w:rPr>
              <w:t>8</w:t>
            </w:r>
            <w:r w:rsidR="00B51FA7" w:rsidRPr="00912960">
              <w:rPr>
                <w:rFonts w:asciiTheme="majorHAnsi" w:hAnsiTheme="majorHAnsi"/>
                <w:szCs w:val="20"/>
              </w:rPr>
              <w:t xml:space="preserve">. </w:t>
            </w:r>
            <w:r w:rsidRPr="00912960">
              <w:rPr>
                <w:rFonts w:asciiTheme="majorHAnsi" w:hAnsiTheme="majorHAnsi"/>
                <w:szCs w:val="20"/>
              </w:rPr>
              <w:t>Increased access to gender-based violence response services in targeted provinces</w:t>
            </w:r>
          </w:p>
        </w:tc>
        <w:tc>
          <w:tcPr>
            <w:tcW w:w="3837" w:type="dxa"/>
            <w:gridSpan w:val="2"/>
            <w:shd w:val="clear" w:color="auto" w:fill="D7DEE2" w:themeFill="text2" w:themeFillTint="33"/>
          </w:tcPr>
          <w:p w14:paraId="2C467562" w14:textId="77777777" w:rsidR="00785818" w:rsidRPr="00912960" w:rsidRDefault="00785818" w:rsidP="00E87A91">
            <w:pPr>
              <w:spacing w:before="60" w:after="20"/>
              <w:rPr>
                <w:rFonts w:asciiTheme="majorHAnsi" w:hAnsiTheme="majorHAnsi"/>
                <w:szCs w:val="20"/>
              </w:rPr>
            </w:pPr>
            <w:r w:rsidRPr="00912960">
              <w:rPr>
                <w:rFonts w:asciiTheme="majorHAnsi" w:hAnsiTheme="majorHAnsi"/>
                <w:szCs w:val="20"/>
              </w:rPr>
              <w:t>1</w:t>
            </w:r>
            <w:r w:rsidR="00E97AAD" w:rsidRPr="00912960">
              <w:rPr>
                <w:rFonts w:asciiTheme="majorHAnsi" w:hAnsiTheme="majorHAnsi"/>
                <w:szCs w:val="20"/>
              </w:rPr>
              <w:t>4</w:t>
            </w:r>
            <w:r w:rsidRPr="00912960">
              <w:rPr>
                <w:rFonts w:asciiTheme="majorHAnsi" w:hAnsiTheme="majorHAnsi"/>
                <w:szCs w:val="20"/>
              </w:rPr>
              <w:t xml:space="preserve">. Additional women affected by violence receiving services such as counselling </w:t>
            </w:r>
            <w:r w:rsidRPr="00912960">
              <w:rPr>
                <w:rFonts w:asciiTheme="majorHAnsi" w:hAnsiTheme="majorHAnsi"/>
                <w:b/>
                <w:color w:val="FF0000"/>
                <w:szCs w:val="20"/>
              </w:rPr>
              <w:t>(AIP Benchmark)</w:t>
            </w:r>
          </w:p>
        </w:tc>
        <w:tc>
          <w:tcPr>
            <w:tcW w:w="2402" w:type="dxa"/>
            <w:gridSpan w:val="2"/>
            <w:shd w:val="clear" w:color="auto" w:fill="D7DEE2" w:themeFill="text2" w:themeFillTint="33"/>
          </w:tcPr>
          <w:p w14:paraId="2611FA42" w14:textId="77777777" w:rsidR="00785818" w:rsidRPr="00912960" w:rsidRDefault="00785818" w:rsidP="00E87A91">
            <w:pPr>
              <w:spacing w:before="60" w:after="20"/>
              <w:rPr>
                <w:rFonts w:asciiTheme="majorHAnsi" w:hAnsiTheme="majorHAnsi"/>
                <w:szCs w:val="20"/>
              </w:rPr>
            </w:pPr>
            <w:r w:rsidRPr="00912960">
              <w:rPr>
                <w:rFonts w:asciiTheme="majorHAnsi" w:hAnsiTheme="majorHAnsi"/>
                <w:szCs w:val="20"/>
              </w:rPr>
              <w:t>1,000 women</w:t>
            </w:r>
          </w:p>
        </w:tc>
        <w:tc>
          <w:tcPr>
            <w:tcW w:w="2268" w:type="dxa"/>
            <w:shd w:val="clear" w:color="auto" w:fill="D7DEE2" w:themeFill="text2" w:themeFillTint="33"/>
          </w:tcPr>
          <w:p w14:paraId="1ABA7EA9" w14:textId="77777777" w:rsidR="00785818" w:rsidRPr="009E1C8A" w:rsidRDefault="00F12140" w:rsidP="00E87A91">
            <w:pPr>
              <w:spacing w:before="60" w:after="20"/>
              <w:rPr>
                <w:rFonts w:asciiTheme="majorHAnsi" w:hAnsiTheme="majorHAnsi"/>
                <w:szCs w:val="20"/>
              </w:rPr>
            </w:pPr>
            <w:r w:rsidRPr="009E1C8A">
              <w:rPr>
                <w:rFonts w:asciiTheme="majorHAnsi" w:hAnsiTheme="majorHAnsi"/>
              </w:rPr>
              <w:t xml:space="preserve">7,469 </w:t>
            </w:r>
            <w:r w:rsidR="00F236B9" w:rsidRPr="009E1C8A">
              <w:rPr>
                <w:rFonts w:asciiTheme="majorHAnsi" w:hAnsiTheme="majorHAnsi"/>
                <w:szCs w:val="20"/>
              </w:rPr>
              <w:t>women</w:t>
            </w:r>
          </w:p>
        </w:tc>
        <w:tc>
          <w:tcPr>
            <w:tcW w:w="3543" w:type="dxa"/>
            <w:gridSpan w:val="2"/>
            <w:shd w:val="clear" w:color="auto" w:fill="D7DEE2" w:themeFill="text2" w:themeFillTint="33"/>
          </w:tcPr>
          <w:p w14:paraId="7F99D436" w14:textId="77777777" w:rsidR="00785818" w:rsidRPr="009E1C8A" w:rsidRDefault="00902241" w:rsidP="0029505D">
            <w:pPr>
              <w:spacing w:before="60" w:after="20"/>
              <w:rPr>
                <w:rFonts w:asciiTheme="majorHAnsi" w:hAnsiTheme="majorHAnsi"/>
                <w:szCs w:val="20"/>
              </w:rPr>
            </w:pPr>
            <w:r w:rsidRPr="009E1C8A">
              <w:rPr>
                <w:rFonts w:asciiTheme="majorHAnsi" w:hAnsiTheme="majorHAnsi"/>
                <w:szCs w:val="20"/>
              </w:rPr>
              <w:t xml:space="preserve">Achieved. While technically this target was not met (in 2015-16 9,950 women received services, an additional 1,000 women would be 10,950), 2015-16 had a higher than expected rate of service delivery. The rate of service delivery achieved </w:t>
            </w:r>
            <w:r w:rsidR="00690F45" w:rsidRPr="009E1C8A">
              <w:rPr>
                <w:rFonts w:asciiTheme="majorHAnsi" w:hAnsiTheme="majorHAnsi"/>
                <w:szCs w:val="20"/>
              </w:rPr>
              <w:t>this year</w:t>
            </w:r>
            <w:r w:rsidRPr="009E1C8A">
              <w:rPr>
                <w:rFonts w:asciiTheme="majorHAnsi" w:hAnsiTheme="majorHAnsi"/>
                <w:szCs w:val="20"/>
              </w:rPr>
              <w:t xml:space="preserve"> was still higher than originally envisaged (in 2014-15 3,200 women received service</w:t>
            </w:r>
            <w:r w:rsidR="00CE1957">
              <w:rPr>
                <w:rFonts w:asciiTheme="majorHAnsi" w:hAnsiTheme="majorHAnsi"/>
                <w:szCs w:val="20"/>
              </w:rPr>
              <w:t>s. A</w:t>
            </w:r>
            <w:r w:rsidRPr="009E1C8A">
              <w:rPr>
                <w:rFonts w:asciiTheme="majorHAnsi" w:hAnsiTheme="majorHAnsi"/>
                <w:szCs w:val="20"/>
              </w:rPr>
              <w:t xml:space="preserve">n additional 2,000 women would have seen only </w:t>
            </w:r>
            <w:r w:rsidRPr="009E1C8A">
              <w:rPr>
                <w:rFonts w:asciiTheme="majorHAnsi" w:hAnsiTheme="majorHAnsi"/>
                <w:szCs w:val="20"/>
              </w:rPr>
              <w:lastRenderedPageBreak/>
              <w:t>5,200 women receiving services in 2016-17.)</w:t>
            </w:r>
          </w:p>
        </w:tc>
      </w:tr>
      <w:tr w:rsidR="00732930" w:rsidRPr="00280CC1" w14:paraId="30DF9F92" w14:textId="77777777" w:rsidTr="00567D48">
        <w:tc>
          <w:tcPr>
            <w:tcW w:w="2551" w:type="dxa"/>
            <w:tcBorders>
              <w:bottom w:val="single" w:sz="4" w:space="0" w:color="808080" w:themeColor="background1" w:themeShade="80"/>
            </w:tcBorders>
            <w:shd w:val="clear" w:color="auto" w:fill="D7DEE2" w:themeFill="text2" w:themeFillTint="33"/>
          </w:tcPr>
          <w:p w14:paraId="7E2C943F" w14:textId="77777777" w:rsidR="00732930" w:rsidRPr="00912960" w:rsidRDefault="00732930" w:rsidP="00732930">
            <w:pPr>
              <w:spacing w:before="60" w:after="20"/>
              <w:rPr>
                <w:rFonts w:asciiTheme="majorHAnsi" w:hAnsiTheme="majorHAnsi"/>
                <w:szCs w:val="20"/>
              </w:rPr>
            </w:pPr>
            <w:r w:rsidRPr="0029505D">
              <w:rPr>
                <w:rFonts w:asciiTheme="majorHAnsi" w:hAnsiTheme="majorHAnsi"/>
                <w:szCs w:val="20"/>
              </w:rPr>
              <w:lastRenderedPageBreak/>
              <w:t>9</w:t>
            </w:r>
            <w:r w:rsidR="00B51FA7" w:rsidRPr="00912960">
              <w:rPr>
                <w:rFonts w:asciiTheme="majorHAnsi" w:hAnsiTheme="majorHAnsi"/>
                <w:szCs w:val="20"/>
              </w:rPr>
              <w:t xml:space="preserve">. </w:t>
            </w:r>
            <w:r w:rsidRPr="00912960">
              <w:rPr>
                <w:rFonts w:asciiTheme="majorHAnsi" w:hAnsiTheme="majorHAnsi"/>
                <w:szCs w:val="20"/>
              </w:rPr>
              <w:t>Improved quality of life for people with a disability</w:t>
            </w:r>
          </w:p>
        </w:tc>
        <w:tc>
          <w:tcPr>
            <w:tcW w:w="3837" w:type="dxa"/>
            <w:gridSpan w:val="2"/>
            <w:shd w:val="clear" w:color="auto" w:fill="D7DEE2" w:themeFill="text2" w:themeFillTint="33"/>
          </w:tcPr>
          <w:p w14:paraId="0F4027D4" w14:textId="77777777" w:rsidR="00732930" w:rsidRPr="00912960" w:rsidRDefault="00732930" w:rsidP="00732930">
            <w:pPr>
              <w:spacing w:before="60" w:after="20"/>
              <w:rPr>
                <w:rFonts w:asciiTheme="majorHAnsi" w:hAnsiTheme="majorHAnsi"/>
                <w:szCs w:val="20"/>
              </w:rPr>
            </w:pPr>
            <w:r w:rsidRPr="00912960">
              <w:rPr>
                <w:rFonts w:asciiTheme="majorHAnsi" w:hAnsiTheme="majorHAnsi"/>
                <w:szCs w:val="20"/>
              </w:rPr>
              <w:t>1</w:t>
            </w:r>
            <w:r w:rsidR="00E97AAD" w:rsidRPr="00912960">
              <w:rPr>
                <w:rFonts w:asciiTheme="majorHAnsi" w:hAnsiTheme="majorHAnsi"/>
                <w:szCs w:val="20"/>
              </w:rPr>
              <w:t>5</w:t>
            </w:r>
            <w:r w:rsidRPr="00912960">
              <w:rPr>
                <w:rFonts w:asciiTheme="majorHAnsi" w:hAnsiTheme="majorHAnsi"/>
                <w:szCs w:val="20"/>
              </w:rPr>
              <w:t>. Number of people (women/men) provided with disability services</w:t>
            </w:r>
          </w:p>
        </w:tc>
        <w:tc>
          <w:tcPr>
            <w:tcW w:w="2402" w:type="dxa"/>
            <w:gridSpan w:val="2"/>
            <w:shd w:val="clear" w:color="auto" w:fill="D7DEE2" w:themeFill="text2" w:themeFillTint="33"/>
          </w:tcPr>
          <w:p w14:paraId="2B44BC12" w14:textId="77777777" w:rsidR="00732930" w:rsidRPr="00912960" w:rsidRDefault="00732930" w:rsidP="00732930">
            <w:pPr>
              <w:spacing w:before="60" w:after="20"/>
              <w:rPr>
                <w:rFonts w:asciiTheme="majorHAnsi" w:hAnsiTheme="majorHAnsi"/>
                <w:szCs w:val="20"/>
              </w:rPr>
            </w:pPr>
            <w:r w:rsidRPr="00912960">
              <w:rPr>
                <w:rFonts w:asciiTheme="majorHAnsi" w:hAnsiTheme="majorHAnsi"/>
                <w:szCs w:val="20"/>
              </w:rPr>
              <w:t>15,000 people (7,500 women and 7,500 men)</w:t>
            </w:r>
          </w:p>
        </w:tc>
        <w:tc>
          <w:tcPr>
            <w:tcW w:w="2268" w:type="dxa"/>
            <w:shd w:val="clear" w:color="auto" w:fill="D7DEE2" w:themeFill="text2" w:themeFillTint="33"/>
          </w:tcPr>
          <w:p w14:paraId="06EFC008" w14:textId="77777777" w:rsidR="00732930" w:rsidRPr="0029505D" w:rsidRDefault="004B04DD" w:rsidP="00732930">
            <w:pPr>
              <w:spacing w:before="60" w:after="20"/>
              <w:rPr>
                <w:rFonts w:asciiTheme="majorHAnsi" w:hAnsiTheme="majorHAnsi"/>
                <w:szCs w:val="20"/>
              </w:rPr>
            </w:pPr>
            <w:r w:rsidRPr="009E1C8A">
              <w:rPr>
                <w:rFonts w:asciiTheme="majorHAnsi" w:hAnsiTheme="majorHAnsi"/>
                <w:szCs w:val="20"/>
              </w:rPr>
              <w:t>26,447 people with disability, of them, 6,590 were women and girls.</w:t>
            </w:r>
          </w:p>
        </w:tc>
        <w:tc>
          <w:tcPr>
            <w:tcW w:w="3543" w:type="dxa"/>
            <w:gridSpan w:val="2"/>
            <w:shd w:val="clear" w:color="auto" w:fill="D7DEE2" w:themeFill="text2" w:themeFillTint="33"/>
          </w:tcPr>
          <w:p w14:paraId="36A69CF1" w14:textId="77777777" w:rsidR="00732930" w:rsidRPr="0029505D" w:rsidRDefault="004B04DD" w:rsidP="00732930">
            <w:pPr>
              <w:spacing w:before="60" w:after="20"/>
              <w:rPr>
                <w:rFonts w:asciiTheme="majorHAnsi" w:hAnsiTheme="majorHAnsi"/>
                <w:szCs w:val="20"/>
              </w:rPr>
            </w:pPr>
            <w:r w:rsidRPr="009E1C8A">
              <w:rPr>
                <w:rFonts w:asciiTheme="majorHAnsi" w:hAnsiTheme="majorHAnsi"/>
                <w:szCs w:val="20"/>
              </w:rPr>
              <w:t>Overachieved: however this figure shows that there is a lower proportion of female people with disability access</w:t>
            </w:r>
            <w:r w:rsidR="00656768" w:rsidRPr="009E1C8A">
              <w:rPr>
                <w:rFonts w:asciiTheme="majorHAnsi" w:hAnsiTheme="majorHAnsi"/>
                <w:szCs w:val="20"/>
              </w:rPr>
              <w:t>ing</w:t>
            </w:r>
            <w:r w:rsidRPr="009E1C8A">
              <w:rPr>
                <w:rFonts w:asciiTheme="majorHAnsi" w:hAnsiTheme="majorHAnsi"/>
                <w:szCs w:val="20"/>
              </w:rPr>
              <w:t xml:space="preserve"> physical rehabilitation services (25</w:t>
            </w:r>
            <w:r w:rsidR="00663C9A" w:rsidRPr="009E1C8A">
              <w:rPr>
                <w:rFonts w:asciiTheme="majorHAnsi" w:hAnsiTheme="majorHAnsi"/>
                <w:szCs w:val="20"/>
              </w:rPr>
              <w:t xml:space="preserve"> per cent</w:t>
            </w:r>
            <w:r w:rsidRPr="009E1C8A">
              <w:rPr>
                <w:rFonts w:asciiTheme="majorHAnsi" w:hAnsiTheme="majorHAnsi"/>
                <w:szCs w:val="20"/>
              </w:rPr>
              <w:t xml:space="preserve">), due in part to the majority of their </w:t>
            </w:r>
            <w:bookmarkStart w:id="0" w:name="_GoBack"/>
            <w:bookmarkEnd w:id="0"/>
            <w:r w:rsidRPr="009E1C8A">
              <w:rPr>
                <w:rFonts w:asciiTheme="majorHAnsi" w:hAnsiTheme="majorHAnsi"/>
                <w:szCs w:val="20"/>
              </w:rPr>
              <w:t>clients being landmine survivors, who are predominately men.</w:t>
            </w:r>
          </w:p>
        </w:tc>
      </w:tr>
      <w:tr w:rsidR="00462A58" w:rsidRPr="00280CC1" w14:paraId="46243E39" w14:textId="77777777" w:rsidTr="00567D48">
        <w:tc>
          <w:tcPr>
            <w:tcW w:w="2551" w:type="dxa"/>
            <w:tcBorders>
              <w:bottom w:val="nil"/>
            </w:tcBorders>
            <w:shd w:val="clear" w:color="auto" w:fill="D7DEE2" w:themeFill="text2" w:themeFillTint="33"/>
          </w:tcPr>
          <w:p w14:paraId="2A5F88FD" w14:textId="35033E7B" w:rsidR="00462A58" w:rsidRPr="0029505D" w:rsidRDefault="00462A58" w:rsidP="00462A58">
            <w:pPr>
              <w:spacing w:before="60" w:after="20"/>
              <w:rPr>
                <w:rFonts w:asciiTheme="majorHAnsi" w:hAnsiTheme="majorHAnsi"/>
                <w:szCs w:val="20"/>
              </w:rPr>
            </w:pPr>
            <w:r w:rsidRPr="00BA16B1">
              <w:rPr>
                <w:rFonts w:asciiTheme="majorHAnsi" w:hAnsiTheme="majorHAnsi"/>
                <w:szCs w:val="20"/>
              </w:rPr>
              <w:t>10.  I</w:t>
            </w:r>
            <w:r>
              <w:rPr>
                <w:rFonts w:asciiTheme="majorHAnsi" w:hAnsiTheme="majorHAnsi"/>
                <w:szCs w:val="20"/>
              </w:rPr>
              <w:t xml:space="preserve">ncreased </w:t>
            </w:r>
            <w:r w:rsidRPr="00BA16B1">
              <w:rPr>
                <w:rFonts w:asciiTheme="majorHAnsi" w:hAnsiTheme="majorHAnsi"/>
                <w:szCs w:val="20"/>
              </w:rPr>
              <w:t>engagement with Cambodia’s Private Sector</w:t>
            </w:r>
            <w:r>
              <w:rPr>
                <w:rFonts w:asciiTheme="majorHAnsi" w:hAnsiTheme="majorHAnsi"/>
                <w:szCs w:val="20"/>
              </w:rPr>
              <w:t xml:space="preserve"> in the delivery of the aid program</w:t>
            </w:r>
          </w:p>
        </w:tc>
        <w:tc>
          <w:tcPr>
            <w:tcW w:w="3837" w:type="dxa"/>
            <w:gridSpan w:val="2"/>
            <w:shd w:val="clear" w:color="auto" w:fill="D7DEE2" w:themeFill="text2" w:themeFillTint="33"/>
          </w:tcPr>
          <w:p w14:paraId="2E1729E1" w14:textId="6A98904E" w:rsidR="00462A58" w:rsidRPr="00912960" w:rsidRDefault="00462A58" w:rsidP="00462A58">
            <w:pPr>
              <w:spacing w:before="60" w:after="20"/>
              <w:rPr>
                <w:rFonts w:asciiTheme="majorHAnsi" w:hAnsiTheme="majorHAnsi"/>
                <w:szCs w:val="20"/>
              </w:rPr>
            </w:pPr>
            <w:r w:rsidRPr="00912960">
              <w:rPr>
                <w:rFonts w:asciiTheme="majorHAnsi" w:hAnsiTheme="majorHAnsi"/>
                <w:szCs w:val="20"/>
              </w:rPr>
              <w:t xml:space="preserve">16. Number of co-investment contracts signed with infrastructure SMEs and private equity or impact investors </w:t>
            </w:r>
          </w:p>
        </w:tc>
        <w:tc>
          <w:tcPr>
            <w:tcW w:w="2402" w:type="dxa"/>
            <w:gridSpan w:val="2"/>
            <w:shd w:val="clear" w:color="auto" w:fill="D7DEE2" w:themeFill="text2" w:themeFillTint="33"/>
          </w:tcPr>
          <w:p w14:paraId="49AE59A8" w14:textId="79E4F24C" w:rsidR="00462A58" w:rsidRPr="00912960" w:rsidRDefault="00462A58" w:rsidP="00462A58">
            <w:pPr>
              <w:spacing w:before="60" w:after="20"/>
              <w:rPr>
                <w:rFonts w:asciiTheme="majorHAnsi" w:hAnsiTheme="majorHAnsi"/>
                <w:szCs w:val="20"/>
              </w:rPr>
            </w:pPr>
            <w:r w:rsidRPr="00912960">
              <w:rPr>
                <w:rFonts w:asciiTheme="majorHAnsi" w:hAnsiTheme="majorHAnsi"/>
                <w:szCs w:val="20"/>
              </w:rPr>
              <w:t>25 contracts signed</w:t>
            </w:r>
          </w:p>
        </w:tc>
        <w:tc>
          <w:tcPr>
            <w:tcW w:w="2268" w:type="dxa"/>
            <w:shd w:val="clear" w:color="auto" w:fill="D7DEE2" w:themeFill="text2" w:themeFillTint="33"/>
          </w:tcPr>
          <w:p w14:paraId="5F305860" w14:textId="77777777" w:rsidR="00462A58" w:rsidRPr="009E1C8A" w:rsidRDefault="00462A58" w:rsidP="00462A58">
            <w:pPr>
              <w:spacing w:before="60" w:after="20"/>
              <w:rPr>
                <w:rFonts w:asciiTheme="majorHAnsi" w:hAnsiTheme="majorHAnsi"/>
                <w:color w:val="auto"/>
              </w:rPr>
            </w:pPr>
            <w:r w:rsidRPr="009E1C8A">
              <w:rPr>
                <w:rFonts w:asciiTheme="majorHAnsi" w:hAnsiTheme="majorHAnsi"/>
                <w:szCs w:val="20"/>
              </w:rPr>
              <w:t xml:space="preserve">25 </w:t>
            </w:r>
            <w:r>
              <w:rPr>
                <w:rFonts w:asciiTheme="majorHAnsi" w:hAnsiTheme="majorHAnsi"/>
                <w:szCs w:val="20"/>
              </w:rPr>
              <w:t>c</w:t>
            </w:r>
            <w:r w:rsidRPr="009E1C8A">
              <w:rPr>
                <w:rFonts w:asciiTheme="majorHAnsi" w:hAnsiTheme="majorHAnsi"/>
                <w:szCs w:val="20"/>
              </w:rPr>
              <w:t xml:space="preserve">ontracts </w:t>
            </w:r>
            <w:r>
              <w:rPr>
                <w:rFonts w:asciiTheme="majorHAnsi" w:hAnsiTheme="majorHAnsi"/>
                <w:szCs w:val="20"/>
              </w:rPr>
              <w:t>signed</w:t>
            </w:r>
          </w:p>
          <w:p w14:paraId="40B24F5C" w14:textId="77777777" w:rsidR="00462A58" w:rsidRPr="009E1C8A" w:rsidRDefault="00462A58" w:rsidP="00462A58">
            <w:pPr>
              <w:spacing w:before="60" w:after="20"/>
              <w:rPr>
                <w:rFonts w:asciiTheme="majorHAnsi" w:hAnsiTheme="majorHAnsi"/>
                <w:szCs w:val="20"/>
              </w:rPr>
            </w:pPr>
          </w:p>
        </w:tc>
        <w:tc>
          <w:tcPr>
            <w:tcW w:w="3543" w:type="dxa"/>
            <w:gridSpan w:val="2"/>
            <w:shd w:val="clear" w:color="auto" w:fill="D7DEE2" w:themeFill="text2" w:themeFillTint="33"/>
          </w:tcPr>
          <w:p w14:paraId="139B4149" w14:textId="5CBB43FF" w:rsidR="00462A58" w:rsidRPr="009E1C8A" w:rsidRDefault="00462A58" w:rsidP="00462A58">
            <w:pPr>
              <w:spacing w:before="60" w:after="20"/>
              <w:rPr>
                <w:rFonts w:asciiTheme="majorHAnsi" w:hAnsiTheme="majorHAnsi"/>
                <w:szCs w:val="20"/>
              </w:rPr>
            </w:pPr>
            <w:r>
              <w:rPr>
                <w:rFonts w:asciiTheme="majorHAnsi" w:hAnsiTheme="majorHAnsi"/>
                <w:szCs w:val="20"/>
              </w:rPr>
              <w:t xml:space="preserve">Achieved. 3i </w:t>
            </w:r>
            <w:r w:rsidRPr="009E1C8A">
              <w:rPr>
                <w:rFonts w:asciiTheme="majorHAnsi" w:hAnsiTheme="majorHAnsi"/>
                <w:szCs w:val="20"/>
              </w:rPr>
              <w:t>signed 25 co-investment contracts as of 30 June 2017</w:t>
            </w:r>
            <w:r>
              <w:rPr>
                <w:rFonts w:asciiTheme="majorHAnsi" w:hAnsiTheme="majorHAnsi"/>
                <w:szCs w:val="20"/>
              </w:rPr>
              <w:t xml:space="preserve">. </w:t>
            </w:r>
          </w:p>
        </w:tc>
      </w:tr>
      <w:tr w:rsidR="00462A58" w:rsidRPr="00280CC1" w14:paraId="29F56386" w14:textId="77777777" w:rsidTr="00567D48">
        <w:tc>
          <w:tcPr>
            <w:tcW w:w="2551" w:type="dxa"/>
            <w:tcBorders>
              <w:top w:val="nil"/>
            </w:tcBorders>
            <w:shd w:val="clear" w:color="auto" w:fill="D7DEE2" w:themeFill="text2" w:themeFillTint="33"/>
          </w:tcPr>
          <w:p w14:paraId="208BFDA1" w14:textId="77777777" w:rsidR="00462A58" w:rsidRPr="0029505D" w:rsidRDefault="00462A58" w:rsidP="00462A58">
            <w:pPr>
              <w:spacing w:before="60" w:after="20"/>
              <w:rPr>
                <w:rFonts w:asciiTheme="majorHAnsi" w:hAnsiTheme="majorHAnsi"/>
                <w:szCs w:val="20"/>
              </w:rPr>
            </w:pPr>
          </w:p>
        </w:tc>
        <w:tc>
          <w:tcPr>
            <w:tcW w:w="3837" w:type="dxa"/>
            <w:gridSpan w:val="2"/>
            <w:shd w:val="clear" w:color="auto" w:fill="D7DEE2" w:themeFill="text2" w:themeFillTint="33"/>
          </w:tcPr>
          <w:p w14:paraId="358DC5BB" w14:textId="7DE9B7B3" w:rsidR="00462A58" w:rsidRPr="00912960" w:rsidRDefault="00462A58" w:rsidP="00462A58">
            <w:pPr>
              <w:spacing w:before="60" w:after="20"/>
              <w:rPr>
                <w:rFonts w:asciiTheme="majorHAnsi" w:hAnsiTheme="majorHAnsi"/>
                <w:szCs w:val="20"/>
              </w:rPr>
            </w:pPr>
            <w:r w:rsidRPr="00912960">
              <w:rPr>
                <w:rFonts w:asciiTheme="majorHAnsi" w:hAnsiTheme="majorHAnsi"/>
                <w:szCs w:val="20"/>
              </w:rPr>
              <w:t>17. Value of private investment leveraged (AUD)</w:t>
            </w:r>
          </w:p>
        </w:tc>
        <w:tc>
          <w:tcPr>
            <w:tcW w:w="2402" w:type="dxa"/>
            <w:gridSpan w:val="2"/>
            <w:shd w:val="clear" w:color="auto" w:fill="D7DEE2" w:themeFill="text2" w:themeFillTint="33"/>
          </w:tcPr>
          <w:p w14:paraId="1AE77246" w14:textId="0A393E80" w:rsidR="00462A58" w:rsidRPr="00912960" w:rsidRDefault="00462A58" w:rsidP="00462A58">
            <w:pPr>
              <w:spacing w:before="60" w:after="20"/>
              <w:rPr>
                <w:rFonts w:asciiTheme="majorHAnsi" w:hAnsiTheme="majorHAnsi"/>
                <w:szCs w:val="20"/>
              </w:rPr>
            </w:pPr>
            <w:r w:rsidRPr="00912960">
              <w:rPr>
                <w:rFonts w:asciiTheme="majorHAnsi" w:hAnsiTheme="majorHAnsi"/>
                <w:szCs w:val="20"/>
              </w:rPr>
              <w:t xml:space="preserve"> $3,585,000</w:t>
            </w:r>
          </w:p>
        </w:tc>
        <w:tc>
          <w:tcPr>
            <w:tcW w:w="2268" w:type="dxa"/>
            <w:shd w:val="clear" w:color="auto" w:fill="D7DEE2" w:themeFill="text2" w:themeFillTint="33"/>
          </w:tcPr>
          <w:p w14:paraId="3C17AB04" w14:textId="511F5A57" w:rsidR="00462A58" w:rsidRPr="009E1C8A" w:rsidRDefault="00462A58" w:rsidP="00462A58">
            <w:pPr>
              <w:spacing w:before="60" w:after="20"/>
              <w:rPr>
                <w:rFonts w:asciiTheme="majorHAnsi" w:hAnsiTheme="majorHAnsi"/>
                <w:szCs w:val="20"/>
              </w:rPr>
            </w:pPr>
            <w:r>
              <w:rPr>
                <w:rFonts w:asciiTheme="majorHAnsi" w:hAnsiTheme="majorHAnsi"/>
                <w:szCs w:val="20"/>
              </w:rPr>
              <w:t>$</w:t>
            </w:r>
            <w:r w:rsidRPr="009E1C8A">
              <w:rPr>
                <w:rFonts w:asciiTheme="majorHAnsi" w:hAnsiTheme="majorHAnsi"/>
                <w:szCs w:val="20"/>
              </w:rPr>
              <w:t>8,000,769</w:t>
            </w:r>
          </w:p>
        </w:tc>
        <w:tc>
          <w:tcPr>
            <w:tcW w:w="3543" w:type="dxa"/>
            <w:gridSpan w:val="2"/>
            <w:shd w:val="clear" w:color="auto" w:fill="D7DEE2" w:themeFill="text2" w:themeFillTint="33"/>
          </w:tcPr>
          <w:p w14:paraId="3AD98B08" w14:textId="77777777" w:rsidR="00462A58" w:rsidRPr="009E1C8A" w:rsidRDefault="00462A58" w:rsidP="00462A58">
            <w:pPr>
              <w:spacing w:before="60" w:after="20"/>
              <w:rPr>
                <w:rFonts w:asciiTheme="majorHAnsi" w:hAnsiTheme="majorHAnsi"/>
                <w:szCs w:val="20"/>
              </w:rPr>
            </w:pPr>
            <w:r>
              <w:rPr>
                <w:rFonts w:asciiTheme="majorHAnsi" w:hAnsiTheme="majorHAnsi"/>
                <w:szCs w:val="20"/>
              </w:rPr>
              <w:t>3i</w:t>
            </w:r>
            <w:r w:rsidRPr="009E1C8A">
              <w:rPr>
                <w:rFonts w:asciiTheme="majorHAnsi" w:hAnsiTheme="majorHAnsi"/>
                <w:szCs w:val="20"/>
              </w:rPr>
              <w:t xml:space="preserve"> leveraged </w:t>
            </w:r>
            <w:r>
              <w:rPr>
                <w:rFonts w:asciiTheme="majorHAnsi" w:hAnsiTheme="majorHAnsi"/>
                <w:szCs w:val="20"/>
              </w:rPr>
              <w:t>$</w:t>
            </w:r>
            <w:r w:rsidRPr="009E1C8A">
              <w:rPr>
                <w:rFonts w:asciiTheme="majorHAnsi" w:hAnsiTheme="majorHAnsi"/>
                <w:szCs w:val="20"/>
              </w:rPr>
              <w:t>6,259,335 private investment (calculated as the total value of co-investment commitments across all 25 contracts) as of 30 June 2017. (</w:t>
            </w:r>
            <w:proofErr w:type="gramStart"/>
            <w:r>
              <w:rPr>
                <w:rFonts w:asciiTheme="majorHAnsi" w:hAnsiTheme="majorHAnsi"/>
                <w:szCs w:val="20"/>
              </w:rPr>
              <w:t>l</w:t>
            </w:r>
            <w:r w:rsidRPr="009E1C8A">
              <w:rPr>
                <w:rFonts w:asciiTheme="majorHAnsi" w:hAnsiTheme="majorHAnsi"/>
                <w:szCs w:val="20"/>
              </w:rPr>
              <w:t>everage</w:t>
            </w:r>
            <w:proofErr w:type="gramEnd"/>
            <w:r w:rsidRPr="009E1C8A">
              <w:rPr>
                <w:rFonts w:asciiTheme="majorHAnsi" w:hAnsiTheme="majorHAnsi"/>
                <w:szCs w:val="20"/>
              </w:rPr>
              <w:t xml:space="preserve"> ratio</w:t>
            </w:r>
            <w:r>
              <w:rPr>
                <w:rFonts w:asciiTheme="majorHAnsi" w:hAnsiTheme="majorHAnsi"/>
                <w:szCs w:val="20"/>
              </w:rPr>
              <w:t>*</w:t>
            </w:r>
            <w:r w:rsidRPr="009E1C8A">
              <w:rPr>
                <w:rFonts w:asciiTheme="majorHAnsi" w:hAnsiTheme="majorHAnsi"/>
                <w:szCs w:val="20"/>
              </w:rPr>
              <w:t xml:space="preserve"> </w:t>
            </w:r>
            <w:r>
              <w:rPr>
                <w:rFonts w:asciiTheme="majorHAnsi" w:hAnsiTheme="majorHAnsi"/>
                <w:szCs w:val="20"/>
              </w:rPr>
              <w:t xml:space="preserve">of </w:t>
            </w:r>
            <w:r w:rsidRPr="009E1C8A">
              <w:rPr>
                <w:rFonts w:asciiTheme="majorHAnsi" w:hAnsiTheme="majorHAnsi"/>
                <w:szCs w:val="20"/>
              </w:rPr>
              <w:t>1.6).</w:t>
            </w:r>
          </w:p>
          <w:p w14:paraId="73088C25" w14:textId="46B77A10" w:rsidR="00462A58" w:rsidRDefault="00462A58" w:rsidP="00462A58">
            <w:pPr>
              <w:spacing w:before="60" w:after="20"/>
              <w:rPr>
                <w:rFonts w:asciiTheme="majorHAnsi" w:hAnsiTheme="majorHAnsi"/>
                <w:szCs w:val="20"/>
              </w:rPr>
            </w:pPr>
            <w:r w:rsidRPr="009E1C8A">
              <w:rPr>
                <w:rFonts w:asciiTheme="majorHAnsi" w:hAnsiTheme="majorHAnsi"/>
                <w:szCs w:val="20"/>
              </w:rPr>
              <w:t>CAVAC</w:t>
            </w:r>
            <w:r>
              <w:rPr>
                <w:rFonts w:asciiTheme="majorHAnsi" w:hAnsiTheme="majorHAnsi"/>
                <w:szCs w:val="20"/>
              </w:rPr>
              <w:t xml:space="preserve"> II</w:t>
            </w:r>
            <w:r w:rsidRPr="009E1C8A">
              <w:rPr>
                <w:rFonts w:asciiTheme="majorHAnsi" w:hAnsiTheme="majorHAnsi"/>
                <w:szCs w:val="20"/>
              </w:rPr>
              <w:t xml:space="preserve"> leveraged </w:t>
            </w:r>
            <w:r>
              <w:rPr>
                <w:rFonts w:asciiTheme="majorHAnsi" w:hAnsiTheme="majorHAnsi"/>
                <w:szCs w:val="20"/>
              </w:rPr>
              <w:t>$</w:t>
            </w:r>
            <w:r w:rsidRPr="009E1C8A">
              <w:rPr>
                <w:rFonts w:asciiTheme="majorHAnsi" w:hAnsiTheme="majorHAnsi"/>
                <w:szCs w:val="20"/>
              </w:rPr>
              <w:t xml:space="preserve">1,741,434 private sector investment (leverage ratio </w:t>
            </w:r>
            <w:r>
              <w:rPr>
                <w:rFonts w:asciiTheme="majorHAnsi" w:hAnsiTheme="majorHAnsi"/>
                <w:szCs w:val="20"/>
              </w:rPr>
              <w:t>of</w:t>
            </w:r>
            <w:r w:rsidRPr="009E1C8A">
              <w:rPr>
                <w:rFonts w:asciiTheme="majorHAnsi" w:hAnsiTheme="majorHAnsi"/>
                <w:szCs w:val="20"/>
              </w:rPr>
              <w:t xml:space="preserve"> 1.7).</w:t>
            </w:r>
          </w:p>
        </w:tc>
      </w:tr>
    </w:tbl>
    <w:p w14:paraId="1F6C3140" w14:textId="77777777" w:rsidR="005538B7" w:rsidRPr="009E1C8A" w:rsidRDefault="00F74018" w:rsidP="00F74018">
      <w:pPr>
        <w:rPr>
          <w:rFonts w:eastAsia="Times New Roman"/>
          <w:iCs/>
          <w:sz w:val="17"/>
          <w:szCs w:val="17"/>
        </w:rPr>
      </w:pPr>
      <w:r w:rsidRPr="009E1C8A">
        <w:rPr>
          <w:rFonts w:eastAsia="Times New Roman"/>
          <w:iCs/>
          <w:sz w:val="17"/>
          <w:szCs w:val="17"/>
        </w:rPr>
        <w:t>*</w:t>
      </w:r>
      <w:r w:rsidR="00CE1957">
        <w:rPr>
          <w:rFonts w:eastAsia="Times New Roman"/>
          <w:iCs/>
          <w:sz w:val="17"/>
          <w:szCs w:val="17"/>
        </w:rPr>
        <w:t xml:space="preserve">Leverage ratio is how many additional dollars of private sector investment </w:t>
      </w:r>
      <w:r w:rsidRPr="009E1C8A">
        <w:rPr>
          <w:rFonts w:eastAsia="Times New Roman"/>
          <w:iCs/>
          <w:sz w:val="17"/>
          <w:szCs w:val="17"/>
        </w:rPr>
        <w:t xml:space="preserve">each dollar of </w:t>
      </w:r>
      <w:r w:rsidR="00CE1957">
        <w:rPr>
          <w:rFonts w:eastAsia="Times New Roman"/>
          <w:iCs/>
          <w:sz w:val="17"/>
          <w:szCs w:val="17"/>
        </w:rPr>
        <w:t>program</w:t>
      </w:r>
      <w:r w:rsidRPr="009E1C8A">
        <w:rPr>
          <w:rFonts w:eastAsia="Times New Roman"/>
          <w:iCs/>
          <w:sz w:val="17"/>
          <w:szCs w:val="17"/>
        </w:rPr>
        <w:t xml:space="preserve"> investment </w:t>
      </w:r>
      <w:r w:rsidR="00CE1957">
        <w:rPr>
          <w:rFonts w:eastAsia="Times New Roman"/>
          <w:iCs/>
          <w:sz w:val="17"/>
          <w:szCs w:val="17"/>
        </w:rPr>
        <w:t xml:space="preserve">leverages. </w:t>
      </w:r>
    </w:p>
    <w:p w14:paraId="14AA255E" w14:textId="77777777" w:rsidR="005538B7" w:rsidRDefault="005538B7">
      <w:pPr>
        <w:suppressAutoHyphens w:val="0"/>
        <w:spacing w:before="0" w:after="120" w:line="440" w:lineRule="atLeast"/>
      </w:pPr>
      <w:r>
        <w:br w:type="page"/>
      </w:r>
    </w:p>
    <w:p w14:paraId="5E684034" w14:textId="77777777" w:rsidR="005538B7" w:rsidRDefault="005538B7" w:rsidP="00F74018">
      <w:pPr>
        <w:sectPr w:rsidR="005538B7" w:rsidSect="00261D61">
          <w:headerReference w:type="default" r:id="rId33"/>
          <w:pgSz w:w="16838" w:h="11906" w:orient="landscape" w:code="9"/>
          <w:pgMar w:top="1134" w:right="851" w:bottom="1134" w:left="709" w:header="1418" w:footer="267" w:gutter="0"/>
          <w:cols w:space="397"/>
          <w:docGrid w:linePitch="360"/>
        </w:sectPr>
      </w:pPr>
    </w:p>
    <w:p w14:paraId="60740429" w14:textId="77777777" w:rsidR="005538B7" w:rsidRDefault="005538B7" w:rsidP="005538B7">
      <w:pPr>
        <w:rPr>
          <w:rFonts w:eastAsiaTheme="majorEastAsia" w:cstheme="majorBidi"/>
          <w:bCs/>
          <w:iCs/>
          <w:caps/>
          <w:spacing w:val="-10"/>
          <w:kern w:val="28"/>
          <w:sz w:val="38"/>
          <w:szCs w:val="24"/>
        </w:rPr>
      </w:pPr>
      <w:r w:rsidRPr="00BE737D">
        <w:rPr>
          <w:rFonts w:eastAsiaTheme="majorEastAsia" w:cstheme="majorBidi"/>
          <w:bCs/>
          <w:iCs/>
          <w:caps/>
          <w:spacing w:val="-10"/>
          <w:kern w:val="28"/>
          <w:sz w:val="38"/>
          <w:szCs w:val="24"/>
        </w:rPr>
        <w:lastRenderedPageBreak/>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030BB2" w14:paraId="6EDA30A0" w14:textId="77777777" w:rsidTr="006F230A">
        <w:trPr>
          <w:trHeight w:val="1156"/>
        </w:trPr>
        <w:tc>
          <w:tcPr>
            <w:tcW w:w="1271" w:type="dxa"/>
            <w:shd w:val="clear" w:color="auto" w:fill="D7DEE2" w:themeFill="text2" w:themeFillTint="33"/>
          </w:tcPr>
          <w:p w14:paraId="5DD08564" w14:textId="77777777" w:rsidR="005538B7" w:rsidRDefault="005538B7" w:rsidP="006F230A">
            <w:pPr>
              <w:spacing w:before="80" w:after="80"/>
            </w:pPr>
            <w:r w:rsidRPr="00F75380">
              <w:rPr>
                <w:noProof/>
                <w:lang w:val="en-AU" w:eastAsia="en-AU" w:bidi="km-KH"/>
              </w:rPr>
              <w:drawing>
                <wp:inline distT="0" distB="0" distL="0" distR="0" wp14:anchorId="2AD12F50" wp14:editId="3610DD9D">
                  <wp:extent cx="612000" cy="612000"/>
                  <wp:effectExtent l="0" t="0" r="0" b="0"/>
                  <wp:docPr id="20" name="Picture 20"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14:paraId="239A27C5" w14:textId="77777777" w:rsidR="005538B7" w:rsidRPr="00AB289B" w:rsidRDefault="005538B7" w:rsidP="006F230A">
            <w:pPr>
              <w:spacing w:before="80" w:after="80"/>
              <w:rPr>
                <w:sz w:val="16"/>
              </w:rPr>
            </w:pPr>
            <w:r w:rsidRPr="00AB289B">
              <w:rPr>
                <w:sz w:val="16"/>
              </w:rPr>
              <w:t>End poverty in all its</w:t>
            </w:r>
            <w:r>
              <w:rPr>
                <w:sz w:val="16"/>
              </w:rPr>
              <w:t xml:space="preserve"> </w:t>
            </w:r>
            <w:r w:rsidRPr="00AB289B">
              <w:rPr>
                <w:sz w:val="16"/>
              </w:rPr>
              <w:t>forms everywhere</w:t>
            </w:r>
          </w:p>
        </w:tc>
        <w:tc>
          <w:tcPr>
            <w:tcW w:w="283" w:type="dxa"/>
            <w:shd w:val="clear" w:color="auto" w:fill="D7DEE2" w:themeFill="text2" w:themeFillTint="33"/>
          </w:tcPr>
          <w:p w14:paraId="6BF46D42" w14:textId="77777777" w:rsidR="005538B7" w:rsidRDefault="005538B7" w:rsidP="006F230A"/>
        </w:tc>
        <w:tc>
          <w:tcPr>
            <w:tcW w:w="1276" w:type="dxa"/>
            <w:shd w:val="clear" w:color="auto" w:fill="D7DEE2" w:themeFill="text2" w:themeFillTint="33"/>
          </w:tcPr>
          <w:p w14:paraId="1B105BC3" w14:textId="77777777" w:rsidR="005538B7" w:rsidRDefault="005538B7" w:rsidP="006F230A">
            <w:pPr>
              <w:spacing w:before="80" w:after="80"/>
            </w:pPr>
            <w:r>
              <w:rPr>
                <w:noProof/>
                <w:lang w:val="en-AU" w:eastAsia="en-AU" w:bidi="km-KH"/>
              </w:rPr>
              <w:drawing>
                <wp:inline distT="0" distB="0" distL="0" distR="0" wp14:anchorId="4012A9CD" wp14:editId="2708E82E">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5D9D1923" w14:textId="77777777" w:rsidR="005538B7" w:rsidRPr="00AB289B" w:rsidRDefault="005538B7" w:rsidP="006F230A">
            <w:pPr>
              <w:spacing w:before="80" w:after="80"/>
              <w:rPr>
                <w:sz w:val="16"/>
              </w:rPr>
            </w:pPr>
            <w:r w:rsidRPr="00AB289B">
              <w:rPr>
                <w:sz w:val="16"/>
              </w:rPr>
              <w:t>Reduce inequality within</w:t>
            </w:r>
            <w:r>
              <w:rPr>
                <w:sz w:val="16"/>
              </w:rPr>
              <w:t xml:space="preserve"> </w:t>
            </w:r>
            <w:r w:rsidRPr="00AB289B">
              <w:rPr>
                <w:sz w:val="16"/>
              </w:rPr>
              <w:t>and among countries</w:t>
            </w:r>
          </w:p>
        </w:tc>
      </w:tr>
      <w:tr w:rsidR="00030BB2" w14:paraId="53DE78D0" w14:textId="77777777" w:rsidTr="006F230A">
        <w:tc>
          <w:tcPr>
            <w:tcW w:w="1271" w:type="dxa"/>
            <w:shd w:val="clear" w:color="auto" w:fill="D7DEE2" w:themeFill="text2" w:themeFillTint="33"/>
          </w:tcPr>
          <w:p w14:paraId="43884CF5" w14:textId="77777777" w:rsidR="005538B7" w:rsidRDefault="005538B7" w:rsidP="006F230A">
            <w:pPr>
              <w:spacing w:before="80" w:after="80"/>
            </w:pPr>
            <w:r>
              <w:rPr>
                <w:noProof/>
                <w:lang w:val="en-AU" w:eastAsia="en-AU" w:bidi="km-KH"/>
              </w:rPr>
              <w:drawing>
                <wp:inline distT="0" distB="0" distL="0" distR="0" wp14:anchorId="1BBFE3DC" wp14:editId="2B953CC6">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5EFD1CF5" w14:textId="77777777" w:rsidR="005538B7" w:rsidRPr="00AB289B" w:rsidRDefault="005538B7" w:rsidP="006F230A">
            <w:pPr>
              <w:spacing w:before="80" w:after="80"/>
              <w:rPr>
                <w:sz w:val="16"/>
              </w:rPr>
            </w:pPr>
            <w:r w:rsidRPr="00AB289B">
              <w:rPr>
                <w:sz w:val="16"/>
              </w:rPr>
              <w:t>End hunger, achieve</w:t>
            </w:r>
            <w:r>
              <w:rPr>
                <w:sz w:val="16"/>
              </w:rPr>
              <w:t xml:space="preserve"> </w:t>
            </w:r>
            <w:r w:rsidRPr="00AB289B">
              <w:rPr>
                <w:sz w:val="16"/>
              </w:rPr>
              <w:t>food security and</w:t>
            </w:r>
            <w:r>
              <w:rPr>
                <w:sz w:val="16"/>
              </w:rPr>
              <w:t xml:space="preserve"> </w:t>
            </w:r>
            <w:r w:rsidRPr="00AB289B">
              <w:rPr>
                <w:sz w:val="16"/>
              </w:rPr>
              <w:t>improved nutrition and</w:t>
            </w:r>
            <w:r>
              <w:rPr>
                <w:sz w:val="16"/>
              </w:rPr>
              <w:t xml:space="preserve"> </w:t>
            </w:r>
            <w:r w:rsidRPr="00AB289B">
              <w:rPr>
                <w:sz w:val="16"/>
              </w:rPr>
              <w:t>promote sustainable</w:t>
            </w:r>
            <w:r>
              <w:rPr>
                <w:sz w:val="16"/>
              </w:rPr>
              <w:t xml:space="preserve"> </w:t>
            </w:r>
            <w:r w:rsidRPr="00AB289B">
              <w:rPr>
                <w:sz w:val="16"/>
              </w:rPr>
              <w:t>agriculture</w:t>
            </w:r>
          </w:p>
        </w:tc>
        <w:tc>
          <w:tcPr>
            <w:tcW w:w="283" w:type="dxa"/>
            <w:shd w:val="clear" w:color="auto" w:fill="D7DEE2" w:themeFill="text2" w:themeFillTint="33"/>
          </w:tcPr>
          <w:p w14:paraId="2F4CC78F" w14:textId="77777777" w:rsidR="005538B7" w:rsidRDefault="005538B7" w:rsidP="006F230A"/>
        </w:tc>
        <w:tc>
          <w:tcPr>
            <w:tcW w:w="1276" w:type="dxa"/>
            <w:shd w:val="clear" w:color="auto" w:fill="D7DEE2" w:themeFill="text2" w:themeFillTint="33"/>
          </w:tcPr>
          <w:p w14:paraId="2F9089A6" w14:textId="77777777" w:rsidR="005538B7" w:rsidRDefault="005538B7" w:rsidP="006F230A">
            <w:pPr>
              <w:spacing w:before="80" w:after="80"/>
            </w:pPr>
            <w:r>
              <w:rPr>
                <w:noProof/>
                <w:lang w:val="en-AU" w:eastAsia="en-AU" w:bidi="km-KH"/>
              </w:rPr>
              <w:drawing>
                <wp:inline distT="0" distB="0" distL="0" distR="0" wp14:anchorId="17494735" wp14:editId="713D7678">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56FD70D5" w14:textId="77777777" w:rsidR="005538B7" w:rsidRPr="00AB289B" w:rsidRDefault="005538B7" w:rsidP="006F230A">
            <w:pPr>
              <w:spacing w:before="80" w:after="80"/>
              <w:rPr>
                <w:sz w:val="16"/>
              </w:rPr>
            </w:pPr>
            <w:r w:rsidRPr="00AB289B">
              <w:rPr>
                <w:sz w:val="16"/>
              </w:rPr>
              <w:t>Make cities and human</w:t>
            </w:r>
            <w:r>
              <w:rPr>
                <w:sz w:val="16"/>
              </w:rPr>
              <w:t xml:space="preserve"> </w:t>
            </w:r>
            <w:r w:rsidRPr="00AB289B">
              <w:rPr>
                <w:sz w:val="16"/>
              </w:rPr>
              <w:t>settlements inclusive,</w:t>
            </w:r>
            <w:r>
              <w:rPr>
                <w:sz w:val="16"/>
              </w:rPr>
              <w:t xml:space="preserve"> </w:t>
            </w:r>
            <w:r w:rsidRPr="00AB289B">
              <w:rPr>
                <w:sz w:val="16"/>
              </w:rPr>
              <w:t>safe, resilient and</w:t>
            </w:r>
            <w:r>
              <w:rPr>
                <w:sz w:val="16"/>
              </w:rPr>
              <w:t xml:space="preserve"> </w:t>
            </w:r>
            <w:r w:rsidRPr="00AB289B">
              <w:rPr>
                <w:sz w:val="16"/>
              </w:rPr>
              <w:t>sustainable</w:t>
            </w:r>
          </w:p>
        </w:tc>
      </w:tr>
      <w:tr w:rsidR="00030BB2" w14:paraId="35C60221" w14:textId="77777777" w:rsidTr="006F230A">
        <w:tc>
          <w:tcPr>
            <w:tcW w:w="1271" w:type="dxa"/>
            <w:shd w:val="clear" w:color="auto" w:fill="D7DEE2" w:themeFill="text2" w:themeFillTint="33"/>
          </w:tcPr>
          <w:p w14:paraId="18CDB0D0" w14:textId="77777777" w:rsidR="005538B7" w:rsidRDefault="005538B7" w:rsidP="006F230A">
            <w:pPr>
              <w:spacing w:before="80" w:after="80"/>
            </w:pPr>
            <w:r>
              <w:rPr>
                <w:noProof/>
                <w:lang w:val="en-AU" w:eastAsia="en-AU" w:bidi="km-KH"/>
              </w:rPr>
              <w:drawing>
                <wp:inline distT="0" distB="0" distL="0" distR="0" wp14:anchorId="5DF6DEF7" wp14:editId="62D48FDB">
                  <wp:extent cx="612000" cy="61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2604C899" w14:textId="77777777" w:rsidR="005538B7" w:rsidRPr="00AB289B" w:rsidRDefault="005538B7" w:rsidP="006F230A">
            <w:pPr>
              <w:spacing w:before="80" w:after="80"/>
              <w:rPr>
                <w:sz w:val="16"/>
              </w:rPr>
            </w:pPr>
            <w:r w:rsidRPr="00AB289B">
              <w:rPr>
                <w:sz w:val="16"/>
              </w:rPr>
              <w:t>Ensure healthy lives</w:t>
            </w:r>
            <w:r>
              <w:rPr>
                <w:sz w:val="16"/>
              </w:rPr>
              <w:t xml:space="preserve"> </w:t>
            </w:r>
            <w:r w:rsidRPr="00AB289B">
              <w:rPr>
                <w:sz w:val="16"/>
              </w:rPr>
              <w:t>and promote well-being</w:t>
            </w:r>
            <w:r>
              <w:rPr>
                <w:sz w:val="16"/>
              </w:rPr>
              <w:t xml:space="preserve"> </w:t>
            </w:r>
            <w:r w:rsidRPr="00AB289B">
              <w:rPr>
                <w:sz w:val="16"/>
              </w:rPr>
              <w:t>at all ages</w:t>
            </w:r>
          </w:p>
        </w:tc>
        <w:tc>
          <w:tcPr>
            <w:tcW w:w="283" w:type="dxa"/>
            <w:shd w:val="clear" w:color="auto" w:fill="D7DEE2" w:themeFill="text2" w:themeFillTint="33"/>
          </w:tcPr>
          <w:p w14:paraId="20904F6E" w14:textId="77777777" w:rsidR="005538B7" w:rsidRDefault="005538B7" w:rsidP="006F230A"/>
        </w:tc>
        <w:tc>
          <w:tcPr>
            <w:tcW w:w="1276" w:type="dxa"/>
            <w:shd w:val="clear" w:color="auto" w:fill="D7DEE2" w:themeFill="text2" w:themeFillTint="33"/>
          </w:tcPr>
          <w:p w14:paraId="5B43EB21" w14:textId="77777777" w:rsidR="005538B7" w:rsidRDefault="005538B7" w:rsidP="006F230A">
            <w:pPr>
              <w:spacing w:before="80" w:after="80"/>
            </w:pPr>
            <w:r>
              <w:rPr>
                <w:noProof/>
                <w:lang w:val="en-AU" w:eastAsia="en-AU" w:bidi="km-KH"/>
              </w:rPr>
              <w:drawing>
                <wp:inline distT="0" distB="0" distL="0" distR="0" wp14:anchorId="0F9FB481" wp14:editId="7CDC7A92">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57A0255B" w14:textId="77777777" w:rsidR="005538B7" w:rsidRPr="00AB289B" w:rsidRDefault="005538B7" w:rsidP="006F230A">
            <w:pPr>
              <w:spacing w:before="80" w:after="80"/>
              <w:rPr>
                <w:sz w:val="16"/>
              </w:rPr>
            </w:pPr>
            <w:r w:rsidRPr="00AB289B">
              <w:rPr>
                <w:sz w:val="16"/>
              </w:rPr>
              <w:t>Ensure sustainable</w:t>
            </w:r>
            <w:r>
              <w:rPr>
                <w:sz w:val="16"/>
              </w:rPr>
              <w:t xml:space="preserve"> </w:t>
            </w:r>
            <w:r w:rsidRPr="00AB289B">
              <w:rPr>
                <w:sz w:val="16"/>
              </w:rPr>
              <w:t>consumption and</w:t>
            </w:r>
            <w:r>
              <w:rPr>
                <w:sz w:val="16"/>
              </w:rPr>
              <w:t xml:space="preserve"> </w:t>
            </w:r>
            <w:r w:rsidRPr="00AB289B">
              <w:rPr>
                <w:sz w:val="16"/>
              </w:rPr>
              <w:t>production patterns</w:t>
            </w:r>
          </w:p>
        </w:tc>
      </w:tr>
      <w:tr w:rsidR="00030BB2" w14:paraId="4A5FA131" w14:textId="77777777" w:rsidTr="006F230A">
        <w:tc>
          <w:tcPr>
            <w:tcW w:w="1271" w:type="dxa"/>
            <w:shd w:val="clear" w:color="auto" w:fill="D7DEE2" w:themeFill="text2" w:themeFillTint="33"/>
          </w:tcPr>
          <w:p w14:paraId="084C7F50" w14:textId="77777777" w:rsidR="005538B7" w:rsidRDefault="005538B7" w:rsidP="006F230A">
            <w:pPr>
              <w:spacing w:before="80" w:after="80"/>
            </w:pPr>
            <w:r>
              <w:rPr>
                <w:noProof/>
                <w:lang w:val="en-AU" w:eastAsia="en-AU" w:bidi="km-KH"/>
              </w:rPr>
              <w:drawing>
                <wp:inline distT="0" distB="0" distL="0" distR="0" wp14:anchorId="31573EB5" wp14:editId="7B0D6F68">
                  <wp:extent cx="612000" cy="61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79BCD2F0" w14:textId="77777777" w:rsidR="005538B7" w:rsidRPr="00AB289B" w:rsidRDefault="005538B7" w:rsidP="006F230A">
            <w:pPr>
              <w:spacing w:before="80" w:after="80"/>
              <w:rPr>
                <w:sz w:val="16"/>
              </w:rPr>
            </w:pPr>
            <w:r w:rsidRPr="00AB289B">
              <w:rPr>
                <w:sz w:val="16"/>
              </w:rPr>
              <w:t>Ensure inclusive and</w:t>
            </w:r>
            <w:r>
              <w:rPr>
                <w:sz w:val="16"/>
              </w:rPr>
              <w:t xml:space="preserve"> </w:t>
            </w:r>
            <w:r w:rsidRPr="00AB289B">
              <w:rPr>
                <w:sz w:val="16"/>
              </w:rPr>
              <w:t>equitable quality</w:t>
            </w:r>
            <w:r>
              <w:rPr>
                <w:sz w:val="16"/>
              </w:rPr>
              <w:t xml:space="preserve"> </w:t>
            </w:r>
            <w:r w:rsidRPr="00AB289B">
              <w:rPr>
                <w:sz w:val="16"/>
              </w:rPr>
              <w:t>education and promote</w:t>
            </w:r>
            <w:r>
              <w:rPr>
                <w:sz w:val="16"/>
              </w:rPr>
              <w:t xml:space="preserve"> </w:t>
            </w:r>
            <w:r w:rsidRPr="00AB289B">
              <w:rPr>
                <w:sz w:val="16"/>
              </w:rPr>
              <w:t>lifelong learning</w:t>
            </w:r>
            <w:r>
              <w:rPr>
                <w:sz w:val="16"/>
              </w:rPr>
              <w:t xml:space="preserve"> </w:t>
            </w:r>
            <w:r w:rsidRPr="00AB289B">
              <w:rPr>
                <w:sz w:val="16"/>
              </w:rPr>
              <w:t>opportunities for all</w:t>
            </w:r>
          </w:p>
        </w:tc>
        <w:tc>
          <w:tcPr>
            <w:tcW w:w="283" w:type="dxa"/>
            <w:shd w:val="clear" w:color="auto" w:fill="D7DEE2" w:themeFill="text2" w:themeFillTint="33"/>
          </w:tcPr>
          <w:p w14:paraId="5BF527D7" w14:textId="77777777" w:rsidR="005538B7" w:rsidRDefault="005538B7" w:rsidP="006F230A"/>
        </w:tc>
        <w:tc>
          <w:tcPr>
            <w:tcW w:w="1276" w:type="dxa"/>
            <w:shd w:val="clear" w:color="auto" w:fill="D7DEE2" w:themeFill="text2" w:themeFillTint="33"/>
          </w:tcPr>
          <w:p w14:paraId="6706373F" w14:textId="77777777" w:rsidR="005538B7" w:rsidRDefault="005538B7" w:rsidP="006F230A">
            <w:pPr>
              <w:spacing w:before="80" w:after="80"/>
            </w:pPr>
            <w:r>
              <w:rPr>
                <w:noProof/>
                <w:lang w:val="en-AU" w:eastAsia="en-AU" w:bidi="km-KH"/>
              </w:rPr>
              <w:drawing>
                <wp:inline distT="0" distB="0" distL="0" distR="0" wp14:anchorId="4D77D7D3" wp14:editId="099F9AFD">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74826B69" w14:textId="77777777" w:rsidR="005538B7" w:rsidRPr="00AB289B" w:rsidRDefault="005538B7" w:rsidP="006F230A">
            <w:pPr>
              <w:spacing w:before="80" w:after="80"/>
              <w:rPr>
                <w:sz w:val="16"/>
              </w:rPr>
            </w:pPr>
            <w:r w:rsidRPr="00AB289B">
              <w:rPr>
                <w:sz w:val="16"/>
              </w:rPr>
              <w:t>Take urgent action to</w:t>
            </w:r>
            <w:r>
              <w:rPr>
                <w:sz w:val="16"/>
              </w:rPr>
              <w:t xml:space="preserve"> </w:t>
            </w:r>
            <w:r w:rsidRPr="00AB289B">
              <w:rPr>
                <w:sz w:val="16"/>
              </w:rPr>
              <w:t>combat climate change</w:t>
            </w:r>
            <w:r>
              <w:rPr>
                <w:sz w:val="16"/>
              </w:rPr>
              <w:t xml:space="preserve"> </w:t>
            </w:r>
            <w:r w:rsidRPr="00AB289B">
              <w:rPr>
                <w:sz w:val="16"/>
              </w:rPr>
              <w:t>and its impacts</w:t>
            </w:r>
          </w:p>
        </w:tc>
      </w:tr>
      <w:tr w:rsidR="00030BB2" w14:paraId="075752E5" w14:textId="77777777" w:rsidTr="006F230A">
        <w:tc>
          <w:tcPr>
            <w:tcW w:w="1271" w:type="dxa"/>
            <w:shd w:val="clear" w:color="auto" w:fill="D7DEE2" w:themeFill="text2" w:themeFillTint="33"/>
          </w:tcPr>
          <w:p w14:paraId="51B7ACFE" w14:textId="77777777" w:rsidR="005538B7" w:rsidRDefault="005538B7" w:rsidP="006F230A">
            <w:pPr>
              <w:spacing w:before="80" w:after="80"/>
            </w:pPr>
            <w:r>
              <w:rPr>
                <w:noProof/>
                <w:lang w:val="en-AU" w:eastAsia="en-AU" w:bidi="km-KH"/>
              </w:rPr>
              <w:drawing>
                <wp:inline distT="0" distB="0" distL="0" distR="0" wp14:anchorId="4B098D83" wp14:editId="4886BDDF">
                  <wp:extent cx="612000" cy="612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0E745E19" w14:textId="77777777" w:rsidR="005538B7" w:rsidRPr="00AB289B" w:rsidRDefault="005538B7" w:rsidP="006F230A">
            <w:pPr>
              <w:spacing w:before="80" w:after="80"/>
              <w:rPr>
                <w:sz w:val="16"/>
              </w:rPr>
            </w:pPr>
            <w:r w:rsidRPr="00AB289B">
              <w:rPr>
                <w:sz w:val="16"/>
              </w:rPr>
              <w:t>Achieve gender</w:t>
            </w:r>
            <w:r>
              <w:rPr>
                <w:sz w:val="16"/>
              </w:rPr>
              <w:t xml:space="preserve"> </w:t>
            </w:r>
            <w:r w:rsidRPr="00AB289B">
              <w:rPr>
                <w:sz w:val="16"/>
              </w:rPr>
              <w:t>equality and</w:t>
            </w:r>
            <w:r>
              <w:rPr>
                <w:sz w:val="16"/>
              </w:rPr>
              <w:t xml:space="preserve"> </w:t>
            </w:r>
            <w:r w:rsidRPr="00AB289B">
              <w:rPr>
                <w:sz w:val="16"/>
              </w:rPr>
              <w:t>empower all</w:t>
            </w:r>
            <w:r>
              <w:rPr>
                <w:sz w:val="16"/>
              </w:rPr>
              <w:t xml:space="preserve"> </w:t>
            </w:r>
            <w:r w:rsidRPr="00AB289B">
              <w:rPr>
                <w:sz w:val="16"/>
              </w:rPr>
              <w:t>women and girls</w:t>
            </w:r>
          </w:p>
        </w:tc>
        <w:tc>
          <w:tcPr>
            <w:tcW w:w="283" w:type="dxa"/>
            <w:shd w:val="clear" w:color="auto" w:fill="D7DEE2" w:themeFill="text2" w:themeFillTint="33"/>
          </w:tcPr>
          <w:p w14:paraId="214AA60C" w14:textId="77777777" w:rsidR="005538B7" w:rsidRDefault="005538B7" w:rsidP="006F230A"/>
        </w:tc>
        <w:tc>
          <w:tcPr>
            <w:tcW w:w="1276" w:type="dxa"/>
            <w:shd w:val="clear" w:color="auto" w:fill="D7DEE2" w:themeFill="text2" w:themeFillTint="33"/>
          </w:tcPr>
          <w:p w14:paraId="47D0E058" w14:textId="77777777" w:rsidR="005538B7" w:rsidRDefault="005538B7" w:rsidP="006F230A">
            <w:pPr>
              <w:spacing w:before="80" w:after="80"/>
            </w:pPr>
            <w:r>
              <w:rPr>
                <w:noProof/>
                <w:lang w:val="en-AU" w:eastAsia="en-AU" w:bidi="km-KH"/>
              </w:rPr>
              <w:drawing>
                <wp:inline distT="0" distB="0" distL="0" distR="0" wp14:anchorId="742EE156" wp14:editId="45878B77">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333B5C79" w14:textId="77777777" w:rsidR="005538B7" w:rsidRPr="00AB289B" w:rsidRDefault="005538B7" w:rsidP="006F230A">
            <w:pPr>
              <w:spacing w:before="80" w:after="80"/>
              <w:rPr>
                <w:sz w:val="16"/>
              </w:rPr>
            </w:pPr>
            <w:r w:rsidRPr="00AB289B">
              <w:rPr>
                <w:sz w:val="16"/>
              </w:rPr>
              <w:t>Conserve and sustainably</w:t>
            </w:r>
            <w:r>
              <w:rPr>
                <w:sz w:val="16"/>
              </w:rPr>
              <w:t xml:space="preserve"> </w:t>
            </w:r>
            <w:r w:rsidRPr="00AB289B">
              <w:rPr>
                <w:sz w:val="16"/>
              </w:rPr>
              <w:t>use the oceans, seas and</w:t>
            </w:r>
            <w:r>
              <w:rPr>
                <w:sz w:val="16"/>
              </w:rPr>
              <w:t xml:space="preserve"> </w:t>
            </w:r>
            <w:r w:rsidRPr="00AB289B">
              <w:rPr>
                <w:sz w:val="16"/>
              </w:rPr>
              <w:t>marine resources for</w:t>
            </w:r>
            <w:r>
              <w:rPr>
                <w:sz w:val="16"/>
              </w:rPr>
              <w:t xml:space="preserve"> </w:t>
            </w:r>
            <w:r w:rsidRPr="00AB289B">
              <w:rPr>
                <w:sz w:val="16"/>
              </w:rPr>
              <w:t>sustainable development</w:t>
            </w:r>
          </w:p>
        </w:tc>
      </w:tr>
      <w:tr w:rsidR="00030BB2" w14:paraId="41108013" w14:textId="77777777" w:rsidTr="006F230A">
        <w:tc>
          <w:tcPr>
            <w:tcW w:w="1271" w:type="dxa"/>
            <w:shd w:val="clear" w:color="auto" w:fill="D7DEE2" w:themeFill="text2" w:themeFillTint="33"/>
          </w:tcPr>
          <w:p w14:paraId="3C13D2DD" w14:textId="77777777" w:rsidR="005538B7" w:rsidRDefault="005538B7" w:rsidP="006F230A">
            <w:pPr>
              <w:spacing w:before="80" w:after="80"/>
            </w:pPr>
            <w:r>
              <w:rPr>
                <w:noProof/>
                <w:lang w:val="en-AU" w:eastAsia="en-AU" w:bidi="km-KH"/>
              </w:rPr>
              <w:drawing>
                <wp:inline distT="0" distB="0" distL="0" distR="0" wp14:anchorId="7BFE2B5E" wp14:editId="60D2BEDD">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5F8D408D" w14:textId="77777777" w:rsidR="005538B7" w:rsidRPr="00AB289B" w:rsidRDefault="005538B7" w:rsidP="006F230A">
            <w:pPr>
              <w:spacing w:before="80" w:after="80"/>
              <w:rPr>
                <w:sz w:val="16"/>
              </w:rPr>
            </w:pPr>
            <w:r w:rsidRPr="00AB289B">
              <w:rPr>
                <w:sz w:val="16"/>
              </w:rPr>
              <w:t>Ensure availability</w:t>
            </w:r>
            <w:r>
              <w:rPr>
                <w:sz w:val="16"/>
              </w:rPr>
              <w:t xml:space="preserve"> </w:t>
            </w:r>
            <w:r w:rsidRPr="00AB289B">
              <w:rPr>
                <w:sz w:val="16"/>
              </w:rPr>
              <w:t>and sustainability</w:t>
            </w:r>
            <w:r>
              <w:rPr>
                <w:sz w:val="16"/>
              </w:rPr>
              <w:t xml:space="preserve"> </w:t>
            </w:r>
            <w:r w:rsidRPr="00AB289B">
              <w:rPr>
                <w:sz w:val="16"/>
              </w:rPr>
              <w:t>management of water</w:t>
            </w:r>
            <w:r>
              <w:rPr>
                <w:sz w:val="16"/>
              </w:rPr>
              <w:t xml:space="preserve"> </w:t>
            </w:r>
            <w:r w:rsidRPr="00AB289B">
              <w:rPr>
                <w:sz w:val="16"/>
              </w:rPr>
              <w:t>and sanitation for all</w:t>
            </w:r>
          </w:p>
        </w:tc>
        <w:tc>
          <w:tcPr>
            <w:tcW w:w="283" w:type="dxa"/>
            <w:shd w:val="clear" w:color="auto" w:fill="D7DEE2" w:themeFill="text2" w:themeFillTint="33"/>
          </w:tcPr>
          <w:p w14:paraId="48F23A03" w14:textId="77777777" w:rsidR="005538B7" w:rsidRDefault="005538B7" w:rsidP="006F230A"/>
        </w:tc>
        <w:tc>
          <w:tcPr>
            <w:tcW w:w="1276" w:type="dxa"/>
            <w:shd w:val="clear" w:color="auto" w:fill="D7DEE2" w:themeFill="text2" w:themeFillTint="33"/>
          </w:tcPr>
          <w:p w14:paraId="0FA8684C" w14:textId="77777777" w:rsidR="005538B7" w:rsidRDefault="005538B7" w:rsidP="006F230A">
            <w:pPr>
              <w:spacing w:before="80" w:after="80"/>
            </w:pPr>
            <w:r>
              <w:rPr>
                <w:noProof/>
                <w:lang w:val="en-AU" w:eastAsia="en-AU" w:bidi="km-KH"/>
              </w:rPr>
              <w:drawing>
                <wp:inline distT="0" distB="0" distL="0" distR="0" wp14:anchorId="0FF11F19" wp14:editId="3042AA65">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4AB5F1F7" w14:textId="77777777" w:rsidR="005538B7" w:rsidRPr="00AB289B" w:rsidRDefault="005538B7" w:rsidP="006F230A">
            <w:pPr>
              <w:spacing w:before="80" w:after="80"/>
              <w:rPr>
                <w:sz w:val="16"/>
              </w:rPr>
            </w:pPr>
            <w:r w:rsidRPr="00AB289B">
              <w:rPr>
                <w:sz w:val="16"/>
              </w:rPr>
              <w:t>Protect, restore and</w:t>
            </w:r>
            <w:r>
              <w:rPr>
                <w:sz w:val="16"/>
              </w:rPr>
              <w:t xml:space="preserve"> </w:t>
            </w:r>
            <w:r w:rsidRPr="00AB289B">
              <w:rPr>
                <w:sz w:val="16"/>
              </w:rPr>
              <w:t>promote sustainable use</w:t>
            </w:r>
            <w:r>
              <w:rPr>
                <w:sz w:val="16"/>
              </w:rPr>
              <w:t xml:space="preserve"> </w:t>
            </w:r>
            <w:r w:rsidRPr="00AB289B">
              <w:rPr>
                <w:sz w:val="16"/>
              </w:rPr>
              <w:t>of terrestrial ecosystems</w:t>
            </w:r>
          </w:p>
        </w:tc>
      </w:tr>
      <w:tr w:rsidR="00030BB2" w14:paraId="0F217CD6" w14:textId="77777777" w:rsidTr="006F230A">
        <w:tc>
          <w:tcPr>
            <w:tcW w:w="1271" w:type="dxa"/>
            <w:shd w:val="clear" w:color="auto" w:fill="D7DEE2" w:themeFill="text2" w:themeFillTint="33"/>
          </w:tcPr>
          <w:p w14:paraId="310E2F98" w14:textId="77777777" w:rsidR="005538B7" w:rsidRDefault="005538B7" w:rsidP="006F230A">
            <w:pPr>
              <w:spacing w:before="80" w:after="80"/>
            </w:pPr>
            <w:r>
              <w:rPr>
                <w:noProof/>
                <w:lang w:val="en-AU" w:eastAsia="en-AU" w:bidi="km-KH"/>
              </w:rPr>
              <w:drawing>
                <wp:inline distT="0" distB="0" distL="0" distR="0" wp14:anchorId="088FB3E5" wp14:editId="0BF50B72">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0844BA21" w14:textId="77777777" w:rsidR="005538B7" w:rsidRPr="00AB289B" w:rsidRDefault="005538B7" w:rsidP="006F230A">
            <w:pPr>
              <w:spacing w:before="80" w:after="80"/>
              <w:rPr>
                <w:sz w:val="16"/>
              </w:rPr>
            </w:pPr>
            <w:r w:rsidRPr="00AB289B">
              <w:rPr>
                <w:sz w:val="16"/>
              </w:rPr>
              <w:t>Ensure access to affordable,</w:t>
            </w:r>
            <w:r>
              <w:rPr>
                <w:sz w:val="16"/>
              </w:rPr>
              <w:t xml:space="preserve"> </w:t>
            </w:r>
            <w:r w:rsidRPr="00AB289B">
              <w:rPr>
                <w:sz w:val="16"/>
              </w:rPr>
              <w:t>reliable sustainable and</w:t>
            </w:r>
            <w:r>
              <w:rPr>
                <w:sz w:val="16"/>
              </w:rPr>
              <w:t xml:space="preserve"> </w:t>
            </w:r>
            <w:r w:rsidRPr="00AB289B">
              <w:rPr>
                <w:sz w:val="16"/>
              </w:rPr>
              <w:t>modern energy for all</w:t>
            </w:r>
          </w:p>
        </w:tc>
        <w:tc>
          <w:tcPr>
            <w:tcW w:w="283" w:type="dxa"/>
            <w:shd w:val="clear" w:color="auto" w:fill="D7DEE2" w:themeFill="text2" w:themeFillTint="33"/>
          </w:tcPr>
          <w:p w14:paraId="4FA54AA5" w14:textId="77777777" w:rsidR="005538B7" w:rsidRDefault="005538B7" w:rsidP="006F230A"/>
        </w:tc>
        <w:tc>
          <w:tcPr>
            <w:tcW w:w="1276" w:type="dxa"/>
            <w:shd w:val="clear" w:color="auto" w:fill="D7DEE2" w:themeFill="text2" w:themeFillTint="33"/>
          </w:tcPr>
          <w:p w14:paraId="132D80CC" w14:textId="77777777" w:rsidR="005538B7" w:rsidRDefault="005538B7" w:rsidP="006F230A">
            <w:pPr>
              <w:spacing w:before="80" w:after="80"/>
            </w:pPr>
            <w:r>
              <w:rPr>
                <w:noProof/>
                <w:lang w:val="en-AU" w:eastAsia="en-AU" w:bidi="km-KH"/>
              </w:rPr>
              <w:drawing>
                <wp:inline distT="0" distB="0" distL="0" distR="0" wp14:anchorId="52C4D12E" wp14:editId="6399B776">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7DEE2" w:themeFill="text2" w:themeFillTint="33"/>
          </w:tcPr>
          <w:p w14:paraId="53B2D851" w14:textId="77777777" w:rsidR="005538B7" w:rsidRPr="00AB289B" w:rsidRDefault="005538B7" w:rsidP="006F230A">
            <w:pPr>
              <w:spacing w:before="80" w:after="80"/>
              <w:rPr>
                <w:sz w:val="16"/>
              </w:rPr>
            </w:pPr>
            <w:r w:rsidRPr="00AB289B">
              <w:rPr>
                <w:sz w:val="16"/>
              </w:rPr>
              <w:t>Promote peaceful and</w:t>
            </w:r>
            <w:r>
              <w:rPr>
                <w:sz w:val="16"/>
              </w:rPr>
              <w:t xml:space="preserve"> </w:t>
            </w:r>
            <w:r w:rsidRPr="00AB289B">
              <w:rPr>
                <w:sz w:val="16"/>
              </w:rPr>
              <w:t>inclusive societies for</w:t>
            </w:r>
            <w:r>
              <w:rPr>
                <w:sz w:val="16"/>
              </w:rPr>
              <w:t xml:space="preserve"> </w:t>
            </w:r>
            <w:r w:rsidRPr="00AB289B">
              <w:rPr>
                <w:sz w:val="16"/>
              </w:rPr>
              <w:t>sustainable development</w:t>
            </w:r>
            <w:r>
              <w:rPr>
                <w:sz w:val="16"/>
              </w:rPr>
              <w:t xml:space="preserve"> </w:t>
            </w:r>
            <w:r w:rsidRPr="00AB289B">
              <w:rPr>
                <w:sz w:val="16"/>
              </w:rPr>
              <w:t>and provide access to</w:t>
            </w:r>
            <w:r>
              <w:rPr>
                <w:sz w:val="16"/>
              </w:rPr>
              <w:t xml:space="preserve"> </w:t>
            </w:r>
            <w:r w:rsidRPr="00AB289B">
              <w:rPr>
                <w:sz w:val="16"/>
              </w:rPr>
              <w:t>justice for all</w:t>
            </w:r>
          </w:p>
        </w:tc>
      </w:tr>
      <w:tr w:rsidR="00030BB2" w14:paraId="00E28B7E" w14:textId="77777777" w:rsidTr="006F230A">
        <w:tc>
          <w:tcPr>
            <w:tcW w:w="1271" w:type="dxa"/>
            <w:shd w:val="clear" w:color="auto" w:fill="D7DEE2" w:themeFill="text2" w:themeFillTint="33"/>
          </w:tcPr>
          <w:p w14:paraId="12BED651" w14:textId="77777777" w:rsidR="005538B7" w:rsidRDefault="005538B7" w:rsidP="006F230A">
            <w:pPr>
              <w:spacing w:before="80" w:after="80"/>
            </w:pPr>
            <w:r>
              <w:rPr>
                <w:noProof/>
                <w:lang w:val="en-AU" w:eastAsia="en-AU" w:bidi="km-KH"/>
              </w:rPr>
              <w:drawing>
                <wp:inline distT="0" distB="0" distL="0" distR="0" wp14:anchorId="1B201D56" wp14:editId="3A121C32">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7DEE2" w:themeFill="text2" w:themeFillTint="33"/>
          </w:tcPr>
          <w:p w14:paraId="3E309A39" w14:textId="77777777" w:rsidR="005538B7" w:rsidRPr="00AB289B" w:rsidRDefault="005538B7" w:rsidP="006F230A">
            <w:pPr>
              <w:spacing w:before="80" w:after="80"/>
              <w:rPr>
                <w:sz w:val="16"/>
              </w:rPr>
            </w:pPr>
            <w:r w:rsidRPr="00AB289B">
              <w:rPr>
                <w:sz w:val="16"/>
              </w:rPr>
              <w:t>Promote sustained,</w:t>
            </w:r>
            <w:r>
              <w:rPr>
                <w:sz w:val="16"/>
              </w:rPr>
              <w:t xml:space="preserve"> </w:t>
            </w:r>
            <w:r w:rsidRPr="00AB289B">
              <w:rPr>
                <w:sz w:val="16"/>
              </w:rPr>
              <w:t>inclusive and sustainable</w:t>
            </w:r>
            <w:r>
              <w:rPr>
                <w:sz w:val="16"/>
              </w:rPr>
              <w:t xml:space="preserve"> </w:t>
            </w:r>
            <w:r w:rsidRPr="00AB289B">
              <w:rPr>
                <w:sz w:val="16"/>
              </w:rPr>
              <w:t>economic growth,</w:t>
            </w:r>
            <w:r>
              <w:rPr>
                <w:sz w:val="16"/>
              </w:rPr>
              <w:t xml:space="preserve"> </w:t>
            </w:r>
            <w:r w:rsidRPr="00AB289B">
              <w:rPr>
                <w:sz w:val="16"/>
              </w:rPr>
              <w:t>full and productive</w:t>
            </w:r>
            <w:r>
              <w:rPr>
                <w:sz w:val="16"/>
              </w:rPr>
              <w:t xml:space="preserve"> </w:t>
            </w:r>
            <w:r w:rsidRPr="00AB289B">
              <w:rPr>
                <w:sz w:val="16"/>
              </w:rPr>
              <w:t>employment</w:t>
            </w:r>
          </w:p>
        </w:tc>
        <w:tc>
          <w:tcPr>
            <w:tcW w:w="283" w:type="dxa"/>
            <w:shd w:val="clear" w:color="auto" w:fill="D7DEE2" w:themeFill="text2" w:themeFillTint="33"/>
          </w:tcPr>
          <w:p w14:paraId="69994A68" w14:textId="77777777" w:rsidR="005538B7" w:rsidRDefault="005538B7" w:rsidP="006F230A"/>
        </w:tc>
        <w:tc>
          <w:tcPr>
            <w:tcW w:w="1276" w:type="dxa"/>
            <w:shd w:val="clear" w:color="auto" w:fill="D7DEE2" w:themeFill="text2" w:themeFillTint="33"/>
          </w:tcPr>
          <w:p w14:paraId="38C85F7C" w14:textId="77777777" w:rsidR="005538B7" w:rsidRDefault="005538B7" w:rsidP="006F230A">
            <w:pPr>
              <w:spacing w:before="80" w:after="80"/>
            </w:pPr>
            <w:r>
              <w:rPr>
                <w:noProof/>
                <w:lang w:val="en-AU" w:eastAsia="en-AU" w:bidi="km-KH"/>
              </w:rPr>
              <w:drawing>
                <wp:inline distT="0" distB="0" distL="0" distR="0" wp14:anchorId="63D08D98" wp14:editId="52D4DB7B">
                  <wp:extent cx="612000" cy="612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7A03DA81" w14:textId="77777777" w:rsidR="005538B7" w:rsidRPr="00AB289B" w:rsidRDefault="005538B7" w:rsidP="006F230A">
            <w:pPr>
              <w:spacing w:before="80" w:after="80"/>
              <w:rPr>
                <w:sz w:val="16"/>
              </w:rPr>
            </w:pPr>
            <w:r w:rsidRPr="00AB289B">
              <w:rPr>
                <w:sz w:val="16"/>
              </w:rPr>
              <w:t>Strengthen the means</w:t>
            </w:r>
            <w:r>
              <w:rPr>
                <w:sz w:val="16"/>
              </w:rPr>
              <w:t xml:space="preserve"> </w:t>
            </w:r>
            <w:r w:rsidRPr="00AB289B">
              <w:rPr>
                <w:sz w:val="16"/>
              </w:rPr>
              <w:t>of implementation and</w:t>
            </w:r>
            <w:r>
              <w:rPr>
                <w:sz w:val="16"/>
              </w:rPr>
              <w:t xml:space="preserve"> </w:t>
            </w:r>
            <w:r w:rsidRPr="00AB289B">
              <w:rPr>
                <w:sz w:val="16"/>
              </w:rPr>
              <w:t>revitalise the global</w:t>
            </w:r>
            <w:r>
              <w:rPr>
                <w:sz w:val="16"/>
              </w:rPr>
              <w:t xml:space="preserve"> </w:t>
            </w:r>
            <w:r w:rsidRPr="00AB289B">
              <w:rPr>
                <w:sz w:val="16"/>
              </w:rPr>
              <w:t>partnership for</w:t>
            </w:r>
            <w:r>
              <w:rPr>
                <w:sz w:val="16"/>
              </w:rPr>
              <w:t xml:space="preserve"> </w:t>
            </w:r>
            <w:r w:rsidRPr="00AB289B">
              <w:rPr>
                <w:sz w:val="16"/>
              </w:rPr>
              <w:t>sustainable development</w:t>
            </w:r>
          </w:p>
        </w:tc>
      </w:tr>
      <w:tr w:rsidR="00030BB2" w14:paraId="677F23E6" w14:textId="77777777" w:rsidTr="006F230A">
        <w:tc>
          <w:tcPr>
            <w:tcW w:w="1271" w:type="dxa"/>
            <w:shd w:val="clear" w:color="auto" w:fill="D7DEE2" w:themeFill="text2" w:themeFillTint="33"/>
          </w:tcPr>
          <w:p w14:paraId="0E0E015F" w14:textId="7D4F2236" w:rsidR="005538B7" w:rsidRDefault="00030BB2" w:rsidP="006F230A">
            <w:pPr>
              <w:spacing w:before="80" w:after="80"/>
            </w:pPr>
            <w:r>
              <w:rPr>
                <w:noProof/>
                <w:lang w:val="en-AU" w:eastAsia="en-AU" w:bidi="km-KH"/>
              </w:rPr>
              <w:drawing>
                <wp:inline distT="0" distB="0" distL="0" distR="0" wp14:anchorId="592C594A" wp14:editId="05784D86">
                  <wp:extent cx="609600" cy="609600"/>
                  <wp:effectExtent l="0" t="0" r="0" b="0"/>
                  <wp:docPr id="6" name="Picture 6" descr="C:\Users\ehanks\AppData\Local\Microsoft\Windows\INetCache\Content.Word\sdg-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nks\AppData\Local\Microsoft\Windows\INetCache\Content.Word\sdg-09.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7748" cy="617748"/>
                          </a:xfrm>
                          <a:prstGeom prst="rect">
                            <a:avLst/>
                          </a:prstGeom>
                          <a:noFill/>
                          <a:ln>
                            <a:noFill/>
                          </a:ln>
                        </pic:spPr>
                      </pic:pic>
                    </a:graphicData>
                  </a:graphic>
                </wp:inline>
              </w:drawing>
            </w:r>
          </w:p>
        </w:tc>
        <w:tc>
          <w:tcPr>
            <w:tcW w:w="2977" w:type="dxa"/>
            <w:shd w:val="clear" w:color="auto" w:fill="D7DEE2" w:themeFill="text2" w:themeFillTint="33"/>
          </w:tcPr>
          <w:p w14:paraId="4A574D83" w14:textId="77777777" w:rsidR="005538B7" w:rsidRPr="00AB289B" w:rsidRDefault="005538B7" w:rsidP="006F230A">
            <w:pPr>
              <w:spacing w:before="80" w:after="80"/>
              <w:rPr>
                <w:sz w:val="16"/>
              </w:rPr>
            </w:pPr>
            <w:r w:rsidRPr="00AB289B">
              <w:rPr>
                <w:sz w:val="16"/>
              </w:rPr>
              <w:t>Build resilient</w:t>
            </w:r>
            <w:r>
              <w:rPr>
                <w:sz w:val="16"/>
              </w:rPr>
              <w:t xml:space="preserve"> </w:t>
            </w:r>
            <w:r w:rsidRPr="00AB289B">
              <w:rPr>
                <w:sz w:val="16"/>
              </w:rPr>
              <w:t>infrastructure, promote</w:t>
            </w:r>
            <w:r>
              <w:rPr>
                <w:sz w:val="16"/>
              </w:rPr>
              <w:t xml:space="preserve"> </w:t>
            </w:r>
            <w:r w:rsidRPr="00AB289B">
              <w:rPr>
                <w:sz w:val="16"/>
              </w:rPr>
              <w:t>inclusive and sustainable</w:t>
            </w:r>
            <w:r>
              <w:rPr>
                <w:sz w:val="16"/>
              </w:rPr>
              <w:t xml:space="preserve"> </w:t>
            </w:r>
            <w:r w:rsidRPr="00AB289B">
              <w:rPr>
                <w:sz w:val="16"/>
              </w:rPr>
              <w:t>Industrialisation</w:t>
            </w:r>
            <w:r>
              <w:rPr>
                <w:sz w:val="16"/>
              </w:rPr>
              <w:t xml:space="preserve"> </w:t>
            </w:r>
            <w:r w:rsidRPr="00AB289B">
              <w:rPr>
                <w:sz w:val="16"/>
              </w:rPr>
              <w:t>and foster innovation</w:t>
            </w:r>
          </w:p>
        </w:tc>
        <w:tc>
          <w:tcPr>
            <w:tcW w:w="283" w:type="dxa"/>
            <w:shd w:val="clear" w:color="auto" w:fill="D7DEE2" w:themeFill="text2" w:themeFillTint="33"/>
          </w:tcPr>
          <w:p w14:paraId="1245822E" w14:textId="77777777" w:rsidR="005538B7" w:rsidRDefault="005538B7" w:rsidP="006F230A"/>
        </w:tc>
        <w:tc>
          <w:tcPr>
            <w:tcW w:w="1276" w:type="dxa"/>
            <w:shd w:val="clear" w:color="auto" w:fill="D7DEE2" w:themeFill="text2" w:themeFillTint="33"/>
          </w:tcPr>
          <w:p w14:paraId="0F9FE9F1" w14:textId="77777777" w:rsidR="005538B7" w:rsidRPr="00AB289B" w:rsidRDefault="005538B7" w:rsidP="006F230A">
            <w:pPr>
              <w:spacing w:before="80" w:after="80"/>
              <w:rPr>
                <w:sz w:val="16"/>
              </w:rPr>
            </w:pPr>
          </w:p>
        </w:tc>
        <w:tc>
          <w:tcPr>
            <w:tcW w:w="3544" w:type="dxa"/>
            <w:shd w:val="clear" w:color="auto" w:fill="D7DEE2" w:themeFill="text2" w:themeFillTint="33"/>
          </w:tcPr>
          <w:p w14:paraId="04DE841E" w14:textId="77777777" w:rsidR="005538B7" w:rsidRPr="00AB289B" w:rsidRDefault="005538B7" w:rsidP="006F230A">
            <w:pPr>
              <w:spacing w:before="80" w:after="80"/>
              <w:rPr>
                <w:sz w:val="16"/>
              </w:rPr>
            </w:pPr>
          </w:p>
        </w:tc>
      </w:tr>
    </w:tbl>
    <w:p w14:paraId="139126D1" w14:textId="77777777" w:rsidR="005538B7" w:rsidRPr="005C78DB" w:rsidRDefault="005538B7" w:rsidP="005538B7"/>
    <w:p w14:paraId="428AE7DB" w14:textId="77777777" w:rsidR="006C4F09" w:rsidRPr="00F74018" w:rsidRDefault="006C4F09" w:rsidP="00F74018"/>
    <w:sectPr w:rsidR="006C4F09" w:rsidRPr="00F74018" w:rsidSect="00CA7DD8">
      <w:headerReference w:type="default" r:id="rId40"/>
      <w:pgSz w:w="11906" w:h="16838" w:code="9"/>
      <w:pgMar w:top="1527" w:right="1134" w:bottom="851" w:left="1134" w:header="1418" w:footer="267" w:gutter="0"/>
      <w:cols w:space="397"/>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C5AC2" w14:textId="77777777" w:rsidR="003C1797" w:rsidRDefault="003C1797" w:rsidP="00EF4574">
      <w:pPr>
        <w:spacing w:before="0" w:after="0" w:line="240" w:lineRule="auto"/>
      </w:pPr>
      <w:r>
        <w:separator/>
      </w:r>
    </w:p>
  </w:endnote>
  <w:endnote w:type="continuationSeparator" w:id="0">
    <w:p w14:paraId="7EC88D0E" w14:textId="77777777" w:rsidR="003C1797" w:rsidRDefault="003C1797" w:rsidP="00EF4574">
      <w:pPr>
        <w:spacing w:before="0" w:after="0" w:line="240" w:lineRule="auto"/>
      </w:pPr>
      <w:r>
        <w:continuationSeparator/>
      </w:r>
    </w:p>
  </w:endnote>
  <w:endnote w:type="continuationNotice" w:id="1">
    <w:p w14:paraId="7D803FB1" w14:textId="77777777" w:rsidR="003C1797" w:rsidRDefault="003C179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689259"/>
      <w:docPartObj>
        <w:docPartGallery w:val="Page Numbers (Bottom of Page)"/>
        <w:docPartUnique/>
      </w:docPartObj>
    </w:sdtPr>
    <w:sdtEndPr>
      <w:rPr>
        <w:noProof/>
      </w:rPr>
    </w:sdtEndPr>
    <w:sdtContent>
      <w:p w14:paraId="5278221F" w14:textId="544A7985" w:rsidR="00567D48" w:rsidRDefault="00567D48">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14:paraId="7460019B" w14:textId="77777777" w:rsidR="00C61A76" w:rsidRDefault="00C61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0B271" w14:textId="77777777" w:rsidR="003C1797" w:rsidRPr="00CD0E4B" w:rsidRDefault="003C1797" w:rsidP="00784031">
    <w:pPr>
      <w:pStyle w:val="Footer"/>
    </w:pPr>
    <w:r w:rsidRPr="00CD0E4B">
      <w:rPr>
        <w:noProof/>
        <w:lang w:val="en-AU" w:eastAsia="en-AU" w:bidi="km-KH"/>
      </w:rPr>
      <w:drawing>
        <wp:inline distT="0" distB="0" distL="0" distR="0" wp14:anchorId="20FC9C19" wp14:editId="15FD4047">
          <wp:extent cx="90000" cy="74520"/>
          <wp:effectExtent l="0" t="0" r="5715" b="190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59AA5AFD" w14:textId="77777777" w:rsidR="003C1797" w:rsidRPr="00CD0E4B" w:rsidRDefault="003C1797"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C681A" w14:textId="77777777" w:rsidR="003C1797" w:rsidRPr="008C5A0E" w:rsidRDefault="003C1797" w:rsidP="001D663E">
      <w:pPr>
        <w:pStyle w:val="Footer"/>
        <w:pBdr>
          <w:top w:val="single" w:sz="4" w:space="1" w:color="495965" w:themeColor="text2"/>
        </w:pBdr>
      </w:pPr>
    </w:p>
  </w:footnote>
  <w:footnote w:type="continuationSeparator" w:id="0">
    <w:p w14:paraId="34641D07" w14:textId="77777777" w:rsidR="003C1797" w:rsidRDefault="003C1797" w:rsidP="00EF4574">
      <w:pPr>
        <w:spacing w:before="0" w:after="0" w:line="240" w:lineRule="auto"/>
      </w:pPr>
      <w:r>
        <w:continuationSeparator/>
      </w:r>
    </w:p>
  </w:footnote>
  <w:footnote w:type="continuationNotice" w:id="1">
    <w:p w14:paraId="2BC91160" w14:textId="77777777" w:rsidR="003C1797" w:rsidRDefault="003C1797">
      <w:pPr>
        <w:spacing w:before="0" w:after="0" w:line="240" w:lineRule="auto"/>
      </w:pPr>
    </w:p>
  </w:footnote>
  <w:footnote w:id="2">
    <w:p w14:paraId="7315DF49" w14:textId="77777777" w:rsidR="003C1797" w:rsidRPr="00217161" w:rsidRDefault="003C1797" w:rsidP="00493A3A">
      <w:pPr>
        <w:pStyle w:val="FootnoteText"/>
        <w:rPr>
          <w:lang w:val="en-AU"/>
        </w:rPr>
      </w:pPr>
      <w:r>
        <w:rPr>
          <w:rStyle w:val="FootnoteReference"/>
        </w:rPr>
        <w:footnoteRef/>
      </w:r>
      <w:r>
        <w:t xml:space="preserve"> </w:t>
      </w:r>
      <w:hyperlink r:id="rId1" w:history="1">
        <w:r w:rsidRPr="00801D97">
          <w:rPr>
            <w:rStyle w:val="Hyperlink"/>
            <w:rFonts w:cstheme="minorBidi"/>
          </w:rPr>
          <w:t>http://www.kh.undp.org/content/cambodia/en/home/countryinfo.html</w:t>
        </w:r>
      </w:hyperlink>
      <w:r>
        <w:t xml:space="preserve"> </w:t>
      </w:r>
    </w:p>
  </w:footnote>
  <w:footnote w:id="3">
    <w:p w14:paraId="2923F9B8" w14:textId="426F373F" w:rsidR="003C1797" w:rsidRDefault="003C1797" w:rsidP="00493A3A">
      <w:pPr>
        <w:pStyle w:val="FootnoteText"/>
      </w:pPr>
      <w:r>
        <w:rPr>
          <w:rStyle w:val="FootnoteReference"/>
        </w:rPr>
        <w:footnoteRef/>
      </w:r>
      <w:r>
        <w:t xml:space="preserve"> </w:t>
      </w:r>
      <w:hyperlink r:id="rId2" w:history="1">
        <w:r w:rsidRPr="005245DB">
          <w:rPr>
            <w:rStyle w:val="Hyperlink"/>
            <w:rFonts w:cstheme="minorBidi"/>
          </w:rPr>
          <w:t>http://documents.worldbank.org/curated/en/780641494510994888/pdf/114938-PUBLIC-may-16-8pm-Cambodia-Economic-report-v2-s.pdf</w:t>
        </w:r>
      </w:hyperlink>
    </w:p>
  </w:footnote>
  <w:footnote w:id="4">
    <w:p w14:paraId="338938B5" w14:textId="16C03198" w:rsidR="003C1797" w:rsidRPr="00A1210C" w:rsidRDefault="003C1797">
      <w:pPr>
        <w:pStyle w:val="FootnoteText"/>
        <w:rPr>
          <w:lang w:val="en-AU"/>
        </w:rPr>
      </w:pPr>
      <w:r>
        <w:rPr>
          <w:rStyle w:val="FootnoteReference"/>
        </w:rPr>
        <w:footnoteRef/>
      </w:r>
      <w:r>
        <w:t xml:space="preserve"> </w:t>
      </w:r>
      <w:r>
        <w:rPr>
          <w:lang w:val="en-AU"/>
        </w:rPr>
        <w:t xml:space="preserve">These figures are for 2016 and are provide by the Cambodia Government’s aid coordination agency, the Council for the Development of Cambodia. </w:t>
      </w:r>
    </w:p>
  </w:footnote>
  <w:footnote w:id="5">
    <w:p w14:paraId="16DEA149" w14:textId="22646B50" w:rsidR="003C1797" w:rsidRPr="005245DB" w:rsidRDefault="003C1797">
      <w:pPr>
        <w:pStyle w:val="FootnoteText"/>
        <w:rPr>
          <w:lang w:val="en-AU"/>
        </w:rPr>
      </w:pPr>
      <w:r>
        <w:rPr>
          <w:rStyle w:val="FootnoteReference"/>
        </w:rPr>
        <w:footnoteRef/>
      </w:r>
      <w:r>
        <w:t xml:space="preserve"> </w:t>
      </w:r>
      <w:hyperlink r:id="rId3" w:history="1">
        <w:r w:rsidRPr="007A2BA8">
          <w:rPr>
            <w:rStyle w:val="Hyperlink"/>
            <w:rFonts w:cstheme="minorBidi"/>
          </w:rPr>
          <w:t>http://dfat.gov.au/aid/how-we-measure-performance/ode/Pages/the-office-of-development-effectiveness.aspx</w:t>
        </w:r>
      </w:hyperlink>
      <w:r>
        <w:t xml:space="preserve"> </w:t>
      </w:r>
    </w:p>
  </w:footnote>
  <w:footnote w:id="6">
    <w:p w14:paraId="7F01A995" w14:textId="3AB04360" w:rsidR="003C1797" w:rsidRPr="005245DB" w:rsidRDefault="003C1797">
      <w:pPr>
        <w:pStyle w:val="FootnoteText"/>
        <w:rPr>
          <w:lang w:val="en-AU"/>
        </w:rPr>
      </w:pPr>
      <w:r>
        <w:rPr>
          <w:rStyle w:val="FootnoteReference"/>
        </w:rPr>
        <w:footnoteRef/>
      </w:r>
      <w:r>
        <w:t xml:space="preserve"> </w:t>
      </w:r>
      <w:hyperlink r:id="rId4" w:history="1">
        <w:r w:rsidRPr="007A2BA8">
          <w:rPr>
            <w:rStyle w:val="Hyperlink"/>
            <w:rFonts w:cstheme="minorBidi"/>
          </w:rPr>
          <w:t>http://aciar.gov.au/country/cambodia</w:t>
        </w:r>
      </w:hyperlink>
      <w:r>
        <w:t xml:space="preserve"> </w:t>
      </w:r>
    </w:p>
  </w:footnote>
  <w:footnote w:id="7">
    <w:p w14:paraId="642FC79B" w14:textId="77777777" w:rsidR="003C1797" w:rsidRPr="00571A9B" w:rsidRDefault="003C1797" w:rsidP="00493A3A">
      <w:pPr>
        <w:pStyle w:val="FootnoteText"/>
        <w:rPr>
          <w:lang w:val="en-AU"/>
        </w:rPr>
      </w:pPr>
      <w:r>
        <w:rPr>
          <w:rStyle w:val="FootnoteReference"/>
        </w:rPr>
        <w:footnoteRef/>
      </w:r>
      <w:r>
        <w:t xml:space="preserve"> 2016 Health Sector Report (Khmer version) distributed at the 2017 Health Congress in March 2017.</w:t>
      </w:r>
    </w:p>
  </w:footnote>
  <w:footnote w:id="8">
    <w:p w14:paraId="284AF03A" w14:textId="554E7F90" w:rsidR="003C1797" w:rsidRPr="005245DB" w:rsidRDefault="003C1797" w:rsidP="005245DB">
      <w:pPr>
        <w:pStyle w:val="FootnoteText"/>
      </w:pPr>
      <w:r>
        <w:rPr>
          <w:rStyle w:val="FootnoteReference"/>
        </w:rPr>
        <w:footnoteRef/>
      </w:r>
      <w:r>
        <w:t xml:space="preserve"> </w:t>
      </w:r>
      <w:hyperlink r:id="rId5" w:history="1">
        <w:r w:rsidRPr="007A2BA8">
          <w:rPr>
            <w:rStyle w:val="Hyperlink"/>
            <w:rFonts w:cstheme="minorBidi"/>
          </w:rPr>
          <w:t>http://dfat.gov.au/geo/east-asia/development-assistance/Pages/development-assistance-asean-mekong.aspx</w:t>
        </w:r>
      </w:hyperlink>
      <w:r>
        <w:t xml:space="preserve"> </w:t>
      </w:r>
    </w:p>
  </w:footnote>
  <w:footnote w:id="9">
    <w:p w14:paraId="18097541" w14:textId="6AC1501F" w:rsidR="003C1797" w:rsidRPr="002624D7" w:rsidRDefault="003C1797" w:rsidP="00741C66">
      <w:pPr>
        <w:pStyle w:val="FootnoteText"/>
        <w:rPr>
          <w:lang w:val="en-AU"/>
        </w:rPr>
      </w:pPr>
      <w:r>
        <w:rPr>
          <w:rStyle w:val="FootnoteReference"/>
        </w:rPr>
        <w:footnoteRef/>
      </w:r>
      <w:r>
        <w:t xml:space="preserve">  </w:t>
      </w:r>
      <w:hyperlink r:id="rId6" w:history="1">
        <w:r w:rsidRPr="00801D97">
          <w:rPr>
            <w:rStyle w:val="Hyperlink"/>
            <w:rFonts w:cstheme="minorBidi"/>
          </w:rPr>
          <w:t>http://dfat.gov.au/aid/who-we-work-with/ngos/ancp/Pages/australian-ngo-cooperation-program.aspx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D4E84" w14:textId="77777777" w:rsidR="003C1797" w:rsidRPr="00333501" w:rsidRDefault="003C1797" w:rsidP="008F56A8">
    <w:pPr>
      <w:pStyle w:val="Header"/>
      <w:jc w:val="left"/>
    </w:pPr>
    <w:r>
      <w:rPr>
        <w:noProof/>
        <w:lang w:val="en-AU" w:eastAsia="en-AU" w:bidi="km-KH"/>
      </w:rPr>
      <w:drawing>
        <wp:anchor distT="0" distB="0" distL="114300" distR="114300" simplePos="0" relativeHeight="251681792" behindDoc="1" locked="1" layoutInCell="1" allowOverlap="1" wp14:anchorId="49192A60" wp14:editId="26773B25">
          <wp:simplePos x="0" y="0"/>
          <wp:positionH relativeFrom="page">
            <wp:posOffset>7620</wp:posOffset>
          </wp:positionH>
          <wp:positionV relativeFrom="page">
            <wp:posOffset>55880</wp:posOffset>
          </wp:positionV>
          <wp:extent cx="7545705" cy="10702290"/>
          <wp:effectExtent l="133350" t="133350" r="150495" b="1562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8C53C" w14:textId="77777777" w:rsidR="003C1797" w:rsidRDefault="003C1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A662E" w14:textId="77777777" w:rsidR="003C1797" w:rsidRPr="00333501" w:rsidRDefault="003C1797" w:rsidP="008F56A8">
    <w:pPr>
      <w:pStyle w:val="Header"/>
      <w:jc w:val="left"/>
    </w:pPr>
    <w:r>
      <w:rPr>
        <w:noProof/>
        <w:lang w:val="en-AU" w:eastAsia="en-AU" w:bidi="km-KH"/>
      </w:rPr>
      <w:drawing>
        <wp:anchor distT="0" distB="0" distL="114300" distR="114300" simplePos="0" relativeHeight="251697152" behindDoc="1" locked="1" layoutInCell="1" allowOverlap="1" wp14:anchorId="50A46287" wp14:editId="49703127">
          <wp:simplePos x="0" y="0"/>
          <wp:positionH relativeFrom="page">
            <wp:posOffset>112395</wp:posOffset>
          </wp:positionH>
          <wp:positionV relativeFrom="page">
            <wp:posOffset>-88900</wp:posOffset>
          </wp:positionV>
          <wp:extent cx="10662285" cy="7545705"/>
          <wp:effectExtent l="0" t="0" r="5715" b="0"/>
          <wp:wrapNone/>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CDCA" w14:textId="77777777" w:rsidR="003C1797" w:rsidRPr="003D352D" w:rsidRDefault="003C1797" w:rsidP="003D352D">
    <w:pPr>
      <w:pStyle w:val="Header"/>
      <w:jc w:val="left"/>
    </w:pPr>
    <w:r>
      <w:rPr>
        <w:noProof/>
        <w:lang w:val="en-AU" w:eastAsia="en-AU" w:bidi="km-KH"/>
      </w:rPr>
      <w:drawing>
        <wp:anchor distT="0" distB="0" distL="114300" distR="114300" simplePos="0" relativeHeight="251695104" behindDoc="1" locked="1" layoutInCell="1" allowOverlap="1" wp14:anchorId="2AEC21E5" wp14:editId="3FDD1F0A">
          <wp:simplePos x="0" y="0"/>
          <wp:positionH relativeFrom="page">
            <wp:posOffset>7620</wp:posOffset>
          </wp:positionH>
          <wp:positionV relativeFrom="page">
            <wp:posOffset>7620</wp:posOffset>
          </wp:positionV>
          <wp:extent cx="10662285" cy="7545705"/>
          <wp:effectExtent l="0" t="0" r="5715" b="0"/>
          <wp:wrapNone/>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922C4" w14:textId="77777777" w:rsidR="003C1797" w:rsidRPr="00333501" w:rsidRDefault="003C1797" w:rsidP="008F56A8">
    <w:pPr>
      <w:pStyle w:val="Header"/>
      <w:jc w:val="left"/>
    </w:pPr>
    <w:r>
      <w:rPr>
        <w:noProof/>
        <w:lang w:val="en-AU" w:eastAsia="en-AU" w:bidi="km-KH"/>
      </w:rPr>
      <w:drawing>
        <wp:anchor distT="0" distB="0" distL="114300" distR="114300" simplePos="0" relativeHeight="251699200" behindDoc="1" locked="1" layoutInCell="1" allowOverlap="1" wp14:anchorId="2F97AB6D" wp14:editId="2933A702">
          <wp:simplePos x="0" y="0"/>
          <wp:positionH relativeFrom="page">
            <wp:posOffset>102235</wp:posOffset>
          </wp:positionH>
          <wp:positionV relativeFrom="page">
            <wp:posOffset>0</wp:posOffset>
          </wp:positionV>
          <wp:extent cx="10685780" cy="11025505"/>
          <wp:effectExtent l="0" t="0" r="1270" b="4445"/>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85780"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F37DF" w14:textId="77777777" w:rsidR="003C1797" w:rsidRPr="00333501" w:rsidRDefault="003C1797" w:rsidP="008F56A8">
    <w:pPr>
      <w:pStyle w:val="Header"/>
      <w:jc w:val="left"/>
    </w:pPr>
    <w:r>
      <w:rPr>
        <w:noProof/>
        <w:lang w:val="en-AU" w:eastAsia="en-AU" w:bidi="km-KH"/>
      </w:rPr>
      <w:drawing>
        <wp:anchor distT="0" distB="0" distL="114300" distR="114300" simplePos="0" relativeHeight="251701248" behindDoc="1" locked="1" layoutInCell="1" allowOverlap="1" wp14:anchorId="340087A4" wp14:editId="13605E7F">
          <wp:simplePos x="0" y="0"/>
          <wp:positionH relativeFrom="page">
            <wp:align>right</wp:align>
          </wp:positionH>
          <wp:positionV relativeFrom="page">
            <wp:align>top</wp:align>
          </wp:positionV>
          <wp:extent cx="7559040" cy="11025505"/>
          <wp:effectExtent l="0" t="0" r="3810" b="444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314B5717"/>
    <w:multiLevelType w:val="hybridMultilevel"/>
    <w:tmpl w:val="203ABF34"/>
    <w:lvl w:ilvl="0" w:tplc="E8A80CA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 w15:restartNumberingAfterBreak="0">
    <w:nsid w:val="5D3C1EA7"/>
    <w:multiLevelType w:val="multilevel"/>
    <w:tmpl w:val="43428892"/>
    <w:numStyleLink w:val="BulletsList"/>
  </w:abstractNum>
  <w:abstractNum w:abstractNumId="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6730749C"/>
    <w:multiLevelType w:val="multilevel"/>
    <w:tmpl w:val="8CA620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118689D"/>
    <w:multiLevelType w:val="hybridMultilevel"/>
    <w:tmpl w:val="BE22A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0"/>
  </w:num>
  <w:num w:numId="2">
    <w:abstractNumId w:val="0"/>
  </w:num>
  <w:num w:numId="3">
    <w:abstractNumId w:val="2"/>
  </w:num>
  <w:num w:numId="4">
    <w:abstractNumId w:val="5"/>
  </w:num>
  <w:num w:numId="5">
    <w:abstractNumId w:val="7"/>
  </w:num>
  <w:num w:numId="6">
    <w:abstractNumId w:val="2"/>
  </w:num>
  <w:num w:numId="7">
    <w:abstractNumId w:val="6"/>
  </w:num>
  <w:num w:numId="8">
    <w:abstractNumId w:val="0"/>
  </w:num>
  <w:num w:numId="9">
    <w:abstractNumId w:val="4"/>
  </w:num>
  <w:num w:numId="10">
    <w:abstractNumId w:val="1"/>
  </w:num>
  <w:num w:numId="11">
    <w:abstractNumId w:val="3"/>
  </w:num>
  <w:num w:numId="12">
    <w:abstractNumId w:val="9"/>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3B03"/>
    <w:rsid w:val="000062F1"/>
    <w:rsid w:val="00007653"/>
    <w:rsid w:val="000112B2"/>
    <w:rsid w:val="00012A2E"/>
    <w:rsid w:val="00012A49"/>
    <w:rsid w:val="00015316"/>
    <w:rsid w:val="00016296"/>
    <w:rsid w:val="000163DD"/>
    <w:rsid w:val="00017613"/>
    <w:rsid w:val="0002080A"/>
    <w:rsid w:val="00020BC9"/>
    <w:rsid w:val="00021A74"/>
    <w:rsid w:val="0002782F"/>
    <w:rsid w:val="00027F29"/>
    <w:rsid w:val="00030BB2"/>
    <w:rsid w:val="00031512"/>
    <w:rsid w:val="00033AB7"/>
    <w:rsid w:val="0003583D"/>
    <w:rsid w:val="00042AA7"/>
    <w:rsid w:val="000469A4"/>
    <w:rsid w:val="00046ACA"/>
    <w:rsid w:val="00053644"/>
    <w:rsid w:val="00054275"/>
    <w:rsid w:val="00054E4D"/>
    <w:rsid w:val="000571F8"/>
    <w:rsid w:val="00060073"/>
    <w:rsid w:val="00060268"/>
    <w:rsid w:val="0006620E"/>
    <w:rsid w:val="000717B8"/>
    <w:rsid w:val="00084483"/>
    <w:rsid w:val="00084CA8"/>
    <w:rsid w:val="000861C5"/>
    <w:rsid w:val="000903EA"/>
    <w:rsid w:val="000931C0"/>
    <w:rsid w:val="000954A5"/>
    <w:rsid w:val="00095A33"/>
    <w:rsid w:val="000A2437"/>
    <w:rsid w:val="000A284B"/>
    <w:rsid w:val="000A2EA8"/>
    <w:rsid w:val="000A4B45"/>
    <w:rsid w:val="000A53A5"/>
    <w:rsid w:val="000A6A47"/>
    <w:rsid w:val="000A79B7"/>
    <w:rsid w:val="000B2B28"/>
    <w:rsid w:val="000B37DA"/>
    <w:rsid w:val="000B468A"/>
    <w:rsid w:val="000B4D35"/>
    <w:rsid w:val="000B5190"/>
    <w:rsid w:val="000B5618"/>
    <w:rsid w:val="000D2D3F"/>
    <w:rsid w:val="000D3A3E"/>
    <w:rsid w:val="000D576E"/>
    <w:rsid w:val="000D66D6"/>
    <w:rsid w:val="000D6786"/>
    <w:rsid w:val="000D7360"/>
    <w:rsid w:val="000D7D4E"/>
    <w:rsid w:val="000D7E3B"/>
    <w:rsid w:val="000E13ED"/>
    <w:rsid w:val="000E314A"/>
    <w:rsid w:val="000E6F24"/>
    <w:rsid w:val="000F43FD"/>
    <w:rsid w:val="00105120"/>
    <w:rsid w:val="00105F75"/>
    <w:rsid w:val="001103E6"/>
    <w:rsid w:val="00113D95"/>
    <w:rsid w:val="00117745"/>
    <w:rsid w:val="00117C38"/>
    <w:rsid w:val="0012072E"/>
    <w:rsid w:val="00125BB2"/>
    <w:rsid w:val="0012698F"/>
    <w:rsid w:val="001345B2"/>
    <w:rsid w:val="001359DF"/>
    <w:rsid w:val="001418BF"/>
    <w:rsid w:val="00141AF0"/>
    <w:rsid w:val="00142D71"/>
    <w:rsid w:val="00151EE8"/>
    <w:rsid w:val="001541EA"/>
    <w:rsid w:val="00162218"/>
    <w:rsid w:val="00163A71"/>
    <w:rsid w:val="00164326"/>
    <w:rsid w:val="00165DB7"/>
    <w:rsid w:val="00166962"/>
    <w:rsid w:val="0017179A"/>
    <w:rsid w:val="00172C9E"/>
    <w:rsid w:val="00174B8C"/>
    <w:rsid w:val="00174F1C"/>
    <w:rsid w:val="00175B11"/>
    <w:rsid w:val="00180032"/>
    <w:rsid w:val="001813EA"/>
    <w:rsid w:val="00183681"/>
    <w:rsid w:val="00184818"/>
    <w:rsid w:val="00186EA3"/>
    <w:rsid w:val="001872F3"/>
    <w:rsid w:val="00190106"/>
    <w:rsid w:val="00191316"/>
    <w:rsid w:val="001A338B"/>
    <w:rsid w:val="001A56DA"/>
    <w:rsid w:val="001A6A03"/>
    <w:rsid w:val="001A755C"/>
    <w:rsid w:val="001B0EAB"/>
    <w:rsid w:val="001B227C"/>
    <w:rsid w:val="001B5019"/>
    <w:rsid w:val="001B50AD"/>
    <w:rsid w:val="001C04EC"/>
    <w:rsid w:val="001C1015"/>
    <w:rsid w:val="001C11A6"/>
    <w:rsid w:val="001C1D8D"/>
    <w:rsid w:val="001C216B"/>
    <w:rsid w:val="001C368B"/>
    <w:rsid w:val="001C5041"/>
    <w:rsid w:val="001D0960"/>
    <w:rsid w:val="001D663E"/>
    <w:rsid w:val="001E1DC0"/>
    <w:rsid w:val="001E44F6"/>
    <w:rsid w:val="001E77B2"/>
    <w:rsid w:val="001F64CF"/>
    <w:rsid w:val="001F7FDD"/>
    <w:rsid w:val="0020044A"/>
    <w:rsid w:val="002008BE"/>
    <w:rsid w:val="00200C71"/>
    <w:rsid w:val="00201BDB"/>
    <w:rsid w:val="0020363F"/>
    <w:rsid w:val="00212916"/>
    <w:rsid w:val="00213DE2"/>
    <w:rsid w:val="00217161"/>
    <w:rsid w:val="002173C2"/>
    <w:rsid w:val="002309D8"/>
    <w:rsid w:val="002313C8"/>
    <w:rsid w:val="00231E35"/>
    <w:rsid w:val="00232371"/>
    <w:rsid w:val="00236A53"/>
    <w:rsid w:val="00237DB0"/>
    <w:rsid w:val="002407D0"/>
    <w:rsid w:val="00244159"/>
    <w:rsid w:val="00246151"/>
    <w:rsid w:val="0024725F"/>
    <w:rsid w:val="00250286"/>
    <w:rsid w:val="00251CB4"/>
    <w:rsid w:val="00254022"/>
    <w:rsid w:val="00261D61"/>
    <w:rsid w:val="002624D7"/>
    <w:rsid w:val="0026286C"/>
    <w:rsid w:val="00264D7A"/>
    <w:rsid w:val="002670C4"/>
    <w:rsid w:val="00267844"/>
    <w:rsid w:val="002714A4"/>
    <w:rsid w:val="00272888"/>
    <w:rsid w:val="00273A91"/>
    <w:rsid w:val="00275DB7"/>
    <w:rsid w:val="0027602A"/>
    <w:rsid w:val="00280CC1"/>
    <w:rsid w:val="00283A16"/>
    <w:rsid w:val="00284957"/>
    <w:rsid w:val="0028602A"/>
    <w:rsid w:val="0029092A"/>
    <w:rsid w:val="00294B2F"/>
    <w:rsid w:val="0029505D"/>
    <w:rsid w:val="002969D4"/>
    <w:rsid w:val="002A1993"/>
    <w:rsid w:val="002A4B77"/>
    <w:rsid w:val="002A51CA"/>
    <w:rsid w:val="002A55D2"/>
    <w:rsid w:val="002A6AC8"/>
    <w:rsid w:val="002B17E4"/>
    <w:rsid w:val="002B2F49"/>
    <w:rsid w:val="002B39CD"/>
    <w:rsid w:val="002B3E95"/>
    <w:rsid w:val="002B5E10"/>
    <w:rsid w:val="002B64A1"/>
    <w:rsid w:val="002C2783"/>
    <w:rsid w:val="002C3223"/>
    <w:rsid w:val="002C48B1"/>
    <w:rsid w:val="002C4995"/>
    <w:rsid w:val="002C590F"/>
    <w:rsid w:val="002C7D33"/>
    <w:rsid w:val="002D2B16"/>
    <w:rsid w:val="002E088E"/>
    <w:rsid w:val="002E0CE5"/>
    <w:rsid w:val="002E7F57"/>
    <w:rsid w:val="002F37E2"/>
    <w:rsid w:val="002F43F6"/>
    <w:rsid w:val="002F6B6C"/>
    <w:rsid w:val="003002C0"/>
    <w:rsid w:val="003008FD"/>
    <w:rsid w:val="00301144"/>
    <w:rsid w:val="00302B49"/>
    <w:rsid w:val="00303B1D"/>
    <w:rsid w:val="00313953"/>
    <w:rsid w:val="00314861"/>
    <w:rsid w:val="003148B7"/>
    <w:rsid w:val="003158C3"/>
    <w:rsid w:val="003175B8"/>
    <w:rsid w:val="00320251"/>
    <w:rsid w:val="00321ABF"/>
    <w:rsid w:val="00324651"/>
    <w:rsid w:val="0032625A"/>
    <w:rsid w:val="003274CD"/>
    <w:rsid w:val="00332EC9"/>
    <w:rsid w:val="00333501"/>
    <w:rsid w:val="003338BF"/>
    <w:rsid w:val="0034159E"/>
    <w:rsid w:val="00342180"/>
    <w:rsid w:val="003430EA"/>
    <w:rsid w:val="003457C4"/>
    <w:rsid w:val="00347B16"/>
    <w:rsid w:val="0035119D"/>
    <w:rsid w:val="0035629D"/>
    <w:rsid w:val="00357727"/>
    <w:rsid w:val="00357F52"/>
    <w:rsid w:val="00362BCB"/>
    <w:rsid w:val="00364490"/>
    <w:rsid w:val="00365361"/>
    <w:rsid w:val="00371723"/>
    <w:rsid w:val="00374272"/>
    <w:rsid w:val="003847A6"/>
    <w:rsid w:val="00385DFD"/>
    <w:rsid w:val="00391867"/>
    <w:rsid w:val="003A0BB7"/>
    <w:rsid w:val="003A44F8"/>
    <w:rsid w:val="003B4F12"/>
    <w:rsid w:val="003B7258"/>
    <w:rsid w:val="003C1004"/>
    <w:rsid w:val="003C1797"/>
    <w:rsid w:val="003C32B0"/>
    <w:rsid w:val="003C52C4"/>
    <w:rsid w:val="003C7026"/>
    <w:rsid w:val="003D01E8"/>
    <w:rsid w:val="003D0240"/>
    <w:rsid w:val="003D352D"/>
    <w:rsid w:val="003D60A1"/>
    <w:rsid w:val="003D6685"/>
    <w:rsid w:val="003E0597"/>
    <w:rsid w:val="003E0D93"/>
    <w:rsid w:val="003E1527"/>
    <w:rsid w:val="003E1E6F"/>
    <w:rsid w:val="003E5762"/>
    <w:rsid w:val="003E776C"/>
    <w:rsid w:val="003F0A69"/>
    <w:rsid w:val="003F3294"/>
    <w:rsid w:val="003F7A95"/>
    <w:rsid w:val="00400855"/>
    <w:rsid w:val="00400B0F"/>
    <w:rsid w:val="00402ACC"/>
    <w:rsid w:val="0040604E"/>
    <w:rsid w:val="004120EC"/>
    <w:rsid w:val="0041587A"/>
    <w:rsid w:val="0041795F"/>
    <w:rsid w:val="00423F31"/>
    <w:rsid w:val="0042723B"/>
    <w:rsid w:val="00427E93"/>
    <w:rsid w:val="004315BF"/>
    <w:rsid w:val="00431899"/>
    <w:rsid w:val="00431E2C"/>
    <w:rsid w:val="00434FB3"/>
    <w:rsid w:val="0043564E"/>
    <w:rsid w:val="004360CA"/>
    <w:rsid w:val="004372CE"/>
    <w:rsid w:val="004418EB"/>
    <w:rsid w:val="00451D65"/>
    <w:rsid w:val="004539D8"/>
    <w:rsid w:val="00455638"/>
    <w:rsid w:val="00456F4C"/>
    <w:rsid w:val="00462A58"/>
    <w:rsid w:val="004653E3"/>
    <w:rsid w:val="00467C0D"/>
    <w:rsid w:val="00471A55"/>
    <w:rsid w:val="004751DB"/>
    <w:rsid w:val="0048359C"/>
    <w:rsid w:val="00483B7E"/>
    <w:rsid w:val="00485E95"/>
    <w:rsid w:val="0048674B"/>
    <w:rsid w:val="00486804"/>
    <w:rsid w:val="00493A3A"/>
    <w:rsid w:val="004961BC"/>
    <w:rsid w:val="004977A1"/>
    <w:rsid w:val="004A3C4C"/>
    <w:rsid w:val="004A67AD"/>
    <w:rsid w:val="004A6D18"/>
    <w:rsid w:val="004B04DD"/>
    <w:rsid w:val="004B0A61"/>
    <w:rsid w:val="004B35A8"/>
    <w:rsid w:val="004B3775"/>
    <w:rsid w:val="004B580B"/>
    <w:rsid w:val="004C0AAA"/>
    <w:rsid w:val="004C1958"/>
    <w:rsid w:val="004C3939"/>
    <w:rsid w:val="004C43B1"/>
    <w:rsid w:val="004D0BA0"/>
    <w:rsid w:val="004D249A"/>
    <w:rsid w:val="004D43F3"/>
    <w:rsid w:val="004E0264"/>
    <w:rsid w:val="004E058F"/>
    <w:rsid w:val="004E3B87"/>
    <w:rsid w:val="004F437F"/>
    <w:rsid w:val="004F5DF0"/>
    <w:rsid w:val="005041CC"/>
    <w:rsid w:val="00510921"/>
    <w:rsid w:val="00510AD3"/>
    <w:rsid w:val="00510FAB"/>
    <w:rsid w:val="00513348"/>
    <w:rsid w:val="00516648"/>
    <w:rsid w:val="005206CD"/>
    <w:rsid w:val="005245DB"/>
    <w:rsid w:val="00533B5D"/>
    <w:rsid w:val="00535EEA"/>
    <w:rsid w:val="00542339"/>
    <w:rsid w:val="0054753B"/>
    <w:rsid w:val="00550B03"/>
    <w:rsid w:val="00550E94"/>
    <w:rsid w:val="005511BF"/>
    <w:rsid w:val="005538B7"/>
    <w:rsid w:val="005561B4"/>
    <w:rsid w:val="005611B4"/>
    <w:rsid w:val="00567755"/>
    <w:rsid w:val="00567D48"/>
    <w:rsid w:val="0058340B"/>
    <w:rsid w:val="00585AC4"/>
    <w:rsid w:val="0059146A"/>
    <w:rsid w:val="0059150F"/>
    <w:rsid w:val="00591CE3"/>
    <w:rsid w:val="00593583"/>
    <w:rsid w:val="0059363D"/>
    <w:rsid w:val="005A37B2"/>
    <w:rsid w:val="005A58F5"/>
    <w:rsid w:val="005A5E37"/>
    <w:rsid w:val="005A7E62"/>
    <w:rsid w:val="005B23DE"/>
    <w:rsid w:val="005B463B"/>
    <w:rsid w:val="005B52C3"/>
    <w:rsid w:val="005B5769"/>
    <w:rsid w:val="005B6434"/>
    <w:rsid w:val="005B75D7"/>
    <w:rsid w:val="005C29D3"/>
    <w:rsid w:val="005C3C3E"/>
    <w:rsid w:val="005D30D1"/>
    <w:rsid w:val="005D3655"/>
    <w:rsid w:val="005E2CC4"/>
    <w:rsid w:val="005E3274"/>
    <w:rsid w:val="005E341C"/>
    <w:rsid w:val="005E39DD"/>
    <w:rsid w:val="005E4487"/>
    <w:rsid w:val="005E606B"/>
    <w:rsid w:val="005E61E6"/>
    <w:rsid w:val="005F02B8"/>
    <w:rsid w:val="005F2B34"/>
    <w:rsid w:val="005F55DE"/>
    <w:rsid w:val="00600479"/>
    <w:rsid w:val="006013C2"/>
    <w:rsid w:val="00601822"/>
    <w:rsid w:val="00601A65"/>
    <w:rsid w:val="0060518C"/>
    <w:rsid w:val="00606A18"/>
    <w:rsid w:val="00615669"/>
    <w:rsid w:val="0061764A"/>
    <w:rsid w:val="00622227"/>
    <w:rsid w:val="00623283"/>
    <w:rsid w:val="00623BA1"/>
    <w:rsid w:val="006252B0"/>
    <w:rsid w:val="0063119A"/>
    <w:rsid w:val="0063139D"/>
    <w:rsid w:val="006346BC"/>
    <w:rsid w:val="006415AE"/>
    <w:rsid w:val="00647020"/>
    <w:rsid w:val="00647CD3"/>
    <w:rsid w:val="00656768"/>
    <w:rsid w:val="00657AEE"/>
    <w:rsid w:val="00660812"/>
    <w:rsid w:val="006614C4"/>
    <w:rsid w:val="006617BA"/>
    <w:rsid w:val="0066367D"/>
    <w:rsid w:val="0066380F"/>
    <w:rsid w:val="00663C9A"/>
    <w:rsid w:val="00665AFD"/>
    <w:rsid w:val="0066652A"/>
    <w:rsid w:val="00666F0C"/>
    <w:rsid w:val="00667EE4"/>
    <w:rsid w:val="0067023B"/>
    <w:rsid w:val="006717E7"/>
    <w:rsid w:val="00680522"/>
    <w:rsid w:val="006806D6"/>
    <w:rsid w:val="00681F08"/>
    <w:rsid w:val="00682167"/>
    <w:rsid w:val="006822B2"/>
    <w:rsid w:val="00682D9F"/>
    <w:rsid w:val="00687064"/>
    <w:rsid w:val="00687609"/>
    <w:rsid w:val="006904AA"/>
    <w:rsid w:val="00690595"/>
    <w:rsid w:val="00690F45"/>
    <w:rsid w:val="006926A1"/>
    <w:rsid w:val="00692DEF"/>
    <w:rsid w:val="00695BF3"/>
    <w:rsid w:val="00697DAF"/>
    <w:rsid w:val="006A591E"/>
    <w:rsid w:val="006B4ADF"/>
    <w:rsid w:val="006B5516"/>
    <w:rsid w:val="006B6F5F"/>
    <w:rsid w:val="006B7A31"/>
    <w:rsid w:val="006C42AF"/>
    <w:rsid w:val="006C4F09"/>
    <w:rsid w:val="006C5F18"/>
    <w:rsid w:val="006C6640"/>
    <w:rsid w:val="006D2F23"/>
    <w:rsid w:val="006D5C5C"/>
    <w:rsid w:val="006E0DFD"/>
    <w:rsid w:val="006E25C0"/>
    <w:rsid w:val="006F230A"/>
    <w:rsid w:val="006F27B1"/>
    <w:rsid w:val="006F371D"/>
    <w:rsid w:val="006F391A"/>
    <w:rsid w:val="006F4623"/>
    <w:rsid w:val="006F6758"/>
    <w:rsid w:val="00701AEB"/>
    <w:rsid w:val="0070361B"/>
    <w:rsid w:val="007075EA"/>
    <w:rsid w:val="0071004D"/>
    <w:rsid w:val="00711D8E"/>
    <w:rsid w:val="00712672"/>
    <w:rsid w:val="0071789C"/>
    <w:rsid w:val="00724209"/>
    <w:rsid w:val="00731C94"/>
    <w:rsid w:val="00732930"/>
    <w:rsid w:val="00734E3F"/>
    <w:rsid w:val="00736985"/>
    <w:rsid w:val="00741C66"/>
    <w:rsid w:val="00743186"/>
    <w:rsid w:val="007453B9"/>
    <w:rsid w:val="00745DF5"/>
    <w:rsid w:val="00747757"/>
    <w:rsid w:val="00747C2C"/>
    <w:rsid w:val="007570E6"/>
    <w:rsid w:val="00761459"/>
    <w:rsid w:val="00762380"/>
    <w:rsid w:val="0076250F"/>
    <w:rsid w:val="00770EFD"/>
    <w:rsid w:val="00771B53"/>
    <w:rsid w:val="00774320"/>
    <w:rsid w:val="00782ADC"/>
    <w:rsid w:val="00784020"/>
    <w:rsid w:val="00784031"/>
    <w:rsid w:val="00785818"/>
    <w:rsid w:val="007901AD"/>
    <w:rsid w:val="007923D0"/>
    <w:rsid w:val="0079595A"/>
    <w:rsid w:val="00795BBC"/>
    <w:rsid w:val="00797A76"/>
    <w:rsid w:val="007A2857"/>
    <w:rsid w:val="007B4865"/>
    <w:rsid w:val="007B6200"/>
    <w:rsid w:val="007C1C3A"/>
    <w:rsid w:val="007C2540"/>
    <w:rsid w:val="007C258B"/>
    <w:rsid w:val="007C7418"/>
    <w:rsid w:val="007D0299"/>
    <w:rsid w:val="007D0F0A"/>
    <w:rsid w:val="007D2011"/>
    <w:rsid w:val="007D2E25"/>
    <w:rsid w:val="007F3395"/>
    <w:rsid w:val="00801B9F"/>
    <w:rsid w:val="008057FD"/>
    <w:rsid w:val="00805D0C"/>
    <w:rsid w:val="0080681D"/>
    <w:rsid w:val="00820461"/>
    <w:rsid w:val="00823B06"/>
    <w:rsid w:val="00845C8B"/>
    <w:rsid w:val="0084627A"/>
    <w:rsid w:val="008475F0"/>
    <w:rsid w:val="008518C3"/>
    <w:rsid w:val="0085685F"/>
    <w:rsid w:val="00861073"/>
    <w:rsid w:val="00864210"/>
    <w:rsid w:val="00866305"/>
    <w:rsid w:val="008664AF"/>
    <w:rsid w:val="00866D4F"/>
    <w:rsid w:val="008712AD"/>
    <w:rsid w:val="008716D5"/>
    <w:rsid w:val="008727F6"/>
    <w:rsid w:val="00874BE7"/>
    <w:rsid w:val="00875AA4"/>
    <w:rsid w:val="00880004"/>
    <w:rsid w:val="00891631"/>
    <w:rsid w:val="008953A1"/>
    <w:rsid w:val="008A0845"/>
    <w:rsid w:val="008A4251"/>
    <w:rsid w:val="008A42D5"/>
    <w:rsid w:val="008A57E5"/>
    <w:rsid w:val="008A5906"/>
    <w:rsid w:val="008A5AFE"/>
    <w:rsid w:val="008A6829"/>
    <w:rsid w:val="008A72EB"/>
    <w:rsid w:val="008B1A80"/>
    <w:rsid w:val="008B68D7"/>
    <w:rsid w:val="008B7D42"/>
    <w:rsid w:val="008C2F58"/>
    <w:rsid w:val="008C4810"/>
    <w:rsid w:val="008C57A1"/>
    <w:rsid w:val="008C5A0E"/>
    <w:rsid w:val="008C6958"/>
    <w:rsid w:val="008D1F9D"/>
    <w:rsid w:val="008D34C7"/>
    <w:rsid w:val="008D46CF"/>
    <w:rsid w:val="008D482B"/>
    <w:rsid w:val="008D4C85"/>
    <w:rsid w:val="008E2FE0"/>
    <w:rsid w:val="008E4A1C"/>
    <w:rsid w:val="008E5513"/>
    <w:rsid w:val="008E5EF4"/>
    <w:rsid w:val="008F0C31"/>
    <w:rsid w:val="008F1162"/>
    <w:rsid w:val="008F295C"/>
    <w:rsid w:val="008F56A8"/>
    <w:rsid w:val="008F61A4"/>
    <w:rsid w:val="00901B6A"/>
    <w:rsid w:val="00902241"/>
    <w:rsid w:val="0090592F"/>
    <w:rsid w:val="00906570"/>
    <w:rsid w:val="00906EC9"/>
    <w:rsid w:val="009110FF"/>
    <w:rsid w:val="00912960"/>
    <w:rsid w:val="009129F9"/>
    <w:rsid w:val="00926545"/>
    <w:rsid w:val="00930D43"/>
    <w:rsid w:val="00931DA2"/>
    <w:rsid w:val="00932DD7"/>
    <w:rsid w:val="00937342"/>
    <w:rsid w:val="009378B8"/>
    <w:rsid w:val="0094042E"/>
    <w:rsid w:val="00940E14"/>
    <w:rsid w:val="009560FF"/>
    <w:rsid w:val="00956638"/>
    <w:rsid w:val="0095745F"/>
    <w:rsid w:val="0096537B"/>
    <w:rsid w:val="00970924"/>
    <w:rsid w:val="00970E48"/>
    <w:rsid w:val="00975C42"/>
    <w:rsid w:val="00976623"/>
    <w:rsid w:val="009766CA"/>
    <w:rsid w:val="0098292F"/>
    <w:rsid w:val="009903F3"/>
    <w:rsid w:val="009909EE"/>
    <w:rsid w:val="00992C76"/>
    <w:rsid w:val="009934B7"/>
    <w:rsid w:val="00993922"/>
    <w:rsid w:val="00994A27"/>
    <w:rsid w:val="00995816"/>
    <w:rsid w:val="009B037A"/>
    <w:rsid w:val="009B2FC0"/>
    <w:rsid w:val="009B4D3B"/>
    <w:rsid w:val="009B7027"/>
    <w:rsid w:val="009C3517"/>
    <w:rsid w:val="009C6A70"/>
    <w:rsid w:val="009D067A"/>
    <w:rsid w:val="009D2415"/>
    <w:rsid w:val="009D36EF"/>
    <w:rsid w:val="009D7407"/>
    <w:rsid w:val="009E0866"/>
    <w:rsid w:val="009E1C8A"/>
    <w:rsid w:val="009E3DDE"/>
    <w:rsid w:val="009E50AA"/>
    <w:rsid w:val="009E5C14"/>
    <w:rsid w:val="009E7BB8"/>
    <w:rsid w:val="009F19AF"/>
    <w:rsid w:val="009F4589"/>
    <w:rsid w:val="009F5488"/>
    <w:rsid w:val="009F6423"/>
    <w:rsid w:val="009F7F3F"/>
    <w:rsid w:val="00A02CE0"/>
    <w:rsid w:val="00A03103"/>
    <w:rsid w:val="00A033EA"/>
    <w:rsid w:val="00A063B7"/>
    <w:rsid w:val="00A0645B"/>
    <w:rsid w:val="00A1210C"/>
    <w:rsid w:val="00A206DF"/>
    <w:rsid w:val="00A2325E"/>
    <w:rsid w:val="00A24A62"/>
    <w:rsid w:val="00A3194B"/>
    <w:rsid w:val="00A31C9F"/>
    <w:rsid w:val="00A32230"/>
    <w:rsid w:val="00A3272E"/>
    <w:rsid w:val="00A333BD"/>
    <w:rsid w:val="00A35CCF"/>
    <w:rsid w:val="00A35E09"/>
    <w:rsid w:val="00A37D48"/>
    <w:rsid w:val="00A4144F"/>
    <w:rsid w:val="00A4220D"/>
    <w:rsid w:val="00A42287"/>
    <w:rsid w:val="00A43E00"/>
    <w:rsid w:val="00A54034"/>
    <w:rsid w:val="00A56F14"/>
    <w:rsid w:val="00A6269F"/>
    <w:rsid w:val="00A63FB4"/>
    <w:rsid w:val="00A73FAE"/>
    <w:rsid w:val="00A77D5D"/>
    <w:rsid w:val="00A807BE"/>
    <w:rsid w:val="00A80F95"/>
    <w:rsid w:val="00A8197B"/>
    <w:rsid w:val="00A825F5"/>
    <w:rsid w:val="00A83B17"/>
    <w:rsid w:val="00A8411F"/>
    <w:rsid w:val="00A86330"/>
    <w:rsid w:val="00A91F97"/>
    <w:rsid w:val="00A93021"/>
    <w:rsid w:val="00AA0A6E"/>
    <w:rsid w:val="00AA153E"/>
    <w:rsid w:val="00AA2154"/>
    <w:rsid w:val="00AA3135"/>
    <w:rsid w:val="00AA5F25"/>
    <w:rsid w:val="00AA6B8A"/>
    <w:rsid w:val="00AA703C"/>
    <w:rsid w:val="00AA7BE3"/>
    <w:rsid w:val="00AB5E7F"/>
    <w:rsid w:val="00AB5F44"/>
    <w:rsid w:val="00AB664F"/>
    <w:rsid w:val="00AB704E"/>
    <w:rsid w:val="00AC164A"/>
    <w:rsid w:val="00AC2FE0"/>
    <w:rsid w:val="00AC302F"/>
    <w:rsid w:val="00AC4C69"/>
    <w:rsid w:val="00AC7DE5"/>
    <w:rsid w:val="00AD37A5"/>
    <w:rsid w:val="00AD7FCE"/>
    <w:rsid w:val="00AE41C8"/>
    <w:rsid w:val="00AF027C"/>
    <w:rsid w:val="00AF1B85"/>
    <w:rsid w:val="00AF2050"/>
    <w:rsid w:val="00B03CA8"/>
    <w:rsid w:val="00B26D97"/>
    <w:rsid w:val="00B331DC"/>
    <w:rsid w:val="00B35FE3"/>
    <w:rsid w:val="00B37C19"/>
    <w:rsid w:val="00B40565"/>
    <w:rsid w:val="00B438D3"/>
    <w:rsid w:val="00B45401"/>
    <w:rsid w:val="00B50AEC"/>
    <w:rsid w:val="00B51FA7"/>
    <w:rsid w:val="00B5207C"/>
    <w:rsid w:val="00B52C37"/>
    <w:rsid w:val="00B535FD"/>
    <w:rsid w:val="00B53719"/>
    <w:rsid w:val="00B53B4A"/>
    <w:rsid w:val="00B55E19"/>
    <w:rsid w:val="00B66824"/>
    <w:rsid w:val="00B67008"/>
    <w:rsid w:val="00B71D60"/>
    <w:rsid w:val="00B72DB2"/>
    <w:rsid w:val="00B7509E"/>
    <w:rsid w:val="00B819AD"/>
    <w:rsid w:val="00B832D9"/>
    <w:rsid w:val="00B85226"/>
    <w:rsid w:val="00B90E03"/>
    <w:rsid w:val="00B916B3"/>
    <w:rsid w:val="00B97623"/>
    <w:rsid w:val="00BA4B6D"/>
    <w:rsid w:val="00BA61A7"/>
    <w:rsid w:val="00BA7C3A"/>
    <w:rsid w:val="00BB254C"/>
    <w:rsid w:val="00BB26C5"/>
    <w:rsid w:val="00BB3084"/>
    <w:rsid w:val="00BB3F0E"/>
    <w:rsid w:val="00BC128F"/>
    <w:rsid w:val="00BC337C"/>
    <w:rsid w:val="00BD077D"/>
    <w:rsid w:val="00BD29FF"/>
    <w:rsid w:val="00BE24EE"/>
    <w:rsid w:val="00BE27B4"/>
    <w:rsid w:val="00BE5AEA"/>
    <w:rsid w:val="00BE6C6D"/>
    <w:rsid w:val="00BE737D"/>
    <w:rsid w:val="00BF45AE"/>
    <w:rsid w:val="00BF4DE6"/>
    <w:rsid w:val="00BF4F13"/>
    <w:rsid w:val="00BF55DC"/>
    <w:rsid w:val="00BF76FC"/>
    <w:rsid w:val="00C00C9E"/>
    <w:rsid w:val="00C12C02"/>
    <w:rsid w:val="00C17BD2"/>
    <w:rsid w:val="00C20EEC"/>
    <w:rsid w:val="00C21F30"/>
    <w:rsid w:val="00C3587B"/>
    <w:rsid w:val="00C36DFE"/>
    <w:rsid w:val="00C374D0"/>
    <w:rsid w:val="00C406F0"/>
    <w:rsid w:val="00C41FDF"/>
    <w:rsid w:val="00C42858"/>
    <w:rsid w:val="00C42CDE"/>
    <w:rsid w:val="00C430F1"/>
    <w:rsid w:val="00C500D7"/>
    <w:rsid w:val="00C5182A"/>
    <w:rsid w:val="00C51A53"/>
    <w:rsid w:val="00C53256"/>
    <w:rsid w:val="00C53523"/>
    <w:rsid w:val="00C548E1"/>
    <w:rsid w:val="00C557F3"/>
    <w:rsid w:val="00C56362"/>
    <w:rsid w:val="00C56E83"/>
    <w:rsid w:val="00C572E8"/>
    <w:rsid w:val="00C577AF"/>
    <w:rsid w:val="00C61A76"/>
    <w:rsid w:val="00C63EE9"/>
    <w:rsid w:val="00C6626C"/>
    <w:rsid w:val="00C66605"/>
    <w:rsid w:val="00C70DB9"/>
    <w:rsid w:val="00C71D50"/>
    <w:rsid w:val="00C7593D"/>
    <w:rsid w:val="00C7674B"/>
    <w:rsid w:val="00C773A2"/>
    <w:rsid w:val="00C800AD"/>
    <w:rsid w:val="00C81342"/>
    <w:rsid w:val="00C834DE"/>
    <w:rsid w:val="00C85340"/>
    <w:rsid w:val="00C90AA1"/>
    <w:rsid w:val="00C90FF7"/>
    <w:rsid w:val="00C93EAC"/>
    <w:rsid w:val="00C97403"/>
    <w:rsid w:val="00CA0F64"/>
    <w:rsid w:val="00CA23DE"/>
    <w:rsid w:val="00CA2BFE"/>
    <w:rsid w:val="00CA2DA7"/>
    <w:rsid w:val="00CA37B1"/>
    <w:rsid w:val="00CA4E03"/>
    <w:rsid w:val="00CA6C04"/>
    <w:rsid w:val="00CA7DD8"/>
    <w:rsid w:val="00CB1959"/>
    <w:rsid w:val="00CB34B8"/>
    <w:rsid w:val="00CB6EE2"/>
    <w:rsid w:val="00CC4DDA"/>
    <w:rsid w:val="00CC6012"/>
    <w:rsid w:val="00CC79C8"/>
    <w:rsid w:val="00CD0E4B"/>
    <w:rsid w:val="00CD7310"/>
    <w:rsid w:val="00CE0155"/>
    <w:rsid w:val="00CE1957"/>
    <w:rsid w:val="00CE2164"/>
    <w:rsid w:val="00CE5DF0"/>
    <w:rsid w:val="00CF2559"/>
    <w:rsid w:val="00CF39D8"/>
    <w:rsid w:val="00D00802"/>
    <w:rsid w:val="00D00C7A"/>
    <w:rsid w:val="00D011F6"/>
    <w:rsid w:val="00D01A84"/>
    <w:rsid w:val="00D0296C"/>
    <w:rsid w:val="00D033B8"/>
    <w:rsid w:val="00D05ED7"/>
    <w:rsid w:val="00D10AAE"/>
    <w:rsid w:val="00D1332C"/>
    <w:rsid w:val="00D146A2"/>
    <w:rsid w:val="00D15A00"/>
    <w:rsid w:val="00D32C1E"/>
    <w:rsid w:val="00D3315E"/>
    <w:rsid w:val="00D33BF8"/>
    <w:rsid w:val="00D378A8"/>
    <w:rsid w:val="00D40AEB"/>
    <w:rsid w:val="00D40BDD"/>
    <w:rsid w:val="00D42772"/>
    <w:rsid w:val="00D42DBB"/>
    <w:rsid w:val="00D43859"/>
    <w:rsid w:val="00D460DC"/>
    <w:rsid w:val="00D4678D"/>
    <w:rsid w:val="00D47AE9"/>
    <w:rsid w:val="00D5129A"/>
    <w:rsid w:val="00D60545"/>
    <w:rsid w:val="00D613B4"/>
    <w:rsid w:val="00D61920"/>
    <w:rsid w:val="00D64BD1"/>
    <w:rsid w:val="00D65268"/>
    <w:rsid w:val="00D65743"/>
    <w:rsid w:val="00D6583F"/>
    <w:rsid w:val="00D72760"/>
    <w:rsid w:val="00D727CD"/>
    <w:rsid w:val="00D73EFE"/>
    <w:rsid w:val="00D76538"/>
    <w:rsid w:val="00D85582"/>
    <w:rsid w:val="00D865AB"/>
    <w:rsid w:val="00D86954"/>
    <w:rsid w:val="00D92BC5"/>
    <w:rsid w:val="00D936BA"/>
    <w:rsid w:val="00D94543"/>
    <w:rsid w:val="00DA040F"/>
    <w:rsid w:val="00DA4942"/>
    <w:rsid w:val="00DA6D28"/>
    <w:rsid w:val="00DB4BEE"/>
    <w:rsid w:val="00DB62AD"/>
    <w:rsid w:val="00DC1966"/>
    <w:rsid w:val="00DC3091"/>
    <w:rsid w:val="00DC512B"/>
    <w:rsid w:val="00DC521C"/>
    <w:rsid w:val="00DD1986"/>
    <w:rsid w:val="00DD2D35"/>
    <w:rsid w:val="00DD79BB"/>
    <w:rsid w:val="00DD7C7E"/>
    <w:rsid w:val="00DE084C"/>
    <w:rsid w:val="00DE2016"/>
    <w:rsid w:val="00DE3289"/>
    <w:rsid w:val="00DE726F"/>
    <w:rsid w:val="00DF012F"/>
    <w:rsid w:val="00DF078E"/>
    <w:rsid w:val="00DF11F9"/>
    <w:rsid w:val="00DF1D8E"/>
    <w:rsid w:val="00DF480A"/>
    <w:rsid w:val="00E0104D"/>
    <w:rsid w:val="00E0719C"/>
    <w:rsid w:val="00E075C8"/>
    <w:rsid w:val="00E11C5B"/>
    <w:rsid w:val="00E1731D"/>
    <w:rsid w:val="00E22F0A"/>
    <w:rsid w:val="00E245D7"/>
    <w:rsid w:val="00E3032B"/>
    <w:rsid w:val="00E3037D"/>
    <w:rsid w:val="00E3373E"/>
    <w:rsid w:val="00E337F3"/>
    <w:rsid w:val="00E357B7"/>
    <w:rsid w:val="00E36F91"/>
    <w:rsid w:val="00E41BEF"/>
    <w:rsid w:val="00E446D3"/>
    <w:rsid w:val="00E45E16"/>
    <w:rsid w:val="00E47CE3"/>
    <w:rsid w:val="00E52D2E"/>
    <w:rsid w:val="00E53800"/>
    <w:rsid w:val="00E6081F"/>
    <w:rsid w:val="00E648D1"/>
    <w:rsid w:val="00E70DDA"/>
    <w:rsid w:val="00E754AA"/>
    <w:rsid w:val="00E812B1"/>
    <w:rsid w:val="00E842E1"/>
    <w:rsid w:val="00E84B31"/>
    <w:rsid w:val="00E86380"/>
    <w:rsid w:val="00E87A91"/>
    <w:rsid w:val="00E93183"/>
    <w:rsid w:val="00E93204"/>
    <w:rsid w:val="00E932E6"/>
    <w:rsid w:val="00E97AAD"/>
    <w:rsid w:val="00E97F15"/>
    <w:rsid w:val="00EA04B2"/>
    <w:rsid w:val="00EA20F3"/>
    <w:rsid w:val="00EA346E"/>
    <w:rsid w:val="00EA4D07"/>
    <w:rsid w:val="00EA6DE6"/>
    <w:rsid w:val="00EB2D0F"/>
    <w:rsid w:val="00EB3DD7"/>
    <w:rsid w:val="00EB48A7"/>
    <w:rsid w:val="00EB5081"/>
    <w:rsid w:val="00EB706B"/>
    <w:rsid w:val="00EC0775"/>
    <w:rsid w:val="00EC2108"/>
    <w:rsid w:val="00EC5985"/>
    <w:rsid w:val="00ED2831"/>
    <w:rsid w:val="00ED2CEC"/>
    <w:rsid w:val="00ED43D1"/>
    <w:rsid w:val="00ED44BE"/>
    <w:rsid w:val="00ED7C9B"/>
    <w:rsid w:val="00EE0548"/>
    <w:rsid w:val="00EE2FEA"/>
    <w:rsid w:val="00EE4EE1"/>
    <w:rsid w:val="00EF31ED"/>
    <w:rsid w:val="00EF4574"/>
    <w:rsid w:val="00EF4BC1"/>
    <w:rsid w:val="00EF6543"/>
    <w:rsid w:val="00F05180"/>
    <w:rsid w:val="00F12140"/>
    <w:rsid w:val="00F13257"/>
    <w:rsid w:val="00F22567"/>
    <w:rsid w:val="00F236B9"/>
    <w:rsid w:val="00F2605B"/>
    <w:rsid w:val="00F2684E"/>
    <w:rsid w:val="00F3441A"/>
    <w:rsid w:val="00F3692A"/>
    <w:rsid w:val="00F45FEB"/>
    <w:rsid w:val="00F5404C"/>
    <w:rsid w:val="00F61A64"/>
    <w:rsid w:val="00F65131"/>
    <w:rsid w:val="00F665B7"/>
    <w:rsid w:val="00F71549"/>
    <w:rsid w:val="00F729EF"/>
    <w:rsid w:val="00F7382A"/>
    <w:rsid w:val="00F73A8C"/>
    <w:rsid w:val="00F74018"/>
    <w:rsid w:val="00F743C2"/>
    <w:rsid w:val="00F76930"/>
    <w:rsid w:val="00F77CAE"/>
    <w:rsid w:val="00F77ECA"/>
    <w:rsid w:val="00F804DF"/>
    <w:rsid w:val="00F82271"/>
    <w:rsid w:val="00F83428"/>
    <w:rsid w:val="00F840B1"/>
    <w:rsid w:val="00F86921"/>
    <w:rsid w:val="00F86B59"/>
    <w:rsid w:val="00F9451F"/>
    <w:rsid w:val="00F96BB9"/>
    <w:rsid w:val="00FA3CFD"/>
    <w:rsid w:val="00FA44A4"/>
    <w:rsid w:val="00FA5B5D"/>
    <w:rsid w:val="00FB473A"/>
    <w:rsid w:val="00FB5F78"/>
    <w:rsid w:val="00FB64C0"/>
    <w:rsid w:val="00FC1B2A"/>
    <w:rsid w:val="00FC409A"/>
    <w:rsid w:val="00FC702E"/>
    <w:rsid w:val="00FC7C09"/>
    <w:rsid w:val="00FD29AF"/>
    <w:rsid w:val="00FE5D2B"/>
    <w:rsid w:val="00FE6D51"/>
    <w:rsid w:val="00FE6DC0"/>
    <w:rsid w:val="00FE7377"/>
    <w:rsid w:val="00FF09F3"/>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F4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Bullet Paragraph,NumberedParas,Akapit z listą BS,List Paragraph 1,Bullets,References,ANNEX,List Paragraph1,List Paragraph2,Numbered List Paragraph,ReferencesCxSpLast,Liste 1,L"/>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Bullet Paragraph Char,NumberedParas Char,Akapit z listą BS Char,List Paragraph 1 Char,Bullets Char,References Char,ANNEX Char,List Paragraph1 Char,L Char"/>
    <w:basedOn w:val="DefaultParagraphFont"/>
    <w:link w:val="ListParagraph"/>
    <w:uiPriority w:val="34"/>
    <w:qFormat/>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character" w:styleId="CommentReference">
    <w:name w:val="annotation reference"/>
    <w:basedOn w:val="DefaultParagraphFont"/>
    <w:uiPriority w:val="99"/>
    <w:rsid w:val="00A35E09"/>
    <w:rPr>
      <w:sz w:val="16"/>
      <w:szCs w:val="16"/>
    </w:rPr>
  </w:style>
  <w:style w:type="paragraph" w:styleId="CommentText">
    <w:name w:val="annotation text"/>
    <w:basedOn w:val="Normal"/>
    <w:link w:val="CommentTextChar"/>
    <w:uiPriority w:val="99"/>
    <w:rsid w:val="00A35E09"/>
    <w:pPr>
      <w:suppressAutoHyphens w:val="0"/>
      <w:spacing w:before="0" w:after="0" w:line="240" w:lineRule="auto"/>
    </w:pPr>
    <w:rPr>
      <w:rFonts w:ascii="Times New Roman" w:eastAsia="Times New Roman" w:hAnsi="Times New Roman" w:cs="Times New Roman"/>
      <w:color w:val="auto"/>
      <w:sz w:val="20"/>
      <w:szCs w:val="20"/>
      <w:lang w:val="en-AU"/>
    </w:rPr>
  </w:style>
  <w:style w:type="character" w:customStyle="1" w:styleId="CommentTextChar">
    <w:name w:val="Comment Text Char"/>
    <w:basedOn w:val="DefaultParagraphFont"/>
    <w:link w:val="CommentText"/>
    <w:uiPriority w:val="99"/>
    <w:rsid w:val="00A35E09"/>
    <w:rPr>
      <w:rFonts w:ascii="Times New Roman" w:eastAsia="Times New Roman" w:hAnsi="Times New Roman" w:cs="Times New Roman"/>
      <w:sz w:val="20"/>
      <w:szCs w:val="20"/>
    </w:rPr>
  </w:style>
  <w:style w:type="table" w:customStyle="1" w:styleId="CHtablestyle">
    <w:name w:val="CH table style"/>
    <w:basedOn w:val="TableNormal"/>
    <w:uiPriority w:val="99"/>
    <w:rsid w:val="00A35E09"/>
    <w:pPr>
      <w:spacing w:after="0" w:line="240" w:lineRule="auto"/>
    </w:pPr>
    <w:rPr>
      <w:rFonts w:ascii="Franklin Gothic Book" w:hAnsi="Franklin Gothic Book" w:cs="Times New Roman"/>
      <w:sz w:val="20"/>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0" w:before="40" w:beforeAutospacing="0" w:afterLines="0" w:after="40" w:afterAutospacing="0"/>
        <w:jc w:val="left"/>
      </w:pPr>
      <w:rPr>
        <w:rFonts w:ascii="Franklin Gothic Book" w:hAnsi="Franklin Gothic Book"/>
        <w:color w:val="3DA18F" w:themeColor="accent1" w:themeShade="BF"/>
        <w:sz w:val="20"/>
      </w:rPr>
      <w:tblPr/>
      <w:tcPr>
        <w:tcBorders>
          <w:top w:val="nil"/>
          <w:left w:val="nil"/>
          <w:bottom w:val="nil"/>
          <w:right w:val="nil"/>
          <w:insideH w:val="nil"/>
          <w:insideV w:val="nil"/>
          <w:tl2br w:val="nil"/>
          <w:tr2bl w:val="nil"/>
        </w:tcBorders>
        <w:shd w:val="clear" w:color="auto" w:fill="C1E7E0" w:themeFill="accent1" w:themeFillTint="66"/>
        <w:vAlign w:val="center"/>
      </w:tcPr>
    </w:tblStylePr>
  </w:style>
  <w:style w:type="paragraph" w:styleId="Revision">
    <w:name w:val="Revision"/>
    <w:hidden/>
    <w:uiPriority w:val="99"/>
    <w:semiHidden/>
    <w:rsid w:val="004539D8"/>
    <w:pPr>
      <w:spacing w:after="0" w:line="240" w:lineRule="auto"/>
    </w:pPr>
    <w:rPr>
      <w:color w:val="495965" w:themeColor="text2"/>
      <w:lang w:val="en-GB"/>
    </w:rPr>
  </w:style>
  <w:style w:type="paragraph" w:styleId="PlainText">
    <w:name w:val="Plain Text"/>
    <w:basedOn w:val="Normal"/>
    <w:link w:val="PlainTextChar"/>
    <w:uiPriority w:val="99"/>
    <w:semiHidden/>
    <w:unhideWhenUsed/>
    <w:rsid w:val="00E41BEF"/>
    <w:pPr>
      <w:suppressAutoHyphens w:val="0"/>
      <w:spacing w:before="0" w:after="0" w:line="240" w:lineRule="auto"/>
    </w:pPr>
    <w:rPr>
      <w:rFonts w:ascii="Calibri" w:hAnsi="Calibri" w:cs="Times New Roman"/>
      <w:color w:val="auto"/>
      <w:lang w:val="en-AU"/>
    </w:rPr>
  </w:style>
  <w:style w:type="character" w:customStyle="1" w:styleId="PlainTextChar">
    <w:name w:val="Plain Text Char"/>
    <w:basedOn w:val="DefaultParagraphFont"/>
    <w:link w:val="PlainText"/>
    <w:uiPriority w:val="99"/>
    <w:semiHidden/>
    <w:rsid w:val="00E41BEF"/>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79595A"/>
    <w:pPr>
      <w:suppressAutoHyphens/>
      <w:spacing w:before="120" w:after="60"/>
    </w:pPr>
    <w:rPr>
      <w:rFonts w:asciiTheme="minorHAnsi" w:eastAsiaTheme="minorHAnsi" w:hAnsiTheme="minorHAnsi" w:cstheme="minorBidi"/>
      <w:b/>
      <w:bCs/>
      <w:color w:val="495965" w:themeColor="text2"/>
      <w:lang w:val="en-GB"/>
    </w:rPr>
  </w:style>
  <w:style w:type="character" w:customStyle="1" w:styleId="CommentSubjectChar">
    <w:name w:val="Comment Subject Char"/>
    <w:basedOn w:val="CommentTextChar"/>
    <w:link w:val="CommentSubject"/>
    <w:uiPriority w:val="99"/>
    <w:semiHidden/>
    <w:rsid w:val="0079595A"/>
    <w:rPr>
      <w:rFonts w:ascii="Times New Roman" w:eastAsia="Times New Roman" w:hAnsi="Times New Roman" w:cs="Times New Roman"/>
      <w:b/>
      <w:bCs/>
      <w:color w:val="495965" w:themeColor="text2"/>
      <w:sz w:val="20"/>
      <w:szCs w:val="20"/>
      <w:lang w:val="en-GB"/>
    </w:rPr>
  </w:style>
  <w:style w:type="paragraph" w:customStyle="1" w:styleId="Default">
    <w:name w:val="Default"/>
    <w:rsid w:val="0029092A"/>
    <w:pPr>
      <w:autoSpaceDE w:val="0"/>
      <w:autoSpaceDN w:val="0"/>
      <w:adjustRightInd w:val="0"/>
      <w:spacing w:after="0" w:line="240" w:lineRule="auto"/>
    </w:pPr>
    <w:rPr>
      <w:rFonts w:ascii="Calibri Light" w:hAnsi="Calibri Light" w:cs="Calibri Light"/>
      <w:color w:val="000000"/>
      <w:sz w:val="24"/>
      <w:szCs w:val="24"/>
    </w:rPr>
  </w:style>
  <w:style w:type="paragraph" w:styleId="NormalWeb">
    <w:name w:val="Normal (Web)"/>
    <w:basedOn w:val="Normal"/>
    <w:uiPriority w:val="99"/>
    <w:semiHidden/>
    <w:unhideWhenUsed/>
    <w:rsid w:val="003C1004"/>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5727">
      <w:bodyDiv w:val="1"/>
      <w:marLeft w:val="0"/>
      <w:marRight w:val="0"/>
      <w:marTop w:val="0"/>
      <w:marBottom w:val="0"/>
      <w:divBdr>
        <w:top w:val="none" w:sz="0" w:space="0" w:color="auto"/>
        <w:left w:val="none" w:sz="0" w:space="0" w:color="auto"/>
        <w:bottom w:val="none" w:sz="0" w:space="0" w:color="auto"/>
        <w:right w:val="none" w:sz="0" w:space="0" w:color="auto"/>
      </w:divBdr>
    </w:div>
    <w:div w:id="95947939">
      <w:bodyDiv w:val="1"/>
      <w:marLeft w:val="0"/>
      <w:marRight w:val="0"/>
      <w:marTop w:val="0"/>
      <w:marBottom w:val="0"/>
      <w:divBdr>
        <w:top w:val="none" w:sz="0" w:space="0" w:color="auto"/>
        <w:left w:val="none" w:sz="0" w:space="0" w:color="auto"/>
        <w:bottom w:val="none" w:sz="0" w:space="0" w:color="auto"/>
        <w:right w:val="none" w:sz="0" w:space="0" w:color="auto"/>
      </w:divBdr>
    </w:div>
    <w:div w:id="231552527">
      <w:bodyDiv w:val="1"/>
      <w:marLeft w:val="0"/>
      <w:marRight w:val="0"/>
      <w:marTop w:val="0"/>
      <w:marBottom w:val="0"/>
      <w:divBdr>
        <w:top w:val="none" w:sz="0" w:space="0" w:color="auto"/>
        <w:left w:val="none" w:sz="0" w:space="0" w:color="auto"/>
        <w:bottom w:val="none" w:sz="0" w:space="0" w:color="auto"/>
        <w:right w:val="none" w:sz="0" w:space="0" w:color="auto"/>
      </w:divBdr>
    </w:div>
    <w:div w:id="276521576">
      <w:bodyDiv w:val="1"/>
      <w:marLeft w:val="0"/>
      <w:marRight w:val="0"/>
      <w:marTop w:val="0"/>
      <w:marBottom w:val="0"/>
      <w:divBdr>
        <w:top w:val="none" w:sz="0" w:space="0" w:color="auto"/>
        <w:left w:val="none" w:sz="0" w:space="0" w:color="auto"/>
        <w:bottom w:val="none" w:sz="0" w:space="0" w:color="auto"/>
        <w:right w:val="none" w:sz="0" w:space="0" w:color="auto"/>
      </w:divBdr>
      <w:divsChild>
        <w:div w:id="1505630490">
          <w:marLeft w:val="0"/>
          <w:marRight w:val="0"/>
          <w:marTop w:val="0"/>
          <w:marBottom w:val="0"/>
          <w:divBdr>
            <w:top w:val="none" w:sz="0" w:space="0" w:color="auto"/>
            <w:left w:val="none" w:sz="0" w:space="0" w:color="auto"/>
            <w:bottom w:val="none" w:sz="0" w:space="0" w:color="auto"/>
            <w:right w:val="none" w:sz="0" w:space="0" w:color="auto"/>
          </w:divBdr>
          <w:divsChild>
            <w:div w:id="351538796">
              <w:marLeft w:val="0"/>
              <w:marRight w:val="0"/>
              <w:marTop w:val="0"/>
              <w:marBottom w:val="0"/>
              <w:divBdr>
                <w:top w:val="none" w:sz="0" w:space="0" w:color="auto"/>
                <w:left w:val="none" w:sz="0" w:space="0" w:color="auto"/>
                <w:bottom w:val="none" w:sz="0" w:space="0" w:color="auto"/>
                <w:right w:val="none" w:sz="0" w:space="0" w:color="auto"/>
              </w:divBdr>
              <w:divsChild>
                <w:div w:id="1785885574">
                  <w:marLeft w:val="0"/>
                  <w:marRight w:val="0"/>
                  <w:marTop w:val="0"/>
                  <w:marBottom w:val="0"/>
                  <w:divBdr>
                    <w:top w:val="none" w:sz="0" w:space="0" w:color="auto"/>
                    <w:left w:val="none" w:sz="0" w:space="0" w:color="auto"/>
                    <w:bottom w:val="none" w:sz="0" w:space="0" w:color="auto"/>
                    <w:right w:val="none" w:sz="0" w:space="0" w:color="auto"/>
                  </w:divBdr>
                  <w:divsChild>
                    <w:div w:id="761488687">
                      <w:marLeft w:val="0"/>
                      <w:marRight w:val="0"/>
                      <w:marTop w:val="0"/>
                      <w:marBottom w:val="0"/>
                      <w:divBdr>
                        <w:top w:val="none" w:sz="0" w:space="0" w:color="auto"/>
                        <w:left w:val="none" w:sz="0" w:space="0" w:color="auto"/>
                        <w:bottom w:val="none" w:sz="0" w:space="0" w:color="auto"/>
                        <w:right w:val="none" w:sz="0" w:space="0" w:color="auto"/>
                      </w:divBdr>
                      <w:divsChild>
                        <w:div w:id="613947818">
                          <w:marLeft w:val="0"/>
                          <w:marRight w:val="0"/>
                          <w:marTop w:val="0"/>
                          <w:marBottom w:val="0"/>
                          <w:divBdr>
                            <w:top w:val="none" w:sz="0" w:space="0" w:color="auto"/>
                            <w:left w:val="none" w:sz="0" w:space="0" w:color="auto"/>
                            <w:bottom w:val="none" w:sz="0" w:space="0" w:color="auto"/>
                            <w:right w:val="none" w:sz="0" w:space="0" w:color="auto"/>
                          </w:divBdr>
                          <w:divsChild>
                            <w:div w:id="1736658754">
                              <w:marLeft w:val="0"/>
                              <w:marRight w:val="0"/>
                              <w:marTop w:val="0"/>
                              <w:marBottom w:val="0"/>
                              <w:divBdr>
                                <w:top w:val="none" w:sz="0" w:space="0" w:color="auto"/>
                                <w:left w:val="none" w:sz="0" w:space="0" w:color="auto"/>
                                <w:bottom w:val="none" w:sz="0" w:space="0" w:color="auto"/>
                                <w:right w:val="none" w:sz="0" w:space="0" w:color="auto"/>
                              </w:divBdr>
                              <w:divsChild>
                                <w:div w:id="1365984584">
                                  <w:marLeft w:val="0"/>
                                  <w:marRight w:val="0"/>
                                  <w:marTop w:val="0"/>
                                  <w:marBottom w:val="0"/>
                                  <w:divBdr>
                                    <w:top w:val="none" w:sz="0" w:space="0" w:color="auto"/>
                                    <w:left w:val="none" w:sz="0" w:space="0" w:color="auto"/>
                                    <w:bottom w:val="none" w:sz="0" w:space="0" w:color="auto"/>
                                    <w:right w:val="none" w:sz="0" w:space="0" w:color="auto"/>
                                  </w:divBdr>
                                  <w:divsChild>
                                    <w:div w:id="13094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427441">
      <w:bodyDiv w:val="1"/>
      <w:marLeft w:val="0"/>
      <w:marRight w:val="0"/>
      <w:marTop w:val="0"/>
      <w:marBottom w:val="0"/>
      <w:divBdr>
        <w:top w:val="none" w:sz="0" w:space="0" w:color="auto"/>
        <w:left w:val="none" w:sz="0" w:space="0" w:color="auto"/>
        <w:bottom w:val="none" w:sz="0" w:space="0" w:color="auto"/>
        <w:right w:val="none" w:sz="0" w:space="0" w:color="auto"/>
      </w:divBdr>
    </w:div>
    <w:div w:id="369230097">
      <w:bodyDiv w:val="1"/>
      <w:marLeft w:val="0"/>
      <w:marRight w:val="0"/>
      <w:marTop w:val="0"/>
      <w:marBottom w:val="0"/>
      <w:divBdr>
        <w:top w:val="none" w:sz="0" w:space="0" w:color="auto"/>
        <w:left w:val="none" w:sz="0" w:space="0" w:color="auto"/>
        <w:bottom w:val="none" w:sz="0" w:space="0" w:color="auto"/>
        <w:right w:val="none" w:sz="0" w:space="0" w:color="auto"/>
      </w:divBdr>
    </w:div>
    <w:div w:id="388309909">
      <w:bodyDiv w:val="1"/>
      <w:marLeft w:val="0"/>
      <w:marRight w:val="0"/>
      <w:marTop w:val="0"/>
      <w:marBottom w:val="0"/>
      <w:divBdr>
        <w:top w:val="none" w:sz="0" w:space="0" w:color="auto"/>
        <w:left w:val="none" w:sz="0" w:space="0" w:color="auto"/>
        <w:bottom w:val="none" w:sz="0" w:space="0" w:color="auto"/>
        <w:right w:val="none" w:sz="0" w:space="0" w:color="auto"/>
      </w:divBdr>
    </w:div>
    <w:div w:id="411588237">
      <w:bodyDiv w:val="1"/>
      <w:marLeft w:val="0"/>
      <w:marRight w:val="0"/>
      <w:marTop w:val="0"/>
      <w:marBottom w:val="0"/>
      <w:divBdr>
        <w:top w:val="none" w:sz="0" w:space="0" w:color="auto"/>
        <w:left w:val="none" w:sz="0" w:space="0" w:color="auto"/>
        <w:bottom w:val="none" w:sz="0" w:space="0" w:color="auto"/>
        <w:right w:val="none" w:sz="0" w:space="0" w:color="auto"/>
      </w:divBdr>
    </w:div>
    <w:div w:id="494538543">
      <w:bodyDiv w:val="1"/>
      <w:marLeft w:val="0"/>
      <w:marRight w:val="0"/>
      <w:marTop w:val="0"/>
      <w:marBottom w:val="0"/>
      <w:divBdr>
        <w:top w:val="none" w:sz="0" w:space="0" w:color="auto"/>
        <w:left w:val="none" w:sz="0" w:space="0" w:color="auto"/>
        <w:bottom w:val="none" w:sz="0" w:space="0" w:color="auto"/>
        <w:right w:val="none" w:sz="0" w:space="0" w:color="auto"/>
      </w:divBdr>
    </w:div>
    <w:div w:id="693464875">
      <w:bodyDiv w:val="1"/>
      <w:marLeft w:val="0"/>
      <w:marRight w:val="0"/>
      <w:marTop w:val="0"/>
      <w:marBottom w:val="0"/>
      <w:divBdr>
        <w:top w:val="none" w:sz="0" w:space="0" w:color="auto"/>
        <w:left w:val="none" w:sz="0" w:space="0" w:color="auto"/>
        <w:bottom w:val="none" w:sz="0" w:space="0" w:color="auto"/>
        <w:right w:val="none" w:sz="0" w:space="0" w:color="auto"/>
      </w:divBdr>
    </w:div>
    <w:div w:id="998265657">
      <w:bodyDiv w:val="1"/>
      <w:marLeft w:val="0"/>
      <w:marRight w:val="0"/>
      <w:marTop w:val="0"/>
      <w:marBottom w:val="0"/>
      <w:divBdr>
        <w:top w:val="none" w:sz="0" w:space="0" w:color="auto"/>
        <w:left w:val="none" w:sz="0" w:space="0" w:color="auto"/>
        <w:bottom w:val="none" w:sz="0" w:space="0" w:color="auto"/>
        <w:right w:val="none" w:sz="0" w:space="0" w:color="auto"/>
      </w:divBdr>
    </w:div>
    <w:div w:id="1042633295">
      <w:bodyDiv w:val="1"/>
      <w:marLeft w:val="0"/>
      <w:marRight w:val="0"/>
      <w:marTop w:val="0"/>
      <w:marBottom w:val="0"/>
      <w:divBdr>
        <w:top w:val="none" w:sz="0" w:space="0" w:color="auto"/>
        <w:left w:val="none" w:sz="0" w:space="0" w:color="auto"/>
        <w:bottom w:val="none" w:sz="0" w:space="0" w:color="auto"/>
        <w:right w:val="none" w:sz="0" w:space="0" w:color="auto"/>
      </w:divBdr>
    </w:div>
    <w:div w:id="1078819659">
      <w:bodyDiv w:val="1"/>
      <w:marLeft w:val="0"/>
      <w:marRight w:val="0"/>
      <w:marTop w:val="0"/>
      <w:marBottom w:val="0"/>
      <w:divBdr>
        <w:top w:val="none" w:sz="0" w:space="0" w:color="auto"/>
        <w:left w:val="none" w:sz="0" w:space="0" w:color="auto"/>
        <w:bottom w:val="none" w:sz="0" w:space="0" w:color="auto"/>
        <w:right w:val="none" w:sz="0" w:space="0" w:color="auto"/>
      </w:divBdr>
    </w:div>
    <w:div w:id="1104766049">
      <w:bodyDiv w:val="1"/>
      <w:marLeft w:val="0"/>
      <w:marRight w:val="0"/>
      <w:marTop w:val="0"/>
      <w:marBottom w:val="0"/>
      <w:divBdr>
        <w:top w:val="none" w:sz="0" w:space="0" w:color="auto"/>
        <w:left w:val="none" w:sz="0" w:space="0" w:color="auto"/>
        <w:bottom w:val="none" w:sz="0" w:space="0" w:color="auto"/>
        <w:right w:val="none" w:sz="0" w:space="0" w:color="auto"/>
      </w:divBdr>
    </w:div>
    <w:div w:id="1110933169">
      <w:bodyDiv w:val="1"/>
      <w:marLeft w:val="0"/>
      <w:marRight w:val="0"/>
      <w:marTop w:val="0"/>
      <w:marBottom w:val="0"/>
      <w:divBdr>
        <w:top w:val="none" w:sz="0" w:space="0" w:color="auto"/>
        <w:left w:val="none" w:sz="0" w:space="0" w:color="auto"/>
        <w:bottom w:val="none" w:sz="0" w:space="0" w:color="auto"/>
        <w:right w:val="none" w:sz="0" w:space="0" w:color="auto"/>
      </w:divBdr>
    </w:div>
    <w:div w:id="1202280991">
      <w:bodyDiv w:val="1"/>
      <w:marLeft w:val="0"/>
      <w:marRight w:val="0"/>
      <w:marTop w:val="0"/>
      <w:marBottom w:val="0"/>
      <w:divBdr>
        <w:top w:val="none" w:sz="0" w:space="0" w:color="auto"/>
        <w:left w:val="none" w:sz="0" w:space="0" w:color="auto"/>
        <w:bottom w:val="none" w:sz="0" w:space="0" w:color="auto"/>
        <w:right w:val="none" w:sz="0" w:space="0" w:color="auto"/>
      </w:divBdr>
    </w:div>
    <w:div w:id="1242639279">
      <w:bodyDiv w:val="1"/>
      <w:marLeft w:val="0"/>
      <w:marRight w:val="0"/>
      <w:marTop w:val="0"/>
      <w:marBottom w:val="0"/>
      <w:divBdr>
        <w:top w:val="none" w:sz="0" w:space="0" w:color="auto"/>
        <w:left w:val="none" w:sz="0" w:space="0" w:color="auto"/>
        <w:bottom w:val="none" w:sz="0" w:space="0" w:color="auto"/>
        <w:right w:val="none" w:sz="0" w:space="0" w:color="auto"/>
      </w:divBdr>
    </w:div>
    <w:div w:id="1315988731">
      <w:bodyDiv w:val="1"/>
      <w:marLeft w:val="0"/>
      <w:marRight w:val="0"/>
      <w:marTop w:val="0"/>
      <w:marBottom w:val="0"/>
      <w:divBdr>
        <w:top w:val="none" w:sz="0" w:space="0" w:color="auto"/>
        <w:left w:val="none" w:sz="0" w:space="0" w:color="auto"/>
        <w:bottom w:val="none" w:sz="0" w:space="0" w:color="auto"/>
        <w:right w:val="none" w:sz="0" w:space="0" w:color="auto"/>
      </w:divBdr>
    </w:div>
    <w:div w:id="1505777535">
      <w:bodyDiv w:val="1"/>
      <w:marLeft w:val="0"/>
      <w:marRight w:val="0"/>
      <w:marTop w:val="0"/>
      <w:marBottom w:val="0"/>
      <w:divBdr>
        <w:top w:val="none" w:sz="0" w:space="0" w:color="auto"/>
        <w:left w:val="none" w:sz="0" w:space="0" w:color="auto"/>
        <w:bottom w:val="none" w:sz="0" w:space="0" w:color="auto"/>
        <w:right w:val="none" w:sz="0" w:space="0" w:color="auto"/>
      </w:divBdr>
    </w:div>
    <w:div w:id="1537044124">
      <w:bodyDiv w:val="1"/>
      <w:marLeft w:val="0"/>
      <w:marRight w:val="0"/>
      <w:marTop w:val="0"/>
      <w:marBottom w:val="0"/>
      <w:divBdr>
        <w:top w:val="none" w:sz="0" w:space="0" w:color="auto"/>
        <w:left w:val="none" w:sz="0" w:space="0" w:color="auto"/>
        <w:bottom w:val="none" w:sz="0" w:space="0" w:color="auto"/>
        <w:right w:val="none" w:sz="0" w:space="0" w:color="auto"/>
      </w:divBdr>
    </w:div>
    <w:div w:id="1611281251">
      <w:bodyDiv w:val="1"/>
      <w:marLeft w:val="0"/>
      <w:marRight w:val="0"/>
      <w:marTop w:val="0"/>
      <w:marBottom w:val="0"/>
      <w:divBdr>
        <w:top w:val="none" w:sz="0" w:space="0" w:color="auto"/>
        <w:left w:val="none" w:sz="0" w:space="0" w:color="auto"/>
        <w:bottom w:val="none" w:sz="0" w:space="0" w:color="auto"/>
        <w:right w:val="none" w:sz="0" w:space="0" w:color="auto"/>
      </w:divBdr>
    </w:div>
    <w:div w:id="1616211279">
      <w:bodyDiv w:val="1"/>
      <w:marLeft w:val="0"/>
      <w:marRight w:val="0"/>
      <w:marTop w:val="0"/>
      <w:marBottom w:val="0"/>
      <w:divBdr>
        <w:top w:val="none" w:sz="0" w:space="0" w:color="auto"/>
        <w:left w:val="none" w:sz="0" w:space="0" w:color="auto"/>
        <w:bottom w:val="none" w:sz="0" w:space="0" w:color="auto"/>
        <w:right w:val="none" w:sz="0" w:space="0" w:color="auto"/>
      </w:divBdr>
    </w:div>
    <w:div w:id="1663385414">
      <w:bodyDiv w:val="1"/>
      <w:marLeft w:val="0"/>
      <w:marRight w:val="0"/>
      <w:marTop w:val="0"/>
      <w:marBottom w:val="0"/>
      <w:divBdr>
        <w:top w:val="none" w:sz="0" w:space="0" w:color="auto"/>
        <w:left w:val="none" w:sz="0" w:space="0" w:color="auto"/>
        <w:bottom w:val="none" w:sz="0" w:space="0" w:color="auto"/>
        <w:right w:val="none" w:sz="0" w:space="0" w:color="auto"/>
      </w:divBdr>
    </w:div>
    <w:div w:id="1735003574">
      <w:bodyDiv w:val="1"/>
      <w:marLeft w:val="0"/>
      <w:marRight w:val="0"/>
      <w:marTop w:val="0"/>
      <w:marBottom w:val="0"/>
      <w:divBdr>
        <w:top w:val="none" w:sz="0" w:space="0" w:color="auto"/>
        <w:left w:val="none" w:sz="0" w:space="0" w:color="auto"/>
        <w:bottom w:val="none" w:sz="0" w:space="0" w:color="auto"/>
        <w:right w:val="none" w:sz="0" w:space="0" w:color="auto"/>
      </w:divBdr>
    </w:div>
    <w:div w:id="1805662522">
      <w:bodyDiv w:val="1"/>
      <w:marLeft w:val="0"/>
      <w:marRight w:val="0"/>
      <w:marTop w:val="0"/>
      <w:marBottom w:val="0"/>
      <w:divBdr>
        <w:top w:val="none" w:sz="0" w:space="0" w:color="auto"/>
        <w:left w:val="none" w:sz="0" w:space="0" w:color="auto"/>
        <w:bottom w:val="none" w:sz="0" w:space="0" w:color="auto"/>
        <w:right w:val="none" w:sz="0" w:space="0" w:color="auto"/>
      </w:divBdr>
    </w:div>
    <w:div w:id="1906527480">
      <w:bodyDiv w:val="1"/>
      <w:marLeft w:val="0"/>
      <w:marRight w:val="0"/>
      <w:marTop w:val="0"/>
      <w:marBottom w:val="0"/>
      <w:divBdr>
        <w:top w:val="none" w:sz="0" w:space="0" w:color="auto"/>
        <w:left w:val="none" w:sz="0" w:space="0" w:color="auto"/>
        <w:bottom w:val="none" w:sz="0" w:space="0" w:color="auto"/>
        <w:right w:val="none" w:sz="0" w:space="0" w:color="auto"/>
      </w:divBdr>
    </w:div>
    <w:div w:id="210452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3.png"/><Relationship Id="rId3"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JPG"/><Relationship Id="rId25" Type="http://schemas.openxmlformats.org/officeDocument/2006/relationships/image" Target="media/image13.jpeg"/><Relationship Id="rId33" Type="http://schemas.openxmlformats.org/officeDocument/2006/relationships/header" Target="header5.xml"/><Relationship Id="rId38" Type="http://schemas.openxmlformats.org/officeDocument/2006/relationships/image" Target="media/image22.png"/><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8.png"/><Relationship Id="rId29" Type="http://schemas.openxmlformats.org/officeDocument/2006/relationships/header" Target="header2.xm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oter" Target="footer2.xml"/><Relationship Id="rId37" Type="http://schemas.openxmlformats.org/officeDocument/2006/relationships/image" Target="media/image21.jpeg"/><Relationship Id="rId40"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image" Target="media/image11.jpeg"/><Relationship Id="rId28" Type="http://schemas.openxmlformats.org/officeDocument/2006/relationships/image" Target="media/image16.png"/><Relationship Id="rId36" Type="http://schemas.openxmlformats.org/officeDocument/2006/relationships/image" Target="media/image20.png"/><Relationship Id="rId10" Type="http://schemas.openxmlformats.org/officeDocument/2006/relationships/footnotes" Target="footnotes.xml"/><Relationship Id="rId19" Type="http://schemas.openxmlformats.org/officeDocument/2006/relationships/image" Target="media/image7.jpeg"/><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3.xml"/><Relationship Id="rId35" Type="http://schemas.openxmlformats.org/officeDocument/2006/relationships/image" Target="media/image19.jpeg"/></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_rels/footnotes.xml.rels><?xml version="1.0" encoding="UTF-8" standalone="yes"?>
<Relationships xmlns="http://schemas.openxmlformats.org/package/2006/relationships"><Relationship Id="rId3" Type="http://schemas.openxmlformats.org/officeDocument/2006/relationships/hyperlink" Target="http://dfat.gov.au/aid/how-we-measure-performance/ode/Pages/the-office-of-development-effectiveness.aspx" TargetMode="External"/><Relationship Id="rId2" Type="http://schemas.openxmlformats.org/officeDocument/2006/relationships/hyperlink" Target="http://documents.worldbank.org/curated/en/780641494510994888/pdf/114938-PUBLIC-may-16-8pm-Cambodia-Economic-report-v2-s.pdf" TargetMode="External"/><Relationship Id="rId1" Type="http://schemas.openxmlformats.org/officeDocument/2006/relationships/hyperlink" Target="http://www.kh.undp.org/content/cambodia/en/home/countryinfo.html" TargetMode="External"/><Relationship Id="rId6" Type="http://schemas.openxmlformats.org/officeDocument/2006/relationships/hyperlink" Target="http://dfat.gov.au/aid/who-we-work-with/ngos/ancp/Pages/australian-ngo-cooperation-program.aspx" TargetMode="External"/><Relationship Id="rId5" Type="http://schemas.openxmlformats.org/officeDocument/2006/relationships/hyperlink" Target="http://dfat.gov.au/geo/east-asia/development-assistance/Pages/development-assistance-asean-mekong.aspx" TargetMode="External"/><Relationship Id="rId4" Type="http://schemas.openxmlformats.org/officeDocument/2006/relationships/hyperlink" Target="http://aciar.gov.au/country/cambod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1ECEB-9029-4DFB-B422-83B567E19DB6}"/>
</file>

<file path=customXml/itemProps2.xml><?xml version="1.0" encoding="utf-8"?>
<ds:datastoreItem xmlns:ds="http://schemas.openxmlformats.org/officeDocument/2006/customXml" ds:itemID="{ED47DCC3-7DA5-455B-8720-24B192B0D4F8}"/>
</file>

<file path=customXml/itemProps3.xml><?xml version="1.0" encoding="utf-8"?>
<ds:datastoreItem xmlns:ds="http://schemas.openxmlformats.org/officeDocument/2006/customXml" ds:itemID="{1B189F38-4AF6-42EE-A8FA-29C16BE8ED22}"/>
</file>

<file path=customXml/itemProps4.xml><?xml version="1.0" encoding="utf-8"?>
<ds:datastoreItem xmlns:ds="http://schemas.openxmlformats.org/officeDocument/2006/customXml" ds:itemID="{B629BF34-C37C-4778-83E2-B92EC5C5A37F}"/>
</file>

<file path=docProps/app.xml><?xml version="1.0" encoding="utf-8"?>
<Properties xmlns="http://schemas.openxmlformats.org/officeDocument/2006/extended-properties" xmlns:vt="http://schemas.openxmlformats.org/officeDocument/2006/docPropsVTypes">
  <Template>Normal.dotm</Template>
  <TotalTime>0</TotalTime>
  <Pages>29</Pages>
  <Words>11961</Words>
  <Characters>68183</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Cambodia Aid Program Performance Report 2016-17</vt:lpstr>
    </vt:vector>
  </TitlesOfParts>
  <Company/>
  <LinksUpToDate>false</LinksUpToDate>
  <CharactersWithSpaces>79985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Cambodia Aid Program Performance Report 2016-17</dc:title>
  <dc:creator/>
  <cp:lastModifiedBy/>
  <cp:revision>1</cp:revision>
  <dcterms:created xsi:type="dcterms:W3CDTF">2017-10-10T10:07:00Z</dcterms:created>
  <dcterms:modified xsi:type="dcterms:W3CDTF">2017-10-11T01:23:00Z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972ee334-210d-44bd-93f1-a72cccc927de</vt:lpwstr>
  </property>
  <property fmtid="{D5CDD505-2E9C-101B-9397-08002B2CF9AE}" pid="3" name="ContentTypeId">
    <vt:lpwstr>0x01010050F19AC2165D2E47A5E6B7F563E4CF00</vt:lpwstr>
  </property>
  <property fmtid="{D5CDD505-2E9C-101B-9397-08002B2CF9AE}" pid="4" name="Order">
    <vt:r8>1129700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y fmtid="{D5CDD505-2E9C-101B-9397-08002B2CF9AE}" pid="10" name="SEC">
    <vt:lpwstr>UNCLASSIFIED</vt:lpwstr>
  </property>
  <property fmtid="{D5CDD505-2E9C-101B-9397-08002B2CF9AE}" pid="11" name="DLM">
    <vt:lpwstr>No DLM</vt:lpwstr>
  </property>
</Properties>
</file>