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34006" w14:textId="77777777" w:rsidR="0059146A" w:rsidRDefault="0059146A" w:rsidP="005B5769">
      <w:pPr>
        <w:pStyle w:val="ListBullet"/>
        <w:tabs>
          <w:tab w:val="clear" w:pos="284"/>
        </w:tabs>
      </w:pPr>
      <w:bookmarkStart w:id="0" w:name="_GoBack"/>
      <w:bookmarkEnd w:id="0"/>
    </w:p>
    <w:p w14:paraId="5B5C045D" w14:textId="77777777" w:rsidR="0059146A" w:rsidRDefault="0059146A" w:rsidP="005B5769">
      <w:pPr>
        <w:pStyle w:val="ListBullet"/>
        <w:tabs>
          <w:tab w:val="clear" w:pos="284"/>
        </w:tabs>
      </w:pPr>
    </w:p>
    <w:p w14:paraId="742049FC" w14:textId="77777777" w:rsidR="0059146A" w:rsidRPr="0059146A" w:rsidRDefault="0059146A" w:rsidP="005B5769">
      <w:pPr>
        <w:pStyle w:val="ListBullet"/>
        <w:tabs>
          <w:tab w:val="clear" w:pos="284"/>
        </w:tabs>
      </w:pPr>
    </w:p>
    <w:p w14:paraId="15C33F76" w14:textId="77777777" w:rsidR="00A56F14" w:rsidRPr="0059146A" w:rsidRDefault="00A56F14" w:rsidP="0059146A">
      <w:pPr>
        <w:pStyle w:val="ListBullet"/>
        <w:tabs>
          <w:tab w:val="clear" w:pos="284"/>
        </w:tabs>
      </w:pPr>
    </w:p>
    <w:p w14:paraId="7E664F88" w14:textId="77777777" w:rsidR="00A56F14" w:rsidRDefault="00A56F14" w:rsidP="00A56F14">
      <w:pPr>
        <w:spacing w:after="200" w:line="276" w:lineRule="auto"/>
        <w:rPr>
          <w:b/>
        </w:rPr>
      </w:pPr>
    </w:p>
    <w:p w14:paraId="3606010E" w14:textId="77777777" w:rsidR="00A56F14" w:rsidRDefault="00A56F14" w:rsidP="00A56F14">
      <w:pPr>
        <w:spacing w:after="200" w:line="276" w:lineRule="auto"/>
        <w:rPr>
          <w:b/>
        </w:rPr>
      </w:pPr>
    </w:p>
    <w:p w14:paraId="1F633840" w14:textId="77777777" w:rsidR="00C6626C" w:rsidRDefault="00C6626C" w:rsidP="00A56F14"/>
    <w:p w14:paraId="3C71B1A3" w14:textId="77777777" w:rsidR="00C6626C" w:rsidRDefault="00C6626C" w:rsidP="00A56F14"/>
    <w:p w14:paraId="70B89181" w14:textId="77777777" w:rsidR="00C6626C" w:rsidRDefault="00C6626C" w:rsidP="00A56F14"/>
    <w:p w14:paraId="73B2F327" w14:textId="77777777" w:rsidR="00C6626C" w:rsidRDefault="00C6626C" w:rsidP="00A56F14"/>
    <w:p w14:paraId="33271196" w14:textId="77777777" w:rsidR="00C6626C" w:rsidRDefault="00C6626C" w:rsidP="00A56F14"/>
    <w:p w14:paraId="7CDA690D" w14:textId="77777777" w:rsidR="00C6626C" w:rsidRDefault="00C6626C" w:rsidP="00A56F14"/>
    <w:p w14:paraId="61FD1573" w14:textId="77777777" w:rsidR="00C6626C" w:rsidRDefault="00C6626C" w:rsidP="00A56F14"/>
    <w:p w14:paraId="452CD530" w14:textId="77777777" w:rsidR="00C6626C" w:rsidRDefault="00C6626C" w:rsidP="00A56F14"/>
    <w:p w14:paraId="63FB684E" w14:textId="77777777" w:rsidR="00C6626C" w:rsidRDefault="00C6626C" w:rsidP="00A56F14"/>
    <w:p w14:paraId="3EDD5852" w14:textId="77777777" w:rsidR="00C6626C" w:rsidRDefault="00C6626C" w:rsidP="00A56F14"/>
    <w:p w14:paraId="4C920F6A" w14:textId="77777777" w:rsidR="00C6626C" w:rsidRDefault="00C6626C" w:rsidP="00A56F14"/>
    <w:p w14:paraId="1A66363E" w14:textId="77777777" w:rsidR="00C6626C" w:rsidRDefault="00C6626C" w:rsidP="00A56F14"/>
    <w:p w14:paraId="5E3BAF1B" w14:textId="77777777" w:rsidR="00C6626C" w:rsidRDefault="00C6626C" w:rsidP="00A56F14"/>
    <w:p w14:paraId="32B97CB2" w14:textId="77777777" w:rsidR="00C6626C" w:rsidRDefault="00C6626C" w:rsidP="00A56F14"/>
    <w:p w14:paraId="10F182FF" w14:textId="77777777" w:rsidR="00C6626C" w:rsidRDefault="00C6626C" w:rsidP="00A56F14"/>
    <w:p w14:paraId="1C3B2B4F" w14:textId="77777777" w:rsidR="00C6626C" w:rsidRDefault="00C6626C" w:rsidP="00A56F14"/>
    <w:p w14:paraId="24F931CB" w14:textId="77777777" w:rsidR="00C6626C" w:rsidRDefault="00C6626C" w:rsidP="00A56F14"/>
    <w:p w14:paraId="06F80627" w14:textId="77777777" w:rsidR="00C6626C" w:rsidRDefault="00C6626C" w:rsidP="00A56F14"/>
    <w:p w14:paraId="7410ABA1" w14:textId="77777777" w:rsidR="00C6626C" w:rsidRDefault="00C6626C" w:rsidP="00A56F14"/>
    <w:p w14:paraId="3E9538CC" w14:textId="77777777" w:rsidR="00C6626C" w:rsidRDefault="00C6626C" w:rsidP="00A56F14"/>
    <w:p w14:paraId="7DB0C6F1" w14:textId="77777777" w:rsidR="00C6626C" w:rsidRDefault="00C6626C" w:rsidP="00A56F14"/>
    <w:p w14:paraId="01CD0DC8" w14:textId="0B026369"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3B9E3D75" wp14:editId="40A88905">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anchor>
        </w:drawing>
      </w:r>
      <w:r w:rsidRPr="002A51CA">
        <w:rPr>
          <w:noProof/>
          <w:spacing w:val="-20"/>
          <w:sz w:val="60"/>
          <w:lang w:val="en-AU" w:eastAsia="en-AU"/>
        </w:rPr>
        <w:drawing>
          <wp:anchor distT="0" distB="0" distL="114300" distR="114300" simplePos="0" relativeHeight="251663360" behindDoc="1" locked="1" layoutInCell="1" allowOverlap="1" wp14:anchorId="1C9D64A7" wp14:editId="5D2B1A5B">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anchor>
        </w:drawing>
      </w:r>
      <w:r w:rsidR="00C6626C" w:rsidRPr="002A51CA">
        <w:rPr>
          <w:spacing w:val="-20"/>
          <w:sz w:val="60"/>
        </w:rPr>
        <w:t xml:space="preserve">Aid Program Performance </w:t>
      </w:r>
    </w:p>
    <w:p w14:paraId="32965972" w14:textId="77777777" w:rsidR="00C6626C" w:rsidRPr="002A51CA" w:rsidRDefault="00C6626C" w:rsidP="002A51CA">
      <w:pPr>
        <w:pStyle w:val="Title"/>
        <w:spacing w:after="120" w:line="600" w:lineRule="exact"/>
        <w:rPr>
          <w:spacing w:val="-20"/>
          <w:sz w:val="60"/>
        </w:rPr>
      </w:pPr>
      <w:r w:rsidRPr="002A51CA">
        <w:rPr>
          <w:spacing w:val="-20"/>
          <w:sz w:val="60"/>
        </w:rPr>
        <w:t>Report 2015-16</w:t>
      </w:r>
    </w:p>
    <w:p w14:paraId="4CF22F33" w14:textId="77777777" w:rsidR="00C6626C" w:rsidRDefault="00D27EAF" w:rsidP="00A56F14">
      <w:r>
        <w:rPr>
          <w:sz w:val="40"/>
        </w:rPr>
        <w:t>Cambodia</w:t>
      </w:r>
    </w:p>
    <w:p w14:paraId="02099EA2" w14:textId="77777777" w:rsidR="00C6626C" w:rsidRPr="002A51CA" w:rsidRDefault="00C6626C" w:rsidP="00A56F14">
      <w:pPr>
        <w:rPr>
          <w:sz w:val="24"/>
        </w:rPr>
      </w:pPr>
      <w:r w:rsidRPr="002A51CA">
        <w:rPr>
          <w:sz w:val="24"/>
        </w:rPr>
        <w:t>September 2016</w:t>
      </w:r>
    </w:p>
    <w:p w14:paraId="46175DEE" w14:textId="77777777" w:rsidR="00C6626C" w:rsidRDefault="00C6626C" w:rsidP="00A56F14">
      <w:pPr>
        <w:sectPr w:rsidR="00C6626C">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docGrid w:linePitch="360"/>
        </w:sectPr>
      </w:pPr>
    </w:p>
    <w:p w14:paraId="097B4C55" w14:textId="77777777" w:rsidR="00C6626C" w:rsidRPr="00C61187" w:rsidRDefault="00EA6960"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00C6626C" w:rsidRPr="00C61187">
        <w:rPr>
          <w:rFonts w:ascii="Helvetica" w:hAnsi="Helvetica" w:cs="Arial"/>
          <w:color w:val="007FAD"/>
          <w:kern w:val="28"/>
          <w:sz w:val="28"/>
          <w:szCs w:val="28"/>
        </w:rPr>
        <w:tab/>
      </w:r>
      <w:r w:rsidR="00C6626C" w:rsidRPr="00C61187">
        <w:rPr>
          <w:rFonts w:ascii="Helvetica" w:hAnsi="Helvetica" w:cs="Arial"/>
          <w:color w:val="007FAD"/>
          <w:kern w:val="28"/>
          <w:sz w:val="24"/>
          <w:szCs w:val="28"/>
        </w:rPr>
        <w:tab/>
      </w:r>
      <w:r w:rsidR="00C6626C" w:rsidRPr="00C61187">
        <w:rPr>
          <w:rFonts w:ascii="Helvetica" w:hAnsi="Helvetica" w:cs="Arial"/>
          <w:color w:val="007FAD"/>
          <w:kern w:val="28"/>
          <w:sz w:val="32"/>
          <w:szCs w:val="32"/>
        </w:rPr>
        <w:tab/>
      </w:r>
      <w:r w:rsidR="00C6626C" w:rsidRPr="00C61187">
        <w:rPr>
          <w:rFonts w:ascii="Helvetica" w:hAnsi="Helvetica" w:cs="Arial"/>
          <w:color w:val="007FAD"/>
          <w:kern w:val="28"/>
          <w:sz w:val="32"/>
          <w:szCs w:val="32"/>
        </w:rPr>
        <w:tab/>
      </w:r>
      <w:r w:rsidR="00C6626C" w:rsidRPr="00C61187">
        <w:rPr>
          <w:rFonts w:ascii="Helvetica" w:hAnsi="Helvetica" w:cs="Arial"/>
          <w:color w:val="007FAD"/>
          <w:kern w:val="28"/>
          <w:sz w:val="32"/>
          <w:szCs w:val="32"/>
        </w:rPr>
        <w:tab/>
      </w:r>
      <w:r w:rsidR="00C6626C" w:rsidRPr="00C61187">
        <w:rPr>
          <w:rFonts w:ascii="Helvetica" w:hAnsi="Helvetica" w:cs="Arial"/>
          <w:color w:val="007FAD"/>
          <w:kern w:val="28"/>
          <w:sz w:val="32"/>
          <w:szCs w:val="32"/>
        </w:rPr>
        <w:tab/>
      </w:r>
    </w:p>
    <w:p w14:paraId="5A2C0D54" w14:textId="77777777" w:rsidR="008A5A30" w:rsidRPr="009F7F93" w:rsidRDefault="00EA6960" w:rsidP="00EA6960">
      <w:r>
        <w:t xml:space="preserve">This report summarises the </w:t>
      </w:r>
      <w:r w:rsidRPr="009F7F93">
        <w:t xml:space="preserve">progress of Australia’s aid program in Cambodia from July 2015 to June 2016, the first year of the </w:t>
      </w:r>
      <w:r w:rsidR="009F7F93" w:rsidRPr="009F7F93">
        <w:rPr>
          <w:i/>
        </w:rPr>
        <w:t xml:space="preserve">Cambodia </w:t>
      </w:r>
      <w:hyperlink r:id="rId17" w:history="1">
        <w:r w:rsidR="009F7F93">
          <w:rPr>
            <w:i/>
          </w:rPr>
          <w:t xml:space="preserve">Aid Investment Plan </w:t>
        </w:r>
        <w:r w:rsidRPr="009F7F93">
          <w:rPr>
            <w:i/>
          </w:rPr>
          <w:t>2015-2018</w:t>
        </w:r>
      </w:hyperlink>
      <w:r w:rsidRPr="009F7F93">
        <w:t xml:space="preserve">. </w:t>
      </w:r>
    </w:p>
    <w:p w14:paraId="67082F0C" w14:textId="77777777" w:rsidR="00151C4A" w:rsidRDefault="008A5A30" w:rsidP="00151C4A">
      <w:r w:rsidRPr="00A83FE1">
        <w:t xml:space="preserve">Australia’s aid program provided </w:t>
      </w:r>
      <w:r w:rsidR="00B074F5" w:rsidRPr="00A83FE1">
        <w:t>AUD</w:t>
      </w:r>
      <w:r w:rsidRPr="00A83FE1">
        <w:t>90.1</w:t>
      </w:r>
      <w:r w:rsidR="00BF0A93" w:rsidRPr="00A83FE1">
        <w:t xml:space="preserve"> </w:t>
      </w:r>
      <w:r w:rsidRPr="00A83FE1">
        <w:t>million in development assistance to Cambodia</w:t>
      </w:r>
      <w:r w:rsidR="001529C9" w:rsidRPr="00A83FE1">
        <w:t xml:space="preserve"> in 2015-16</w:t>
      </w:r>
      <w:r w:rsidR="009F7F93" w:rsidRPr="00A83FE1">
        <w:t>,</w:t>
      </w:r>
      <w:r w:rsidRPr="00A83FE1">
        <w:t xml:space="preserve"> </w:t>
      </w:r>
      <w:r w:rsidR="008C4FEC" w:rsidRPr="00A83FE1">
        <w:t>mostly</w:t>
      </w:r>
      <w:r w:rsidR="008C4FEC">
        <w:t xml:space="preserve"> </w:t>
      </w:r>
      <w:r w:rsidRPr="008A5A30">
        <w:t xml:space="preserve">through multilateral organisations, </w:t>
      </w:r>
      <w:r>
        <w:t>managing contractors</w:t>
      </w:r>
      <w:r w:rsidRPr="008A5A30">
        <w:t xml:space="preserve"> and non-government organisations</w:t>
      </w:r>
      <w:r w:rsidR="008C4FEC">
        <w:t xml:space="preserve">. </w:t>
      </w:r>
      <w:r w:rsidR="008C4FEC" w:rsidRPr="001529C9">
        <w:rPr>
          <w:b/>
        </w:rPr>
        <w:t xml:space="preserve">This report </w:t>
      </w:r>
      <w:r w:rsidR="00A83FE1">
        <w:rPr>
          <w:b/>
        </w:rPr>
        <w:t>shows</w:t>
      </w:r>
      <w:r w:rsidR="009F7F93" w:rsidRPr="001529C9">
        <w:rPr>
          <w:b/>
        </w:rPr>
        <w:t xml:space="preserve"> that over the past year Australia has made good, and at times excellent, progress</w:t>
      </w:r>
      <w:r w:rsidR="009F7F93">
        <w:t xml:space="preserve"> </w:t>
      </w:r>
      <w:r w:rsidRPr="00A83FE1">
        <w:rPr>
          <w:b/>
        </w:rPr>
        <w:t>against our objectives in agriculture, health and education. However, performance against our infrastructure objective was mixed.</w:t>
      </w:r>
    </w:p>
    <w:p w14:paraId="4001CFE7" w14:textId="155134A6" w:rsidR="00B10D8A" w:rsidRDefault="00151C4A" w:rsidP="00151C4A">
      <w:r>
        <w:t>The past year was one of</w:t>
      </w:r>
      <w:r w:rsidR="008A5A30">
        <w:t xml:space="preserve"> transition and consolidation</w:t>
      </w:r>
      <w:r>
        <w:t xml:space="preserve"> for Australia’s aid program to Cambodia. </w:t>
      </w:r>
      <w:r w:rsidRPr="00F67A12">
        <w:t xml:space="preserve">Our </w:t>
      </w:r>
      <w:r>
        <w:t>investments</w:t>
      </w:r>
      <w:r w:rsidRPr="00F67A12">
        <w:t xml:space="preserve"> respond</w:t>
      </w:r>
      <w:r>
        <w:t>ed</w:t>
      </w:r>
      <w:r w:rsidRPr="00F67A12">
        <w:t xml:space="preserve"> </w:t>
      </w:r>
      <w:r>
        <w:t xml:space="preserve">to Australia’s </w:t>
      </w:r>
      <w:r w:rsidR="00B10CCA">
        <w:t>priority</w:t>
      </w:r>
      <w:r>
        <w:t xml:space="preserve"> of promoting </w:t>
      </w:r>
      <w:r w:rsidRPr="00F67A12">
        <w:t>private sector development, aid</w:t>
      </w:r>
      <w:r>
        <w:t xml:space="preserve">-for-trade and inclusive growth, as well as </w:t>
      </w:r>
      <w:r w:rsidR="00536C2A">
        <w:t xml:space="preserve">increasing administrative efficiency (from 78 agreements last year to 53 </w:t>
      </w:r>
      <w:r w:rsidR="00A83FE1">
        <w:t>this year</w:t>
      </w:r>
      <w:r w:rsidR="00536C2A">
        <w:t>)</w:t>
      </w:r>
      <w:r>
        <w:t>, and</w:t>
      </w:r>
      <w:r w:rsidR="00A83FE1">
        <w:t xml:space="preserve"> </w:t>
      </w:r>
      <w:r w:rsidR="004F59DE">
        <w:t xml:space="preserve">improving </w:t>
      </w:r>
      <w:r w:rsidR="00A83FE1">
        <w:t>gender</w:t>
      </w:r>
      <w:r w:rsidR="004F59DE">
        <w:t xml:space="preserve"> equality</w:t>
      </w:r>
      <w:r>
        <w:t>. Our investments responded to Cambodia’s development</w:t>
      </w:r>
      <w:r w:rsidR="001D7019">
        <w:t xml:space="preserve"> needs;</w:t>
      </w:r>
      <w:r>
        <w:t xml:space="preserve"> </w:t>
      </w:r>
      <w:r w:rsidR="00AF2C7B">
        <w:t xml:space="preserve">in </w:t>
      </w:r>
      <w:r>
        <w:t>a co</w:t>
      </w:r>
      <w:r w:rsidR="00AF2C7B">
        <w:t xml:space="preserve">ntext in which </w:t>
      </w:r>
      <w:r>
        <w:t xml:space="preserve">economic growth is rapid but </w:t>
      </w:r>
      <w:r w:rsidR="00B10D8A">
        <w:t xml:space="preserve">opportunities to access </w:t>
      </w:r>
      <w:r w:rsidR="00AF2C7B">
        <w:t xml:space="preserve">the benefits of </w:t>
      </w:r>
      <w:r w:rsidR="00B10D8A">
        <w:t>this remai</w:t>
      </w:r>
      <w:r w:rsidR="00B10CCA">
        <w:t>n limited for many Cambodians. As a marker of this transition,</w:t>
      </w:r>
      <w:r w:rsidR="00B10D8A">
        <w:t xml:space="preserve"> a </w:t>
      </w:r>
      <w:r w:rsidR="008A5A30">
        <w:t xml:space="preserve">number of </w:t>
      </w:r>
      <w:r w:rsidR="00B10D8A">
        <w:t xml:space="preserve">Australia’s </w:t>
      </w:r>
      <w:r w:rsidR="008A5A30">
        <w:t>major, long-running investments ended as plan</w:t>
      </w:r>
      <w:r w:rsidR="00A83FE1">
        <w:t xml:space="preserve">ned and </w:t>
      </w:r>
      <w:r w:rsidR="00B074F5">
        <w:t>AUD</w:t>
      </w:r>
      <w:r w:rsidR="00F403BE">
        <w:t>200 million</w:t>
      </w:r>
      <w:r w:rsidR="00A83FE1">
        <w:t xml:space="preserve"> of new investments</w:t>
      </w:r>
      <w:r w:rsidR="008A5A30">
        <w:t xml:space="preserve"> in health, agriculture and infrastructure began. </w:t>
      </w:r>
    </w:p>
    <w:p w14:paraId="2091A404" w14:textId="0B583C56" w:rsidR="008A5A30" w:rsidRDefault="00B10D8A" w:rsidP="00B10D8A">
      <w:r>
        <w:t xml:space="preserve">Our </w:t>
      </w:r>
      <w:r w:rsidRPr="00B10D8A">
        <w:rPr>
          <w:b/>
        </w:rPr>
        <w:t>program is proudly delivering tangible</w:t>
      </w:r>
      <w:r w:rsidR="001529C9">
        <w:rPr>
          <w:b/>
        </w:rPr>
        <w:t xml:space="preserve"> and impressive</w:t>
      </w:r>
      <w:r w:rsidRPr="00B10D8A">
        <w:rPr>
          <w:b/>
        </w:rPr>
        <w:t xml:space="preserve"> results for women across many areas of their lives including health, safety, education, jobs and income</w:t>
      </w:r>
      <w:r>
        <w:t xml:space="preserve">. </w:t>
      </w:r>
      <w:r w:rsidR="00EA6461" w:rsidRPr="0001506E">
        <w:t>We helped to provide shelter, counselling, legal aid and peer support services to over 9,950 women and their families</w:t>
      </w:r>
      <w:r w:rsidR="00EA6461">
        <w:t xml:space="preserve"> in need</w:t>
      </w:r>
      <w:r w:rsidR="00EA6461" w:rsidRPr="0001506E">
        <w:t>.</w:t>
      </w:r>
      <w:r w:rsidR="00EA6461">
        <w:t xml:space="preserve"> </w:t>
      </w:r>
      <w:r w:rsidR="00FF6336">
        <w:t>F</w:t>
      </w:r>
      <w:r w:rsidR="008A5A30" w:rsidRPr="00FD7C31">
        <w:t>or the fir</w:t>
      </w:r>
      <w:r w:rsidR="00E00B4B">
        <w:t>st time we offered 50 per cent</w:t>
      </w:r>
      <w:r w:rsidR="008A5A30" w:rsidRPr="00FD7C31">
        <w:t xml:space="preserve"> of</w:t>
      </w:r>
      <w:r w:rsidR="00EA6461">
        <w:t xml:space="preserve"> our Australia Award</w:t>
      </w:r>
      <w:r w:rsidR="008A5A30" w:rsidRPr="00FD7C31">
        <w:t xml:space="preserve"> s</w:t>
      </w:r>
      <w:r w:rsidR="00E00B4B">
        <w:t>cholarships to women</w:t>
      </w:r>
      <w:r w:rsidR="00BF0A93">
        <w:t xml:space="preserve">. </w:t>
      </w:r>
      <w:r w:rsidR="00A83FE1">
        <w:t xml:space="preserve">Our major agriculture investment provided training in better farming practices to 24,000 people, 51 per cent of whom were women. Our </w:t>
      </w:r>
      <w:r w:rsidR="004F59DE">
        <w:t xml:space="preserve">law and justice </w:t>
      </w:r>
      <w:r w:rsidR="00AF5F99">
        <w:t>program</w:t>
      </w:r>
      <w:r w:rsidR="00A83FE1">
        <w:t xml:space="preserve"> helped build prison cells to separate </w:t>
      </w:r>
      <w:r w:rsidR="004F59DE">
        <w:t xml:space="preserve">men, </w:t>
      </w:r>
      <w:r w:rsidR="00A83FE1">
        <w:t>women and juveniles,</w:t>
      </w:r>
      <w:r w:rsidR="00694626">
        <w:t xml:space="preserve"> and</w:t>
      </w:r>
      <w:r w:rsidR="00AF5F99">
        <w:t xml:space="preserve"> a</w:t>
      </w:r>
      <w:r w:rsidR="00A83FE1">
        <w:t xml:space="preserve"> radio program</w:t>
      </w:r>
      <w:r w:rsidR="00AF5F99">
        <w:t xml:space="preserve"> increased awareness and reporting of</w:t>
      </w:r>
      <w:r w:rsidR="00A83FE1">
        <w:t xml:space="preserve"> violence</w:t>
      </w:r>
      <w:r w:rsidR="00AF5F99">
        <w:t xml:space="preserve"> against women</w:t>
      </w:r>
      <w:r w:rsidR="002C172F">
        <w:t>;</w:t>
      </w:r>
      <w:r w:rsidR="00A83FE1">
        <w:t xml:space="preserve"> 50 per cent of callers were women. </w:t>
      </w:r>
    </w:p>
    <w:p w14:paraId="0E4DF1CB" w14:textId="70FF40F3" w:rsidR="00536C2A" w:rsidRDefault="001529C9" w:rsidP="00536C2A">
      <w:r>
        <w:t>With over 80 per cent of Cambodians working in the</w:t>
      </w:r>
      <w:r w:rsidR="00676257">
        <w:t xml:space="preserve"> agriculture sector, Australia has developed</w:t>
      </w:r>
      <w:r>
        <w:t xml:space="preserve"> well</w:t>
      </w:r>
      <w:r w:rsidR="00676257">
        <w:t xml:space="preserve"> targeted investments in</w:t>
      </w:r>
      <w:r>
        <w:t xml:space="preserve"> infrastructure</w:t>
      </w:r>
      <w:r w:rsidR="00676257">
        <w:t>,</w:t>
      </w:r>
      <w:r>
        <w:t xml:space="preserve"> private sector</w:t>
      </w:r>
      <w:r w:rsidR="00676257">
        <w:t xml:space="preserve"> and agriculture</w:t>
      </w:r>
      <w:r>
        <w:t xml:space="preserve"> </w:t>
      </w:r>
      <w:r w:rsidR="00676257">
        <w:t xml:space="preserve">that collectively </w:t>
      </w:r>
      <w:r>
        <w:t>p</w:t>
      </w:r>
      <w:r w:rsidR="00676257">
        <w:t>rovide</w:t>
      </w:r>
      <w:r>
        <w:t xml:space="preserve"> greater access to food, jobs and higher incomes for more than half a mill</w:t>
      </w:r>
      <w:r w:rsidR="00676257">
        <w:t xml:space="preserve">ion </w:t>
      </w:r>
      <w:r w:rsidR="00A513C5">
        <w:t xml:space="preserve">rural </w:t>
      </w:r>
      <w:r w:rsidR="00676257">
        <w:t xml:space="preserve">Cambodians. </w:t>
      </w:r>
      <w:r w:rsidR="00676257" w:rsidRPr="00676257">
        <w:rPr>
          <w:b/>
        </w:rPr>
        <w:t xml:space="preserve">Australian funding is generating significant returns, and </w:t>
      </w:r>
      <w:r w:rsidR="00FF6336">
        <w:rPr>
          <w:b/>
        </w:rPr>
        <w:t xml:space="preserve">the </w:t>
      </w:r>
      <w:r w:rsidR="00676257" w:rsidRPr="00676257">
        <w:rPr>
          <w:b/>
        </w:rPr>
        <w:t>recently concluded</w:t>
      </w:r>
      <w:r w:rsidR="00FF6336">
        <w:rPr>
          <w:b/>
        </w:rPr>
        <w:t xml:space="preserve"> first phase of</w:t>
      </w:r>
      <w:r w:rsidR="00676257" w:rsidRPr="00676257">
        <w:rPr>
          <w:b/>
        </w:rPr>
        <w:t xml:space="preserve"> </w:t>
      </w:r>
      <w:r w:rsidR="00105F76">
        <w:rPr>
          <w:b/>
        </w:rPr>
        <w:t xml:space="preserve">Cambodia </w:t>
      </w:r>
      <w:r w:rsidR="00105F76" w:rsidRPr="00105F76">
        <w:rPr>
          <w:b/>
        </w:rPr>
        <w:t xml:space="preserve">Agriculture Value Chain </w:t>
      </w:r>
      <w:r w:rsidR="0018337C" w:rsidRPr="00105F76">
        <w:rPr>
          <w:b/>
        </w:rPr>
        <w:t>Program</w:t>
      </w:r>
      <w:r w:rsidR="0018337C">
        <w:rPr>
          <w:b/>
        </w:rPr>
        <w:t xml:space="preserve"> Phase 1 </w:t>
      </w:r>
      <w:r w:rsidR="00536C2A">
        <w:rPr>
          <w:b/>
        </w:rPr>
        <w:t>created an almost five-fold increase</w:t>
      </w:r>
      <w:r w:rsidR="00676257" w:rsidRPr="00676257">
        <w:rPr>
          <w:b/>
        </w:rPr>
        <w:t xml:space="preserve"> on our </w:t>
      </w:r>
      <w:r w:rsidR="00676257">
        <w:rPr>
          <w:b/>
        </w:rPr>
        <w:t>origin</w:t>
      </w:r>
      <w:r w:rsidR="00676257" w:rsidRPr="00676257">
        <w:rPr>
          <w:b/>
        </w:rPr>
        <w:t>al investment</w:t>
      </w:r>
      <w:r w:rsidR="00676257">
        <w:t xml:space="preserve">; </w:t>
      </w:r>
      <w:r w:rsidR="00105F76">
        <w:t xml:space="preserve">the program, </w:t>
      </w:r>
      <w:r w:rsidR="00676257">
        <w:t xml:space="preserve">worth AUD46 </w:t>
      </w:r>
      <w:r w:rsidR="004F59DE">
        <w:t xml:space="preserve">million </w:t>
      </w:r>
      <w:r w:rsidR="00676257">
        <w:t>over five years (2010-15), increased rice production by an estimated value of USD43 million per year.</w:t>
      </w:r>
    </w:p>
    <w:p w14:paraId="5F419F08" w14:textId="0B6B9282" w:rsidR="001C28A7" w:rsidRDefault="00AF0A7B" w:rsidP="00536C2A">
      <w:r w:rsidRPr="00AF0A7B">
        <w:t>Our agriculture and infrastructure investments had a positive and wide ranging impact at the household level</w:t>
      </w:r>
      <w:r w:rsidR="00EA6461">
        <w:t xml:space="preserve">, including increasing crop production of farmers, </w:t>
      </w:r>
      <w:r w:rsidR="004E3B10">
        <w:t>land</w:t>
      </w:r>
      <w:r w:rsidR="00FF6336">
        <w:t xml:space="preserve">mine clearance </w:t>
      </w:r>
      <w:r w:rsidR="00EA6461">
        <w:t xml:space="preserve">to reduce casualties and </w:t>
      </w:r>
      <w:r w:rsidR="004F6B64">
        <w:t xml:space="preserve">release </w:t>
      </w:r>
      <w:r w:rsidR="00EA6461">
        <w:t>more land for farming, providing electricity connections and energy efficient stoves</w:t>
      </w:r>
      <w:r w:rsidR="00222253">
        <w:t xml:space="preserve">. </w:t>
      </w:r>
      <w:r w:rsidR="00EA6461" w:rsidRPr="00536C2A">
        <w:rPr>
          <w:b/>
        </w:rPr>
        <w:t>These</w:t>
      </w:r>
      <w:r w:rsidR="00446AD7" w:rsidRPr="00536C2A">
        <w:rPr>
          <w:b/>
        </w:rPr>
        <w:t xml:space="preserve"> </w:t>
      </w:r>
      <w:r w:rsidR="00EA6461" w:rsidRPr="00536C2A">
        <w:rPr>
          <w:b/>
        </w:rPr>
        <w:t>projects</w:t>
      </w:r>
      <w:r w:rsidRPr="00536C2A">
        <w:rPr>
          <w:b/>
        </w:rPr>
        <w:t xml:space="preserve"> benefited approximately </w:t>
      </w:r>
      <w:r w:rsidR="00536C2A" w:rsidRPr="00536C2A">
        <w:rPr>
          <w:b/>
        </w:rPr>
        <w:t xml:space="preserve">half a million rural Cambodians, </w:t>
      </w:r>
      <w:r w:rsidR="00536C2A">
        <w:rPr>
          <w:b/>
        </w:rPr>
        <w:t>which is</w:t>
      </w:r>
      <w:r w:rsidR="00AF5F99">
        <w:rPr>
          <w:b/>
        </w:rPr>
        <w:t xml:space="preserve"> three</w:t>
      </w:r>
      <w:r w:rsidRPr="00536C2A">
        <w:rPr>
          <w:b/>
        </w:rPr>
        <w:t xml:space="preserve"> per cent of the total Cambodian population</w:t>
      </w:r>
      <w:r w:rsidR="008E4949">
        <w:t xml:space="preserve">. </w:t>
      </w:r>
    </w:p>
    <w:p w14:paraId="737EEF23" w14:textId="323C32BD" w:rsidR="00B10CCA" w:rsidRDefault="00536C2A" w:rsidP="00B10CCA">
      <w:r w:rsidRPr="00536C2A">
        <w:rPr>
          <w:b/>
        </w:rPr>
        <w:t xml:space="preserve">We have one of the strongest </w:t>
      </w:r>
      <w:r w:rsidR="00B10CCA" w:rsidRPr="00536C2A">
        <w:rPr>
          <w:b/>
        </w:rPr>
        <w:t xml:space="preserve">performing </w:t>
      </w:r>
      <w:r w:rsidR="00B10CCA">
        <w:rPr>
          <w:b/>
        </w:rPr>
        <w:t>Australian</w:t>
      </w:r>
      <w:r w:rsidRPr="00536C2A">
        <w:rPr>
          <w:b/>
        </w:rPr>
        <w:t xml:space="preserve"> country aid programs in achieving results for people with a disability</w:t>
      </w:r>
      <w:r>
        <w:t xml:space="preserve">. Our disability-specific investment </w:t>
      </w:r>
      <w:r w:rsidR="00EA6461" w:rsidRPr="00446AD7">
        <w:t>helped provide rehabilitation to 31,000 people with a disability (28 per cent women)</w:t>
      </w:r>
      <w:r>
        <w:t>,</w:t>
      </w:r>
      <w:r w:rsidR="00EA6461">
        <w:t xml:space="preserve"> and </w:t>
      </w:r>
      <w:r w:rsidR="00EA6461" w:rsidRPr="00446AD7">
        <w:t xml:space="preserve">played a crucial </w:t>
      </w:r>
      <w:r w:rsidR="00B10CCA">
        <w:t xml:space="preserve">advocacy role </w:t>
      </w:r>
      <w:r w:rsidR="00296B49">
        <w:t>with</w:t>
      </w:r>
      <w:r w:rsidR="00EA6461" w:rsidRPr="00446AD7">
        <w:t xml:space="preserve"> the </w:t>
      </w:r>
      <w:r w:rsidR="00B10CCA">
        <w:t xml:space="preserve">Cambodian Government. Other investments </w:t>
      </w:r>
      <w:r w:rsidR="0045165C">
        <w:t xml:space="preserve">also </w:t>
      </w:r>
      <w:r w:rsidR="00296B49">
        <w:t>helped</w:t>
      </w:r>
      <w:r w:rsidR="0045165C">
        <w:t xml:space="preserve"> people with disabilities</w:t>
      </w:r>
      <w:r w:rsidR="00B10CCA">
        <w:t xml:space="preserve">; our health and community policing investments met specific needs of people with disabilities, and our Australia Awards </w:t>
      </w:r>
      <w:r w:rsidR="0045165C">
        <w:t xml:space="preserve">program helped deliver equitable access for disabled people and </w:t>
      </w:r>
      <w:r w:rsidR="00B10CCA">
        <w:t>recipients included people who identified as having a disability. Raising the profile of disability has been a critical and important part of our work.</w:t>
      </w:r>
    </w:p>
    <w:p w14:paraId="67A90DDE" w14:textId="77777777" w:rsidR="008A5A30" w:rsidRPr="006C3339" w:rsidRDefault="00694626" w:rsidP="00B10CCA">
      <w:r>
        <w:t>We</w:t>
      </w:r>
      <w:r w:rsidR="00930F22" w:rsidRPr="00EA6461">
        <w:t xml:space="preserve"> </w:t>
      </w:r>
      <w:r w:rsidR="008C4FEC" w:rsidRPr="00EA6461">
        <w:t>contributed to fundamental improvements in how Cambodia funds its</w:t>
      </w:r>
      <w:r w:rsidR="008A5A30" w:rsidRPr="00EA6461">
        <w:t xml:space="preserve"> health syst</w:t>
      </w:r>
      <w:r w:rsidR="008C4FEC" w:rsidRPr="00EA6461">
        <w:t>em</w:t>
      </w:r>
      <w:r w:rsidR="002C172F">
        <w:t xml:space="preserve">, and </w:t>
      </w:r>
      <w:r w:rsidR="002C172F" w:rsidRPr="002C172F">
        <w:rPr>
          <w:b/>
        </w:rPr>
        <w:t>health r</w:t>
      </w:r>
      <w:r w:rsidR="00930F22" w:rsidRPr="002C172F">
        <w:rPr>
          <w:b/>
        </w:rPr>
        <w:t>eforms</w:t>
      </w:r>
      <w:r w:rsidR="008C4FEC" w:rsidRPr="002C172F">
        <w:rPr>
          <w:b/>
        </w:rPr>
        <w:t xml:space="preserve"> we </w:t>
      </w:r>
      <w:r w:rsidR="00937516" w:rsidRPr="002C172F">
        <w:rPr>
          <w:b/>
        </w:rPr>
        <w:t xml:space="preserve">have </w:t>
      </w:r>
      <w:r w:rsidR="008C4FEC" w:rsidRPr="002C172F">
        <w:rPr>
          <w:b/>
        </w:rPr>
        <w:t>supported</w:t>
      </w:r>
      <w:r w:rsidR="00930F22" w:rsidRPr="002C172F">
        <w:rPr>
          <w:b/>
        </w:rPr>
        <w:t xml:space="preserve"> </w:t>
      </w:r>
      <w:r w:rsidR="00937516" w:rsidRPr="002C172F">
        <w:rPr>
          <w:b/>
        </w:rPr>
        <w:t xml:space="preserve">over many years </w:t>
      </w:r>
      <w:r w:rsidR="002C172F">
        <w:rPr>
          <w:b/>
        </w:rPr>
        <w:t>are coming to fruition.</w:t>
      </w:r>
      <w:r>
        <w:t xml:space="preserve"> The Cambodian Government has increased funding, ownership and management oversight of the health sector, resulting in noticeable improvements in the quality</w:t>
      </w:r>
      <w:r w:rsidR="008C4FEC" w:rsidRPr="00EA6461">
        <w:t xml:space="preserve"> and sustainability of</w:t>
      </w:r>
      <w:r w:rsidR="00930F22" w:rsidRPr="00EA6461">
        <w:t xml:space="preserve"> hospitals and health centres across Cambodia</w:t>
      </w:r>
      <w:r>
        <w:t>.</w:t>
      </w:r>
    </w:p>
    <w:p w14:paraId="5B85FD1A" w14:textId="35DCC781" w:rsidR="008A5A30" w:rsidRPr="00937516" w:rsidRDefault="00296B49" w:rsidP="00937516">
      <w:pPr>
        <w:rPr>
          <w:rFonts w:cs="Arial"/>
          <w:lang w:val="en-PH"/>
        </w:rPr>
      </w:pPr>
      <w:r>
        <w:t>We continued our long-standing support</w:t>
      </w:r>
      <w:r w:rsidR="008A5A30" w:rsidRPr="00937516">
        <w:rPr>
          <w:rFonts w:cs="Arial"/>
          <w:lang w:val="en-PH"/>
        </w:rPr>
        <w:t xml:space="preserve"> to the Extraordinary Chambers </w:t>
      </w:r>
      <w:r w:rsidR="00B074F5" w:rsidRPr="00937516">
        <w:rPr>
          <w:rFonts w:cs="Arial"/>
          <w:lang w:val="en-PH"/>
        </w:rPr>
        <w:t>in</w:t>
      </w:r>
      <w:r w:rsidR="008A5A30" w:rsidRPr="00937516">
        <w:rPr>
          <w:rFonts w:cs="Arial"/>
          <w:lang w:val="en-PH"/>
        </w:rPr>
        <w:t xml:space="preserve"> the Courts of Cambodia</w:t>
      </w:r>
      <w:r w:rsidR="00115F59" w:rsidRPr="00937516">
        <w:rPr>
          <w:rFonts w:cs="Arial"/>
          <w:lang w:val="en-PH"/>
        </w:rPr>
        <w:t xml:space="preserve"> (the Khmer Rouge Tribunal)</w:t>
      </w:r>
      <w:r w:rsidR="00A00713">
        <w:rPr>
          <w:rFonts w:cs="Arial"/>
          <w:lang w:val="en-PH"/>
        </w:rPr>
        <w:t xml:space="preserve">, </w:t>
      </w:r>
      <w:r>
        <w:rPr>
          <w:rFonts w:cs="Arial"/>
          <w:lang w:val="en-PH"/>
        </w:rPr>
        <w:t xml:space="preserve">an important investment showing </w:t>
      </w:r>
      <w:r>
        <w:t>Australia’s enduring connection and commitment to Cambodia’s development</w:t>
      </w:r>
      <w:r w:rsidR="002C172F">
        <w:rPr>
          <w:rFonts w:cs="Arial"/>
          <w:lang w:val="en-PH"/>
        </w:rPr>
        <w:t xml:space="preserve">. This has been critical at a time when other donor support is waning. </w:t>
      </w:r>
      <w:r w:rsidR="00E00B4B" w:rsidRPr="00937516">
        <w:rPr>
          <w:rFonts w:cs="Arial"/>
          <w:lang w:val="en-PH"/>
        </w:rPr>
        <w:br/>
      </w:r>
    </w:p>
    <w:p w14:paraId="3E4BA729" w14:textId="77777777" w:rsidR="00C6626C" w:rsidRPr="00C61187" w:rsidRDefault="00EA6960" w:rsidP="001D2F1C">
      <w:pPr>
        <w:pStyle w:val="ListBullet"/>
        <w:tabs>
          <w:tab w:val="clear" w:pos="284"/>
        </w:tabs>
        <w:spacing w:before="360" w:line="240" w:lineRule="auto"/>
        <w:rPr>
          <w:kern w:val="28"/>
        </w:rPr>
      </w:pPr>
      <w:r w:rsidRPr="002A51CA">
        <w:rPr>
          <w:rFonts w:asciiTheme="majorHAnsi" w:eastAsiaTheme="majorEastAsia" w:hAnsiTheme="majorHAnsi" w:cstheme="majorBidi"/>
          <w:caps/>
          <w:color w:val="495965" w:themeColor="text2"/>
          <w:sz w:val="38"/>
          <w:szCs w:val="26"/>
          <w:lang w:val="en-GB" w:eastAsia="en-US"/>
        </w:rPr>
        <w:lastRenderedPageBreak/>
        <w:t xml:space="preserve">Context </w:t>
      </w:r>
      <w:r w:rsidRPr="002A51CA">
        <w:rPr>
          <w:rFonts w:asciiTheme="majorHAnsi" w:eastAsiaTheme="majorEastAsia" w:hAnsiTheme="majorHAnsi" w:cstheme="majorBidi"/>
          <w:caps/>
          <w:color w:val="495965" w:themeColor="text2"/>
          <w:sz w:val="38"/>
          <w:szCs w:val="26"/>
          <w:lang w:val="en-GB" w:eastAsia="en-US"/>
        </w:rPr>
        <w:tab/>
      </w:r>
      <w:r w:rsidR="00C6626C" w:rsidRPr="002A51CA">
        <w:rPr>
          <w:rFonts w:asciiTheme="majorHAnsi" w:eastAsiaTheme="majorEastAsia" w:hAnsiTheme="majorHAnsi" w:cstheme="majorBidi"/>
          <w:caps/>
          <w:color w:val="495965" w:themeColor="text2"/>
          <w:sz w:val="38"/>
          <w:szCs w:val="26"/>
          <w:lang w:val="en-GB" w:eastAsia="en-US"/>
        </w:rPr>
        <w:tab/>
      </w:r>
      <w:r w:rsidR="00C6626C" w:rsidRPr="00C61187">
        <w:rPr>
          <w:rFonts w:ascii="Helvetica" w:hAnsi="Helvetica" w:cs="Arial"/>
          <w:color w:val="007FAD"/>
          <w:kern w:val="28"/>
          <w:sz w:val="32"/>
          <w:szCs w:val="32"/>
        </w:rPr>
        <w:tab/>
      </w:r>
      <w:r w:rsidR="00C6626C" w:rsidRPr="00C61187">
        <w:rPr>
          <w:color w:val="007FAD"/>
          <w:kern w:val="28"/>
        </w:rPr>
        <w:tab/>
      </w:r>
      <w:r w:rsidR="00C6626C" w:rsidRPr="00C61187">
        <w:rPr>
          <w:color w:val="007FAD"/>
          <w:kern w:val="28"/>
        </w:rPr>
        <w:tab/>
      </w:r>
      <w:r w:rsidR="00C6626C" w:rsidRPr="00C61187">
        <w:rPr>
          <w:color w:val="007FAD"/>
          <w:kern w:val="28"/>
        </w:rPr>
        <w:tab/>
      </w:r>
      <w:r w:rsidR="00C6626C" w:rsidRPr="00C61187">
        <w:rPr>
          <w:color w:val="007FAD"/>
          <w:kern w:val="28"/>
        </w:rPr>
        <w:tab/>
      </w:r>
      <w:r w:rsidR="00C6626C" w:rsidRPr="00C61187">
        <w:rPr>
          <w:color w:val="007FAD"/>
          <w:kern w:val="28"/>
        </w:rPr>
        <w:tab/>
      </w:r>
    </w:p>
    <w:p w14:paraId="7758AC21" w14:textId="3FD645A9" w:rsidR="00F86FFE" w:rsidRDefault="00EA6960" w:rsidP="00EA6960">
      <w:pPr>
        <w:suppressAutoHyphens w:val="0"/>
        <w:spacing w:before="0" w:after="0" w:line="240" w:lineRule="auto"/>
      </w:pPr>
      <w:r w:rsidRPr="00C9352E">
        <w:t xml:space="preserve">Cambodia </w:t>
      </w:r>
      <w:r w:rsidR="008150B4">
        <w:t xml:space="preserve">continues to </w:t>
      </w:r>
      <w:r w:rsidR="00390BEF">
        <w:t>achieve</w:t>
      </w:r>
      <w:r w:rsidRPr="00C9352E">
        <w:t xml:space="preserve"> high </w:t>
      </w:r>
      <w:r w:rsidR="008150B4">
        <w:t>rates</w:t>
      </w:r>
      <w:r w:rsidRPr="00C9352E">
        <w:t xml:space="preserve"> of </w:t>
      </w:r>
      <w:r w:rsidR="00390BEF">
        <w:t xml:space="preserve">economic growth, averaging </w:t>
      </w:r>
      <w:r w:rsidR="008150B4">
        <w:t>7.6 per cent per</w:t>
      </w:r>
      <w:r w:rsidR="00C43430">
        <w:t xml:space="preserve"> year since 199</w:t>
      </w:r>
      <w:r w:rsidR="0046036A">
        <w:t>5</w:t>
      </w:r>
      <w:r w:rsidR="008E4949">
        <w:t xml:space="preserve">. </w:t>
      </w:r>
      <w:r w:rsidR="00A60421">
        <w:t>P</w:t>
      </w:r>
      <w:r w:rsidR="00390BEF">
        <w:t>rojected g</w:t>
      </w:r>
      <w:r w:rsidR="00C43430">
        <w:t>rowth</w:t>
      </w:r>
      <w:r w:rsidRPr="00C9352E">
        <w:t xml:space="preserve"> </w:t>
      </w:r>
      <w:r w:rsidR="00303251">
        <w:t xml:space="preserve">for </w:t>
      </w:r>
      <w:r w:rsidRPr="00C9352E">
        <w:t>2016</w:t>
      </w:r>
      <w:r w:rsidR="00303251">
        <w:t>-17</w:t>
      </w:r>
      <w:r w:rsidR="00C43430">
        <w:rPr>
          <w:rStyle w:val="FootnoteReference"/>
        </w:rPr>
        <w:footnoteReference w:id="2"/>
      </w:r>
      <w:r w:rsidR="00A60421">
        <w:t xml:space="preserve"> is around 7 per cent</w:t>
      </w:r>
      <w:r w:rsidR="00390BEF">
        <w:t xml:space="preserve">. This growth </w:t>
      </w:r>
      <w:r w:rsidR="004963F5">
        <w:t>saw</w:t>
      </w:r>
      <w:r w:rsidR="00390BEF">
        <w:t xml:space="preserve"> </w:t>
      </w:r>
      <w:r w:rsidR="001F7266" w:rsidRPr="001F7266">
        <w:t>Cambodia’s economy reach lower-middle income status in 2015</w:t>
      </w:r>
      <w:r w:rsidR="001F7266">
        <w:rPr>
          <w:rStyle w:val="FootnoteReference"/>
        </w:rPr>
        <w:footnoteReference w:id="3"/>
      </w:r>
      <w:r w:rsidR="004963F5">
        <w:t xml:space="preserve"> and likely graduation as a Least Developed Country </w:t>
      </w:r>
      <w:r w:rsidR="00F86FFE">
        <w:t xml:space="preserve">within </w:t>
      </w:r>
      <w:r w:rsidR="00303251">
        <w:t>eight to fourteen years</w:t>
      </w:r>
      <w:r>
        <w:t xml:space="preserve">. </w:t>
      </w:r>
      <w:r w:rsidR="004963F5">
        <w:t xml:space="preserve">Major investment, </w:t>
      </w:r>
      <w:r w:rsidR="00077C36">
        <w:t>particularly from China</w:t>
      </w:r>
      <w:r w:rsidR="004963F5">
        <w:t>, in t</w:t>
      </w:r>
      <w:r w:rsidR="004963F5" w:rsidRPr="00C9352E">
        <w:t xml:space="preserve">he </w:t>
      </w:r>
      <w:r w:rsidR="004963F5">
        <w:t>manufacturing, construction</w:t>
      </w:r>
      <w:r w:rsidR="004963F5" w:rsidRPr="00C9352E">
        <w:t>, tourism and agriculture</w:t>
      </w:r>
      <w:r w:rsidR="004963F5">
        <w:t xml:space="preserve"> sectors</w:t>
      </w:r>
      <w:r w:rsidR="004963F5" w:rsidRPr="00C9352E">
        <w:t xml:space="preserve"> is</w:t>
      </w:r>
      <w:r w:rsidR="004963F5">
        <w:t xml:space="preserve"> the main driver of growth</w:t>
      </w:r>
      <w:r w:rsidR="00F86FFE">
        <w:t>.</w:t>
      </w:r>
    </w:p>
    <w:p w14:paraId="1FD05ED5" w14:textId="77777777" w:rsidR="00F86FFE" w:rsidRDefault="00F86FFE" w:rsidP="00EA6960">
      <w:pPr>
        <w:suppressAutoHyphens w:val="0"/>
        <w:spacing w:before="0" w:after="0" w:line="240" w:lineRule="auto"/>
      </w:pPr>
    </w:p>
    <w:p w14:paraId="17D2DA23" w14:textId="3A499F69" w:rsidR="003A5C20" w:rsidRDefault="00EA6960" w:rsidP="00E169BA">
      <w:pPr>
        <w:suppressAutoHyphens w:val="0"/>
        <w:spacing w:before="0" w:after="0" w:line="240" w:lineRule="auto"/>
      </w:pPr>
      <w:r w:rsidRPr="00C9352E">
        <w:t>Despite this</w:t>
      </w:r>
      <w:r w:rsidR="004963F5">
        <w:t xml:space="preserve"> rapid</w:t>
      </w:r>
      <w:r w:rsidRPr="00C9352E">
        <w:t xml:space="preserve"> growth, </w:t>
      </w:r>
      <w:r w:rsidR="00F86FFE">
        <w:t xml:space="preserve">many </w:t>
      </w:r>
      <w:r w:rsidR="004963F5">
        <w:t xml:space="preserve">structural, institutional and skills </w:t>
      </w:r>
      <w:r w:rsidR="00F86FFE">
        <w:t xml:space="preserve">challenges remain. </w:t>
      </w:r>
      <w:r w:rsidR="00C43430">
        <w:t>A</w:t>
      </w:r>
      <w:r w:rsidR="00C43430" w:rsidRPr="00C9352E">
        <w:t>ccordi</w:t>
      </w:r>
      <w:r w:rsidR="00C43430">
        <w:t xml:space="preserve">ng to the World Economic Forum, </w:t>
      </w:r>
      <w:r w:rsidR="00F86FFE">
        <w:t>Cambodia</w:t>
      </w:r>
      <w:r w:rsidRPr="00C9352E">
        <w:t xml:space="preserve"> ranks 100 out of 130 countries in terms of human capital development</w:t>
      </w:r>
      <w:r w:rsidR="00C43430">
        <w:rPr>
          <w:rStyle w:val="FootnoteReference"/>
        </w:rPr>
        <w:footnoteReference w:id="4"/>
      </w:r>
      <w:r w:rsidR="008E4949">
        <w:t xml:space="preserve">. </w:t>
      </w:r>
      <w:r w:rsidR="00077C36">
        <w:t xml:space="preserve">It </w:t>
      </w:r>
      <w:r w:rsidR="00115F59">
        <w:t>is ranked</w:t>
      </w:r>
      <w:r w:rsidR="009E7177">
        <w:t xml:space="preserve"> 143</w:t>
      </w:r>
      <w:r w:rsidR="00BF0A93">
        <w:t> </w:t>
      </w:r>
      <w:r w:rsidR="00315683">
        <w:t>out of 188</w:t>
      </w:r>
      <w:r w:rsidR="00F86FFE">
        <w:t xml:space="preserve"> on </w:t>
      </w:r>
      <w:r w:rsidR="009E7177">
        <w:t xml:space="preserve">the </w:t>
      </w:r>
      <w:r w:rsidR="00A93ABB">
        <w:t>UN</w:t>
      </w:r>
      <w:r w:rsidR="009E7177">
        <w:t xml:space="preserve"> Human Development Index, putting it behind Bangladesh and ahead of Kenya</w:t>
      </w:r>
      <w:r w:rsidR="00F651E4">
        <w:t>.</w:t>
      </w:r>
      <w:r w:rsidR="009E7177">
        <w:rPr>
          <w:rStyle w:val="FootnoteReference"/>
        </w:rPr>
        <w:footnoteReference w:id="5"/>
      </w:r>
      <w:r w:rsidR="004963F5">
        <w:t xml:space="preserve"> And while poverty </w:t>
      </w:r>
      <w:r w:rsidR="00E169BA" w:rsidRPr="00E169BA">
        <w:t>continues to fall</w:t>
      </w:r>
      <w:r w:rsidR="004963F5">
        <w:t>,</w:t>
      </w:r>
      <w:r w:rsidR="00E169BA" w:rsidRPr="00E169BA">
        <w:t xml:space="preserve"> the pace has declined significantly</w:t>
      </w:r>
      <w:r w:rsidR="004963F5">
        <w:t>. T</w:t>
      </w:r>
      <w:r w:rsidR="00E169BA">
        <w:t>he</w:t>
      </w:r>
      <w:r w:rsidR="00A93ABB">
        <w:t xml:space="preserve"> UN</w:t>
      </w:r>
      <w:r w:rsidR="00406B1A">
        <w:rPr>
          <w:rStyle w:val="FootnoteReference"/>
        </w:rPr>
        <w:footnoteReference w:id="6"/>
      </w:r>
      <w:r w:rsidR="00315683">
        <w:t xml:space="preserve"> estimate</w:t>
      </w:r>
      <w:r w:rsidR="00A93ABB">
        <w:t>s</w:t>
      </w:r>
      <w:r w:rsidR="00315683">
        <w:t xml:space="preserve"> </w:t>
      </w:r>
      <w:r w:rsidR="00406B1A">
        <w:t>that</w:t>
      </w:r>
      <w:r w:rsidR="00E169BA">
        <w:t xml:space="preserve"> 13.5</w:t>
      </w:r>
      <w:r w:rsidR="00077C36">
        <w:t xml:space="preserve"> </w:t>
      </w:r>
      <w:r w:rsidR="0046036A" w:rsidRPr="00315683">
        <w:t>per</w:t>
      </w:r>
      <w:r w:rsidR="00E169BA" w:rsidRPr="00E169BA">
        <w:t xml:space="preserve"> </w:t>
      </w:r>
      <w:r w:rsidR="0046036A" w:rsidRPr="00E169BA">
        <w:t>cent</w:t>
      </w:r>
      <w:r w:rsidR="00E169BA" w:rsidRPr="00E169BA">
        <w:t xml:space="preserve"> of Cambodian</w:t>
      </w:r>
      <w:r w:rsidR="006248E3">
        <w:t>s</w:t>
      </w:r>
      <w:r w:rsidR="00E169BA" w:rsidRPr="00E169BA">
        <w:t xml:space="preserve"> live below the national poverty line, </w:t>
      </w:r>
      <w:r w:rsidR="00115F59" w:rsidRPr="00E169BA">
        <w:t>down from 53 per cent in 2004.</w:t>
      </w:r>
      <w:r w:rsidR="00F86FFE">
        <w:t xml:space="preserve"> </w:t>
      </w:r>
      <w:r w:rsidR="0046036A">
        <w:t xml:space="preserve">However, </w:t>
      </w:r>
      <w:r w:rsidR="004963F5">
        <w:t xml:space="preserve">of the millions who have lifted out of poverty, </w:t>
      </w:r>
      <w:r w:rsidR="00F86FFE">
        <w:t xml:space="preserve">many </w:t>
      </w:r>
      <w:r w:rsidR="00F86FFE" w:rsidRPr="00C9352E">
        <w:t>Cambodian households</w:t>
      </w:r>
      <w:r w:rsidR="004963F5">
        <w:t xml:space="preserve">, especially in rural areas, </w:t>
      </w:r>
      <w:r w:rsidR="00F86FFE" w:rsidRPr="00C9352E">
        <w:t>remain</w:t>
      </w:r>
      <w:r w:rsidR="00F86FFE">
        <w:t xml:space="preserve"> </w:t>
      </w:r>
      <w:r w:rsidR="00F86FFE" w:rsidRPr="00C9352E">
        <w:t>highly vulnerable</w:t>
      </w:r>
      <w:r w:rsidR="004963F5">
        <w:t xml:space="preserve"> to slipping back</w:t>
      </w:r>
      <w:r w:rsidR="00F86FFE" w:rsidRPr="00C9352E">
        <w:t xml:space="preserve">. </w:t>
      </w:r>
      <w:r w:rsidR="003A5C20">
        <w:t>These</w:t>
      </w:r>
      <w:r w:rsidR="00F86FFE" w:rsidRPr="00C9352E">
        <w:t xml:space="preserve"> households </w:t>
      </w:r>
      <w:r w:rsidR="00A94E8E">
        <w:t xml:space="preserve">find it difficult to </w:t>
      </w:r>
      <w:r w:rsidR="00F86FFE" w:rsidRPr="00C9352E">
        <w:t xml:space="preserve">withstand shocks such as </w:t>
      </w:r>
      <w:r w:rsidR="003A5C20">
        <w:t>the 2015</w:t>
      </w:r>
      <w:r w:rsidR="00A93ABB">
        <w:t xml:space="preserve"> </w:t>
      </w:r>
      <w:r w:rsidR="003A5C20">
        <w:t>drought</w:t>
      </w:r>
      <w:r w:rsidR="00F86FFE" w:rsidRPr="00C9352E">
        <w:t>, serious health events</w:t>
      </w:r>
      <w:r w:rsidR="00077C36">
        <w:t xml:space="preserve"> or</w:t>
      </w:r>
      <w:r w:rsidR="00F86FFE" w:rsidRPr="00C9352E">
        <w:t xml:space="preserve"> </w:t>
      </w:r>
      <w:r w:rsidR="00F86FFE">
        <w:t>sudden unemployment</w:t>
      </w:r>
      <w:r w:rsidR="00077C36">
        <w:t>.</w:t>
      </w:r>
      <w:r w:rsidR="00F86FFE" w:rsidRPr="00C9352E">
        <w:t xml:space="preserve"> </w:t>
      </w:r>
      <w:r w:rsidR="00115F59">
        <w:t>This</w:t>
      </w:r>
      <w:r w:rsidR="00F86FFE" w:rsidRPr="00C9352E">
        <w:t xml:space="preserve"> is exacerbated </w:t>
      </w:r>
      <w:r w:rsidR="00115F59">
        <w:t>by</w:t>
      </w:r>
      <w:r w:rsidR="00F86FFE" w:rsidRPr="00C9352E">
        <w:t xml:space="preserve"> limited</w:t>
      </w:r>
      <w:r w:rsidR="00115F59">
        <w:t xml:space="preserve"> </w:t>
      </w:r>
      <w:r w:rsidR="00F86FFE" w:rsidRPr="00C9352E">
        <w:t>social protection</w:t>
      </w:r>
      <w:r w:rsidR="009F2EE9">
        <w:t xml:space="preserve">, high levels of informal employment and </w:t>
      </w:r>
      <w:r w:rsidR="00A93ABB">
        <w:t>low</w:t>
      </w:r>
      <w:r w:rsidR="009F2EE9">
        <w:t xml:space="preserve"> levels of education and skills</w:t>
      </w:r>
      <w:r w:rsidR="00F86FFE" w:rsidRPr="000F1E88">
        <w:t>.</w:t>
      </w:r>
    </w:p>
    <w:p w14:paraId="0F073281" w14:textId="77777777" w:rsidR="00315683" w:rsidRDefault="00315683" w:rsidP="00E169BA">
      <w:pPr>
        <w:suppressAutoHyphens w:val="0"/>
        <w:spacing w:before="0" w:after="0" w:line="240" w:lineRule="auto"/>
      </w:pPr>
    </w:p>
    <w:p w14:paraId="222944C6" w14:textId="38E02BD1" w:rsidR="009F2EE9" w:rsidRDefault="00EA6960" w:rsidP="00EA6960">
      <w:pPr>
        <w:suppressAutoHyphens w:val="0"/>
        <w:spacing w:before="0" w:after="0" w:line="240" w:lineRule="auto"/>
      </w:pPr>
      <w:r>
        <w:t xml:space="preserve">Cambodia’s </w:t>
      </w:r>
      <w:r w:rsidRPr="0067585A">
        <w:t xml:space="preserve">political climate </w:t>
      </w:r>
      <w:r>
        <w:t xml:space="preserve">has </w:t>
      </w:r>
      <w:r w:rsidR="009F2EE9">
        <w:t xml:space="preserve">been fraught over the past year – the </w:t>
      </w:r>
      <w:r w:rsidRPr="0067585A">
        <w:t xml:space="preserve">President of the </w:t>
      </w:r>
      <w:r w:rsidR="003A5C20">
        <w:t>key o</w:t>
      </w:r>
      <w:r w:rsidRPr="0067585A">
        <w:t>pposition</w:t>
      </w:r>
      <w:r w:rsidR="003A5C20">
        <w:t xml:space="preserve"> party is </w:t>
      </w:r>
      <w:r w:rsidRPr="0067585A">
        <w:t>in self-impos</w:t>
      </w:r>
      <w:r w:rsidR="003A5C20">
        <w:t xml:space="preserve">ed exile, </w:t>
      </w:r>
      <w:r w:rsidR="009F2EE9">
        <w:t>th</w:t>
      </w:r>
      <w:r w:rsidR="003A5C20">
        <w:t xml:space="preserve">e </w:t>
      </w:r>
      <w:r w:rsidRPr="0067585A">
        <w:t xml:space="preserve">acting </w:t>
      </w:r>
      <w:r w:rsidR="009F2EE9">
        <w:t>opposition leader</w:t>
      </w:r>
      <w:r w:rsidR="00115F59">
        <w:t xml:space="preserve"> </w:t>
      </w:r>
      <w:r w:rsidR="003A5C20">
        <w:t>is facing criminal charges</w:t>
      </w:r>
      <w:r w:rsidR="00FF6336" w:rsidRPr="00FF6336">
        <w:t xml:space="preserve"> </w:t>
      </w:r>
      <w:r w:rsidR="00FF6336">
        <w:t>and a well-known political analyst was murdered</w:t>
      </w:r>
      <w:r w:rsidR="00632721">
        <w:t>.</w:t>
      </w:r>
      <w:r w:rsidR="008A3662">
        <w:t xml:space="preserve"> </w:t>
      </w:r>
      <w:r w:rsidR="005F6352">
        <w:t>P</w:t>
      </w:r>
      <w:r w:rsidR="009F2EE9">
        <w:t xml:space="preserve">olitical </w:t>
      </w:r>
      <w:r w:rsidR="00077C36">
        <w:t>events such as these have</w:t>
      </w:r>
      <w:r w:rsidR="005F6352">
        <w:t xml:space="preserve"> the potential to negatively impact investment in Cambodia. </w:t>
      </w:r>
      <w:r w:rsidR="009F2EE9">
        <w:t>Cambodia already ranks 127 out of 189 countries on the World Bank’s Ease of Doing Business index</w:t>
      </w:r>
      <w:r w:rsidR="00105F76">
        <w:rPr>
          <w:rStyle w:val="FootnoteReference"/>
        </w:rPr>
        <w:footnoteReference w:id="7"/>
      </w:r>
      <w:r w:rsidR="009F2EE9">
        <w:t>, and 150 out of 168 in Transparency International’s Corruption Perceptions Index.</w:t>
      </w:r>
      <w:r w:rsidR="00105F76">
        <w:rPr>
          <w:rStyle w:val="FootnoteReference"/>
        </w:rPr>
        <w:footnoteReference w:id="8"/>
      </w:r>
    </w:p>
    <w:p w14:paraId="24402577" w14:textId="77777777" w:rsidR="00A93ABB" w:rsidRDefault="00A93ABB" w:rsidP="00EA6960">
      <w:pPr>
        <w:suppressAutoHyphens w:val="0"/>
        <w:spacing w:before="0" w:after="0" w:line="240" w:lineRule="auto"/>
      </w:pPr>
    </w:p>
    <w:p w14:paraId="4BEA0F49" w14:textId="184091AF" w:rsidR="00A93ABB" w:rsidRDefault="00A93ABB" w:rsidP="00EA6960">
      <w:pPr>
        <w:suppressAutoHyphens w:val="0"/>
        <w:spacing w:before="0" w:after="0" w:line="240" w:lineRule="auto"/>
      </w:pPr>
      <w:r>
        <w:t xml:space="preserve">Despite </w:t>
      </w:r>
      <w:r w:rsidR="00142224">
        <w:t xml:space="preserve">the </w:t>
      </w:r>
      <w:r>
        <w:t>challenges, there are major opportunities for Cambodia’s development in coming years.</w:t>
      </w:r>
      <w:r w:rsidR="00142224">
        <w:t xml:space="preserve"> If harnessed well, the enthusiasm of the large and digitally-c</w:t>
      </w:r>
      <w:r w:rsidR="00A059AA">
        <w:t>onnect</w:t>
      </w:r>
      <w:r w:rsidR="00D810C0">
        <w:t>ed</w:t>
      </w:r>
      <w:r w:rsidR="00A059AA">
        <w:t xml:space="preserve"> youth population </w:t>
      </w:r>
      <w:r w:rsidR="00105F76">
        <w:t xml:space="preserve">should </w:t>
      </w:r>
      <w:r w:rsidR="00A059AA">
        <w:t xml:space="preserve">help Cambodia move into broader, more creative areas of growth. The Cambodian Government is </w:t>
      </w:r>
      <w:r w:rsidR="00E73809">
        <w:t xml:space="preserve">actively seeking greater </w:t>
      </w:r>
      <w:r w:rsidR="00A059AA">
        <w:t xml:space="preserve">regional </w:t>
      </w:r>
      <w:r w:rsidR="00E73809">
        <w:t xml:space="preserve">connectivity and </w:t>
      </w:r>
      <w:r w:rsidR="00A059AA">
        <w:t xml:space="preserve">integration, including through the ASEAN Economic Community and Regional Comprehensive Economic Partnership. </w:t>
      </w:r>
    </w:p>
    <w:p w14:paraId="6D59412D" w14:textId="77777777" w:rsidR="009F2EE9" w:rsidRDefault="009F2EE9" w:rsidP="00EA6960">
      <w:pPr>
        <w:suppressAutoHyphens w:val="0"/>
        <w:spacing w:before="0" w:after="0" w:line="240" w:lineRule="auto"/>
      </w:pPr>
    </w:p>
    <w:p w14:paraId="14265D80" w14:textId="3E9A194C" w:rsidR="00115F59" w:rsidRDefault="009F2EE9" w:rsidP="00115F59">
      <w:pPr>
        <w:suppressAutoHyphens w:val="0"/>
        <w:spacing w:before="0" w:after="0" w:line="240" w:lineRule="auto"/>
      </w:pPr>
      <w:r>
        <w:t xml:space="preserve">In 2015-16, </w:t>
      </w:r>
      <w:r w:rsidR="00F44683" w:rsidRPr="00F44683">
        <w:t xml:space="preserve">Australia’s </w:t>
      </w:r>
      <w:r>
        <w:t>aid</w:t>
      </w:r>
      <w:r w:rsidR="00F44683" w:rsidRPr="00F44683">
        <w:t xml:space="preserve"> to </w:t>
      </w:r>
      <w:r w:rsidR="00F44683">
        <w:t xml:space="preserve">Cambodia </w:t>
      </w:r>
      <w:r>
        <w:t>was AUD90.1 million, a</w:t>
      </w:r>
      <w:r w:rsidR="00142224">
        <w:t>round</w:t>
      </w:r>
      <w:r>
        <w:t xml:space="preserve"> 0.4</w:t>
      </w:r>
      <w:r w:rsidR="00F44683" w:rsidRPr="00F44683">
        <w:t xml:space="preserve"> per </w:t>
      </w:r>
      <w:r w:rsidR="00F44683">
        <w:t xml:space="preserve">cent of </w:t>
      </w:r>
      <w:r w:rsidR="00DB001C">
        <w:t>Cambodia’s</w:t>
      </w:r>
      <w:r w:rsidR="00F44683">
        <w:t xml:space="preserve"> estimated 2015 gross domestic product</w:t>
      </w:r>
      <w:r w:rsidR="00C251C6">
        <w:t xml:space="preserve"> </w:t>
      </w:r>
      <w:r w:rsidR="00067C52">
        <w:t xml:space="preserve">of </w:t>
      </w:r>
      <w:r w:rsidR="00632721">
        <w:t>US</w:t>
      </w:r>
      <w:r w:rsidR="00BF0A93">
        <w:t>D</w:t>
      </w:r>
      <w:r w:rsidR="00632721">
        <w:t>18.05 billion</w:t>
      </w:r>
      <w:r w:rsidR="00F651E4">
        <w:t>.</w:t>
      </w:r>
      <w:r w:rsidR="00F44683">
        <w:t xml:space="preserve"> </w:t>
      </w:r>
      <w:r w:rsidR="00F44683" w:rsidRPr="00F44683">
        <w:t xml:space="preserve">Australia </w:t>
      </w:r>
      <w:r w:rsidR="00F44683">
        <w:t>remains one of the most</w:t>
      </w:r>
      <w:r w:rsidR="00F44683" w:rsidRPr="00F44683">
        <w:t xml:space="preserve"> significant </w:t>
      </w:r>
      <w:r w:rsidR="00F44683">
        <w:t xml:space="preserve">bilateral </w:t>
      </w:r>
      <w:r w:rsidR="00067C52">
        <w:t xml:space="preserve">grant-based </w:t>
      </w:r>
      <w:r w:rsidR="00F44683" w:rsidRPr="00F44683">
        <w:t xml:space="preserve">donors to </w:t>
      </w:r>
      <w:r w:rsidR="00F44683">
        <w:t xml:space="preserve">Cambodia. </w:t>
      </w:r>
      <w:r w:rsidR="00067C52">
        <w:t xml:space="preserve">But China’s investment is rapidly increasing and it is now </w:t>
      </w:r>
      <w:r w:rsidR="00115F59">
        <w:t>Cambodia’s largest donor</w:t>
      </w:r>
      <w:r w:rsidR="00067C52">
        <w:t xml:space="preserve"> </w:t>
      </w:r>
      <w:r w:rsidR="00067C52" w:rsidRPr="00F822A7">
        <w:t>(AUD460 million</w:t>
      </w:r>
      <w:r w:rsidR="00067C52">
        <w:t>)</w:t>
      </w:r>
      <w:r w:rsidR="005465B0">
        <w:rPr>
          <w:rStyle w:val="FootnoteReference"/>
        </w:rPr>
        <w:footnoteReference w:id="9"/>
      </w:r>
      <w:r w:rsidR="00067C52">
        <w:t xml:space="preserve">. </w:t>
      </w:r>
      <w:r w:rsidR="00115F59">
        <w:t>Japan</w:t>
      </w:r>
      <w:r w:rsidR="00067C52">
        <w:t xml:space="preserve"> provides AUD178.2 million and the United States AUD138.7 million</w:t>
      </w:r>
      <w:r w:rsidR="00115F59">
        <w:rPr>
          <w:rStyle w:val="FootnoteReference"/>
        </w:rPr>
        <w:footnoteReference w:id="10"/>
      </w:r>
      <w:r w:rsidR="00067C52">
        <w:t xml:space="preserve">. </w:t>
      </w:r>
      <w:r w:rsidR="00115F59">
        <w:t xml:space="preserve">In recent years there have been some reductions or withdrawal in donor </w:t>
      </w:r>
      <w:r w:rsidR="00115F59" w:rsidRPr="00F44683">
        <w:t>investment</w:t>
      </w:r>
      <w:r w:rsidR="00115F59">
        <w:t xml:space="preserve"> </w:t>
      </w:r>
      <w:r w:rsidR="00115F59" w:rsidRPr="00F44683">
        <w:t xml:space="preserve">in </w:t>
      </w:r>
      <w:r w:rsidR="00115F59">
        <w:t xml:space="preserve">Cambodia (for example, the UK and </w:t>
      </w:r>
      <w:r w:rsidR="00406B1A">
        <w:t>other</w:t>
      </w:r>
      <w:r w:rsidR="00115F59">
        <w:t xml:space="preserve"> European donors). </w:t>
      </w:r>
    </w:p>
    <w:p w14:paraId="1EDDBE9C" w14:textId="77777777" w:rsidR="00115F59" w:rsidRDefault="00115F59" w:rsidP="00115F59">
      <w:pPr>
        <w:suppressAutoHyphens w:val="0"/>
        <w:spacing w:before="0" w:after="0" w:line="240" w:lineRule="auto"/>
      </w:pPr>
    </w:p>
    <w:p w14:paraId="3BE6289C" w14:textId="77777777" w:rsidR="00067C52" w:rsidRDefault="00C94DBF" w:rsidP="00D810C0">
      <w:pPr>
        <w:suppressAutoHyphens w:val="0"/>
        <w:spacing w:before="0" w:after="0" w:line="240" w:lineRule="auto"/>
      </w:pPr>
      <w:r w:rsidRPr="00C94DBF">
        <w:t xml:space="preserve">The value of Australia’s contribution goes beyond our financial investments. Our continued support for Cambodia since the end of the Khmer Rouge era and our involvement in the Paris Peace Accords in 1991 is </w:t>
      </w:r>
      <w:r w:rsidR="00067C52">
        <w:t>well-regarded and remembered</w:t>
      </w:r>
      <w:r w:rsidRPr="00C94DBF">
        <w:t>. We engage in mutu</w:t>
      </w:r>
      <w:r w:rsidR="00115F59">
        <w:t xml:space="preserve">ally beneficial policy dialogue </w:t>
      </w:r>
      <w:r w:rsidRPr="00C94DBF">
        <w:t>and continue to build our reputation as a supportive and constructive development partner</w:t>
      </w:r>
      <w:r>
        <w:t>.</w:t>
      </w:r>
      <w:r w:rsidR="00115F59">
        <w:t xml:space="preserve"> </w:t>
      </w:r>
    </w:p>
    <w:p w14:paraId="223CF79C" w14:textId="77777777" w:rsidR="00EA6960" w:rsidRPr="002A51CA" w:rsidRDefault="00EA6960" w:rsidP="001D2F1C">
      <w:pPr>
        <w:pStyle w:val="ListBullet"/>
        <w:tabs>
          <w:tab w:val="clear" w:pos="284"/>
        </w:tabs>
        <w:spacing w:before="360" w:line="240" w:lineRule="auto"/>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14:paraId="17F3E57B" w14:textId="429BC88E" w:rsidR="00F651E4" w:rsidRDefault="00A059AA" w:rsidP="002A51CA">
      <w:r>
        <w:t xml:space="preserve">Total </w:t>
      </w:r>
      <w:r w:rsidR="00212813">
        <w:t xml:space="preserve">official development assistance (ODA) </w:t>
      </w:r>
      <w:r>
        <w:t>expenditure for 2015-16 is set out in Table 1</w:t>
      </w:r>
      <w:r w:rsidR="00EA6960">
        <w:t xml:space="preserve">. </w:t>
      </w:r>
      <w:r>
        <w:t xml:space="preserve">Regional </w:t>
      </w:r>
      <w:r w:rsidR="00046724">
        <w:t xml:space="preserve">and </w:t>
      </w:r>
      <w:r>
        <w:t>Global P</w:t>
      </w:r>
      <w:r w:rsidR="00EA6960">
        <w:t>rograms</w:t>
      </w:r>
      <w:r w:rsidR="00160615">
        <w:t xml:space="preserve"> </w:t>
      </w:r>
      <w:r>
        <w:t>include the</w:t>
      </w:r>
      <w:r w:rsidR="00160615">
        <w:t xml:space="preserve"> Australian NGO Cooperation Program and Australian Volunteers Program. </w:t>
      </w:r>
      <w:r w:rsidR="00046724">
        <w:t xml:space="preserve">Other Government </w:t>
      </w:r>
      <w:r w:rsidR="0007226F">
        <w:t>Departments</w:t>
      </w:r>
      <w:r w:rsidR="00046724">
        <w:t xml:space="preserve"> included the </w:t>
      </w:r>
      <w:r w:rsidR="00EA6960">
        <w:t>Australia Centre for International Agriculture Research.</w:t>
      </w:r>
      <w:r>
        <w:t xml:space="preserve"> </w:t>
      </w:r>
    </w:p>
    <w:p w14:paraId="02B74FF1" w14:textId="77777777" w:rsidR="002A51CA" w:rsidRPr="008C2F58" w:rsidRDefault="002A51CA" w:rsidP="002A51CA">
      <w:pPr>
        <w:rPr>
          <w:b/>
          <w:sz w:val="24"/>
        </w:rPr>
      </w:pPr>
      <w:r w:rsidRPr="008C2F58">
        <w:rPr>
          <w:b/>
          <w:sz w:val="24"/>
        </w:rPr>
        <w:t xml:space="preserve">Table </w:t>
      </w:r>
      <w:r w:rsidR="002D1721" w:rsidRPr="008C2F58">
        <w:rPr>
          <w:b/>
          <w:sz w:val="24"/>
        </w:rPr>
        <w:fldChar w:fldCharType="begin"/>
      </w:r>
      <w:r w:rsidRPr="008C2F58">
        <w:rPr>
          <w:b/>
          <w:sz w:val="24"/>
        </w:rPr>
        <w:instrText xml:space="preserve"> SEQ Table \* ARABIC </w:instrText>
      </w:r>
      <w:r w:rsidR="002D1721" w:rsidRPr="008C2F58">
        <w:rPr>
          <w:b/>
          <w:sz w:val="24"/>
        </w:rPr>
        <w:fldChar w:fldCharType="separate"/>
      </w:r>
      <w:r w:rsidR="00BF3D74">
        <w:rPr>
          <w:b/>
          <w:noProof/>
          <w:sz w:val="24"/>
        </w:rPr>
        <w:t>1</w:t>
      </w:r>
      <w:r w:rsidR="002D1721" w:rsidRPr="008C2F58">
        <w:rPr>
          <w:b/>
          <w:noProof/>
          <w:sz w:val="24"/>
        </w:rPr>
        <w:fldChar w:fldCharType="end"/>
      </w:r>
      <w:r w:rsidRPr="008C2F58">
        <w:rPr>
          <w:b/>
          <w:sz w:val="24"/>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Table 1 Total ODA Expenditure in FY 2015-2016"/>
        <w:tblDescription w:val="Of our bilateral objectives, objective 1: improving access to essential infrastructure was worth 15.9 million AUD, or 17.6 % of total ODA; Objective 2: increasing agricultureal productivity and farmer incomes was worth 13.7 million AUD or 15.2 % of ODA; objective 3: better health adn education outcomes was worth 17.4 million AUD or 17.1 % of ODA from Australia to Cambodia. The regional and global programs from Australia to Cambodia were worth 25.4 million AUD or 28.2 % of Australia's ODA to Cambodia; other government departments contributed 2.3 million AUD or 2.6 % of Australia's ODA to Cambodia. This gave a total ODA expenditure of 90.1 million AUD from Australia to Cambodia in ODA in 2015-16."/>
      </w:tblPr>
      <w:tblGrid>
        <w:gridCol w:w="6487"/>
        <w:gridCol w:w="1043"/>
        <w:gridCol w:w="1525"/>
      </w:tblGrid>
      <w:tr w:rsidR="002A51CA" w:rsidRPr="00C61187" w14:paraId="5282FD9A" w14:textId="77777777" w:rsidTr="00F651E4">
        <w:tc>
          <w:tcPr>
            <w:tcW w:w="6487" w:type="dxa"/>
          </w:tcPr>
          <w:p w14:paraId="4D828320" w14:textId="77777777" w:rsidR="002A51CA" w:rsidRPr="00BE6C6D" w:rsidRDefault="002A51CA" w:rsidP="009E7BB8">
            <w:pPr>
              <w:pStyle w:val="NormalIndented"/>
              <w:rPr>
                <w:sz w:val="20"/>
              </w:rPr>
            </w:pPr>
            <w:r w:rsidRPr="00BE6C6D">
              <w:rPr>
                <w:sz w:val="20"/>
              </w:rPr>
              <w:t>Objective</w:t>
            </w:r>
          </w:p>
        </w:tc>
        <w:tc>
          <w:tcPr>
            <w:tcW w:w="1043" w:type="dxa"/>
          </w:tcPr>
          <w:p w14:paraId="22ED53C5" w14:textId="77777777" w:rsidR="002A51CA" w:rsidRPr="00BE6C6D" w:rsidRDefault="002A51CA" w:rsidP="009E7BB8">
            <w:pPr>
              <w:pStyle w:val="NormalIndented"/>
              <w:rPr>
                <w:sz w:val="20"/>
              </w:rPr>
            </w:pPr>
            <w:r w:rsidRPr="00BE6C6D">
              <w:rPr>
                <w:sz w:val="20"/>
              </w:rPr>
              <w:t>A</w:t>
            </w:r>
            <w:r w:rsidR="00053CEE">
              <w:rPr>
                <w:sz w:val="20"/>
              </w:rPr>
              <w:t>UD</w:t>
            </w:r>
            <w:r w:rsidRPr="00BE6C6D">
              <w:rPr>
                <w:sz w:val="20"/>
              </w:rPr>
              <w:t xml:space="preserve"> million</w:t>
            </w:r>
          </w:p>
        </w:tc>
        <w:tc>
          <w:tcPr>
            <w:tcW w:w="1525" w:type="dxa"/>
          </w:tcPr>
          <w:p w14:paraId="05B381B0" w14:textId="77777777" w:rsidR="002A51CA" w:rsidRPr="00BE6C6D" w:rsidRDefault="00053CEE" w:rsidP="009E7BB8">
            <w:pPr>
              <w:pStyle w:val="NormalIndented"/>
              <w:rPr>
                <w:sz w:val="20"/>
              </w:rPr>
            </w:pPr>
            <w:r>
              <w:rPr>
                <w:sz w:val="20"/>
              </w:rPr>
              <w:t>Per cent</w:t>
            </w:r>
            <w:r w:rsidR="002A51CA" w:rsidRPr="00BE6C6D">
              <w:rPr>
                <w:sz w:val="20"/>
              </w:rPr>
              <w:t xml:space="preserve"> of total ODA</w:t>
            </w:r>
          </w:p>
        </w:tc>
      </w:tr>
      <w:tr w:rsidR="002A51CA" w:rsidRPr="00C61187" w14:paraId="6CC94C2D" w14:textId="77777777" w:rsidTr="00F651E4">
        <w:tc>
          <w:tcPr>
            <w:tcW w:w="6487" w:type="dxa"/>
          </w:tcPr>
          <w:p w14:paraId="0647CD6C" w14:textId="77777777" w:rsidR="002A51CA" w:rsidRPr="00BE6C6D" w:rsidRDefault="002A51CA" w:rsidP="009E7BB8">
            <w:pPr>
              <w:pStyle w:val="NormalIndented"/>
              <w:rPr>
                <w:i/>
                <w:sz w:val="20"/>
              </w:rPr>
            </w:pPr>
            <w:r w:rsidRPr="00BE6C6D">
              <w:rPr>
                <w:i/>
                <w:sz w:val="20"/>
              </w:rPr>
              <w:t xml:space="preserve">Bilateral </w:t>
            </w:r>
          </w:p>
        </w:tc>
        <w:tc>
          <w:tcPr>
            <w:tcW w:w="1043" w:type="dxa"/>
          </w:tcPr>
          <w:p w14:paraId="0BA05EDC" w14:textId="77777777" w:rsidR="002A51CA" w:rsidRPr="00BE6C6D" w:rsidRDefault="002A51CA" w:rsidP="009E7BB8">
            <w:pPr>
              <w:pStyle w:val="NormalIndented"/>
              <w:rPr>
                <w:sz w:val="20"/>
              </w:rPr>
            </w:pPr>
          </w:p>
        </w:tc>
        <w:tc>
          <w:tcPr>
            <w:tcW w:w="1525" w:type="dxa"/>
          </w:tcPr>
          <w:p w14:paraId="2263E15C" w14:textId="77777777" w:rsidR="002A51CA" w:rsidRPr="00BE6C6D" w:rsidRDefault="002A51CA" w:rsidP="009E7BB8">
            <w:pPr>
              <w:pStyle w:val="NormalIndented"/>
              <w:rPr>
                <w:sz w:val="20"/>
              </w:rPr>
            </w:pPr>
          </w:p>
        </w:tc>
      </w:tr>
      <w:tr w:rsidR="002A51CA" w:rsidRPr="00C61187" w14:paraId="548242CA" w14:textId="77777777" w:rsidTr="00F651E4">
        <w:tc>
          <w:tcPr>
            <w:tcW w:w="6487" w:type="dxa"/>
          </w:tcPr>
          <w:p w14:paraId="017C5EAD" w14:textId="77777777" w:rsidR="002A51CA" w:rsidRPr="00BE6C6D" w:rsidRDefault="002A51CA" w:rsidP="009E7BB8">
            <w:pPr>
              <w:pStyle w:val="NormalIndented"/>
              <w:rPr>
                <w:sz w:val="20"/>
              </w:rPr>
            </w:pPr>
            <w:r w:rsidRPr="00BE6C6D">
              <w:rPr>
                <w:sz w:val="20"/>
              </w:rPr>
              <w:t>Objective 1</w:t>
            </w:r>
            <w:r w:rsidR="00E45162">
              <w:rPr>
                <w:sz w:val="20"/>
              </w:rPr>
              <w:t xml:space="preserve">: </w:t>
            </w:r>
            <w:r w:rsidR="00E45162">
              <w:t xml:space="preserve">Improving access to essential </w:t>
            </w:r>
            <w:r w:rsidR="00E45162" w:rsidRPr="00A83B44">
              <w:t>infrastructure</w:t>
            </w:r>
          </w:p>
        </w:tc>
        <w:tc>
          <w:tcPr>
            <w:tcW w:w="1043" w:type="dxa"/>
          </w:tcPr>
          <w:p w14:paraId="1B48BDEF" w14:textId="77777777" w:rsidR="002A51CA" w:rsidRPr="00BE6C6D" w:rsidRDefault="00E92891" w:rsidP="00EC3F50">
            <w:pPr>
              <w:pStyle w:val="NormalIndented"/>
              <w:jc w:val="center"/>
              <w:rPr>
                <w:sz w:val="20"/>
              </w:rPr>
            </w:pPr>
            <w:r>
              <w:rPr>
                <w:sz w:val="20"/>
              </w:rPr>
              <w:t>15.9</w:t>
            </w:r>
          </w:p>
        </w:tc>
        <w:tc>
          <w:tcPr>
            <w:tcW w:w="1525" w:type="dxa"/>
          </w:tcPr>
          <w:p w14:paraId="50AB3E4F" w14:textId="77777777" w:rsidR="002A51CA" w:rsidRPr="00BE6C6D" w:rsidRDefault="00EC3F50" w:rsidP="00EC3F50">
            <w:pPr>
              <w:pStyle w:val="NormalIndented"/>
              <w:jc w:val="center"/>
              <w:rPr>
                <w:sz w:val="20"/>
              </w:rPr>
            </w:pPr>
            <w:r>
              <w:rPr>
                <w:sz w:val="20"/>
              </w:rPr>
              <w:t>17.6</w:t>
            </w:r>
          </w:p>
        </w:tc>
      </w:tr>
      <w:tr w:rsidR="002A51CA" w:rsidRPr="00C61187" w14:paraId="0634104C" w14:textId="77777777" w:rsidTr="00F651E4">
        <w:tc>
          <w:tcPr>
            <w:tcW w:w="6487" w:type="dxa"/>
          </w:tcPr>
          <w:p w14:paraId="244918B3" w14:textId="77777777" w:rsidR="002A51CA" w:rsidRPr="00BE6C6D" w:rsidRDefault="002A51CA" w:rsidP="00F651E4">
            <w:pPr>
              <w:pStyle w:val="NormalIndented"/>
              <w:ind w:left="1276" w:hanging="992"/>
              <w:rPr>
                <w:sz w:val="20"/>
              </w:rPr>
            </w:pPr>
            <w:r w:rsidRPr="00BE6C6D">
              <w:rPr>
                <w:sz w:val="20"/>
              </w:rPr>
              <w:t>Objective 2</w:t>
            </w:r>
            <w:r w:rsidR="00E45162">
              <w:rPr>
                <w:sz w:val="20"/>
              </w:rPr>
              <w:t xml:space="preserve">: </w:t>
            </w:r>
            <w:r w:rsidR="00E45162">
              <w:t>Increasing agricultural productivity and farmer incomes</w:t>
            </w:r>
          </w:p>
        </w:tc>
        <w:tc>
          <w:tcPr>
            <w:tcW w:w="1043" w:type="dxa"/>
          </w:tcPr>
          <w:p w14:paraId="23455249" w14:textId="77777777" w:rsidR="002A51CA" w:rsidRPr="00BE6C6D" w:rsidRDefault="00E92891" w:rsidP="00EC3F50">
            <w:pPr>
              <w:pStyle w:val="NormalIndented"/>
              <w:jc w:val="center"/>
              <w:rPr>
                <w:sz w:val="20"/>
              </w:rPr>
            </w:pPr>
            <w:r>
              <w:rPr>
                <w:sz w:val="20"/>
              </w:rPr>
              <w:t>13.7</w:t>
            </w:r>
          </w:p>
        </w:tc>
        <w:tc>
          <w:tcPr>
            <w:tcW w:w="1525" w:type="dxa"/>
          </w:tcPr>
          <w:p w14:paraId="35728A65" w14:textId="77777777" w:rsidR="002A51CA" w:rsidRPr="00BE6C6D" w:rsidRDefault="00EC3F50" w:rsidP="00EC3F50">
            <w:pPr>
              <w:pStyle w:val="NormalIndented"/>
              <w:jc w:val="center"/>
              <w:rPr>
                <w:sz w:val="20"/>
              </w:rPr>
            </w:pPr>
            <w:r>
              <w:rPr>
                <w:sz w:val="20"/>
              </w:rPr>
              <w:t>15.2</w:t>
            </w:r>
          </w:p>
        </w:tc>
      </w:tr>
      <w:tr w:rsidR="002A51CA" w:rsidRPr="00C61187" w14:paraId="12CA1B9F" w14:textId="77777777" w:rsidTr="00F651E4">
        <w:tc>
          <w:tcPr>
            <w:tcW w:w="6487" w:type="dxa"/>
          </w:tcPr>
          <w:p w14:paraId="1661F1A7" w14:textId="77777777" w:rsidR="00E45162" w:rsidRPr="00E45162" w:rsidRDefault="002A51CA" w:rsidP="00003741">
            <w:pPr>
              <w:pStyle w:val="NormalIndented"/>
            </w:pPr>
            <w:r w:rsidRPr="00BE6C6D">
              <w:rPr>
                <w:sz w:val="20"/>
              </w:rPr>
              <w:t>Objective 3</w:t>
            </w:r>
            <w:r w:rsidR="00E45162">
              <w:rPr>
                <w:sz w:val="20"/>
              </w:rPr>
              <w:t xml:space="preserve">: </w:t>
            </w:r>
            <w:r w:rsidR="00E45162">
              <w:t>Better health and education outcomes</w:t>
            </w:r>
          </w:p>
        </w:tc>
        <w:tc>
          <w:tcPr>
            <w:tcW w:w="1043" w:type="dxa"/>
          </w:tcPr>
          <w:p w14:paraId="4680566E" w14:textId="77777777" w:rsidR="002A51CA" w:rsidRPr="00BE6C6D" w:rsidRDefault="00E92891" w:rsidP="00EC3F50">
            <w:pPr>
              <w:pStyle w:val="NormalIndented"/>
              <w:jc w:val="center"/>
              <w:rPr>
                <w:sz w:val="20"/>
              </w:rPr>
            </w:pPr>
            <w:r>
              <w:rPr>
                <w:sz w:val="20"/>
              </w:rPr>
              <w:t>15.4</w:t>
            </w:r>
          </w:p>
        </w:tc>
        <w:tc>
          <w:tcPr>
            <w:tcW w:w="1525" w:type="dxa"/>
          </w:tcPr>
          <w:p w14:paraId="44808DBB" w14:textId="77777777" w:rsidR="002A51CA" w:rsidRPr="00BE6C6D" w:rsidRDefault="00E92891" w:rsidP="00EC3F50">
            <w:pPr>
              <w:pStyle w:val="NormalIndented"/>
              <w:jc w:val="center"/>
              <w:rPr>
                <w:sz w:val="20"/>
              </w:rPr>
            </w:pPr>
            <w:r>
              <w:rPr>
                <w:sz w:val="20"/>
              </w:rPr>
              <w:t>17</w:t>
            </w:r>
            <w:r w:rsidR="00EC3F50">
              <w:rPr>
                <w:sz w:val="20"/>
              </w:rPr>
              <w:t>.1</w:t>
            </w:r>
          </w:p>
        </w:tc>
      </w:tr>
      <w:tr w:rsidR="00003741" w:rsidRPr="00C61187" w14:paraId="4EED0A3E" w14:textId="77777777" w:rsidTr="00F651E4">
        <w:tc>
          <w:tcPr>
            <w:tcW w:w="6487" w:type="dxa"/>
          </w:tcPr>
          <w:p w14:paraId="6E9270AF" w14:textId="77777777" w:rsidR="00003741" w:rsidRPr="00BE6C6D" w:rsidRDefault="00003741" w:rsidP="009E7BB8">
            <w:pPr>
              <w:pStyle w:val="NormalIndented"/>
              <w:rPr>
                <w:sz w:val="20"/>
              </w:rPr>
            </w:pPr>
            <w:r>
              <w:t>Others</w:t>
            </w:r>
            <w:r w:rsidRPr="00E45162">
              <w:t xml:space="preserve">: </w:t>
            </w:r>
            <w:r>
              <w:t>Inclusive participation and governance</w:t>
            </w:r>
          </w:p>
        </w:tc>
        <w:tc>
          <w:tcPr>
            <w:tcW w:w="1043" w:type="dxa"/>
          </w:tcPr>
          <w:p w14:paraId="02F9E62F" w14:textId="77777777" w:rsidR="00003741" w:rsidRDefault="00E92891" w:rsidP="00EC3F50">
            <w:pPr>
              <w:pStyle w:val="NormalIndented"/>
              <w:jc w:val="center"/>
              <w:rPr>
                <w:sz w:val="20"/>
              </w:rPr>
            </w:pPr>
            <w:r>
              <w:rPr>
                <w:sz w:val="20"/>
              </w:rPr>
              <w:t>17.4</w:t>
            </w:r>
          </w:p>
        </w:tc>
        <w:tc>
          <w:tcPr>
            <w:tcW w:w="1525" w:type="dxa"/>
          </w:tcPr>
          <w:p w14:paraId="48004F3F" w14:textId="77777777" w:rsidR="00003741" w:rsidRPr="00BE6C6D" w:rsidRDefault="00E92891" w:rsidP="00EC3F50">
            <w:pPr>
              <w:pStyle w:val="NormalIndented"/>
              <w:jc w:val="center"/>
              <w:rPr>
                <w:sz w:val="20"/>
              </w:rPr>
            </w:pPr>
            <w:r>
              <w:rPr>
                <w:sz w:val="20"/>
              </w:rPr>
              <w:t>19</w:t>
            </w:r>
            <w:r w:rsidR="00EC3F50">
              <w:rPr>
                <w:sz w:val="20"/>
              </w:rPr>
              <w:t>.3</w:t>
            </w:r>
          </w:p>
        </w:tc>
      </w:tr>
      <w:tr w:rsidR="002A51CA" w:rsidRPr="00C61187" w14:paraId="3598D64B" w14:textId="77777777" w:rsidTr="00F651E4">
        <w:tc>
          <w:tcPr>
            <w:tcW w:w="6487" w:type="dxa"/>
          </w:tcPr>
          <w:p w14:paraId="76AEBBA5" w14:textId="77777777" w:rsidR="002A51CA" w:rsidRPr="00AB5102" w:rsidRDefault="002A51CA" w:rsidP="009E7BB8">
            <w:pPr>
              <w:pStyle w:val="NormalIndented"/>
              <w:rPr>
                <w:b/>
                <w:sz w:val="20"/>
              </w:rPr>
            </w:pPr>
            <w:r w:rsidRPr="00AB5102">
              <w:rPr>
                <w:b/>
                <w:sz w:val="20"/>
              </w:rPr>
              <w:t>Sub-Total Bilateral</w:t>
            </w:r>
          </w:p>
        </w:tc>
        <w:tc>
          <w:tcPr>
            <w:tcW w:w="1043" w:type="dxa"/>
          </w:tcPr>
          <w:p w14:paraId="2861A1F4" w14:textId="77777777" w:rsidR="002A51CA" w:rsidRPr="00AB5102" w:rsidRDefault="00157834" w:rsidP="00EC3F50">
            <w:pPr>
              <w:pStyle w:val="NormalIndented"/>
              <w:jc w:val="center"/>
              <w:rPr>
                <w:b/>
                <w:sz w:val="20"/>
              </w:rPr>
            </w:pPr>
            <w:r w:rsidRPr="00AB5102">
              <w:rPr>
                <w:b/>
                <w:sz w:val="20"/>
              </w:rPr>
              <w:t>62.4</w:t>
            </w:r>
          </w:p>
        </w:tc>
        <w:tc>
          <w:tcPr>
            <w:tcW w:w="1525" w:type="dxa"/>
          </w:tcPr>
          <w:p w14:paraId="448ECE9A" w14:textId="77777777" w:rsidR="002A51CA" w:rsidRPr="00AB5102" w:rsidRDefault="00157834" w:rsidP="00EC3F50">
            <w:pPr>
              <w:pStyle w:val="NormalIndented"/>
              <w:jc w:val="center"/>
              <w:rPr>
                <w:b/>
                <w:sz w:val="20"/>
              </w:rPr>
            </w:pPr>
            <w:r w:rsidRPr="00AB5102">
              <w:rPr>
                <w:b/>
                <w:sz w:val="20"/>
              </w:rPr>
              <w:t>69</w:t>
            </w:r>
            <w:r w:rsidR="00EC3F50">
              <w:rPr>
                <w:b/>
                <w:sz w:val="20"/>
              </w:rPr>
              <w:t>.2</w:t>
            </w:r>
          </w:p>
        </w:tc>
      </w:tr>
      <w:tr w:rsidR="002A51CA" w:rsidRPr="00C61187" w14:paraId="73A1D0EF" w14:textId="77777777" w:rsidTr="00F651E4">
        <w:tc>
          <w:tcPr>
            <w:tcW w:w="6487" w:type="dxa"/>
          </w:tcPr>
          <w:p w14:paraId="4361C7BF" w14:textId="77777777" w:rsidR="002A51CA" w:rsidRPr="00BE6C6D" w:rsidRDefault="002A51CA" w:rsidP="009E7BB8">
            <w:pPr>
              <w:pStyle w:val="NormalIndented"/>
              <w:rPr>
                <w:sz w:val="20"/>
              </w:rPr>
            </w:pPr>
            <w:r w:rsidRPr="00BE6C6D">
              <w:rPr>
                <w:sz w:val="20"/>
              </w:rPr>
              <w:t>Regional and Global</w:t>
            </w:r>
          </w:p>
        </w:tc>
        <w:tc>
          <w:tcPr>
            <w:tcW w:w="1043" w:type="dxa"/>
          </w:tcPr>
          <w:p w14:paraId="1938D5B0" w14:textId="77777777" w:rsidR="002A51CA" w:rsidRPr="00BE6C6D" w:rsidRDefault="00157834" w:rsidP="00EC3F50">
            <w:pPr>
              <w:pStyle w:val="NormalIndented"/>
              <w:jc w:val="center"/>
              <w:rPr>
                <w:sz w:val="20"/>
              </w:rPr>
            </w:pPr>
            <w:r>
              <w:rPr>
                <w:sz w:val="20"/>
              </w:rPr>
              <w:t>25.4</w:t>
            </w:r>
          </w:p>
        </w:tc>
        <w:tc>
          <w:tcPr>
            <w:tcW w:w="1525" w:type="dxa"/>
          </w:tcPr>
          <w:p w14:paraId="346A789C" w14:textId="77777777" w:rsidR="002A51CA" w:rsidRPr="00BE6C6D" w:rsidRDefault="00EC3F50" w:rsidP="00EC3F50">
            <w:pPr>
              <w:pStyle w:val="NormalIndented"/>
              <w:jc w:val="center"/>
              <w:rPr>
                <w:sz w:val="20"/>
              </w:rPr>
            </w:pPr>
            <w:r>
              <w:rPr>
                <w:sz w:val="20"/>
              </w:rPr>
              <w:t>28.2</w:t>
            </w:r>
          </w:p>
        </w:tc>
      </w:tr>
      <w:tr w:rsidR="002A51CA" w:rsidRPr="00C61187" w14:paraId="60189FCA" w14:textId="77777777" w:rsidTr="00F651E4">
        <w:tc>
          <w:tcPr>
            <w:tcW w:w="6487" w:type="dxa"/>
          </w:tcPr>
          <w:p w14:paraId="21D95FFB" w14:textId="77777777" w:rsidR="002A51CA" w:rsidRPr="00BE6C6D" w:rsidRDefault="002A51CA" w:rsidP="009E7BB8">
            <w:pPr>
              <w:pStyle w:val="NormalIndented"/>
              <w:rPr>
                <w:sz w:val="20"/>
              </w:rPr>
            </w:pPr>
            <w:r w:rsidRPr="00BE6C6D">
              <w:rPr>
                <w:sz w:val="20"/>
              </w:rPr>
              <w:t>Other Government Departments</w:t>
            </w:r>
          </w:p>
        </w:tc>
        <w:tc>
          <w:tcPr>
            <w:tcW w:w="1043" w:type="dxa"/>
          </w:tcPr>
          <w:p w14:paraId="2B43DD1A" w14:textId="77777777" w:rsidR="002A51CA" w:rsidRPr="00BE6C6D" w:rsidRDefault="00157834" w:rsidP="00EC3F50">
            <w:pPr>
              <w:pStyle w:val="NormalIndented"/>
              <w:jc w:val="center"/>
              <w:rPr>
                <w:sz w:val="20"/>
              </w:rPr>
            </w:pPr>
            <w:r>
              <w:rPr>
                <w:sz w:val="20"/>
              </w:rPr>
              <w:t>2.3</w:t>
            </w:r>
          </w:p>
        </w:tc>
        <w:tc>
          <w:tcPr>
            <w:tcW w:w="1525" w:type="dxa"/>
          </w:tcPr>
          <w:p w14:paraId="6585FBC5" w14:textId="77777777" w:rsidR="002A51CA" w:rsidRPr="00BE6C6D" w:rsidRDefault="00EC3F50" w:rsidP="00EC3F50">
            <w:pPr>
              <w:pStyle w:val="NormalIndented"/>
              <w:jc w:val="center"/>
              <w:rPr>
                <w:sz w:val="20"/>
              </w:rPr>
            </w:pPr>
            <w:r>
              <w:rPr>
                <w:sz w:val="20"/>
              </w:rPr>
              <w:t xml:space="preserve">2.6 </w:t>
            </w:r>
          </w:p>
        </w:tc>
      </w:tr>
      <w:tr w:rsidR="002A51CA" w:rsidRPr="00C61187" w14:paraId="386F9736" w14:textId="77777777" w:rsidTr="00F651E4">
        <w:tc>
          <w:tcPr>
            <w:tcW w:w="6487" w:type="dxa"/>
          </w:tcPr>
          <w:p w14:paraId="2BB6DF73" w14:textId="77777777" w:rsidR="002A51CA" w:rsidRPr="00AB5102" w:rsidRDefault="002A51CA" w:rsidP="009E7BB8">
            <w:pPr>
              <w:pStyle w:val="NormalIndented"/>
              <w:rPr>
                <w:b/>
                <w:sz w:val="20"/>
              </w:rPr>
            </w:pPr>
            <w:r w:rsidRPr="00AB5102">
              <w:rPr>
                <w:b/>
                <w:sz w:val="20"/>
              </w:rPr>
              <w:t>Total ODA Expenditure</w:t>
            </w:r>
          </w:p>
        </w:tc>
        <w:tc>
          <w:tcPr>
            <w:tcW w:w="1043" w:type="dxa"/>
          </w:tcPr>
          <w:p w14:paraId="21A71B2B" w14:textId="77777777" w:rsidR="002A51CA" w:rsidRPr="00AB5102" w:rsidRDefault="00157834" w:rsidP="00EC3F50">
            <w:pPr>
              <w:pStyle w:val="NormalIndented"/>
              <w:jc w:val="center"/>
              <w:rPr>
                <w:b/>
                <w:sz w:val="20"/>
              </w:rPr>
            </w:pPr>
            <w:r w:rsidRPr="00AB5102">
              <w:rPr>
                <w:b/>
                <w:sz w:val="20"/>
              </w:rPr>
              <w:t>90.1</w:t>
            </w:r>
          </w:p>
        </w:tc>
        <w:tc>
          <w:tcPr>
            <w:tcW w:w="1525" w:type="dxa"/>
          </w:tcPr>
          <w:p w14:paraId="22C9F2AD" w14:textId="77777777" w:rsidR="002A51CA" w:rsidRPr="00AB5102" w:rsidRDefault="00157834" w:rsidP="00EC3F50">
            <w:pPr>
              <w:pStyle w:val="NormalIndented"/>
              <w:jc w:val="center"/>
              <w:rPr>
                <w:b/>
                <w:sz w:val="20"/>
              </w:rPr>
            </w:pPr>
            <w:r w:rsidRPr="00AB5102">
              <w:rPr>
                <w:b/>
                <w:sz w:val="20"/>
              </w:rPr>
              <w:t>100</w:t>
            </w:r>
          </w:p>
        </w:tc>
      </w:tr>
    </w:tbl>
    <w:p w14:paraId="2C08CD95" w14:textId="77777777"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Progress towards Objectives</w:t>
      </w:r>
      <w:r w:rsidRPr="002A51CA">
        <w:rPr>
          <w:rFonts w:asciiTheme="majorHAnsi" w:eastAsiaTheme="majorEastAsia" w:hAnsiTheme="majorHAnsi" w:cstheme="majorBidi"/>
          <w:caps/>
          <w:color w:val="495965" w:themeColor="text2"/>
          <w:sz w:val="38"/>
          <w:szCs w:val="26"/>
          <w:lang w:val="en-GB" w:eastAsia="en-US"/>
        </w:rPr>
        <w:tab/>
      </w:r>
    </w:p>
    <w:p w14:paraId="68C3943C" w14:textId="0FE2C989" w:rsidR="00F651E4" w:rsidRDefault="00A059AA" w:rsidP="00046724">
      <w:r>
        <w:t>P</w:t>
      </w:r>
      <w:r w:rsidR="00263107">
        <w:t>rogress was tracked using performance benchmarks and indicators in our Performance Assessment Framework (PAF)</w:t>
      </w:r>
      <w:r w:rsidR="00D535AB">
        <w:t xml:space="preserve"> in the new </w:t>
      </w:r>
      <w:r w:rsidR="00D535AB" w:rsidRPr="00FF62EB">
        <w:rPr>
          <w:i/>
        </w:rPr>
        <w:t>Cambodia Aid Investment Plan 2015</w:t>
      </w:r>
      <w:r w:rsidR="00D535AB" w:rsidRPr="00FF62EB">
        <w:rPr>
          <w:i/>
        </w:rPr>
        <w:noBreakHyphen/>
        <w:t>2018</w:t>
      </w:r>
      <w:r w:rsidR="00263107">
        <w:t xml:space="preserve">. </w:t>
      </w:r>
      <w:r w:rsidR="00EB22A9" w:rsidRPr="005F4B18">
        <w:t>Progress towards objectives in t</w:t>
      </w:r>
      <w:r w:rsidR="00EB22A9">
        <w:t>his first year has</w:t>
      </w:r>
      <w:r w:rsidR="00EB22A9" w:rsidRPr="005F4B18">
        <w:t xml:space="preserve"> been significant</w:t>
      </w:r>
      <w:r w:rsidR="00EB22A9">
        <w:t>. New phases</w:t>
      </w:r>
      <w:r w:rsidR="00EB22A9" w:rsidRPr="005F4B18">
        <w:t xml:space="preserve"> </w:t>
      </w:r>
      <w:r w:rsidR="00EB22A9">
        <w:t>and</w:t>
      </w:r>
      <w:r w:rsidR="00EB22A9" w:rsidRPr="005F4B18">
        <w:t xml:space="preserve"> successor projects</w:t>
      </w:r>
      <w:r w:rsidR="00EB22A9">
        <w:t xml:space="preserve"> in demining, agriculture and health were</w:t>
      </w:r>
      <w:r w:rsidR="00EB22A9" w:rsidRPr="005F4B18">
        <w:t xml:space="preserve"> launched</w:t>
      </w:r>
      <w:r w:rsidR="00EB22A9">
        <w:t xml:space="preserve"> while maintaining sound management of existing programs</w:t>
      </w:r>
      <w:r w:rsidR="008E4949">
        <w:t xml:space="preserve">. </w:t>
      </w:r>
      <w:r w:rsidR="0046036A">
        <w:t>Some positive p</w:t>
      </w:r>
      <w:r w:rsidR="00EA6960">
        <w:t xml:space="preserve">rogress </w:t>
      </w:r>
      <w:r w:rsidR="0046036A">
        <w:t>was made on our</w:t>
      </w:r>
      <w:r w:rsidR="00EA6960">
        <w:t xml:space="preserve"> </w:t>
      </w:r>
      <w:r w:rsidR="0046036A">
        <w:t>new private sector program,</w:t>
      </w:r>
      <w:r w:rsidR="00C94DBF">
        <w:t xml:space="preserve"> Investing in Infrastructure (3i)</w:t>
      </w:r>
      <w:r w:rsidR="00632721">
        <w:t xml:space="preserve">, </w:t>
      </w:r>
      <w:r w:rsidR="0046036A">
        <w:t xml:space="preserve">however </w:t>
      </w:r>
      <w:r w:rsidR="00303251">
        <w:t>changes to Cambodian electricity tariff polic</w:t>
      </w:r>
      <w:r w:rsidR="00843A5C">
        <w:t>y</w:t>
      </w:r>
      <w:r w:rsidR="00303251">
        <w:t xml:space="preserve"> and </w:t>
      </w:r>
      <w:r w:rsidR="00046724">
        <w:t>delays to agreement on</w:t>
      </w:r>
      <w:r w:rsidR="00843A5C">
        <w:t xml:space="preserve"> </w:t>
      </w:r>
      <w:r w:rsidR="00303251">
        <w:t>first-year project priorities</w:t>
      </w:r>
      <w:r w:rsidR="00843A5C">
        <w:t xml:space="preserve"> </w:t>
      </w:r>
      <w:r w:rsidR="00046724">
        <w:t xml:space="preserve">resulted in an overall amber rating. </w:t>
      </w:r>
    </w:p>
    <w:p w14:paraId="321AAA19" w14:textId="77777777" w:rsidR="002A51CA" w:rsidRPr="008C2F58" w:rsidRDefault="00F651E4" w:rsidP="002A51CA">
      <w:pPr>
        <w:rPr>
          <w:b/>
          <w:sz w:val="24"/>
        </w:rPr>
      </w:pPr>
      <w:r>
        <w:rPr>
          <w:b/>
          <w:sz w:val="24"/>
        </w:rPr>
        <w:t>T</w:t>
      </w:r>
      <w:r w:rsidR="002A51CA" w:rsidRPr="008C2F58">
        <w:rPr>
          <w:b/>
          <w:sz w:val="24"/>
        </w:rPr>
        <w:t xml:space="preserve">able </w:t>
      </w:r>
      <w:r w:rsidR="002D1721" w:rsidRPr="008C2F58">
        <w:rPr>
          <w:b/>
          <w:sz w:val="24"/>
        </w:rPr>
        <w:fldChar w:fldCharType="begin"/>
      </w:r>
      <w:r w:rsidR="002A51CA" w:rsidRPr="008C2F58">
        <w:rPr>
          <w:b/>
          <w:sz w:val="24"/>
        </w:rPr>
        <w:instrText xml:space="preserve"> SEQ Table \* ARABIC </w:instrText>
      </w:r>
      <w:r w:rsidR="002D1721" w:rsidRPr="008C2F58">
        <w:rPr>
          <w:b/>
          <w:sz w:val="24"/>
        </w:rPr>
        <w:fldChar w:fldCharType="separate"/>
      </w:r>
      <w:r w:rsidR="00BF3D74">
        <w:rPr>
          <w:b/>
          <w:noProof/>
          <w:sz w:val="24"/>
        </w:rPr>
        <w:t>2</w:t>
      </w:r>
      <w:r w:rsidR="002D1721" w:rsidRPr="008C2F58">
        <w:rPr>
          <w:b/>
          <w:noProof/>
          <w:sz w:val="24"/>
        </w:rPr>
        <w:fldChar w:fldCharType="end"/>
      </w:r>
      <w:r w:rsidR="002A51CA" w:rsidRPr="008C2F58">
        <w:rPr>
          <w:b/>
          <w:sz w:val="24"/>
        </w:rPr>
        <w:t xml:space="preserve"> Rating of the Program's Progress towards Australia’s Aid Objectives</w:t>
      </w:r>
    </w:p>
    <w:tbl>
      <w:tblPr>
        <w:tblStyle w:val="APPR"/>
        <w:tblW w:w="5000" w:type="pct"/>
        <w:tblLook w:val="0000" w:firstRow="0" w:lastRow="0" w:firstColumn="0" w:lastColumn="0" w:noHBand="0" w:noVBand="0"/>
        <w:tblCaption w:val="Table 2 Rating of the Program's progress towards Australia's Aid Objectives"/>
        <w:tblDescription w:val="Of the three objectives, their previous ratings according to last year's APPR were all Green (meaning their progress was as expected). This year's rating against the objectives was Green for Objective 2 and 3, and Amber for objective 1. Amber means progress is somewhat less than expected at this stage of implementation."/>
      </w:tblPr>
      <w:tblGrid>
        <w:gridCol w:w="6864"/>
        <w:gridCol w:w="1330"/>
        <w:gridCol w:w="467"/>
        <w:gridCol w:w="1249"/>
      </w:tblGrid>
      <w:tr w:rsidR="002A51CA" w:rsidRPr="00C61187" w14:paraId="0B2C2FDB" w14:textId="77777777">
        <w:trPr>
          <w:cnfStyle w:val="000000010000" w:firstRow="0" w:lastRow="0" w:firstColumn="0" w:lastColumn="0" w:oddVBand="0" w:evenVBand="0" w:oddHBand="0" w:evenHBand="1" w:firstRowFirstColumn="0" w:firstRowLastColumn="0" w:lastRowFirstColumn="0" w:lastRowLastColumn="0"/>
          <w:trHeight w:val="651"/>
        </w:trPr>
        <w:tc>
          <w:tcPr>
            <w:tcW w:w="6822" w:type="dxa"/>
          </w:tcPr>
          <w:p w14:paraId="43FC54ED" w14:textId="77777777" w:rsidR="002A51CA" w:rsidRPr="007D61D0" w:rsidRDefault="002A51CA" w:rsidP="00BE6C6D">
            <w:pPr>
              <w:pStyle w:val="NormalIndented"/>
              <w:rPr>
                <w:b/>
                <w:sz w:val="18"/>
                <w:lang w:eastAsia="en-US"/>
              </w:rPr>
            </w:pPr>
            <w:r w:rsidRPr="007D61D0">
              <w:rPr>
                <w:b/>
                <w:noProof/>
                <w:sz w:val="18"/>
                <w:lang w:val="en-AU"/>
              </w:rPr>
              <w:drawing>
                <wp:anchor distT="0" distB="0" distL="114300" distR="114300" simplePos="0" relativeHeight="251674624" behindDoc="0" locked="0" layoutInCell="1" allowOverlap="1" wp14:anchorId="599EFE08" wp14:editId="4384651A">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7D61D0">
              <w:rPr>
                <w:b/>
                <w:sz w:val="18"/>
                <w:lang w:eastAsia="en-US"/>
              </w:rPr>
              <w:t>Objective</w:t>
            </w:r>
          </w:p>
        </w:tc>
        <w:tc>
          <w:tcPr>
            <w:tcW w:w="1302" w:type="dxa"/>
          </w:tcPr>
          <w:p w14:paraId="4252EBC1" w14:textId="77777777" w:rsidR="002A51CA" w:rsidRPr="007D61D0" w:rsidRDefault="002A51CA" w:rsidP="00BE6C6D">
            <w:pPr>
              <w:pStyle w:val="NormalIndented"/>
              <w:rPr>
                <w:b/>
                <w:sz w:val="18"/>
                <w:lang w:eastAsia="en-US"/>
              </w:rPr>
            </w:pPr>
            <w:r w:rsidRPr="007D61D0">
              <w:rPr>
                <w:b/>
                <w:sz w:val="18"/>
                <w:lang w:eastAsia="en-US"/>
              </w:rPr>
              <w:t>Previous Rating</w:t>
            </w:r>
            <w:r w:rsidR="00135E3F">
              <w:rPr>
                <w:rStyle w:val="FootnoteReference"/>
                <w:b/>
                <w:sz w:val="18"/>
                <w:lang w:eastAsia="en-US"/>
              </w:rPr>
              <w:footnoteReference w:id="11"/>
            </w:r>
          </w:p>
        </w:tc>
        <w:tc>
          <w:tcPr>
            <w:tcW w:w="439" w:type="dxa"/>
          </w:tcPr>
          <w:p w14:paraId="022B14EC" w14:textId="77777777" w:rsidR="002A51CA" w:rsidRPr="007D61D0" w:rsidRDefault="002A51CA" w:rsidP="00BE6C6D">
            <w:pPr>
              <w:pStyle w:val="NormalIndented"/>
              <w:rPr>
                <w:b/>
                <w:sz w:val="18"/>
                <w:lang w:eastAsia="en-US"/>
              </w:rPr>
            </w:pPr>
          </w:p>
        </w:tc>
        <w:tc>
          <w:tcPr>
            <w:tcW w:w="1207" w:type="dxa"/>
          </w:tcPr>
          <w:p w14:paraId="49CE51FD" w14:textId="77777777" w:rsidR="002A51CA" w:rsidRPr="007D61D0" w:rsidRDefault="002A51CA" w:rsidP="00BE6C6D">
            <w:pPr>
              <w:pStyle w:val="NormalIndented"/>
              <w:rPr>
                <w:b/>
                <w:sz w:val="18"/>
                <w:lang w:eastAsia="en-US"/>
              </w:rPr>
            </w:pPr>
            <w:r w:rsidRPr="007D61D0">
              <w:rPr>
                <w:b/>
                <w:sz w:val="18"/>
                <w:lang w:eastAsia="en-US"/>
              </w:rPr>
              <w:t>Current Rating</w:t>
            </w:r>
          </w:p>
        </w:tc>
      </w:tr>
      <w:tr w:rsidR="009A19FF" w:rsidRPr="00C61187" w14:paraId="19A93A29" w14:textId="77777777" w:rsidTr="00A059AA">
        <w:trPr>
          <w:cnfStyle w:val="000000010000" w:firstRow="0" w:lastRow="0" w:firstColumn="0" w:lastColumn="0" w:oddVBand="0" w:evenVBand="0" w:oddHBand="0" w:evenHBand="1" w:firstRowFirstColumn="0" w:firstRowLastColumn="0" w:lastRowFirstColumn="0" w:lastRowLastColumn="0"/>
        </w:trPr>
        <w:tc>
          <w:tcPr>
            <w:tcW w:w="6822" w:type="dxa"/>
          </w:tcPr>
          <w:p w14:paraId="39349FFA" w14:textId="77777777" w:rsidR="009A19FF" w:rsidRPr="00BE6C6D" w:rsidRDefault="009A19FF" w:rsidP="00BE6C6D">
            <w:pPr>
              <w:pStyle w:val="NormalIndented"/>
              <w:rPr>
                <w:sz w:val="16"/>
                <w:lang w:eastAsia="en-US"/>
              </w:rPr>
            </w:pPr>
            <w:r w:rsidRPr="00BE6C6D">
              <w:rPr>
                <w:sz w:val="16"/>
                <w:lang w:eastAsia="en-US"/>
              </w:rPr>
              <w:t>Objective 1</w:t>
            </w:r>
            <w:r>
              <w:rPr>
                <w:sz w:val="16"/>
                <w:lang w:eastAsia="en-US"/>
              </w:rPr>
              <w:t xml:space="preserve">: </w:t>
            </w:r>
            <w:r>
              <w:t xml:space="preserve">Improving access to essential </w:t>
            </w:r>
            <w:r w:rsidRPr="00A83B44">
              <w:t>infrastructure</w:t>
            </w:r>
          </w:p>
        </w:tc>
        <w:tc>
          <w:tcPr>
            <w:tcW w:w="1302" w:type="dxa"/>
            <w:shd w:val="clear" w:color="auto" w:fill="44B259"/>
            <w:noWrap/>
          </w:tcPr>
          <w:p w14:paraId="32EA153C" w14:textId="77777777" w:rsidR="009A19FF" w:rsidRPr="00BE6C6D" w:rsidRDefault="009A19FF" w:rsidP="006870D6">
            <w:pPr>
              <w:pStyle w:val="NormalIndented"/>
              <w:rPr>
                <w:color w:val="FFFFFF" w:themeColor="background1"/>
                <w:sz w:val="16"/>
                <w:lang w:eastAsia="en-US"/>
              </w:rPr>
            </w:pPr>
            <w:r>
              <w:rPr>
                <w:color w:val="FFFFFF" w:themeColor="background1"/>
                <w:sz w:val="16"/>
                <w:lang w:eastAsia="en-US"/>
              </w:rPr>
              <w:t>Green</w:t>
            </w:r>
          </w:p>
        </w:tc>
        <w:tc>
          <w:tcPr>
            <w:tcW w:w="439" w:type="dxa"/>
          </w:tcPr>
          <w:p w14:paraId="593D6959" w14:textId="77777777" w:rsidR="009A19FF" w:rsidRPr="00BE6C6D" w:rsidRDefault="009A19FF" w:rsidP="00BE6C6D">
            <w:pPr>
              <w:pStyle w:val="NormalIndented"/>
              <w:rPr>
                <w:color w:val="FFFFFF" w:themeColor="background1"/>
                <w:sz w:val="16"/>
                <w:lang w:eastAsia="en-US"/>
              </w:rPr>
            </w:pPr>
          </w:p>
        </w:tc>
        <w:tc>
          <w:tcPr>
            <w:tcW w:w="1207" w:type="dxa"/>
            <w:shd w:val="clear" w:color="auto" w:fill="FF9933"/>
            <w:noWrap/>
          </w:tcPr>
          <w:p w14:paraId="23FF7145" w14:textId="77777777" w:rsidR="009A19FF" w:rsidRPr="00BE6C6D" w:rsidRDefault="009A19FF" w:rsidP="00BE6C6D">
            <w:pPr>
              <w:pStyle w:val="NormalIndented"/>
              <w:rPr>
                <w:color w:val="FFFFFF" w:themeColor="background1"/>
                <w:sz w:val="16"/>
                <w:lang w:eastAsia="en-US"/>
              </w:rPr>
            </w:pPr>
            <w:r w:rsidRPr="00BE6C6D">
              <w:rPr>
                <w:color w:val="FFFFFF" w:themeColor="background1"/>
                <w:sz w:val="16"/>
                <w:lang w:eastAsia="en-US"/>
              </w:rPr>
              <w:t>Amber</w:t>
            </w:r>
          </w:p>
        </w:tc>
      </w:tr>
      <w:tr w:rsidR="002A51CA" w:rsidRPr="00C61187" w14:paraId="40379377" w14:textId="77777777">
        <w:trPr>
          <w:cnfStyle w:val="000000010000" w:firstRow="0" w:lastRow="0" w:firstColumn="0" w:lastColumn="0" w:oddVBand="0" w:evenVBand="0" w:oddHBand="0" w:evenHBand="1" w:firstRowFirstColumn="0" w:firstRowLastColumn="0" w:lastRowFirstColumn="0" w:lastRowLastColumn="0"/>
        </w:trPr>
        <w:tc>
          <w:tcPr>
            <w:tcW w:w="6822" w:type="dxa"/>
          </w:tcPr>
          <w:p w14:paraId="0C29056C" w14:textId="77777777" w:rsidR="002A51CA" w:rsidRPr="00BE6C6D" w:rsidRDefault="002A51CA" w:rsidP="00BE6C6D">
            <w:pPr>
              <w:pStyle w:val="NormalIndented"/>
              <w:rPr>
                <w:sz w:val="16"/>
                <w:lang w:eastAsia="en-US"/>
              </w:rPr>
            </w:pPr>
            <w:r w:rsidRPr="00BE6C6D">
              <w:rPr>
                <w:sz w:val="16"/>
                <w:lang w:eastAsia="en-US"/>
              </w:rPr>
              <w:t>Objective 2</w:t>
            </w:r>
            <w:r w:rsidR="00234B00">
              <w:rPr>
                <w:sz w:val="16"/>
                <w:lang w:eastAsia="en-US"/>
              </w:rPr>
              <w:t xml:space="preserve">: </w:t>
            </w:r>
            <w:r w:rsidR="00234B00">
              <w:t>Increasing agricultural productivity and farmer incomes</w:t>
            </w:r>
            <w:r w:rsidR="00234B00">
              <w:rPr>
                <w:sz w:val="16"/>
                <w:lang w:eastAsia="en-US"/>
              </w:rPr>
              <w:t xml:space="preserve"> </w:t>
            </w:r>
          </w:p>
        </w:tc>
        <w:tc>
          <w:tcPr>
            <w:tcW w:w="1302" w:type="dxa"/>
            <w:shd w:val="clear" w:color="auto" w:fill="2BA537"/>
            <w:noWrap/>
          </w:tcPr>
          <w:p w14:paraId="1CC1C180" w14:textId="77777777" w:rsidR="002A51CA" w:rsidRPr="00BE6C6D" w:rsidRDefault="00234B00" w:rsidP="00BE6C6D">
            <w:pPr>
              <w:pStyle w:val="NormalIndented"/>
              <w:rPr>
                <w:color w:val="FFFFFF" w:themeColor="background1"/>
                <w:sz w:val="16"/>
                <w:lang w:eastAsia="en-US"/>
              </w:rPr>
            </w:pPr>
            <w:r>
              <w:rPr>
                <w:color w:val="FFFFFF" w:themeColor="background1"/>
                <w:sz w:val="16"/>
                <w:lang w:eastAsia="en-US"/>
              </w:rPr>
              <w:t>Green</w:t>
            </w:r>
          </w:p>
        </w:tc>
        <w:tc>
          <w:tcPr>
            <w:tcW w:w="439" w:type="dxa"/>
          </w:tcPr>
          <w:p w14:paraId="502906FE" w14:textId="77777777" w:rsidR="002A51CA" w:rsidRPr="00BE6C6D" w:rsidRDefault="002A51CA" w:rsidP="00BE6C6D">
            <w:pPr>
              <w:pStyle w:val="NormalIndented"/>
              <w:rPr>
                <w:color w:val="FFFFFF" w:themeColor="background1"/>
                <w:sz w:val="16"/>
                <w:lang w:eastAsia="en-US"/>
              </w:rPr>
            </w:pPr>
          </w:p>
        </w:tc>
        <w:tc>
          <w:tcPr>
            <w:tcW w:w="1207" w:type="dxa"/>
            <w:shd w:val="clear" w:color="auto" w:fill="2BA537"/>
            <w:noWrap/>
          </w:tcPr>
          <w:p w14:paraId="50FE20A7" w14:textId="77777777" w:rsidR="002A51CA" w:rsidRPr="00BE6C6D" w:rsidRDefault="002A51CA" w:rsidP="00BE6C6D">
            <w:pPr>
              <w:pStyle w:val="NormalIndented"/>
              <w:rPr>
                <w:color w:val="FFFFFF" w:themeColor="background1"/>
                <w:sz w:val="16"/>
                <w:lang w:eastAsia="en-US"/>
              </w:rPr>
            </w:pPr>
            <w:r w:rsidRPr="00BE6C6D">
              <w:rPr>
                <w:color w:val="FFFFFF" w:themeColor="background1"/>
                <w:sz w:val="16"/>
                <w:lang w:eastAsia="en-US"/>
              </w:rPr>
              <w:t>Green</w:t>
            </w:r>
          </w:p>
        </w:tc>
      </w:tr>
      <w:tr w:rsidR="002A51CA" w:rsidRPr="00C61187" w14:paraId="7A8984AF" w14:textId="77777777">
        <w:trPr>
          <w:cnfStyle w:val="000000010000" w:firstRow="0" w:lastRow="0" w:firstColumn="0" w:lastColumn="0" w:oddVBand="0" w:evenVBand="0" w:oddHBand="0" w:evenHBand="1" w:firstRowFirstColumn="0" w:firstRowLastColumn="0" w:lastRowFirstColumn="0" w:lastRowLastColumn="0"/>
        </w:trPr>
        <w:tc>
          <w:tcPr>
            <w:tcW w:w="6822" w:type="dxa"/>
          </w:tcPr>
          <w:p w14:paraId="2F210C2E" w14:textId="77777777" w:rsidR="002A51CA" w:rsidRPr="00BE6C6D" w:rsidRDefault="002A51CA" w:rsidP="00BE6C6D">
            <w:pPr>
              <w:pStyle w:val="NormalIndented"/>
              <w:rPr>
                <w:sz w:val="16"/>
                <w:lang w:eastAsia="en-US"/>
              </w:rPr>
            </w:pPr>
            <w:r w:rsidRPr="00BE6C6D">
              <w:rPr>
                <w:sz w:val="16"/>
                <w:lang w:eastAsia="en-US"/>
              </w:rPr>
              <w:t>Objective 3</w:t>
            </w:r>
            <w:r w:rsidR="00234B00">
              <w:rPr>
                <w:sz w:val="16"/>
                <w:lang w:eastAsia="en-US"/>
              </w:rPr>
              <w:t xml:space="preserve">: </w:t>
            </w:r>
            <w:r w:rsidR="00234B00">
              <w:t>Better health and education outcomes</w:t>
            </w:r>
          </w:p>
        </w:tc>
        <w:tc>
          <w:tcPr>
            <w:tcW w:w="1302" w:type="dxa"/>
            <w:shd w:val="clear" w:color="auto" w:fill="2BA537"/>
            <w:noWrap/>
          </w:tcPr>
          <w:p w14:paraId="21DD1349" w14:textId="77777777" w:rsidR="002A51CA" w:rsidRPr="00BE6C6D" w:rsidRDefault="00234B00" w:rsidP="00BE6C6D">
            <w:pPr>
              <w:pStyle w:val="NormalIndented"/>
              <w:ind w:left="2"/>
              <w:jc w:val="center"/>
              <w:rPr>
                <w:color w:val="FFFFFF" w:themeColor="background1"/>
                <w:sz w:val="16"/>
                <w:lang w:eastAsia="en-US"/>
              </w:rPr>
            </w:pPr>
            <w:r w:rsidRPr="00234B00">
              <w:rPr>
                <w:color w:val="FFFFFF" w:themeColor="background1"/>
                <w:sz w:val="16"/>
                <w:lang w:eastAsia="en-US"/>
              </w:rPr>
              <w:t>Green</w:t>
            </w:r>
          </w:p>
        </w:tc>
        <w:tc>
          <w:tcPr>
            <w:tcW w:w="439" w:type="dxa"/>
          </w:tcPr>
          <w:p w14:paraId="39399171" w14:textId="77777777" w:rsidR="002A51CA" w:rsidRPr="00BE6C6D" w:rsidRDefault="002A51CA" w:rsidP="00BE6C6D">
            <w:pPr>
              <w:pStyle w:val="NormalIndented"/>
              <w:rPr>
                <w:color w:val="FFFFFF" w:themeColor="background1"/>
                <w:sz w:val="16"/>
                <w:lang w:eastAsia="en-US"/>
              </w:rPr>
            </w:pPr>
          </w:p>
        </w:tc>
        <w:tc>
          <w:tcPr>
            <w:tcW w:w="1207" w:type="dxa"/>
            <w:shd w:val="clear" w:color="auto" w:fill="2BA537"/>
            <w:noWrap/>
          </w:tcPr>
          <w:p w14:paraId="708D5F2F" w14:textId="77777777" w:rsidR="002A51CA" w:rsidRPr="00BE6C6D" w:rsidRDefault="00234B00" w:rsidP="00BE6C6D">
            <w:pPr>
              <w:pStyle w:val="NormalIndented"/>
              <w:rPr>
                <w:color w:val="FFFFFF" w:themeColor="background1"/>
                <w:sz w:val="16"/>
                <w:lang w:eastAsia="en-US"/>
              </w:rPr>
            </w:pPr>
            <w:r>
              <w:rPr>
                <w:color w:val="FFFFFF" w:themeColor="background1"/>
                <w:sz w:val="16"/>
                <w:lang w:eastAsia="en-US"/>
              </w:rPr>
              <w:t>Green</w:t>
            </w:r>
          </w:p>
        </w:tc>
      </w:tr>
    </w:tbl>
    <w:p w14:paraId="08B41C19" w14:textId="77777777" w:rsidR="002A51CA" w:rsidRPr="00BE6C6D" w:rsidRDefault="002A51CA" w:rsidP="004F171D">
      <w:pPr>
        <w:spacing w:before="0"/>
        <w:rPr>
          <w:sz w:val="18"/>
        </w:rPr>
      </w:pPr>
      <w:r w:rsidRPr="00BE6C6D">
        <w:rPr>
          <w:sz w:val="18"/>
        </w:rPr>
        <w:t xml:space="preserve">Note: </w:t>
      </w:r>
    </w:p>
    <w:p w14:paraId="00A69B91" w14:textId="77777777" w:rsidR="002A51CA" w:rsidRPr="00BE6C6D" w:rsidRDefault="002A51CA" w:rsidP="004F171D">
      <w:pPr>
        <w:pStyle w:val="NormalIndented"/>
        <w:spacing w:before="0" w:after="0"/>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14:paraId="12AAAACC" w14:textId="77777777" w:rsidR="002A51CA" w:rsidRPr="00BE6C6D" w:rsidRDefault="002A51CA" w:rsidP="004F171D">
      <w:pPr>
        <w:pStyle w:val="NormalIndented"/>
        <w:spacing w:before="0" w:after="0"/>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14:paraId="38671287" w14:textId="77777777" w:rsidR="009903F3" w:rsidRPr="00D476E1" w:rsidRDefault="002A51CA" w:rsidP="004F171D">
      <w:pPr>
        <w:pStyle w:val="NormalIndented"/>
        <w:spacing w:before="0"/>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tbl>
      <w:tblPr>
        <w:tblStyle w:val="APPR"/>
        <w:tblW w:w="5000" w:type="pct"/>
        <w:tblLook w:val="01E0" w:firstRow="1" w:lastRow="1" w:firstColumn="1" w:lastColumn="1" w:noHBand="0" w:noVBand="0"/>
      </w:tblPr>
      <w:tblGrid>
        <w:gridCol w:w="7942"/>
        <w:gridCol w:w="1968"/>
      </w:tblGrid>
      <w:tr w:rsidR="007D61D0" w:rsidRPr="007D61D0" w14:paraId="377C5D6B" w14:textId="77777777" w:rsidTr="00046724">
        <w:trPr>
          <w:cnfStyle w:val="100000000000" w:firstRow="1" w:lastRow="0" w:firstColumn="0" w:lastColumn="0" w:oddVBand="0" w:evenVBand="0" w:oddHBand="0" w:evenHBand="0" w:firstRowFirstColumn="0" w:firstRowLastColumn="0" w:lastRowFirstColumn="0" w:lastRowLastColumn="0"/>
        </w:trPr>
        <w:tc>
          <w:tcPr>
            <w:tcW w:w="3986" w:type="pct"/>
          </w:tcPr>
          <w:p w14:paraId="653E8FC8" w14:textId="77777777" w:rsidR="007D61D0" w:rsidRPr="007D61D0" w:rsidRDefault="00EA6960" w:rsidP="00A37EE4">
            <w:pPr>
              <w:pStyle w:val="Heading1smallspaceafter"/>
              <w:spacing w:after="0"/>
              <w:rPr>
                <w:b/>
                <w:lang w:eastAsia="en-US"/>
              </w:rPr>
            </w:pPr>
            <w:r w:rsidRPr="007D61D0">
              <w:rPr>
                <w:lang w:eastAsia="en-US"/>
              </w:rPr>
              <w:lastRenderedPageBreak/>
              <w:t>Objective 1: Improving access to essential infrastructure</w:t>
            </w:r>
          </w:p>
        </w:tc>
        <w:tc>
          <w:tcPr>
            <w:tcW w:w="972" w:type="pct"/>
            <w:shd w:val="clear" w:color="auto" w:fill="FF9933"/>
          </w:tcPr>
          <w:p w14:paraId="2C1EDFCC" w14:textId="77777777" w:rsidR="007D61D0" w:rsidRPr="007D61D0" w:rsidRDefault="009129D3" w:rsidP="00003741">
            <w:pPr>
              <w:pStyle w:val="TableTextEntries"/>
              <w:jc w:val="center"/>
              <w:rPr>
                <w:rFonts w:eastAsia="Calibri"/>
                <w:b w:val="0"/>
                <w:sz w:val="24"/>
                <w:szCs w:val="24"/>
              </w:rPr>
            </w:pPr>
            <w:r>
              <w:rPr>
                <w:rFonts w:eastAsia="Calibri"/>
                <w:b w:val="0"/>
                <w:sz w:val="24"/>
                <w:szCs w:val="24"/>
              </w:rPr>
              <w:t>Amber</w:t>
            </w:r>
          </w:p>
        </w:tc>
      </w:tr>
    </w:tbl>
    <w:p w14:paraId="39189036" w14:textId="77777777" w:rsidR="00B1727E" w:rsidRDefault="00D535AB" w:rsidP="00AA6769">
      <w:pPr>
        <w:spacing w:after="120"/>
      </w:pPr>
      <w:r>
        <w:t xml:space="preserve">This </w:t>
      </w:r>
      <w:r w:rsidRPr="00046724">
        <w:rPr>
          <w:b/>
        </w:rPr>
        <w:t>objective is rated amber</w:t>
      </w:r>
      <w:r>
        <w:t xml:space="preserve"> as overall p</w:t>
      </w:r>
      <w:r w:rsidR="00EA6960">
        <w:t>ro</w:t>
      </w:r>
      <w:r w:rsidR="00B1727E">
        <w:t xml:space="preserve">gress was </w:t>
      </w:r>
      <w:r w:rsidR="00B16F8C">
        <w:t>varied</w:t>
      </w:r>
      <w:r w:rsidR="00F5219E">
        <w:t xml:space="preserve">. </w:t>
      </w:r>
      <w:r>
        <w:t>G</w:t>
      </w:r>
      <w:r w:rsidR="00F5219E">
        <w:t xml:space="preserve">ood progress was made on </w:t>
      </w:r>
      <w:r w:rsidR="00837E91">
        <w:t xml:space="preserve">three out of four projects, </w:t>
      </w:r>
      <w:r>
        <w:t xml:space="preserve">but progress was </w:t>
      </w:r>
      <w:r w:rsidR="00F5219E">
        <w:t xml:space="preserve">slower than expected on </w:t>
      </w:r>
      <w:r w:rsidR="00837E91">
        <w:t xml:space="preserve">our new </w:t>
      </w:r>
      <w:r w:rsidR="00F5219E">
        <w:t>Investing in Infrastructure (3i)</w:t>
      </w:r>
      <w:r w:rsidR="00837E91">
        <w:t xml:space="preserve"> project</w:t>
      </w:r>
      <w:r>
        <w:t>.</w:t>
      </w:r>
      <w:r w:rsidR="00B16F8C">
        <w:t xml:space="preserve"> </w:t>
      </w:r>
    </w:p>
    <w:p w14:paraId="7E614640" w14:textId="2FD1B949" w:rsidR="000C1DEC" w:rsidRDefault="00837E91" w:rsidP="00AA6769">
      <w:pPr>
        <w:spacing w:after="120"/>
      </w:pPr>
      <w:r w:rsidRPr="006A4469">
        <w:t>Four</w:t>
      </w:r>
      <w:r w:rsidR="00B1727E" w:rsidRPr="006A4469">
        <w:t xml:space="preserve"> investments contribute to this objective: Inves</w:t>
      </w:r>
      <w:r w:rsidR="00487D0E" w:rsidRPr="006A4469">
        <w:t>ting in Infrastructure (3i) (</w:t>
      </w:r>
      <w:r w:rsidR="00053CEE" w:rsidRPr="006A4469">
        <w:t>AUD</w:t>
      </w:r>
      <w:r w:rsidR="006A4469" w:rsidRPr="006A4469">
        <w:t xml:space="preserve">45.4 million, </w:t>
      </w:r>
      <w:r w:rsidR="00B1727E" w:rsidRPr="006A4469">
        <w:t>20</w:t>
      </w:r>
      <w:r w:rsidR="006A4469" w:rsidRPr="006A4469">
        <w:t>15</w:t>
      </w:r>
      <w:r w:rsidR="00053CEE" w:rsidRPr="006A4469">
        <w:noBreakHyphen/>
      </w:r>
      <w:r w:rsidR="006A4469" w:rsidRPr="006A4469">
        <w:t>21</w:t>
      </w:r>
      <w:r w:rsidR="00B1727E" w:rsidRPr="006A4469">
        <w:t>)</w:t>
      </w:r>
      <w:r w:rsidR="00053CEE" w:rsidRPr="006A4469">
        <w:t xml:space="preserve"> </w:t>
      </w:r>
      <w:r w:rsidR="00B1727E" w:rsidRPr="006A4469">
        <w:t xml:space="preserve">implemented by a </w:t>
      </w:r>
      <w:r w:rsidR="00632721" w:rsidRPr="006A4469">
        <w:t xml:space="preserve">managing contractor </w:t>
      </w:r>
      <w:r w:rsidR="00B1727E" w:rsidRPr="006A4469">
        <w:t>in close collaboration with Cambodian Government ministries</w:t>
      </w:r>
      <w:r w:rsidR="00115F59" w:rsidRPr="006A4469">
        <w:rPr>
          <w:rStyle w:val="FootnoteReference"/>
        </w:rPr>
        <w:footnoteReference w:id="12"/>
      </w:r>
      <w:r w:rsidR="00D535AB">
        <w:t>,</w:t>
      </w:r>
      <w:r w:rsidR="00DF67DD">
        <w:t xml:space="preserve"> </w:t>
      </w:r>
      <w:r w:rsidR="009009FA" w:rsidRPr="006A4469">
        <w:t>and</w:t>
      </w:r>
      <w:r w:rsidR="00D535AB">
        <w:t>;</w:t>
      </w:r>
      <w:r w:rsidR="009009FA" w:rsidRPr="006A4469">
        <w:t xml:space="preserve"> </w:t>
      </w:r>
      <w:r w:rsidR="00B1727E" w:rsidRPr="006A4469">
        <w:t>three A</w:t>
      </w:r>
      <w:r w:rsidR="00D535AB">
        <w:t xml:space="preserve">sia </w:t>
      </w:r>
      <w:r w:rsidR="00B1727E" w:rsidRPr="006A4469">
        <w:t>D</w:t>
      </w:r>
      <w:r w:rsidR="00D535AB">
        <w:t xml:space="preserve">evelopment </w:t>
      </w:r>
      <w:r w:rsidR="00B1727E" w:rsidRPr="006A4469">
        <w:t>B</w:t>
      </w:r>
      <w:r w:rsidR="00D535AB">
        <w:t>ank</w:t>
      </w:r>
      <w:r w:rsidR="00B1727E" w:rsidRPr="006A4469">
        <w:t xml:space="preserve">-led projects - the Rural Roads Improvement Program Phase </w:t>
      </w:r>
      <w:r w:rsidR="00EB7DC2">
        <w:t>2</w:t>
      </w:r>
      <w:r w:rsidR="00B1727E" w:rsidRPr="006A4469">
        <w:t xml:space="preserve"> (</w:t>
      </w:r>
      <w:r w:rsidR="00053CEE" w:rsidRPr="006A4469">
        <w:t>AUD</w:t>
      </w:r>
      <w:r w:rsidR="00AF5F99">
        <w:t>22.6</w:t>
      </w:r>
      <w:r w:rsidR="00DF67DD">
        <w:t xml:space="preserve"> </w:t>
      </w:r>
      <w:r w:rsidR="006A4469" w:rsidRPr="006A4469">
        <w:t>million, 2015-20)</w:t>
      </w:r>
      <w:r w:rsidR="00B1727E" w:rsidRPr="006A4469">
        <w:t>, the Flood Damage Emergency Reconstruction Project (</w:t>
      </w:r>
      <w:r w:rsidR="00053CEE" w:rsidRPr="006A4469">
        <w:t>AUD</w:t>
      </w:r>
      <w:r w:rsidR="006A4469" w:rsidRPr="006A4469">
        <w:t>1</w:t>
      </w:r>
      <w:r w:rsidR="00DA0B61">
        <w:t>2</w:t>
      </w:r>
      <w:r w:rsidR="006A4469" w:rsidRPr="006A4469">
        <w:t>.6</w:t>
      </w:r>
      <w:r w:rsidR="00B1727E" w:rsidRPr="006A4469">
        <w:t xml:space="preserve"> million</w:t>
      </w:r>
      <w:r w:rsidR="006A4469" w:rsidRPr="006A4469">
        <w:t>, 2012-17</w:t>
      </w:r>
      <w:r w:rsidR="00B1727E" w:rsidRPr="006A4469">
        <w:t>) and Rural Energy Project (</w:t>
      </w:r>
      <w:r w:rsidR="00053CEE" w:rsidRPr="006A4469">
        <w:t>AUD</w:t>
      </w:r>
      <w:r w:rsidR="006A4469" w:rsidRPr="006A4469">
        <w:t>7.8</w:t>
      </w:r>
      <w:r w:rsidR="00B1727E" w:rsidRPr="006A4469">
        <w:t xml:space="preserve"> million</w:t>
      </w:r>
      <w:r w:rsidR="006A4469" w:rsidRPr="006A4469">
        <w:t>, 2014-17</w:t>
      </w:r>
      <w:r w:rsidR="00B1727E" w:rsidRPr="006A4469">
        <w:t>).</w:t>
      </w:r>
      <w:r w:rsidR="00B1727E" w:rsidRPr="00B1727E">
        <w:t xml:space="preserve"> </w:t>
      </w:r>
    </w:p>
    <w:p w14:paraId="74D0EEE5" w14:textId="77777777" w:rsidR="00AA6769" w:rsidRPr="009009FA" w:rsidRDefault="00115F59" w:rsidP="00115F59">
      <w:r>
        <w:rPr>
          <w:bCs/>
        </w:rPr>
        <w:t xml:space="preserve">Our investments </w:t>
      </w:r>
      <w:r w:rsidR="00AA6769">
        <w:rPr>
          <w:bCs/>
        </w:rPr>
        <w:t>made a concrete contribution to regional physical connectivity efforts and Cambodia’s domestic tra</w:t>
      </w:r>
      <w:r w:rsidR="009009FA">
        <w:rPr>
          <w:bCs/>
        </w:rPr>
        <w:t xml:space="preserve">de </w:t>
      </w:r>
      <w:r w:rsidR="00BD5773">
        <w:rPr>
          <w:bCs/>
        </w:rPr>
        <w:t xml:space="preserve">facilitation </w:t>
      </w:r>
      <w:r w:rsidR="009009FA">
        <w:rPr>
          <w:bCs/>
        </w:rPr>
        <w:t xml:space="preserve">efforts </w:t>
      </w:r>
      <w:r w:rsidR="00AA6769">
        <w:t>providing support for water, ener</w:t>
      </w:r>
      <w:r w:rsidR="009009FA">
        <w:t xml:space="preserve">gy and transport infrastructure. </w:t>
      </w:r>
    </w:p>
    <w:p w14:paraId="0E69CBE5" w14:textId="2B796672" w:rsidR="00EA6960" w:rsidRDefault="00AA6769" w:rsidP="00EA6960">
      <w:r>
        <w:t>Infrastructure</w:t>
      </w:r>
      <w:r w:rsidR="009009FA">
        <w:t>—and particularly transport, energy and water supply—</w:t>
      </w:r>
      <w:r>
        <w:t>remains</w:t>
      </w:r>
      <w:r w:rsidR="009009FA">
        <w:t xml:space="preserve"> </w:t>
      </w:r>
      <w:r>
        <w:t xml:space="preserve">a priority </w:t>
      </w:r>
      <w:r w:rsidR="00064651">
        <w:t>for the Cambodian G</w:t>
      </w:r>
      <w:r w:rsidR="009009FA">
        <w:t xml:space="preserve">overnment. Infrastructure </w:t>
      </w:r>
      <w:r w:rsidR="00064651">
        <w:t>is</w:t>
      </w:r>
      <w:r w:rsidR="009009FA">
        <w:t xml:space="preserve"> predominantly</w:t>
      </w:r>
      <w:r>
        <w:t xml:space="preserve"> funded by China</w:t>
      </w:r>
      <w:r w:rsidR="00EE6505">
        <w:t xml:space="preserve"> (the majo</w:t>
      </w:r>
      <w:r w:rsidR="009009FA">
        <w:t>r player)</w:t>
      </w:r>
      <w:r w:rsidRPr="003853AD">
        <w:t>, Japan</w:t>
      </w:r>
      <w:r>
        <w:t xml:space="preserve"> and </w:t>
      </w:r>
      <w:r w:rsidR="009009FA">
        <w:t>the ADB</w:t>
      </w:r>
      <w:r w:rsidR="007149B0">
        <w:t xml:space="preserve"> through</w:t>
      </w:r>
      <w:r>
        <w:t xml:space="preserve"> concessional loans</w:t>
      </w:r>
      <w:r w:rsidR="009009FA">
        <w:t>, plus</w:t>
      </w:r>
      <w:r w:rsidR="00487D0E">
        <w:t xml:space="preserve"> some foreign direct investment</w:t>
      </w:r>
      <w:r w:rsidR="009009FA">
        <w:t xml:space="preserve"> by the private sector</w:t>
      </w:r>
      <w:r w:rsidR="008E4949">
        <w:t xml:space="preserve">. </w:t>
      </w:r>
      <w:r w:rsidR="00843A5C">
        <w:t>Ongoing s</w:t>
      </w:r>
      <w:r w:rsidR="00BD5773">
        <w:t xml:space="preserve">trong public revenue growth should allow the Government to increase public </w:t>
      </w:r>
      <w:r w:rsidR="001276F2">
        <w:t>funding</w:t>
      </w:r>
      <w:r w:rsidR="00BD5773">
        <w:t xml:space="preserve"> </w:t>
      </w:r>
      <w:r w:rsidR="00843A5C">
        <w:t xml:space="preserve">for </w:t>
      </w:r>
      <w:r w:rsidR="00BD5773">
        <w:t xml:space="preserve">infrastructure investment and maintenance. </w:t>
      </w:r>
      <w:r w:rsidR="00F25466">
        <w:t>A recent p</w:t>
      </w:r>
      <w:r w:rsidR="009009FA">
        <w:t>ublic opinion survey found that</w:t>
      </w:r>
      <w:r>
        <w:t xml:space="preserve"> 32 per cent of voters reported Cambodia was ‘</w:t>
      </w:r>
      <w:r w:rsidR="001276F2">
        <w:t>headed in the right direction’;</w:t>
      </w:r>
      <w:r w:rsidR="009009FA">
        <w:t xml:space="preserve"> the </w:t>
      </w:r>
      <w:r>
        <w:t xml:space="preserve">most commonly cited reason </w:t>
      </w:r>
      <w:r w:rsidR="001276F2">
        <w:t>as</w:t>
      </w:r>
      <w:r>
        <w:t xml:space="preserve"> ‘building infrastructure’ (27</w:t>
      </w:r>
      <w:r w:rsidR="00F729B7">
        <w:t xml:space="preserve"> per cent</w:t>
      </w:r>
      <w:r>
        <w:t>).</w:t>
      </w:r>
      <w:r w:rsidR="00632721">
        <w:rPr>
          <w:rStyle w:val="FootnoteReference"/>
        </w:rPr>
        <w:footnoteReference w:id="13"/>
      </w:r>
    </w:p>
    <w:p w14:paraId="0BBFB7AF" w14:textId="77777777" w:rsidR="00EA6960" w:rsidRDefault="00FF385C" w:rsidP="00F67A12">
      <w:pPr>
        <w:rPr>
          <w:bCs/>
        </w:rPr>
      </w:pPr>
      <w:r>
        <w:t xml:space="preserve">But access to </w:t>
      </w:r>
      <w:r w:rsidR="001C01D8">
        <w:t xml:space="preserve">reliable and affordable </w:t>
      </w:r>
      <w:r>
        <w:t xml:space="preserve">electricity, piped water and rural roads </w:t>
      </w:r>
      <w:r w:rsidR="00487D0E">
        <w:t>remains poor. This has a serious</w:t>
      </w:r>
      <w:r>
        <w:t xml:space="preserve"> impact on Cambodia’s development, </w:t>
      </w:r>
      <w:r w:rsidR="00487D0E">
        <w:t>particularly</w:t>
      </w:r>
      <w:r>
        <w:t xml:space="preserve"> </w:t>
      </w:r>
      <w:r w:rsidR="00487D0E">
        <w:t>on</w:t>
      </w:r>
      <w:r>
        <w:t xml:space="preserve"> rural growth and poverty reduction.</w:t>
      </w:r>
      <w:r w:rsidR="001C01D8">
        <w:rPr>
          <w:bCs/>
        </w:rPr>
        <w:t xml:space="preserve"> </w:t>
      </w:r>
      <w:r w:rsidR="00EA6960">
        <w:rPr>
          <w:bCs/>
        </w:rPr>
        <w:t xml:space="preserve">Cambodian </w:t>
      </w:r>
      <w:r w:rsidR="00EA6960">
        <w:t>energy policy</w:t>
      </w:r>
      <w:r w:rsidR="00EA6960">
        <w:rPr>
          <w:bCs/>
        </w:rPr>
        <w:t xml:space="preserve"> still favours coal and large-scale hydropower to meet future energy demands, though pockets of government are pushing to expand renewable energy</w:t>
      </w:r>
      <w:r w:rsidR="00EA6960">
        <w:rPr>
          <w:bCs/>
          <w:color w:val="1F497D"/>
        </w:rPr>
        <w:t>.</w:t>
      </w:r>
    </w:p>
    <w:p w14:paraId="54F65D7C" w14:textId="529ABB95" w:rsidR="007C7497" w:rsidRDefault="00064651" w:rsidP="00046724">
      <w:pPr>
        <w:suppressAutoHyphens w:val="0"/>
        <w:spacing w:after="120" w:line="240" w:lineRule="auto"/>
      </w:pPr>
      <w:r>
        <w:t>Ou</w:t>
      </w:r>
      <w:r w:rsidR="00C27D58">
        <w:t xml:space="preserve">r </w:t>
      </w:r>
      <w:r w:rsidR="00C27D58" w:rsidRPr="00046724">
        <w:rPr>
          <w:b/>
        </w:rPr>
        <w:t>Rural Energy Project</w:t>
      </w:r>
      <w:r w:rsidR="00C27D58">
        <w:t xml:space="preserve"> provided power to almost </w:t>
      </w:r>
      <w:r w:rsidR="004A27F2">
        <w:t>one hundred thousand</w:t>
      </w:r>
      <w:r w:rsidR="00C27D58">
        <w:t xml:space="preserve"> rural Cambodians, either through access to the electricity grid or through a cook stove. The project i</w:t>
      </w:r>
      <w:r w:rsidR="006B2A24">
        <w:t xml:space="preserve">nstalled </w:t>
      </w:r>
      <w:r w:rsidR="00EA6960">
        <w:t>2</w:t>
      </w:r>
      <w:r w:rsidR="001C01D8">
        <w:t>,</w:t>
      </w:r>
      <w:r w:rsidR="006B2A24">
        <w:t xml:space="preserve">047 </w:t>
      </w:r>
      <w:r w:rsidR="00181D27">
        <w:t>m</w:t>
      </w:r>
      <w:r w:rsidR="00EA6960">
        <w:t xml:space="preserve">edium </w:t>
      </w:r>
      <w:r w:rsidR="00181D27">
        <w:t>v</w:t>
      </w:r>
      <w:r w:rsidR="00EA6960">
        <w:t>oltage concrete pole</w:t>
      </w:r>
      <w:r w:rsidR="006B2A24">
        <w:t>s</w:t>
      </w:r>
      <w:r w:rsidR="00BD5773">
        <w:t>,</w:t>
      </w:r>
      <w:r w:rsidR="00BD5773" w:rsidRPr="006B2A24">
        <w:t xml:space="preserve"> </w:t>
      </w:r>
      <w:r w:rsidR="00F729B7" w:rsidRPr="006B2A24">
        <w:t xml:space="preserve">leading to improved access to </w:t>
      </w:r>
      <w:r w:rsidR="006B2A24">
        <w:t>electricity</w:t>
      </w:r>
      <w:r w:rsidR="00F729B7" w:rsidRPr="006B2A24">
        <w:t xml:space="preserve"> </w:t>
      </w:r>
      <w:r w:rsidR="006B2A24">
        <w:t>from the grid in four districts</w:t>
      </w:r>
      <w:r w:rsidR="00EA6960">
        <w:t xml:space="preserve">. </w:t>
      </w:r>
      <w:r w:rsidR="00C27D58">
        <w:t>Of the</w:t>
      </w:r>
      <w:r w:rsidR="00BD5773">
        <w:t xml:space="preserve"> </w:t>
      </w:r>
      <w:r w:rsidR="00EA6960">
        <w:t xml:space="preserve">63,391 cook stoves </w:t>
      </w:r>
      <w:r w:rsidR="00C27D58">
        <w:t xml:space="preserve">that </w:t>
      </w:r>
      <w:r w:rsidR="00EA6960">
        <w:t>were sold</w:t>
      </w:r>
      <w:r w:rsidR="003853AD">
        <w:t xml:space="preserve">, </w:t>
      </w:r>
      <w:r w:rsidR="00F729B7">
        <w:t xml:space="preserve">45 per cent </w:t>
      </w:r>
      <w:r w:rsidR="00C27D58">
        <w:t xml:space="preserve">were </w:t>
      </w:r>
      <w:r w:rsidR="00F729B7">
        <w:t>sold to women</w:t>
      </w:r>
      <w:r w:rsidR="00C27D58">
        <w:t>, and half of the 61 retailers were female-owned</w:t>
      </w:r>
      <w:r w:rsidR="00EA6960">
        <w:t xml:space="preserve">. </w:t>
      </w:r>
    </w:p>
    <w:p w14:paraId="0A6D3EA2" w14:textId="57AFF080" w:rsidR="00064651" w:rsidRDefault="007C7497" w:rsidP="00046724">
      <w:pPr>
        <w:suppressAutoHyphens w:val="0"/>
        <w:spacing w:after="120" w:line="240" w:lineRule="auto"/>
      </w:pPr>
      <w:r>
        <w:t xml:space="preserve">Access to electricity remains a significant, if not one of the main, challenges for Cambodia’s development, especially in rural areas. Less than a third of Cambodians currently have access to the electricity grid. While our project is on target and remains aligned with the Government’s ambitions and the development need, the Government of Cambodia faces significant infrastructure hurdles to reach its target of </w:t>
      </w:r>
      <w:r w:rsidR="00064651">
        <w:t>70</w:t>
      </w:r>
      <w:r>
        <w:t xml:space="preserve"> per cent of all households accessing grid quality electricity by 2030. </w:t>
      </w:r>
    </w:p>
    <w:p w14:paraId="1C088580" w14:textId="13AA4AED" w:rsidR="00064651" w:rsidRDefault="007C7497" w:rsidP="00064651">
      <w:pPr>
        <w:suppressAutoHyphens w:val="0"/>
        <w:spacing w:after="120" w:line="240" w:lineRule="auto"/>
      </w:pPr>
      <w:r>
        <w:t xml:space="preserve">The extensive floods of 2011 and 2013 caused significant damage to Cambodia’s roads. Through our </w:t>
      </w:r>
      <w:r w:rsidRPr="00FF62EB">
        <w:rPr>
          <w:b/>
        </w:rPr>
        <w:t>Flood Damage Emergency Reconstruction Project</w:t>
      </w:r>
      <w:r>
        <w:t xml:space="preserve">, millions of dollars of civil infrastructure </w:t>
      </w:r>
      <w:r w:rsidR="00AF5F99">
        <w:t>and o</w:t>
      </w:r>
      <w:r>
        <w:t>ver 200km of roads were rehabilitated</w:t>
      </w:r>
      <w:r w:rsidR="00487D0E">
        <w:t xml:space="preserve">. </w:t>
      </w:r>
      <w:r>
        <w:t xml:space="preserve">These rehabilitation efforts also </w:t>
      </w:r>
      <w:r w:rsidR="00487D0E">
        <w:t>included</w:t>
      </w:r>
      <w:r w:rsidR="00EA6960">
        <w:t xml:space="preserve"> one bridge and s</w:t>
      </w:r>
      <w:r w:rsidR="00487D0E">
        <w:t xml:space="preserve">everal drainage structures, </w:t>
      </w:r>
      <w:r w:rsidR="00EA6960">
        <w:t>11 ir</w:t>
      </w:r>
      <w:r w:rsidR="00487D0E">
        <w:t>rigation schemes plus five all-w</w:t>
      </w:r>
      <w:r w:rsidR="00EA6960">
        <w:t>eat</w:t>
      </w:r>
      <w:r w:rsidR="00487D0E">
        <w:t>her stations and eight Hydromet Stations</w:t>
      </w:r>
      <w:r w:rsidR="00210F62">
        <w:t>.</w:t>
      </w:r>
      <w:r w:rsidR="003853AD">
        <w:t xml:space="preserve"> </w:t>
      </w:r>
      <w:r w:rsidR="00EF2B56">
        <w:t>This pr</w:t>
      </w:r>
      <w:r w:rsidR="00487D0E">
        <w:t xml:space="preserve">ogress is ahead of schedule (72 per </w:t>
      </w:r>
      <w:r w:rsidR="000C1DEC">
        <w:t>cent c</w:t>
      </w:r>
      <w:r w:rsidR="00487D0E">
        <w:t>omplete</w:t>
      </w:r>
      <w:r w:rsidR="00F729B7">
        <w:t>d</w:t>
      </w:r>
      <w:r w:rsidR="00487D0E">
        <w:t xml:space="preserve"> </w:t>
      </w:r>
      <w:r w:rsidR="000C1DEC">
        <w:t>ag</w:t>
      </w:r>
      <w:r w:rsidR="00487D0E">
        <w:t>a</w:t>
      </w:r>
      <w:r w:rsidR="000C1DEC">
        <w:t>inst a</w:t>
      </w:r>
      <w:r w:rsidR="00487D0E">
        <w:t xml:space="preserve"> target of 59 per cent</w:t>
      </w:r>
      <w:r w:rsidR="00EF2B56">
        <w:t>)</w:t>
      </w:r>
      <w:r w:rsidR="005F1191">
        <w:t xml:space="preserve">. </w:t>
      </w:r>
      <w:r w:rsidR="00115F59">
        <w:t>In 2015-16</w:t>
      </w:r>
      <w:r w:rsidR="00181D27">
        <w:t>,</w:t>
      </w:r>
      <w:r w:rsidR="00115F59">
        <w:t xml:space="preserve"> 30.4 per cent of unskilled labourers on this project were women (on target).</w:t>
      </w:r>
    </w:p>
    <w:p w14:paraId="0DF63F44" w14:textId="77777777" w:rsidR="00064651" w:rsidRPr="00BC302F" w:rsidRDefault="00AF5F99" w:rsidP="00064651">
      <w:pPr>
        <w:suppressAutoHyphens w:val="0"/>
        <w:spacing w:after="120" w:line="240" w:lineRule="auto"/>
      </w:pPr>
      <w:r>
        <w:t xml:space="preserve">Under the </w:t>
      </w:r>
      <w:r w:rsidRPr="00064651">
        <w:rPr>
          <w:b/>
        </w:rPr>
        <w:t>Rural Roads Improvement Program Phase 2</w:t>
      </w:r>
      <w:r>
        <w:t xml:space="preserve"> preparations were m</w:t>
      </w:r>
      <w:r w:rsidR="00064651">
        <w:t>ade to rehabilitate 1,200 km of rural roads and improve road safety awareness for thousands of families</w:t>
      </w:r>
      <w:r w:rsidR="00064651" w:rsidRPr="00BC302F">
        <w:t>. As part of their gender strategy</w:t>
      </w:r>
      <w:r w:rsidR="00064651">
        <w:t xml:space="preserve"> in delivering this program</w:t>
      </w:r>
      <w:r w:rsidR="00064651" w:rsidRPr="00BC302F">
        <w:t>,</w:t>
      </w:r>
      <w:r w:rsidR="00064651">
        <w:t xml:space="preserve"> the</w:t>
      </w:r>
      <w:r w:rsidR="00064651" w:rsidRPr="00BC302F">
        <w:t xml:space="preserve"> ADB </w:t>
      </w:r>
      <w:r w:rsidR="00064651">
        <w:t>provided</w:t>
      </w:r>
      <w:r w:rsidR="00064651" w:rsidRPr="00BC302F">
        <w:t xml:space="preserve"> gender training workshops on data collection and gender mainstreaming in infrastructure projects in April and May 2015, and 10 out of 30 project management unit staff involved are women. </w:t>
      </w:r>
    </w:p>
    <w:p w14:paraId="3AE5DD49" w14:textId="77777777" w:rsidR="0021203E" w:rsidRDefault="00AA549B" w:rsidP="00064651">
      <w:pPr>
        <w:suppressAutoHyphens w:val="0"/>
        <w:spacing w:after="120" w:line="240" w:lineRule="auto"/>
      </w:pPr>
      <w:r>
        <w:t xml:space="preserve">Slower progress than expected </w:t>
      </w:r>
      <w:r w:rsidR="00115F59">
        <w:t xml:space="preserve">was made on our new </w:t>
      </w:r>
      <w:r w:rsidR="00115F59" w:rsidRPr="00064651">
        <w:rPr>
          <w:b/>
        </w:rPr>
        <w:t xml:space="preserve">Investing in Infrastructure </w:t>
      </w:r>
      <w:r w:rsidR="008A7E51" w:rsidRPr="00064651">
        <w:rPr>
          <w:b/>
        </w:rPr>
        <w:t>p</w:t>
      </w:r>
      <w:r w:rsidR="00115F59" w:rsidRPr="00064651">
        <w:rPr>
          <w:b/>
        </w:rPr>
        <w:t>rogram</w:t>
      </w:r>
      <w:r w:rsidR="00D535AB" w:rsidRPr="00064651">
        <w:rPr>
          <w:b/>
        </w:rPr>
        <w:t xml:space="preserve"> (3i)</w:t>
      </w:r>
      <w:r w:rsidR="00115F59" w:rsidRPr="00064651">
        <w:rPr>
          <w:b/>
        </w:rPr>
        <w:t>.</w:t>
      </w:r>
      <w:r w:rsidR="00115F59">
        <w:t xml:space="preserve"> This meant</w:t>
      </w:r>
      <w:r>
        <w:t xml:space="preserve"> that we did not achieve </w:t>
      </w:r>
      <w:r w:rsidR="00115F59">
        <w:t xml:space="preserve">anticipated targets </w:t>
      </w:r>
      <w:r>
        <w:t xml:space="preserve">related to electricity and water connections. </w:t>
      </w:r>
      <w:r w:rsidR="00115F59">
        <w:t xml:space="preserve">Prudent </w:t>
      </w:r>
      <w:r w:rsidR="00115F59">
        <w:lastRenderedPageBreak/>
        <w:t>n</w:t>
      </w:r>
      <w:r w:rsidR="003C4C38">
        <w:t>egotiations</w:t>
      </w:r>
      <w:r w:rsidR="00115F59">
        <w:t xml:space="preserve"> and due diligence processes, necessary when we provide assistance directly to the private sector, were completed</w:t>
      </w:r>
      <w:r w:rsidR="00BD5773">
        <w:t xml:space="preserve">. This puts the program in good stead to </w:t>
      </w:r>
      <w:r w:rsidR="00EF1767">
        <w:t>connect people and businesses to</w:t>
      </w:r>
      <w:r w:rsidR="00BD5773">
        <w:t xml:space="preserve"> electricity and water in coming years</w:t>
      </w:r>
      <w:r w:rsidR="00115F59">
        <w:t>.</w:t>
      </w:r>
      <w:r w:rsidR="003C4C38">
        <w:t xml:space="preserve"> </w:t>
      </w:r>
      <w:r w:rsidR="00064651" w:rsidRPr="00EF2B56">
        <w:t>We anticipate once the contracts are awarded that the rate of connection expansion will grow gradually in a sustainable manner.</w:t>
      </w:r>
    </w:p>
    <w:p w14:paraId="1F66FB3C" w14:textId="77777777" w:rsidR="000C1DEC" w:rsidRPr="000F21C1" w:rsidRDefault="000C1DEC" w:rsidP="000F21C1"/>
    <w:tbl>
      <w:tblPr>
        <w:tblStyle w:val="APPR"/>
        <w:tblW w:w="5000" w:type="pct"/>
        <w:tblLook w:val="01E0" w:firstRow="1" w:lastRow="1" w:firstColumn="1" w:lastColumn="1" w:noHBand="0" w:noVBand="0"/>
      </w:tblPr>
      <w:tblGrid>
        <w:gridCol w:w="7942"/>
        <w:gridCol w:w="1968"/>
      </w:tblGrid>
      <w:tr w:rsidR="007D61D0" w:rsidRPr="00CD2F9A" w14:paraId="19279B1C" w14:textId="77777777">
        <w:trPr>
          <w:cnfStyle w:val="100000000000" w:firstRow="1" w:lastRow="0" w:firstColumn="0" w:lastColumn="0" w:oddVBand="0" w:evenVBand="0" w:oddHBand="0" w:evenHBand="0" w:firstRowFirstColumn="0" w:firstRowLastColumn="0" w:lastRowFirstColumn="0" w:lastRowLastColumn="0"/>
        </w:trPr>
        <w:tc>
          <w:tcPr>
            <w:tcW w:w="3986" w:type="pct"/>
          </w:tcPr>
          <w:p w14:paraId="4CC0EBBC" w14:textId="77777777" w:rsidR="007D61D0" w:rsidRPr="007D61D0" w:rsidRDefault="007D61D0" w:rsidP="00003741">
            <w:pPr>
              <w:pStyle w:val="TableTextEntries"/>
              <w:rPr>
                <w:rFonts w:eastAsia="Calibri"/>
                <w:b w:val="0"/>
                <w:sz w:val="24"/>
                <w:szCs w:val="24"/>
              </w:rPr>
            </w:pPr>
            <w:r w:rsidRPr="007D61D0">
              <w:rPr>
                <w:rFonts w:asciiTheme="majorHAnsi" w:eastAsiaTheme="majorEastAsia" w:hAnsiTheme="majorHAnsi" w:cstheme="majorBidi"/>
                <w:b w:val="0"/>
                <w:caps/>
                <w:color w:val="495965" w:themeColor="text2"/>
                <w:sz w:val="38"/>
                <w:szCs w:val="26"/>
                <w:lang w:val="en-GB" w:eastAsia="en-US"/>
              </w:rPr>
              <w:t>Objective 2: Increasing agricultural productivity and farmer incomes</w:t>
            </w:r>
          </w:p>
        </w:tc>
        <w:tc>
          <w:tcPr>
            <w:tcW w:w="972" w:type="pct"/>
            <w:shd w:val="clear" w:color="auto" w:fill="92D050"/>
          </w:tcPr>
          <w:p w14:paraId="20207B51" w14:textId="77777777" w:rsidR="007D61D0" w:rsidRPr="007D61D0" w:rsidRDefault="00EA6960" w:rsidP="00003741">
            <w:pPr>
              <w:pStyle w:val="TableTextEntries"/>
              <w:jc w:val="center"/>
              <w:rPr>
                <w:rFonts w:eastAsia="Calibri"/>
                <w:b w:val="0"/>
                <w:sz w:val="24"/>
                <w:szCs w:val="24"/>
              </w:rPr>
            </w:pPr>
            <w:r>
              <w:rPr>
                <w:rFonts w:eastAsia="Calibri"/>
                <w:b w:val="0"/>
                <w:sz w:val="24"/>
                <w:szCs w:val="24"/>
              </w:rPr>
              <w:t>Green</w:t>
            </w:r>
          </w:p>
        </w:tc>
      </w:tr>
    </w:tbl>
    <w:p w14:paraId="15E8494E" w14:textId="0AFDB94F" w:rsidR="00EA6960" w:rsidRPr="00466F7D" w:rsidRDefault="003454DF" w:rsidP="00A37EE4">
      <w:pPr>
        <w:pStyle w:val="BodyText"/>
        <w:spacing w:before="240"/>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The </w:t>
      </w:r>
      <w:r w:rsidRPr="00793845">
        <w:rPr>
          <w:rFonts w:asciiTheme="minorHAnsi" w:eastAsiaTheme="minorHAnsi" w:hAnsiTheme="minorHAnsi" w:cstheme="minorBidi"/>
          <w:b/>
          <w:color w:val="495965" w:themeColor="text2"/>
          <w:sz w:val="22"/>
          <w:szCs w:val="22"/>
          <w:lang w:val="en-GB" w:eastAsia="en-US"/>
        </w:rPr>
        <w:t>overall rating for this objective is green</w:t>
      </w:r>
      <w:r>
        <w:rPr>
          <w:rFonts w:asciiTheme="minorHAnsi" w:eastAsiaTheme="minorHAnsi" w:hAnsiTheme="minorHAnsi" w:cstheme="minorBidi"/>
          <w:color w:val="495965" w:themeColor="text2"/>
          <w:sz w:val="22"/>
          <w:szCs w:val="22"/>
          <w:lang w:val="en-GB" w:eastAsia="en-US"/>
        </w:rPr>
        <w:t xml:space="preserve">. </w:t>
      </w:r>
      <w:r w:rsidR="00EA6960" w:rsidRPr="00466F7D">
        <w:rPr>
          <w:rFonts w:asciiTheme="minorHAnsi" w:eastAsiaTheme="minorHAnsi" w:hAnsiTheme="minorHAnsi" w:cstheme="minorBidi"/>
          <w:color w:val="495965" w:themeColor="text2"/>
          <w:sz w:val="22"/>
          <w:szCs w:val="22"/>
          <w:lang w:val="en-GB" w:eastAsia="en-US"/>
        </w:rPr>
        <w:t>Progress is on track due to the continued strong performance of the Cam</w:t>
      </w:r>
      <w:r w:rsidR="00115F59">
        <w:rPr>
          <w:rFonts w:asciiTheme="minorHAnsi" w:eastAsiaTheme="minorHAnsi" w:hAnsiTheme="minorHAnsi" w:cstheme="minorBidi"/>
          <w:color w:val="495965" w:themeColor="text2"/>
          <w:sz w:val="22"/>
          <w:szCs w:val="22"/>
          <w:lang w:val="en-GB" w:eastAsia="en-US"/>
        </w:rPr>
        <w:t xml:space="preserve">bodian Agriculture Value Chain </w:t>
      </w:r>
      <w:r w:rsidR="008A7E51">
        <w:rPr>
          <w:rFonts w:asciiTheme="minorHAnsi" w:eastAsiaTheme="minorHAnsi" w:hAnsiTheme="minorHAnsi" w:cstheme="minorBidi"/>
          <w:color w:val="495965" w:themeColor="text2"/>
          <w:sz w:val="22"/>
          <w:szCs w:val="22"/>
          <w:lang w:val="en-GB" w:eastAsia="en-US"/>
        </w:rPr>
        <w:t>p</w:t>
      </w:r>
      <w:r w:rsidR="00EA6960" w:rsidRPr="00466F7D">
        <w:rPr>
          <w:rFonts w:asciiTheme="minorHAnsi" w:eastAsiaTheme="minorHAnsi" w:hAnsiTheme="minorHAnsi" w:cstheme="minorBidi"/>
          <w:color w:val="495965" w:themeColor="text2"/>
          <w:sz w:val="22"/>
          <w:szCs w:val="22"/>
          <w:lang w:val="en-GB" w:eastAsia="en-US"/>
        </w:rPr>
        <w:t xml:space="preserve">rogram </w:t>
      </w:r>
      <w:r w:rsidR="001D653B">
        <w:rPr>
          <w:rFonts w:asciiTheme="minorHAnsi" w:eastAsiaTheme="minorHAnsi" w:hAnsiTheme="minorHAnsi" w:cstheme="minorBidi"/>
          <w:color w:val="495965" w:themeColor="text2"/>
          <w:sz w:val="22"/>
          <w:szCs w:val="22"/>
          <w:lang w:val="en-GB" w:eastAsia="en-US"/>
        </w:rPr>
        <w:t>in Phases 1</w:t>
      </w:r>
      <w:r w:rsidR="00406B1A">
        <w:rPr>
          <w:rFonts w:asciiTheme="minorHAnsi" w:eastAsiaTheme="minorHAnsi" w:hAnsiTheme="minorHAnsi" w:cstheme="minorBidi"/>
          <w:color w:val="495965" w:themeColor="text2"/>
          <w:sz w:val="22"/>
          <w:szCs w:val="22"/>
          <w:lang w:val="en-GB" w:eastAsia="en-US"/>
        </w:rPr>
        <w:t xml:space="preserve"> and 2</w:t>
      </w:r>
      <w:r w:rsidR="00210F62">
        <w:rPr>
          <w:rFonts w:asciiTheme="minorHAnsi" w:eastAsiaTheme="minorHAnsi" w:hAnsiTheme="minorHAnsi" w:cstheme="minorBidi"/>
          <w:color w:val="495965" w:themeColor="text2"/>
          <w:sz w:val="22"/>
          <w:szCs w:val="22"/>
          <w:lang w:val="en-GB" w:eastAsia="en-US"/>
        </w:rPr>
        <w:t xml:space="preserve"> </w:t>
      </w:r>
      <w:r w:rsidR="00D476E1">
        <w:rPr>
          <w:rFonts w:asciiTheme="minorHAnsi" w:eastAsiaTheme="minorHAnsi" w:hAnsiTheme="minorHAnsi" w:cstheme="minorBidi"/>
          <w:color w:val="495965" w:themeColor="text2"/>
          <w:sz w:val="22"/>
          <w:szCs w:val="22"/>
          <w:lang w:val="en-GB" w:eastAsia="en-US"/>
        </w:rPr>
        <w:t>(</w:t>
      </w:r>
      <w:r w:rsidR="00076160" w:rsidRPr="00406B1A">
        <w:rPr>
          <w:rFonts w:asciiTheme="minorHAnsi" w:eastAsiaTheme="minorHAnsi" w:hAnsiTheme="minorHAnsi" w:cstheme="minorBidi"/>
          <w:color w:val="495965" w:themeColor="text2"/>
          <w:sz w:val="22"/>
          <w:szCs w:val="22"/>
          <w:lang w:val="en-GB" w:eastAsia="en-US"/>
        </w:rPr>
        <w:t>AUD</w:t>
      </w:r>
      <w:r w:rsidR="001D653B" w:rsidRPr="00406B1A">
        <w:rPr>
          <w:rFonts w:asciiTheme="minorHAnsi" w:eastAsiaTheme="minorHAnsi" w:hAnsiTheme="minorHAnsi" w:cstheme="minorBidi"/>
          <w:color w:val="495965" w:themeColor="text2"/>
          <w:sz w:val="22"/>
          <w:szCs w:val="22"/>
          <w:lang w:val="en-GB" w:eastAsia="en-US"/>
        </w:rPr>
        <w:t>46</w:t>
      </w:r>
      <w:r w:rsidR="00210F62" w:rsidRPr="00406B1A">
        <w:rPr>
          <w:rFonts w:asciiTheme="minorHAnsi" w:eastAsiaTheme="minorHAnsi" w:hAnsiTheme="minorHAnsi" w:cstheme="minorBidi"/>
          <w:color w:val="495965" w:themeColor="text2"/>
          <w:sz w:val="22"/>
          <w:szCs w:val="22"/>
          <w:lang w:val="en-GB" w:eastAsia="en-US"/>
        </w:rPr>
        <w:t xml:space="preserve"> million</w:t>
      </w:r>
      <w:r w:rsidR="001D653B" w:rsidRPr="00406B1A">
        <w:rPr>
          <w:rFonts w:asciiTheme="minorHAnsi" w:eastAsiaTheme="minorHAnsi" w:hAnsiTheme="minorHAnsi" w:cstheme="minorBidi"/>
          <w:color w:val="495965" w:themeColor="text2"/>
          <w:sz w:val="22"/>
          <w:szCs w:val="22"/>
          <w:lang w:val="en-GB" w:eastAsia="en-US"/>
        </w:rPr>
        <w:t>, 2010-15; AUD92.8 million, 2016-21</w:t>
      </w:r>
      <w:r w:rsidR="00210F62" w:rsidRPr="00406B1A">
        <w:rPr>
          <w:rFonts w:asciiTheme="minorHAnsi" w:eastAsiaTheme="minorHAnsi" w:hAnsiTheme="minorHAnsi" w:cstheme="minorBidi"/>
          <w:color w:val="495965" w:themeColor="text2"/>
          <w:sz w:val="22"/>
          <w:szCs w:val="22"/>
          <w:lang w:val="en-GB" w:eastAsia="en-US"/>
        </w:rPr>
        <w:t xml:space="preserve">) </w:t>
      </w:r>
      <w:r w:rsidR="00EA6960" w:rsidRPr="00406B1A">
        <w:rPr>
          <w:rFonts w:asciiTheme="minorHAnsi" w:eastAsiaTheme="minorHAnsi" w:hAnsiTheme="minorHAnsi" w:cstheme="minorBidi"/>
          <w:color w:val="495965" w:themeColor="text2"/>
          <w:sz w:val="22"/>
          <w:szCs w:val="22"/>
          <w:lang w:val="en-GB" w:eastAsia="en-US"/>
        </w:rPr>
        <w:t>and our landmine clearance program, Clear</w:t>
      </w:r>
      <w:r w:rsidR="00F56F57" w:rsidRPr="00406B1A">
        <w:rPr>
          <w:rFonts w:asciiTheme="minorHAnsi" w:eastAsiaTheme="minorHAnsi" w:hAnsiTheme="minorHAnsi" w:cstheme="minorBidi"/>
          <w:color w:val="495965" w:themeColor="text2"/>
          <w:sz w:val="22"/>
          <w:szCs w:val="22"/>
          <w:lang w:val="en-GB" w:eastAsia="en-US"/>
        </w:rPr>
        <w:t>ing for Results</w:t>
      </w:r>
      <w:r w:rsidR="00490D5A">
        <w:rPr>
          <w:rFonts w:asciiTheme="minorHAnsi" w:eastAsiaTheme="minorHAnsi" w:hAnsiTheme="minorHAnsi" w:cstheme="minorBidi"/>
          <w:color w:val="495965" w:themeColor="text2"/>
          <w:sz w:val="22"/>
          <w:szCs w:val="22"/>
          <w:lang w:val="en-GB" w:eastAsia="en-US"/>
        </w:rPr>
        <w:t xml:space="preserve"> </w:t>
      </w:r>
      <w:r w:rsidR="001D653B" w:rsidRPr="00406B1A">
        <w:rPr>
          <w:rFonts w:asciiTheme="minorHAnsi" w:eastAsiaTheme="minorHAnsi" w:hAnsiTheme="minorHAnsi" w:cstheme="minorBidi"/>
          <w:color w:val="495965" w:themeColor="text2"/>
          <w:sz w:val="22"/>
          <w:szCs w:val="22"/>
          <w:lang w:val="en-GB" w:eastAsia="en-US"/>
        </w:rPr>
        <w:t>Phase</w:t>
      </w:r>
      <w:r w:rsidR="00490D5A">
        <w:rPr>
          <w:rFonts w:asciiTheme="minorHAnsi" w:eastAsiaTheme="minorHAnsi" w:hAnsiTheme="minorHAnsi" w:cstheme="minorBidi"/>
          <w:color w:val="495965" w:themeColor="text2"/>
          <w:sz w:val="22"/>
          <w:szCs w:val="22"/>
          <w:lang w:val="en-GB" w:eastAsia="en-US"/>
        </w:rPr>
        <w:t xml:space="preserve">s </w:t>
      </w:r>
      <w:r w:rsidR="00985E7B">
        <w:rPr>
          <w:rFonts w:asciiTheme="minorHAnsi" w:eastAsiaTheme="minorHAnsi" w:hAnsiTheme="minorHAnsi" w:cstheme="minorBidi"/>
          <w:color w:val="495965" w:themeColor="text2"/>
          <w:sz w:val="22"/>
          <w:szCs w:val="22"/>
          <w:lang w:val="en-GB" w:eastAsia="en-US"/>
        </w:rPr>
        <w:t>2</w:t>
      </w:r>
      <w:r w:rsidR="001D653B" w:rsidRPr="00406B1A">
        <w:rPr>
          <w:rFonts w:asciiTheme="minorHAnsi" w:eastAsiaTheme="minorHAnsi" w:hAnsiTheme="minorHAnsi" w:cstheme="minorBidi"/>
          <w:color w:val="495965" w:themeColor="text2"/>
          <w:sz w:val="22"/>
          <w:szCs w:val="22"/>
          <w:lang w:val="en-GB" w:eastAsia="en-US"/>
        </w:rPr>
        <w:t xml:space="preserve"> </w:t>
      </w:r>
      <w:r w:rsidR="00490D5A">
        <w:rPr>
          <w:rFonts w:asciiTheme="minorHAnsi" w:eastAsiaTheme="minorHAnsi" w:hAnsiTheme="minorHAnsi" w:cstheme="minorBidi"/>
          <w:color w:val="495965" w:themeColor="text2"/>
          <w:sz w:val="22"/>
          <w:szCs w:val="22"/>
          <w:lang w:val="en-GB" w:eastAsia="en-US"/>
        </w:rPr>
        <w:t xml:space="preserve">and </w:t>
      </w:r>
      <w:r w:rsidR="00985E7B">
        <w:rPr>
          <w:rFonts w:asciiTheme="minorHAnsi" w:eastAsiaTheme="minorHAnsi" w:hAnsiTheme="minorHAnsi" w:cstheme="minorBidi"/>
          <w:color w:val="495965" w:themeColor="text2"/>
          <w:sz w:val="22"/>
          <w:szCs w:val="22"/>
          <w:lang w:val="en-GB" w:eastAsia="en-US"/>
        </w:rPr>
        <w:t>3</w:t>
      </w:r>
      <w:r w:rsidR="00210F62" w:rsidRPr="00406B1A">
        <w:rPr>
          <w:rFonts w:asciiTheme="minorHAnsi" w:eastAsiaTheme="minorHAnsi" w:hAnsiTheme="minorHAnsi" w:cstheme="minorBidi"/>
          <w:color w:val="495965" w:themeColor="text2"/>
          <w:sz w:val="22"/>
          <w:szCs w:val="22"/>
          <w:lang w:val="en-GB" w:eastAsia="en-US"/>
        </w:rPr>
        <w:t xml:space="preserve"> (</w:t>
      </w:r>
      <w:r w:rsidR="00076160" w:rsidRPr="00406B1A">
        <w:rPr>
          <w:rFonts w:asciiTheme="minorHAnsi" w:eastAsiaTheme="minorHAnsi" w:hAnsiTheme="minorHAnsi" w:cstheme="minorBidi"/>
          <w:color w:val="495965" w:themeColor="text2"/>
          <w:sz w:val="22"/>
          <w:szCs w:val="22"/>
          <w:lang w:val="en-GB" w:eastAsia="en-US"/>
        </w:rPr>
        <w:t>AUD</w:t>
      </w:r>
      <w:r w:rsidR="00985E7B">
        <w:rPr>
          <w:rFonts w:asciiTheme="minorHAnsi" w:eastAsiaTheme="minorHAnsi" w:hAnsiTheme="minorHAnsi" w:cstheme="minorBidi"/>
          <w:color w:val="495965" w:themeColor="text2"/>
          <w:sz w:val="22"/>
          <w:szCs w:val="22"/>
          <w:lang w:val="en-GB" w:eastAsia="en-US"/>
        </w:rPr>
        <w:t>11.2</w:t>
      </w:r>
      <w:r w:rsidR="00210F62" w:rsidRPr="00406B1A">
        <w:rPr>
          <w:rFonts w:asciiTheme="minorHAnsi" w:eastAsiaTheme="minorHAnsi" w:hAnsiTheme="minorHAnsi" w:cstheme="minorBidi"/>
          <w:color w:val="495965" w:themeColor="text2"/>
          <w:sz w:val="22"/>
          <w:szCs w:val="22"/>
          <w:lang w:val="en-GB" w:eastAsia="en-US"/>
        </w:rPr>
        <w:t xml:space="preserve"> million</w:t>
      </w:r>
      <w:r w:rsidR="00490D5A">
        <w:rPr>
          <w:rFonts w:asciiTheme="minorHAnsi" w:eastAsiaTheme="minorHAnsi" w:hAnsiTheme="minorHAnsi" w:cstheme="minorBidi"/>
          <w:color w:val="495965" w:themeColor="text2"/>
          <w:sz w:val="22"/>
          <w:szCs w:val="22"/>
          <w:lang w:val="en-GB" w:eastAsia="en-US"/>
        </w:rPr>
        <w:t>, 20</w:t>
      </w:r>
      <w:r w:rsidR="00985E7B">
        <w:rPr>
          <w:rFonts w:asciiTheme="minorHAnsi" w:eastAsiaTheme="minorHAnsi" w:hAnsiTheme="minorHAnsi" w:cstheme="minorBidi"/>
          <w:color w:val="495965" w:themeColor="text2"/>
          <w:sz w:val="22"/>
          <w:szCs w:val="22"/>
          <w:lang w:val="en-GB" w:eastAsia="en-US"/>
        </w:rPr>
        <w:t>11</w:t>
      </w:r>
      <w:r w:rsidR="00490D5A">
        <w:rPr>
          <w:rFonts w:asciiTheme="minorHAnsi" w:eastAsiaTheme="minorHAnsi" w:hAnsiTheme="minorHAnsi" w:cstheme="minorBidi"/>
          <w:color w:val="495965" w:themeColor="text2"/>
          <w:sz w:val="22"/>
          <w:szCs w:val="22"/>
          <w:lang w:val="en-GB" w:eastAsia="en-US"/>
        </w:rPr>
        <w:t>-201</w:t>
      </w:r>
      <w:r w:rsidR="00985E7B">
        <w:rPr>
          <w:rFonts w:asciiTheme="minorHAnsi" w:eastAsiaTheme="minorHAnsi" w:hAnsiTheme="minorHAnsi" w:cstheme="minorBidi"/>
          <w:color w:val="495965" w:themeColor="text2"/>
          <w:sz w:val="22"/>
          <w:szCs w:val="22"/>
          <w:lang w:val="en-GB" w:eastAsia="en-US"/>
        </w:rPr>
        <w:t>6</w:t>
      </w:r>
      <w:r w:rsidR="00490D5A">
        <w:rPr>
          <w:rFonts w:asciiTheme="minorHAnsi" w:eastAsiaTheme="minorHAnsi" w:hAnsiTheme="minorHAnsi" w:cstheme="minorBidi"/>
          <w:color w:val="495965" w:themeColor="text2"/>
          <w:sz w:val="22"/>
          <w:szCs w:val="22"/>
          <w:lang w:val="en-GB" w:eastAsia="en-US"/>
        </w:rPr>
        <w:t>; AUD9.0 million, 2016-19</w:t>
      </w:r>
      <w:r w:rsidR="00210F62" w:rsidRPr="00406B1A">
        <w:rPr>
          <w:rFonts w:asciiTheme="minorHAnsi" w:eastAsiaTheme="minorHAnsi" w:hAnsiTheme="minorHAnsi" w:cstheme="minorBidi"/>
          <w:color w:val="495965" w:themeColor="text2"/>
          <w:sz w:val="22"/>
          <w:szCs w:val="22"/>
          <w:lang w:val="en-GB" w:eastAsia="en-US"/>
        </w:rPr>
        <w:t>)</w:t>
      </w:r>
      <w:r>
        <w:rPr>
          <w:rFonts w:asciiTheme="minorHAnsi" w:eastAsiaTheme="minorHAnsi" w:hAnsiTheme="minorHAnsi" w:cstheme="minorBidi"/>
          <w:color w:val="495965" w:themeColor="text2"/>
          <w:sz w:val="22"/>
          <w:szCs w:val="22"/>
          <w:lang w:val="en-GB" w:eastAsia="en-US"/>
        </w:rPr>
        <w:t>.</w:t>
      </w:r>
    </w:p>
    <w:p w14:paraId="0B50FA80" w14:textId="42578090" w:rsidR="00616CB7" w:rsidRDefault="00616CB7" w:rsidP="00616CB7">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While c</w:t>
      </w:r>
      <w:r w:rsidR="003454DF">
        <w:rPr>
          <w:rFonts w:asciiTheme="minorHAnsi" w:eastAsiaTheme="minorHAnsi" w:hAnsiTheme="minorHAnsi" w:cstheme="minorBidi"/>
          <w:color w:val="495965" w:themeColor="text2"/>
          <w:sz w:val="22"/>
          <w:szCs w:val="22"/>
          <w:lang w:val="en-GB" w:eastAsia="en-US"/>
        </w:rPr>
        <w:t>onstruction</w:t>
      </w:r>
      <w:r>
        <w:rPr>
          <w:rFonts w:asciiTheme="minorHAnsi" w:eastAsiaTheme="minorHAnsi" w:hAnsiTheme="minorHAnsi" w:cstheme="minorBidi"/>
          <w:color w:val="495965" w:themeColor="text2"/>
          <w:sz w:val="22"/>
          <w:szCs w:val="22"/>
          <w:lang w:val="en-GB" w:eastAsia="en-US"/>
        </w:rPr>
        <w:t xml:space="preserve"> and manufacturing</w:t>
      </w:r>
      <w:r w:rsidR="003454DF">
        <w:rPr>
          <w:rFonts w:asciiTheme="minorHAnsi" w:eastAsiaTheme="minorHAnsi" w:hAnsiTheme="minorHAnsi" w:cstheme="minorBidi"/>
          <w:color w:val="495965" w:themeColor="text2"/>
          <w:sz w:val="22"/>
          <w:szCs w:val="22"/>
          <w:lang w:val="en-GB" w:eastAsia="en-US"/>
        </w:rPr>
        <w:t xml:space="preserve"> in Cambodia </w:t>
      </w:r>
      <w:r>
        <w:rPr>
          <w:rFonts w:asciiTheme="minorHAnsi" w:eastAsiaTheme="minorHAnsi" w:hAnsiTheme="minorHAnsi" w:cstheme="minorBidi"/>
          <w:color w:val="495965" w:themeColor="text2"/>
          <w:sz w:val="22"/>
          <w:szCs w:val="22"/>
          <w:lang w:val="en-GB" w:eastAsia="en-US"/>
        </w:rPr>
        <w:t xml:space="preserve">are </w:t>
      </w:r>
      <w:r w:rsidR="003454DF">
        <w:rPr>
          <w:rFonts w:asciiTheme="minorHAnsi" w:eastAsiaTheme="minorHAnsi" w:hAnsiTheme="minorHAnsi" w:cstheme="minorBidi"/>
          <w:color w:val="495965" w:themeColor="text2"/>
          <w:sz w:val="22"/>
          <w:szCs w:val="22"/>
          <w:lang w:val="en-GB" w:eastAsia="en-US"/>
        </w:rPr>
        <w:t>booming</w:t>
      </w:r>
      <w:r>
        <w:rPr>
          <w:rFonts w:asciiTheme="minorHAnsi" w:eastAsiaTheme="minorHAnsi" w:hAnsiTheme="minorHAnsi" w:cstheme="minorBidi"/>
          <w:color w:val="495965" w:themeColor="text2"/>
          <w:sz w:val="22"/>
          <w:szCs w:val="22"/>
          <w:lang w:val="en-GB" w:eastAsia="en-US"/>
        </w:rPr>
        <w:t xml:space="preserve">, </w:t>
      </w:r>
      <w:r w:rsidR="00EA6960" w:rsidRPr="00466F7D">
        <w:rPr>
          <w:rFonts w:asciiTheme="minorHAnsi" w:eastAsiaTheme="minorHAnsi" w:hAnsiTheme="minorHAnsi" w:cstheme="minorBidi"/>
          <w:color w:val="495965" w:themeColor="text2"/>
          <w:sz w:val="22"/>
          <w:szCs w:val="22"/>
          <w:lang w:val="en-GB" w:eastAsia="en-US"/>
        </w:rPr>
        <w:t xml:space="preserve">agriculture remains </w:t>
      </w:r>
      <w:r w:rsidR="003454DF">
        <w:rPr>
          <w:rFonts w:asciiTheme="minorHAnsi" w:eastAsiaTheme="minorHAnsi" w:hAnsiTheme="minorHAnsi" w:cstheme="minorBidi"/>
          <w:color w:val="495965" w:themeColor="text2"/>
          <w:sz w:val="22"/>
          <w:szCs w:val="22"/>
          <w:lang w:val="en-GB" w:eastAsia="en-US"/>
        </w:rPr>
        <w:t>the dominant livelihood for</w:t>
      </w:r>
      <w:r w:rsidR="00EA6960" w:rsidRPr="00466F7D">
        <w:rPr>
          <w:rFonts w:asciiTheme="minorHAnsi" w:eastAsiaTheme="minorHAnsi" w:hAnsiTheme="minorHAnsi" w:cstheme="minorBidi"/>
          <w:color w:val="495965" w:themeColor="text2"/>
          <w:sz w:val="22"/>
          <w:szCs w:val="22"/>
          <w:lang w:val="en-GB" w:eastAsia="en-US"/>
        </w:rPr>
        <w:t xml:space="preserve"> </w:t>
      </w:r>
      <w:r w:rsidR="003454DF">
        <w:rPr>
          <w:rFonts w:asciiTheme="minorHAnsi" w:eastAsiaTheme="minorHAnsi" w:hAnsiTheme="minorHAnsi" w:cstheme="minorBidi"/>
          <w:color w:val="495965" w:themeColor="text2"/>
          <w:sz w:val="22"/>
          <w:szCs w:val="22"/>
          <w:lang w:val="en-GB" w:eastAsia="en-US"/>
        </w:rPr>
        <w:t>Cambodians, with around 80 per cent of the population relying on agriculture for a job</w:t>
      </w:r>
      <w:r w:rsidR="008E4949">
        <w:rPr>
          <w:rFonts w:asciiTheme="minorHAnsi" w:eastAsiaTheme="minorHAnsi" w:hAnsiTheme="minorHAnsi" w:cstheme="minorBidi"/>
          <w:color w:val="495965" w:themeColor="text2"/>
          <w:sz w:val="22"/>
          <w:szCs w:val="22"/>
          <w:lang w:val="en-GB" w:eastAsia="en-US"/>
        </w:rPr>
        <w:t xml:space="preserve">. </w:t>
      </w:r>
      <w:r w:rsidR="003454DF">
        <w:rPr>
          <w:rFonts w:asciiTheme="minorHAnsi" w:eastAsiaTheme="minorHAnsi" w:hAnsiTheme="minorHAnsi" w:cstheme="minorBidi"/>
          <w:color w:val="495965" w:themeColor="text2"/>
          <w:sz w:val="22"/>
          <w:szCs w:val="22"/>
          <w:lang w:val="en-GB" w:eastAsia="en-US"/>
        </w:rPr>
        <w:t>But investment in agriculture remains poor,</w:t>
      </w:r>
      <w:r>
        <w:rPr>
          <w:rFonts w:asciiTheme="minorHAnsi" w:eastAsiaTheme="minorHAnsi" w:hAnsiTheme="minorHAnsi" w:cstheme="minorBidi"/>
          <w:color w:val="495965" w:themeColor="text2"/>
          <w:sz w:val="22"/>
          <w:szCs w:val="22"/>
          <w:lang w:val="en-GB" w:eastAsia="en-US"/>
        </w:rPr>
        <w:t xml:space="preserve"> and as a result</w:t>
      </w:r>
      <w:r w:rsidR="003454DF">
        <w:rPr>
          <w:rFonts w:asciiTheme="minorHAnsi" w:eastAsiaTheme="minorHAnsi" w:hAnsiTheme="minorHAnsi" w:cstheme="minorBidi"/>
          <w:color w:val="495965" w:themeColor="text2"/>
          <w:sz w:val="22"/>
          <w:szCs w:val="22"/>
          <w:lang w:val="en-GB" w:eastAsia="en-US"/>
        </w:rPr>
        <w:t xml:space="preserve"> only contributes 30 per cent to GDP despite most of the popu</w:t>
      </w:r>
      <w:r>
        <w:rPr>
          <w:rFonts w:asciiTheme="minorHAnsi" w:eastAsiaTheme="minorHAnsi" w:hAnsiTheme="minorHAnsi" w:cstheme="minorBidi"/>
          <w:color w:val="495965" w:themeColor="text2"/>
          <w:sz w:val="22"/>
          <w:szCs w:val="22"/>
          <w:lang w:val="en-GB" w:eastAsia="en-US"/>
        </w:rPr>
        <w:t>lation generating a job from it</w:t>
      </w:r>
      <w:r w:rsidR="00EA6960" w:rsidRPr="00466F7D">
        <w:rPr>
          <w:rFonts w:asciiTheme="minorHAnsi" w:eastAsiaTheme="minorHAnsi" w:hAnsiTheme="minorHAnsi" w:cstheme="minorBidi"/>
          <w:color w:val="495965" w:themeColor="text2"/>
          <w:sz w:val="22"/>
          <w:szCs w:val="22"/>
          <w:lang w:val="en-GB" w:eastAsia="en-US"/>
        </w:rPr>
        <w:t>.</w:t>
      </w:r>
      <w:r w:rsidR="000C1DEC">
        <w:rPr>
          <w:rStyle w:val="FootnoteReference"/>
          <w:rFonts w:asciiTheme="minorHAnsi" w:eastAsiaTheme="minorHAnsi" w:hAnsiTheme="minorHAnsi" w:cstheme="minorBidi"/>
          <w:color w:val="495965" w:themeColor="text2"/>
          <w:sz w:val="22"/>
          <w:szCs w:val="22"/>
          <w:lang w:val="en-GB" w:eastAsia="en-US"/>
        </w:rPr>
        <w:footnoteReference w:id="14"/>
      </w:r>
      <w:r w:rsidR="00EA6960" w:rsidRPr="00466F7D">
        <w:rPr>
          <w:rFonts w:asciiTheme="minorHAnsi" w:eastAsiaTheme="minorHAnsi" w:hAnsiTheme="minorHAnsi" w:cstheme="minorBidi"/>
          <w:color w:val="495965" w:themeColor="text2"/>
          <w:sz w:val="22"/>
          <w:szCs w:val="22"/>
          <w:lang w:val="en-GB" w:eastAsia="en-US"/>
        </w:rPr>
        <w:t xml:space="preserve"> </w:t>
      </w:r>
    </w:p>
    <w:p w14:paraId="3CA6A6B7" w14:textId="4252E8E5" w:rsidR="00F340A6" w:rsidRDefault="00616CB7" w:rsidP="00616CB7">
      <w:pPr>
        <w:pStyle w:val="BodyText"/>
        <w:rPr>
          <w:rFonts w:asciiTheme="minorHAnsi" w:eastAsiaTheme="minorHAnsi" w:hAnsiTheme="minorHAnsi" w:cstheme="minorBidi"/>
          <w:color w:val="495965" w:themeColor="text2"/>
          <w:sz w:val="22"/>
          <w:szCs w:val="22"/>
          <w:lang w:val="en-GB" w:eastAsia="en-US"/>
        </w:rPr>
      </w:pPr>
      <w:r w:rsidRPr="00210F62">
        <w:rPr>
          <w:rFonts w:asciiTheme="minorHAnsi" w:eastAsiaTheme="minorHAnsi" w:hAnsiTheme="minorHAnsi" w:cstheme="minorBidi"/>
          <w:color w:val="495965" w:themeColor="text2"/>
          <w:sz w:val="22"/>
          <w:szCs w:val="22"/>
          <w:lang w:val="en-GB" w:eastAsia="en-US"/>
        </w:rPr>
        <w:t>Cambodia lags behind its more developed regional competitors</w:t>
      </w:r>
      <w:r>
        <w:rPr>
          <w:rFonts w:asciiTheme="minorHAnsi" w:eastAsiaTheme="minorHAnsi" w:hAnsiTheme="minorHAnsi" w:cstheme="minorBidi"/>
          <w:color w:val="495965" w:themeColor="text2"/>
          <w:sz w:val="22"/>
          <w:szCs w:val="22"/>
          <w:lang w:val="en-GB" w:eastAsia="en-US"/>
        </w:rPr>
        <w:t>, Thailand and Vietnam,</w:t>
      </w:r>
      <w:r w:rsidRPr="00210F62">
        <w:rPr>
          <w:rFonts w:asciiTheme="minorHAnsi" w:eastAsiaTheme="minorHAnsi" w:hAnsiTheme="minorHAnsi" w:cstheme="minorBidi"/>
          <w:color w:val="495965" w:themeColor="text2"/>
          <w:sz w:val="22"/>
          <w:szCs w:val="22"/>
          <w:lang w:val="en-GB" w:eastAsia="en-US"/>
        </w:rPr>
        <w:t xml:space="preserve"> and other Asian nations (for example China, India and Pakistan) on price and quality for its agricultural commodities</w:t>
      </w:r>
      <w:r w:rsidR="008E4949">
        <w:rPr>
          <w:rFonts w:asciiTheme="minorHAnsi" w:eastAsiaTheme="minorHAnsi" w:hAnsiTheme="minorHAnsi" w:cstheme="minorBidi"/>
          <w:color w:val="495965" w:themeColor="text2"/>
          <w:sz w:val="22"/>
          <w:szCs w:val="22"/>
          <w:lang w:val="en-GB" w:eastAsia="en-US"/>
        </w:rPr>
        <w:t xml:space="preserve">. </w:t>
      </w:r>
    </w:p>
    <w:p w14:paraId="60568662" w14:textId="77777777" w:rsidR="00EA6960" w:rsidRDefault="00210F62" w:rsidP="00EA6960">
      <w:pPr>
        <w:pStyle w:val="BodyText"/>
        <w:rPr>
          <w:rFonts w:asciiTheme="minorHAnsi" w:eastAsiaTheme="minorHAnsi" w:hAnsiTheme="minorHAnsi" w:cstheme="minorBidi"/>
          <w:color w:val="495965" w:themeColor="text2"/>
          <w:sz w:val="22"/>
          <w:szCs w:val="22"/>
          <w:lang w:val="en-GB" w:eastAsia="en-US"/>
        </w:rPr>
      </w:pPr>
      <w:r w:rsidRPr="00210F62">
        <w:rPr>
          <w:rFonts w:asciiTheme="minorHAnsi" w:eastAsiaTheme="minorHAnsi" w:hAnsiTheme="minorHAnsi" w:cstheme="minorBidi"/>
          <w:color w:val="495965" w:themeColor="text2"/>
          <w:sz w:val="22"/>
          <w:szCs w:val="22"/>
          <w:lang w:val="en-GB" w:eastAsia="en-US"/>
        </w:rPr>
        <w:t xml:space="preserve">For example, </w:t>
      </w:r>
      <w:r w:rsidR="00394C54">
        <w:rPr>
          <w:rFonts w:asciiTheme="minorHAnsi" w:eastAsiaTheme="minorHAnsi" w:hAnsiTheme="minorHAnsi" w:cstheme="minorBidi"/>
          <w:color w:val="495965" w:themeColor="text2"/>
          <w:sz w:val="22"/>
          <w:szCs w:val="22"/>
          <w:lang w:val="en-GB" w:eastAsia="en-US"/>
        </w:rPr>
        <w:t xml:space="preserve">paddy </w:t>
      </w:r>
      <w:r w:rsidRPr="00210F62">
        <w:rPr>
          <w:rFonts w:asciiTheme="minorHAnsi" w:eastAsiaTheme="minorHAnsi" w:hAnsiTheme="minorHAnsi" w:cstheme="minorBidi"/>
          <w:color w:val="495965" w:themeColor="text2"/>
          <w:sz w:val="22"/>
          <w:szCs w:val="22"/>
          <w:lang w:val="en-GB" w:eastAsia="en-US"/>
        </w:rPr>
        <w:t>rice production in Cambodia for 2014-15 was 2.51 tonnes/ha, while for Thailand and Vietnam it was 2.8</w:t>
      </w:r>
      <w:r w:rsidR="00622D99">
        <w:rPr>
          <w:rFonts w:asciiTheme="minorHAnsi" w:eastAsiaTheme="minorHAnsi" w:hAnsiTheme="minorHAnsi" w:cstheme="minorBidi"/>
          <w:color w:val="495965" w:themeColor="text2"/>
          <w:sz w:val="22"/>
          <w:szCs w:val="22"/>
          <w:lang w:val="en-GB" w:eastAsia="en-US"/>
        </w:rPr>
        <w:t>1</w:t>
      </w:r>
      <w:r w:rsidRPr="00210F62">
        <w:rPr>
          <w:rFonts w:asciiTheme="minorHAnsi" w:eastAsiaTheme="minorHAnsi" w:hAnsiTheme="minorHAnsi" w:cstheme="minorBidi"/>
          <w:color w:val="495965" w:themeColor="text2"/>
          <w:sz w:val="22"/>
          <w:szCs w:val="22"/>
          <w:lang w:val="en-GB" w:eastAsia="en-US"/>
        </w:rPr>
        <w:t xml:space="preserve"> tonnes/ha an</w:t>
      </w:r>
      <w:r w:rsidR="00F340A6">
        <w:rPr>
          <w:rFonts w:asciiTheme="minorHAnsi" w:eastAsiaTheme="minorHAnsi" w:hAnsiTheme="minorHAnsi" w:cstheme="minorBidi"/>
          <w:color w:val="495965" w:themeColor="text2"/>
          <w:sz w:val="22"/>
          <w:szCs w:val="22"/>
          <w:lang w:val="en-GB" w:eastAsia="en-US"/>
        </w:rPr>
        <w:t>d 5.8</w:t>
      </w:r>
      <w:r w:rsidR="00622D99">
        <w:rPr>
          <w:rFonts w:asciiTheme="minorHAnsi" w:eastAsiaTheme="minorHAnsi" w:hAnsiTheme="minorHAnsi" w:cstheme="minorBidi"/>
          <w:color w:val="495965" w:themeColor="text2"/>
          <w:sz w:val="22"/>
          <w:szCs w:val="22"/>
          <w:lang w:val="en-GB" w:eastAsia="en-US"/>
        </w:rPr>
        <w:t>9</w:t>
      </w:r>
      <w:r w:rsidR="00F340A6">
        <w:rPr>
          <w:rFonts w:asciiTheme="minorHAnsi" w:eastAsiaTheme="minorHAnsi" w:hAnsiTheme="minorHAnsi" w:cstheme="minorBidi"/>
          <w:color w:val="495965" w:themeColor="text2"/>
          <w:sz w:val="22"/>
          <w:szCs w:val="22"/>
          <w:lang w:val="en-GB" w:eastAsia="en-US"/>
        </w:rPr>
        <w:t xml:space="preserve"> tonnes/ha respectively.</w:t>
      </w:r>
      <w:r w:rsidR="000C1DEC">
        <w:rPr>
          <w:rStyle w:val="FootnoteReference"/>
          <w:rFonts w:asciiTheme="minorHAnsi" w:eastAsiaTheme="minorHAnsi" w:hAnsiTheme="minorHAnsi" w:cstheme="minorBidi"/>
          <w:color w:val="495965" w:themeColor="text2"/>
          <w:sz w:val="22"/>
          <w:szCs w:val="22"/>
          <w:lang w:val="en-GB" w:eastAsia="en-US"/>
        </w:rPr>
        <w:footnoteReference w:id="15"/>
      </w:r>
      <w:r w:rsidR="00F340A6">
        <w:rPr>
          <w:rFonts w:asciiTheme="minorHAnsi" w:eastAsiaTheme="minorHAnsi" w:hAnsiTheme="minorHAnsi" w:cstheme="minorBidi"/>
          <w:color w:val="495965" w:themeColor="text2"/>
          <w:sz w:val="22"/>
          <w:szCs w:val="22"/>
          <w:lang w:val="en-GB" w:eastAsia="en-US"/>
        </w:rPr>
        <w:t xml:space="preserve"> </w:t>
      </w:r>
      <w:r w:rsidR="00F56F57">
        <w:rPr>
          <w:rFonts w:asciiTheme="minorHAnsi" w:eastAsiaTheme="minorHAnsi" w:hAnsiTheme="minorHAnsi" w:cstheme="minorBidi"/>
          <w:color w:val="495965" w:themeColor="text2"/>
          <w:sz w:val="22"/>
          <w:szCs w:val="22"/>
          <w:lang w:val="en-GB" w:eastAsia="en-US"/>
        </w:rPr>
        <w:t>The ambitious</w:t>
      </w:r>
      <w:r w:rsidR="0028722C">
        <w:rPr>
          <w:rFonts w:asciiTheme="minorHAnsi" w:eastAsiaTheme="minorHAnsi" w:hAnsiTheme="minorHAnsi" w:cstheme="minorBidi"/>
          <w:color w:val="495965" w:themeColor="text2"/>
          <w:sz w:val="22"/>
          <w:szCs w:val="22"/>
          <w:lang w:val="en-GB" w:eastAsia="en-US"/>
        </w:rPr>
        <w:t xml:space="preserve"> target of exporting</w:t>
      </w:r>
      <w:r w:rsidR="00EA6960" w:rsidRPr="00466F7D">
        <w:rPr>
          <w:rFonts w:asciiTheme="minorHAnsi" w:eastAsiaTheme="minorHAnsi" w:hAnsiTheme="minorHAnsi" w:cstheme="minorBidi"/>
          <w:color w:val="495965" w:themeColor="text2"/>
          <w:sz w:val="22"/>
          <w:szCs w:val="22"/>
          <w:lang w:val="en-GB" w:eastAsia="en-US"/>
        </w:rPr>
        <w:t xml:space="preserve"> </w:t>
      </w:r>
      <w:r w:rsidR="00076160">
        <w:rPr>
          <w:rFonts w:asciiTheme="minorHAnsi" w:eastAsiaTheme="minorHAnsi" w:hAnsiTheme="minorHAnsi" w:cstheme="minorBidi"/>
          <w:color w:val="495965" w:themeColor="text2"/>
          <w:sz w:val="22"/>
          <w:szCs w:val="22"/>
          <w:lang w:val="en-GB" w:eastAsia="en-US"/>
        </w:rPr>
        <w:t>one</w:t>
      </w:r>
      <w:r w:rsidR="00115F59">
        <w:rPr>
          <w:rFonts w:asciiTheme="minorHAnsi" w:eastAsiaTheme="minorHAnsi" w:hAnsiTheme="minorHAnsi" w:cstheme="minorBidi"/>
          <w:color w:val="495965" w:themeColor="text2"/>
          <w:sz w:val="22"/>
          <w:szCs w:val="22"/>
          <w:lang w:val="en-GB" w:eastAsia="en-US"/>
        </w:rPr>
        <w:t> million</w:t>
      </w:r>
      <w:r w:rsidR="0028722C">
        <w:rPr>
          <w:rFonts w:asciiTheme="minorHAnsi" w:eastAsiaTheme="minorHAnsi" w:hAnsiTheme="minorHAnsi" w:cstheme="minorBidi"/>
          <w:color w:val="495965" w:themeColor="text2"/>
          <w:sz w:val="22"/>
          <w:szCs w:val="22"/>
          <w:lang w:val="en-GB" w:eastAsia="en-US"/>
        </w:rPr>
        <w:t xml:space="preserve"> tonnes of rice by 2015 </w:t>
      </w:r>
      <w:r w:rsidR="004F4708">
        <w:rPr>
          <w:rFonts w:asciiTheme="minorHAnsi" w:eastAsiaTheme="minorHAnsi" w:hAnsiTheme="minorHAnsi" w:cstheme="minorBidi"/>
          <w:color w:val="495965" w:themeColor="text2"/>
          <w:sz w:val="22"/>
          <w:szCs w:val="22"/>
          <w:lang w:val="en-GB" w:eastAsia="en-US"/>
        </w:rPr>
        <w:t>fell short by 500,000 tonnes</w:t>
      </w:r>
      <w:r w:rsidR="00F56F57">
        <w:rPr>
          <w:rFonts w:asciiTheme="minorHAnsi" w:eastAsiaTheme="minorHAnsi" w:hAnsiTheme="minorHAnsi" w:cstheme="minorBidi"/>
          <w:color w:val="495965" w:themeColor="text2"/>
          <w:sz w:val="22"/>
          <w:szCs w:val="22"/>
          <w:lang w:val="en-GB" w:eastAsia="en-US"/>
        </w:rPr>
        <w:t>,</w:t>
      </w:r>
      <w:r w:rsidR="0028722C">
        <w:rPr>
          <w:rFonts w:asciiTheme="minorHAnsi" w:eastAsiaTheme="minorHAnsi" w:hAnsiTheme="minorHAnsi" w:cstheme="minorBidi"/>
          <w:color w:val="495965" w:themeColor="text2"/>
          <w:sz w:val="22"/>
          <w:szCs w:val="22"/>
          <w:lang w:val="en-GB" w:eastAsia="en-US"/>
        </w:rPr>
        <w:t xml:space="preserve"> though it remains a</w:t>
      </w:r>
      <w:r w:rsidR="00F340A6">
        <w:rPr>
          <w:rFonts w:asciiTheme="minorHAnsi" w:eastAsiaTheme="minorHAnsi" w:hAnsiTheme="minorHAnsi" w:cstheme="minorBidi"/>
          <w:color w:val="495965" w:themeColor="text2"/>
          <w:sz w:val="22"/>
          <w:szCs w:val="22"/>
          <w:lang w:val="en-GB" w:eastAsia="en-US"/>
        </w:rPr>
        <w:t xml:space="preserve"> </w:t>
      </w:r>
      <w:r w:rsidR="004F4708">
        <w:rPr>
          <w:rFonts w:asciiTheme="minorHAnsi" w:eastAsiaTheme="minorHAnsi" w:hAnsiTheme="minorHAnsi" w:cstheme="minorBidi"/>
          <w:color w:val="495965" w:themeColor="text2"/>
          <w:sz w:val="22"/>
          <w:szCs w:val="22"/>
          <w:lang w:val="en-GB" w:eastAsia="en-US"/>
        </w:rPr>
        <w:t>priority of the Cambodian G</w:t>
      </w:r>
      <w:r w:rsidR="00EA6960" w:rsidRPr="00466F7D">
        <w:rPr>
          <w:rFonts w:asciiTheme="minorHAnsi" w:eastAsiaTheme="minorHAnsi" w:hAnsiTheme="minorHAnsi" w:cstheme="minorBidi"/>
          <w:color w:val="495965" w:themeColor="text2"/>
          <w:sz w:val="22"/>
          <w:szCs w:val="22"/>
          <w:lang w:val="en-GB" w:eastAsia="en-US"/>
        </w:rPr>
        <w:t>overnment.</w:t>
      </w:r>
    </w:p>
    <w:p w14:paraId="726E3783" w14:textId="6A26FF95" w:rsidR="00EA6960" w:rsidRPr="00466F7D" w:rsidRDefault="00210F62" w:rsidP="00EA6960">
      <w:pPr>
        <w:pStyle w:val="BodyText"/>
        <w:rPr>
          <w:rFonts w:asciiTheme="minorHAnsi" w:eastAsiaTheme="minorHAnsi" w:hAnsiTheme="minorHAnsi" w:cstheme="minorBidi"/>
          <w:color w:val="495965" w:themeColor="text2"/>
          <w:sz w:val="22"/>
          <w:szCs w:val="22"/>
          <w:lang w:val="en-GB" w:eastAsia="en-US"/>
        </w:rPr>
      </w:pPr>
      <w:r w:rsidRPr="00210F62">
        <w:rPr>
          <w:rFonts w:asciiTheme="minorHAnsi" w:eastAsiaTheme="minorHAnsi" w:hAnsiTheme="minorHAnsi" w:cstheme="minorBidi"/>
          <w:color w:val="495965" w:themeColor="text2"/>
          <w:sz w:val="22"/>
          <w:szCs w:val="22"/>
          <w:lang w:val="en-GB" w:eastAsia="en-US"/>
        </w:rPr>
        <w:t>Many factors contribute to Cambodian agriculture not reaching its full potential. These include: inadequate irrigation infrastructure; immature market</w:t>
      </w:r>
      <w:r w:rsidR="00394C54">
        <w:rPr>
          <w:rFonts w:asciiTheme="minorHAnsi" w:eastAsiaTheme="minorHAnsi" w:hAnsiTheme="minorHAnsi" w:cstheme="minorBidi"/>
          <w:color w:val="495965" w:themeColor="text2"/>
          <w:sz w:val="22"/>
          <w:szCs w:val="22"/>
          <w:lang w:val="en-GB" w:eastAsia="en-US"/>
        </w:rPr>
        <w:t>s</w:t>
      </w:r>
      <w:r w:rsidRPr="00210F62">
        <w:rPr>
          <w:rFonts w:asciiTheme="minorHAnsi" w:eastAsiaTheme="minorHAnsi" w:hAnsiTheme="minorHAnsi" w:cstheme="minorBidi"/>
          <w:color w:val="495965" w:themeColor="text2"/>
          <w:sz w:val="22"/>
          <w:szCs w:val="22"/>
          <w:lang w:val="en-GB" w:eastAsia="en-US"/>
        </w:rPr>
        <w:t xml:space="preserve"> for agricultural inputs (e.g. fertilizer, pesticides); limited </w:t>
      </w:r>
      <w:r w:rsidR="00616CB7">
        <w:rPr>
          <w:rFonts w:asciiTheme="minorHAnsi" w:eastAsiaTheme="minorHAnsi" w:hAnsiTheme="minorHAnsi" w:cstheme="minorBidi"/>
          <w:color w:val="495965" w:themeColor="text2"/>
          <w:sz w:val="22"/>
          <w:szCs w:val="22"/>
          <w:lang w:val="en-GB" w:eastAsia="en-US"/>
        </w:rPr>
        <w:t xml:space="preserve">credit </w:t>
      </w:r>
      <w:r w:rsidRPr="00210F62">
        <w:rPr>
          <w:rFonts w:asciiTheme="minorHAnsi" w:eastAsiaTheme="minorHAnsi" w:hAnsiTheme="minorHAnsi" w:cstheme="minorBidi"/>
          <w:color w:val="495965" w:themeColor="text2"/>
          <w:sz w:val="22"/>
          <w:szCs w:val="22"/>
          <w:lang w:val="en-GB" w:eastAsia="en-US"/>
        </w:rPr>
        <w:t xml:space="preserve">access </w:t>
      </w:r>
      <w:r w:rsidR="00616CB7">
        <w:rPr>
          <w:rFonts w:asciiTheme="minorHAnsi" w:eastAsiaTheme="minorHAnsi" w:hAnsiTheme="minorHAnsi" w:cstheme="minorBidi"/>
          <w:color w:val="495965" w:themeColor="text2"/>
          <w:sz w:val="22"/>
          <w:szCs w:val="22"/>
          <w:lang w:val="en-GB" w:eastAsia="en-US"/>
        </w:rPr>
        <w:t>for farmers</w:t>
      </w:r>
      <w:r w:rsidRPr="00210F62">
        <w:rPr>
          <w:rFonts w:asciiTheme="minorHAnsi" w:eastAsiaTheme="minorHAnsi" w:hAnsiTheme="minorHAnsi" w:cstheme="minorBidi"/>
          <w:color w:val="495965" w:themeColor="text2"/>
          <w:sz w:val="22"/>
          <w:szCs w:val="22"/>
          <w:lang w:val="en-GB" w:eastAsia="en-US"/>
        </w:rPr>
        <w:t>; inefficient processing systems (e.g. rice milling); labour shortages; skills shortages at all points of the value chain; and expensive, unreliable energy supplies.</w:t>
      </w:r>
      <w:r w:rsidR="004F4708">
        <w:rPr>
          <w:rFonts w:asciiTheme="minorHAnsi" w:eastAsiaTheme="minorHAnsi" w:hAnsiTheme="minorHAnsi" w:cstheme="minorBidi"/>
          <w:color w:val="495965" w:themeColor="text2"/>
          <w:sz w:val="22"/>
          <w:szCs w:val="22"/>
          <w:lang w:val="en-GB" w:eastAsia="en-US"/>
        </w:rPr>
        <w:t xml:space="preserve"> The 2015-16 drought </w:t>
      </w:r>
      <w:r w:rsidR="00BE3467">
        <w:rPr>
          <w:rFonts w:asciiTheme="minorHAnsi" w:eastAsiaTheme="minorHAnsi" w:hAnsiTheme="minorHAnsi" w:cstheme="minorBidi"/>
          <w:color w:val="495965" w:themeColor="text2"/>
          <w:sz w:val="22"/>
          <w:szCs w:val="22"/>
          <w:lang w:val="en-GB" w:eastAsia="en-US"/>
        </w:rPr>
        <w:t>saw</w:t>
      </w:r>
      <w:r w:rsidR="006457D3">
        <w:rPr>
          <w:rFonts w:asciiTheme="minorHAnsi" w:eastAsiaTheme="minorHAnsi" w:hAnsiTheme="minorHAnsi" w:cstheme="minorBidi"/>
          <w:color w:val="495965" w:themeColor="text2"/>
          <w:sz w:val="22"/>
          <w:szCs w:val="22"/>
          <w:lang w:val="en-GB" w:eastAsia="en-US"/>
        </w:rPr>
        <w:t xml:space="preserve"> </w:t>
      </w:r>
      <w:r w:rsidR="000C1DEC">
        <w:rPr>
          <w:rFonts w:asciiTheme="minorHAnsi" w:eastAsiaTheme="minorHAnsi" w:hAnsiTheme="minorHAnsi" w:cstheme="minorBidi"/>
          <w:color w:val="495965" w:themeColor="text2"/>
          <w:sz w:val="22"/>
          <w:szCs w:val="22"/>
          <w:lang w:val="en-GB" w:eastAsia="en-US"/>
        </w:rPr>
        <w:t xml:space="preserve">many </w:t>
      </w:r>
      <w:r w:rsidR="00EA6960" w:rsidRPr="00466F7D">
        <w:rPr>
          <w:rFonts w:asciiTheme="minorHAnsi" w:eastAsiaTheme="minorHAnsi" w:hAnsiTheme="minorHAnsi" w:cstheme="minorBidi"/>
          <w:color w:val="495965" w:themeColor="text2"/>
          <w:sz w:val="22"/>
          <w:szCs w:val="22"/>
          <w:lang w:val="en-GB" w:eastAsia="en-US"/>
        </w:rPr>
        <w:t xml:space="preserve">farmers </w:t>
      </w:r>
      <w:r w:rsidR="00616CB7">
        <w:rPr>
          <w:rFonts w:asciiTheme="minorHAnsi" w:eastAsiaTheme="minorHAnsi" w:hAnsiTheme="minorHAnsi" w:cstheme="minorBidi"/>
          <w:color w:val="495965" w:themeColor="text2"/>
          <w:sz w:val="22"/>
          <w:szCs w:val="22"/>
          <w:lang w:val="en-GB" w:eastAsia="en-US"/>
        </w:rPr>
        <w:t xml:space="preserve">incur </w:t>
      </w:r>
      <w:r w:rsidR="006457D3">
        <w:rPr>
          <w:rFonts w:asciiTheme="minorHAnsi" w:eastAsiaTheme="minorHAnsi" w:hAnsiTheme="minorHAnsi" w:cstheme="minorBidi"/>
          <w:color w:val="495965" w:themeColor="text2"/>
          <w:sz w:val="22"/>
          <w:szCs w:val="22"/>
          <w:lang w:val="en-GB" w:eastAsia="en-US"/>
        </w:rPr>
        <w:t>further debt to purchase</w:t>
      </w:r>
      <w:r w:rsidR="00EA6960" w:rsidRPr="00466F7D">
        <w:rPr>
          <w:rFonts w:asciiTheme="minorHAnsi" w:eastAsiaTheme="minorHAnsi" w:hAnsiTheme="minorHAnsi" w:cstheme="minorBidi"/>
          <w:color w:val="495965" w:themeColor="text2"/>
          <w:sz w:val="22"/>
          <w:szCs w:val="22"/>
          <w:lang w:val="en-GB" w:eastAsia="en-US"/>
        </w:rPr>
        <w:t xml:space="preserve"> </w:t>
      </w:r>
      <w:r w:rsidR="006457D3">
        <w:rPr>
          <w:rFonts w:asciiTheme="minorHAnsi" w:eastAsiaTheme="minorHAnsi" w:hAnsiTheme="minorHAnsi" w:cstheme="minorBidi"/>
          <w:color w:val="495965" w:themeColor="text2"/>
          <w:sz w:val="22"/>
          <w:szCs w:val="22"/>
          <w:lang w:val="en-GB" w:eastAsia="en-US"/>
        </w:rPr>
        <w:t xml:space="preserve">water and seeds. </w:t>
      </w:r>
    </w:p>
    <w:p w14:paraId="09549B99" w14:textId="5137DEA9" w:rsidR="002B1A00" w:rsidRDefault="00793845" w:rsidP="00EA6960">
      <w:pPr>
        <w:pStyle w:val="BodyText"/>
        <w:rPr>
          <w:rFonts w:asciiTheme="minorHAnsi" w:eastAsiaTheme="minorHAnsi" w:hAnsiTheme="minorHAnsi" w:cstheme="minorBidi"/>
          <w:color w:val="495965" w:themeColor="text2"/>
          <w:sz w:val="22"/>
          <w:szCs w:val="22"/>
          <w:lang w:val="en-GB" w:eastAsia="en-US"/>
        </w:rPr>
      </w:pPr>
      <w:r w:rsidRPr="00793845">
        <w:rPr>
          <w:rFonts w:asciiTheme="minorHAnsi" w:eastAsiaTheme="minorHAnsi" w:hAnsiTheme="minorHAnsi" w:cstheme="minorBidi"/>
          <w:b/>
          <w:color w:val="495965" w:themeColor="text2"/>
          <w:sz w:val="22"/>
          <w:szCs w:val="22"/>
          <w:lang w:val="en-GB" w:eastAsia="en-US"/>
        </w:rPr>
        <w:t>Cambodian Agriculture Value Chain Program</w:t>
      </w:r>
      <w:r>
        <w:rPr>
          <w:rFonts w:asciiTheme="minorHAnsi" w:eastAsiaTheme="minorHAnsi" w:hAnsiTheme="minorHAnsi" w:cstheme="minorBidi"/>
          <w:b/>
          <w:color w:val="495965" w:themeColor="text2"/>
          <w:sz w:val="22"/>
          <w:szCs w:val="22"/>
          <w:lang w:val="en-GB" w:eastAsia="en-US"/>
        </w:rPr>
        <w:t xml:space="preserve"> Phase One</w:t>
      </w:r>
      <w:r w:rsidRPr="00793845">
        <w:rPr>
          <w:rFonts w:asciiTheme="minorHAnsi" w:eastAsiaTheme="minorHAnsi" w:hAnsiTheme="minorHAnsi" w:cstheme="minorBidi"/>
          <w:b/>
          <w:color w:val="495965" w:themeColor="text2"/>
          <w:sz w:val="22"/>
          <w:szCs w:val="22"/>
          <w:lang w:val="en-GB" w:eastAsia="en-US"/>
        </w:rPr>
        <w:t xml:space="preserve"> </w:t>
      </w:r>
      <w:r>
        <w:rPr>
          <w:rFonts w:asciiTheme="minorHAnsi" w:eastAsiaTheme="minorHAnsi" w:hAnsiTheme="minorHAnsi" w:cstheme="minorBidi"/>
          <w:b/>
          <w:color w:val="495965" w:themeColor="text2"/>
          <w:sz w:val="22"/>
          <w:szCs w:val="22"/>
          <w:lang w:val="en-GB" w:eastAsia="en-US"/>
        </w:rPr>
        <w:t>(</w:t>
      </w:r>
      <w:r w:rsidR="00EA6960" w:rsidRPr="00793845">
        <w:rPr>
          <w:rFonts w:asciiTheme="minorHAnsi" w:eastAsiaTheme="minorHAnsi" w:hAnsiTheme="minorHAnsi" w:cstheme="minorBidi"/>
          <w:b/>
          <w:color w:val="495965" w:themeColor="text2"/>
          <w:sz w:val="22"/>
          <w:szCs w:val="22"/>
          <w:lang w:val="en-GB" w:eastAsia="en-US"/>
        </w:rPr>
        <w:t>CAVAC</w:t>
      </w:r>
      <w:r w:rsidR="006457D3" w:rsidRPr="00793845">
        <w:rPr>
          <w:rFonts w:asciiTheme="minorHAnsi" w:eastAsiaTheme="minorHAnsi" w:hAnsiTheme="minorHAnsi" w:cstheme="minorBidi"/>
          <w:b/>
          <w:color w:val="495965" w:themeColor="text2"/>
          <w:sz w:val="22"/>
          <w:szCs w:val="22"/>
          <w:lang w:val="en-GB" w:eastAsia="en-US"/>
        </w:rPr>
        <w:t xml:space="preserve"> I</w:t>
      </w:r>
      <w:r>
        <w:rPr>
          <w:rFonts w:asciiTheme="minorHAnsi" w:eastAsiaTheme="minorHAnsi" w:hAnsiTheme="minorHAnsi" w:cstheme="minorBidi"/>
          <w:b/>
          <w:color w:val="495965" w:themeColor="text2"/>
          <w:sz w:val="22"/>
          <w:szCs w:val="22"/>
          <w:lang w:val="en-GB" w:eastAsia="en-US"/>
        </w:rPr>
        <w:t>)</w:t>
      </w:r>
      <w:r w:rsidR="006457D3">
        <w:rPr>
          <w:rFonts w:asciiTheme="minorHAnsi" w:eastAsiaTheme="minorHAnsi" w:hAnsiTheme="minorHAnsi" w:cstheme="minorBidi"/>
          <w:color w:val="495965" w:themeColor="text2"/>
          <w:sz w:val="22"/>
          <w:szCs w:val="22"/>
          <w:lang w:val="en-GB" w:eastAsia="en-US"/>
        </w:rPr>
        <w:t>, which concluded in December 2015, proved</w:t>
      </w:r>
      <w:r w:rsidR="008A6A80">
        <w:rPr>
          <w:rFonts w:asciiTheme="minorHAnsi" w:eastAsiaTheme="minorHAnsi" w:hAnsiTheme="minorHAnsi" w:cstheme="minorBidi"/>
          <w:color w:val="495965" w:themeColor="text2"/>
          <w:sz w:val="22"/>
          <w:szCs w:val="22"/>
          <w:lang w:val="en-GB" w:eastAsia="en-US"/>
        </w:rPr>
        <w:t xml:space="preserve"> to be an effective model for market development. </w:t>
      </w:r>
      <w:r w:rsidR="00554606">
        <w:rPr>
          <w:rFonts w:asciiTheme="minorHAnsi" w:eastAsiaTheme="minorHAnsi" w:hAnsiTheme="minorHAnsi" w:cstheme="minorBidi"/>
          <w:color w:val="495965" w:themeColor="text2"/>
          <w:sz w:val="22"/>
          <w:szCs w:val="22"/>
          <w:lang w:val="en-GB" w:eastAsia="en-US"/>
        </w:rPr>
        <w:t>It</w:t>
      </w:r>
      <w:r w:rsidR="008A6A80">
        <w:rPr>
          <w:rFonts w:asciiTheme="minorHAnsi" w:eastAsiaTheme="minorHAnsi" w:hAnsiTheme="minorHAnsi" w:cstheme="minorBidi"/>
          <w:color w:val="495965" w:themeColor="text2"/>
          <w:sz w:val="22"/>
          <w:szCs w:val="22"/>
          <w:lang w:val="en-GB" w:eastAsia="en-US"/>
        </w:rPr>
        <w:t xml:space="preserve"> </w:t>
      </w:r>
      <w:r w:rsidR="00EA6960" w:rsidRPr="00466F7D">
        <w:rPr>
          <w:rFonts w:asciiTheme="minorHAnsi" w:eastAsiaTheme="minorHAnsi" w:hAnsiTheme="minorHAnsi" w:cstheme="minorBidi"/>
          <w:color w:val="495965" w:themeColor="text2"/>
          <w:sz w:val="22"/>
          <w:szCs w:val="22"/>
          <w:lang w:val="en-GB" w:eastAsia="en-US"/>
        </w:rPr>
        <w:t>increase</w:t>
      </w:r>
      <w:r w:rsidR="00076160">
        <w:rPr>
          <w:rFonts w:asciiTheme="minorHAnsi" w:eastAsiaTheme="minorHAnsi" w:hAnsiTheme="minorHAnsi" w:cstheme="minorBidi"/>
          <w:color w:val="495965" w:themeColor="text2"/>
          <w:sz w:val="22"/>
          <w:szCs w:val="22"/>
          <w:lang w:val="en-GB" w:eastAsia="en-US"/>
        </w:rPr>
        <w:t>d</w:t>
      </w:r>
      <w:r w:rsidR="00EA6960" w:rsidRPr="00466F7D">
        <w:rPr>
          <w:rFonts w:asciiTheme="minorHAnsi" w:eastAsiaTheme="minorHAnsi" w:hAnsiTheme="minorHAnsi" w:cstheme="minorBidi"/>
          <w:color w:val="495965" w:themeColor="text2"/>
          <w:sz w:val="22"/>
          <w:szCs w:val="22"/>
          <w:lang w:val="en-GB" w:eastAsia="en-US"/>
        </w:rPr>
        <w:t xml:space="preserve"> the productivity and incomes of small</w:t>
      </w:r>
      <w:r w:rsidR="006457D3">
        <w:rPr>
          <w:rFonts w:asciiTheme="minorHAnsi" w:eastAsiaTheme="minorHAnsi" w:hAnsiTheme="minorHAnsi" w:cstheme="minorBidi"/>
          <w:color w:val="495965" w:themeColor="text2"/>
          <w:sz w:val="22"/>
          <w:szCs w:val="22"/>
          <w:lang w:val="en-GB" w:eastAsia="en-US"/>
        </w:rPr>
        <w:t>holder</w:t>
      </w:r>
      <w:r w:rsidR="00EA6960" w:rsidRPr="00466F7D">
        <w:rPr>
          <w:rFonts w:asciiTheme="minorHAnsi" w:eastAsiaTheme="minorHAnsi" w:hAnsiTheme="minorHAnsi" w:cstheme="minorBidi"/>
          <w:color w:val="495965" w:themeColor="text2"/>
          <w:sz w:val="22"/>
          <w:szCs w:val="22"/>
          <w:lang w:val="en-GB" w:eastAsia="en-US"/>
        </w:rPr>
        <w:t xml:space="preserve"> farmers</w:t>
      </w:r>
      <w:r w:rsidR="006457D3">
        <w:rPr>
          <w:rFonts w:asciiTheme="minorHAnsi" w:eastAsiaTheme="minorHAnsi" w:hAnsiTheme="minorHAnsi" w:cstheme="minorBidi"/>
          <w:color w:val="495965" w:themeColor="text2"/>
          <w:sz w:val="22"/>
          <w:szCs w:val="22"/>
          <w:lang w:val="en-GB" w:eastAsia="en-US"/>
        </w:rPr>
        <w:t xml:space="preserve"> </w:t>
      </w:r>
      <w:r w:rsidR="00EA6960" w:rsidRPr="00466F7D">
        <w:rPr>
          <w:rFonts w:asciiTheme="minorHAnsi" w:eastAsiaTheme="minorHAnsi" w:hAnsiTheme="minorHAnsi" w:cstheme="minorBidi"/>
          <w:color w:val="495965" w:themeColor="text2"/>
          <w:sz w:val="22"/>
          <w:szCs w:val="22"/>
          <w:lang w:val="en-GB" w:eastAsia="en-US"/>
        </w:rPr>
        <w:t>by strengthening market systems and investing in irrigation infrastructure</w:t>
      </w:r>
      <w:r w:rsidR="008A6A80">
        <w:rPr>
          <w:rFonts w:asciiTheme="minorHAnsi" w:eastAsiaTheme="minorHAnsi" w:hAnsiTheme="minorHAnsi" w:cstheme="minorBidi"/>
          <w:color w:val="495965" w:themeColor="text2"/>
          <w:sz w:val="22"/>
          <w:szCs w:val="22"/>
          <w:lang w:val="en-GB" w:eastAsia="en-US"/>
        </w:rPr>
        <w:t>.</w:t>
      </w:r>
      <w:r w:rsidR="008A6A80" w:rsidRPr="008A6A80">
        <w:rPr>
          <w:rFonts w:asciiTheme="minorHAnsi" w:eastAsiaTheme="minorHAnsi" w:hAnsiTheme="minorHAnsi" w:cstheme="minorBidi"/>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R</w:t>
      </w:r>
      <w:r w:rsidR="006457D3">
        <w:rPr>
          <w:rFonts w:asciiTheme="minorHAnsi" w:eastAsiaTheme="minorHAnsi" w:hAnsiTheme="minorHAnsi" w:cstheme="minorBidi"/>
          <w:color w:val="495965" w:themeColor="text2"/>
          <w:sz w:val="22"/>
          <w:szCs w:val="22"/>
          <w:lang w:val="en-GB" w:eastAsia="en-US"/>
        </w:rPr>
        <w:t>esults were impressive and will continue to provide benefits for years to come</w:t>
      </w:r>
      <w:r w:rsidR="007C6141">
        <w:rPr>
          <w:rFonts w:asciiTheme="minorHAnsi" w:eastAsiaTheme="minorHAnsi" w:hAnsiTheme="minorHAnsi" w:cstheme="minorBidi"/>
          <w:color w:val="495965" w:themeColor="text2"/>
          <w:sz w:val="22"/>
          <w:szCs w:val="22"/>
          <w:lang w:val="en-GB" w:eastAsia="en-US"/>
        </w:rPr>
        <w:t xml:space="preserve">. About </w:t>
      </w:r>
      <w:r w:rsidR="00155AE9">
        <w:rPr>
          <w:rFonts w:asciiTheme="minorHAnsi" w:eastAsiaTheme="minorHAnsi" w:hAnsiTheme="minorHAnsi" w:cstheme="minorBidi"/>
          <w:color w:val="495965" w:themeColor="text2"/>
          <w:sz w:val="22"/>
          <w:szCs w:val="22"/>
          <w:lang w:val="en-GB" w:eastAsia="en-US"/>
        </w:rPr>
        <w:t>19,</w:t>
      </w:r>
      <w:r w:rsidR="00221FAA">
        <w:rPr>
          <w:rFonts w:asciiTheme="minorHAnsi" w:eastAsiaTheme="minorHAnsi" w:hAnsiTheme="minorHAnsi" w:cstheme="minorBidi"/>
          <w:color w:val="495965" w:themeColor="text2"/>
          <w:sz w:val="22"/>
          <w:szCs w:val="22"/>
          <w:lang w:val="en-GB" w:eastAsia="en-US"/>
        </w:rPr>
        <w:t>000 households increase</w:t>
      </w:r>
      <w:r w:rsidR="007C6141">
        <w:rPr>
          <w:rFonts w:asciiTheme="minorHAnsi" w:eastAsiaTheme="minorHAnsi" w:hAnsiTheme="minorHAnsi" w:cstheme="minorBidi"/>
          <w:color w:val="495965" w:themeColor="text2"/>
          <w:sz w:val="22"/>
          <w:szCs w:val="22"/>
          <w:lang w:val="en-GB" w:eastAsia="en-US"/>
        </w:rPr>
        <w:t>d</w:t>
      </w:r>
      <w:r w:rsidR="00221FAA">
        <w:rPr>
          <w:rFonts w:asciiTheme="minorHAnsi" w:eastAsiaTheme="minorHAnsi" w:hAnsiTheme="minorHAnsi" w:cstheme="minorBidi"/>
          <w:color w:val="495965" w:themeColor="text2"/>
          <w:sz w:val="22"/>
          <w:szCs w:val="22"/>
          <w:lang w:val="en-GB" w:eastAsia="en-US"/>
        </w:rPr>
        <w:t xml:space="preserve"> their </w:t>
      </w:r>
      <w:r w:rsidR="007C6141">
        <w:rPr>
          <w:rFonts w:asciiTheme="minorHAnsi" w:eastAsiaTheme="minorHAnsi" w:hAnsiTheme="minorHAnsi" w:cstheme="minorBidi"/>
          <w:color w:val="495965" w:themeColor="text2"/>
          <w:sz w:val="22"/>
          <w:szCs w:val="22"/>
          <w:lang w:val="en-GB" w:eastAsia="en-US"/>
        </w:rPr>
        <w:t>agricultural productivity</w:t>
      </w:r>
      <w:r>
        <w:rPr>
          <w:rFonts w:asciiTheme="minorHAnsi" w:eastAsiaTheme="minorHAnsi" w:hAnsiTheme="minorHAnsi" w:cstheme="minorBidi"/>
          <w:color w:val="495965" w:themeColor="text2"/>
          <w:sz w:val="22"/>
          <w:szCs w:val="22"/>
          <w:lang w:val="en-GB" w:eastAsia="en-US"/>
        </w:rPr>
        <w:t>, which equates to about 100,000 people having more food or a higher income</w:t>
      </w:r>
      <w:r w:rsidR="007C6141">
        <w:rPr>
          <w:rFonts w:asciiTheme="minorHAnsi" w:eastAsiaTheme="minorHAnsi" w:hAnsiTheme="minorHAnsi" w:cstheme="minorBidi"/>
          <w:color w:val="495965" w:themeColor="text2"/>
          <w:sz w:val="22"/>
          <w:szCs w:val="22"/>
          <w:lang w:val="en-GB" w:eastAsia="en-US"/>
        </w:rPr>
        <w:t>. Access to reliable water from the</w:t>
      </w:r>
      <w:r w:rsidR="00221FAA">
        <w:rPr>
          <w:rFonts w:asciiTheme="minorHAnsi" w:eastAsiaTheme="minorHAnsi" w:hAnsiTheme="minorHAnsi" w:cstheme="minorBidi"/>
          <w:color w:val="495965" w:themeColor="text2"/>
          <w:sz w:val="22"/>
          <w:szCs w:val="22"/>
          <w:lang w:val="en-GB" w:eastAsia="en-US"/>
        </w:rPr>
        <w:t xml:space="preserve"> 20 irrigation schemes </w:t>
      </w:r>
      <w:r w:rsidR="007C6141">
        <w:rPr>
          <w:rFonts w:asciiTheme="minorHAnsi" w:eastAsiaTheme="minorHAnsi" w:hAnsiTheme="minorHAnsi" w:cstheme="minorBidi"/>
          <w:color w:val="495965" w:themeColor="text2"/>
          <w:sz w:val="22"/>
          <w:szCs w:val="22"/>
          <w:lang w:val="en-GB" w:eastAsia="en-US"/>
        </w:rPr>
        <w:t>helped increase</w:t>
      </w:r>
      <w:r w:rsidR="00221FAA">
        <w:rPr>
          <w:rFonts w:asciiTheme="minorHAnsi" w:eastAsiaTheme="minorHAnsi" w:hAnsiTheme="minorHAnsi" w:cstheme="minorBidi"/>
          <w:color w:val="495965" w:themeColor="text2"/>
          <w:sz w:val="22"/>
          <w:szCs w:val="22"/>
          <w:lang w:val="en-GB" w:eastAsia="en-US"/>
        </w:rPr>
        <w:t xml:space="preserve"> </w:t>
      </w:r>
      <w:r w:rsidR="00394C54">
        <w:rPr>
          <w:rFonts w:asciiTheme="minorHAnsi" w:eastAsiaTheme="minorHAnsi" w:hAnsiTheme="minorHAnsi" w:cstheme="minorBidi"/>
          <w:color w:val="495965" w:themeColor="text2"/>
          <w:sz w:val="22"/>
          <w:szCs w:val="22"/>
          <w:lang w:val="en-GB" w:eastAsia="en-US"/>
        </w:rPr>
        <w:t xml:space="preserve">rice </w:t>
      </w:r>
      <w:r w:rsidR="00221FAA">
        <w:rPr>
          <w:rFonts w:asciiTheme="minorHAnsi" w:eastAsiaTheme="minorHAnsi" w:hAnsiTheme="minorHAnsi" w:cstheme="minorBidi"/>
          <w:color w:val="495965" w:themeColor="text2"/>
          <w:sz w:val="22"/>
          <w:szCs w:val="22"/>
          <w:lang w:val="en-GB" w:eastAsia="en-US"/>
        </w:rPr>
        <w:t>pro</w:t>
      </w:r>
      <w:r w:rsidR="007C6141">
        <w:rPr>
          <w:rFonts w:asciiTheme="minorHAnsi" w:eastAsiaTheme="minorHAnsi" w:hAnsiTheme="minorHAnsi" w:cstheme="minorBidi"/>
          <w:color w:val="495965" w:themeColor="text2"/>
          <w:sz w:val="22"/>
          <w:szCs w:val="22"/>
          <w:lang w:val="en-GB" w:eastAsia="en-US"/>
        </w:rPr>
        <w:t xml:space="preserve">duction by over 200,000 tonnes </w:t>
      </w:r>
      <w:r w:rsidR="00221FAA">
        <w:rPr>
          <w:rFonts w:asciiTheme="minorHAnsi" w:eastAsiaTheme="minorHAnsi" w:hAnsiTheme="minorHAnsi" w:cstheme="minorBidi"/>
          <w:color w:val="495965" w:themeColor="text2"/>
          <w:sz w:val="22"/>
          <w:szCs w:val="22"/>
          <w:lang w:val="en-GB" w:eastAsia="en-US"/>
        </w:rPr>
        <w:t xml:space="preserve">with an estimated value of </w:t>
      </w:r>
      <w:r w:rsidR="00394C54">
        <w:rPr>
          <w:rFonts w:asciiTheme="minorHAnsi" w:eastAsiaTheme="minorHAnsi" w:hAnsiTheme="minorHAnsi" w:cstheme="minorBidi"/>
          <w:color w:val="495965" w:themeColor="text2"/>
          <w:sz w:val="22"/>
          <w:szCs w:val="22"/>
          <w:lang w:val="en-GB" w:eastAsia="en-US"/>
        </w:rPr>
        <w:t>USD</w:t>
      </w:r>
      <w:r w:rsidR="00240377" w:rsidRPr="00394C54">
        <w:rPr>
          <w:rFonts w:asciiTheme="minorHAnsi" w:eastAsiaTheme="minorHAnsi" w:hAnsiTheme="minorHAnsi" w:cstheme="minorBidi"/>
          <w:color w:val="495965" w:themeColor="text2"/>
          <w:sz w:val="22"/>
          <w:szCs w:val="22"/>
          <w:lang w:val="en-GB" w:eastAsia="en-US"/>
        </w:rPr>
        <w:t>43</w:t>
      </w:r>
      <w:r w:rsidR="00076160" w:rsidRPr="00394C54">
        <w:rPr>
          <w:rFonts w:asciiTheme="minorHAnsi" w:eastAsiaTheme="minorHAnsi" w:hAnsiTheme="minorHAnsi" w:cstheme="minorBidi"/>
          <w:color w:val="495965" w:themeColor="text2"/>
          <w:sz w:val="22"/>
          <w:szCs w:val="22"/>
          <w:lang w:val="en-GB" w:eastAsia="en-US"/>
        </w:rPr>
        <w:t> </w:t>
      </w:r>
      <w:r w:rsidR="00221FAA" w:rsidRPr="00394C54">
        <w:rPr>
          <w:rFonts w:asciiTheme="minorHAnsi" w:eastAsiaTheme="minorHAnsi" w:hAnsiTheme="minorHAnsi" w:cstheme="minorBidi"/>
          <w:color w:val="495965" w:themeColor="text2"/>
          <w:sz w:val="22"/>
          <w:szCs w:val="22"/>
          <w:lang w:val="en-GB" w:eastAsia="en-US"/>
        </w:rPr>
        <w:t>million per year</w:t>
      </w:r>
      <w:r w:rsidR="00221FAA">
        <w:rPr>
          <w:rFonts w:asciiTheme="minorHAnsi" w:eastAsiaTheme="minorHAnsi" w:hAnsiTheme="minorHAnsi" w:cstheme="minorBidi"/>
          <w:color w:val="495965" w:themeColor="text2"/>
          <w:sz w:val="22"/>
          <w:szCs w:val="22"/>
          <w:lang w:val="en-GB" w:eastAsia="en-US"/>
        </w:rPr>
        <w:t xml:space="preserve">. By working with the fertiliser </w:t>
      </w:r>
      <w:r w:rsidR="00554606">
        <w:rPr>
          <w:rFonts w:asciiTheme="minorHAnsi" w:eastAsiaTheme="minorHAnsi" w:hAnsiTheme="minorHAnsi" w:cstheme="minorBidi"/>
          <w:color w:val="495965" w:themeColor="text2"/>
          <w:sz w:val="22"/>
          <w:szCs w:val="22"/>
          <w:lang w:val="en-GB" w:eastAsia="en-US"/>
        </w:rPr>
        <w:t xml:space="preserve">and pest control </w:t>
      </w:r>
      <w:r w:rsidR="00221FAA">
        <w:rPr>
          <w:rFonts w:asciiTheme="minorHAnsi" w:eastAsiaTheme="minorHAnsi" w:hAnsiTheme="minorHAnsi" w:cstheme="minorBidi"/>
          <w:color w:val="495965" w:themeColor="text2"/>
          <w:sz w:val="22"/>
          <w:szCs w:val="22"/>
          <w:lang w:val="en-GB" w:eastAsia="en-US"/>
        </w:rPr>
        <w:t>market</w:t>
      </w:r>
      <w:r w:rsidR="00554606">
        <w:rPr>
          <w:rFonts w:asciiTheme="minorHAnsi" w:eastAsiaTheme="minorHAnsi" w:hAnsiTheme="minorHAnsi" w:cstheme="minorBidi"/>
          <w:color w:val="495965" w:themeColor="text2"/>
          <w:sz w:val="22"/>
          <w:szCs w:val="22"/>
          <w:lang w:val="en-GB" w:eastAsia="en-US"/>
        </w:rPr>
        <w:t>s,</w:t>
      </w:r>
      <w:r w:rsidR="00221FAA">
        <w:rPr>
          <w:rFonts w:asciiTheme="minorHAnsi" w:eastAsiaTheme="minorHAnsi" w:hAnsiTheme="minorHAnsi" w:cstheme="minorBidi"/>
          <w:color w:val="495965" w:themeColor="text2"/>
          <w:sz w:val="22"/>
          <w:szCs w:val="22"/>
          <w:lang w:val="en-GB" w:eastAsia="en-US"/>
        </w:rPr>
        <w:t xml:space="preserve"> </w:t>
      </w:r>
      <w:r w:rsidR="007C6141">
        <w:rPr>
          <w:rFonts w:asciiTheme="minorHAnsi" w:eastAsiaTheme="minorHAnsi" w:hAnsiTheme="minorHAnsi" w:cstheme="minorBidi"/>
          <w:color w:val="495965" w:themeColor="text2"/>
          <w:sz w:val="22"/>
          <w:szCs w:val="22"/>
          <w:lang w:val="en-GB" w:eastAsia="en-US"/>
        </w:rPr>
        <w:t xml:space="preserve">CAVAC I </w:t>
      </w:r>
      <w:r w:rsidR="00221FAA">
        <w:rPr>
          <w:rFonts w:asciiTheme="minorHAnsi" w:eastAsiaTheme="minorHAnsi" w:hAnsiTheme="minorHAnsi" w:cstheme="minorBidi"/>
          <w:color w:val="495965" w:themeColor="text2"/>
          <w:sz w:val="22"/>
          <w:szCs w:val="22"/>
          <w:lang w:val="en-GB" w:eastAsia="en-US"/>
        </w:rPr>
        <w:t xml:space="preserve">also improved crop production by a value of </w:t>
      </w:r>
      <w:r w:rsidR="00394C54" w:rsidRPr="00394C54">
        <w:rPr>
          <w:rFonts w:asciiTheme="minorHAnsi" w:eastAsiaTheme="minorHAnsi" w:hAnsiTheme="minorHAnsi" w:cstheme="minorBidi"/>
          <w:color w:val="495965" w:themeColor="text2"/>
          <w:sz w:val="22"/>
          <w:szCs w:val="22"/>
          <w:lang w:val="en-GB" w:eastAsia="en-US"/>
        </w:rPr>
        <w:t>USD</w:t>
      </w:r>
      <w:r w:rsidR="00240377" w:rsidRPr="00394C54">
        <w:rPr>
          <w:rFonts w:asciiTheme="minorHAnsi" w:eastAsiaTheme="minorHAnsi" w:hAnsiTheme="minorHAnsi" w:cstheme="minorBidi"/>
          <w:color w:val="495965" w:themeColor="text2"/>
          <w:sz w:val="22"/>
          <w:szCs w:val="22"/>
          <w:lang w:val="en-GB" w:eastAsia="en-US"/>
        </w:rPr>
        <w:t>16.9</w:t>
      </w:r>
      <w:r w:rsidR="00221FAA" w:rsidRPr="00394C54">
        <w:rPr>
          <w:rFonts w:asciiTheme="minorHAnsi" w:eastAsiaTheme="minorHAnsi" w:hAnsiTheme="minorHAnsi" w:cstheme="minorBidi"/>
          <w:color w:val="495965" w:themeColor="text2"/>
          <w:sz w:val="22"/>
          <w:szCs w:val="22"/>
          <w:lang w:val="en-GB" w:eastAsia="en-US"/>
        </w:rPr>
        <w:t xml:space="preserve"> million</w:t>
      </w:r>
      <w:r w:rsidR="00221FAA">
        <w:rPr>
          <w:rFonts w:asciiTheme="minorHAnsi" w:eastAsiaTheme="minorHAnsi" w:hAnsiTheme="minorHAnsi" w:cstheme="minorBidi"/>
          <w:color w:val="495965" w:themeColor="text2"/>
          <w:sz w:val="22"/>
          <w:szCs w:val="22"/>
          <w:lang w:val="en-GB" w:eastAsia="en-US"/>
        </w:rPr>
        <w:t xml:space="preserve"> per year</w:t>
      </w:r>
      <w:r w:rsidR="00554606">
        <w:rPr>
          <w:rFonts w:asciiTheme="minorHAnsi" w:eastAsiaTheme="minorHAnsi" w:hAnsiTheme="minorHAnsi" w:cstheme="minorBidi"/>
          <w:color w:val="495965" w:themeColor="text2"/>
          <w:sz w:val="22"/>
          <w:szCs w:val="22"/>
          <w:lang w:val="en-GB" w:eastAsia="en-US"/>
        </w:rPr>
        <w:t>, and reached</w:t>
      </w:r>
      <w:r w:rsidR="00221FAA">
        <w:rPr>
          <w:rFonts w:asciiTheme="minorHAnsi" w:eastAsiaTheme="minorHAnsi" w:hAnsiTheme="minorHAnsi" w:cstheme="minorBidi"/>
          <w:color w:val="495965" w:themeColor="text2"/>
          <w:sz w:val="22"/>
          <w:szCs w:val="22"/>
          <w:lang w:val="en-GB" w:eastAsia="en-US"/>
        </w:rPr>
        <w:t xml:space="preserve"> </w:t>
      </w:r>
      <w:r w:rsidR="00076160">
        <w:rPr>
          <w:rFonts w:asciiTheme="minorHAnsi" w:eastAsiaTheme="minorHAnsi" w:hAnsiTheme="minorHAnsi" w:cstheme="minorBidi"/>
          <w:color w:val="495965" w:themeColor="text2"/>
          <w:sz w:val="22"/>
          <w:szCs w:val="22"/>
          <w:lang w:val="en-GB" w:eastAsia="en-US"/>
        </w:rPr>
        <w:t xml:space="preserve">over 134,000 </w:t>
      </w:r>
      <w:r w:rsidR="00221FAA">
        <w:rPr>
          <w:rFonts w:asciiTheme="minorHAnsi" w:eastAsiaTheme="minorHAnsi" w:hAnsiTheme="minorHAnsi" w:cstheme="minorBidi"/>
          <w:color w:val="495965" w:themeColor="text2"/>
          <w:sz w:val="22"/>
          <w:szCs w:val="22"/>
          <w:lang w:val="en-GB" w:eastAsia="en-US"/>
        </w:rPr>
        <w:t>far</w:t>
      </w:r>
      <w:r w:rsidR="007C6141">
        <w:rPr>
          <w:rFonts w:asciiTheme="minorHAnsi" w:eastAsiaTheme="minorHAnsi" w:hAnsiTheme="minorHAnsi" w:cstheme="minorBidi"/>
          <w:color w:val="495965" w:themeColor="text2"/>
          <w:sz w:val="22"/>
          <w:szCs w:val="22"/>
          <w:lang w:val="en-GB" w:eastAsia="en-US"/>
        </w:rPr>
        <w:t>mers</w:t>
      </w:r>
      <w:r w:rsidR="008E4949">
        <w:rPr>
          <w:rFonts w:asciiTheme="minorHAnsi" w:eastAsiaTheme="minorHAnsi" w:hAnsiTheme="minorHAnsi" w:cstheme="minorBidi"/>
          <w:color w:val="495965" w:themeColor="text2"/>
          <w:sz w:val="22"/>
          <w:szCs w:val="22"/>
          <w:lang w:val="en-GB" w:eastAsia="en-US"/>
        </w:rPr>
        <w:t xml:space="preserve">. </w:t>
      </w:r>
      <w:r w:rsidR="00221FAA">
        <w:rPr>
          <w:rFonts w:asciiTheme="minorHAnsi" w:eastAsiaTheme="minorHAnsi" w:hAnsiTheme="minorHAnsi" w:cstheme="minorBidi"/>
          <w:color w:val="495965" w:themeColor="text2"/>
          <w:sz w:val="22"/>
          <w:szCs w:val="22"/>
          <w:lang w:val="en-GB" w:eastAsia="en-US"/>
        </w:rPr>
        <w:t>A</w:t>
      </w:r>
      <w:r w:rsidR="007C6141">
        <w:rPr>
          <w:rFonts w:asciiTheme="minorHAnsi" w:eastAsiaTheme="minorHAnsi" w:hAnsiTheme="minorHAnsi" w:cstheme="minorBidi"/>
          <w:color w:val="495965" w:themeColor="text2"/>
          <w:sz w:val="22"/>
          <w:szCs w:val="22"/>
          <w:lang w:val="en-GB" w:eastAsia="en-US"/>
        </w:rPr>
        <w:t xml:space="preserve">n impact survey showed that 200,000 farmers will adopt improved </w:t>
      </w:r>
      <w:r w:rsidR="00807190">
        <w:rPr>
          <w:rFonts w:asciiTheme="minorHAnsi" w:eastAsiaTheme="minorHAnsi" w:hAnsiTheme="minorHAnsi" w:cstheme="minorBidi"/>
          <w:color w:val="495965" w:themeColor="text2"/>
          <w:sz w:val="22"/>
          <w:szCs w:val="22"/>
          <w:lang w:val="en-GB" w:eastAsia="en-US"/>
        </w:rPr>
        <w:t>farming practic</w:t>
      </w:r>
      <w:r w:rsidR="00221FAA">
        <w:rPr>
          <w:rFonts w:asciiTheme="minorHAnsi" w:eastAsiaTheme="minorHAnsi" w:hAnsiTheme="minorHAnsi" w:cstheme="minorBidi"/>
          <w:color w:val="495965" w:themeColor="text2"/>
          <w:sz w:val="22"/>
          <w:szCs w:val="22"/>
          <w:lang w:val="en-GB" w:eastAsia="en-US"/>
        </w:rPr>
        <w:t xml:space="preserve">es from </w:t>
      </w:r>
      <w:r w:rsidR="007C6141">
        <w:rPr>
          <w:rFonts w:asciiTheme="minorHAnsi" w:eastAsiaTheme="minorHAnsi" w:hAnsiTheme="minorHAnsi" w:cstheme="minorBidi"/>
          <w:color w:val="495965" w:themeColor="text2"/>
          <w:sz w:val="22"/>
          <w:szCs w:val="22"/>
          <w:lang w:val="en-GB" w:eastAsia="en-US"/>
        </w:rPr>
        <w:t xml:space="preserve">information provided by </w:t>
      </w:r>
      <w:r w:rsidR="00394C54">
        <w:rPr>
          <w:rFonts w:asciiTheme="minorHAnsi" w:eastAsiaTheme="minorHAnsi" w:hAnsiTheme="minorHAnsi" w:cstheme="minorBidi"/>
          <w:color w:val="495965" w:themeColor="text2"/>
          <w:sz w:val="22"/>
          <w:szCs w:val="22"/>
          <w:lang w:val="en-GB" w:eastAsia="en-US"/>
        </w:rPr>
        <w:t xml:space="preserve">a </w:t>
      </w:r>
      <w:r w:rsidR="00221FAA">
        <w:rPr>
          <w:rFonts w:asciiTheme="minorHAnsi" w:eastAsiaTheme="minorHAnsi" w:hAnsiTheme="minorHAnsi" w:cstheme="minorBidi"/>
          <w:color w:val="495965" w:themeColor="text2"/>
          <w:sz w:val="22"/>
          <w:szCs w:val="22"/>
          <w:lang w:val="en-GB" w:eastAsia="en-US"/>
        </w:rPr>
        <w:t xml:space="preserve">commercial </w:t>
      </w:r>
      <w:r w:rsidR="007C6141">
        <w:rPr>
          <w:rFonts w:asciiTheme="minorHAnsi" w:eastAsiaTheme="minorHAnsi" w:hAnsiTheme="minorHAnsi" w:cstheme="minorBidi"/>
          <w:color w:val="495965" w:themeColor="text2"/>
          <w:sz w:val="22"/>
          <w:szCs w:val="22"/>
          <w:lang w:val="en-GB" w:eastAsia="en-US"/>
        </w:rPr>
        <w:t>television</w:t>
      </w:r>
      <w:r w:rsidR="00221FAA">
        <w:rPr>
          <w:rFonts w:asciiTheme="minorHAnsi" w:eastAsiaTheme="minorHAnsi" w:hAnsiTheme="minorHAnsi" w:cstheme="minorBidi"/>
          <w:color w:val="495965" w:themeColor="text2"/>
          <w:sz w:val="22"/>
          <w:szCs w:val="22"/>
          <w:lang w:val="en-GB" w:eastAsia="en-US"/>
        </w:rPr>
        <w:t xml:space="preserve"> series </w:t>
      </w:r>
      <w:r w:rsidR="007C6141">
        <w:rPr>
          <w:rFonts w:asciiTheme="minorHAnsi" w:eastAsiaTheme="minorHAnsi" w:hAnsiTheme="minorHAnsi" w:cstheme="minorBidi"/>
          <w:color w:val="495965" w:themeColor="text2"/>
          <w:sz w:val="22"/>
          <w:szCs w:val="22"/>
          <w:lang w:val="en-GB" w:eastAsia="en-US"/>
        </w:rPr>
        <w:t>developed with CAVAC I support</w:t>
      </w:r>
      <w:r w:rsidR="008E4949">
        <w:rPr>
          <w:rFonts w:asciiTheme="minorHAnsi" w:eastAsiaTheme="minorHAnsi" w:hAnsiTheme="minorHAnsi" w:cstheme="minorBidi"/>
          <w:color w:val="495965" w:themeColor="text2"/>
          <w:sz w:val="22"/>
          <w:szCs w:val="22"/>
          <w:lang w:val="en-GB" w:eastAsia="en-US"/>
        </w:rPr>
        <w:t xml:space="preserve">. </w:t>
      </w:r>
    </w:p>
    <w:p w14:paraId="0DE1EB91" w14:textId="42BAD102" w:rsidR="007C6141" w:rsidRDefault="00807190" w:rsidP="00EA6960">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CAVAC</w:t>
      </w:r>
      <w:r w:rsidR="007C6141">
        <w:rPr>
          <w:rFonts w:asciiTheme="minorHAnsi" w:eastAsiaTheme="minorHAnsi" w:hAnsiTheme="minorHAnsi" w:cstheme="minorBidi"/>
          <w:color w:val="495965" w:themeColor="text2"/>
          <w:sz w:val="22"/>
          <w:szCs w:val="22"/>
          <w:lang w:val="en-GB" w:eastAsia="en-US"/>
        </w:rPr>
        <w:t xml:space="preserve"> I</w:t>
      </w:r>
      <w:r>
        <w:rPr>
          <w:rFonts w:asciiTheme="minorHAnsi" w:eastAsiaTheme="minorHAnsi" w:hAnsiTheme="minorHAnsi" w:cstheme="minorBidi"/>
          <w:color w:val="495965" w:themeColor="text2"/>
          <w:sz w:val="22"/>
          <w:szCs w:val="22"/>
          <w:lang w:val="en-GB" w:eastAsia="en-US"/>
        </w:rPr>
        <w:t xml:space="preserve"> employed a full time gender specialist </w:t>
      </w:r>
      <w:r w:rsidR="009376F8">
        <w:rPr>
          <w:rFonts w:asciiTheme="minorHAnsi" w:eastAsiaTheme="minorHAnsi" w:hAnsiTheme="minorHAnsi" w:cstheme="minorBidi"/>
          <w:color w:val="495965" w:themeColor="text2"/>
          <w:sz w:val="22"/>
          <w:szCs w:val="22"/>
          <w:lang w:val="en-GB" w:eastAsia="en-US"/>
        </w:rPr>
        <w:t>to</w:t>
      </w:r>
      <w:r w:rsidR="000848C1">
        <w:rPr>
          <w:rFonts w:asciiTheme="minorHAnsi" w:eastAsiaTheme="minorHAnsi" w:hAnsiTheme="minorHAnsi" w:cstheme="minorBidi"/>
          <w:color w:val="495965" w:themeColor="text2"/>
          <w:sz w:val="22"/>
          <w:szCs w:val="22"/>
          <w:lang w:val="en-GB" w:eastAsia="en-US"/>
        </w:rPr>
        <w:t xml:space="preserve"> </w:t>
      </w:r>
      <w:r w:rsidR="007C6141">
        <w:rPr>
          <w:rFonts w:asciiTheme="minorHAnsi" w:eastAsiaTheme="minorHAnsi" w:hAnsiTheme="minorHAnsi" w:cstheme="minorBidi"/>
          <w:color w:val="495965" w:themeColor="text2"/>
          <w:sz w:val="22"/>
          <w:szCs w:val="22"/>
          <w:lang w:val="en-GB" w:eastAsia="en-US"/>
        </w:rPr>
        <w:t>review</w:t>
      </w:r>
      <w:r>
        <w:rPr>
          <w:rFonts w:asciiTheme="minorHAnsi" w:eastAsiaTheme="minorHAnsi" w:hAnsiTheme="minorHAnsi" w:cstheme="minorBidi"/>
          <w:color w:val="495965" w:themeColor="text2"/>
          <w:sz w:val="22"/>
          <w:szCs w:val="22"/>
          <w:lang w:val="en-GB" w:eastAsia="en-US"/>
        </w:rPr>
        <w:t xml:space="preserve"> </w:t>
      </w:r>
      <w:r w:rsidR="007C6141">
        <w:rPr>
          <w:rFonts w:asciiTheme="minorHAnsi" w:eastAsiaTheme="minorHAnsi" w:hAnsiTheme="minorHAnsi" w:cstheme="minorBidi"/>
          <w:color w:val="495965" w:themeColor="text2"/>
          <w:sz w:val="22"/>
          <w:szCs w:val="22"/>
          <w:lang w:val="en-GB" w:eastAsia="en-US"/>
        </w:rPr>
        <w:t>program proposed activities</w:t>
      </w:r>
      <w:r w:rsidR="006F473E">
        <w:rPr>
          <w:rFonts w:asciiTheme="minorHAnsi" w:eastAsiaTheme="minorHAnsi" w:hAnsiTheme="minorHAnsi" w:cstheme="minorBidi"/>
          <w:color w:val="495965" w:themeColor="text2"/>
          <w:sz w:val="22"/>
          <w:szCs w:val="22"/>
          <w:lang w:val="en-GB" w:eastAsia="en-US"/>
        </w:rPr>
        <w:t xml:space="preserve"> </w:t>
      </w:r>
      <w:r w:rsidR="007C6141">
        <w:rPr>
          <w:rFonts w:asciiTheme="minorHAnsi" w:eastAsiaTheme="minorHAnsi" w:hAnsiTheme="minorHAnsi" w:cstheme="minorBidi"/>
          <w:color w:val="495965" w:themeColor="text2"/>
          <w:sz w:val="22"/>
          <w:szCs w:val="22"/>
          <w:lang w:val="en-GB" w:eastAsia="en-US"/>
        </w:rPr>
        <w:t>and promote</w:t>
      </w:r>
      <w:r>
        <w:rPr>
          <w:rFonts w:asciiTheme="minorHAnsi" w:eastAsiaTheme="minorHAnsi" w:hAnsiTheme="minorHAnsi" w:cstheme="minorBidi"/>
          <w:color w:val="495965" w:themeColor="text2"/>
          <w:sz w:val="22"/>
          <w:szCs w:val="22"/>
          <w:lang w:val="en-GB" w:eastAsia="en-US"/>
        </w:rPr>
        <w:t xml:space="preserve"> </w:t>
      </w:r>
      <w:r w:rsidR="007C6141">
        <w:rPr>
          <w:rFonts w:asciiTheme="minorHAnsi" w:eastAsiaTheme="minorHAnsi" w:hAnsiTheme="minorHAnsi" w:cstheme="minorBidi"/>
          <w:color w:val="495965" w:themeColor="text2"/>
          <w:sz w:val="22"/>
          <w:szCs w:val="22"/>
          <w:lang w:val="en-GB" w:eastAsia="en-US"/>
        </w:rPr>
        <w:t>greater involvement of</w:t>
      </w:r>
      <w:r w:rsidR="00BF6B9E">
        <w:rPr>
          <w:rFonts w:asciiTheme="minorHAnsi" w:eastAsiaTheme="minorHAnsi" w:hAnsiTheme="minorHAnsi" w:cstheme="minorBidi"/>
          <w:color w:val="495965" w:themeColor="text2"/>
          <w:sz w:val="22"/>
          <w:szCs w:val="22"/>
          <w:lang w:val="en-GB" w:eastAsia="en-US"/>
        </w:rPr>
        <w:t xml:space="preserve"> women </w:t>
      </w:r>
      <w:r>
        <w:rPr>
          <w:rFonts w:asciiTheme="minorHAnsi" w:eastAsiaTheme="minorHAnsi" w:hAnsiTheme="minorHAnsi" w:cstheme="minorBidi"/>
          <w:color w:val="495965" w:themeColor="text2"/>
          <w:sz w:val="22"/>
          <w:szCs w:val="22"/>
          <w:lang w:val="en-GB" w:eastAsia="en-US"/>
        </w:rPr>
        <w:t xml:space="preserve">in </w:t>
      </w:r>
      <w:r w:rsidR="007C6141">
        <w:rPr>
          <w:rFonts w:asciiTheme="minorHAnsi" w:eastAsiaTheme="minorHAnsi" w:hAnsiTheme="minorHAnsi" w:cstheme="minorBidi"/>
          <w:color w:val="495965" w:themeColor="text2"/>
          <w:sz w:val="22"/>
          <w:szCs w:val="22"/>
          <w:lang w:val="en-GB" w:eastAsia="en-US"/>
        </w:rPr>
        <w:t>irrigation scheme management (especially Farme</w:t>
      </w:r>
      <w:r w:rsidR="00394C54">
        <w:rPr>
          <w:rFonts w:asciiTheme="minorHAnsi" w:eastAsiaTheme="minorHAnsi" w:hAnsiTheme="minorHAnsi" w:cstheme="minorBidi"/>
          <w:color w:val="495965" w:themeColor="text2"/>
          <w:sz w:val="22"/>
          <w:szCs w:val="22"/>
          <w:lang w:val="en-GB" w:eastAsia="en-US"/>
        </w:rPr>
        <w:t>r Water User Communities</w:t>
      </w:r>
      <w:r w:rsidR="007C6141">
        <w:rPr>
          <w:rFonts w:asciiTheme="minorHAnsi" w:eastAsiaTheme="minorHAnsi" w:hAnsiTheme="minorHAnsi" w:cstheme="minorBidi"/>
          <w:color w:val="495965" w:themeColor="text2"/>
          <w:sz w:val="22"/>
          <w:szCs w:val="22"/>
          <w:lang w:val="en-GB" w:eastAsia="en-US"/>
        </w:rPr>
        <w:t>)</w:t>
      </w:r>
      <w:r w:rsidR="00155AE9">
        <w:rPr>
          <w:rFonts w:asciiTheme="minorHAnsi" w:eastAsiaTheme="minorHAnsi" w:hAnsiTheme="minorHAnsi" w:cstheme="minorBidi"/>
          <w:color w:val="495965" w:themeColor="text2"/>
          <w:sz w:val="22"/>
          <w:szCs w:val="22"/>
          <w:lang w:val="en-GB" w:eastAsia="en-US"/>
        </w:rPr>
        <w:t>.</w:t>
      </w:r>
      <w:r>
        <w:rPr>
          <w:rFonts w:asciiTheme="minorHAnsi" w:eastAsiaTheme="minorHAnsi" w:hAnsiTheme="minorHAnsi" w:cstheme="minorBidi"/>
          <w:color w:val="495965" w:themeColor="text2"/>
          <w:sz w:val="22"/>
          <w:szCs w:val="22"/>
          <w:lang w:val="en-GB" w:eastAsia="en-US"/>
        </w:rPr>
        <w:t xml:space="preserve"> CAVAC</w:t>
      </w:r>
      <w:r w:rsidR="007C6141">
        <w:rPr>
          <w:rFonts w:asciiTheme="minorHAnsi" w:eastAsiaTheme="minorHAnsi" w:hAnsiTheme="minorHAnsi" w:cstheme="minorBidi"/>
          <w:color w:val="495965" w:themeColor="text2"/>
          <w:sz w:val="22"/>
          <w:szCs w:val="22"/>
          <w:lang w:val="en-GB" w:eastAsia="en-US"/>
        </w:rPr>
        <w:t xml:space="preserve"> I delivered training to </w:t>
      </w:r>
      <w:r w:rsidR="00076160">
        <w:rPr>
          <w:rFonts w:asciiTheme="minorHAnsi" w:eastAsiaTheme="minorHAnsi" w:hAnsiTheme="minorHAnsi" w:cstheme="minorBidi"/>
          <w:color w:val="495965" w:themeColor="text2"/>
          <w:sz w:val="22"/>
          <w:szCs w:val="22"/>
          <w:lang w:val="en-GB" w:eastAsia="en-US"/>
        </w:rPr>
        <w:t>over 24,000</w:t>
      </w:r>
      <w:r>
        <w:rPr>
          <w:rFonts w:asciiTheme="minorHAnsi" w:eastAsiaTheme="minorHAnsi" w:hAnsiTheme="minorHAnsi" w:cstheme="minorBidi"/>
          <w:color w:val="495965" w:themeColor="text2"/>
          <w:sz w:val="22"/>
          <w:szCs w:val="22"/>
          <w:lang w:val="en-GB" w:eastAsia="en-US"/>
        </w:rPr>
        <w:t xml:space="preserve"> participants, of </w:t>
      </w:r>
      <w:r w:rsidR="00DC757D">
        <w:rPr>
          <w:rFonts w:asciiTheme="minorHAnsi" w:eastAsiaTheme="minorHAnsi" w:hAnsiTheme="minorHAnsi" w:cstheme="minorBidi"/>
          <w:color w:val="495965" w:themeColor="text2"/>
          <w:sz w:val="22"/>
          <w:szCs w:val="22"/>
          <w:lang w:val="en-GB" w:eastAsia="en-US"/>
        </w:rPr>
        <w:t xml:space="preserve">whom </w:t>
      </w:r>
      <w:r>
        <w:rPr>
          <w:rFonts w:asciiTheme="minorHAnsi" w:eastAsiaTheme="minorHAnsi" w:hAnsiTheme="minorHAnsi" w:cstheme="minorBidi"/>
          <w:color w:val="495965" w:themeColor="text2"/>
          <w:sz w:val="22"/>
          <w:szCs w:val="22"/>
          <w:lang w:val="en-GB" w:eastAsia="en-US"/>
        </w:rPr>
        <w:t>51</w:t>
      </w:r>
      <w:r w:rsidR="00076160">
        <w:rPr>
          <w:rFonts w:asciiTheme="minorHAnsi" w:eastAsiaTheme="minorHAnsi" w:hAnsiTheme="minorHAnsi" w:cstheme="minorBidi"/>
          <w:color w:val="495965" w:themeColor="text2"/>
          <w:sz w:val="22"/>
          <w:szCs w:val="22"/>
          <w:lang w:val="en-GB" w:eastAsia="en-US"/>
        </w:rPr>
        <w:t xml:space="preserve"> per cent</w:t>
      </w:r>
      <w:r>
        <w:rPr>
          <w:rFonts w:asciiTheme="minorHAnsi" w:eastAsiaTheme="minorHAnsi" w:hAnsiTheme="minorHAnsi" w:cstheme="minorBidi"/>
          <w:color w:val="495965" w:themeColor="text2"/>
          <w:sz w:val="22"/>
          <w:szCs w:val="22"/>
          <w:lang w:val="en-GB" w:eastAsia="en-US"/>
        </w:rPr>
        <w:t xml:space="preserve"> were women. </w:t>
      </w:r>
    </w:p>
    <w:p w14:paraId="2F16C8E2" w14:textId="13F1143E" w:rsidR="009172CC" w:rsidRDefault="009172CC" w:rsidP="00EA6960">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lastRenderedPageBreak/>
        <w:t xml:space="preserve">CAVAC I, in partnership with </w:t>
      </w:r>
      <w:r w:rsidR="00240377">
        <w:rPr>
          <w:rFonts w:asciiTheme="minorHAnsi" w:eastAsiaTheme="minorHAnsi" w:hAnsiTheme="minorHAnsi" w:cstheme="minorBidi"/>
          <w:color w:val="495965" w:themeColor="text2"/>
          <w:sz w:val="22"/>
          <w:szCs w:val="22"/>
          <w:lang w:val="en-GB" w:eastAsia="en-US"/>
        </w:rPr>
        <w:t xml:space="preserve">the US and Swedish </w:t>
      </w:r>
      <w:r w:rsidR="00394C54">
        <w:rPr>
          <w:rFonts w:asciiTheme="minorHAnsi" w:eastAsiaTheme="minorHAnsi" w:hAnsiTheme="minorHAnsi" w:cstheme="minorBidi"/>
          <w:color w:val="495965" w:themeColor="text2"/>
          <w:sz w:val="22"/>
          <w:szCs w:val="22"/>
          <w:lang w:val="en-GB" w:eastAsia="en-US"/>
        </w:rPr>
        <w:t xml:space="preserve">official </w:t>
      </w:r>
      <w:r w:rsidR="00240377">
        <w:rPr>
          <w:rFonts w:asciiTheme="minorHAnsi" w:eastAsiaTheme="minorHAnsi" w:hAnsiTheme="minorHAnsi" w:cstheme="minorBidi"/>
          <w:color w:val="495965" w:themeColor="text2"/>
          <w:sz w:val="22"/>
          <w:szCs w:val="22"/>
          <w:lang w:val="en-GB" w:eastAsia="en-US"/>
        </w:rPr>
        <w:t xml:space="preserve">aid </w:t>
      </w:r>
      <w:r w:rsidR="00394C54">
        <w:rPr>
          <w:rFonts w:asciiTheme="minorHAnsi" w:eastAsiaTheme="minorHAnsi" w:hAnsiTheme="minorHAnsi" w:cstheme="minorBidi"/>
          <w:color w:val="495965" w:themeColor="text2"/>
          <w:sz w:val="22"/>
          <w:szCs w:val="22"/>
          <w:lang w:val="en-GB" w:eastAsia="en-US"/>
        </w:rPr>
        <w:t>programs</w:t>
      </w:r>
      <w:r w:rsidR="00240377">
        <w:rPr>
          <w:rFonts w:asciiTheme="minorHAnsi" w:eastAsiaTheme="minorHAnsi" w:hAnsiTheme="minorHAnsi" w:cstheme="minorBidi"/>
          <w:color w:val="495965" w:themeColor="text2"/>
          <w:sz w:val="22"/>
          <w:szCs w:val="22"/>
          <w:lang w:val="en-GB" w:eastAsia="en-US"/>
        </w:rPr>
        <w:t xml:space="preserve"> and the Food and Agriculture Organis</w:t>
      </w:r>
      <w:r w:rsidR="00394C54">
        <w:rPr>
          <w:rFonts w:asciiTheme="minorHAnsi" w:eastAsiaTheme="minorHAnsi" w:hAnsiTheme="minorHAnsi" w:cstheme="minorBidi"/>
          <w:color w:val="495965" w:themeColor="text2"/>
          <w:sz w:val="22"/>
          <w:szCs w:val="22"/>
          <w:lang w:val="en-GB" w:eastAsia="en-US"/>
        </w:rPr>
        <w:t>ation of the United Nations</w:t>
      </w:r>
      <w:r>
        <w:rPr>
          <w:rFonts w:asciiTheme="minorHAnsi" w:eastAsiaTheme="minorHAnsi" w:hAnsiTheme="minorHAnsi" w:cstheme="minorBidi"/>
          <w:color w:val="495965" w:themeColor="text2"/>
          <w:sz w:val="22"/>
          <w:szCs w:val="22"/>
          <w:lang w:val="en-GB" w:eastAsia="en-US"/>
        </w:rPr>
        <w:t>, supported the first ever Cambodian Agricultural Census</w:t>
      </w:r>
      <w:r w:rsidR="00115F59">
        <w:rPr>
          <w:rFonts w:asciiTheme="minorHAnsi" w:eastAsiaTheme="minorHAnsi" w:hAnsiTheme="minorHAnsi" w:cstheme="minorBidi"/>
          <w:color w:val="495965" w:themeColor="text2"/>
          <w:sz w:val="22"/>
          <w:szCs w:val="22"/>
          <w:lang w:val="en-GB" w:eastAsia="en-US"/>
        </w:rPr>
        <w:t>, published</w:t>
      </w:r>
      <w:r>
        <w:rPr>
          <w:rFonts w:asciiTheme="minorHAnsi" w:eastAsiaTheme="minorHAnsi" w:hAnsiTheme="minorHAnsi" w:cstheme="minorBidi"/>
          <w:color w:val="495965" w:themeColor="text2"/>
          <w:sz w:val="22"/>
          <w:szCs w:val="22"/>
          <w:lang w:val="en-GB" w:eastAsia="en-US"/>
        </w:rPr>
        <w:t xml:space="preserve"> in November 2015.</w:t>
      </w:r>
      <w:r w:rsidR="00155AE9">
        <w:rPr>
          <w:rStyle w:val="FootnoteReference"/>
          <w:rFonts w:asciiTheme="minorHAnsi" w:eastAsiaTheme="minorHAnsi" w:hAnsiTheme="minorHAnsi" w:cstheme="minorBidi"/>
          <w:color w:val="495965" w:themeColor="text2"/>
          <w:sz w:val="22"/>
          <w:szCs w:val="22"/>
          <w:lang w:val="en-GB" w:eastAsia="en-US"/>
        </w:rPr>
        <w:footnoteReference w:id="16"/>
      </w:r>
      <w:r>
        <w:rPr>
          <w:rFonts w:asciiTheme="minorHAnsi" w:eastAsiaTheme="minorHAnsi" w:hAnsiTheme="minorHAnsi" w:cstheme="minorBidi"/>
          <w:color w:val="495965" w:themeColor="text2"/>
          <w:sz w:val="22"/>
          <w:szCs w:val="22"/>
          <w:lang w:val="en-GB" w:eastAsia="en-US"/>
        </w:rPr>
        <w:t xml:space="preserve"> This provides vital baseline information for policy and planning efforts to improve Cambodian agriculture. </w:t>
      </w:r>
    </w:p>
    <w:p w14:paraId="18254A37" w14:textId="1B5DB742" w:rsidR="00EA6960" w:rsidRPr="00466F7D" w:rsidRDefault="007C6141" w:rsidP="00EA6960">
      <w:pPr>
        <w:pStyle w:val="BodyText"/>
        <w:rPr>
          <w:rFonts w:asciiTheme="minorHAnsi" w:eastAsiaTheme="minorHAnsi" w:hAnsiTheme="minorHAnsi" w:cstheme="minorBidi"/>
          <w:color w:val="495965" w:themeColor="text2"/>
          <w:sz w:val="22"/>
          <w:szCs w:val="22"/>
          <w:lang w:val="en-GB" w:eastAsia="en-US"/>
        </w:rPr>
      </w:pPr>
      <w:r w:rsidRPr="00793845">
        <w:rPr>
          <w:rFonts w:asciiTheme="minorHAnsi" w:eastAsiaTheme="minorHAnsi" w:hAnsiTheme="minorHAnsi" w:cstheme="minorBidi"/>
          <w:b/>
          <w:color w:val="495965" w:themeColor="text2"/>
          <w:sz w:val="22"/>
          <w:szCs w:val="22"/>
          <w:lang w:val="en-GB" w:eastAsia="en-US"/>
        </w:rPr>
        <w:t>CAVAC Phase 2 (CAVAC II)</w:t>
      </w:r>
      <w:r w:rsidR="008A6A80" w:rsidRPr="00793845">
        <w:rPr>
          <w:rFonts w:asciiTheme="minorHAnsi" w:eastAsiaTheme="minorHAnsi" w:hAnsiTheme="minorHAnsi" w:cstheme="minorBidi"/>
          <w:b/>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c</w:t>
      </w:r>
      <w:r w:rsidR="00616CB7">
        <w:rPr>
          <w:rFonts w:asciiTheme="minorHAnsi" w:eastAsiaTheme="minorHAnsi" w:hAnsiTheme="minorHAnsi" w:cstheme="minorBidi"/>
          <w:color w:val="495965" w:themeColor="text2"/>
          <w:sz w:val="22"/>
          <w:szCs w:val="22"/>
          <w:lang w:val="en-GB" w:eastAsia="en-US"/>
        </w:rPr>
        <w:t>ommenced in January 2016</w:t>
      </w:r>
      <w:r w:rsidR="00F207C1">
        <w:rPr>
          <w:rFonts w:asciiTheme="minorHAnsi" w:eastAsiaTheme="minorHAnsi" w:hAnsiTheme="minorHAnsi" w:cstheme="minorBidi"/>
          <w:color w:val="495965" w:themeColor="text2"/>
          <w:sz w:val="22"/>
          <w:szCs w:val="22"/>
          <w:lang w:val="en-GB" w:eastAsia="en-US"/>
        </w:rPr>
        <w:t xml:space="preserve"> will approximately twice budget of CAVAC I. CAVAC II continues to apply a market development approach, with a renewed focus on improving the productivity and diversification of smallholder farmer. </w:t>
      </w:r>
      <w:r w:rsidR="009172CC">
        <w:rPr>
          <w:rFonts w:asciiTheme="minorHAnsi" w:eastAsiaTheme="minorHAnsi" w:hAnsiTheme="minorHAnsi" w:cstheme="minorBidi"/>
          <w:color w:val="495965" w:themeColor="text2"/>
          <w:sz w:val="22"/>
          <w:szCs w:val="22"/>
          <w:lang w:val="en-GB" w:eastAsia="en-US"/>
        </w:rPr>
        <w:t>While the first six months have been an inception phase, work to construct the first of seven new irrigation schemes</w:t>
      </w:r>
      <w:r w:rsidR="00793845">
        <w:rPr>
          <w:rFonts w:asciiTheme="minorHAnsi" w:eastAsiaTheme="minorHAnsi" w:hAnsiTheme="minorHAnsi" w:cstheme="minorBidi"/>
          <w:color w:val="495965" w:themeColor="text2"/>
          <w:sz w:val="22"/>
          <w:szCs w:val="22"/>
          <w:lang w:val="en-GB" w:eastAsia="en-US"/>
        </w:rPr>
        <w:t xml:space="preserve"> began</w:t>
      </w:r>
      <w:r w:rsidR="009172CC">
        <w:rPr>
          <w:rFonts w:asciiTheme="minorHAnsi" w:eastAsiaTheme="minorHAnsi" w:hAnsiTheme="minorHAnsi" w:cstheme="minorBidi"/>
          <w:color w:val="495965" w:themeColor="text2"/>
          <w:sz w:val="22"/>
          <w:szCs w:val="22"/>
          <w:lang w:val="en-GB" w:eastAsia="en-US"/>
        </w:rPr>
        <w:t xml:space="preserve">. CAVAC II </w:t>
      </w:r>
      <w:r w:rsidR="00DC757D">
        <w:rPr>
          <w:rFonts w:asciiTheme="minorHAnsi" w:eastAsiaTheme="minorHAnsi" w:hAnsiTheme="minorHAnsi" w:cstheme="minorBidi"/>
          <w:color w:val="495965" w:themeColor="text2"/>
          <w:sz w:val="22"/>
          <w:szCs w:val="22"/>
          <w:lang w:val="en-GB" w:eastAsia="en-US"/>
        </w:rPr>
        <w:t xml:space="preserve">also </w:t>
      </w:r>
      <w:r w:rsidR="009172CC">
        <w:rPr>
          <w:rFonts w:asciiTheme="minorHAnsi" w:eastAsiaTheme="minorHAnsi" w:hAnsiTheme="minorHAnsi" w:cstheme="minorBidi"/>
          <w:color w:val="495965" w:themeColor="text2"/>
          <w:sz w:val="22"/>
          <w:szCs w:val="22"/>
          <w:lang w:val="en-GB" w:eastAsia="en-US"/>
        </w:rPr>
        <w:t xml:space="preserve">commenced work to improve the quality and availability of rice seed </w:t>
      </w:r>
      <w:r w:rsidR="00793845">
        <w:rPr>
          <w:rFonts w:asciiTheme="minorHAnsi" w:eastAsiaTheme="minorHAnsi" w:hAnsiTheme="minorHAnsi" w:cstheme="minorBidi"/>
          <w:color w:val="495965" w:themeColor="text2"/>
          <w:sz w:val="22"/>
          <w:szCs w:val="22"/>
          <w:lang w:val="en-GB" w:eastAsia="en-US"/>
        </w:rPr>
        <w:t>for</w:t>
      </w:r>
      <w:r w:rsidR="009172CC">
        <w:rPr>
          <w:rFonts w:asciiTheme="minorHAnsi" w:eastAsiaTheme="minorHAnsi" w:hAnsiTheme="minorHAnsi" w:cstheme="minorBidi"/>
          <w:color w:val="495965" w:themeColor="text2"/>
          <w:sz w:val="22"/>
          <w:szCs w:val="22"/>
          <w:lang w:val="en-GB" w:eastAsia="en-US"/>
        </w:rPr>
        <w:t xml:space="preserve"> improved productivity </w:t>
      </w:r>
      <w:r w:rsidR="00644201">
        <w:rPr>
          <w:rFonts w:asciiTheme="minorHAnsi" w:eastAsiaTheme="minorHAnsi" w:hAnsiTheme="minorHAnsi" w:cstheme="minorBidi"/>
          <w:color w:val="495965" w:themeColor="text2"/>
          <w:sz w:val="22"/>
          <w:szCs w:val="22"/>
          <w:lang w:val="en-GB" w:eastAsia="en-US"/>
        </w:rPr>
        <w:t xml:space="preserve">and milling </w:t>
      </w:r>
      <w:r w:rsidR="009172CC">
        <w:rPr>
          <w:rFonts w:asciiTheme="minorHAnsi" w:eastAsiaTheme="minorHAnsi" w:hAnsiTheme="minorHAnsi" w:cstheme="minorBidi"/>
          <w:color w:val="495965" w:themeColor="text2"/>
          <w:sz w:val="22"/>
          <w:szCs w:val="22"/>
          <w:lang w:val="en-GB" w:eastAsia="en-US"/>
        </w:rPr>
        <w:t xml:space="preserve">and greater rice exports. </w:t>
      </w:r>
    </w:p>
    <w:p w14:paraId="699CD7BA" w14:textId="39DCC496" w:rsidR="00616CB7" w:rsidRDefault="00115F59" w:rsidP="00EA6960">
      <w:pPr>
        <w:pStyle w:val="BodyText"/>
        <w:rPr>
          <w:rFonts w:asciiTheme="minorHAnsi" w:eastAsiaTheme="minorHAnsi" w:hAnsiTheme="minorHAnsi" w:cstheme="minorBidi"/>
          <w:color w:val="495965" w:themeColor="text2"/>
          <w:sz w:val="22"/>
          <w:szCs w:val="22"/>
          <w:lang w:val="en-GB" w:eastAsia="en-US"/>
        </w:rPr>
      </w:pPr>
      <w:r w:rsidRPr="00466F7D">
        <w:rPr>
          <w:rFonts w:asciiTheme="minorHAnsi" w:eastAsiaTheme="minorHAnsi" w:hAnsiTheme="minorHAnsi" w:cstheme="minorBidi"/>
          <w:color w:val="495965" w:themeColor="text2"/>
          <w:sz w:val="22"/>
          <w:szCs w:val="22"/>
          <w:lang w:val="en-GB" w:eastAsia="en-US"/>
        </w:rPr>
        <w:t xml:space="preserve">Landmine clearance </w:t>
      </w:r>
      <w:r w:rsidR="00394C54">
        <w:rPr>
          <w:rFonts w:asciiTheme="minorHAnsi" w:eastAsiaTheme="minorHAnsi" w:hAnsiTheme="minorHAnsi" w:cstheme="minorBidi"/>
          <w:color w:val="495965" w:themeColor="text2"/>
          <w:sz w:val="22"/>
          <w:szCs w:val="22"/>
          <w:lang w:val="en-GB" w:eastAsia="en-US"/>
        </w:rPr>
        <w:t xml:space="preserve">remains an important priority for the </w:t>
      </w:r>
      <w:r w:rsidRPr="00466F7D">
        <w:rPr>
          <w:rFonts w:asciiTheme="minorHAnsi" w:eastAsiaTheme="minorHAnsi" w:hAnsiTheme="minorHAnsi" w:cstheme="minorBidi"/>
          <w:color w:val="495965" w:themeColor="text2"/>
          <w:sz w:val="22"/>
          <w:szCs w:val="22"/>
          <w:lang w:val="en-GB" w:eastAsia="en-US"/>
        </w:rPr>
        <w:t>Cambodia</w:t>
      </w:r>
      <w:r w:rsidR="009376F8">
        <w:rPr>
          <w:rFonts w:asciiTheme="minorHAnsi" w:eastAsiaTheme="minorHAnsi" w:hAnsiTheme="minorHAnsi" w:cstheme="minorBidi"/>
          <w:color w:val="495965" w:themeColor="text2"/>
          <w:sz w:val="22"/>
          <w:szCs w:val="22"/>
          <w:lang w:val="en-GB" w:eastAsia="en-US"/>
        </w:rPr>
        <w:t>n</w:t>
      </w:r>
      <w:r w:rsidRPr="00466F7D">
        <w:rPr>
          <w:rFonts w:asciiTheme="minorHAnsi" w:eastAsiaTheme="minorHAnsi" w:hAnsiTheme="minorHAnsi" w:cstheme="minorBidi"/>
          <w:color w:val="495965" w:themeColor="text2"/>
          <w:sz w:val="22"/>
          <w:szCs w:val="22"/>
          <w:lang w:val="en-GB" w:eastAsia="en-US"/>
        </w:rPr>
        <w:t xml:space="preserve"> Gover</w:t>
      </w:r>
      <w:r w:rsidR="00394C54">
        <w:rPr>
          <w:rFonts w:asciiTheme="minorHAnsi" w:eastAsiaTheme="minorHAnsi" w:hAnsiTheme="minorHAnsi" w:cstheme="minorBidi"/>
          <w:color w:val="495965" w:themeColor="text2"/>
          <w:sz w:val="22"/>
          <w:szCs w:val="22"/>
          <w:lang w:val="en-GB" w:eastAsia="en-US"/>
        </w:rPr>
        <w:t>nment</w:t>
      </w:r>
      <w:r w:rsidR="00793845">
        <w:rPr>
          <w:rFonts w:asciiTheme="minorHAnsi" w:eastAsiaTheme="minorHAnsi" w:hAnsiTheme="minorHAnsi" w:cstheme="minorBidi"/>
          <w:color w:val="495965" w:themeColor="text2"/>
          <w:sz w:val="22"/>
          <w:szCs w:val="22"/>
          <w:lang w:val="en-GB" w:eastAsia="en-US"/>
        </w:rPr>
        <w:t>, and Australia remains a committed and leading partner of Cambodia in these efforts</w:t>
      </w:r>
      <w:r w:rsidR="00C251C6">
        <w:rPr>
          <w:rFonts w:asciiTheme="minorHAnsi" w:eastAsiaTheme="minorHAnsi" w:hAnsiTheme="minorHAnsi" w:cstheme="minorBidi"/>
          <w:color w:val="495965" w:themeColor="text2"/>
          <w:sz w:val="22"/>
          <w:szCs w:val="22"/>
          <w:lang w:val="en-GB" w:eastAsia="en-US"/>
        </w:rPr>
        <w:t xml:space="preserve">. </w:t>
      </w:r>
      <w:r w:rsidR="00DC757D" w:rsidRPr="00793845">
        <w:rPr>
          <w:rFonts w:asciiTheme="minorHAnsi" w:eastAsiaTheme="minorHAnsi" w:hAnsiTheme="minorHAnsi" w:cstheme="minorBidi"/>
          <w:b/>
          <w:color w:val="495965" w:themeColor="text2"/>
          <w:sz w:val="22"/>
          <w:szCs w:val="22"/>
          <w:lang w:val="en-GB" w:eastAsia="en-US"/>
        </w:rPr>
        <w:t xml:space="preserve">Clearing for Results Phase </w:t>
      </w:r>
      <w:r w:rsidR="00DC757D">
        <w:rPr>
          <w:rFonts w:asciiTheme="minorHAnsi" w:eastAsiaTheme="minorHAnsi" w:hAnsiTheme="minorHAnsi" w:cstheme="minorBidi"/>
          <w:b/>
          <w:color w:val="495965" w:themeColor="text2"/>
          <w:sz w:val="22"/>
          <w:szCs w:val="22"/>
          <w:lang w:val="en-GB" w:eastAsia="en-US"/>
        </w:rPr>
        <w:t>2</w:t>
      </w:r>
      <w:r w:rsidR="00DC757D" w:rsidRPr="00793845">
        <w:rPr>
          <w:rFonts w:asciiTheme="minorHAnsi" w:eastAsiaTheme="minorHAnsi" w:hAnsiTheme="minorHAnsi" w:cstheme="minorBidi"/>
          <w:b/>
          <w:color w:val="495965" w:themeColor="text2"/>
          <w:sz w:val="22"/>
          <w:szCs w:val="22"/>
          <w:lang w:val="en-GB" w:eastAsia="en-US"/>
        </w:rPr>
        <w:t xml:space="preserve"> (CFR-II)</w:t>
      </w:r>
      <w:r w:rsidR="00DC757D">
        <w:rPr>
          <w:rFonts w:asciiTheme="minorHAnsi" w:eastAsiaTheme="minorHAnsi" w:hAnsiTheme="minorHAnsi" w:cstheme="minorBidi"/>
          <w:color w:val="495965" w:themeColor="text2"/>
          <w:sz w:val="22"/>
          <w:szCs w:val="22"/>
          <w:lang w:val="en-GB" w:eastAsia="en-US"/>
        </w:rPr>
        <w:t xml:space="preserve"> </w:t>
      </w:r>
      <w:r w:rsidR="00DC757D" w:rsidRPr="00466F7D">
        <w:rPr>
          <w:rFonts w:asciiTheme="minorHAnsi" w:eastAsiaTheme="minorHAnsi" w:hAnsiTheme="minorHAnsi" w:cstheme="minorBidi"/>
          <w:color w:val="495965" w:themeColor="text2"/>
          <w:sz w:val="22"/>
          <w:szCs w:val="22"/>
          <w:lang w:val="en-GB" w:eastAsia="en-US"/>
        </w:rPr>
        <w:t>concluded in February 2016</w:t>
      </w:r>
      <w:r w:rsidR="00DC757D">
        <w:rPr>
          <w:rFonts w:asciiTheme="minorHAnsi" w:eastAsiaTheme="minorHAnsi" w:hAnsiTheme="minorHAnsi" w:cstheme="minorBidi"/>
          <w:color w:val="495965" w:themeColor="text2"/>
          <w:sz w:val="22"/>
          <w:szCs w:val="22"/>
          <w:lang w:val="en-GB" w:eastAsia="en-US"/>
        </w:rPr>
        <w:t xml:space="preserve">, and </w:t>
      </w:r>
      <w:r w:rsidR="00C251C6" w:rsidRPr="00793845">
        <w:rPr>
          <w:rFonts w:asciiTheme="minorHAnsi" w:eastAsiaTheme="minorHAnsi" w:hAnsiTheme="minorHAnsi" w:cstheme="minorBidi"/>
          <w:b/>
          <w:color w:val="495965" w:themeColor="text2"/>
          <w:sz w:val="22"/>
          <w:szCs w:val="22"/>
          <w:lang w:val="en-GB" w:eastAsia="en-US"/>
        </w:rPr>
        <w:t>Clearing for Results Phase 3 (CFR</w:t>
      </w:r>
      <w:r w:rsidR="00724D1B" w:rsidRPr="00793845">
        <w:rPr>
          <w:rFonts w:asciiTheme="minorHAnsi" w:eastAsiaTheme="minorHAnsi" w:hAnsiTheme="minorHAnsi" w:cstheme="minorBidi"/>
          <w:b/>
          <w:color w:val="495965" w:themeColor="text2"/>
          <w:sz w:val="22"/>
          <w:szCs w:val="22"/>
          <w:lang w:val="en-GB" w:eastAsia="en-US"/>
        </w:rPr>
        <w:t>-</w:t>
      </w:r>
      <w:r w:rsidR="00C251C6" w:rsidRPr="00793845">
        <w:rPr>
          <w:rFonts w:asciiTheme="minorHAnsi" w:eastAsiaTheme="minorHAnsi" w:hAnsiTheme="minorHAnsi" w:cstheme="minorBidi"/>
          <w:b/>
          <w:color w:val="495965" w:themeColor="text2"/>
          <w:sz w:val="22"/>
          <w:szCs w:val="22"/>
          <w:lang w:val="en-GB" w:eastAsia="en-US"/>
        </w:rPr>
        <w:t>III)</w:t>
      </w:r>
      <w:r w:rsidR="00C251C6" w:rsidRPr="00BA65E2">
        <w:rPr>
          <w:rFonts w:asciiTheme="minorHAnsi" w:eastAsiaTheme="minorHAnsi" w:hAnsiTheme="minorHAnsi" w:cstheme="minorBidi"/>
          <w:color w:val="495965" w:themeColor="text2"/>
          <w:sz w:val="22"/>
          <w:szCs w:val="22"/>
          <w:lang w:val="en-GB" w:eastAsia="en-US"/>
        </w:rPr>
        <w:t xml:space="preserve"> commenced</w:t>
      </w:r>
      <w:r w:rsidR="00C251C6">
        <w:rPr>
          <w:rFonts w:asciiTheme="minorHAnsi" w:eastAsiaTheme="minorHAnsi" w:hAnsiTheme="minorHAnsi" w:cstheme="minorBidi"/>
          <w:color w:val="495965" w:themeColor="text2"/>
          <w:sz w:val="22"/>
          <w:szCs w:val="22"/>
          <w:lang w:val="en-GB" w:eastAsia="en-US"/>
        </w:rPr>
        <w:t xml:space="preserve"> in February 2016, with Australia as the sole donor</w:t>
      </w:r>
      <w:r w:rsidR="00DC757D">
        <w:rPr>
          <w:rFonts w:asciiTheme="minorHAnsi" w:eastAsiaTheme="minorHAnsi" w:hAnsiTheme="minorHAnsi" w:cstheme="minorBidi"/>
          <w:color w:val="495965" w:themeColor="text2"/>
          <w:sz w:val="22"/>
          <w:szCs w:val="22"/>
          <w:lang w:val="en-GB" w:eastAsia="en-US"/>
        </w:rPr>
        <w:t>.</w:t>
      </w:r>
    </w:p>
    <w:p w14:paraId="410CD9CE" w14:textId="77777777" w:rsidR="00907E1C" w:rsidRDefault="00616CB7" w:rsidP="00EA6960">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CFR-II</w:t>
      </w:r>
      <w:r w:rsidR="00EA6960" w:rsidRPr="00466F7D">
        <w:rPr>
          <w:rFonts w:asciiTheme="minorHAnsi" w:eastAsiaTheme="minorHAnsi" w:hAnsiTheme="minorHAnsi" w:cstheme="minorBidi"/>
          <w:color w:val="495965" w:themeColor="text2"/>
          <w:sz w:val="22"/>
          <w:szCs w:val="22"/>
          <w:lang w:val="en-GB" w:eastAsia="en-US"/>
        </w:rPr>
        <w:t xml:space="preserve"> </w:t>
      </w:r>
      <w:r w:rsidR="00793845">
        <w:rPr>
          <w:rFonts w:asciiTheme="minorHAnsi" w:eastAsiaTheme="minorHAnsi" w:hAnsiTheme="minorHAnsi" w:cstheme="minorBidi"/>
          <w:color w:val="495965" w:themeColor="text2"/>
          <w:sz w:val="22"/>
          <w:szCs w:val="22"/>
          <w:lang w:val="en-GB" w:eastAsia="en-US"/>
        </w:rPr>
        <w:t>cleared</w:t>
      </w:r>
      <w:r w:rsidR="00394C54">
        <w:rPr>
          <w:rFonts w:asciiTheme="minorHAnsi" w:eastAsiaTheme="minorHAnsi" w:hAnsiTheme="minorHAnsi" w:cstheme="minorBidi"/>
          <w:color w:val="495965" w:themeColor="text2"/>
          <w:sz w:val="22"/>
          <w:szCs w:val="22"/>
          <w:lang w:val="en-GB" w:eastAsia="en-US"/>
        </w:rPr>
        <w:t xml:space="preserve"> landmines and other e</w:t>
      </w:r>
      <w:r w:rsidR="00EA6960" w:rsidRPr="00466F7D">
        <w:rPr>
          <w:rFonts w:asciiTheme="minorHAnsi" w:eastAsiaTheme="minorHAnsi" w:hAnsiTheme="minorHAnsi" w:cstheme="minorBidi"/>
          <w:color w:val="495965" w:themeColor="text2"/>
          <w:sz w:val="22"/>
          <w:szCs w:val="22"/>
          <w:lang w:val="en-GB" w:eastAsia="en-US"/>
        </w:rPr>
        <w:t>x</w:t>
      </w:r>
      <w:r w:rsidR="00394C54">
        <w:rPr>
          <w:rFonts w:asciiTheme="minorHAnsi" w:eastAsiaTheme="minorHAnsi" w:hAnsiTheme="minorHAnsi" w:cstheme="minorBidi"/>
          <w:color w:val="495965" w:themeColor="text2"/>
          <w:sz w:val="22"/>
          <w:szCs w:val="22"/>
          <w:lang w:val="en-GB" w:eastAsia="en-US"/>
        </w:rPr>
        <w:t>plosive remnants of w</w:t>
      </w:r>
      <w:r w:rsidR="00CC03AD">
        <w:rPr>
          <w:rFonts w:asciiTheme="minorHAnsi" w:eastAsiaTheme="minorHAnsi" w:hAnsiTheme="minorHAnsi" w:cstheme="minorBidi"/>
          <w:color w:val="495965" w:themeColor="text2"/>
          <w:sz w:val="22"/>
          <w:szCs w:val="22"/>
          <w:lang w:val="en-GB" w:eastAsia="en-US"/>
        </w:rPr>
        <w:t>ar</w:t>
      </w:r>
      <w:r w:rsidR="00394C54">
        <w:rPr>
          <w:rFonts w:asciiTheme="minorHAnsi" w:eastAsiaTheme="minorHAnsi" w:hAnsiTheme="minorHAnsi" w:cstheme="minorBidi"/>
          <w:color w:val="495965" w:themeColor="text2"/>
          <w:sz w:val="22"/>
          <w:szCs w:val="22"/>
          <w:lang w:val="en-GB" w:eastAsia="en-US"/>
        </w:rPr>
        <w:t xml:space="preserve"> </w:t>
      </w:r>
      <w:r w:rsidR="00CC03AD">
        <w:rPr>
          <w:rFonts w:asciiTheme="minorHAnsi" w:eastAsiaTheme="minorHAnsi" w:hAnsiTheme="minorHAnsi" w:cstheme="minorBidi"/>
          <w:color w:val="495965" w:themeColor="text2"/>
          <w:sz w:val="22"/>
          <w:szCs w:val="22"/>
          <w:lang w:val="en-GB" w:eastAsia="en-US"/>
        </w:rPr>
        <w:t>to release</w:t>
      </w:r>
      <w:r w:rsidR="00EA6960" w:rsidRPr="00466F7D">
        <w:rPr>
          <w:rFonts w:asciiTheme="minorHAnsi" w:eastAsiaTheme="minorHAnsi" w:hAnsiTheme="minorHAnsi" w:cstheme="minorBidi"/>
          <w:color w:val="495965" w:themeColor="text2"/>
          <w:sz w:val="22"/>
          <w:szCs w:val="22"/>
          <w:lang w:val="en-GB" w:eastAsia="en-US"/>
        </w:rPr>
        <w:t xml:space="preserve"> land for productive use,</w:t>
      </w:r>
      <w:r w:rsidR="00CC03AD">
        <w:rPr>
          <w:rFonts w:asciiTheme="minorHAnsi" w:eastAsiaTheme="minorHAnsi" w:hAnsiTheme="minorHAnsi" w:cstheme="minorBidi"/>
          <w:color w:val="495965" w:themeColor="text2"/>
          <w:sz w:val="22"/>
          <w:szCs w:val="22"/>
          <w:lang w:val="en-GB" w:eastAsia="en-US"/>
        </w:rPr>
        <w:t xml:space="preserve"> including for agriculture. </w:t>
      </w:r>
      <w:r>
        <w:rPr>
          <w:rFonts w:asciiTheme="minorHAnsi" w:eastAsiaTheme="minorHAnsi" w:hAnsiTheme="minorHAnsi" w:cstheme="minorBidi"/>
          <w:color w:val="495965" w:themeColor="text2"/>
          <w:sz w:val="22"/>
          <w:szCs w:val="22"/>
          <w:lang w:val="en-GB" w:eastAsia="en-US"/>
        </w:rPr>
        <w:t xml:space="preserve">Over its lifetime, </w:t>
      </w:r>
      <w:r w:rsidR="00EA6960" w:rsidRPr="00466F7D">
        <w:rPr>
          <w:rFonts w:asciiTheme="minorHAnsi" w:eastAsiaTheme="minorHAnsi" w:hAnsiTheme="minorHAnsi" w:cstheme="minorBidi"/>
          <w:color w:val="495965" w:themeColor="text2"/>
          <w:sz w:val="22"/>
          <w:szCs w:val="22"/>
          <w:lang w:val="en-GB" w:eastAsia="en-US"/>
        </w:rPr>
        <w:t>CFR-II releas</w:t>
      </w:r>
      <w:r w:rsidR="00CC03AD">
        <w:rPr>
          <w:rFonts w:asciiTheme="minorHAnsi" w:eastAsiaTheme="minorHAnsi" w:hAnsiTheme="minorHAnsi" w:cstheme="minorBidi"/>
          <w:color w:val="495965" w:themeColor="text2"/>
          <w:sz w:val="22"/>
          <w:szCs w:val="22"/>
          <w:lang w:val="en-GB" w:eastAsia="en-US"/>
        </w:rPr>
        <w:t>ed a t</w:t>
      </w:r>
      <w:r w:rsidR="00155AE9">
        <w:rPr>
          <w:rFonts w:asciiTheme="minorHAnsi" w:eastAsiaTheme="minorHAnsi" w:hAnsiTheme="minorHAnsi" w:cstheme="minorBidi"/>
          <w:color w:val="495965" w:themeColor="text2"/>
          <w:sz w:val="22"/>
          <w:szCs w:val="22"/>
          <w:lang w:val="en-GB" w:eastAsia="en-US"/>
        </w:rPr>
        <w:t>otal of 145 km</w:t>
      </w:r>
      <w:r w:rsidR="00155AE9">
        <w:rPr>
          <w:rFonts w:asciiTheme="minorHAnsi" w:eastAsiaTheme="minorHAnsi" w:hAnsiTheme="minorHAnsi" w:cstheme="minorBidi"/>
          <w:color w:val="495965" w:themeColor="text2"/>
          <w:sz w:val="22"/>
          <w:szCs w:val="22"/>
          <w:vertAlign w:val="superscript"/>
          <w:lang w:val="en-GB" w:eastAsia="en-US"/>
        </w:rPr>
        <w:t>2</w:t>
      </w:r>
      <w:r w:rsidR="00155AE9">
        <w:rPr>
          <w:rFonts w:asciiTheme="minorHAnsi" w:eastAsiaTheme="minorHAnsi" w:hAnsiTheme="minorHAnsi" w:cstheme="minorBidi"/>
          <w:color w:val="495965" w:themeColor="text2"/>
          <w:sz w:val="22"/>
          <w:szCs w:val="22"/>
          <w:lang w:val="en-GB" w:eastAsia="en-US"/>
        </w:rPr>
        <w:t xml:space="preserve">, </w:t>
      </w:r>
      <w:r w:rsidR="00EA6960" w:rsidRPr="00466F7D">
        <w:rPr>
          <w:rFonts w:asciiTheme="minorHAnsi" w:eastAsiaTheme="minorHAnsi" w:hAnsiTheme="minorHAnsi" w:cstheme="minorBidi"/>
          <w:color w:val="495965" w:themeColor="text2"/>
          <w:sz w:val="22"/>
          <w:szCs w:val="22"/>
          <w:lang w:val="en-GB" w:eastAsia="en-US"/>
        </w:rPr>
        <w:t xml:space="preserve">far exceeding </w:t>
      </w:r>
      <w:r>
        <w:rPr>
          <w:rFonts w:asciiTheme="minorHAnsi" w:eastAsiaTheme="minorHAnsi" w:hAnsiTheme="minorHAnsi" w:cstheme="minorBidi"/>
          <w:color w:val="495965" w:themeColor="text2"/>
          <w:sz w:val="22"/>
          <w:szCs w:val="22"/>
          <w:lang w:val="en-GB" w:eastAsia="en-US"/>
        </w:rPr>
        <w:t>its</w:t>
      </w:r>
      <w:r w:rsidR="00155AE9">
        <w:rPr>
          <w:rFonts w:asciiTheme="minorHAnsi" w:eastAsiaTheme="minorHAnsi" w:hAnsiTheme="minorHAnsi" w:cstheme="minorBidi"/>
          <w:color w:val="495965" w:themeColor="text2"/>
          <w:sz w:val="22"/>
          <w:szCs w:val="22"/>
          <w:lang w:val="en-GB" w:eastAsia="en-US"/>
        </w:rPr>
        <w:t xml:space="preserve"> 35 km</w:t>
      </w:r>
      <w:r w:rsidR="00155AE9">
        <w:rPr>
          <w:rFonts w:asciiTheme="minorHAnsi" w:eastAsiaTheme="minorHAnsi" w:hAnsiTheme="minorHAnsi" w:cstheme="minorBidi"/>
          <w:color w:val="495965" w:themeColor="text2"/>
          <w:sz w:val="22"/>
          <w:szCs w:val="22"/>
          <w:vertAlign w:val="superscript"/>
          <w:lang w:val="en-GB" w:eastAsia="en-US"/>
        </w:rPr>
        <w:t>2</w:t>
      </w:r>
      <w:r w:rsidR="00EA6960" w:rsidRPr="00466F7D">
        <w:rPr>
          <w:rFonts w:asciiTheme="minorHAnsi" w:eastAsiaTheme="minorHAnsi" w:hAnsiTheme="minorHAnsi" w:cstheme="minorBidi"/>
          <w:color w:val="495965" w:themeColor="text2"/>
          <w:sz w:val="22"/>
          <w:szCs w:val="22"/>
          <w:lang w:val="en-GB" w:eastAsia="en-US"/>
        </w:rPr>
        <w:t xml:space="preserve"> target</w:t>
      </w:r>
      <w:r w:rsidR="00CC03AD">
        <w:rPr>
          <w:rFonts w:asciiTheme="minorHAnsi" w:eastAsiaTheme="minorHAnsi" w:hAnsiTheme="minorHAnsi" w:cstheme="minorBidi"/>
          <w:color w:val="495965" w:themeColor="text2"/>
          <w:sz w:val="22"/>
          <w:szCs w:val="22"/>
          <w:lang w:val="en-GB" w:eastAsia="en-US"/>
        </w:rPr>
        <w:t xml:space="preserve">. </w:t>
      </w:r>
      <w:r w:rsidR="00155AE9">
        <w:rPr>
          <w:rFonts w:asciiTheme="minorHAnsi" w:eastAsiaTheme="minorHAnsi" w:hAnsiTheme="minorHAnsi" w:cstheme="minorBidi"/>
          <w:color w:val="495965" w:themeColor="text2"/>
          <w:sz w:val="22"/>
          <w:szCs w:val="22"/>
          <w:lang w:val="en-GB" w:eastAsia="en-US"/>
        </w:rPr>
        <w:t>I</w:t>
      </w:r>
      <w:r w:rsidR="00155AE9" w:rsidRPr="00466F7D">
        <w:rPr>
          <w:rFonts w:asciiTheme="minorHAnsi" w:eastAsiaTheme="minorHAnsi" w:hAnsiTheme="minorHAnsi" w:cstheme="minorBidi"/>
          <w:color w:val="495965" w:themeColor="text2"/>
          <w:sz w:val="22"/>
          <w:szCs w:val="22"/>
          <w:lang w:val="en-GB" w:eastAsia="en-US"/>
        </w:rPr>
        <w:t>n total</w:t>
      </w:r>
      <w:r w:rsidR="00266069">
        <w:rPr>
          <w:rFonts w:asciiTheme="minorHAnsi" w:eastAsiaTheme="minorHAnsi" w:hAnsiTheme="minorHAnsi" w:cstheme="minorBidi"/>
          <w:color w:val="495965" w:themeColor="text2"/>
          <w:sz w:val="22"/>
          <w:szCs w:val="22"/>
          <w:lang w:val="en-GB" w:eastAsia="en-US"/>
        </w:rPr>
        <w:t>,</w:t>
      </w:r>
      <w:r w:rsidR="00155AE9" w:rsidRPr="00466F7D">
        <w:rPr>
          <w:rFonts w:asciiTheme="minorHAnsi" w:eastAsiaTheme="minorHAnsi" w:hAnsiTheme="minorHAnsi" w:cstheme="minorBidi"/>
          <w:color w:val="495965" w:themeColor="text2"/>
          <w:sz w:val="22"/>
          <w:szCs w:val="22"/>
          <w:lang w:val="en-GB" w:eastAsia="en-US"/>
        </w:rPr>
        <w:t xml:space="preserve"> </w:t>
      </w:r>
      <w:r w:rsidR="00155AE9">
        <w:rPr>
          <w:rFonts w:asciiTheme="minorHAnsi" w:eastAsiaTheme="minorHAnsi" w:hAnsiTheme="minorHAnsi" w:cstheme="minorBidi"/>
          <w:color w:val="495965" w:themeColor="text2"/>
          <w:sz w:val="22"/>
          <w:szCs w:val="22"/>
          <w:lang w:val="en-GB" w:eastAsia="en-US"/>
        </w:rPr>
        <w:t>d</w:t>
      </w:r>
      <w:r w:rsidR="00CC03AD" w:rsidRPr="00466F7D">
        <w:rPr>
          <w:rFonts w:asciiTheme="minorHAnsi" w:eastAsiaTheme="minorHAnsi" w:hAnsiTheme="minorHAnsi" w:cstheme="minorBidi"/>
          <w:color w:val="495965" w:themeColor="text2"/>
          <w:sz w:val="22"/>
          <w:szCs w:val="22"/>
          <w:lang w:val="en-GB" w:eastAsia="en-US"/>
        </w:rPr>
        <w:t>emining operators destroyed 18,789 anti-personnel mines, 294 anti-tank mines, and 2</w:t>
      </w:r>
      <w:r w:rsidR="00155AE9">
        <w:rPr>
          <w:rFonts w:asciiTheme="minorHAnsi" w:eastAsiaTheme="minorHAnsi" w:hAnsiTheme="minorHAnsi" w:cstheme="minorBidi"/>
          <w:color w:val="495965" w:themeColor="text2"/>
          <w:sz w:val="22"/>
          <w:szCs w:val="22"/>
          <w:lang w:val="en-GB" w:eastAsia="en-US"/>
        </w:rPr>
        <w:t xml:space="preserve">1,872 </w:t>
      </w:r>
      <w:r w:rsidR="00793845">
        <w:rPr>
          <w:rFonts w:asciiTheme="minorHAnsi" w:eastAsiaTheme="minorHAnsi" w:hAnsiTheme="minorHAnsi" w:cstheme="minorBidi"/>
          <w:color w:val="495965" w:themeColor="text2"/>
          <w:sz w:val="22"/>
          <w:szCs w:val="22"/>
          <w:lang w:val="en-GB" w:eastAsia="en-US"/>
        </w:rPr>
        <w:t>explosive remnants of war</w:t>
      </w:r>
      <w:r w:rsidR="00155AE9">
        <w:rPr>
          <w:rFonts w:asciiTheme="minorHAnsi" w:eastAsiaTheme="minorHAnsi" w:hAnsiTheme="minorHAnsi" w:cstheme="minorBidi"/>
          <w:color w:val="495965" w:themeColor="text2"/>
          <w:sz w:val="22"/>
          <w:szCs w:val="22"/>
          <w:lang w:val="en-GB" w:eastAsia="en-US"/>
        </w:rPr>
        <w:t xml:space="preserve">. </w:t>
      </w:r>
      <w:r w:rsidR="00CC03AD" w:rsidRPr="00466F7D">
        <w:rPr>
          <w:rFonts w:asciiTheme="minorHAnsi" w:eastAsiaTheme="minorHAnsi" w:hAnsiTheme="minorHAnsi" w:cstheme="minorBidi"/>
          <w:color w:val="495965" w:themeColor="text2"/>
          <w:sz w:val="22"/>
          <w:szCs w:val="22"/>
          <w:lang w:val="en-GB" w:eastAsia="en-US"/>
        </w:rPr>
        <w:t xml:space="preserve">The released land benefited </w:t>
      </w:r>
      <w:r w:rsidR="00266069">
        <w:rPr>
          <w:rFonts w:asciiTheme="minorHAnsi" w:eastAsiaTheme="minorHAnsi" w:hAnsiTheme="minorHAnsi" w:cstheme="minorBidi"/>
          <w:color w:val="495965" w:themeColor="text2"/>
          <w:sz w:val="22"/>
          <w:szCs w:val="22"/>
          <w:lang w:val="en-GB" w:eastAsia="en-US"/>
        </w:rPr>
        <w:t>close to 400,000</w:t>
      </w:r>
      <w:r w:rsidR="00CC03AD" w:rsidRPr="00466F7D">
        <w:rPr>
          <w:rFonts w:asciiTheme="minorHAnsi" w:eastAsiaTheme="minorHAnsi" w:hAnsiTheme="minorHAnsi" w:cstheme="minorBidi"/>
          <w:color w:val="495965" w:themeColor="text2"/>
          <w:sz w:val="22"/>
          <w:szCs w:val="22"/>
          <w:lang w:val="en-GB" w:eastAsia="en-US"/>
        </w:rPr>
        <w:t xml:space="preserve"> people.</w:t>
      </w:r>
      <w:r w:rsidR="00CC03AD">
        <w:rPr>
          <w:rFonts w:asciiTheme="minorHAnsi" w:eastAsiaTheme="minorHAnsi" w:hAnsiTheme="minorHAnsi" w:cstheme="minorBidi"/>
          <w:color w:val="495965" w:themeColor="text2"/>
          <w:sz w:val="22"/>
          <w:szCs w:val="22"/>
          <w:lang w:val="en-GB" w:eastAsia="en-US"/>
        </w:rPr>
        <w:t xml:space="preserve"> This</w:t>
      </w:r>
      <w:r w:rsidR="00CC03AD" w:rsidRPr="00466F7D">
        <w:rPr>
          <w:rFonts w:asciiTheme="minorHAnsi" w:eastAsiaTheme="minorHAnsi" w:hAnsiTheme="minorHAnsi" w:cstheme="minorBidi"/>
          <w:color w:val="495965" w:themeColor="text2"/>
          <w:sz w:val="22"/>
          <w:szCs w:val="22"/>
          <w:lang w:val="en-GB" w:eastAsia="en-US"/>
        </w:rPr>
        <w:t xml:space="preserve"> contributed to a significant decrease in </w:t>
      </w:r>
      <w:r w:rsidR="00394C54">
        <w:rPr>
          <w:rFonts w:asciiTheme="minorHAnsi" w:eastAsiaTheme="minorHAnsi" w:hAnsiTheme="minorHAnsi" w:cstheme="minorBidi"/>
          <w:color w:val="495965" w:themeColor="text2"/>
          <w:sz w:val="22"/>
          <w:szCs w:val="22"/>
          <w:lang w:val="en-GB" w:eastAsia="en-US"/>
        </w:rPr>
        <w:t xml:space="preserve">the </w:t>
      </w:r>
      <w:r w:rsidR="00CC03AD" w:rsidRPr="00466F7D">
        <w:rPr>
          <w:rFonts w:asciiTheme="minorHAnsi" w:eastAsiaTheme="minorHAnsi" w:hAnsiTheme="minorHAnsi" w:cstheme="minorBidi"/>
          <w:color w:val="495965" w:themeColor="text2"/>
          <w:sz w:val="22"/>
          <w:szCs w:val="22"/>
          <w:lang w:val="en-GB" w:eastAsia="en-US"/>
        </w:rPr>
        <w:t>number of casualties in the country from 286 in 2010</w:t>
      </w:r>
      <w:r w:rsidR="00D52C8C">
        <w:rPr>
          <w:rFonts w:asciiTheme="minorHAnsi" w:eastAsiaTheme="minorHAnsi" w:hAnsiTheme="minorHAnsi" w:cstheme="minorBidi"/>
          <w:color w:val="495965" w:themeColor="text2"/>
          <w:sz w:val="22"/>
          <w:szCs w:val="22"/>
          <w:lang w:val="en-GB" w:eastAsia="en-US"/>
        </w:rPr>
        <w:t>,</w:t>
      </w:r>
      <w:r w:rsidR="00CC03AD" w:rsidRPr="00466F7D">
        <w:rPr>
          <w:rFonts w:asciiTheme="minorHAnsi" w:eastAsiaTheme="minorHAnsi" w:hAnsiTheme="minorHAnsi" w:cstheme="minorBidi"/>
          <w:color w:val="495965" w:themeColor="text2"/>
          <w:sz w:val="22"/>
          <w:szCs w:val="22"/>
          <w:lang w:val="en-GB" w:eastAsia="en-US"/>
        </w:rPr>
        <w:t xml:space="preserve"> to 111 in 2015. </w:t>
      </w:r>
      <w:r w:rsidR="00793845">
        <w:rPr>
          <w:rFonts w:asciiTheme="minorHAnsi" w:eastAsiaTheme="minorHAnsi" w:hAnsiTheme="minorHAnsi" w:cstheme="minorBidi"/>
          <w:color w:val="495965" w:themeColor="text2"/>
          <w:sz w:val="22"/>
          <w:szCs w:val="22"/>
          <w:lang w:val="en-GB" w:eastAsia="en-US"/>
        </w:rPr>
        <w:t>A</w:t>
      </w:r>
      <w:r w:rsidR="00817E16">
        <w:rPr>
          <w:rFonts w:asciiTheme="minorHAnsi" w:eastAsiaTheme="minorHAnsi" w:hAnsiTheme="minorHAnsi" w:cstheme="minorBidi"/>
          <w:color w:val="495965" w:themeColor="text2"/>
          <w:sz w:val="22"/>
          <w:szCs w:val="22"/>
          <w:lang w:val="en-GB" w:eastAsia="en-US"/>
        </w:rPr>
        <w:t xml:space="preserve">ccording to </w:t>
      </w:r>
      <w:r w:rsidR="00817E16" w:rsidRPr="006F473E">
        <w:rPr>
          <w:rFonts w:asciiTheme="minorHAnsi" w:eastAsiaTheme="minorHAnsi" w:hAnsiTheme="minorHAnsi" w:cstheme="minorBidi"/>
          <w:color w:val="495965" w:themeColor="text2"/>
          <w:sz w:val="22"/>
          <w:szCs w:val="22"/>
          <w:lang w:val="en-GB" w:eastAsia="en-US"/>
        </w:rPr>
        <w:t xml:space="preserve">the </w:t>
      </w:r>
      <w:r w:rsidR="0085095B" w:rsidRPr="006F473E">
        <w:rPr>
          <w:rFonts w:asciiTheme="minorHAnsi" w:eastAsiaTheme="minorHAnsi" w:hAnsiTheme="minorHAnsi" w:cstheme="minorBidi"/>
          <w:color w:val="495965" w:themeColor="text2"/>
          <w:sz w:val="22"/>
          <w:szCs w:val="22"/>
          <w:lang w:val="en-GB" w:eastAsia="en-US"/>
        </w:rPr>
        <w:t xml:space="preserve">Cambodia Mine and </w:t>
      </w:r>
      <w:r w:rsidR="00793845">
        <w:rPr>
          <w:rFonts w:asciiTheme="minorHAnsi" w:eastAsiaTheme="minorHAnsi" w:hAnsiTheme="minorHAnsi" w:cstheme="minorBidi"/>
          <w:color w:val="495965" w:themeColor="text2"/>
          <w:sz w:val="22"/>
          <w:szCs w:val="22"/>
          <w:lang w:val="en-GB" w:eastAsia="en-US"/>
        </w:rPr>
        <w:t>Explosive Remnants of War</w:t>
      </w:r>
      <w:r w:rsidR="00793845" w:rsidRPr="006F473E">
        <w:rPr>
          <w:rFonts w:asciiTheme="minorHAnsi" w:eastAsiaTheme="minorHAnsi" w:hAnsiTheme="minorHAnsi" w:cstheme="minorBidi"/>
          <w:color w:val="495965" w:themeColor="text2"/>
          <w:sz w:val="22"/>
          <w:szCs w:val="22"/>
          <w:lang w:val="en-GB" w:eastAsia="en-US"/>
        </w:rPr>
        <w:t xml:space="preserve"> </w:t>
      </w:r>
      <w:r w:rsidR="0085095B" w:rsidRPr="006F473E">
        <w:rPr>
          <w:rFonts w:asciiTheme="minorHAnsi" w:eastAsiaTheme="minorHAnsi" w:hAnsiTheme="minorHAnsi" w:cstheme="minorBidi"/>
          <w:color w:val="495965" w:themeColor="text2"/>
          <w:sz w:val="22"/>
          <w:szCs w:val="22"/>
          <w:lang w:val="en-GB" w:eastAsia="en-US"/>
        </w:rPr>
        <w:t>Victim Information System</w:t>
      </w:r>
      <w:r w:rsidR="006F473E">
        <w:rPr>
          <w:rFonts w:asciiTheme="minorHAnsi" w:eastAsiaTheme="minorHAnsi" w:hAnsiTheme="minorHAnsi" w:cstheme="minorBidi"/>
          <w:color w:val="495965" w:themeColor="text2"/>
          <w:sz w:val="22"/>
          <w:szCs w:val="22"/>
          <w:lang w:val="en-GB" w:eastAsia="en-US"/>
        </w:rPr>
        <w:t>,</w:t>
      </w:r>
      <w:r w:rsidR="00817E16">
        <w:rPr>
          <w:rFonts w:asciiTheme="minorHAnsi" w:eastAsiaTheme="minorHAnsi" w:hAnsiTheme="minorHAnsi" w:cstheme="minorBidi"/>
          <w:color w:val="495965" w:themeColor="text2"/>
          <w:sz w:val="22"/>
          <w:szCs w:val="22"/>
          <w:lang w:val="en-GB" w:eastAsia="en-US"/>
        </w:rPr>
        <w:t xml:space="preserve"> landmine injuries and deaths in Cambodia are</w:t>
      </w:r>
      <w:r w:rsidR="00817E16" w:rsidRPr="00466F7D">
        <w:rPr>
          <w:rFonts w:asciiTheme="minorHAnsi" w:eastAsiaTheme="minorHAnsi" w:hAnsiTheme="minorHAnsi" w:cstheme="minorBidi"/>
          <w:color w:val="495965" w:themeColor="text2"/>
          <w:sz w:val="22"/>
          <w:szCs w:val="22"/>
          <w:lang w:val="en-GB" w:eastAsia="en-US"/>
        </w:rPr>
        <w:t xml:space="preserve"> disproportionately borne by men</w:t>
      </w:r>
      <w:r w:rsidR="0085095B">
        <w:rPr>
          <w:rFonts w:asciiTheme="minorHAnsi" w:eastAsiaTheme="minorHAnsi" w:hAnsiTheme="minorHAnsi" w:cstheme="minorBidi"/>
          <w:color w:val="495965" w:themeColor="text2"/>
          <w:sz w:val="22"/>
          <w:szCs w:val="22"/>
          <w:lang w:val="en-GB" w:eastAsia="en-US"/>
        </w:rPr>
        <w:t xml:space="preserve"> and boys</w:t>
      </w:r>
      <w:r w:rsidR="00817E16" w:rsidRPr="00466F7D">
        <w:rPr>
          <w:rFonts w:asciiTheme="minorHAnsi" w:eastAsiaTheme="minorHAnsi" w:hAnsiTheme="minorHAnsi" w:cstheme="minorBidi"/>
          <w:color w:val="495965" w:themeColor="text2"/>
          <w:sz w:val="22"/>
          <w:szCs w:val="22"/>
          <w:lang w:val="en-GB" w:eastAsia="en-US"/>
        </w:rPr>
        <w:t xml:space="preserve"> (90</w:t>
      </w:r>
      <w:r w:rsidR="0085095B">
        <w:rPr>
          <w:rFonts w:asciiTheme="minorHAnsi" w:eastAsiaTheme="minorHAnsi" w:hAnsiTheme="minorHAnsi" w:cstheme="minorBidi"/>
          <w:color w:val="495965" w:themeColor="text2"/>
          <w:sz w:val="22"/>
          <w:szCs w:val="22"/>
          <w:lang w:val="en-GB" w:eastAsia="en-US"/>
        </w:rPr>
        <w:t>.4</w:t>
      </w:r>
      <w:r w:rsidR="00817E16">
        <w:rPr>
          <w:rFonts w:asciiTheme="minorHAnsi" w:eastAsiaTheme="minorHAnsi" w:hAnsiTheme="minorHAnsi" w:cstheme="minorBidi"/>
          <w:color w:val="495965" w:themeColor="text2"/>
          <w:sz w:val="22"/>
          <w:szCs w:val="22"/>
          <w:lang w:val="en-GB" w:eastAsia="en-US"/>
        </w:rPr>
        <w:t xml:space="preserve"> per cent)</w:t>
      </w:r>
      <w:r w:rsidR="00817E16">
        <w:rPr>
          <w:rStyle w:val="FootnoteReference"/>
          <w:rFonts w:asciiTheme="minorHAnsi" w:eastAsiaTheme="minorHAnsi" w:hAnsiTheme="minorHAnsi" w:cstheme="minorBidi"/>
          <w:color w:val="495965" w:themeColor="text2"/>
          <w:sz w:val="22"/>
          <w:szCs w:val="22"/>
          <w:lang w:val="en-GB" w:eastAsia="en-US"/>
        </w:rPr>
        <w:footnoteReference w:id="17"/>
      </w:r>
      <w:r w:rsidR="00391C96">
        <w:rPr>
          <w:rFonts w:asciiTheme="minorHAnsi" w:eastAsiaTheme="minorHAnsi" w:hAnsiTheme="minorHAnsi" w:cstheme="minorBidi"/>
          <w:color w:val="495965" w:themeColor="text2"/>
          <w:sz w:val="22"/>
          <w:szCs w:val="22"/>
          <w:lang w:val="en-GB" w:eastAsia="en-US"/>
        </w:rPr>
        <w:t>.</w:t>
      </w:r>
    </w:p>
    <w:p w14:paraId="250C8882" w14:textId="53BA72EC" w:rsidR="00907E1C" w:rsidRDefault="00CC03AD" w:rsidP="00EA6960">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In 2015-16, CFR-II</w:t>
      </w:r>
      <w:r w:rsidR="00394C54">
        <w:rPr>
          <w:rFonts w:asciiTheme="minorHAnsi" w:eastAsiaTheme="minorHAnsi" w:hAnsiTheme="minorHAnsi" w:cstheme="minorBidi"/>
          <w:color w:val="495965" w:themeColor="text2"/>
          <w:sz w:val="22"/>
          <w:szCs w:val="22"/>
          <w:lang w:val="en-GB" w:eastAsia="en-US"/>
        </w:rPr>
        <w:t xml:space="preserve"> cleared</w:t>
      </w:r>
      <w:r w:rsidR="00EA6960" w:rsidRPr="00466F7D">
        <w:rPr>
          <w:rFonts w:asciiTheme="minorHAnsi" w:eastAsiaTheme="minorHAnsi" w:hAnsiTheme="minorHAnsi" w:cstheme="minorBidi"/>
          <w:color w:val="495965" w:themeColor="text2"/>
          <w:sz w:val="22"/>
          <w:szCs w:val="22"/>
          <w:lang w:val="en-GB" w:eastAsia="en-US"/>
        </w:rPr>
        <w:t xml:space="preserve"> 28 </w:t>
      </w:r>
      <w:r w:rsidR="00BB10E2">
        <w:rPr>
          <w:rFonts w:asciiTheme="minorHAnsi" w:eastAsiaTheme="minorHAnsi" w:hAnsiTheme="minorHAnsi" w:cstheme="minorBidi"/>
          <w:color w:val="495965" w:themeColor="text2"/>
          <w:sz w:val="22"/>
          <w:szCs w:val="22"/>
          <w:lang w:val="en-GB" w:eastAsia="en-US"/>
        </w:rPr>
        <w:t>kms</w:t>
      </w:r>
      <w:r w:rsidR="00BB10E2">
        <w:rPr>
          <w:rFonts w:asciiTheme="minorHAnsi" w:eastAsiaTheme="minorHAnsi" w:hAnsiTheme="minorHAnsi" w:cstheme="minorBidi"/>
          <w:color w:val="495965" w:themeColor="text2"/>
          <w:sz w:val="22"/>
          <w:szCs w:val="22"/>
          <w:vertAlign w:val="superscript"/>
          <w:lang w:val="en-GB" w:eastAsia="en-US"/>
        </w:rPr>
        <w:t>2</w:t>
      </w:r>
      <w:r w:rsidR="00EA6960" w:rsidRPr="00466F7D">
        <w:rPr>
          <w:rFonts w:asciiTheme="minorHAnsi" w:eastAsiaTheme="minorHAnsi" w:hAnsiTheme="minorHAnsi" w:cstheme="minorBidi"/>
          <w:color w:val="495965" w:themeColor="text2"/>
          <w:sz w:val="22"/>
          <w:szCs w:val="22"/>
          <w:lang w:val="en-GB" w:eastAsia="en-US"/>
        </w:rPr>
        <w:t xml:space="preserve"> of </w:t>
      </w:r>
      <w:r w:rsidR="00EA6960" w:rsidRPr="00BA65E2">
        <w:rPr>
          <w:rFonts w:asciiTheme="minorHAnsi" w:eastAsiaTheme="minorHAnsi" w:hAnsiTheme="minorHAnsi" w:cstheme="minorBidi"/>
          <w:color w:val="495965" w:themeColor="text2"/>
          <w:sz w:val="22"/>
          <w:szCs w:val="22"/>
          <w:lang w:val="en-GB" w:eastAsia="en-US"/>
        </w:rPr>
        <w:t>contaminated</w:t>
      </w:r>
      <w:r w:rsidR="00EA6960" w:rsidRPr="00466F7D">
        <w:rPr>
          <w:rFonts w:asciiTheme="minorHAnsi" w:eastAsiaTheme="minorHAnsi" w:hAnsiTheme="minorHAnsi" w:cstheme="minorBidi"/>
          <w:color w:val="495965" w:themeColor="text2"/>
          <w:sz w:val="22"/>
          <w:szCs w:val="22"/>
          <w:lang w:val="en-GB" w:eastAsia="en-US"/>
        </w:rPr>
        <w:t xml:space="preserve"> land and released additional 44 </w:t>
      </w:r>
      <w:r w:rsidR="00BB10E2">
        <w:rPr>
          <w:rFonts w:asciiTheme="minorHAnsi" w:eastAsiaTheme="minorHAnsi" w:hAnsiTheme="minorHAnsi" w:cstheme="minorBidi"/>
          <w:color w:val="495965" w:themeColor="text2"/>
          <w:sz w:val="22"/>
          <w:szCs w:val="22"/>
          <w:lang w:val="en-GB" w:eastAsia="en-US"/>
        </w:rPr>
        <w:t>kms</w:t>
      </w:r>
      <w:r w:rsidR="00BB10E2">
        <w:rPr>
          <w:rFonts w:asciiTheme="minorHAnsi" w:eastAsiaTheme="minorHAnsi" w:hAnsiTheme="minorHAnsi" w:cstheme="minorBidi"/>
          <w:color w:val="495965" w:themeColor="text2"/>
          <w:sz w:val="22"/>
          <w:szCs w:val="22"/>
          <w:vertAlign w:val="superscript"/>
          <w:lang w:val="en-GB" w:eastAsia="en-US"/>
        </w:rPr>
        <w:t>2</w:t>
      </w:r>
      <w:r w:rsidR="008E4949">
        <w:rPr>
          <w:rFonts w:asciiTheme="minorHAnsi" w:eastAsiaTheme="minorHAnsi" w:hAnsiTheme="minorHAnsi" w:cstheme="minorBidi"/>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In the same period d</w:t>
      </w:r>
      <w:r w:rsidRPr="00CC03AD">
        <w:rPr>
          <w:rFonts w:asciiTheme="minorHAnsi" w:eastAsiaTheme="minorHAnsi" w:hAnsiTheme="minorHAnsi" w:cstheme="minorBidi"/>
          <w:color w:val="495965" w:themeColor="text2"/>
          <w:sz w:val="22"/>
          <w:szCs w:val="22"/>
          <w:lang w:val="en-GB" w:eastAsia="en-US"/>
        </w:rPr>
        <w:t xml:space="preserve">emining operators destroyed 4,358 anti-personnel mines, 89 anti-tank mines, and 6,881 </w:t>
      </w:r>
      <w:r w:rsidR="00793845">
        <w:rPr>
          <w:rFonts w:asciiTheme="minorHAnsi" w:eastAsiaTheme="minorHAnsi" w:hAnsiTheme="minorHAnsi" w:cstheme="minorBidi"/>
          <w:color w:val="495965" w:themeColor="text2"/>
          <w:sz w:val="22"/>
          <w:szCs w:val="22"/>
          <w:lang w:val="en-GB" w:eastAsia="en-US"/>
        </w:rPr>
        <w:t>explosive remnants of war</w:t>
      </w:r>
      <w:r w:rsidRPr="00CC03AD">
        <w:rPr>
          <w:rFonts w:asciiTheme="minorHAnsi" w:eastAsiaTheme="minorHAnsi" w:hAnsiTheme="minorHAnsi" w:cstheme="minorBidi"/>
          <w:color w:val="495965" w:themeColor="text2"/>
          <w:sz w:val="22"/>
          <w:szCs w:val="22"/>
          <w:lang w:val="en-GB" w:eastAsia="en-US"/>
        </w:rPr>
        <w:t xml:space="preserve">. The released land benefited </w:t>
      </w:r>
      <w:r w:rsidR="00266069">
        <w:rPr>
          <w:rFonts w:asciiTheme="minorHAnsi" w:eastAsiaTheme="minorHAnsi" w:hAnsiTheme="minorHAnsi" w:cstheme="minorBidi"/>
          <w:color w:val="495965" w:themeColor="text2"/>
          <w:sz w:val="22"/>
          <w:szCs w:val="22"/>
          <w:lang w:val="en-GB" w:eastAsia="en-US"/>
        </w:rPr>
        <w:t>over 80,000</w:t>
      </w:r>
      <w:r w:rsidRPr="00CC03AD">
        <w:rPr>
          <w:rFonts w:asciiTheme="minorHAnsi" w:eastAsiaTheme="minorHAnsi" w:hAnsiTheme="minorHAnsi" w:cstheme="minorBidi"/>
          <w:color w:val="495965" w:themeColor="text2"/>
          <w:sz w:val="22"/>
          <w:szCs w:val="22"/>
          <w:lang w:val="en-GB" w:eastAsia="en-US"/>
        </w:rPr>
        <w:t xml:space="preserve"> people</w:t>
      </w:r>
      <w:r w:rsidR="000B5855">
        <w:rPr>
          <w:rFonts w:asciiTheme="minorHAnsi" w:eastAsiaTheme="minorHAnsi" w:hAnsiTheme="minorHAnsi" w:cstheme="minorBidi"/>
          <w:color w:val="495965" w:themeColor="text2"/>
          <w:sz w:val="22"/>
          <w:szCs w:val="22"/>
          <w:lang w:val="en-GB" w:eastAsia="en-US"/>
        </w:rPr>
        <w:t>.</w:t>
      </w:r>
    </w:p>
    <w:p w14:paraId="6CDDA071" w14:textId="77777777" w:rsidR="00EA6960" w:rsidRPr="00724D1B" w:rsidRDefault="00EA6960" w:rsidP="00D52C8C">
      <w:pPr>
        <w:pStyle w:val="BodyText"/>
        <w:spacing w:after="0"/>
        <w:rPr>
          <w:rFonts w:asciiTheme="minorHAnsi" w:eastAsiaTheme="minorHAnsi" w:hAnsiTheme="minorHAnsi" w:cstheme="minorBidi"/>
          <w:color w:val="495965" w:themeColor="text2"/>
          <w:sz w:val="22"/>
          <w:szCs w:val="22"/>
          <w:lang w:val="en-GB" w:eastAsia="en-US"/>
        </w:rPr>
      </w:pPr>
      <w:r w:rsidRPr="00724D1B">
        <w:rPr>
          <w:rFonts w:asciiTheme="minorHAnsi" w:eastAsiaTheme="minorHAnsi" w:hAnsiTheme="minorHAnsi" w:cstheme="minorBidi"/>
          <w:color w:val="495965" w:themeColor="text2"/>
          <w:sz w:val="22"/>
          <w:szCs w:val="22"/>
          <w:lang w:val="en-GB" w:eastAsia="en-US"/>
        </w:rPr>
        <w:t xml:space="preserve">The </w:t>
      </w:r>
      <w:r w:rsidR="00D70B55" w:rsidRPr="00127D64">
        <w:rPr>
          <w:rFonts w:asciiTheme="minorHAnsi" w:eastAsiaTheme="minorHAnsi" w:hAnsiTheme="minorHAnsi" w:cstheme="minorBidi"/>
          <w:color w:val="495965" w:themeColor="text2"/>
          <w:sz w:val="22"/>
          <w:szCs w:val="22"/>
          <w:lang w:val="en-GB" w:eastAsia="en-US"/>
        </w:rPr>
        <w:t>United Nation</w:t>
      </w:r>
      <w:r w:rsidR="00724D1B" w:rsidRPr="00127D64">
        <w:rPr>
          <w:rFonts w:asciiTheme="minorHAnsi" w:eastAsiaTheme="minorHAnsi" w:hAnsiTheme="minorHAnsi" w:cstheme="minorBidi"/>
          <w:color w:val="495965" w:themeColor="text2"/>
          <w:sz w:val="22"/>
          <w:szCs w:val="22"/>
          <w:lang w:val="en-GB" w:eastAsia="en-US"/>
        </w:rPr>
        <w:t>s</w:t>
      </w:r>
      <w:r w:rsidR="00D70B55" w:rsidRPr="00127D64">
        <w:rPr>
          <w:rFonts w:asciiTheme="minorHAnsi" w:eastAsiaTheme="minorHAnsi" w:hAnsiTheme="minorHAnsi" w:cstheme="minorBidi"/>
          <w:color w:val="495965" w:themeColor="text2"/>
          <w:sz w:val="22"/>
          <w:szCs w:val="22"/>
          <w:lang w:val="en-GB" w:eastAsia="en-US"/>
        </w:rPr>
        <w:t xml:space="preserve"> Development Programme’s</w:t>
      </w:r>
      <w:r w:rsidR="00D70B55" w:rsidRPr="00724D1B">
        <w:t xml:space="preserve"> (</w:t>
      </w:r>
      <w:r w:rsidRPr="00724D1B">
        <w:rPr>
          <w:rFonts w:asciiTheme="minorHAnsi" w:eastAsiaTheme="minorHAnsi" w:hAnsiTheme="minorHAnsi" w:cstheme="minorBidi"/>
          <w:color w:val="495965" w:themeColor="text2"/>
          <w:sz w:val="22"/>
          <w:szCs w:val="22"/>
          <w:lang w:val="en-GB" w:eastAsia="en-US"/>
        </w:rPr>
        <w:t>UNDP</w:t>
      </w:r>
      <w:r w:rsidR="00D70B55" w:rsidRPr="00724D1B">
        <w:rPr>
          <w:rFonts w:asciiTheme="minorHAnsi" w:eastAsiaTheme="minorHAnsi" w:hAnsiTheme="minorHAnsi" w:cstheme="minorBidi"/>
          <w:color w:val="495965" w:themeColor="text2"/>
          <w:sz w:val="22"/>
          <w:szCs w:val="22"/>
          <w:lang w:val="en-GB" w:eastAsia="en-US"/>
        </w:rPr>
        <w:t>)</w:t>
      </w:r>
      <w:r w:rsidRPr="00724D1B">
        <w:rPr>
          <w:rFonts w:asciiTheme="minorHAnsi" w:eastAsiaTheme="minorHAnsi" w:hAnsiTheme="minorHAnsi" w:cstheme="minorBidi"/>
          <w:color w:val="495965" w:themeColor="text2"/>
          <w:sz w:val="22"/>
          <w:szCs w:val="22"/>
          <w:lang w:val="en-GB" w:eastAsia="en-US"/>
        </w:rPr>
        <w:t xml:space="preserve"> Impact Assessment Survey </w:t>
      </w:r>
      <w:r w:rsidR="00155AE9" w:rsidRPr="00724D1B">
        <w:rPr>
          <w:rFonts w:asciiTheme="minorHAnsi" w:eastAsiaTheme="minorHAnsi" w:hAnsiTheme="minorHAnsi" w:cstheme="minorBidi"/>
          <w:color w:val="495965" w:themeColor="text2"/>
          <w:sz w:val="22"/>
          <w:szCs w:val="22"/>
          <w:lang w:val="en-GB" w:eastAsia="en-US"/>
        </w:rPr>
        <w:t>(2011-2015)</w:t>
      </w:r>
      <w:r w:rsidRPr="00724D1B">
        <w:rPr>
          <w:rFonts w:asciiTheme="minorHAnsi" w:eastAsiaTheme="minorHAnsi" w:hAnsiTheme="minorHAnsi" w:cstheme="minorBidi"/>
          <w:color w:val="495965" w:themeColor="text2"/>
          <w:sz w:val="22"/>
          <w:szCs w:val="22"/>
          <w:lang w:val="en-GB" w:eastAsia="en-US"/>
        </w:rPr>
        <w:t xml:space="preserve">, </w:t>
      </w:r>
      <w:r w:rsidR="00CC03AD" w:rsidRPr="00724D1B">
        <w:rPr>
          <w:rFonts w:asciiTheme="minorHAnsi" w:eastAsiaTheme="minorHAnsi" w:hAnsiTheme="minorHAnsi" w:cstheme="minorBidi"/>
          <w:color w:val="495965" w:themeColor="text2"/>
          <w:sz w:val="22"/>
          <w:szCs w:val="22"/>
          <w:lang w:val="en-GB" w:eastAsia="en-US"/>
        </w:rPr>
        <w:t xml:space="preserve">found </w:t>
      </w:r>
      <w:r w:rsidRPr="00724D1B">
        <w:rPr>
          <w:rFonts w:asciiTheme="minorHAnsi" w:eastAsiaTheme="minorHAnsi" w:hAnsiTheme="minorHAnsi" w:cstheme="minorBidi"/>
          <w:color w:val="495965" w:themeColor="text2"/>
          <w:sz w:val="22"/>
          <w:szCs w:val="22"/>
          <w:lang w:val="en-GB" w:eastAsia="en-US"/>
        </w:rPr>
        <w:t>released land</w:t>
      </w:r>
      <w:r w:rsidR="00F61689">
        <w:rPr>
          <w:rFonts w:asciiTheme="minorHAnsi" w:eastAsiaTheme="minorHAnsi" w:hAnsiTheme="minorHAnsi" w:cstheme="minorBidi"/>
          <w:color w:val="495965" w:themeColor="text2"/>
          <w:sz w:val="22"/>
          <w:szCs w:val="22"/>
          <w:lang w:val="en-GB" w:eastAsia="en-US"/>
        </w:rPr>
        <w:t xml:space="preserve"> under CRF-II</w:t>
      </w:r>
      <w:r w:rsidRPr="00724D1B">
        <w:rPr>
          <w:rFonts w:asciiTheme="minorHAnsi" w:eastAsiaTheme="minorHAnsi" w:hAnsiTheme="minorHAnsi" w:cstheme="minorBidi"/>
          <w:color w:val="495965" w:themeColor="text2"/>
          <w:sz w:val="22"/>
          <w:szCs w:val="22"/>
          <w:lang w:val="en-GB" w:eastAsia="en-US"/>
        </w:rPr>
        <w:t xml:space="preserve"> had been used for agriculture, housing and community development as intended.</w:t>
      </w:r>
      <w:r w:rsidR="00155AE9" w:rsidRPr="00724D1B">
        <w:rPr>
          <w:rFonts w:asciiTheme="minorHAnsi" w:eastAsiaTheme="minorHAnsi" w:hAnsiTheme="minorHAnsi" w:cstheme="minorBidi"/>
          <w:color w:val="495965" w:themeColor="text2"/>
          <w:sz w:val="22"/>
          <w:szCs w:val="22"/>
          <w:lang w:val="en-GB" w:eastAsia="en-US"/>
        </w:rPr>
        <w:t xml:space="preserve"> The S</w:t>
      </w:r>
      <w:r w:rsidR="002862C2" w:rsidRPr="00724D1B">
        <w:rPr>
          <w:rFonts w:asciiTheme="minorHAnsi" w:eastAsiaTheme="minorHAnsi" w:hAnsiTheme="minorHAnsi" w:cstheme="minorBidi"/>
          <w:color w:val="495965" w:themeColor="text2"/>
          <w:sz w:val="22"/>
          <w:szCs w:val="22"/>
          <w:lang w:val="en-GB" w:eastAsia="en-US"/>
        </w:rPr>
        <w:t>urvey also showed that the project had improved security, well-being and livelihoods of the people i</w:t>
      </w:r>
      <w:r w:rsidR="00CC03AD" w:rsidRPr="00724D1B">
        <w:rPr>
          <w:rFonts w:asciiTheme="minorHAnsi" w:eastAsiaTheme="minorHAnsi" w:hAnsiTheme="minorHAnsi" w:cstheme="minorBidi"/>
          <w:color w:val="495965" w:themeColor="text2"/>
          <w:sz w:val="22"/>
          <w:szCs w:val="22"/>
          <w:lang w:val="en-GB" w:eastAsia="en-US"/>
        </w:rPr>
        <w:t xml:space="preserve">n the mine affected communities. </w:t>
      </w:r>
    </w:p>
    <w:p w14:paraId="0D60F841" w14:textId="77777777" w:rsidR="0021203E" w:rsidRDefault="0021203E" w:rsidP="00D52C8C">
      <w:pPr>
        <w:suppressAutoHyphens w:val="0"/>
        <w:spacing w:before="0" w:after="0" w:line="440" w:lineRule="atLeast"/>
        <w:rPr>
          <w:rFonts w:asciiTheme="majorHAnsi" w:eastAsiaTheme="majorEastAsia" w:hAnsiTheme="majorHAnsi" w:cstheme="majorBidi"/>
          <w:caps/>
          <w:sz w:val="38"/>
          <w:szCs w:val="26"/>
        </w:rPr>
      </w:pPr>
    </w:p>
    <w:tbl>
      <w:tblPr>
        <w:tblStyle w:val="APPR"/>
        <w:tblW w:w="5000" w:type="pct"/>
        <w:tblLook w:val="01E0" w:firstRow="1" w:lastRow="1" w:firstColumn="1" w:lastColumn="1" w:noHBand="0" w:noVBand="0"/>
      </w:tblPr>
      <w:tblGrid>
        <w:gridCol w:w="7942"/>
        <w:gridCol w:w="1968"/>
      </w:tblGrid>
      <w:tr w:rsidR="007D61D0" w:rsidRPr="007D61D0" w14:paraId="170C21A0" w14:textId="77777777">
        <w:trPr>
          <w:cnfStyle w:val="100000000000" w:firstRow="1" w:lastRow="0" w:firstColumn="0" w:lastColumn="0" w:oddVBand="0" w:evenVBand="0" w:oddHBand="0" w:evenHBand="0" w:firstRowFirstColumn="0" w:firstRowLastColumn="0" w:lastRowFirstColumn="0" w:lastRowLastColumn="0"/>
        </w:trPr>
        <w:tc>
          <w:tcPr>
            <w:tcW w:w="3986" w:type="pct"/>
          </w:tcPr>
          <w:p w14:paraId="5C2089FD" w14:textId="77777777" w:rsidR="007D61D0" w:rsidRPr="007D61D0" w:rsidRDefault="007D61D0" w:rsidP="00003741">
            <w:pPr>
              <w:pStyle w:val="TableTextEntries"/>
              <w:rPr>
                <w:rFonts w:eastAsia="Calibri"/>
                <w:b w:val="0"/>
                <w:sz w:val="24"/>
                <w:szCs w:val="24"/>
              </w:rPr>
            </w:pPr>
            <w:r w:rsidRPr="007D61D0">
              <w:rPr>
                <w:rFonts w:asciiTheme="majorHAnsi" w:eastAsiaTheme="majorEastAsia" w:hAnsiTheme="majorHAnsi" w:cstheme="majorBidi"/>
                <w:b w:val="0"/>
                <w:caps/>
                <w:color w:val="495965" w:themeColor="text2"/>
                <w:sz w:val="38"/>
                <w:szCs w:val="26"/>
                <w:lang w:val="en-GB" w:eastAsia="en-US"/>
              </w:rPr>
              <w:t>Objective 3: Better health and education outcomes</w:t>
            </w:r>
          </w:p>
        </w:tc>
        <w:tc>
          <w:tcPr>
            <w:tcW w:w="972" w:type="pct"/>
            <w:shd w:val="clear" w:color="auto" w:fill="92D050"/>
          </w:tcPr>
          <w:p w14:paraId="675A8779" w14:textId="77777777" w:rsidR="007D61D0" w:rsidRPr="007D61D0" w:rsidRDefault="00EA6960" w:rsidP="00003741">
            <w:pPr>
              <w:pStyle w:val="TableTextEntries"/>
              <w:jc w:val="center"/>
              <w:rPr>
                <w:rFonts w:eastAsia="Calibri"/>
                <w:b w:val="0"/>
                <w:sz w:val="24"/>
                <w:szCs w:val="24"/>
              </w:rPr>
            </w:pPr>
            <w:r>
              <w:rPr>
                <w:rFonts w:eastAsia="Calibri"/>
                <w:b w:val="0"/>
                <w:sz w:val="24"/>
                <w:szCs w:val="24"/>
              </w:rPr>
              <w:t>Green</w:t>
            </w:r>
          </w:p>
        </w:tc>
      </w:tr>
    </w:tbl>
    <w:p w14:paraId="4772A37C" w14:textId="77777777" w:rsidR="00A02175" w:rsidRDefault="00D52C8C" w:rsidP="00EA6960">
      <w:r>
        <w:t xml:space="preserve">The </w:t>
      </w:r>
      <w:r w:rsidRPr="00D52C8C">
        <w:rPr>
          <w:b/>
        </w:rPr>
        <w:t>green rating</w:t>
      </w:r>
      <w:r>
        <w:t xml:space="preserve"> reflects greater than expected progress against this objective, with some indicators and benchmarks exceeded. </w:t>
      </w:r>
    </w:p>
    <w:p w14:paraId="13F693E8" w14:textId="77777777" w:rsidR="00AB2F96" w:rsidRDefault="00C47E68" w:rsidP="00D601FB">
      <w:r>
        <w:t>Australian aid investments in health</w:t>
      </w:r>
      <w:r w:rsidR="00D476E1">
        <w:t xml:space="preserve"> align with the</w:t>
      </w:r>
      <w:r w:rsidR="00D676B0">
        <w:t xml:space="preserve"> </w:t>
      </w:r>
      <w:r w:rsidR="009376F8" w:rsidRPr="00D476E1">
        <w:t>Cambodian G</w:t>
      </w:r>
      <w:r w:rsidR="00666A14" w:rsidRPr="00D476E1">
        <w:t>overnment Health Strategic Plan</w:t>
      </w:r>
      <w:r w:rsidR="00D476E1" w:rsidRPr="00D476E1">
        <w:t>s</w:t>
      </w:r>
      <w:r w:rsidR="00666A14" w:rsidRPr="00D476E1">
        <w:t>.</w:t>
      </w:r>
      <w:r w:rsidR="00666A14">
        <w:t xml:space="preserve"> </w:t>
      </w:r>
      <w:r w:rsidR="00D601FB">
        <w:t>In 2015-16, we worked closely with the World Bank, other donors and the Cambodian Government to</w:t>
      </w:r>
      <w:r w:rsidR="00EA6960">
        <w:t xml:space="preserve"> design </w:t>
      </w:r>
      <w:r w:rsidR="00BB10E2">
        <w:t xml:space="preserve">a </w:t>
      </w:r>
      <w:r w:rsidR="00AB2F96">
        <w:t xml:space="preserve">major, </w:t>
      </w:r>
      <w:r w:rsidR="00BB10E2">
        <w:t>new health sector investment: the</w:t>
      </w:r>
      <w:r w:rsidR="00EA6960">
        <w:t xml:space="preserve"> </w:t>
      </w:r>
      <w:r w:rsidR="00EA6960" w:rsidRPr="00C36AF7">
        <w:rPr>
          <w:b/>
        </w:rPr>
        <w:t xml:space="preserve">Health Equity and Quality Improvement Program </w:t>
      </w:r>
      <w:r w:rsidR="00EA6960" w:rsidRPr="001D7B9B">
        <w:t>(H-EQIP</w:t>
      </w:r>
      <w:r w:rsidR="001D7B9B" w:rsidRPr="001D7B9B">
        <w:t>, AUD50m, 2016-2020</w:t>
      </w:r>
      <w:r w:rsidR="00EA6960" w:rsidRPr="001D7B9B">
        <w:t>)</w:t>
      </w:r>
      <w:r w:rsidR="00155AE9" w:rsidRPr="001D7B9B">
        <w:t xml:space="preserve">. </w:t>
      </w:r>
      <w:r w:rsidR="00AB2F96" w:rsidRPr="001D7B9B">
        <w:t xml:space="preserve">This </w:t>
      </w:r>
      <w:r w:rsidR="00AB2F96">
        <w:t xml:space="preserve">will </w:t>
      </w:r>
      <w:r w:rsidR="00AB2F96" w:rsidRPr="00AB2F96">
        <w:t xml:space="preserve">build on the successes of previous donor support to ensure access to quality health services for around three million poor Cambodians. H-EQIP will be managed </w:t>
      </w:r>
      <w:r w:rsidR="00AB2F96">
        <w:t>by the Ministry of Health to support</w:t>
      </w:r>
      <w:r w:rsidR="00AB2F96" w:rsidRPr="00AB2F96">
        <w:t xml:space="preserve"> long-term institutional sustainability of this aid investment.</w:t>
      </w:r>
    </w:p>
    <w:p w14:paraId="7594E62C" w14:textId="77777777" w:rsidR="00D601FB" w:rsidRDefault="00155AE9" w:rsidP="00D601FB">
      <w:r>
        <w:t>The reporting period also saw the conclusion of</w:t>
      </w:r>
      <w:r w:rsidR="00D601FB">
        <w:t xml:space="preserve"> </w:t>
      </w:r>
      <w:r w:rsidR="00D601FB" w:rsidRPr="00D601FB">
        <w:t xml:space="preserve">the </w:t>
      </w:r>
      <w:r w:rsidR="00446AD7">
        <w:t xml:space="preserve">successor project, </w:t>
      </w:r>
      <w:r w:rsidR="00D601FB" w:rsidRPr="00C36AF7">
        <w:rPr>
          <w:b/>
        </w:rPr>
        <w:t>Second Healt</w:t>
      </w:r>
      <w:r w:rsidRPr="00C36AF7">
        <w:rPr>
          <w:b/>
        </w:rPr>
        <w:t>h Sector Support P</w:t>
      </w:r>
      <w:r w:rsidR="00554606" w:rsidRPr="00C36AF7">
        <w:rPr>
          <w:b/>
        </w:rPr>
        <w:t>rogram</w:t>
      </w:r>
      <w:r w:rsidR="00554606">
        <w:t xml:space="preserve"> (HSSP2, </w:t>
      </w:r>
      <w:r w:rsidR="00266069">
        <w:t>AUD</w:t>
      </w:r>
      <w:r w:rsidR="00D601FB">
        <w:t>71.</w:t>
      </w:r>
      <w:r w:rsidR="00554606">
        <w:t>2m,</w:t>
      </w:r>
      <w:r w:rsidR="00446AD7">
        <w:t xml:space="preserve"> 2009-2016</w:t>
      </w:r>
      <w:r w:rsidR="00554606">
        <w:t>)</w:t>
      </w:r>
      <w:r w:rsidR="00D601FB">
        <w:t xml:space="preserve">. </w:t>
      </w:r>
      <w:r w:rsidR="00554606">
        <w:t>W</w:t>
      </w:r>
      <w:r w:rsidR="00D601FB">
        <w:t xml:space="preserve">e continued to support </w:t>
      </w:r>
      <w:r w:rsidR="00C47E68">
        <w:t xml:space="preserve">the </w:t>
      </w:r>
      <w:r w:rsidR="00D601FB" w:rsidRPr="00C36AF7">
        <w:rPr>
          <w:b/>
        </w:rPr>
        <w:t>Identification of Poor Households</w:t>
      </w:r>
      <w:r w:rsidRPr="00C36AF7">
        <w:rPr>
          <w:b/>
        </w:rPr>
        <w:t xml:space="preserve"> </w:t>
      </w:r>
      <w:r w:rsidR="00554606" w:rsidRPr="00C36AF7">
        <w:rPr>
          <w:b/>
        </w:rPr>
        <w:t>P</w:t>
      </w:r>
      <w:r w:rsidRPr="00C36AF7">
        <w:rPr>
          <w:b/>
        </w:rPr>
        <w:t>rogram</w:t>
      </w:r>
      <w:r w:rsidR="00D601FB">
        <w:t xml:space="preserve"> </w:t>
      </w:r>
      <w:r w:rsidR="00554606">
        <w:lastRenderedPageBreak/>
        <w:t>Phase 3</w:t>
      </w:r>
      <w:r w:rsidR="00D601FB">
        <w:t xml:space="preserve"> (</w:t>
      </w:r>
      <w:r w:rsidR="000848C1">
        <w:t>IDPoor</w:t>
      </w:r>
      <w:r w:rsidR="00A775A3">
        <w:t xml:space="preserve"> </w:t>
      </w:r>
      <w:r w:rsidR="00D476E1">
        <w:t>3</w:t>
      </w:r>
      <w:r w:rsidR="00554606">
        <w:t>,</w:t>
      </w:r>
      <w:r w:rsidR="000848C1">
        <w:t xml:space="preserve"> </w:t>
      </w:r>
      <w:r w:rsidR="00B074F5">
        <w:t>AUD</w:t>
      </w:r>
      <w:r w:rsidR="00D601FB">
        <w:t>5</w:t>
      </w:r>
      <w:r w:rsidR="00266069">
        <w:t>.0</w:t>
      </w:r>
      <w:r w:rsidR="00554606">
        <w:t>m</w:t>
      </w:r>
      <w:r w:rsidR="000848C1">
        <w:t>, 2016-</w:t>
      </w:r>
      <w:r w:rsidR="000848C1" w:rsidRPr="00D601FB">
        <w:t>19</w:t>
      </w:r>
      <w:r w:rsidR="00AE3BD0">
        <w:t>)</w:t>
      </w:r>
      <w:r w:rsidR="00A775A3">
        <w:t xml:space="preserve"> </w:t>
      </w:r>
      <w:r w:rsidR="00446AD7">
        <w:t>which</w:t>
      </w:r>
      <w:r w:rsidR="00D601FB">
        <w:t xml:space="preserve"> </w:t>
      </w:r>
      <w:r w:rsidR="00D476E1">
        <w:t>facilitates access by poor Cambodians to subsidised health services, following the end of the second phase in February 2016</w:t>
      </w:r>
      <w:r w:rsidR="00C36AF7">
        <w:t>.</w:t>
      </w:r>
      <w:r w:rsidR="00446AD7">
        <w:t xml:space="preserve"> </w:t>
      </w:r>
      <w:r w:rsidR="00C36AF7">
        <w:t>T</w:t>
      </w:r>
      <w:r w:rsidR="00D601FB">
        <w:t xml:space="preserve">hrough the </w:t>
      </w:r>
      <w:r w:rsidR="00C36AF7">
        <w:rPr>
          <w:b/>
        </w:rPr>
        <w:t>Partnering to Save Lives P</w:t>
      </w:r>
      <w:r w:rsidR="00D601FB" w:rsidRPr="00C36AF7">
        <w:rPr>
          <w:b/>
        </w:rPr>
        <w:t>rogram</w:t>
      </w:r>
      <w:r w:rsidR="00D601FB">
        <w:t xml:space="preserve"> (PSL</w:t>
      </w:r>
      <w:r w:rsidR="00554606">
        <w:t xml:space="preserve">, </w:t>
      </w:r>
      <w:r w:rsidR="00B074F5">
        <w:t>AUD</w:t>
      </w:r>
      <w:r w:rsidR="00D601FB">
        <w:t>19.</w:t>
      </w:r>
      <w:r w:rsidR="00266069">
        <w:t>8</w:t>
      </w:r>
      <w:r w:rsidR="00554606">
        <w:t>m</w:t>
      </w:r>
      <w:r w:rsidR="000848C1">
        <w:t>, 2013-18</w:t>
      </w:r>
      <w:r w:rsidR="00D601FB">
        <w:t xml:space="preserve">) we supported reproductive, maternal and child health in the four </w:t>
      </w:r>
      <w:r w:rsidR="00C251C6">
        <w:t>N</w:t>
      </w:r>
      <w:r w:rsidR="00D601FB">
        <w:t>orth-</w:t>
      </w:r>
      <w:r w:rsidR="00C251C6">
        <w:t>E</w:t>
      </w:r>
      <w:r w:rsidR="00D601FB">
        <w:t>ast</w:t>
      </w:r>
      <w:r w:rsidR="00C251C6">
        <w:t>ern</w:t>
      </w:r>
      <w:r w:rsidR="00D601FB">
        <w:t xml:space="preserve"> provinces of Cambodia and select garment factories near Phnom Penh</w:t>
      </w:r>
      <w:r w:rsidR="00FC0834">
        <w:t xml:space="preserve">, as well as </w:t>
      </w:r>
      <w:r w:rsidR="00FC0834" w:rsidRPr="00FC0834">
        <w:t xml:space="preserve">training and quality assurance </w:t>
      </w:r>
      <w:r w:rsidR="00FC0834">
        <w:t xml:space="preserve">for long term family planning in an additional nine provinces. </w:t>
      </w:r>
    </w:p>
    <w:p w14:paraId="6C4F1D58" w14:textId="44F67937" w:rsidR="00CF6B3F" w:rsidRDefault="00EA6960" w:rsidP="00EA6960">
      <w:r>
        <w:t xml:space="preserve">The </w:t>
      </w:r>
      <w:r w:rsidR="000A2D10">
        <w:t>Cambodian G</w:t>
      </w:r>
      <w:r>
        <w:t xml:space="preserve">overnment </w:t>
      </w:r>
      <w:r w:rsidR="004A5AD9">
        <w:t>increase</w:t>
      </w:r>
      <w:r w:rsidR="00EC1A0F">
        <w:t>d</w:t>
      </w:r>
      <w:r w:rsidR="004A5AD9">
        <w:t xml:space="preserve"> its</w:t>
      </w:r>
      <w:r>
        <w:t xml:space="preserve"> </w:t>
      </w:r>
      <w:r w:rsidR="004A5AD9">
        <w:t>health</w:t>
      </w:r>
      <w:r w:rsidR="00EC1A0F">
        <w:t xml:space="preserve"> budget by 19 per cent from last year, to</w:t>
      </w:r>
      <w:r w:rsidR="004A5AD9">
        <w:t xml:space="preserve"> </w:t>
      </w:r>
      <w:r w:rsidR="00CF6B3F">
        <w:t xml:space="preserve">USD274 </w:t>
      </w:r>
      <w:r w:rsidR="00C47E68">
        <w:t>million</w:t>
      </w:r>
      <w:r w:rsidR="00EC1A0F">
        <w:t xml:space="preserve">. </w:t>
      </w:r>
      <w:r w:rsidR="00CF6B3F">
        <w:t xml:space="preserve">This </w:t>
      </w:r>
      <w:r w:rsidR="00EC1A0F">
        <w:t>increase</w:t>
      </w:r>
      <w:r w:rsidR="004A5AD9">
        <w:t xml:space="preserve">, plus enhanced </w:t>
      </w:r>
      <w:r w:rsidR="00CF6B3F">
        <w:t xml:space="preserve">ownership and management oversight </w:t>
      </w:r>
      <w:r w:rsidR="004A5AD9">
        <w:t>by the government</w:t>
      </w:r>
      <w:r w:rsidR="00FC0834">
        <w:t xml:space="preserve"> for previously </w:t>
      </w:r>
      <w:r w:rsidR="00F207C1">
        <w:br/>
      </w:r>
      <w:r w:rsidR="00FC0834">
        <w:t xml:space="preserve">donor-supported components of the health </w:t>
      </w:r>
      <w:r w:rsidR="00115F59">
        <w:t>system</w:t>
      </w:r>
      <w:r w:rsidR="00B36FF3">
        <w:t xml:space="preserve">, </w:t>
      </w:r>
      <w:r w:rsidR="00CF6B3F">
        <w:t xml:space="preserve">is encouraging. For example, </w:t>
      </w:r>
      <w:r w:rsidR="00DC757D">
        <w:t xml:space="preserve">at least 54 per cent of </w:t>
      </w:r>
      <w:r w:rsidR="00F207C1">
        <w:br/>
      </w:r>
      <w:r w:rsidR="00B074F5">
        <w:t>H-EQIP</w:t>
      </w:r>
      <w:r w:rsidR="00CF6B3F">
        <w:t xml:space="preserve"> will be </w:t>
      </w:r>
      <w:r w:rsidR="004A5AD9">
        <w:t>funded by the Cambodia</w:t>
      </w:r>
      <w:r w:rsidR="00D676B0">
        <w:t>n Government</w:t>
      </w:r>
      <w:r w:rsidR="004A5AD9">
        <w:t xml:space="preserve"> budge</w:t>
      </w:r>
      <w:r w:rsidR="00BB10E2">
        <w:t>t</w:t>
      </w:r>
      <w:r w:rsidR="00CF6B3F">
        <w:t xml:space="preserve">, compared to 12 per cent </w:t>
      </w:r>
      <w:r w:rsidR="00CF6B3F" w:rsidRPr="007C4336">
        <w:t xml:space="preserve">for </w:t>
      </w:r>
      <w:r w:rsidR="00D02198">
        <w:t xml:space="preserve">the </w:t>
      </w:r>
      <w:r w:rsidR="00C47E68">
        <w:t>HSSP2</w:t>
      </w:r>
      <w:r w:rsidR="00CF6B3F" w:rsidRPr="007C4336">
        <w:t>.</w:t>
      </w:r>
      <w:r w:rsidR="00CF6B3F">
        <w:t xml:space="preserve"> </w:t>
      </w:r>
    </w:p>
    <w:p w14:paraId="3225A072" w14:textId="192FAA1B" w:rsidR="00E65C30" w:rsidRDefault="00EC1A0F" w:rsidP="00E65C30">
      <w:r>
        <w:t>This year w</w:t>
      </w:r>
      <w:r w:rsidR="00580BB0">
        <w:t xml:space="preserve">e </w:t>
      </w:r>
      <w:r>
        <w:t>saw</w:t>
      </w:r>
      <w:r w:rsidR="00580BB0">
        <w:t xml:space="preserve"> </w:t>
      </w:r>
      <w:r>
        <w:t xml:space="preserve">good </w:t>
      </w:r>
      <w:r w:rsidR="00580BB0">
        <w:t>outcomes of several years of policy advocacy</w:t>
      </w:r>
      <w:r>
        <w:t>, including by Australia,</w:t>
      </w:r>
      <w:r w:rsidR="00580BB0">
        <w:t xml:space="preserve"> and </w:t>
      </w:r>
      <w:r>
        <w:t xml:space="preserve">public financial management </w:t>
      </w:r>
      <w:r w:rsidR="00580BB0">
        <w:t>reform discussion</w:t>
      </w:r>
      <w:r>
        <w:t>s.</w:t>
      </w:r>
      <w:r w:rsidR="00580BB0">
        <w:t xml:space="preserve"> </w:t>
      </w:r>
      <w:r>
        <w:t xml:space="preserve">A </w:t>
      </w:r>
      <w:r w:rsidR="00E65C30">
        <w:t xml:space="preserve">major shift in health system </w:t>
      </w:r>
      <w:r>
        <w:t>financing has led</w:t>
      </w:r>
      <w:r w:rsidR="00E65C30">
        <w:t xml:space="preserve"> to a more </w:t>
      </w:r>
      <w:r w:rsidR="00D476E1">
        <w:t>transparent</w:t>
      </w:r>
      <w:r w:rsidR="00E65C30">
        <w:t xml:space="preserve"> flow of funds </w:t>
      </w:r>
      <w:r w:rsidR="00C36AF7">
        <w:t>to hospitals and health centres</w:t>
      </w:r>
      <w:r w:rsidR="004A5AD9">
        <w:t xml:space="preserve">. </w:t>
      </w:r>
      <w:r w:rsidR="00FC0834">
        <w:t>T</w:t>
      </w:r>
      <w:r w:rsidR="004A5AD9">
        <w:t xml:space="preserve">he </w:t>
      </w:r>
      <w:r w:rsidR="00666A14">
        <w:t>Cambodian G</w:t>
      </w:r>
      <w:r w:rsidR="004A5AD9">
        <w:t xml:space="preserve">overnment continued to increase the budget allocation for IDPoor and </w:t>
      </w:r>
      <w:r w:rsidR="00C36AF7">
        <w:t xml:space="preserve">has covered the cost of operations </w:t>
      </w:r>
      <w:r w:rsidR="004A5AD9">
        <w:t>since 2015</w:t>
      </w:r>
      <w:r w:rsidR="008E4949">
        <w:t xml:space="preserve">. </w:t>
      </w:r>
      <w:r w:rsidR="00554606">
        <w:t>Australia’s advocacy has also</w:t>
      </w:r>
      <w:r w:rsidR="00C36AF7">
        <w:t xml:space="preserve"> contributed to t</w:t>
      </w:r>
      <w:r w:rsidR="00E65C30">
        <w:t xml:space="preserve">he government </w:t>
      </w:r>
      <w:r w:rsidR="00C36AF7">
        <w:t>now fully covering</w:t>
      </w:r>
      <w:r w:rsidR="00E65C30">
        <w:t xml:space="preserve"> the </w:t>
      </w:r>
      <w:r w:rsidR="000B5855">
        <w:t>purchase of</w:t>
      </w:r>
      <w:r w:rsidR="00E65C30">
        <w:t xml:space="preserve"> contraceptive commodities</w:t>
      </w:r>
      <w:r w:rsidR="00C36AF7">
        <w:t>.</w:t>
      </w:r>
      <w:r w:rsidR="001D7B9B">
        <w:t xml:space="preserve"> </w:t>
      </w:r>
    </w:p>
    <w:p w14:paraId="68890968" w14:textId="0C83C6E7" w:rsidR="00AE3BD0" w:rsidRDefault="00AE3BD0" w:rsidP="00E65C30">
      <w:r>
        <w:t>Efforts made by the IDPoor Program ha</w:t>
      </w:r>
      <w:r w:rsidR="00DC757D">
        <w:t>ve</w:t>
      </w:r>
      <w:r>
        <w:t xml:space="preserve"> ensured that people with a disability can more easily engage in the IDPoor process, ensuring more have access to subsidis</w:t>
      </w:r>
      <w:r w:rsidR="00EC1A0F">
        <w:t>ed public health services. Through</w:t>
      </w:r>
      <w:r>
        <w:t xml:space="preserve"> H-EQIP</w:t>
      </w:r>
      <w:r w:rsidR="00EC1A0F">
        <w:t>, the Cambodian Government</w:t>
      </w:r>
      <w:r>
        <w:t xml:space="preserve"> </w:t>
      </w:r>
      <w:r w:rsidR="00D476E1">
        <w:t>will better define</w:t>
      </w:r>
      <w:r w:rsidR="00EC1A0F">
        <w:t xml:space="preserve"> disability</w:t>
      </w:r>
      <w:r>
        <w:t xml:space="preserve">, </w:t>
      </w:r>
      <w:r w:rsidR="00EC1A0F">
        <w:t>so all people with a disability – not just physical – can</w:t>
      </w:r>
      <w:r>
        <w:t xml:space="preserve"> </w:t>
      </w:r>
      <w:r w:rsidR="00EC1A0F">
        <w:t>access free health care, as announced by the government</w:t>
      </w:r>
      <w:r>
        <w:t xml:space="preserve">. </w:t>
      </w:r>
    </w:p>
    <w:p w14:paraId="39BC1FC9" w14:textId="77777777" w:rsidR="00653233" w:rsidRDefault="00653233" w:rsidP="00653233">
      <w:pPr>
        <w:spacing w:before="0" w:after="0"/>
      </w:pPr>
    </w:p>
    <w:p w14:paraId="3FA10BF5" w14:textId="207A0FF5" w:rsidR="00653233" w:rsidRPr="00AB2F96" w:rsidRDefault="00653233" w:rsidP="00653233">
      <w:pPr>
        <w:jc w:val="center"/>
        <w:rPr>
          <w:b/>
          <w:sz w:val="20"/>
        </w:rPr>
      </w:pPr>
      <w:r>
        <w:rPr>
          <w:b/>
          <w:noProof/>
          <w:sz w:val="20"/>
          <w:lang w:val="en-AU" w:eastAsia="en-AU"/>
        </w:rPr>
        <mc:AlternateContent>
          <mc:Choice Requires="wps">
            <w:drawing>
              <wp:anchor distT="0" distB="0" distL="114300" distR="114300" simplePos="0" relativeHeight="251677696" behindDoc="1" locked="0" layoutInCell="1" allowOverlap="1" wp14:anchorId="05C2EFB1" wp14:editId="290E99EE">
                <wp:simplePos x="0" y="0"/>
                <wp:positionH relativeFrom="column">
                  <wp:posOffset>227969</wp:posOffset>
                </wp:positionH>
                <wp:positionV relativeFrom="paragraph">
                  <wp:posOffset>9525</wp:posOffset>
                </wp:positionV>
                <wp:extent cx="5385423" cy="27432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5385423" cy="27432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7.95pt;margin-top:.75pt;width:424.05pt;height:3in;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" fillcolor="white [3212]" strokecolor="black [3213]" strokeweight="1pt"/>
            </w:pict>
          </mc:Fallback>
        </mc:AlternateContent>
      </w:r>
      <w:r w:rsidRPr="00AB2F96">
        <w:rPr>
          <w:b/>
          <w:sz w:val="20"/>
        </w:rPr>
        <w:t xml:space="preserve">Health matters: a snapshot of </w:t>
      </w:r>
      <w:r>
        <w:rPr>
          <w:b/>
          <w:sz w:val="20"/>
        </w:rPr>
        <w:t xml:space="preserve">Australia’s </w:t>
      </w:r>
      <w:r w:rsidRPr="00AB2F96">
        <w:rPr>
          <w:b/>
          <w:sz w:val="20"/>
        </w:rPr>
        <w:t>results in 2015-16</w:t>
      </w:r>
    </w:p>
    <w:p w14:paraId="2054995C" w14:textId="77777777" w:rsidR="00653233" w:rsidRPr="00AB2F96" w:rsidRDefault="00653233" w:rsidP="00653233">
      <w:pPr>
        <w:pStyle w:val="ListParagraph"/>
        <w:numPr>
          <w:ilvl w:val="0"/>
          <w:numId w:val="18"/>
        </w:numPr>
        <w:ind w:left="993" w:right="1133"/>
        <w:rPr>
          <w:sz w:val="20"/>
        </w:rPr>
      </w:pPr>
      <w:r w:rsidRPr="00AB2F96">
        <w:rPr>
          <w:sz w:val="20"/>
        </w:rPr>
        <w:t xml:space="preserve">The </w:t>
      </w:r>
      <w:r w:rsidRPr="001D7B9B">
        <w:rPr>
          <w:b/>
          <w:sz w:val="20"/>
        </w:rPr>
        <w:t>IDPoor program</w:t>
      </w:r>
      <w:r w:rsidRPr="00AB2F96">
        <w:rPr>
          <w:sz w:val="20"/>
        </w:rPr>
        <w:t xml:space="preserve"> expanded its reach to 100 per cent of rural communities, up from 95 per cent in 2014. This provided identification cards to poor Cambodians so that they can access subsidised health care and other social services. </w:t>
      </w:r>
    </w:p>
    <w:p w14:paraId="688C32B7" w14:textId="77777777" w:rsidR="00653233" w:rsidRPr="00AB2F96" w:rsidRDefault="00653233" w:rsidP="00653233">
      <w:pPr>
        <w:pStyle w:val="ListParagraph"/>
        <w:numPr>
          <w:ilvl w:val="0"/>
          <w:numId w:val="18"/>
        </w:numPr>
        <w:ind w:left="993" w:right="1133"/>
        <w:rPr>
          <w:sz w:val="20"/>
        </w:rPr>
      </w:pPr>
      <w:r w:rsidRPr="00AB2F96">
        <w:rPr>
          <w:sz w:val="20"/>
        </w:rPr>
        <w:t xml:space="preserve">A mid-term review of </w:t>
      </w:r>
      <w:r w:rsidRPr="001D7B9B">
        <w:rPr>
          <w:b/>
          <w:sz w:val="20"/>
        </w:rPr>
        <w:t xml:space="preserve">Partnering to Save Lives </w:t>
      </w:r>
      <w:r>
        <w:rPr>
          <w:b/>
          <w:sz w:val="20"/>
        </w:rPr>
        <w:t xml:space="preserve">(PSL) </w:t>
      </w:r>
      <w:r w:rsidRPr="00AB2F96">
        <w:rPr>
          <w:sz w:val="20"/>
        </w:rPr>
        <w:t>found the program was on track and consistent with the priorities of the Australian and Cambodian governments. T</w:t>
      </w:r>
      <w:r>
        <w:rPr>
          <w:sz w:val="20"/>
        </w:rPr>
        <w:t>raining</w:t>
      </w:r>
      <w:r w:rsidRPr="00AB2F96">
        <w:rPr>
          <w:sz w:val="20"/>
        </w:rPr>
        <w:t xml:space="preserve"> midwives in Cambodia’s remote North-Eastern provinces has helped improve the quality of reproductive, maternal and neonatal health services, doubling the percentage of midwives </w:t>
      </w:r>
      <w:r>
        <w:rPr>
          <w:sz w:val="20"/>
        </w:rPr>
        <w:t>trained</w:t>
      </w:r>
      <w:r w:rsidRPr="00AB2F96">
        <w:rPr>
          <w:sz w:val="20"/>
        </w:rPr>
        <w:t xml:space="preserve"> to 70 per cent in 2015-16. </w:t>
      </w:r>
      <w:r>
        <w:rPr>
          <w:sz w:val="20"/>
        </w:rPr>
        <w:t>PSL</w:t>
      </w:r>
      <w:r w:rsidRPr="00AB2F96">
        <w:rPr>
          <w:sz w:val="20"/>
        </w:rPr>
        <w:t xml:space="preserve"> also increased the percentage of women from that region delivering in a health facility with a skilled birth attendant from 39 per cent in 2014-15 to 44 per cent in 2015-16. </w:t>
      </w:r>
    </w:p>
    <w:p w14:paraId="65827D94" w14:textId="77777777" w:rsidR="00653233" w:rsidRDefault="00653233" w:rsidP="00653233">
      <w:pPr>
        <w:pStyle w:val="ListParagraph"/>
        <w:numPr>
          <w:ilvl w:val="0"/>
          <w:numId w:val="18"/>
        </w:numPr>
        <w:ind w:left="993" w:right="1133"/>
      </w:pPr>
      <w:r w:rsidRPr="009F7F93">
        <w:rPr>
          <w:sz w:val="20"/>
        </w:rPr>
        <w:t xml:space="preserve">Under the </w:t>
      </w:r>
      <w:r w:rsidRPr="00D476E1">
        <w:rPr>
          <w:b/>
          <w:sz w:val="20"/>
          <w:szCs w:val="20"/>
        </w:rPr>
        <w:t>Second Health Sector Support Program</w:t>
      </w:r>
      <w:r w:rsidRPr="009F7F93">
        <w:rPr>
          <w:sz w:val="20"/>
        </w:rPr>
        <w:t xml:space="preserve"> approximately three million vulnerable Cambodians, or about 20 per cent of the population, received access to a form of health insurance allowing them to access essential health services. Our investment in 2015-16 contributed to expanding the Health Equity Fund (HEF) system to 100 per cent of the country (up from 63 per cent in 2014)</w:t>
      </w:r>
      <w:r>
        <w:rPr>
          <w:sz w:val="20"/>
        </w:rPr>
        <w:t xml:space="preserve">. </w:t>
      </w:r>
    </w:p>
    <w:p w14:paraId="6C3ACC5F" w14:textId="77777777" w:rsidR="00064651" w:rsidRDefault="00064651" w:rsidP="00EA6960"/>
    <w:p w14:paraId="26BF4070" w14:textId="221FF905" w:rsidR="00EA6960" w:rsidRPr="009944C2" w:rsidRDefault="00EC1A0F" w:rsidP="00EA6960">
      <w:r>
        <w:t xml:space="preserve">Australia consolidated its investments in health this year to achieve greater efficiencies and longer-term impact. </w:t>
      </w:r>
      <w:r w:rsidR="00115F59">
        <w:t>Small</w:t>
      </w:r>
      <w:r w:rsidR="00C47E68">
        <w:t>er</w:t>
      </w:r>
      <w:r w:rsidR="00666A14">
        <w:t xml:space="preserve"> </w:t>
      </w:r>
      <w:r w:rsidR="00C47E68">
        <w:t xml:space="preserve">aid </w:t>
      </w:r>
      <w:r w:rsidR="00666A14">
        <w:t>i</w:t>
      </w:r>
      <w:r w:rsidR="00CF6B3F">
        <w:t>nvestments</w:t>
      </w:r>
      <w:r w:rsidR="00C47E68">
        <w:t>—</w:t>
      </w:r>
      <w:r w:rsidR="00666A14">
        <w:t>in</w:t>
      </w:r>
      <w:r w:rsidR="00C47E68">
        <w:t xml:space="preserve"> </w:t>
      </w:r>
      <w:r w:rsidR="00666A14">
        <w:t>health workforce development, contraceptive commodities and decentralisation of the health system</w:t>
      </w:r>
      <w:r w:rsidR="00C47E68">
        <w:t>—came to an end as planned. This now allows</w:t>
      </w:r>
      <w:r w:rsidR="00EA6960">
        <w:t xml:space="preserve"> us to </w:t>
      </w:r>
      <w:r w:rsidR="00C47E68">
        <w:t xml:space="preserve">focus </w:t>
      </w:r>
      <w:r w:rsidR="00EA6960">
        <w:t xml:space="preserve">on fewer, larger </w:t>
      </w:r>
      <w:r w:rsidR="00C47E68">
        <w:t xml:space="preserve">health sector </w:t>
      </w:r>
      <w:r w:rsidR="00EA6960" w:rsidRPr="009944C2">
        <w:t>investments</w:t>
      </w:r>
      <w:r w:rsidR="000A2D10">
        <w:t xml:space="preserve">. </w:t>
      </w:r>
    </w:p>
    <w:p w14:paraId="1217E022" w14:textId="07A9D125" w:rsidR="00861E8A" w:rsidRDefault="001D7B9B" w:rsidP="001D7B9B">
      <w:pPr>
        <w:spacing w:before="240"/>
      </w:pPr>
      <w:r>
        <w:t>T</w:t>
      </w:r>
      <w:r w:rsidR="00666A14">
        <w:t xml:space="preserve">o maximise </w:t>
      </w:r>
      <w:r>
        <w:t>Australia’s</w:t>
      </w:r>
      <w:r w:rsidR="00666A14">
        <w:t xml:space="preserve"> investment under the new </w:t>
      </w:r>
      <w:r w:rsidR="00B074F5">
        <w:t>H-EQIP</w:t>
      </w:r>
      <w:r w:rsidR="00666A14">
        <w:t xml:space="preserve">, we </w:t>
      </w:r>
      <w:r w:rsidR="00EA6960">
        <w:t>will employ technical assistance</w:t>
      </w:r>
      <w:r w:rsidR="00604282">
        <w:t xml:space="preserve"> </w:t>
      </w:r>
      <w:r w:rsidR="00115F59">
        <w:t>in gender</w:t>
      </w:r>
      <w:r w:rsidR="00666A14">
        <w:t xml:space="preserve">, </w:t>
      </w:r>
      <w:r w:rsidR="00604282">
        <w:t>public financial management and health financing</w:t>
      </w:r>
      <w:r>
        <w:t>. This will</w:t>
      </w:r>
      <w:r w:rsidR="00666A14">
        <w:t xml:space="preserve"> </w:t>
      </w:r>
      <w:r>
        <w:t>strengthen</w:t>
      </w:r>
      <w:r w:rsidR="00AE3BD0">
        <w:t xml:space="preserve"> DFAT’s capacity to engage in technical dialogue with partners and </w:t>
      </w:r>
      <w:r w:rsidR="00666A14">
        <w:t>to assist in the supervision and monitoring of this complex</w:t>
      </w:r>
      <w:r w:rsidR="00B36FF3">
        <w:t>,</w:t>
      </w:r>
      <w:r w:rsidR="00666A14">
        <w:t xml:space="preserve"> </w:t>
      </w:r>
      <w:r w:rsidR="00E82D4F">
        <w:t>transformative</w:t>
      </w:r>
      <w:r w:rsidR="00666A14">
        <w:t xml:space="preserve"> program.</w:t>
      </w:r>
      <w:r w:rsidR="00EA6960">
        <w:t xml:space="preserve"> </w:t>
      </w:r>
      <w:r w:rsidR="00C251C6">
        <w:t>A</w:t>
      </w:r>
      <w:r w:rsidR="00861E8A">
        <w:t xml:space="preserve"> </w:t>
      </w:r>
      <w:r w:rsidR="005E3376">
        <w:t xml:space="preserve">challenge </w:t>
      </w:r>
      <w:r w:rsidR="00C251C6">
        <w:t xml:space="preserve">of growing importance </w:t>
      </w:r>
      <w:r w:rsidR="00861E8A">
        <w:t>for donors is the degree to which we can support the private health sector in Cambodia,</w:t>
      </w:r>
      <w:r w:rsidR="00D70B55">
        <w:t xml:space="preserve"> </w:t>
      </w:r>
      <w:r w:rsidR="00861E8A">
        <w:t xml:space="preserve">as studies show that over two thirds of Cambodians seek health care from private providers. </w:t>
      </w:r>
      <w:r w:rsidRPr="00D9696A">
        <w:t>A pending DFAT-International Finance Corporation study, due in late 2016, will help determine possible entry points</w:t>
      </w:r>
      <w:r>
        <w:t xml:space="preserve"> to working</w:t>
      </w:r>
      <w:r w:rsidRPr="00D9696A">
        <w:t xml:space="preserve"> with private health care providers or providing regulatory and contracting support to the Cambodian Government</w:t>
      </w:r>
      <w:r>
        <w:t>.</w:t>
      </w:r>
    </w:p>
    <w:p w14:paraId="38FE2ADB" w14:textId="77777777" w:rsidR="00554606" w:rsidRPr="00F77FFD" w:rsidRDefault="00554606" w:rsidP="00554606">
      <w:pPr>
        <w:pStyle w:val="Heading4"/>
      </w:pPr>
      <w:r>
        <w:lastRenderedPageBreak/>
        <w:t>Education</w:t>
      </w:r>
    </w:p>
    <w:p w14:paraId="09BED75F" w14:textId="21824848" w:rsidR="005053B6" w:rsidRDefault="00554606" w:rsidP="00EA6960">
      <w:pPr>
        <w:suppressAutoHyphens w:val="0"/>
        <w:spacing w:before="0" w:after="120" w:line="240" w:lineRule="auto"/>
      </w:pPr>
      <w:r>
        <w:t>T</w:t>
      </w:r>
      <w:r w:rsidR="007028FC">
        <w:t xml:space="preserve">he </w:t>
      </w:r>
      <w:r w:rsidR="00AD083B" w:rsidRPr="001D7B9B">
        <w:rPr>
          <w:b/>
        </w:rPr>
        <w:t>Australian Awards Scholarships</w:t>
      </w:r>
      <w:r w:rsidR="001D7B9B" w:rsidRPr="001D7B9B">
        <w:rPr>
          <w:b/>
        </w:rPr>
        <w:t xml:space="preserve"> Program</w:t>
      </w:r>
      <w:r w:rsidR="001D7B9B">
        <w:t xml:space="preserve"> (AAS)</w:t>
      </w:r>
      <w:r w:rsidR="00AD083B">
        <w:t xml:space="preserve"> </w:t>
      </w:r>
      <w:r w:rsidR="005053B6">
        <w:t xml:space="preserve">has </w:t>
      </w:r>
      <w:r w:rsidR="001D7B9B">
        <w:t>e</w:t>
      </w:r>
      <w:r w:rsidR="005053B6">
        <w:t>nabled more than 650 Cambodians to study in Australia since the program began</w:t>
      </w:r>
      <w:r w:rsidR="006743AA">
        <w:t xml:space="preserve"> in 1994</w:t>
      </w:r>
      <w:r w:rsidR="005053B6">
        <w:t xml:space="preserve">. </w:t>
      </w:r>
    </w:p>
    <w:p w14:paraId="795919BF" w14:textId="77777777" w:rsidR="005053B6" w:rsidRDefault="005053B6" w:rsidP="00EA6960">
      <w:pPr>
        <w:suppressAutoHyphens w:val="0"/>
        <w:spacing w:before="0" w:after="120" w:line="240" w:lineRule="auto"/>
      </w:pPr>
      <w:r>
        <w:t xml:space="preserve">In 2015-16, 50 scholarships were offered at the masters and PhD levels in the areas of health, infrastructure, agriculture, education management, trade and courses related to ending violence against women. By providing scholarships in these sectors, </w:t>
      </w:r>
      <w:r w:rsidR="001D7B9B">
        <w:t>Australia</w:t>
      </w:r>
      <w:r>
        <w:t xml:space="preserve"> </w:t>
      </w:r>
      <w:r w:rsidR="001D7B9B">
        <w:t>is</w:t>
      </w:r>
      <w:r>
        <w:t xml:space="preserve"> filling a development gap, as these disciplines are vital for Cambodia’s development but are less likely to be studied by self-funded students. In 2015-16, </w:t>
      </w:r>
      <w:r w:rsidR="001D7B9B">
        <w:t>half of scholarships were</w:t>
      </w:r>
      <w:r>
        <w:t xml:space="preserve"> offered to women—a first for the program—with 49 per cent accepted by women. This represents an increase from 44 per cent in the previous year, and up from 26 per cent in 2012. </w:t>
      </w:r>
    </w:p>
    <w:p w14:paraId="18C92B8C" w14:textId="77777777" w:rsidR="00212813" w:rsidRDefault="0051622D">
      <w:pPr>
        <w:suppressAutoHyphens w:val="0"/>
        <w:spacing w:before="0" w:after="120" w:line="240" w:lineRule="auto"/>
      </w:pPr>
      <w:r w:rsidRPr="0051622D">
        <w:t xml:space="preserve">Through the </w:t>
      </w:r>
      <w:r w:rsidRPr="001D7B9B">
        <w:rPr>
          <w:b/>
        </w:rPr>
        <w:t>Equity Pathway Fund</w:t>
      </w:r>
      <w:r w:rsidRPr="0051622D">
        <w:t xml:space="preserve">, the AAS </w:t>
      </w:r>
      <w:r w:rsidR="001D7B9B">
        <w:t>s</w:t>
      </w:r>
      <w:r w:rsidRPr="0051622D">
        <w:t>upported two Cambodians living with a disability to undertake a two-year internship with an NGO to acquire the work experience nee</w:t>
      </w:r>
      <w:r w:rsidR="001D7B9B">
        <w:t>ded to apply for an AAS. The Fund</w:t>
      </w:r>
      <w:r w:rsidRPr="0051622D">
        <w:t xml:space="preserve"> also supported 34 women with English language training to assist them obtain the prerequisite English level required to apply for an AAS. </w:t>
      </w:r>
    </w:p>
    <w:p w14:paraId="6A3DA41A" w14:textId="14E45635" w:rsidR="00EA6960" w:rsidRDefault="001D7B9B">
      <w:pPr>
        <w:suppressAutoHyphens w:val="0"/>
        <w:spacing w:before="0" w:after="120" w:line="240" w:lineRule="auto"/>
      </w:pPr>
      <w:r>
        <w:t>A</w:t>
      </w:r>
      <w:r w:rsidR="005053B6">
        <w:t xml:space="preserve"> </w:t>
      </w:r>
      <w:r>
        <w:t xml:space="preserve">2015 </w:t>
      </w:r>
      <w:r w:rsidR="005053B6">
        <w:t>mid-term review of the AAS found that the program was performing well</w:t>
      </w:r>
      <w:r w:rsidR="007A1A7E">
        <w:t>, with</w:t>
      </w:r>
      <w:r w:rsidR="009D7134">
        <w:t xml:space="preserve"> </w:t>
      </w:r>
      <w:r>
        <w:t xml:space="preserve">strong </w:t>
      </w:r>
      <w:r w:rsidR="009D7134">
        <w:t xml:space="preserve">evidence that management of the scholarship cycle is well designed, implemented, reviewed and strengthened. </w:t>
      </w:r>
    </w:p>
    <w:p w14:paraId="59CD730D" w14:textId="77777777" w:rsidR="00733344" w:rsidRDefault="001D7B9B" w:rsidP="00462370">
      <w:pPr>
        <w:suppressAutoHyphens w:val="0"/>
        <w:spacing w:before="0" w:after="120" w:line="240" w:lineRule="auto"/>
      </w:pPr>
      <w:r>
        <w:t xml:space="preserve">Australia focused on tertiary education in </w:t>
      </w:r>
      <w:r w:rsidR="00F43638">
        <w:t>2015-16. However, we recognise that there is</w:t>
      </w:r>
      <w:r w:rsidR="00F5666C">
        <w:t xml:space="preserve"> sizeable skills mismatch in Cambodia</w:t>
      </w:r>
      <w:r w:rsidR="00007FB6">
        <w:t>. There is a growing gap between t</w:t>
      </w:r>
      <w:r w:rsidR="00DA2A82">
        <w:t>he skills required by industry and business</w:t>
      </w:r>
      <w:r w:rsidR="00007FB6">
        <w:t xml:space="preserve"> and the skills that graduates possess. Currently, there is an oversupply and low demand for graduates with qualifications in business, management and accounting, while there is a short supply and high demand for graduates with technical skills, including in the areas of electronics, engineering and science and technology. </w:t>
      </w:r>
    </w:p>
    <w:p w14:paraId="39C3B25C" w14:textId="77777777" w:rsidR="00234B00" w:rsidRPr="000364AA" w:rsidRDefault="00DA2A82" w:rsidP="00234B00">
      <w:pPr>
        <w:pStyle w:val="ListBullet"/>
        <w:tabs>
          <w:tab w:val="clear" w:pos="284"/>
        </w:tabs>
        <w:spacing w:before="360"/>
        <w:ind w:left="2127" w:hanging="2127"/>
        <w:rPr>
          <w:rFonts w:asciiTheme="majorHAnsi" w:eastAsiaTheme="majorEastAsia" w:hAnsiTheme="majorHAnsi" w:cstheme="majorBidi"/>
          <w:caps/>
          <w:color w:val="495965" w:themeColor="text2"/>
          <w:sz w:val="28"/>
          <w:szCs w:val="26"/>
          <w:lang w:val="en-GB" w:eastAsia="en-US"/>
        </w:rPr>
      </w:pPr>
      <w:r w:rsidRPr="000364AA">
        <w:rPr>
          <w:rFonts w:asciiTheme="majorHAnsi" w:eastAsiaTheme="majorEastAsia" w:hAnsiTheme="majorHAnsi" w:cstheme="majorBidi"/>
          <w:caps/>
          <w:color w:val="495965" w:themeColor="text2"/>
          <w:sz w:val="28"/>
          <w:szCs w:val="26"/>
          <w:lang w:val="en-GB" w:eastAsia="en-US"/>
        </w:rPr>
        <w:t xml:space="preserve">OTHER INVESTMENTS: </w:t>
      </w:r>
      <w:r w:rsidR="00234B00" w:rsidRPr="000364AA">
        <w:rPr>
          <w:rFonts w:asciiTheme="majorHAnsi" w:eastAsiaTheme="majorEastAsia" w:hAnsiTheme="majorHAnsi" w:cstheme="majorBidi"/>
          <w:caps/>
          <w:color w:val="495965" w:themeColor="text2"/>
          <w:sz w:val="28"/>
          <w:szCs w:val="26"/>
          <w:lang w:val="en-GB" w:eastAsia="en-US"/>
        </w:rPr>
        <w:t>Inclusive participation and governance</w:t>
      </w:r>
    </w:p>
    <w:p w14:paraId="239E37D5" w14:textId="77777777" w:rsidR="00B21AD8" w:rsidRPr="00AF00ED" w:rsidRDefault="00BA0013" w:rsidP="00AF00ED">
      <w:pPr>
        <w:suppressAutoHyphens w:val="0"/>
        <w:spacing w:before="0" w:after="120" w:line="240" w:lineRule="auto"/>
      </w:pPr>
      <w:r>
        <w:t>We support a range of investments which contribute to inclusive participation and improved governance</w:t>
      </w:r>
      <w:r w:rsidR="00502F68">
        <w:t>, which are complementary to our</w:t>
      </w:r>
      <w:r w:rsidR="00502F68" w:rsidRPr="00502F68">
        <w:t xml:space="preserve"> </w:t>
      </w:r>
      <w:r w:rsidR="00502F68">
        <w:t>key objectives in infrastructure, agriculture, health and education.</w:t>
      </w:r>
    </w:p>
    <w:p w14:paraId="07D0BA01" w14:textId="77777777" w:rsidR="00051082" w:rsidRDefault="00051082" w:rsidP="00554606">
      <w:pPr>
        <w:pStyle w:val="Heading4"/>
      </w:pPr>
      <w:r>
        <w:t>Law and Justice</w:t>
      </w:r>
    </w:p>
    <w:p w14:paraId="6D7C60BF" w14:textId="1E1BAB2E" w:rsidR="00B21AD8" w:rsidRDefault="00BA0013" w:rsidP="00AF00ED">
      <w:pPr>
        <w:suppressAutoHyphens w:val="0"/>
        <w:spacing w:before="0" w:after="120" w:line="240" w:lineRule="auto"/>
      </w:pPr>
      <w:r>
        <w:t xml:space="preserve">In </w:t>
      </w:r>
      <w:r w:rsidR="00B074F5">
        <w:t>2015-16</w:t>
      </w:r>
      <w:r>
        <w:t xml:space="preserve"> </w:t>
      </w:r>
      <w:r w:rsidR="005378C1">
        <w:t xml:space="preserve">we </w:t>
      </w:r>
      <w:r w:rsidR="00C33B01">
        <w:t>ended</w:t>
      </w:r>
      <w:r w:rsidR="00B21AD8" w:rsidRPr="00AF00ED">
        <w:t xml:space="preserve"> our 19 year law and justice sector support </w:t>
      </w:r>
      <w:r w:rsidR="00C33B01">
        <w:t xml:space="preserve">program, </w:t>
      </w:r>
      <w:r w:rsidR="00DA2A82">
        <w:t>the</w:t>
      </w:r>
      <w:r w:rsidR="00B21AD8" w:rsidRPr="00AF00ED">
        <w:t xml:space="preserve"> </w:t>
      </w:r>
      <w:r w:rsidR="00B21AD8" w:rsidRPr="00DA2A82">
        <w:rPr>
          <w:b/>
        </w:rPr>
        <w:t>Cambodia Community Justice</w:t>
      </w:r>
      <w:r w:rsidRPr="00DA2A82">
        <w:rPr>
          <w:b/>
        </w:rPr>
        <w:t xml:space="preserve"> Assistance Partnership</w:t>
      </w:r>
      <w:r>
        <w:t xml:space="preserve"> (CCJAP)</w:t>
      </w:r>
      <w:r w:rsidR="00B21AD8" w:rsidRPr="00AF00ED">
        <w:t>.</w:t>
      </w:r>
      <w:r>
        <w:t xml:space="preserve"> </w:t>
      </w:r>
      <w:r w:rsidR="00FC45AB">
        <w:t>A</w:t>
      </w:r>
      <w:r>
        <w:t xml:space="preserve"> </w:t>
      </w:r>
      <w:r w:rsidR="00111917">
        <w:t xml:space="preserve">mutual </w:t>
      </w:r>
      <w:r>
        <w:t>agreement</w:t>
      </w:r>
      <w:r w:rsidR="00111917">
        <w:t xml:space="preserve"> to end CCJAP was made </w:t>
      </w:r>
      <w:r w:rsidR="00FC45AB">
        <w:t>during</w:t>
      </w:r>
      <w:r w:rsidR="00111917">
        <w:t xml:space="preserve"> the </w:t>
      </w:r>
      <w:r w:rsidR="00890491">
        <w:t xml:space="preserve">2012 and </w:t>
      </w:r>
      <w:r w:rsidR="00111917">
        <w:t xml:space="preserve">2014 </w:t>
      </w:r>
      <w:r w:rsidR="00DA2A82">
        <w:t xml:space="preserve">Australia-Cambodia </w:t>
      </w:r>
      <w:r w:rsidR="00111917">
        <w:t>A</w:t>
      </w:r>
      <w:r>
        <w:t>id High Level Consultations</w:t>
      </w:r>
      <w:r w:rsidR="00DA2A82">
        <w:t>,</w:t>
      </w:r>
      <w:r>
        <w:t xml:space="preserve"> </w:t>
      </w:r>
      <w:r w:rsidR="00524858">
        <w:t>due</w:t>
      </w:r>
      <w:r w:rsidR="00DA2A82">
        <w:t xml:space="preserve"> in part</w:t>
      </w:r>
      <w:r w:rsidR="00524858">
        <w:t xml:space="preserve"> to the</w:t>
      </w:r>
      <w:r w:rsidR="00B32AB1">
        <w:t xml:space="preserve"> </w:t>
      </w:r>
      <w:r w:rsidR="006743AA">
        <w:t>Australia’s</w:t>
      </w:r>
      <w:r w:rsidR="009938A7">
        <w:t xml:space="preserve"> </w:t>
      </w:r>
      <w:r w:rsidR="00B32AB1">
        <w:t>consolidation agenda</w:t>
      </w:r>
      <w:r w:rsidR="008E4949">
        <w:t xml:space="preserve">. </w:t>
      </w:r>
    </w:p>
    <w:p w14:paraId="57987BEB" w14:textId="77777777" w:rsidR="00F31A04" w:rsidRDefault="00DA2A82" w:rsidP="00F31A04">
      <w:pPr>
        <w:suppressAutoHyphens w:val="0"/>
        <w:spacing w:before="0" w:after="120" w:line="240" w:lineRule="auto"/>
      </w:pPr>
      <w:r>
        <w:t>In 2016</w:t>
      </w:r>
      <w:r w:rsidR="00F31A04">
        <w:t xml:space="preserve"> </w:t>
      </w:r>
      <w:r>
        <w:t xml:space="preserve">an </w:t>
      </w:r>
      <w:r w:rsidR="00F31A04">
        <w:t xml:space="preserve">independent review of CCJAP </w:t>
      </w:r>
      <w:r>
        <w:t xml:space="preserve">found that its </w:t>
      </w:r>
      <w:r w:rsidR="00F31A04">
        <w:t xml:space="preserve">most </w:t>
      </w:r>
      <w:r w:rsidR="00F31A04" w:rsidRPr="00F31A04">
        <w:t xml:space="preserve">significant </w:t>
      </w:r>
      <w:r w:rsidR="00F31A04">
        <w:t xml:space="preserve">achievements </w:t>
      </w:r>
      <w:r>
        <w:t>were</w:t>
      </w:r>
      <w:r w:rsidR="00F31A04">
        <w:t xml:space="preserve"> in </w:t>
      </w:r>
      <w:r w:rsidR="00F31A04" w:rsidRPr="00F31A04">
        <w:t>prison development</w:t>
      </w:r>
      <w:r>
        <w:t xml:space="preserve"> and inspiration for the Cambodian National Police</w:t>
      </w:r>
      <w:r w:rsidR="00F31A04" w:rsidRPr="00F31A04">
        <w:t>.</w:t>
      </w:r>
      <w:r w:rsidR="00F31A04">
        <w:t xml:space="preserve"> </w:t>
      </w:r>
      <w:r w:rsidR="009068B5">
        <w:t xml:space="preserve">One </w:t>
      </w:r>
      <w:r>
        <w:t xml:space="preserve">notable </w:t>
      </w:r>
      <w:r w:rsidR="009068B5">
        <w:t>achievement was linking improved health facilities in prisons with the provision, for the first time, of health care by the Ministry of Health.</w:t>
      </w:r>
    </w:p>
    <w:p w14:paraId="0FD6BC04" w14:textId="70C8D0C2" w:rsidR="00B32AB1" w:rsidRDefault="00F31A04" w:rsidP="00F31A04">
      <w:pPr>
        <w:suppressAutoHyphens w:val="0"/>
        <w:spacing w:before="0" w:after="120" w:line="240" w:lineRule="auto"/>
      </w:pPr>
      <w:r>
        <w:t>In 2015-16 t</w:t>
      </w:r>
      <w:r w:rsidRPr="00AF00ED">
        <w:t>wo cell buildings</w:t>
      </w:r>
      <w:r w:rsidR="00D476E1">
        <w:t xml:space="preserve"> were completed</w:t>
      </w:r>
      <w:r w:rsidRPr="00AF00ED">
        <w:t xml:space="preserve"> </w:t>
      </w:r>
      <w:r w:rsidR="00621197">
        <w:t>in</w:t>
      </w:r>
      <w:r w:rsidRPr="00AF00ED">
        <w:t xml:space="preserve"> provincial prisons</w:t>
      </w:r>
      <w:r w:rsidR="00621197">
        <w:t xml:space="preserve"> use</w:t>
      </w:r>
      <w:r w:rsidR="00DA2A82">
        <w:t>d</w:t>
      </w:r>
      <w:r w:rsidRPr="00AF00ED">
        <w:t xml:space="preserve"> to </w:t>
      </w:r>
      <w:r w:rsidR="00DA2A82">
        <w:t>separate</w:t>
      </w:r>
      <w:r w:rsidRPr="00AF00ED">
        <w:t xml:space="preserve"> men, women and juvenile inmates. Two family and lawyer visit buildings were also co</w:t>
      </w:r>
      <w:r w:rsidR="00D476E1">
        <w:t>mpleted</w:t>
      </w:r>
      <w:r w:rsidRPr="00AF00ED">
        <w:t xml:space="preserve"> in the biggest national prison, Correction Centr</w:t>
      </w:r>
      <w:r>
        <w:t xml:space="preserve">e 1, </w:t>
      </w:r>
      <w:r w:rsidRPr="00AF00ED">
        <w:t xml:space="preserve">to increase </w:t>
      </w:r>
      <w:r>
        <w:t xml:space="preserve">the </w:t>
      </w:r>
      <w:r w:rsidRPr="00AF00ED">
        <w:t>n</w:t>
      </w:r>
      <w:r>
        <w:t>umber of visits and ease lawyer</w:t>
      </w:r>
      <w:r w:rsidRPr="00AF00ED">
        <w:t>s</w:t>
      </w:r>
      <w:r>
        <w:t>’</w:t>
      </w:r>
      <w:r w:rsidRPr="00AF00ED">
        <w:t xml:space="preserve"> access. CCJAP also constructed 16</w:t>
      </w:r>
      <w:r>
        <w:t> </w:t>
      </w:r>
      <w:r w:rsidRPr="00AF00ED">
        <w:t xml:space="preserve">commune police posts in six provinces. All </w:t>
      </w:r>
      <w:r>
        <w:t>these</w:t>
      </w:r>
      <w:r w:rsidRPr="00AF00ED">
        <w:t xml:space="preserve"> buildings </w:t>
      </w:r>
      <w:r w:rsidR="00251109">
        <w:t>are</w:t>
      </w:r>
      <w:r w:rsidR="00251109" w:rsidRPr="00AF00ED">
        <w:t xml:space="preserve"> </w:t>
      </w:r>
      <w:r w:rsidRPr="00AF00ED">
        <w:t>acce</w:t>
      </w:r>
      <w:r>
        <w:t>ss</w:t>
      </w:r>
      <w:r w:rsidR="00251109">
        <w:t>ible</w:t>
      </w:r>
      <w:r>
        <w:t xml:space="preserve"> by people with </w:t>
      </w:r>
      <w:r w:rsidR="00974B16">
        <w:t xml:space="preserve">a </w:t>
      </w:r>
      <w:r>
        <w:t>disability</w:t>
      </w:r>
      <w:r w:rsidRPr="00AF00ED">
        <w:t xml:space="preserve">. </w:t>
      </w:r>
    </w:p>
    <w:p w14:paraId="3BF7B088" w14:textId="77777777" w:rsidR="00B32AB1" w:rsidRDefault="00B32AB1" w:rsidP="00AF00ED">
      <w:pPr>
        <w:suppressAutoHyphens w:val="0"/>
        <w:spacing w:before="0" w:after="120" w:line="240" w:lineRule="auto"/>
      </w:pPr>
      <w:r>
        <w:t xml:space="preserve">The review found that </w:t>
      </w:r>
      <w:r w:rsidR="00502F68">
        <w:t xml:space="preserve">support to the </w:t>
      </w:r>
      <w:r w:rsidR="00DA2A82">
        <w:t>Cambodian National Police</w:t>
      </w:r>
      <w:r w:rsidR="00502F68">
        <w:t xml:space="preserve"> </w:t>
      </w:r>
      <w:r w:rsidR="00F31A04" w:rsidRPr="00A42E3D">
        <w:t xml:space="preserve">enabled senior officials to think differently about policing and launch </w:t>
      </w:r>
      <w:r w:rsidR="00DA2A82">
        <w:t xml:space="preserve">crime prevention and </w:t>
      </w:r>
      <w:r w:rsidR="00F31A04" w:rsidRPr="00A42E3D">
        <w:t>reduction initiativ</w:t>
      </w:r>
      <w:r w:rsidR="00F31A04" w:rsidRPr="006735C2">
        <w:t>e</w:t>
      </w:r>
      <w:r w:rsidR="00DA2A82">
        <w:t>s</w:t>
      </w:r>
      <w:r w:rsidR="00F31A04" w:rsidRPr="006735C2">
        <w:t>.</w:t>
      </w:r>
      <w:r w:rsidRPr="00B32AB1">
        <w:t xml:space="preserve"> </w:t>
      </w:r>
      <w:r w:rsidR="00DA2A82">
        <w:t>Findings from</w:t>
      </w:r>
      <w:r w:rsidRPr="007C21B3">
        <w:t xml:space="preserve"> th</w:t>
      </w:r>
      <w:r>
        <w:t>e 2015-16 community policing</w:t>
      </w:r>
      <w:r w:rsidRPr="007C21B3">
        <w:t xml:space="preserve"> pilot will be incorporated into a new program, the </w:t>
      </w:r>
      <w:r w:rsidRPr="00DA2A82">
        <w:rPr>
          <w:b/>
        </w:rPr>
        <w:t>Community Policing Initiative</w:t>
      </w:r>
      <w:r w:rsidRPr="007C21B3">
        <w:t xml:space="preserve"> </w:t>
      </w:r>
      <w:r>
        <w:t>(</w:t>
      </w:r>
      <w:r w:rsidR="003B4AD6">
        <w:t>AUD4.2m</w:t>
      </w:r>
      <w:r>
        <w:t>, 2016-2019</w:t>
      </w:r>
      <w:r w:rsidR="003B4AD6">
        <w:t>)</w:t>
      </w:r>
      <w:r>
        <w:t xml:space="preserve">, </w:t>
      </w:r>
      <w:r w:rsidR="00DA2A82">
        <w:t xml:space="preserve">and </w:t>
      </w:r>
      <w:r>
        <w:t>will complement the Ending Violence Against Women Program</w:t>
      </w:r>
      <w:r w:rsidR="00DA2A82">
        <w:t>.</w:t>
      </w:r>
    </w:p>
    <w:p w14:paraId="283C2B66" w14:textId="6317741D" w:rsidR="00387149" w:rsidRPr="00AF00ED" w:rsidRDefault="00387149" w:rsidP="00F651E4">
      <w:r w:rsidRPr="00AF00ED">
        <w:t xml:space="preserve">Australia </w:t>
      </w:r>
      <w:r w:rsidR="00DA2A82">
        <w:t>continues</w:t>
      </w:r>
      <w:r w:rsidRPr="00AF00ED">
        <w:t xml:space="preserve"> to be one of the key financial supporters to the </w:t>
      </w:r>
      <w:r w:rsidRPr="003B4AD6">
        <w:rPr>
          <w:b/>
        </w:rPr>
        <w:t xml:space="preserve">Extraordinary Chambers </w:t>
      </w:r>
      <w:r w:rsidR="00D70B55" w:rsidRPr="003B4AD6">
        <w:rPr>
          <w:b/>
        </w:rPr>
        <w:t>in</w:t>
      </w:r>
      <w:r w:rsidRPr="003B4AD6">
        <w:rPr>
          <w:b/>
        </w:rPr>
        <w:t xml:space="preserve"> the Courts of Cambodia</w:t>
      </w:r>
      <w:r w:rsidR="008E4949">
        <w:t xml:space="preserve">. </w:t>
      </w:r>
      <w:r>
        <w:t>Since 2009, more than 200,000 people have attended hearings at the ECCC public gallery. In addition, the ECCC has organised study tours and school lectures where more than half a million people have directly learn</w:t>
      </w:r>
      <w:r w:rsidR="00AD2CB8">
        <w:t>t</w:t>
      </w:r>
      <w:r>
        <w:t xml:space="preserve"> about the ECCC activities and the history of the Khmer Rouge period. </w:t>
      </w:r>
    </w:p>
    <w:p w14:paraId="2759A14D" w14:textId="77777777" w:rsidR="00051082" w:rsidRDefault="00051082" w:rsidP="00554606">
      <w:pPr>
        <w:pStyle w:val="Heading4"/>
      </w:pPr>
      <w:r>
        <w:lastRenderedPageBreak/>
        <w:t>Ending Violence Against Women</w:t>
      </w:r>
    </w:p>
    <w:p w14:paraId="348DD81F" w14:textId="6F13AC27" w:rsidR="00961887" w:rsidRDefault="00170DFF" w:rsidP="00AF00ED">
      <w:pPr>
        <w:suppressAutoHyphens w:val="0"/>
        <w:spacing w:before="0" w:after="120" w:line="240" w:lineRule="auto"/>
      </w:pPr>
      <w:r>
        <w:t xml:space="preserve">The </w:t>
      </w:r>
      <w:r w:rsidRPr="003B4AD6">
        <w:rPr>
          <w:b/>
        </w:rPr>
        <w:t>Cambodia</w:t>
      </w:r>
      <w:r w:rsidR="009376F8" w:rsidRPr="003B4AD6">
        <w:rPr>
          <w:b/>
        </w:rPr>
        <w:t>n</w:t>
      </w:r>
      <w:r w:rsidRPr="003B4AD6">
        <w:rPr>
          <w:b/>
        </w:rPr>
        <w:t xml:space="preserve"> Ending Violence Against Women </w:t>
      </w:r>
      <w:r w:rsidR="003B4AD6" w:rsidRPr="003B4AD6">
        <w:rPr>
          <w:b/>
        </w:rPr>
        <w:t xml:space="preserve">Program </w:t>
      </w:r>
      <w:r w:rsidRPr="003B4AD6">
        <w:t>(EVAW)</w:t>
      </w:r>
      <w:r>
        <w:t xml:space="preserve"> aims to change attitudes and prevent violence so that women and girls can </w:t>
      </w:r>
      <w:r w:rsidR="007C21B3">
        <w:t>be</w:t>
      </w:r>
      <w:r>
        <w:t xml:space="preserve"> safe in their homes, workplace</w:t>
      </w:r>
      <w:r w:rsidR="00AD2CB8">
        <w:t>s</w:t>
      </w:r>
      <w:r>
        <w:t xml:space="preserve"> and communities. In Cambodia, at least one in five women between the ages of 15</w:t>
      </w:r>
      <w:r w:rsidR="005D364B">
        <w:t> </w:t>
      </w:r>
      <w:r>
        <w:t>and 64 have suffered physical or sexual intimate partner violence in their lifetime</w:t>
      </w:r>
      <w:r w:rsidR="008C13DA">
        <w:rPr>
          <w:rStyle w:val="FootnoteReference"/>
        </w:rPr>
        <w:footnoteReference w:id="18"/>
      </w:r>
      <w:r>
        <w:t>.</w:t>
      </w:r>
      <w:r w:rsidR="006E2518">
        <w:t xml:space="preserve"> </w:t>
      </w:r>
    </w:p>
    <w:p w14:paraId="40A8EC3D" w14:textId="4E0CCB46" w:rsidR="00111917" w:rsidRDefault="003B4AD6" w:rsidP="00D2131F">
      <w:pPr>
        <w:suppressAutoHyphens w:val="0"/>
        <w:spacing w:before="0" w:after="120" w:line="240" w:lineRule="auto"/>
      </w:pPr>
      <w:r>
        <w:t>I</w:t>
      </w:r>
      <w:r w:rsidR="00111917">
        <w:t xml:space="preserve">n 2015-16 </w:t>
      </w:r>
      <w:r>
        <w:t xml:space="preserve">Australia’s funding provided </w:t>
      </w:r>
      <w:r w:rsidR="00535166">
        <w:t xml:space="preserve">shelter, counselling, legal aid and peer support services to 9,950 women and their families, an increase from 5,930 in 2014-15. </w:t>
      </w:r>
      <w:r w:rsidR="00D2131F">
        <w:t>The program s</w:t>
      </w:r>
      <w:r w:rsidR="002C004A">
        <w:t>uccessful</w:t>
      </w:r>
      <w:r w:rsidR="00D2131F">
        <w:t>ly</w:t>
      </w:r>
      <w:r w:rsidR="002C004A">
        <w:t xml:space="preserve"> </w:t>
      </w:r>
      <w:r w:rsidR="00111917">
        <w:t>pilot</w:t>
      </w:r>
      <w:r w:rsidR="00D2131F">
        <w:t>ed</w:t>
      </w:r>
      <w:r w:rsidR="002C004A">
        <w:t xml:space="preserve"> </w:t>
      </w:r>
      <w:r w:rsidR="00550AB7">
        <w:t xml:space="preserve">prevention projects </w:t>
      </w:r>
      <w:r w:rsidR="00111917">
        <w:t>to reduce alcohol abuse and promote</w:t>
      </w:r>
      <w:r w:rsidR="00550AB7">
        <w:t xml:space="preserve"> positive messaging </w:t>
      </w:r>
      <w:r w:rsidR="005B33D9">
        <w:t xml:space="preserve">about </w:t>
      </w:r>
      <w:r w:rsidR="00550AB7">
        <w:t>women in the media</w:t>
      </w:r>
      <w:r w:rsidR="00B602D9">
        <w:t xml:space="preserve">, with the alcohol abuse intervention likely to be scaled up </w:t>
      </w:r>
      <w:r w:rsidR="00D2131F">
        <w:t xml:space="preserve">next year. </w:t>
      </w:r>
      <w:r w:rsidR="008C13DA">
        <w:t xml:space="preserve">Our </w:t>
      </w:r>
      <w:r w:rsidR="00D2131F">
        <w:t xml:space="preserve">funding </w:t>
      </w:r>
      <w:r w:rsidR="00D476E1">
        <w:t xml:space="preserve">enabled the development of the domestic violence chapter within the 2014 </w:t>
      </w:r>
      <w:r w:rsidR="00535166" w:rsidRPr="00D2131F">
        <w:rPr>
          <w:i/>
        </w:rPr>
        <w:t>Cambodia Demographic and Health Survey</w:t>
      </w:r>
      <w:r w:rsidR="00D2131F">
        <w:t xml:space="preserve"> and</w:t>
      </w:r>
      <w:r w:rsidR="00535166">
        <w:t xml:space="preserve"> the </w:t>
      </w:r>
      <w:r w:rsidR="00535166" w:rsidRPr="00D2131F">
        <w:rPr>
          <w:i/>
        </w:rPr>
        <w:t>Violence Against Women Prevalence Study</w:t>
      </w:r>
      <w:r w:rsidR="00535166">
        <w:t>. Th</w:t>
      </w:r>
      <w:r w:rsidR="00D476E1">
        <w:t xml:space="preserve">ese reports, both launched in 2015, </w:t>
      </w:r>
      <w:r w:rsidR="00D2131F">
        <w:t>give the Cambodian G</w:t>
      </w:r>
      <w:r w:rsidR="00535166">
        <w:t xml:space="preserve">overnment and other stakeholders, for the first time, reliable information on the prevalence of violence against women. They are now widely used, including with media. </w:t>
      </w:r>
    </w:p>
    <w:p w14:paraId="2B7BA4DF" w14:textId="77777777" w:rsidR="00051082" w:rsidRDefault="00051082" w:rsidP="00554606">
      <w:pPr>
        <w:pStyle w:val="Heading4"/>
      </w:pPr>
      <w:r>
        <w:t>Governance</w:t>
      </w:r>
    </w:p>
    <w:p w14:paraId="4170C824" w14:textId="5BDF246E" w:rsidR="00D2131F" w:rsidRDefault="00237F5B" w:rsidP="00D2131F">
      <w:pPr>
        <w:suppressAutoHyphens w:val="0"/>
        <w:spacing w:before="0" w:after="120" w:line="240" w:lineRule="auto"/>
      </w:pPr>
      <w:r>
        <w:t xml:space="preserve">The </w:t>
      </w:r>
      <w:r w:rsidRPr="00D2131F">
        <w:rPr>
          <w:b/>
        </w:rPr>
        <w:t>Cambodia Communications Assistance Project</w:t>
      </w:r>
      <w:r>
        <w:t xml:space="preserve"> </w:t>
      </w:r>
      <w:r w:rsidR="00D476E1" w:rsidRPr="00D476E1">
        <w:rPr>
          <w:b/>
        </w:rPr>
        <w:t>Phase 2</w:t>
      </w:r>
      <w:r w:rsidR="005B33D9">
        <w:rPr>
          <w:b/>
        </w:rPr>
        <w:t xml:space="preserve"> </w:t>
      </w:r>
      <w:r>
        <w:t>(CCAP</w:t>
      </w:r>
      <w:r w:rsidR="00D476E1">
        <w:t>2</w:t>
      </w:r>
      <w:r w:rsidR="00D2131F">
        <w:t>, AUD3.5</w:t>
      </w:r>
      <w:r w:rsidR="00D476E1">
        <w:t>m</w:t>
      </w:r>
      <w:r w:rsidR="00D2131F">
        <w:t>, 2015-18</w:t>
      </w:r>
      <w:r>
        <w:t>)</w:t>
      </w:r>
      <w:r w:rsidR="006B4C25">
        <w:t xml:space="preserve">, delivered by the Australian Broadcasting </w:t>
      </w:r>
      <w:r w:rsidR="00251109">
        <w:t>Corporation</w:t>
      </w:r>
      <w:r w:rsidR="006B4C25">
        <w:t xml:space="preserve">, </w:t>
      </w:r>
      <w:r>
        <w:t>is the only program of its kind in Cambodia</w:t>
      </w:r>
      <w:r w:rsidR="006B4C25">
        <w:t xml:space="preserve">. </w:t>
      </w:r>
      <w:r w:rsidR="00D476E1">
        <w:t xml:space="preserve">It builds on a previous phase (AUD3.0 million 2012-2015). </w:t>
      </w:r>
      <w:r w:rsidR="00D2131F">
        <w:t xml:space="preserve">Through local radio programs, </w:t>
      </w:r>
      <w:r w:rsidR="006B4C25">
        <w:t>CCAP</w:t>
      </w:r>
      <w:r w:rsidR="008C13DA">
        <w:t>2</w:t>
      </w:r>
      <w:r w:rsidR="006B4C25">
        <w:t xml:space="preserve"> imp</w:t>
      </w:r>
      <w:r w:rsidR="00D2131F">
        <w:t>roves</w:t>
      </w:r>
      <w:r w:rsidR="003F01D9">
        <w:t xml:space="preserve"> access to</w:t>
      </w:r>
      <w:r w:rsidR="00D2131F">
        <w:t xml:space="preserve"> governance</w:t>
      </w:r>
      <w:r w:rsidR="003F01D9">
        <w:t xml:space="preserve"> information</w:t>
      </w:r>
      <w:r w:rsidR="00D85023">
        <w:t xml:space="preserve"> and </w:t>
      </w:r>
      <w:r w:rsidR="006B4C25">
        <w:t>build</w:t>
      </w:r>
      <w:r w:rsidR="00D2131F">
        <w:t>s</w:t>
      </w:r>
      <w:r w:rsidR="006B4C25">
        <w:t xml:space="preserve"> </w:t>
      </w:r>
      <w:r w:rsidR="009E69CD">
        <w:t>‘</w:t>
      </w:r>
      <w:r>
        <w:t>bridge</w:t>
      </w:r>
      <w:r w:rsidR="006B4C25">
        <w:t>s</w:t>
      </w:r>
      <w:r w:rsidR="009E69CD">
        <w:t>’</w:t>
      </w:r>
      <w:r>
        <w:t xml:space="preserve"> between citizens and local government officials</w:t>
      </w:r>
      <w:r w:rsidR="008E4949">
        <w:t xml:space="preserve">. </w:t>
      </w:r>
      <w:r w:rsidR="00D2131F">
        <w:t xml:space="preserve">In the first six months there have been good results, including 290 talkback programs, attracting close to 1,500 callers (26 per cent female). </w:t>
      </w:r>
    </w:p>
    <w:p w14:paraId="1EBAF1B6" w14:textId="79ED4F37" w:rsidR="00237F5B" w:rsidRDefault="00D2131F" w:rsidP="00AF00ED">
      <w:pPr>
        <w:suppressAutoHyphens w:val="0"/>
        <w:spacing w:before="0" w:after="120" w:line="240" w:lineRule="auto"/>
      </w:pPr>
      <w:r>
        <w:t>T</w:t>
      </w:r>
      <w:r w:rsidR="00237F5B">
        <w:t xml:space="preserve">he </w:t>
      </w:r>
      <w:r w:rsidR="00AD2CB8">
        <w:t>p</w:t>
      </w:r>
      <w:r w:rsidR="00C030B8">
        <w:t>roject</w:t>
      </w:r>
      <w:r w:rsidR="00AD2CB8">
        <w:t xml:space="preserve"> </w:t>
      </w:r>
      <w:r>
        <w:t>has</w:t>
      </w:r>
      <w:r w:rsidR="00237F5B">
        <w:t xml:space="preserve"> strengthen</w:t>
      </w:r>
      <w:r>
        <w:t>ed</w:t>
      </w:r>
      <w:r w:rsidR="00237F5B">
        <w:t xml:space="preserve"> provincial government ra</w:t>
      </w:r>
      <w:r w:rsidR="009E69CD">
        <w:t>dio stations’ talkback programs</w:t>
      </w:r>
      <w:r w:rsidR="007C21B3">
        <w:t xml:space="preserve">. These programs </w:t>
      </w:r>
      <w:r>
        <w:t xml:space="preserve">have </w:t>
      </w:r>
      <w:r w:rsidR="007C21B3">
        <w:t>become</w:t>
      </w:r>
      <w:r w:rsidR="009E69CD">
        <w:t xml:space="preserve"> a</w:t>
      </w:r>
      <w:r w:rsidR="00237F5B">
        <w:t xml:space="preserve"> platform for citizens to raise concerns and ask questions </w:t>
      </w:r>
      <w:r>
        <w:t>of their local government officials</w:t>
      </w:r>
      <w:r w:rsidR="00237F5B">
        <w:t xml:space="preserve">. </w:t>
      </w:r>
      <w:r w:rsidR="00AD2CB8">
        <w:t xml:space="preserve">The </w:t>
      </w:r>
      <w:r w:rsidR="00237F5B">
        <w:t>program also runs a Promise Tracker Tool, which logs and tracks promises made by local officials on radio</w:t>
      </w:r>
      <w:r w:rsidR="000B5855">
        <w:t>.</w:t>
      </w:r>
      <w:r w:rsidR="00DE1699">
        <w:t xml:space="preserve"> According CCAP2 monitoring, 67 per cent of the ‘promises’ made by local officials have been delivered</w:t>
      </w:r>
      <w:r w:rsidR="008E4949">
        <w:t xml:space="preserve">. </w:t>
      </w:r>
      <w:r w:rsidR="00237F5B">
        <w:t xml:space="preserve">The program </w:t>
      </w:r>
      <w:r>
        <w:t xml:space="preserve">also </w:t>
      </w:r>
      <w:r w:rsidR="00D476E1">
        <w:t xml:space="preserve">improves awareness and reporting of </w:t>
      </w:r>
      <w:r w:rsidR="00237F5B">
        <w:t xml:space="preserve">violence against women, through the </w:t>
      </w:r>
      <w:r w:rsidR="00237F5B" w:rsidRPr="006B4C25">
        <w:rPr>
          <w:i/>
        </w:rPr>
        <w:t>We can do it!</w:t>
      </w:r>
      <w:r w:rsidR="00237F5B">
        <w:t xml:space="preserve"> </w:t>
      </w:r>
      <w:r>
        <w:t>Program</w:t>
      </w:r>
      <w:r w:rsidR="00237F5B">
        <w:t xml:space="preserve">. </w:t>
      </w:r>
      <w:r>
        <w:t>This produced 74 radio shows with 284 callers (50 per cent female).</w:t>
      </w:r>
    </w:p>
    <w:p w14:paraId="04D7846D" w14:textId="77777777" w:rsidR="00051082" w:rsidRDefault="00051082" w:rsidP="00554606">
      <w:pPr>
        <w:pStyle w:val="Heading4"/>
      </w:pPr>
      <w:r>
        <w:t>Disability-inclusive development</w:t>
      </w:r>
    </w:p>
    <w:p w14:paraId="5AFFEAA4" w14:textId="77777777" w:rsidR="006B4C25" w:rsidRPr="003F01D9" w:rsidRDefault="006E2518" w:rsidP="00AF00ED">
      <w:pPr>
        <w:suppressAutoHyphens w:val="0"/>
        <w:spacing w:before="0" w:after="120" w:line="240" w:lineRule="auto"/>
        <w:rPr>
          <w:b/>
        </w:rPr>
      </w:pPr>
      <w:r>
        <w:t xml:space="preserve">Australia is </w:t>
      </w:r>
      <w:r w:rsidR="007C21B3">
        <w:t>a</w:t>
      </w:r>
      <w:r>
        <w:t xml:space="preserve"> </w:t>
      </w:r>
      <w:r w:rsidR="007C21B3">
        <w:t>principal</w:t>
      </w:r>
      <w:r>
        <w:t xml:space="preserve"> donor to the dis</w:t>
      </w:r>
      <w:r w:rsidR="006B4C25">
        <w:t>ab</w:t>
      </w:r>
      <w:r w:rsidR="003F01D9">
        <w:t xml:space="preserve">ility sector in Cambodia, with our </w:t>
      </w:r>
      <w:r>
        <w:t xml:space="preserve">support for disability-specific programs </w:t>
      </w:r>
      <w:r w:rsidR="009E69CD">
        <w:t>beginning</w:t>
      </w:r>
      <w:r w:rsidR="003F01D9">
        <w:t xml:space="preserve"> in</w:t>
      </w:r>
      <w:r>
        <w:t xml:space="preserve"> 1995. The </w:t>
      </w:r>
      <w:r w:rsidRPr="00F76383">
        <w:rPr>
          <w:b/>
        </w:rPr>
        <w:t>Disability R</w:t>
      </w:r>
      <w:r w:rsidR="00F76383" w:rsidRPr="00F76383">
        <w:rPr>
          <w:b/>
        </w:rPr>
        <w:t>ights Initiative Cambodia</w:t>
      </w:r>
      <w:r w:rsidR="00F76383">
        <w:t xml:space="preserve"> (DRIC, AUD10.4m, </w:t>
      </w:r>
      <w:r w:rsidR="006B4C25">
        <w:t>2014</w:t>
      </w:r>
      <w:r w:rsidR="00D85023">
        <w:t>-20</w:t>
      </w:r>
      <w:r w:rsidR="006B4C25">
        <w:t>1</w:t>
      </w:r>
      <w:r w:rsidR="00387149">
        <w:t>7</w:t>
      </w:r>
      <w:r w:rsidR="006B4C25" w:rsidRPr="007C21B3">
        <w:t>)</w:t>
      </w:r>
      <w:r>
        <w:t xml:space="preserve"> </w:t>
      </w:r>
      <w:r w:rsidR="006B4C25">
        <w:t>program—</w:t>
      </w:r>
      <w:r w:rsidR="00BA0013">
        <w:t>impl</w:t>
      </w:r>
      <w:r w:rsidR="007C21B3">
        <w:t xml:space="preserve">emented by UNDP, </w:t>
      </w:r>
      <w:r w:rsidR="00F76383">
        <w:t>World Health Organization</w:t>
      </w:r>
      <w:r w:rsidR="007C21B3">
        <w:t xml:space="preserve">, </w:t>
      </w:r>
      <w:r w:rsidR="00D70B55">
        <w:t>United National Children’s Fund</w:t>
      </w:r>
      <w:r w:rsidR="007C21B3">
        <w:t xml:space="preserve"> and NGOs</w:t>
      </w:r>
      <w:r w:rsidR="006B4C25">
        <w:t>—</w:t>
      </w:r>
      <w:r>
        <w:t>is</w:t>
      </w:r>
      <w:r w:rsidR="006B4C25">
        <w:t xml:space="preserve"> aligned to</w:t>
      </w:r>
      <w:r>
        <w:t xml:space="preserve"> Australia’s </w:t>
      </w:r>
      <w:r w:rsidRPr="002E15B6">
        <w:rPr>
          <w:i/>
        </w:rPr>
        <w:t>Developm</w:t>
      </w:r>
      <w:r w:rsidR="006B4C25" w:rsidRPr="002E15B6">
        <w:rPr>
          <w:i/>
        </w:rPr>
        <w:t>ent for All 2015-2020 Strategy</w:t>
      </w:r>
      <w:r w:rsidR="007C21B3">
        <w:rPr>
          <w:rStyle w:val="FootnoteReference"/>
        </w:rPr>
        <w:footnoteReference w:id="19"/>
      </w:r>
      <w:r w:rsidR="006B4C25">
        <w:t xml:space="preserve">. </w:t>
      </w:r>
      <w:r w:rsidR="00F76383">
        <w:t>This</w:t>
      </w:r>
      <w:r w:rsidR="006B4C25">
        <w:t xml:space="preserve"> is the only disability-</w:t>
      </w:r>
      <w:r>
        <w:t xml:space="preserve">specific initiative in South-East Asia </w:t>
      </w:r>
      <w:r w:rsidR="00387149">
        <w:t xml:space="preserve">funded </w:t>
      </w:r>
      <w:r w:rsidR="006B4C25">
        <w:t xml:space="preserve">by </w:t>
      </w:r>
      <w:r w:rsidR="003F01D9" w:rsidRPr="003F01D9">
        <w:t>DFAT</w:t>
      </w:r>
      <w:r w:rsidR="003F01D9">
        <w:rPr>
          <w:b/>
        </w:rPr>
        <w:t>.</w:t>
      </w:r>
    </w:p>
    <w:p w14:paraId="26D97364" w14:textId="7124C945" w:rsidR="00BA0013" w:rsidRDefault="006E2518" w:rsidP="00AF00ED">
      <w:pPr>
        <w:suppressAutoHyphens w:val="0"/>
        <w:spacing w:before="0" w:after="120" w:line="240" w:lineRule="auto"/>
      </w:pPr>
      <w:r>
        <w:t>Based on global data, Cambodia is estimated to have approximately 2.25 million people living with a disability</w:t>
      </w:r>
      <w:r w:rsidR="00032C9F">
        <w:t>.</w:t>
      </w:r>
      <w:r w:rsidR="003F01D9">
        <w:rPr>
          <w:rStyle w:val="FootnoteReference"/>
        </w:rPr>
        <w:footnoteReference w:id="20"/>
      </w:r>
      <w:r>
        <w:t xml:space="preserve"> The true number is most likely higher due to</w:t>
      </w:r>
      <w:r w:rsidR="00BA0013">
        <w:t xml:space="preserve"> Cambodia’s development status and </w:t>
      </w:r>
      <w:r w:rsidR="004810E8">
        <w:t>the</w:t>
      </w:r>
      <w:r w:rsidR="00BA0013">
        <w:t xml:space="preserve"> legacy of </w:t>
      </w:r>
      <w:r w:rsidR="00F76383">
        <w:t xml:space="preserve">it </w:t>
      </w:r>
      <w:r w:rsidR="00BA0013">
        <w:t xml:space="preserve">being the second most heavily </w:t>
      </w:r>
      <w:r w:rsidR="009057CC">
        <w:t>landmine</w:t>
      </w:r>
      <w:r w:rsidR="00F207C1">
        <w:t>d</w:t>
      </w:r>
      <w:r w:rsidR="009057CC">
        <w:t xml:space="preserve"> </w:t>
      </w:r>
      <w:r w:rsidR="00BA0013">
        <w:t xml:space="preserve">country in the world. </w:t>
      </w:r>
      <w:r w:rsidR="00A84F42">
        <w:t>To address this data gap, in 2015-16 DRIC succeeded i</w:t>
      </w:r>
      <w:r w:rsidR="009057CC">
        <w:t>n</w:t>
      </w:r>
      <w:r w:rsidR="00A84F42">
        <w:t xml:space="preserve"> advocating for the addition of international recognised disability marker questions, </w:t>
      </w:r>
      <w:r w:rsidR="00A84F42" w:rsidRPr="002E15B6">
        <w:t>known as the Washington Group questions,</w:t>
      </w:r>
      <w:r w:rsidR="00A84F42">
        <w:t xml:space="preserve"> for the 2018 National Census</w:t>
      </w:r>
      <w:r w:rsidR="00F76383">
        <w:t>.</w:t>
      </w:r>
    </w:p>
    <w:p w14:paraId="7F2C86AF" w14:textId="77777777" w:rsidR="007E50EF" w:rsidRDefault="002E15B6" w:rsidP="00AF00ED">
      <w:pPr>
        <w:suppressAutoHyphens w:val="0"/>
        <w:spacing w:before="0" w:after="120" w:line="240" w:lineRule="auto"/>
      </w:pPr>
      <w:r>
        <w:t>A key achievement</w:t>
      </w:r>
      <w:r w:rsidR="00B21AD8">
        <w:t xml:space="preserve"> </w:t>
      </w:r>
      <w:r w:rsidR="006B4C25">
        <w:t xml:space="preserve">in 2015-16 </w:t>
      </w:r>
      <w:r>
        <w:t>was</w:t>
      </w:r>
      <w:r w:rsidR="006B4C25">
        <w:t xml:space="preserve"> </w:t>
      </w:r>
      <w:r w:rsidR="004810E8">
        <w:t>our contribution</w:t>
      </w:r>
      <w:r w:rsidR="00B21AD8">
        <w:t xml:space="preserve"> </w:t>
      </w:r>
      <w:r w:rsidR="004810E8">
        <w:t>to</w:t>
      </w:r>
      <w:r w:rsidR="00B21AD8">
        <w:t xml:space="preserve"> physical and community based rehabilitation services </w:t>
      </w:r>
      <w:r w:rsidR="004810E8">
        <w:t>for</w:t>
      </w:r>
      <w:r w:rsidR="00B21AD8">
        <w:t xml:space="preserve"> </w:t>
      </w:r>
      <w:r w:rsidR="00387149">
        <w:t xml:space="preserve">over </w:t>
      </w:r>
      <w:r w:rsidR="00B21AD8">
        <w:t>31</w:t>
      </w:r>
      <w:r>
        <w:t>,</w:t>
      </w:r>
      <w:r w:rsidR="00387149">
        <w:t>000</w:t>
      </w:r>
      <w:r w:rsidR="00B21AD8">
        <w:t xml:space="preserve"> people with disabili</w:t>
      </w:r>
      <w:r>
        <w:t>ty</w:t>
      </w:r>
      <w:r w:rsidR="006B4C25">
        <w:t xml:space="preserve"> </w:t>
      </w:r>
      <w:r w:rsidR="00387149">
        <w:t xml:space="preserve">(28 per cent women). </w:t>
      </w:r>
    </w:p>
    <w:p w14:paraId="6A37F317" w14:textId="2B4A40C6" w:rsidR="00EA6960" w:rsidRDefault="00627EA1" w:rsidP="00AF00ED">
      <w:pPr>
        <w:suppressAutoHyphens w:val="0"/>
        <w:spacing w:before="0" w:after="120" w:line="240" w:lineRule="auto"/>
      </w:pPr>
      <w:r>
        <w:t>An</w:t>
      </w:r>
      <w:r w:rsidR="004D53B5">
        <w:t xml:space="preserve"> independent </w:t>
      </w:r>
      <w:r>
        <w:t xml:space="preserve">evaluation </w:t>
      </w:r>
      <w:r w:rsidR="00F76383">
        <w:t xml:space="preserve">in </w:t>
      </w:r>
      <w:r w:rsidR="009E69CD">
        <w:t>2016</w:t>
      </w:r>
      <w:r w:rsidR="004D53B5">
        <w:t xml:space="preserve"> </w:t>
      </w:r>
      <w:r w:rsidR="00F76383">
        <w:t>found the program</w:t>
      </w:r>
      <w:r w:rsidR="00711761">
        <w:t xml:space="preserve"> played a crucial role help</w:t>
      </w:r>
      <w:r w:rsidR="00F76383">
        <w:t>ing</w:t>
      </w:r>
      <w:r w:rsidR="00711761">
        <w:t xml:space="preserve"> the Cambodian</w:t>
      </w:r>
      <w:r w:rsidR="003D5B37" w:rsidRPr="00913C34">
        <w:t xml:space="preserve"> Government </w:t>
      </w:r>
      <w:r w:rsidR="00711761">
        <w:t>establish</w:t>
      </w:r>
      <w:r w:rsidR="003D5B37" w:rsidRPr="00913C34">
        <w:t xml:space="preserve"> 14 Disabil</w:t>
      </w:r>
      <w:r w:rsidR="00F76383">
        <w:t>ity Action Working Groups in</w:t>
      </w:r>
      <w:r w:rsidR="003D5B37" w:rsidRPr="00913C34">
        <w:t xml:space="preserve"> line-ministries and 20 Disability Action Councils </w:t>
      </w:r>
      <w:r w:rsidR="003D5B37" w:rsidRPr="00913C34">
        <w:lastRenderedPageBreak/>
        <w:t>at the provincial level</w:t>
      </w:r>
      <w:r w:rsidR="00711761">
        <w:t xml:space="preserve">. These bodies now </w:t>
      </w:r>
      <w:r w:rsidR="003D5B37" w:rsidRPr="00913C34">
        <w:t>coordinate and monitor the implementation of the Nati</w:t>
      </w:r>
      <w:r w:rsidR="00711761">
        <w:t>onal Disability Strategic Plan.</w:t>
      </w:r>
      <w:r w:rsidR="00F76383">
        <w:t xml:space="preserve"> </w:t>
      </w:r>
    </w:p>
    <w:p w14:paraId="7F759B95" w14:textId="77777777" w:rsidR="00051082" w:rsidRDefault="00051082" w:rsidP="00554606">
      <w:pPr>
        <w:pStyle w:val="Heading4"/>
      </w:pPr>
      <w:r>
        <w:t>Australian Volunteers</w:t>
      </w:r>
      <w:r w:rsidR="00474D34">
        <w:t xml:space="preserve"> for International Development</w:t>
      </w:r>
    </w:p>
    <w:p w14:paraId="5DDEA85A" w14:textId="77777777" w:rsidR="000364AA" w:rsidRDefault="00474D34" w:rsidP="000364AA">
      <w:r>
        <w:t xml:space="preserve">The </w:t>
      </w:r>
      <w:r w:rsidRPr="000364AA">
        <w:rPr>
          <w:b/>
        </w:rPr>
        <w:t xml:space="preserve">Australian Volunteers for International Development </w:t>
      </w:r>
      <w:r>
        <w:t>(AVID) program in Cambodia supports the deployment of Australian</w:t>
      </w:r>
      <w:r w:rsidR="009D7134">
        <w:t>s</w:t>
      </w:r>
      <w:r>
        <w:t xml:space="preserve"> to undertake assignments to improve the capacity of host organisations in sectors of high priority to </w:t>
      </w:r>
      <w:r w:rsidR="00170DFF">
        <w:t>the Australian and Cambodian</w:t>
      </w:r>
      <w:r>
        <w:t xml:space="preserve"> </w:t>
      </w:r>
      <w:r w:rsidR="00D70B55">
        <w:t>G</w:t>
      </w:r>
      <w:r>
        <w:t xml:space="preserve">overnments. </w:t>
      </w:r>
      <w:r w:rsidR="000364AA">
        <w:t xml:space="preserve">Australian volunteers work with local counterparts to build their skills and knowledge, as well as promote positive people-to-people links between individuals, organisations and the communities that they work in. </w:t>
      </w:r>
    </w:p>
    <w:p w14:paraId="41ED5D09" w14:textId="2B244B0E" w:rsidR="009D7134" w:rsidRPr="009D7134" w:rsidRDefault="009D7134" w:rsidP="009D7134">
      <w:pPr>
        <w:suppressAutoHyphens w:val="0"/>
        <w:spacing w:before="0" w:after="120" w:line="240" w:lineRule="auto"/>
        <w:rPr>
          <w:bCs/>
        </w:rPr>
      </w:pPr>
      <w:r w:rsidRPr="009D7134">
        <w:rPr>
          <w:bCs/>
        </w:rPr>
        <w:t>In 2015-16, Australia supported 129 Australian volunte</w:t>
      </w:r>
      <w:r w:rsidR="002E15B6">
        <w:rPr>
          <w:bCs/>
        </w:rPr>
        <w:t xml:space="preserve">ers, </w:t>
      </w:r>
      <w:r w:rsidR="00AF21A4">
        <w:rPr>
          <w:bCs/>
        </w:rPr>
        <w:t>including 39 new volunteer assignments</w:t>
      </w:r>
      <w:r w:rsidRPr="009D7134">
        <w:rPr>
          <w:bCs/>
        </w:rPr>
        <w:t xml:space="preserve">. Of the new assignments, Australian volunteers worked with host organisations in the areas of </w:t>
      </w:r>
      <w:r w:rsidR="002E15B6">
        <w:rPr>
          <w:bCs/>
        </w:rPr>
        <w:t xml:space="preserve">governance </w:t>
      </w:r>
      <w:r w:rsidR="002E15B6">
        <w:rPr>
          <w:bCs/>
        </w:rPr>
        <w:br/>
        <w:t>(25 per cent), health (23</w:t>
      </w:r>
      <w:r w:rsidRPr="009D7134">
        <w:rPr>
          <w:bCs/>
        </w:rPr>
        <w:t xml:space="preserve"> per cen</w:t>
      </w:r>
      <w:r w:rsidR="002E15B6">
        <w:rPr>
          <w:bCs/>
        </w:rPr>
        <w:t>t), social services (23</w:t>
      </w:r>
      <w:r w:rsidRPr="009D7134">
        <w:rPr>
          <w:bCs/>
        </w:rPr>
        <w:t xml:space="preserve"> per ce</w:t>
      </w:r>
      <w:r w:rsidR="002E15B6">
        <w:rPr>
          <w:bCs/>
        </w:rPr>
        <w:t>nt), education (15</w:t>
      </w:r>
      <w:r w:rsidR="00AF21A4">
        <w:rPr>
          <w:bCs/>
        </w:rPr>
        <w:t xml:space="preserve"> per cent)</w:t>
      </w:r>
      <w:r w:rsidR="005B33D9">
        <w:rPr>
          <w:bCs/>
        </w:rPr>
        <w:t xml:space="preserve">, </w:t>
      </w:r>
      <w:r w:rsidR="002E15B6">
        <w:rPr>
          <w:bCs/>
        </w:rPr>
        <w:t>agriculture (5</w:t>
      </w:r>
      <w:r w:rsidR="002C004A">
        <w:rPr>
          <w:bCs/>
        </w:rPr>
        <w:t> </w:t>
      </w:r>
      <w:r w:rsidR="00AF21A4">
        <w:rPr>
          <w:bCs/>
        </w:rPr>
        <w:t>per cent)</w:t>
      </w:r>
      <w:r w:rsidR="002E15B6">
        <w:rPr>
          <w:bCs/>
        </w:rPr>
        <w:t xml:space="preserve"> and other areas (9 per cent)</w:t>
      </w:r>
      <w:r w:rsidRPr="009D7134">
        <w:rPr>
          <w:bCs/>
        </w:rPr>
        <w:t>.</w:t>
      </w:r>
      <w:r w:rsidRPr="009D7134" w:rsidDel="00787814">
        <w:rPr>
          <w:bCs/>
        </w:rPr>
        <w:t xml:space="preserve"> </w:t>
      </w:r>
    </w:p>
    <w:p w14:paraId="4A170207" w14:textId="77777777" w:rsidR="0035599A" w:rsidRPr="000364AA" w:rsidRDefault="0035599A" w:rsidP="0035599A">
      <w:pPr>
        <w:suppressAutoHyphens w:val="0"/>
        <w:spacing w:before="0" w:after="120" w:line="240" w:lineRule="auto"/>
        <w:rPr>
          <w:rFonts w:asciiTheme="majorHAnsi" w:eastAsiaTheme="majorEastAsia" w:hAnsiTheme="majorHAnsi" w:cstheme="majorBidi"/>
          <w:caps/>
          <w:sz w:val="28"/>
          <w:szCs w:val="26"/>
        </w:rPr>
      </w:pPr>
      <w:r w:rsidRPr="000364AA">
        <w:rPr>
          <w:rFonts w:asciiTheme="majorHAnsi" w:eastAsiaTheme="majorEastAsia" w:hAnsiTheme="majorHAnsi" w:cstheme="majorBidi"/>
          <w:caps/>
          <w:sz w:val="28"/>
          <w:szCs w:val="26"/>
        </w:rPr>
        <w:t>Regional aid program</w:t>
      </w:r>
    </w:p>
    <w:p w14:paraId="6FB5A5A0" w14:textId="77777777" w:rsidR="0035599A" w:rsidRDefault="0035599A" w:rsidP="0035599A">
      <w:r>
        <w:t xml:space="preserve">DFAT’s regional and global </w:t>
      </w:r>
      <w:r w:rsidR="00BC5C37">
        <w:t xml:space="preserve">aid </w:t>
      </w:r>
      <w:r>
        <w:t xml:space="preserve">programs complement our bilateral program in Cambodia. In 2015-16 these additional programs had a total value of AUD25.4 million. </w:t>
      </w:r>
      <w:r w:rsidR="00A84F42">
        <w:t>Through the</w:t>
      </w:r>
      <w:r w:rsidR="000B4BDD">
        <w:t xml:space="preserve"> South-East Asia R</w:t>
      </w:r>
      <w:r>
        <w:t>egional aid program</w:t>
      </w:r>
      <w:r w:rsidR="00A84F42">
        <w:t xml:space="preserve"> we</w:t>
      </w:r>
      <w:r>
        <w:t xml:space="preserve"> support</w:t>
      </w:r>
      <w:r w:rsidR="000B4BDD">
        <w:t>ed</w:t>
      </w:r>
      <w:r>
        <w:t xml:space="preserve"> the ASEAN regional economic integration agenda and Australia</w:t>
      </w:r>
      <w:r w:rsidR="000B4BDD">
        <w:t xml:space="preserve">’s </w:t>
      </w:r>
      <w:r>
        <w:t>aid objectives. Through sub-regional investments, we help</w:t>
      </w:r>
      <w:r w:rsidR="000B4BDD">
        <w:t>ed</w:t>
      </w:r>
      <w:r>
        <w:t xml:space="preserve"> narrow the economic gap between ASEAN member states by supporting trade and transport facilitation and private sector development in the Mekong region, and helping low income men and women access well-regulated and affordable financial services. </w:t>
      </w:r>
      <w:r w:rsidR="000364AA">
        <w:t>I</w:t>
      </w:r>
      <w:r w:rsidR="000B4BDD">
        <w:t>n</w:t>
      </w:r>
      <w:r>
        <w:t xml:space="preserve"> Cambodi</w:t>
      </w:r>
      <w:r w:rsidR="000B4BDD">
        <w:t>a, we supported national gender and development training, including on women’s economic rights</w:t>
      </w:r>
      <w:r>
        <w:t xml:space="preserve"> </w:t>
      </w:r>
      <w:r w:rsidR="000B4BDD">
        <w:t>for civil society</w:t>
      </w:r>
      <w:r>
        <w:t xml:space="preserve">. </w:t>
      </w:r>
      <w:r w:rsidR="00BC5C37">
        <w:t>The</w:t>
      </w:r>
      <w:r>
        <w:t xml:space="preserve"> </w:t>
      </w:r>
      <w:r w:rsidR="000364AA">
        <w:t>South-</w:t>
      </w:r>
      <w:r>
        <w:t xml:space="preserve">East Asia Regional APPR </w:t>
      </w:r>
      <w:r w:rsidR="00BC5C37">
        <w:t>covers the performance of these programs</w:t>
      </w:r>
      <w:r>
        <w:t>, and is published on our website.</w:t>
      </w:r>
    </w:p>
    <w:p w14:paraId="269FD839" w14:textId="77777777"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Performance Benchmarks</w:t>
      </w:r>
      <w:r w:rsidRPr="002A51CA">
        <w:rPr>
          <w:rFonts w:asciiTheme="majorHAnsi" w:eastAsiaTheme="majorEastAsia" w:hAnsiTheme="majorHAnsi" w:cstheme="majorBidi"/>
          <w:caps/>
          <w:color w:val="495965" w:themeColor="text2"/>
          <w:sz w:val="38"/>
          <w:szCs w:val="26"/>
          <w:lang w:val="en-GB" w:eastAsia="en-US"/>
        </w:rPr>
        <w:tab/>
      </w:r>
    </w:p>
    <w:p w14:paraId="5D36C82A" w14:textId="3E950494" w:rsidR="00A00713" w:rsidRDefault="000364AA" w:rsidP="000B4BDD">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P</w:t>
      </w:r>
      <w:r w:rsidR="00EA6960" w:rsidRPr="00EA6960">
        <w:rPr>
          <w:rFonts w:asciiTheme="minorHAnsi" w:eastAsiaTheme="minorHAnsi" w:hAnsiTheme="minorHAnsi" w:cstheme="minorBidi"/>
          <w:color w:val="495965" w:themeColor="text2"/>
          <w:sz w:val="22"/>
          <w:szCs w:val="22"/>
          <w:lang w:val="en-GB" w:eastAsia="en-US"/>
        </w:rPr>
        <w:t xml:space="preserve">rogress towards achieving </w:t>
      </w:r>
      <w:r w:rsidR="002E15B6">
        <w:rPr>
          <w:rFonts w:asciiTheme="minorHAnsi" w:eastAsiaTheme="minorHAnsi" w:hAnsiTheme="minorHAnsi" w:cstheme="minorBidi"/>
          <w:color w:val="495965" w:themeColor="text2"/>
          <w:sz w:val="22"/>
          <w:szCs w:val="22"/>
          <w:lang w:val="en-GB" w:eastAsia="en-US"/>
        </w:rPr>
        <w:t xml:space="preserve">the </w:t>
      </w:r>
      <w:r w:rsidR="00EA6960" w:rsidRPr="00EA6960">
        <w:rPr>
          <w:rFonts w:asciiTheme="minorHAnsi" w:eastAsiaTheme="minorHAnsi" w:hAnsiTheme="minorHAnsi" w:cstheme="minorBidi"/>
          <w:color w:val="495965" w:themeColor="text2"/>
          <w:sz w:val="22"/>
          <w:szCs w:val="22"/>
          <w:lang w:val="en-GB" w:eastAsia="en-US"/>
        </w:rPr>
        <w:t xml:space="preserve">Performance Benchmarks and our indicators in our Performance Assessment Framework (PAF) </w:t>
      </w:r>
      <w:r w:rsidR="009376F8">
        <w:rPr>
          <w:rFonts w:asciiTheme="minorHAnsi" w:eastAsiaTheme="minorHAnsi" w:hAnsiTheme="minorHAnsi" w:cstheme="minorBidi"/>
          <w:color w:val="495965" w:themeColor="text2"/>
          <w:sz w:val="22"/>
          <w:szCs w:val="22"/>
          <w:lang w:val="en-GB" w:eastAsia="en-US"/>
        </w:rPr>
        <w:t>were</w:t>
      </w:r>
      <w:r w:rsidR="00EA6960" w:rsidRPr="00EA6960">
        <w:rPr>
          <w:rFonts w:asciiTheme="minorHAnsi" w:eastAsiaTheme="minorHAnsi" w:hAnsiTheme="minorHAnsi" w:cstheme="minorBidi"/>
          <w:color w:val="495965" w:themeColor="text2"/>
          <w:sz w:val="22"/>
          <w:szCs w:val="22"/>
          <w:lang w:val="en-GB" w:eastAsia="en-US"/>
        </w:rPr>
        <w:t xml:space="preserve"> variable. </w:t>
      </w:r>
      <w:r w:rsidR="0061131B">
        <w:rPr>
          <w:rFonts w:asciiTheme="minorHAnsi" w:eastAsiaTheme="minorHAnsi" w:hAnsiTheme="minorHAnsi" w:cstheme="minorBidi"/>
          <w:color w:val="495965" w:themeColor="text2"/>
          <w:sz w:val="22"/>
          <w:szCs w:val="22"/>
          <w:lang w:val="en-GB" w:eastAsia="en-US"/>
        </w:rPr>
        <w:t>While s</w:t>
      </w:r>
      <w:r w:rsidR="00EA6960" w:rsidRPr="00EA6960">
        <w:rPr>
          <w:rFonts w:asciiTheme="minorHAnsi" w:eastAsiaTheme="minorHAnsi" w:hAnsiTheme="minorHAnsi" w:cstheme="minorBidi"/>
          <w:color w:val="495965" w:themeColor="text2"/>
          <w:sz w:val="22"/>
          <w:szCs w:val="22"/>
          <w:lang w:val="en-GB" w:eastAsia="en-US"/>
        </w:rPr>
        <w:t>ome benchmarks were achieved more than two times over, other benchmarks</w:t>
      </w:r>
      <w:r w:rsidR="005378C1">
        <w:rPr>
          <w:rFonts w:asciiTheme="minorHAnsi" w:eastAsiaTheme="minorHAnsi" w:hAnsiTheme="minorHAnsi" w:cstheme="minorBidi"/>
          <w:color w:val="495965" w:themeColor="text2"/>
          <w:sz w:val="22"/>
          <w:szCs w:val="22"/>
          <w:lang w:val="en-GB" w:eastAsia="en-US"/>
        </w:rPr>
        <w:t xml:space="preserve"> related to agriculture and scholarships</w:t>
      </w:r>
      <w:r w:rsidR="00EA6960" w:rsidRPr="00EA6960">
        <w:rPr>
          <w:rFonts w:asciiTheme="minorHAnsi" w:eastAsiaTheme="minorHAnsi" w:hAnsiTheme="minorHAnsi" w:cstheme="minorBidi"/>
          <w:color w:val="495965" w:themeColor="text2"/>
          <w:sz w:val="22"/>
          <w:szCs w:val="22"/>
          <w:lang w:val="en-GB" w:eastAsia="en-US"/>
        </w:rPr>
        <w:t xml:space="preserve"> were not achieved. </w:t>
      </w:r>
      <w:r>
        <w:rPr>
          <w:rFonts w:asciiTheme="minorHAnsi" w:eastAsiaTheme="minorHAnsi" w:hAnsiTheme="minorHAnsi" w:cstheme="minorBidi"/>
          <w:color w:val="495965" w:themeColor="text2"/>
          <w:sz w:val="22"/>
          <w:szCs w:val="22"/>
          <w:lang w:val="en-GB" w:eastAsia="en-US"/>
        </w:rPr>
        <w:t>W</w:t>
      </w:r>
      <w:r w:rsidR="00E733E1">
        <w:rPr>
          <w:rFonts w:asciiTheme="minorHAnsi" w:eastAsiaTheme="minorHAnsi" w:hAnsiTheme="minorHAnsi" w:cstheme="minorBidi"/>
          <w:color w:val="495965" w:themeColor="text2"/>
          <w:sz w:val="22"/>
          <w:szCs w:val="22"/>
          <w:lang w:val="en-GB" w:eastAsia="en-US"/>
        </w:rPr>
        <w:t>e</w:t>
      </w:r>
      <w:r w:rsidR="00EA6960" w:rsidRPr="00EA6960">
        <w:rPr>
          <w:rFonts w:asciiTheme="minorHAnsi" w:eastAsiaTheme="minorHAnsi" w:hAnsiTheme="minorHAnsi" w:cstheme="minorBidi"/>
          <w:color w:val="495965" w:themeColor="text2"/>
          <w:sz w:val="22"/>
          <w:szCs w:val="22"/>
          <w:lang w:val="en-GB" w:eastAsia="en-US"/>
        </w:rPr>
        <w:t xml:space="preserve"> </w:t>
      </w:r>
      <w:r w:rsidR="00387149">
        <w:rPr>
          <w:rFonts w:asciiTheme="minorHAnsi" w:eastAsiaTheme="minorHAnsi" w:hAnsiTheme="minorHAnsi" w:cstheme="minorBidi"/>
          <w:color w:val="495965" w:themeColor="text2"/>
          <w:sz w:val="22"/>
          <w:szCs w:val="22"/>
          <w:lang w:val="en-GB" w:eastAsia="en-US"/>
        </w:rPr>
        <w:t xml:space="preserve">have </w:t>
      </w:r>
      <w:r w:rsidR="00E733E1">
        <w:rPr>
          <w:rFonts w:asciiTheme="minorHAnsi" w:eastAsiaTheme="minorHAnsi" w:hAnsiTheme="minorHAnsi" w:cstheme="minorBidi"/>
          <w:color w:val="495965" w:themeColor="text2"/>
          <w:sz w:val="22"/>
          <w:szCs w:val="22"/>
          <w:lang w:val="en-GB" w:eastAsia="en-US"/>
        </w:rPr>
        <w:t>adjust</w:t>
      </w:r>
      <w:r w:rsidR="00387149">
        <w:rPr>
          <w:rFonts w:asciiTheme="minorHAnsi" w:eastAsiaTheme="minorHAnsi" w:hAnsiTheme="minorHAnsi" w:cstheme="minorBidi"/>
          <w:color w:val="495965" w:themeColor="text2"/>
          <w:sz w:val="22"/>
          <w:szCs w:val="22"/>
          <w:lang w:val="en-GB" w:eastAsia="en-US"/>
        </w:rPr>
        <w:t>ed</w:t>
      </w:r>
      <w:r w:rsidR="00EA6960" w:rsidRPr="00EA6960">
        <w:rPr>
          <w:rFonts w:asciiTheme="minorHAnsi" w:eastAsiaTheme="minorHAnsi" w:hAnsiTheme="minorHAnsi" w:cstheme="minorBidi"/>
          <w:color w:val="495965" w:themeColor="text2"/>
          <w:sz w:val="22"/>
          <w:szCs w:val="22"/>
          <w:lang w:val="en-GB" w:eastAsia="en-US"/>
        </w:rPr>
        <w:t xml:space="preserve"> some targets </w:t>
      </w:r>
      <w:r w:rsidR="00E733E1">
        <w:rPr>
          <w:rFonts w:asciiTheme="minorHAnsi" w:eastAsiaTheme="minorHAnsi" w:hAnsiTheme="minorHAnsi" w:cstheme="minorBidi"/>
          <w:color w:val="495965" w:themeColor="text2"/>
          <w:sz w:val="22"/>
          <w:szCs w:val="22"/>
          <w:lang w:val="en-GB" w:eastAsia="en-US"/>
        </w:rPr>
        <w:t xml:space="preserve">to </w:t>
      </w:r>
      <w:r w:rsidR="00387149">
        <w:rPr>
          <w:rFonts w:asciiTheme="minorHAnsi" w:eastAsiaTheme="minorHAnsi" w:hAnsiTheme="minorHAnsi" w:cstheme="minorBidi"/>
          <w:color w:val="495965" w:themeColor="text2"/>
          <w:sz w:val="22"/>
          <w:szCs w:val="22"/>
          <w:lang w:val="en-GB" w:eastAsia="en-US"/>
        </w:rPr>
        <w:t xml:space="preserve">take into account changes within the program. </w:t>
      </w:r>
      <w:r>
        <w:rPr>
          <w:rFonts w:asciiTheme="minorHAnsi" w:eastAsiaTheme="minorHAnsi" w:hAnsiTheme="minorHAnsi" w:cstheme="minorBidi"/>
          <w:color w:val="495965" w:themeColor="text2"/>
          <w:sz w:val="22"/>
          <w:szCs w:val="22"/>
          <w:lang w:val="en-GB" w:eastAsia="en-US"/>
        </w:rPr>
        <w:t>Progress of the Performance B</w:t>
      </w:r>
      <w:r w:rsidRPr="00EA6960">
        <w:rPr>
          <w:rFonts w:asciiTheme="minorHAnsi" w:eastAsiaTheme="minorHAnsi" w:hAnsiTheme="minorHAnsi" w:cstheme="minorBidi"/>
          <w:color w:val="495965" w:themeColor="text2"/>
          <w:sz w:val="22"/>
          <w:szCs w:val="22"/>
          <w:lang w:val="en-GB" w:eastAsia="en-US"/>
        </w:rPr>
        <w:t>enchmarks is</w:t>
      </w:r>
      <w:r w:rsidR="00EA6960" w:rsidRPr="00EA6960">
        <w:rPr>
          <w:rFonts w:asciiTheme="minorHAnsi" w:eastAsiaTheme="minorHAnsi" w:hAnsiTheme="minorHAnsi" w:cstheme="minorBidi"/>
          <w:color w:val="495965" w:themeColor="text2"/>
          <w:sz w:val="22"/>
          <w:szCs w:val="22"/>
          <w:lang w:val="en-GB" w:eastAsia="en-US"/>
        </w:rPr>
        <w:t xml:space="preserve"> </w:t>
      </w:r>
      <w:r w:rsidR="000B4BDD">
        <w:rPr>
          <w:rFonts w:asciiTheme="minorHAnsi" w:eastAsiaTheme="minorHAnsi" w:hAnsiTheme="minorHAnsi" w:cstheme="minorBidi"/>
          <w:color w:val="495965" w:themeColor="text2"/>
          <w:sz w:val="22"/>
          <w:szCs w:val="22"/>
          <w:lang w:val="en-GB" w:eastAsia="en-US"/>
        </w:rPr>
        <w:t>in Annex B</w:t>
      </w:r>
      <w:r w:rsidR="008E4949">
        <w:rPr>
          <w:rFonts w:asciiTheme="minorHAnsi" w:eastAsiaTheme="minorHAnsi" w:hAnsiTheme="minorHAnsi" w:cstheme="minorBidi"/>
          <w:color w:val="495965" w:themeColor="text2"/>
          <w:sz w:val="22"/>
          <w:szCs w:val="22"/>
          <w:lang w:val="en-GB" w:eastAsia="en-US"/>
        </w:rPr>
        <w:t xml:space="preserve">. </w:t>
      </w:r>
      <w:r w:rsidR="000B4BDD">
        <w:rPr>
          <w:rFonts w:asciiTheme="minorHAnsi" w:eastAsiaTheme="minorHAnsi" w:hAnsiTheme="minorHAnsi" w:cstheme="minorBidi"/>
          <w:color w:val="495965" w:themeColor="text2"/>
          <w:sz w:val="22"/>
          <w:szCs w:val="22"/>
          <w:lang w:val="en-GB" w:eastAsia="en-US"/>
        </w:rPr>
        <w:t>T</w:t>
      </w:r>
      <w:r w:rsidR="00173829" w:rsidRPr="000B4BDD">
        <w:rPr>
          <w:rFonts w:asciiTheme="minorHAnsi" w:eastAsiaTheme="minorHAnsi" w:hAnsiTheme="minorHAnsi" w:cstheme="minorBidi"/>
          <w:color w:val="495965" w:themeColor="text2"/>
          <w:sz w:val="22"/>
          <w:szCs w:val="22"/>
          <w:lang w:val="en-GB" w:eastAsia="en-US"/>
        </w:rPr>
        <w:t>able 3 presents the update</w:t>
      </w:r>
      <w:r w:rsidR="009376F8" w:rsidRPr="000B4BDD">
        <w:rPr>
          <w:rFonts w:asciiTheme="minorHAnsi" w:eastAsiaTheme="minorHAnsi" w:hAnsiTheme="minorHAnsi" w:cstheme="minorBidi"/>
          <w:color w:val="495965" w:themeColor="text2"/>
          <w:sz w:val="22"/>
          <w:szCs w:val="22"/>
          <w:lang w:val="en-GB" w:eastAsia="en-US"/>
        </w:rPr>
        <w:t>d</w:t>
      </w:r>
      <w:r w:rsidR="00173829" w:rsidRPr="000B4BDD">
        <w:rPr>
          <w:rFonts w:asciiTheme="minorHAnsi" w:eastAsiaTheme="minorHAnsi" w:hAnsiTheme="minorHAnsi" w:cstheme="minorBidi"/>
          <w:color w:val="495965" w:themeColor="text2"/>
          <w:sz w:val="22"/>
          <w:szCs w:val="22"/>
          <w:lang w:val="en-GB" w:eastAsia="en-US"/>
        </w:rPr>
        <w:t xml:space="preserve"> benchmarks and targets for the remainder of the </w:t>
      </w:r>
      <w:r w:rsidRPr="000B4BDD">
        <w:rPr>
          <w:rFonts w:asciiTheme="minorHAnsi" w:eastAsiaTheme="minorHAnsi" w:hAnsiTheme="minorHAnsi" w:cstheme="minorBidi"/>
          <w:color w:val="495965" w:themeColor="text2"/>
          <w:sz w:val="22"/>
          <w:szCs w:val="22"/>
          <w:lang w:val="en-GB" w:eastAsia="en-US"/>
        </w:rPr>
        <w:t>Aid Investment Plan.</w:t>
      </w:r>
      <w:r w:rsidR="00173829" w:rsidRPr="000B4BDD">
        <w:rPr>
          <w:rFonts w:asciiTheme="minorHAnsi" w:eastAsiaTheme="minorHAnsi" w:hAnsiTheme="minorHAnsi" w:cstheme="minorBidi"/>
          <w:color w:val="495965" w:themeColor="text2"/>
          <w:sz w:val="22"/>
          <w:szCs w:val="22"/>
          <w:lang w:val="en-GB" w:eastAsia="en-US"/>
        </w:rPr>
        <w:t xml:space="preserve"> </w:t>
      </w:r>
    </w:p>
    <w:p w14:paraId="29248806" w14:textId="77777777" w:rsidR="00A00713" w:rsidRDefault="00A00713">
      <w:pPr>
        <w:suppressAutoHyphens w:val="0"/>
        <w:spacing w:before="0" w:after="120" w:line="440" w:lineRule="atLeast"/>
      </w:pPr>
      <w:r>
        <w:br w:type="page"/>
      </w:r>
    </w:p>
    <w:p w14:paraId="2D948EDB" w14:textId="77777777" w:rsidR="00A84F42" w:rsidRPr="000B4BDD" w:rsidRDefault="00A84F42" w:rsidP="000B4BDD">
      <w:pPr>
        <w:pStyle w:val="ListBullet"/>
        <w:rPr>
          <w:rFonts w:asciiTheme="minorHAnsi" w:eastAsiaTheme="minorHAnsi" w:hAnsiTheme="minorHAnsi" w:cstheme="minorBidi"/>
          <w:color w:val="495965" w:themeColor="text2"/>
          <w:sz w:val="22"/>
          <w:szCs w:val="22"/>
          <w:lang w:val="en-GB" w:eastAsia="en-US"/>
        </w:rPr>
      </w:pPr>
    </w:p>
    <w:p w14:paraId="19A9DBB6" w14:textId="403E33BE" w:rsidR="002A51CA" w:rsidRPr="008C2F58" w:rsidRDefault="001E152F" w:rsidP="002A51CA">
      <w:pPr>
        <w:pStyle w:val="Caption"/>
        <w:rPr>
          <w:sz w:val="24"/>
        </w:rPr>
      </w:pPr>
      <w:r>
        <w:rPr>
          <w:sz w:val="24"/>
        </w:rPr>
        <w:t xml:space="preserve">Table 3 </w:t>
      </w:r>
      <w:r w:rsidR="002A51CA" w:rsidRPr="008C2F58">
        <w:rPr>
          <w:sz w:val="24"/>
        </w:rPr>
        <w:t>Perfor</w:t>
      </w:r>
      <w:r w:rsidR="00653233">
        <w:rPr>
          <w:sz w:val="24"/>
        </w:rPr>
        <w:t>mance Benchmarks 2016-17 to 2017-18</w:t>
      </w:r>
      <w:r w:rsidR="002A51CA" w:rsidRPr="008C2F58">
        <w:rPr>
          <w:sz w:val="24"/>
        </w:rPr>
        <w:t xml:space="preserve"> </w:t>
      </w:r>
    </w:p>
    <w:tbl>
      <w:tblPr>
        <w:tblStyle w:val="DFATTable"/>
        <w:tblW w:w="4800" w:type="pct"/>
        <w:tblLook w:val="04A0" w:firstRow="1" w:lastRow="0" w:firstColumn="1" w:lastColumn="0" w:noHBand="0" w:noVBand="1"/>
        <w:tblCaption w:val="Table 3: Perfromance Benchmarks 2016-2017 to 2017-18"/>
        <w:tblDescription w:val="This table sets out Australia's aid benchmarks for the Cambodia program against which to track our future performance. It contains 9 benchmarks, drawn from our Performance Assessment Framework, for 2016-17 and 2017-18, including: Additional number of women survivors of violence receiving services such as counselling each year in 2016-17. 11.000 and 12,000 in 2017-18; Number of farmers with increased productivity, 13,507 in 2016-17 and 50,490 in 2017-18."/>
      </w:tblPr>
      <w:tblGrid>
        <w:gridCol w:w="1534"/>
        <w:gridCol w:w="4808"/>
        <w:gridCol w:w="1421"/>
        <w:gridCol w:w="1697"/>
      </w:tblGrid>
      <w:tr w:rsidR="001276F2" w14:paraId="381027E8" w14:textId="77777777" w:rsidTr="001276F2">
        <w:trPr>
          <w:trHeight w:val="331"/>
        </w:trPr>
        <w:tc>
          <w:tcPr>
            <w:tcW w:w="811" w:type="pct"/>
            <w:tcBorders>
              <w:top w:val="single" w:sz="12" w:space="0" w:color="auto"/>
              <w:left w:val="nil"/>
              <w:bottom w:val="nil"/>
              <w:right w:val="nil"/>
            </w:tcBorders>
          </w:tcPr>
          <w:p w14:paraId="245E908A" w14:textId="77777777" w:rsidR="00CE26B7" w:rsidRPr="00BE6C6D" w:rsidRDefault="00CE26B7" w:rsidP="00BE6C6D">
            <w:pPr>
              <w:pStyle w:val="NormalIndented"/>
              <w:rPr>
                <w:rFonts w:asciiTheme="minorHAnsi" w:hAnsiTheme="minorHAnsi"/>
              </w:rPr>
            </w:pPr>
          </w:p>
        </w:tc>
        <w:tc>
          <w:tcPr>
            <w:tcW w:w="2541" w:type="pct"/>
            <w:tcBorders>
              <w:top w:val="single" w:sz="12" w:space="0" w:color="auto"/>
              <w:left w:val="nil"/>
              <w:bottom w:val="nil"/>
              <w:right w:val="nil"/>
            </w:tcBorders>
          </w:tcPr>
          <w:p w14:paraId="5ADBB32E" w14:textId="77777777" w:rsidR="00CE26B7" w:rsidRPr="00BE6C6D" w:rsidRDefault="00CE26B7" w:rsidP="00BE6C6D">
            <w:pPr>
              <w:pStyle w:val="NormalIndented"/>
              <w:rPr>
                <w:rFonts w:asciiTheme="minorHAnsi" w:hAnsiTheme="minorHAnsi"/>
              </w:rPr>
            </w:pPr>
          </w:p>
        </w:tc>
        <w:tc>
          <w:tcPr>
            <w:tcW w:w="751" w:type="pct"/>
            <w:tcBorders>
              <w:top w:val="single" w:sz="12" w:space="0" w:color="auto"/>
              <w:left w:val="nil"/>
              <w:bottom w:val="nil"/>
              <w:right w:val="nil"/>
            </w:tcBorders>
          </w:tcPr>
          <w:p w14:paraId="3975DCA1" w14:textId="77777777" w:rsidR="00CE26B7" w:rsidRPr="00BE6C6D" w:rsidRDefault="00CE26B7" w:rsidP="00BE6C6D">
            <w:pPr>
              <w:pStyle w:val="NormalIndented"/>
              <w:ind w:left="0"/>
              <w:jc w:val="center"/>
              <w:rPr>
                <w:rFonts w:asciiTheme="minorHAnsi" w:hAnsiTheme="minorHAnsi"/>
                <w:b/>
              </w:rPr>
            </w:pPr>
            <w:r w:rsidRPr="00BE6C6D">
              <w:rPr>
                <w:rFonts w:asciiTheme="minorHAnsi" w:hAnsiTheme="minorHAnsi"/>
                <w:b/>
              </w:rPr>
              <w:t>2016-17</w:t>
            </w:r>
          </w:p>
        </w:tc>
        <w:tc>
          <w:tcPr>
            <w:tcW w:w="897" w:type="pct"/>
            <w:tcBorders>
              <w:top w:val="single" w:sz="12" w:space="0" w:color="auto"/>
              <w:left w:val="nil"/>
              <w:bottom w:val="nil"/>
              <w:right w:val="nil"/>
            </w:tcBorders>
          </w:tcPr>
          <w:p w14:paraId="799DDC0F" w14:textId="77777777" w:rsidR="00CE26B7" w:rsidRPr="00BE6C6D" w:rsidRDefault="00CE26B7" w:rsidP="00BE6C6D">
            <w:pPr>
              <w:pStyle w:val="NormalIndented"/>
              <w:ind w:left="33"/>
              <w:jc w:val="center"/>
              <w:rPr>
                <w:rFonts w:asciiTheme="minorHAnsi" w:hAnsiTheme="minorHAnsi"/>
                <w:b/>
              </w:rPr>
            </w:pPr>
            <w:r w:rsidRPr="00BE6C6D">
              <w:rPr>
                <w:rFonts w:asciiTheme="minorHAnsi" w:hAnsiTheme="minorHAnsi"/>
                <w:b/>
              </w:rPr>
              <w:t>2017-18</w:t>
            </w:r>
          </w:p>
        </w:tc>
      </w:tr>
      <w:tr w:rsidR="001276F2" w14:paraId="198CC8A9" w14:textId="77777777" w:rsidTr="001276F2">
        <w:trPr>
          <w:trHeight w:val="708"/>
        </w:trPr>
        <w:tc>
          <w:tcPr>
            <w:tcW w:w="811" w:type="pct"/>
            <w:tcBorders>
              <w:top w:val="nil"/>
              <w:left w:val="nil"/>
              <w:bottom w:val="nil"/>
              <w:right w:val="nil"/>
            </w:tcBorders>
          </w:tcPr>
          <w:p w14:paraId="5ED7BDE1" w14:textId="77777777" w:rsidR="00CE26B7" w:rsidRPr="002A6909" w:rsidRDefault="00CE26B7" w:rsidP="00BE6C6D">
            <w:pPr>
              <w:pStyle w:val="NormalIndented"/>
              <w:rPr>
                <w:b/>
                <w:sz w:val="18"/>
              </w:rPr>
            </w:pPr>
            <w:r w:rsidRPr="002A6909">
              <w:rPr>
                <w:rFonts w:asciiTheme="minorHAnsi" w:hAnsiTheme="minorHAnsi"/>
                <w:b/>
                <w:sz w:val="18"/>
              </w:rPr>
              <w:t>Aid objective</w:t>
            </w:r>
          </w:p>
        </w:tc>
        <w:tc>
          <w:tcPr>
            <w:tcW w:w="2541" w:type="pct"/>
            <w:tcBorders>
              <w:top w:val="nil"/>
              <w:left w:val="nil"/>
              <w:bottom w:val="nil"/>
              <w:right w:val="nil"/>
            </w:tcBorders>
          </w:tcPr>
          <w:p w14:paraId="159C4F56" w14:textId="77777777" w:rsidR="00CE26B7" w:rsidRPr="002A6909" w:rsidRDefault="00CE26B7" w:rsidP="00BE6C6D">
            <w:pPr>
              <w:pStyle w:val="NormalIndented"/>
              <w:rPr>
                <w:sz w:val="18"/>
              </w:rPr>
            </w:pPr>
            <w:r w:rsidRPr="002A6909">
              <w:rPr>
                <w:rFonts w:asciiTheme="minorHAnsi" w:hAnsiTheme="minorHAnsi"/>
                <w:b/>
                <w:sz w:val="18"/>
              </w:rPr>
              <w:t>Improved access to essential infrastructure</w:t>
            </w:r>
          </w:p>
        </w:tc>
        <w:tc>
          <w:tcPr>
            <w:tcW w:w="751" w:type="pct"/>
            <w:tcBorders>
              <w:top w:val="nil"/>
              <w:left w:val="nil"/>
              <w:bottom w:val="nil"/>
              <w:right w:val="nil"/>
            </w:tcBorders>
          </w:tcPr>
          <w:p w14:paraId="289C4D9E" w14:textId="77777777" w:rsidR="00CE26B7" w:rsidRPr="002A6909" w:rsidRDefault="00CE26B7" w:rsidP="002A6909">
            <w:pPr>
              <w:pStyle w:val="NormalIndented"/>
              <w:rPr>
                <w:sz w:val="18"/>
              </w:rPr>
            </w:pPr>
          </w:p>
        </w:tc>
        <w:tc>
          <w:tcPr>
            <w:tcW w:w="897" w:type="pct"/>
            <w:tcBorders>
              <w:top w:val="nil"/>
              <w:left w:val="nil"/>
              <w:bottom w:val="nil"/>
              <w:right w:val="nil"/>
            </w:tcBorders>
          </w:tcPr>
          <w:p w14:paraId="0F5A62CB" w14:textId="77777777" w:rsidR="00CE26B7" w:rsidRPr="002A6909" w:rsidRDefault="00CE26B7" w:rsidP="002A6909">
            <w:pPr>
              <w:pStyle w:val="NormalIndented"/>
              <w:rPr>
                <w:sz w:val="18"/>
              </w:rPr>
            </w:pPr>
          </w:p>
        </w:tc>
      </w:tr>
      <w:tr w:rsidR="001276F2" w14:paraId="7CB1217F" w14:textId="77777777" w:rsidTr="001276F2">
        <w:trPr>
          <w:trHeight w:val="984"/>
        </w:trPr>
        <w:tc>
          <w:tcPr>
            <w:tcW w:w="811" w:type="pct"/>
            <w:tcBorders>
              <w:top w:val="nil"/>
              <w:left w:val="nil"/>
              <w:bottom w:val="nil"/>
              <w:right w:val="nil"/>
            </w:tcBorders>
          </w:tcPr>
          <w:p w14:paraId="48FAB6BD" w14:textId="77777777" w:rsidR="00CE26B7" w:rsidRPr="002A6909" w:rsidRDefault="001276F2" w:rsidP="00BE6C6D">
            <w:pPr>
              <w:pStyle w:val="NormalIndented"/>
              <w:rPr>
                <w:rFonts w:asciiTheme="minorHAnsi" w:hAnsiTheme="minorHAnsi"/>
                <w:b/>
                <w:i/>
                <w:color w:val="808080" w:themeColor="background1" w:themeShade="80"/>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5541451A" w14:textId="77777777" w:rsidR="00CE26B7" w:rsidRPr="00BE6C6D" w:rsidRDefault="00CE26B7" w:rsidP="00BE6C6D">
            <w:pPr>
              <w:pStyle w:val="NormalIndented"/>
              <w:rPr>
                <w:rFonts w:asciiTheme="minorHAnsi" w:hAnsiTheme="minorHAnsi"/>
                <w:i/>
                <w:color w:val="808080" w:themeColor="background1" w:themeShade="80"/>
                <w:szCs w:val="20"/>
                <w:lang w:eastAsia="en-US"/>
              </w:rPr>
            </w:pPr>
            <w:r w:rsidRPr="002A6909">
              <w:rPr>
                <w:rFonts w:asciiTheme="minorHAnsi" w:hAnsiTheme="minorHAnsi"/>
                <w:sz w:val="18"/>
              </w:rPr>
              <w:t xml:space="preserve">Additional </w:t>
            </w:r>
            <w:r w:rsidR="00291C0E">
              <w:rPr>
                <w:rFonts w:asciiTheme="minorHAnsi" w:hAnsiTheme="minorHAnsi"/>
                <w:sz w:val="18"/>
              </w:rPr>
              <w:t>people</w:t>
            </w:r>
            <w:r w:rsidRPr="002A6909">
              <w:rPr>
                <w:rFonts w:asciiTheme="minorHAnsi" w:hAnsiTheme="minorHAnsi"/>
                <w:sz w:val="18"/>
              </w:rPr>
              <w:t xml:space="preserve"> and businesses connected to electricity each year</w:t>
            </w:r>
            <w:r w:rsidR="00C65C4C">
              <w:rPr>
                <w:rStyle w:val="FootnoteReference"/>
                <w:rFonts w:asciiTheme="minorHAnsi" w:hAnsiTheme="minorHAnsi"/>
                <w:sz w:val="18"/>
              </w:rPr>
              <w:footnoteReference w:id="21"/>
            </w:r>
          </w:p>
        </w:tc>
        <w:tc>
          <w:tcPr>
            <w:tcW w:w="751" w:type="pct"/>
            <w:tcBorders>
              <w:top w:val="nil"/>
              <w:left w:val="nil"/>
              <w:bottom w:val="nil"/>
              <w:right w:val="nil"/>
            </w:tcBorders>
          </w:tcPr>
          <w:p w14:paraId="4404EB7C" w14:textId="77777777" w:rsidR="00CE26B7" w:rsidRPr="002A6909" w:rsidRDefault="00291C0E" w:rsidP="002A6909">
            <w:pPr>
              <w:pStyle w:val="NormalIndented"/>
              <w:rPr>
                <w:rFonts w:asciiTheme="minorHAnsi" w:hAnsiTheme="minorHAnsi"/>
                <w:sz w:val="18"/>
              </w:rPr>
            </w:pPr>
            <w:r>
              <w:rPr>
                <w:rFonts w:asciiTheme="minorHAnsi" w:hAnsiTheme="minorHAnsi"/>
                <w:sz w:val="18"/>
              </w:rPr>
              <w:t>TBA</w:t>
            </w:r>
          </w:p>
        </w:tc>
        <w:tc>
          <w:tcPr>
            <w:tcW w:w="897" w:type="pct"/>
            <w:tcBorders>
              <w:top w:val="nil"/>
              <w:left w:val="nil"/>
              <w:bottom w:val="nil"/>
              <w:right w:val="nil"/>
            </w:tcBorders>
          </w:tcPr>
          <w:p w14:paraId="0BCAC340" w14:textId="77777777" w:rsidR="00CE26B7" w:rsidRPr="002A6909" w:rsidRDefault="00291C0E" w:rsidP="002A6909">
            <w:pPr>
              <w:pStyle w:val="NormalIndented"/>
              <w:rPr>
                <w:rFonts w:asciiTheme="minorHAnsi" w:hAnsiTheme="minorHAnsi"/>
                <w:sz w:val="18"/>
              </w:rPr>
            </w:pPr>
            <w:r>
              <w:rPr>
                <w:rFonts w:asciiTheme="minorHAnsi" w:hAnsiTheme="minorHAnsi"/>
                <w:sz w:val="18"/>
              </w:rPr>
              <w:t>TBA</w:t>
            </w:r>
          </w:p>
        </w:tc>
      </w:tr>
      <w:tr w:rsidR="001276F2" w14:paraId="32A24DAF" w14:textId="77777777" w:rsidTr="001276F2">
        <w:trPr>
          <w:trHeight w:val="614"/>
        </w:trPr>
        <w:tc>
          <w:tcPr>
            <w:tcW w:w="811" w:type="pct"/>
            <w:tcBorders>
              <w:top w:val="nil"/>
              <w:left w:val="nil"/>
              <w:bottom w:val="nil"/>
              <w:right w:val="nil"/>
            </w:tcBorders>
          </w:tcPr>
          <w:p w14:paraId="325F0EA2" w14:textId="77777777" w:rsidR="00CE26B7" w:rsidRPr="002A6909" w:rsidRDefault="001276F2" w:rsidP="00BE6C6D">
            <w:pPr>
              <w:pStyle w:val="NormalIndented"/>
              <w:rPr>
                <w:rFonts w:asciiTheme="minorHAnsi" w:hAnsiTheme="minorHAnsi"/>
                <w:b/>
                <w:i/>
                <w:color w:val="808080" w:themeColor="background1" w:themeShade="80"/>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03C11C52" w14:textId="77777777" w:rsidR="00CE26B7" w:rsidRPr="002A6909" w:rsidRDefault="00CE26B7" w:rsidP="00BE6C6D">
            <w:pPr>
              <w:pStyle w:val="NormalIndented"/>
              <w:rPr>
                <w:rFonts w:asciiTheme="minorHAnsi" w:hAnsiTheme="minorHAnsi"/>
                <w:sz w:val="18"/>
              </w:rPr>
            </w:pPr>
            <w:r w:rsidRPr="002A6909">
              <w:rPr>
                <w:rFonts w:asciiTheme="minorHAnsi" w:hAnsiTheme="minorHAnsi"/>
                <w:sz w:val="18"/>
              </w:rPr>
              <w:t xml:space="preserve">Additional </w:t>
            </w:r>
            <w:r w:rsidR="00291C0E">
              <w:rPr>
                <w:rFonts w:asciiTheme="minorHAnsi" w:hAnsiTheme="minorHAnsi"/>
                <w:sz w:val="18"/>
              </w:rPr>
              <w:t>people</w:t>
            </w:r>
            <w:r w:rsidRPr="002A6909">
              <w:rPr>
                <w:rFonts w:asciiTheme="minorHAnsi" w:hAnsiTheme="minorHAnsi"/>
                <w:sz w:val="18"/>
              </w:rPr>
              <w:t xml:space="preserve"> and businesses connected to piped, treated water each year</w:t>
            </w:r>
          </w:p>
        </w:tc>
        <w:tc>
          <w:tcPr>
            <w:tcW w:w="751" w:type="pct"/>
            <w:tcBorders>
              <w:top w:val="nil"/>
              <w:left w:val="nil"/>
              <w:bottom w:val="nil"/>
              <w:right w:val="nil"/>
            </w:tcBorders>
          </w:tcPr>
          <w:p w14:paraId="2268237F" w14:textId="77777777" w:rsidR="00CE26B7" w:rsidRPr="00D476E1" w:rsidRDefault="00291C0E" w:rsidP="006870D6">
            <w:pPr>
              <w:pStyle w:val="NormalIndented"/>
              <w:rPr>
                <w:rFonts w:asciiTheme="minorHAnsi" w:hAnsiTheme="minorHAnsi"/>
                <w:sz w:val="18"/>
              </w:rPr>
            </w:pPr>
            <w:r w:rsidRPr="00D476E1">
              <w:rPr>
                <w:rFonts w:asciiTheme="minorHAnsi" w:hAnsiTheme="minorHAnsi"/>
                <w:sz w:val="18"/>
              </w:rPr>
              <w:t>TBA</w:t>
            </w:r>
          </w:p>
        </w:tc>
        <w:tc>
          <w:tcPr>
            <w:tcW w:w="897" w:type="pct"/>
            <w:tcBorders>
              <w:top w:val="nil"/>
              <w:left w:val="nil"/>
              <w:bottom w:val="nil"/>
              <w:right w:val="nil"/>
            </w:tcBorders>
          </w:tcPr>
          <w:p w14:paraId="10269156" w14:textId="77777777" w:rsidR="00CE26B7" w:rsidRPr="00D476E1" w:rsidRDefault="00291C0E" w:rsidP="006870D6">
            <w:pPr>
              <w:pStyle w:val="NormalIndented"/>
              <w:rPr>
                <w:rFonts w:asciiTheme="minorHAnsi" w:hAnsiTheme="minorHAnsi"/>
                <w:sz w:val="18"/>
              </w:rPr>
            </w:pPr>
            <w:r w:rsidRPr="00D476E1">
              <w:rPr>
                <w:rFonts w:asciiTheme="minorHAnsi" w:hAnsiTheme="minorHAnsi"/>
                <w:sz w:val="18"/>
              </w:rPr>
              <w:t>TBA</w:t>
            </w:r>
          </w:p>
        </w:tc>
      </w:tr>
      <w:tr w:rsidR="001276F2" w14:paraId="438088E8" w14:textId="77777777" w:rsidTr="001276F2">
        <w:trPr>
          <w:trHeight w:val="614"/>
        </w:trPr>
        <w:tc>
          <w:tcPr>
            <w:tcW w:w="811" w:type="pct"/>
            <w:tcBorders>
              <w:top w:val="nil"/>
              <w:left w:val="nil"/>
              <w:bottom w:val="nil"/>
              <w:right w:val="nil"/>
            </w:tcBorders>
          </w:tcPr>
          <w:p w14:paraId="178B0A51" w14:textId="77777777" w:rsidR="00CE26B7" w:rsidRDefault="00CE26B7" w:rsidP="002A6909">
            <w:pPr>
              <w:pStyle w:val="NormalIndented"/>
              <w:rPr>
                <w:i/>
                <w:color w:val="808080" w:themeColor="background1" w:themeShade="80"/>
              </w:rPr>
            </w:pPr>
            <w:r>
              <w:rPr>
                <w:rFonts w:asciiTheme="minorHAnsi" w:hAnsiTheme="minorHAnsi"/>
                <w:b/>
                <w:sz w:val="18"/>
              </w:rPr>
              <w:t>Aid o</w:t>
            </w:r>
            <w:r w:rsidRPr="002A6909">
              <w:rPr>
                <w:rFonts w:asciiTheme="minorHAnsi" w:hAnsiTheme="minorHAnsi"/>
                <w:b/>
                <w:sz w:val="18"/>
              </w:rPr>
              <w:t>bjective</w:t>
            </w:r>
          </w:p>
        </w:tc>
        <w:tc>
          <w:tcPr>
            <w:tcW w:w="2541" w:type="pct"/>
            <w:tcBorders>
              <w:top w:val="nil"/>
              <w:left w:val="nil"/>
              <w:bottom w:val="nil"/>
              <w:right w:val="nil"/>
            </w:tcBorders>
            <w:vAlign w:val="center"/>
          </w:tcPr>
          <w:p w14:paraId="4C1793CD" w14:textId="77777777" w:rsidR="00CE26B7" w:rsidRPr="00286225" w:rsidRDefault="00CE26B7" w:rsidP="002A6909">
            <w:pPr>
              <w:pStyle w:val="NormalIndented"/>
              <w:rPr>
                <w:rFonts w:ascii="Franklin Gothic Book" w:hAnsi="Franklin Gothic Book"/>
                <w:b/>
                <w:i/>
                <w:color w:val="808080" w:themeColor="background1" w:themeShade="80"/>
                <w:sz w:val="20"/>
                <w:szCs w:val="20"/>
                <w:highlight w:val="yellow"/>
                <w:lang w:eastAsia="en-US"/>
              </w:rPr>
            </w:pPr>
            <w:r w:rsidRPr="002A6909">
              <w:rPr>
                <w:rFonts w:asciiTheme="minorHAnsi" w:hAnsiTheme="minorHAnsi"/>
                <w:b/>
                <w:sz w:val="18"/>
              </w:rPr>
              <w:t>Increased agricultural productivity and farmer incomes</w:t>
            </w:r>
          </w:p>
        </w:tc>
        <w:tc>
          <w:tcPr>
            <w:tcW w:w="751" w:type="pct"/>
            <w:tcBorders>
              <w:top w:val="nil"/>
              <w:left w:val="nil"/>
              <w:bottom w:val="nil"/>
              <w:right w:val="nil"/>
            </w:tcBorders>
          </w:tcPr>
          <w:p w14:paraId="3F8DF92A" w14:textId="77777777" w:rsidR="00CE26B7" w:rsidRPr="001276F2" w:rsidRDefault="00CE26B7" w:rsidP="002A6909">
            <w:pPr>
              <w:pStyle w:val="NormalIndented"/>
              <w:rPr>
                <w:rFonts w:asciiTheme="majorHAnsi" w:hAnsiTheme="majorHAnsi"/>
                <w:sz w:val="18"/>
                <w:szCs w:val="18"/>
              </w:rPr>
            </w:pPr>
          </w:p>
        </w:tc>
        <w:tc>
          <w:tcPr>
            <w:tcW w:w="897" w:type="pct"/>
            <w:tcBorders>
              <w:top w:val="nil"/>
              <w:left w:val="nil"/>
              <w:bottom w:val="nil"/>
              <w:right w:val="nil"/>
            </w:tcBorders>
          </w:tcPr>
          <w:p w14:paraId="449C83FE" w14:textId="77777777" w:rsidR="00CE26B7" w:rsidRPr="001276F2" w:rsidRDefault="00CE26B7" w:rsidP="002A6909">
            <w:pPr>
              <w:pStyle w:val="NormalIndented"/>
              <w:rPr>
                <w:rFonts w:asciiTheme="majorHAnsi" w:hAnsiTheme="majorHAnsi"/>
                <w:sz w:val="18"/>
                <w:szCs w:val="18"/>
              </w:rPr>
            </w:pPr>
          </w:p>
        </w:tc>
      </w:tr>
      <w:tr w:rsidR="001276F2" w14:paraId="4265F71F" w14:textId="77777777" w:rsidTr="001276F2">
        <w:trPr>
          <w:trHeight w:val="614"/>
        </w:trPr>
        <w:tc>
          <w:tcPr>
            <w:tcW w:w="811" w:type="pct"/>
            <w:tcBorders>
              <w:top w:val="nil"/>
              <w:left w:val="nil"/>
              <w:bottom w:val="nil"/>
              <w:right w:val="nil"/>
            </w:tcBorders>
          </w:tcPr>
          <w:p w14:paraId="3510F9C2" w14:textId="77777777" w:rsidR="00CE26B7" w:rsidRPr="00D13FBE" w:rsidRDefault="001276F2" w:rsidP="00BE6C6D">
            <w:pPr>
              <w:pStyle w:val="NormalIndented"/>
              <w:rPr>
                <w:sz w:val="18"/>
              </w:rPr>
            </w:pPr>
            <w:r>
              <w:rPr>
                <w:rFonts w:asciiTheme="minorHAnsi" w:hAnsiTheme="minorHAnsi"/>
                <w:b/>
                <w:sz w:val="18"/>
              </w:rPr>
              <w:t>B</w:t>
            </w:r>
            <w:r w:rsidR="00CE26B7" w:rsidRPr="00D13FBE">
              <w:rPr>
                <w:rFonts w:asciiTheme="minorHAnsi" w:hAnsiTheme="minorHAnsi"/>
                <w:b/>
                <w:sz w:val="18"/>
              </w:rPr>
              <w:t>enchmark</w:t>
            </w:r>
          </w:p>
        </w:tc>
        <w:tc>
          <w:tcPr>
            <w:tcW w:w="2541" w:type="pct"/>
            <w:tcBorders>
              <w:top w:val="nil"/>
              <w:left w:val="nil"/>
              <w:bottom w:val="nil"/>
              <w:right w:val="nil"/>
            </w:tcBorders>
          </w:tcPr>
          <w:p w14:paraId="674A5A45" w14:textId="77777777" w:rsidR="00CE26B7" w:rsidRPr="00D13FBE" w:rsidRDefault="00CE26B7" w:rsidP="002A6909">
            <w:pPr>
              <w:pStyle w:val="NormalIndented"/>
              <w:rPr>
                <w:rFonts w:asciiTheme="minorHAnsi" w:hAnsiTheme="minorHAnsi"/>
                <w:sz w:val="18"/>
              </w:rPr>
            </w:pPr>
            <w:r w:rsidRPr="00D13FBE">
              <w:rPr>
                <w:rFonts w:asciiTheme="minorHAnsi" w:hAnsiTheme="minorHAnsi"/>
                <w:sz w:val="18"/>
              </w:rPr>
              <w:t>Number of farmers with increased productivity</w:t>
            </w:r>
          </w:p>
        </w:tc>
        <w:tc>
          <w:tcPr>
            <w:tcW w:w="751" w:type="pct"/>
            <w:tcBorders>
              <w:top w:val="nil"/>
              <w:left w:val="nil"/>
              <w:bottom w:val="nil"/>
              <w:right w:val="nil"/>
            </w:tcBorders>
          </w:tcPr>
          <w:p w14:paraId="2A75FE42" w14:textId="77777777" w:rsidR="00CE26B7" w:rsidRPr="001276F2" w:rsidRDefault="00D13FBE" w:rsidP="0071613E">
            <w:pPr>
              <w:pStyle w:val="NormalIndented"/>
              <w:rPr>
                <w:rFonts w:asciiTheme="majorHAnsi" w:hAnsiTheme="majorHAnsi"/>
                <w:sz w:val="18"/>
                <w:szCs w:val="18"/>
              </w:rPr>
            </w:pPr>
            <w:r w:rsidRPr="001276F2">
              <w:rPr>
                <w:rFonts w:asciiTheme="majorHAnsi" w:hAnsiTheme="majorHAnsi"/>
                <w:sz w:val="18"/>
                <w:szCs w:val="18"/>
              </w:rPr>
              <w:t>13, 507</w:t>
            </w:r>
          </w:p>
        </w:tc>
        <w:tc>
          <w:tcPr>
            <w:tcW w:w="897" w:type="pct"/>
            <w:tcBorders>
              <w:top w:val="nil"/>
              <w:left w:val="nil"/>
              <w:bottom w:val="nil"/>
              <w:right w:val="nil"/>
            </w:tcBorders>
          </w:tcPr>
          <w:p w14:paraId="0BA7E0C1" w14:textId="77777777" w:rsidR="00CE26B7" w:rsidRPr="001276F2" w:rsidRDefault="00D13FBE" w:rsidP="0071613E">
            <w:pPr>
              <w:pStyle w:val="NormalIndented"/>
              <w:rPr>
                <w:rFonts w:asciiTheme="majorHAnsi" w:hAnsiTheme="majorHAnsi"/>
                <w:sz w:val="18"/>
                <w:szCs w:val="18"/>
              </w:rPr>
            </w:pPr>
            <w:r w:rsidRPr="001276F2">
              <w:rPr>
                <w:rFonts w:asciiTheme="majorHAnsi" w:hAnsiTheme="majorHAnsi"/>
                <w:sz w:val="18"/>
                <w:szCs w:val="18"/>
              </w:rPr>
              <w:t>50, 490</w:t>
            </w:r>
          </w:p>
        </w:tc>
      </w:tr>
      <w:tr w:rsidR="001276F2" w14:paraId="57FAEF5E" w14:textId="77777777" w:rsidTr="001276F2">
        <w:trPr>
          <w:trHeight w:val="614"/>
        </w:trPr>
        <w:tc>
          <w:tcPr>
            <w:tcW w:w="811" w:type="pct"/>
            <w:tcBorders>
              <w:top w:val="nil"/>
              <w:left w:val="nil"/>
              <w:bottom w:val="nil"/>
              <w:right w:val="nil"/>
            </w:tcBorders>
          </w:tcPr>
          <w:p w14:paraId="5CC64424" w14:textId="77777777" w:rsidR="00CE26B7" w:rsidRPr="00BE6C6D" w:rsidRDefault="001276F2" w:rsidP="00BE6C6D">
            <w:pPr>
              <w:pStyle w:val="NormalIndented"/>
              <w:rPr>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3D30F7CA" w14:textId="4D1D4EC3" w:rsidR="00CE26B7" w:rsidRPr="002A6909" w:rsidRDefault="00CE26B7" w:rsidP="002A6909">
            <w:pPr>
              <w:pStyle w:val="NormalIndented"/>
              <w:rPr>
                <w:rFonts w:asciiTheme="minorHAnsi" w:hAnsiTheme="minorHAnsi"/>
                <w:sz w:val="18"/>
              </w:rPr>
            </w:pPr>
            <w:r w:rsidRPr="002A6909">
              <w:rPr>
                <w:rFonts w:asciiTheme="minorHAnsi" w:hAnsiTheme="minorHAnsi"/>
                <w:sz w:val="18"/>
              </w:rPr>
              <w:t xml:space="preserve">Additional area of land contaminated by landmines and other Explosive Remnants of War released for </w:t>
            </w:r>
            <w:r w:rsidR="00F046E6" w:rsidRPr="002A6909">
              <w:rPr>
                <w:rFonts w:asciiTheme="minorHAnsi" w:hAnsiTheme="minorHAnsi"/>
                <w:sz w:val="18"/>
              </w:rPr>
              <w:t xml:space="preserve">Productive </w:t>
            </w:r>
            <w:r w:rsidRPr="002A6909">
              <w:rPr>
                <w:rFonts w:asciiTheme="minorHAnsi" w:hAnsiTheme="minorHAnsi"/>
                <w:sz w:val="18"/>
              </w:rPr>
              <w:t>use each year</w:t>
            </w:r>
          </w:p>
        </w:tc>
        <w:tc>
          <w:tcPr>
            <w:tcW w:w="751" w:type="pct"/>
            <w:tcBorders>
              <w:top w:val="nil"/>
              <w:left w:val="nil"/>
              <w:bottom w:val="nil"/>
              <w:right w:val="nil"/>
            </w:tcBorders>
          </w:tcPr>
          <w:p w14:paraId="1A9ECAA4" w14:textId="186049DD" w:rsidR="00CE26B7" w:rsidRPr="001276F2" w:rsidRDefault="00CE26B7" w:rsidP="00E733E1">
            <w:pPr>
              <w:pStyle w:val="NormalIndented"/>
              <w:rPr>
                <w:rFonts w:asciiTheme="majorHAnsi" w:hAnsiTheme="majorHAnsi"/>
                <w:sz w:val="18"/>
                <w:szCs w:val="18"/>
                <w:vertAlign w:val="superscript"/>
              </w:rPr>
            </w:pPr>
            <w:r w:rsidRPr="001276F2">
              <w:rPr>
                <w:rFonts w:asciiTheme="majorHAnsi" w:hAnsiTheme="majorHAnsi"/>
                <w:sz w:val="18"/>
                <w:szCs w:val="18"/>
              </w:rPr>
              <w:t xml:space="preserve"> </w:t>
            </w:r>
            <w:r w:rsidR="00E733E1" w:rsidRPr="001276F2">
              <w:rPr>
                <w:rFonts w:asciiTheme="majorHAnsi" w:hAnsiTheme="majorHAnsi"/>
                <w:sz w:val="18"/>
                <w:szCs w:val="18"/>
              </w:rPr>
              <w:t>6.5</w:t>
            </w:r>
            <w:r w:rsidR="003112E9">
              <w:rPr>
                <w:rFonts w:asciiTheme="majorHAnsi" w:hAnsiTheme="majorHAnsi"/>
                <w:sz w:val="18"/>
                <w:szCs w:val="18"/>
              </w:rPr>
              <w:t>k</w:t>
            </w:r>
            <w:r w:rsidRPr="001276F2">
              <w:rPr>
                <w:rFonts w:asciiTheme="majorHAnsi" w:hAnsiTheme="majorHAnsi"/>
                <w:sz w:val="18"/>
                <w:szCs w:val="18"/>
              </w:rPr>
              <w:t>m</w:t>
            </w:r>
            <w:r w:rsidRPr="001276F2">
              <w:rPr>
                <w:rFonts w:asciiTheme="majorHAnsi" w:hAnsiTheme="majorHAnsi"/>
                <w:sz w:val="18"/>
                <w:szCs w:val="18"/>
                <w:vertAlign w:val="superscript"/>
              </w:rPr>
              <w:t>2</w:t>
            </w:r>
          </w:p>
        </w:tc>
        <w:tc>
          <w:tcPr>
            <w:tcW w:w="897" w:type="pct"/>
            <w:tcBorders>
              <w:top w:val="nil"/>
              <w:left w:val="nil"/>
              <w:bottom w:val="nil"/>
              <w:right w:val="nil"/>
            </w:tcBorders>
          </w:tcPr>
          <w:p w14:paraId="58D0A947" w14:textId="77777777" w:rsidR="00CE26B7" w:rsidRPr="001276F2" w:rsidRDefault="00E733E1" w:rsidP="0071613E">
            <w:pPr>
              <w:pStyle w:val="NormalIndented"/>
              <w:rPr>
                <w:rFonts w:asciiTheme="majorHAnsi" w:hAnsiTheme="majorHAnsi"/>
                <w:sz w:val="18"/>
                <w:szCs w:val="18"/>
              </w:rPr>
            </w:pPr>
            <w:r w:rsidRPr="001276F2">
              <w:rPr>
                <w:rFonts w:asciiTheme="majorHAnsi" w:hAnsiTheme="majorHAnsi"/>
                <w:sz w:val="18"/>
                <w:szCs w:val="18"/>
              </w:rPr>
              <w:t>6.5</w:t>
            </w:r>
            <w:r w:rsidR="00CE26B7" w:rsidRPr="001276F2">
              <w:rPr>
                <w:rFonts w:asciiTheme="majorHAnsi" w:hAnsiTheme="majorHAnsi"/>
                <w:sz w:val="18"/>
                <w:szCs w:val="18"/>
              </w:rPr>
              <w:t xml:space="preserve"> km</w:t>
            </w:r>
            <w:r w:rsidR="00CE26B7" w:rsidRPr="001276F2">
              <w:rPr>
                <w:rFonts w:asciiTheme="majorHAnsi" w:hAnsiTheme="majorHAnsi"/>
                <w:sz w:val="18"/>
                <w:szCs w:val="18"/>
                <w:vertAlign w:val="superscript"/>
              </w:rPr>
              <w:t>2</w:t>
            </w:r>
          </w:p>
        </w:tc>
      </w:tr>
      <w:tr w:rsidR="001276F2" w14:paraId="4F132B13" w14:textId="77777777" w:rsidTr="001276F2">
        <w:trPr>
          <w:trHeight w:val="614"/>
        </w:trPr>
        <w:tc>
          <w:tcPr>
            <w:tcW w:w="811" w:type="pct"/>
            <w:tcBorders>
              <w:top w:val="nil"/>
              <w:left w:val="nil"/>
              <w:bottom w:val="nil"/>
              <w:right w:val="nil"/>
            </w:tcBorders>
          </w:tcPr>
          <w:p w14:paraId="50BDDC8A" w14:textId="77777777" w:rsidR="00CE26B7" w:rsidRPr="00BE6C6D" w:rsidRDefault="00CE26B7" w:rsidP="00BE6C6D">
            <w:pPr>
              <w:pStyle w:val="NormalIndented"/>
              <w:rPr>
                <w:sz w:val="18"/>
              </w:rPr>
            </w:pPr>
            <w:r>
              <w:rPr>
                <w:rFonts w:asciiTheme="minorHAnsi" w:hAnsiTheme="minorHAnsi"/>
                <w:b/>
                <w:sz w:val="18"/>
              </w:rPr>
              <w:t>Aid o</w:t>
            </w:r>
            <w:r w:rsidRPr="002A6909">
              <w:rPr>
                <w:rFonts w:asciiTheme="minorHAnsi" w:hAnsiTheme="minorHAnsi"/>
                <w:b/>
                <w:sz w:val="18"/>
              </w:rPr>
              <w:t>bjective</w:t>
            </w:r>
          </w:p>
        </w:tc>
        <w:tc>
          <w:tcPr>
            <w:tcW w:w="2541" w:type="pct"/>
            <w:tcBorders>
              <w:top w:val="nil"/>
              <w:left w:val="nil"/>
              <w:bottom w:val="nil"/>
              <w:right w:val="nil"/>
            </w:tcBorders>
          </w:tcPr>
          <w:p w14:paraId="1EC2697C" w14:textId="77777777" w:rsidR="00CE26B7" w:rsidRPr="002A6909" w:rsidRDefault="00CE26B7" w:rsidP="002A6909">
            <w:pPr>
              <w:pStyle w:val="NormalIndented"/>
              <w:rPr>
                <w:sz w:val="18"/>
              </w:rPr>
            </w:pPr>
            <w:r w:rsidRPr="008E3409">
              <w:rPr>
                <w:rFonts w:asciiTheme="minorHAnsi" w:hAnsiTheme="minorHAnsi"/>
                <w:b/>
                <w:sz w:val="18"/>
              </w:rPr>
              <w:t>Better health and education outcomes</w:t>
            </w:r>
          </w:p>
        </w:tc>
        <w:tc>
          <w:tcPr>
            <w:tcW w:w="751" w:type="pct"/>
            <w:tcBorders>
              <w:top w:val="nil"/>
              <w:left w:val="nil"/>
              <w:bottom w:val="nil"/>
              <w:right w:val="nil"/>
            </w:tcBorders>
          </w:tcPr>
          <w:p w14:paraId="23557B3D" w14:textId="77777777" w:rsidR="00CE26B7" w:rsidRPr="001276F2" w:rsidRDefault="00CE26B7" w:rsidP="0071613E">
            <w:pPr>
              <w:pStyle w:val="NormalIndented"/>
              <w:rPr>
                <w:rFonts w:asciiTheme="majorHAnsi" w:hAnsiTheme="majorHAnsi"/>
                <w:sz w:val="18"/>
                <w:szCs w:val="18"/>
              </w:rPr>
            </w:pPr>
          </w:p>
        </w:tc>
        <w:tc>
          <w:tcPr>
            <w:tcW w:w="897" w:type="pct"/>
            <w:tcBorders>
              <w:top w:val="nil"/>
              <w:left w:val="nil"/>
              <w:bottom w:val="nil"/>
              <w:right w:val="nil"/>
            </w:tcBorders>
          </w:tcPr>
          <w:p w14:paraId="216587B0" w14:textId="77777777" w:rsidR="00CE26B7" w:rsidRPr="001276F2" w:rsidRDefault="00CE26B7" w:rsidP="0071613E">
            <w:pPr>
              <w:pStyle w:val="NormalIndented"/>
              <w:rPr>
                <w:rFonts w:asciiTheme="majorHAnsi" w:hAnsiTheme="majorHAnsi"/>
                <w:sz w:val="18"/>
                <w:szCs w:val="18"/>
              </w:rPr>
            </w:pPr>
          </w:p>
        </w:tc>
      </w:tr>
      <w:tr w:rsidR="001276F2" w14:paraId="7DF32053" w14:textId="77777777" w:rsidTr="001276F2">
        <w:trPr>
          <w:trHeight w:val="614"/>
        </w:trPr>
        <w:tc>
          <w:tcPr>
            <w:tcW w:w="811" w:type="pct"/>
            <w:tcBorders>
              <w:top w:val="nil"/>
              <w:left w:val="nil"/>
              <w:bottom w:val="nil"/>
              <w:right w:val="nil"/>
            </w:tcBorders>
          </w:tcPr>
          <w:p w14:paraId="2D686453" w14:textId="77777777" w:rsidR="00CE26B7" w:rsidRPr="00BE6C6D" w:rsidRDefault="001276F2" w:rsidP="00BE6C6D">
            <w:pPr>
              <w:pStyle w:val="NormalIndented"/>
              <w:rPr>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18DD97A0" w14:textId="77777777" w:rsidR="00CE26B7" w:rsidRPr="002A6909" w:rsidRDefault="00CE26B7" w:rsidP="002A6909">
            <w:pPr>
              <w:pStyle w:val="NormalIndented"/>
              <w:rPr>
                <w:sz w:val="18"/>
              </w:rPr>
            </w:pPr>
            <w:r w:rsidRPr="008E3409">
              <w:rPr>
                <w:rFonts w:asciiTheme="minorHAnsi" w:hAnsiTheme="minorHAnsi"/>
                <w:sz w:val="18"/>
              </w:rPr>
              <w:t>Percentage of health facilities, hospitals and health centres, assessed by quality of care assessment tool</w:t>
            </w:r>
          </w:p>
        </w:tc>
        <w:tc>
          <w:tcPr>
            <w:tcW w:w="751" w:type="pct"/>
            <w:tcBorders>
              <w:top w:val="nil"/>
              <w:left w:val="nil"/>
              <w:bottom w:val="nil"/>
              <w:right w:val="nil"/>
            </w:tcBorders>
          </w:tcPr>
          <w:p w14:paraId="080E95F1" w14:textId="77777777" w:rsidR="00CE26B7" w:rsidRPr="001276F2" w:rsidRDefault="00A775A3" w:rsidP="0071613E">
            <w:pPr>
              <w:pStyle w:val="NormalIndented"/>
              <w:rPr>
                <w:rFonts w:asciiTheme="majorHAnsi" w:hAnsiTheme="majorHAnsi"/>
                <w:sz w:val="18"/>
                <w:szCs w:val="18"/>
              </w:rPr>
            </w:pPr>
            <w:r w:rsidRPr="001276F2">
              <w:rPr>
                <w:rFonts w:asciiTheme="majorHAnsi" w:hAnsiTheme="majorHAnsi"/>
                <w:sz w:val="18"/>
                <w:szCs w:val="18"/>
              </w:rPr>
              <w:t>100% achieved</w:t>
            </w:r>
          </w:p>
        </w:tc>
        <w:tc>
          <w:tcPr>
            <w:tcW w:w="897" w:type="pct"/>
            <w:tcBorders>
              <w:top w:val="nil"/>
              <w:left w:val="nil"/>
              <w:bottom w:val="nil"/>
              <w:right w:val="nil"/>
            </w:tcBorders>
          </w:tcPr>
          <w:p w14:paraId="329AF699" w14:textId="77777777" w:rsidR="00CE26B7" w:rsidRPr="001276F2" w:rsidRDefault="00A775A3" w:rsidP="0071613E">
            <w:pPr>
              <w:pStyle w:val="NormalIndented"/>
              <w:rPr>
                <w:rFonts w:asciiTheme="majorHAnsi" w:hAnsiTheme="majorHAnsi"/>
                <w:sz w:val="18"/>
                <w:szCs w:val="18"/>
              </w:rPr>
            </w:pPr>
            <w:r w:rsidRPr="001276F2">
              <w:rPr>
                <w:rFonts w:asciiTheme="majorHAnsi" w:hAnsiTheme="majorHAnsi"/>
                <w:sz w:val="18"/>
                <w:szCs w:val="18"/>
              </w:rPr>
              <w:t>100% achieved</w:t>
            </w:r>
          </w:p>
        </w:tc>
      </w:tr>
      <w:tr w:rsidR="001276F2" w14:paraId="1C110E85" w14:textId="77777777" w:rsidTr="001276F2">
        <w:trPr>
          <w:trHeight w:val="614"/>
        </w:trPr>
        <w:tc>
          <w:tcPr>
            <w:tcW w:w="811" w:type="pct"/>
            <w:tcBorders>
              <w:top w:val="nil"/>
              <w:left w:val="nil"/>
              <w:bottom w:val="nil"/>
              <w:right w:val="nil"/>
            </w:tcBorders>
          </w:tcPr>
          <w:p w14:paraId="732BFAB3" w14:textId="77777777" w:rsidR="00CE26B7" w:rsidRPr="002A6909" w:rsidRDefault="001276F2" w:rsidP="00BE6C6D">
            <w:pPr>
              <w:pStyle w:val="NormalIndented"/>
              <w:rPr>
                <w:b/>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793D8A41" w14:textId="77777777" w:rsidR="00CE26B7" w:rsidRPr="007C742C" w:rsidRDefault="00CE26B7" w:rsidP="007C742C">
            <w:pPr>
              <w:pStyle w:val="NormalIndented"/>
              <w:rPr>
                <w:rFonts w:asciiTheme="minorHAnsi" w:hAnsiTheme="minorHAnsi"/>
                <w:sz w:val="18"/>
              </w:rPr>
            </w:pPr>
            <w:r>
              <w:rPr>
                <w:rFonts w:asciiTheme="minorHAnsi" w:hAnsiTheme="minorHAnsi"/>
                <w:sz w:val="18"/>
              </w:rPr>
              <w:t>Increased n</w:t>
            </w:r>
            <w:r w:rsidRPr="007C742C">
              <w:rPr>
                <w:rFonts w:asciiTheme="minorHAnsi" w:hAnsiTheme="minorHAnsi"/>
                <w:sz w:val="18"/>
              </w:rPr>
              <w:t>umber of health centr</w:t>
            </w:r>
            <w:r w:rsidR="00387149">
              <w:rPr>
                <w:rFonts w:asciiTheme="minorHAnsi" w:hAnsiTheme="minorHAnsi"/>
                <w:sz w:val="18"/>
              </w:rPr>
              <w:t>e</w:t>
            </w:r>
            <w:r w:rsidRPr="007C742C">
              <w:rPr>
                <w:rFonts w:asciiTheme="minorHAnsi" w:hAnsiTheme="minorHAnsi"/>
                <w:sz w:val="18"/>
              </w:rPr>
              <w:t>s exceeding 60 percent score on the quality assessment of health facilities</w:t>
            </w:r>
            <w:r w:rsidR="008D619C">
              <w:rPr>
                <w:rFonts w:asciiTheme="minorHAnsi" w:hAnsiTheme="minorHAnsi"/>
                <w:sz w:val="18"/>
              </w:rPr>
              <w:t xml:space="preserve"> (*new)</w:t>
            </w:r>
          </w:p>
        </w:tc>
        <w:tc>
          <w:tcPr>
            <w:tcW w:w="751" w:type="pct"/>
            <w:tcBorders>
              <w:top w:val="nil"/>
              <w:left w:val="nil"/>
              <w:bottom w:val="nil"/>
              <w:right w:val="nil"/>
            </w:tcBorders>
          </w:tcPr>
          <w:p w14:paraId="48EDC8BD" w14:textId="77777777" w:rsidR="00CE26B7" w:rsidRPr="001276F2" w:rsidRDefault="00CE26B7" w:rsidP="008E3409">
            <w:pPr>
              <w:pStyle w:val="NormalIndented"/>
              <w:rPr>
                <w:rFonts w:asciiTheme="majorHAnsi" w:hAnsiTheme="majorHAnsi"/>
                <w:sz w:val="18"/>
                <w:szCs w:val="18"/>
              </w:rPr>
            </w:pPr>
            <w:r w:rsidRPr="001276F2">
              <w:rPr>
                <w:rFonts w:asciiTheme="majorHAnsi" w:hAnsiTheme="majorHAnsi"/>
                <w:sz w:val="18"/>
                <w:szCs w:val="18"/>
              </w:rPr>
              <w:t>Baseline + 10%</w:t>
            </w:r>
          </w:p>
        </w:tc>
        <w:tc>
          <w:tcPr>
            <w:tcW w:w="897" w:type="pct"/>
            <w:tcBorders>
              <w:top w:val="nil"/>
              <w:left w:val="nil"/>
              <w:bottom w:val="nil"/>
              <w:right w:val="nil"/>
            </w:tcBorders>
          </w:tcPr>
          <w:p w14:paraId="653ACE81" w14:textId="77777777" w:rsidR="00CE26B7" w:rsidRPr="001276F2" w:rsidRDefault="00CE26B7" w:rsidP="008E3409">
            <w:pPr>
              <w:pStyle w:val="NormalIndented"/>
              <w:rPr>
                <w:rFonts w:asciiTheme="majorHAnsi" w:hAnsiTheme="majorHAnsi"/>
                <w:sz w:val="18"/>
                <w:szCs w:val="18"/>
              </w:rPr>
            </w:pPr>
            <w:r w:rsidRPr="001276F2">
              <w:rPr>
                <w:rFonts w:asciiTheme="majorHAnsi" w:hAnsiTheme="majorHAnsi"/>
                <w:sz w:val="18"/>
                <w:szCs w:val="18"/>
              </w:rPr>
              <w:t>Baseline + 20%</w:t>
            </w:r>
          </w:p>
        </w:tc>
      </w:tr>
      <w:tr w:rsidR="001276F2" w14:paraId="4B3DBC63" w14:textId="77777777" w:rsidTr="001276F2">
        <w:trPr>
          <w:trHeight w:val="614"/>
        </w:trPr>
        <w:tc>
          <w:tcPr>
            <w:tcW w:w="811" w:type="pct"/>
            <w:tcBorders>
              <w:top w:val="nil"/>
              <w:left w:val="nil"/>
              <w:bottom w:val="nil"/>
              <w:right w:val="nil"/>
            </w:tcBorders>
          </w:tcPr>
          <w:p w14:paraId="5566CE1F" w14:textId="77777777" w:rsidR="00CE26B7" w:rsidRPr="002A6909" w:rsidRDefault="001276F2" w:rsidP="00BE6C6D">
            <w:pPr>
              <w:pStyle w:val="NormalIndented"/>
              <w:rPr>
                <w:b/>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63FE51E1" w14:textId="77777777" w:rsidR="008D619C" w:rsidRPr="00596C22" w:rsidRDefault="00CE26B7" w:rsidP="0061131B">
            <w:pPr>
              <w:pStyle w:val="NormalIndented"/>
              <w:ind w:left="281"/>
              <w:rPr>
                <w:rFonts w:asciiTheme="minorHAnsi" w:hAnsiTheme="minorHAnsi"/>
                <w:sz w:val="18"/>
              </w:rPr>
            </w:pPr>
            <w:r w:rsidRPr="007C742C">
              <w:rPr>
                <w:rFonts w:asciiTheme="minorHAnsi" w:hAnsiTheme="minorHAnsi"/>
                <w:sz w:val="18"/>
              </w:rPr>
              <w:t>Increase</w:t>
            </w:r>
            <w:r>
              <w:rPr>
                <w:rFonts w:asciiTheme="minorHAnsi" w:hAnsiTheme="minorHAnsi"/>
                <w:sz w:val="18"/>
              </w:rPr>
              <w:t>d</w:t>
            </w:r>
            <w:r w:rsidRPr="007C742C">
              <w:rPr>
                <w:rFonts w:asciiTheme="minorHAnsi" w:hAnsiTheme="minorHAnsi"/>
                <w:sz w:val="18"/>
              </w:rPr>
              <w:t xml:space="preserve"> in the utilization of health services by Health Equity Fund (HEF) beneficiaries</w:t>
            </w:r>
            <w:r w:rsidR="0061131B">
              <w:rPr>
                <w:rFonts w:asciiTheme="minorHAnsi" w:hAnsiTheme="minorHAnsi"/>
                <w:sz w:val="18"/>
              </w:rPr>
              <w:t xml:space="preserve"> (*new)</w:t>
            </w:r>
          </w:p>
        </w:tc>
        <w:tc>
          <w:tcPr>
            <w:tcW w:w="751" w:type="pct"/>
            <w:tcBorders>
              <w:top w:val="nil"/>
              <w:left w:val="nil"/>
              <w:bottom w:val="nil"/>
              <w:right w:val="nil"/>
            </w:tcBorders>
          </w:tcPr>
          <w:p w14:paraId="2E97FDAE" w14:textId="77777777" w:rsidR="00CE26B7" w:rsidRPr="001276F2" w:rsidRDefault="00CE26B7" w:rsidP="008E3409">
            <w:pPr>
              <w:pStyle w:val="NormalIndented"/>
              <w:rPr>
                <w:rFonts w:asciiTheme="majorHAnsi" w:hAnsiTheme="majorHAnsi"/>
                <w:sz w:val="18"/>
                <w:szCs w:val="18"/>
              </w:rPr>
            </w:pPr>
            <w:r w:rsidRPr="001276F2">
              <w:rPr>
                <w:rFonts w:asciiTheme="majorHAnsi" w:hAnsiTheme="majorHAnsi"/>
                <w:sz w:val="18"/>
                <w:szCs w:val="18"/>
              </w:rPr>
              <w:t>55%</w:t>
            </w:r>
          </w:p>
        </w:tc>
        <w:tc>
          <w:tcPr>
            <w:tcW w:w="897" w:type="pct"/>
            <w:tcBorders>
              <w:top w:val="nil"/>
              <w:left w:val="nil"/>
              <w:bottom w:val="nil"/>
              <w:right w:val="nil"/>
            </w:tcBorders>
          </w:tcPr>
          <w:p w14:paraId="17EBC6FE" w14:textId="77777777" w:rsidR="00CE26B7" w:rsidRPr="001276F2" w:rsidRDefault="00CE26B7" w:rsidP="008E3409">
            <w:pPr>
              <w:pStyle w:val="NormalIndented"/>
              <w:rPr>
                <w:rFonts w:asciiTheme="majorHAnsi" w:hAnsiTheme="majorHAnsi"/>
                <w:sz w:val="18"/>
                <w:szCs w:val="18"/>
              </w:rPr>
            </w:pPr>
            <w:r w:rsidRPr="001276F2">
              <w:rPr>
                <w:rFonts w:asciiTheme="majorHAnsi" w:hAnsiTheme="majorHAnsi"/>
                <w:sz w:val="18"/>
                <w:szCs w:val="18"/>
              </w:rPr>
              <w:t>60%</w:t>
            </w:r>
          </w:p>
        </w:tc>
      </w:tr>
      <w:tr w:rsidR="001276F2" w14:paraId="0D416037" w14:textId="77777777" w:rsidTr="001276F2">
        <w:trPr>
          <w:trHeight w:val="614"/>
        </w:trPr>
        <w:tc>
          <w:tcPr>
            <w:tcW w:w="811" w:type="pct"/>
            <w:tcBorders>
              <w:top w:val="nil"/>
              <w:left w:val="nil"/>
              <w:bottom w:val="nil"/>
              <w:right w:val="nil"/>
            </w:tcBorders>
          </w:tcPr>
          <w:p w14:paraId="1A71120F" w14:textId="77777777" w:rsidR="00CE26B7" w:rsidRPr="00BE6C6D" w:rsidRDefault="001276F2" w:rsidP="00BE6C6D">
            <w:pPr>
              <w:pStyle w:val="NormalIndented"/>
              <w:rPr>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nil"/>
              <w:right w:val="nil"/>
            </w:tcBorders>
          </w:tcPr>
          <w:p w14:paraId="7ECE9918" w14:textId="47F791D4" w:rsidR="00CE26B7" w:rsidRPr="002A6909" w:rsidRDefault="00251109" w:rsidP="002A6909">
            <w:pPr>
              <w:pStyle w:val="NormalIndented"/>
              <w:rPr>
                <w:sz w:val="18"/>
              </w:rPr>
            </w:pPr>
            <w:r>
              <w:rPr>
                <w:rFonts w:asciiTheme="minorHAnsi" w:hAnsiTheme="minorHAnsi"/>
                <w:sz w:val="18"/>
              </w:rPr>
              <w:t>Percentage</w:t>
            </w:r>
            <w:r w:rsidRPr="008E3409">
              <w:rPr>
                <w:rFonts w:asciiTheme="minorHAnsi" w:hAnsiTheme="minorHAnsi"/>
                <w:sz w:val="18"/>
              </w:rPr>
              <w:t xml:space="preserve"> </w:t>
            </w:r>
            <w:r w:rsidR="00CE26B7" w:rsidRPr="008E3409">
              <w:rPr>
                <w:rFonts w:asciiTheme="minorHAnsi" w:hAnsiTheme="minorHAnsi"/>
                <w:sz w:val="18"/>
              </w:rPr>
              <w:t>of scholarships awarded (female/male</w:t>
            </w:r>
            <w:r w:rsidR="00CE26B7" w:rsidRPr="007A4F1C">
              <w:rPr>
                <w:rFonts w:ascii="Franklin Gothic Book" w:hAnsi="Franklin Gothic Book"/>
                <w:i/>
                <w:color w:val="808080" w:themeColor="background1" w:themeShade="80"/>
                <w:sz w:val="20"/>
                <w:szCs w:val="20"/>
                <w:lang w:eastAsia="en-US"/>
              </w:rPr>
              <w:t>)</w:t>
            </w:r>
          </w:p>
        </w:tc>
        <w:tc>
          <w:tcPr>
            <w:tcW w:w="751" w:type="pct"/>
            <w:tcBorders>
              <w:top w:val="nil"/>
              <w:left w:val="nil"/>
              <w:bottom w:val="nil"/>
              <w:right w:val="nil"/>
            </w:tcBorders>
          </w:tcPr>
          <w:p w14:paraId="56D43124" w14:textId="11EE4F18" w:rsidR="00CE26B7" w:rsidRPr="001276F2" w:rsidRDefault="00251109" w:rsidP="008E3409">
            <w:pPr>
              <w:pStyle w:val="NormalIndented"/>
              <w:rPr>
                <w:rFonts w:asciiTheme="majorHAnsi" w:hAnsiTheme="majorHAnsi"/>
                <w:sz w:val="18"/>
                <w:szCs w:val="18"/>
              </w:rPr>
            </w:pPr>
            <w:r>
              <w:rPr>
                <w:rFonts w:asciiTheme="majorHAnsi" w:hAnsiTheme="majorHAnsi"/>
                <w:sz w:val="18"/>
                <w:szCs w:val="18"/>
              </w:rPr>
              <w:t>50</w:t>
            </w:r>
            <w:r w:rsidR="00CE26B7" w:rsidRPr="001276F2">
              <w:rPr>
                <w:rFonts w:asciiTheme="majorHAnsi" w:hAnsiTheme="majorHAnsi"/>
                <w:sz w:val="18"/>
                <w:szCs w:val="18"/>
              </w:rPr>
              <w:t>/</w:t>
            </w:r>
            <w:r>
              <w:rPr>
                <w:rFonts w:asciiTheme="majorHAnsi" w:hAnsiTheme="majorHAnsi"/>
                <w:sz w:val="18"/>
                <w:szCs w:val="18"/>
              </w:rPr>
              <w:t>50</w:t>
            </w:r>
          </w:p>
        </w:tc>
        <w:tc>
          <w:tcPr>
            <w:tcW w:w="897" w:type="pct"/>
            <w:tcBorders>
              <w:top w:val="nil"/>
              <w:left w:val="nil"/>
              <w:bottom w:val="nil"/>
              <w:right w:val="nil"/>
            </w:tcBorders>
          </w:tcPr>
          <w:p w14:paraId="256E22FF" w14:textId="7A1EC251" w:rsidR="00CE26B7" w:rsidRPr="001276F2" w:rsidRDefault="00251109" w:rsidP="008E3409">
            <w:pPr>
              <w:pStyle w:val="NormalIndented"/>
              <w:rPr>
                <w:rFonts w:asciiTheme="majorHAnsi" w:hAnsiTheme="majorHAnsi"/>
                <w:sz w:val="18"/>
                <w:szCs w:val="18"/>
              </w:rPr>
            </w:pPr>
            <w:r>
              <w:rPr>
                <w:rFonts w:asciiTheme="majorHAnsi" w:hAnsiTheme="majorHAnsi"/>
                <w:sz w:val="18"/>
                <w:szCs w:val="18"/>
              </w:rPr>
              <w:t>50</w:t>
            </w:r>
            <w:r w:rsidRPr="001276F2">
              <w:rPr>
                <w:rFonts w:asciiTheme="majorHAnsi" w:hAnsiTheme="majorHAnsi"/>
                <w:sz w:val="18"/>
                <w:szCs w:val="18"/>
              </w:rPr>
              <w:t>/</w:t>
            </w:r>
            <w:r>
              <w:rPr>
                <w:rFonts w:asciiTheme="majorHAnsi" w:hAnsiTheme="majorHAnsi"/>
                <w:sz w:val="18"/>
                <w:szCs w:val="18"/>
              </w:rPr>
              <w:t>50</w:t>
            </w:r>
          </w:p>
        </w:tc>
      </w:tr>
      <w:tr w:rsidR="001276F2" w14:paraId="474F51C4" w14:textId="77777777" w:rsidTr="001276F2">
        <w:trPr>
          <w:trHeight w:val="614"/>
        </w:trPr>
        <w:tc>
          <w:tcPr>
            <w:tcW w:w="811" w:type="pct"/>
            <w:tcBorders>
              <w:top w:val="nil"/>
              <w:left w:val="nil"/>
              <w:bottom w:val="nil"/>
              <w:right w:val="nil"/>
            </w:tcBorders>
          </w:tcPr>
          <w:p w14:paraId="2014CDB6" w14:textId="77777777" w:rsidR="00CE26B7" w:rsidRPr="002A6909" w:rsidRDefault="00CE26B7" w:rsidP="00BE6C6D">
            <w:pPr>
              <w:pStyle w:val="NormalIndented"/>
              <w:rPr>
                <w:b/>
                <w:sz w:val="18"/>
              </w:rPr>
            </w:pPr>
            <w:r>
              <w:rPr>
                <w:rFonts w:asciiTheme="minorHAnsi" w:hAnsiTheme="minorHAnsi"/>
                <w:b/>
                <w:sz w:val="18"/>
              </w:rPr>
              <w:t>Aid o</w:t>
            </w:r>
            <w:r w:rsidRPr="002A6909">
              <w:rPr>
                <w:rFonts w:asciiTheme="minorHAnsi" w:hAnsiTheme="minorHAnsi"/>
                <w:b/>
                <w:sz w:val="18"/>
              </w:rPr>
              <w:t>bjective</w:t>
            </w:r>
          </w:p>
        </w:tc>
        <w:tc>
          <w:tcPr>
            <w:tcW w:w="2541" w:type="pct"/>
            <w:tcBorders>
              <w:top w:val="nil"/>
              <w:left w:val="nil"/>
              <w:bottom w:val="nil"/>
              <w:right w:val="nil"/>
            </w:tcBorders>
          </w:tcPr>
          <w:p w14:paraId="59248DA4" w14:textId="77777777" w:rsidR="00CE26B7" w:rsidRPr="007A4F1C" w:rsidRDefault="00CE26B7" w:rsidP="002A6909">
            <w:pPr>
              <w:pStyle w:val="NormalIndented"/>
              <w:rPr>
                <w:rFonts w:ascii="Franklin Gothic Book" w:hAnsi="Franklin Gothic Book"/>
                <w:i/>
                <w:color w:val="808080" w:themeColor="background1" w:themeShade="80"/>
                <w:sz w:val="20"/>
                <w:szCs w:val="20"/>
              </w:rPr>
            </w:pPr>
            <w:r w:rsidRPr="008E3409">
              <w:rPr>
                <w:rFonts w:asciiTheme="minorHAnsi" w:hAnsiTheme="minorHAnsi"/>
                <w:b/>
                <w:sz w:val="18"/>
              </w:rPr>
              <w:t>Reduced gender-based violence</w:t>
            </w:r>
          </w:p>
        </w:tc>
        <w:tc>
          <w:tcPr>
            <w:tcW w:w="751" w:type="pct"/>
            <w:tcBorders>
              <w:top w:val="nil"/>
              <w:left w:val="nil"/>
              <w:bottom w:val="nil"/>
              <w:right w:val="nil"/>
            </w:tcBorders>
          </w:tcPr>
          <w:p w14:paraId="6A5AB434" w14:textId="77777777" w:rsidR="00CE26B7" w:rsidRPr="001276F2" w:rsidRDefault="00CE26B7" w:rsidP="008E3409">
            <w:pPr>
              <w:pStyle w:val="NormalIndented"/>
              <w:rPr>
                <w:rFonts w:asciiTheme="majorHAnsi" w:hAnsiTheme="majorHAnsi"/>
                <w:sz w:val="18"/>
                <w:szCs w:val="18"/>
              </w:rPr>
            </w:pPr>
          </w:p>
        </w:tc>
        <w:tc>
          <w:tcPr>
            <w:tcW w:w="897" w:type="pct"/>
            <w:tcBorders>
              <w:top w:val="nil"/>
              <w:left w:val="nil"/>
              <w:bottom w:val="nil"/>
              <w:right w:val="nil"/>
            </w:tcBorders>
          </w:tcPr>
          <w:p w14:paraId="34C010BF" w14:textId="77777777" w:rsidR="00CE26B7" w:rsidRPr="001276F2" w:rsidRDefault="00CE26B7" w:rsidP="008E3409">
            <w:pPr>
              <w:pStyle w:val="NormalIndented"/>
              <w:rPr>
                <w:rFonts w:asciiTheme="majorHAnsi" w:hAnsiTheme="majorHAnsi"/>
                <w:sz w:val="18"/>
                <w:szCs w:val="18"/>
              </w:rPr>
            </w:pPr>
          </w:p>
        </w:tc>
      </w:tr>
      <w:tr w:rsidR="001276F2" w14:paraId="587F2308" w14:textId="77777777" w:rsidTr="001276F2">
        <w:trPr>
          <w:trHeight w:val="614"/>
        </w:trPr>
        <w:tc>
          <w:tcPr>
            <w:tcW w:w="811" w:type="pct"/>
            <w:tcBorders>
              <w:top w:val="nil"/>
              <w:left w:val="nil"/>
              <w:bottom w:val="single" w:sz="12" w:space="0" w:color="auto"/>
              <w:right w:val="nil"/>
            </w:tcBorders>
          </w:tcPr>
          <w:p w14:paraId="4900B900" w14:textId="77777777" w:rsidR="00CE26B7" w:rsidRPr="00BE6C6D" w:rsidRDefault="001276F2" w:rsidP="00BE6C6D">
            <w:pPr>
              <w:pStyle w:val="NormalIndented"/>
              <w:rPr>
                <w:sz w:val="18"/>
              </w:rPr>
            </w:pPr>
            <w:r>
              <w:rPr>
                <w:rFonts w:asciiTheme="minorHAnsi" w:hAnsiTheme="minorHAnsi"/>
                <w:b/>
                <w:sz w:val="18"/>
              </w:rPr>
              <w:t>B</w:t>
            </w:r>
            <w:r w:rsidR="00CE26B7" w:rsidRPr="002A6909">
              <w:rPr>
                <w:rFonts w:asciiTheme="minorHAnsi" w:hAnsiTheme="minorHAnsi"/>
                <w:b/>
                <w:sz w:val="18"/>
              </w:rPr>
              <w:t>enchmark</w:t>
            </w:r>
          </w:p>
        </w:tc>
        <w:tc>
          <w:tcPr>
            <w:tcW w:w="2541" w:type="pct"/>
            <w:tcBorders>
              <w:top w:val="nil"/>
              <w:left w:val="nil"/>
              <w:bottom w:val="single" w:sz="12" w:space="0" w:color="auto"/>
              <w:right w:val="nil"/>
            </w:tcBorders>
          </w:tcPr>
          <w:p w14:paraId="3BC604F3" w14:textId="77777777" w:rsidR="00CE26B7" w:rsidRPr="00BE6C6D" w:rsidRDefault="00CE26B7" w:rsidP="00BE6C6D">
            <w:pPr>
              <w:pStyle w:val="NormalIndented"/>
              <w:rPr>
                <w:i/>
                <w:color w:val="808080" w:themeColor="background1" w:themeShade="80"/>
                <w:szCs w:val="20"/>
              </w:rPr>
            </w:pPr>
            <w:r w:rsidRPr="008E3409">
              <w:rPr>
                <w:rFonts w:asciiTheme="minorHAnsi" w:hAnsiTheme="minorHAnsi"/>
                <w:sz w:val="18"/>
              </w:rPr>
              <w:t>Additional number of women survivors of violence receiving services such as counselling each year</w:t>
            </w:r>
          </w:p>
        </w:tc>
        <w:tc>
          <w:tcPr>
            <w:tcW w:w="751" w:type="pct"/>
            <w:tcBorders>
              <w:top w:val="nil"/>
              <w:left w:val="nil"/>
              <w:bottom w:val="single" w:sz="12" w:space="0" w:color="auto"/>
              <w:right w:val="nil"/>
            </w:tcBorders>
          </w:tcPr>
          <w:p w14:paraId="36B8B0D9" w14:textId="77777777" w:rsidR="00CE26B7" w:rsidRPr="001276F2" w:rsidRDefault="00250354" w:rsidP="008E3409">
            <w:pPr>
              <w:pStyle w:val="NormalIndented"/>
              <w:rPr>
                <w:rFonts w:asciiTheme="majorHAnsi" w:hAnsiTheme="majorHAnsi"/>
                <w:sz w:val="18"/>
                <w:szCs w:val="18"/>
              </w:rPr>
            </w:pPr>
            <w:r w:rsidRPr="001276F2">
              <w:rPr>
                <w:rFonts w:asciiTheme="majorHAnsi" w:hAnsiTheme="majorHAnsi"/>
                <w:sz w:val="18"/>
                <w:szCs w:val="18"/>
              </w:rPr>
              <w:t>11</w:t>
            </w:r>
            <w:r w:rsidR="00CE26B7" w:rsidRPr="001276F2">
              <w:rPr>
                <w:rFonts w:asciiTheme="majorHAnsi" w:hAnsiTheme="majorHAnsi"/>
                <w:sz w:val="18"/>
                <w:szCs w:val="18"/>
              </w:rPr>
              <w:t>,000</w:t>
            </w:r>
          </w:p>
        </w:tc>
        <w:tc>
          <w:tcPr>
            <w:tcW w:w="897" w:type="pct"/>
            <w:tcBorders>
              <w:top w:val="nil"/>
              <w:left w:val="nil"/>
              <w:bottom w:val="single" w:sz="12" w:space="0" w:color="auto"/>
              <w:right w:val="nil"/>
            </w:tcBorders>
          </w:tcPr>
          <w:p w14:paraId="6665551D" w14:textId="77777777" w:rsidR="00CE26B7" w:rsidRPr="001276F2" w:rsidRDefault="00CE26B7" w:rsidP="008E3409">
            <w:pPr>
              <w:pStyle w:val="NormalIndented"/>
              <w:rPr>
                <w:rFonts w:asciiTheme="majorHAnsi" w:hAnsiTheme="majorHAnsi"/>
                <w:sz w:val="18"/>
                <w:szCs w:val="18"/>
              </w:rPr>
            </w:pPr>
            <w:r w:rsidRPr="001276F2">
              <w:rPr>
                <w:rFonts w:asciiTheme="majorHAnsi" w:hAnsiTheme="majorHAnsi"/>
                <w:sz w:val="18"/>
                <w:szCs w:val="18"/>
              </w:rPr>
              <w:t>1</w:t>
            </w:r>
            <w:r w:rsidR="00250354" w:rsidRPr="001276F2">
              <w:rPr>
                <w:rFonts w:asciiTheme="majorHAnsi" w:hAnsiTheme="majorHAnsi"/>
                <w:sz w:val="18"/>
                <w:szCs w:val="18"/>
              </w:rPr>
              <w:t>2</w:t>
            </w:r>
            <w:r w:rsidRPr="001276F2">
              <w:rPr>
                <w:rFonts w:asciiTheme="majorHAnsi" w:hAnsiTheme="majorHAnsi"/>
                <w:sz w:val="18"/>
                <w:szCs w:val="18"/>
              </w:rPr>
              <w:t>,000</w:t>
            </w:r>
          </w:p>
        </w:tc>
      </w:tr>
    </w:tbl>
    <w:p w14:paraId="206FE085" w14:textId="77777777" w:rsidR="002A51CA" w:rsidRDefault="002A51CA" w:rsidP="002A51CA">
      <w:pPr>
        <w:pStyle w:val="Heading2"/>
      </w:pPr>
      <w:r>
        <w:t>Mutual obligations</w:t>
      </w:r>
      <w:r w:rsidR="00101421">
        <w:t xml:space="preserve"> </w:t>
      </w:r>
    </w:p>
    <w:p w14:paraId="7F051665" w14:textId="78CEDC85" w:rsidR="00C030B8" w:rsidRDefault="00C030B8" w:rsidP="00C030B8">
      <w:r>
        <w:t>We set out the mutual obligations</w:t>
      </w:r>
      <w:r w:rsidR="00C14C08">
        <w:t xml:space="preserve"> </w:t>
      </w:r>
      <w:r w:rsidR="00770A7D">
        <w:t>of our aid program in the</w:t>
      </w:r>
      <w:r>
        <w:t xml:space="preserve"> </w:t>
      </w:r>
      <w:r w:rsidR="00770A7D">
        <w:t xml:space="preserve">Cambodia </w:t>
      </w:r>
      <w:r>
        <w:t>AIP 2015-18</w:t>
      </w:r>
      <w:r w:rsidR="00770A7D">
        <w:t>,</w:t>
      </w:r>
      <w:r w:rsidR="00C14C08" w:rsidRPr="00C14C08">
        <w:t xml:space="preserve"> </w:t>
      </w:r>
      <w:r w:rsidR="00C14C08">
        <w:t xml:space="preserve">which </w:t>
      </w:r>
      <w:r w:rsidR="00770A7D">
        <w:t xml:space="preserve">are </w:t>
      </w:r>
      <w:r w:rsidR="00C14C08">
        <w:t>align</w:t>
      </w:r>
      <w:r w:rsidR="00770A7D">
        <w:t>ed</w:t>
      </w:r>
      <w:r w:rsidR="00C14C08">
        <w:t xml:space="preserve"> with the Cambodian Governments National Strategic Development Plan (NSDP) 2014-2018</w:t>
      </w:r>
      <w:r w:rsidR="008E4949">
        <w:t xml:space="preserve">. </w:t>
      </w:r>
      <w:r>
        <w:t>In 2015-16, good progress was made in the key strategic area</w:t>
      </w:r>
      <w:r w:rsidR="000B4BDD">
        <w:t>s</w:t>
      </w:r>
      <w:r>
        <w:t xml:space="preserve"> below:</w:t>
      </w:r>
    </w:p>
    <w:p w14:paraId="013916DC" w14:textId="3183DF42" w:rsidR="008914AF" w:rsidRDefault="00064651" w:rsidP="008914AF">
      <w:r w:rsidRPr="00064651">
        <w:rPr>
          <w:b/>
        </w:rPr>
        <w:t>Public Financial Management:</w:t>
      </w:r>
      <w:r>
        <w:t xml:space="preserve"> </w:t>
      </w:r>
      <w:r w:rsidR="008914AF">
        <w:t>Double-digit growth in public revenue collection continued in 2015</w:t>
      </w:r>
      <w:r w:rsidR="000B4BDD">
        <w:t>,</w:t>
      </w:r>
      <w:r w:rsidR="008914AF">
        <w:t xml:space="preserve"> bringing total domestic collection to approximately 17.5 per cent of GDP</w:t>
      </w:r>
      <w:r w:rsidR="008914AF">
        <w:rPr>
          <w:rStyle w:val="FootnoteReference"/>
        </w:rPr>
        <w:footnoteReference w:id="22"/>
      </w:r>
      <w:r w:rsidR="007121C2">
        <w:t xml:space="preserve">, up from </w:t>
      </w:r>
      <w:r w:rsidR="008914AF">
        <w:t>15.1 per cent in 2013</w:t>
      </w:r>
      <w:r w:rsidR="008914AF">
        <w:rPr>
          <w:rStyle w:val="FootnoteReference"/>
        </w:rPr>
        <w:footnoteReference w:id="23"/>
      </w:r>
      <w:r w:rsidR="008E4949">
        <w:t xml:space="preserve">. </w:t>
      </w:r>
      <w:r w:rsidR="008914AF">
        <w:t xml:space="preserve">Key </w:t>
      </w:r>
      <w:r w:rsidR="008914AF">
        <w:lastRenderedPageBreak/>
        <w:t xml:space="preserve">public financial management </w:t>
      </w:r>
      <w:r w:rsidR="000B4BDD">
        <w:t>reforms</w:t>
      </w:r>
      <w:r w:rsidR="00795D90">
        <w:t>,</w:t>
      </w:r>
      <w:r w:rsidR="000B4BDD">
        <w:t xml:space="preserve"> includ</w:t>
      </w:r>
      <w:r w:rsidR="00795D90">
        <w:t>ing</w:t>
      </w:r>
      <w:r w:rsidR="008914AF">
        <w:t xml:space="preserve"> the rollout of an electronic Financial Management Information System saw satisfactory progress in 2015</w:t>
      </w:r>
      <w:r w:rsidR="008E4949">
        <w:t xml:space="preserve">. </w:t>
      </w:r>
      <w:r w:rsidR="008914AF">
        <w:t xml:space="preserve">Concerns remain around the level of corruption in the management of public funds. </w:t>
      </w:r>
    </w:p>
    <w:p w14:paraId="062E9446" w14:textId="6635DC1A" w:rsidR="008914AF" w:rsidRDefault="00064651" w:rsidP="008914AF">
      <w:r w:rsidRPr="00064651">
        <w:rPr>
          <w:b/>
        </w:rPr>
        <w:t>Infrastructure:</w:t>
      </w:r>
      <w:r>
        <w:t xml:space="preserve"> </w:t>
      </w:r>
      <w:r w:rsidR="00795D90">
        <w:t>T</w:t>
      </w:r>
      <w:r w:rsidR="008914AF">
        <w:t xml:space="preserve">he Cambodian Government aims to </w:t>
      </w:r>
      <w:r>
        <w:t>connect all villages</w:t>
      </w:r>
      <w:r w:rsidR="008914AF">
        <w:t xml:space="preserve"> to electricity of any type</w:t>
      </w:r>
      <w:r w:rsidR="00795D90">
        <w:t xml:space="preserve"> by 2020</w:t>
      </w:r>
      <w:r w:rsidR="008914AF">
        <w:t xml:space="preserve">, and </w:t>
      </w:r>
      <w:r w:rsidR="00795D90">
        <w:t>for</w:t>
      </w:r>
      <w:r w:rsidR="008914AF">
        <w:t xml:space="preserve"> at least 70 per cent of households </w:t>
      </w:r>
      <w:r w:rsidR="00795D90">
        <w:t xml:space="preserve">to be </w:t>
      </w:r>
      <w:r w:rsidR="008914AF">
        <w:t>connected to grid quality electricity</w:t>
      </w:r>
      <w:r w:rsidR="00795D90">
        <w:t xml:space="preserve"> by 2030</w:t>
      </w:r>
      <w:r w:rsidR="008914AF">
        <w:t xml:space="preserve">. Official figures for the number of new electricity consumers in 2015 were not available. According to draft figures, domestic power generation capacity reached 1,569 MW in 2015. Cambodia continues to rely on substantial electricity imports from neighbouring countries to meet demand beyond its domestic generation capacity. </w:t>
      </w:r>
    </w:p>
    <w:p w14:paraId="43FAE433" w14:textId="5601CF9C" w:rsidR="00127D64" w:rsidRDefault="00DE1699" w:rsidP="008914AF">
      <w:pPr>
        <w:rPr>
          <w:b/>
        </w:rPr>
      </w:pPr>
      <w:r w:rsidRPr="00DE1699">
        <w:t>According to various estimates, it is likely the proportion of Cambodian households connected to piped, treated water increased from 16 per cent in 2014 to 18 per cent in 2015</w:t>
      </w:r>
      <w:r>
        <w:rPr>
          <w:b/>
        </w:rPr>
        <w:t>.</w:t>
      </w:r>
    </w:p>
    <w:p w14:paraId="0B11424B" w14:textId="6F39C8A4" w:rsidR="00C030B8" w:rsidRDefault="00064651" w:rsidP="00C030B8">
      <w:r w:rsidRPr="00DE1699">
        <w:rPr>
          <w:b/>
        </w:rPr>
        <w:t>Agriculture</w:t>
      </w:r>
      <w:r w:rsidRPr="00DE1699">
        <w:t xml:space="preserve">: </w:t>
      </w:r>
      <w:r w:rsidR="00C030B8" w:rsidRPr="00DE1699">
        <w:t>The Cambodian Government did not achieve its target of exporting 1 million tonnes of milled</w:t>
      </w:r>
      <w:r w:rsidR="00C030B8">
        <w:t xml:space="preserve"> rice by the end of 2015. This was due to various factors including a severe drought, depressed global rice prices and a shortage of quality rice seeds for farmers. Inadequate transport infrastructure and expensive, unreliable electricity (to operate rice mills) remain fundamental constraints. Some important progress was made in 2015-16: the export of milled rice increased by 39 per cent from 2014-15 </w:t>
      </w:r>
      <w:r>
        <w:t>to</w:t>
      </w:r>
      <w:r w:rsidR="00C030B8">
        <w:t xml:space="preserve"> 538,396 tonnes. In addition, an award to Cambodia in 2014 for the World’s Best Rice (following the same award in 2012 and 2013) is being leveraged to create highe</w:t>
      </w:r>
      <w:r w:rsidR="00A27369">
        <w:t>r</w:t>
      </w:r>
      <w:r w:rsidR="00C030B8">
        <w:t xml:space="preserve"> prices for rice exports. This is supported by the Cambodian Rice Federation establishing an umbrella brand, Angkor Malis, for Cambodia’s premium rice exports</w:t>
      </w:r>
      <w:r w:rsidR="008E4949">
        <w:t xml:space="preserve">. </w:t>
      </w:r>
    </w:p>
    <w:p w14:paraId="3028EF98" w14:textId="77777777" w:rsidR="00B602D9" w:rsidRDefault="00064651" w:rsidP="00B602D9">
      <w:r w:rsidRPr="00064651">
        <w:rPr>
          <w:b/>
        </w:rPr>
        <w:t>Health:</w:t>
      </w:r>
      <w:r>
        <w:t xml:space="preserve"> </w:t>
      </w:r>
      <w:r w:rsidR="00B602D9">
        <w:t>Cambodia has achieved</w:t>
      </w:r>
      <w:r w:rsidR="00A8588E">
        <w:t xml:space="preserve"> an impressive number of the </w:t>
      </w:r>
      <w:r w:rsidR="00B602D9">
        <w:t xml:space="preserve">health outcomes targeted in the </w:t>
      </w:r>
      <w:r w:rsidR="00B602D9" w:rsidRPr="00D476E1">
        <w:rPr>
          <w:i/>
        </w:rPr>
        <w:t>Health Strategic Plan 2008-2015</w:t>
      </w:r>
      <w:r w:rsidR="00B602D9">
        <w:t xml:space="preserve"> and the </w:t>
      </w:r>
      <w:r w:rsidR="00B602D9" w:rsidRPr="00064651">
        <w:rPr>
          <w:i/>
        </w:rPr>
        <w:t>National Strategic Development Plan 2015-2018</w:t>
      </w:r>
      <w:r w:rsidR="00B602D9">
        <w:t>. As noted under Objective 3, the Cambodian Government has continued to increase its support to health</w:t>
      </w:r>
      <w:r>
        <w:t xml:space="preserve"> system financing and management</w:t>
      </w:r>
      <w:r w:rsidR="00B602D9">
        <w:t xml:space="preserve">. This has been achieved, in part, due to Australia’s continued strong engagement and dialogue with the Ministry of Health, as well as advocacy with the Ministry of Economy and Finance. </w:t>
      </w:r>
    </w:p>
    <w:p w14:paraId="2D7C6479" w14:textId="77777777" w:rsidR="00C030B8" w:rsidRPr="00B14A46" w:rsidRDefault="00222253" w:rsidP="00127D64">
      <w:r w:rsidRPr="00064651">
        <w:rPr>
          <w:b/>
        </w:rPr>
        <w:t>Scholarships:</w:t>
      </w:r>
      <w:r>
        <w:t xml:space="preserve"> we engage closely with the Cambodian Government through the Annual Strategic Review to discuss the: (i) outcomes of the previous intake of the Australia Awards Scholarships; and (ii) strategic direction for the next intake of the Australia Awards Scholarships. This dialogue ensures that the program is relevant in meeting the Cambodian Government’s human resource needs. </w:t>
      </w:r>
    </w:p>
    <w:p w14:paraId="18275006" w14:textId="77777777" w:rsidR="002A51CA" w:rsidRPr="002A51CA" w:rsidRDefault="002A51CA" w:rsidP="002A51CA">
      <w:pPr>
        <w:pStyle w:val="Heading2"/>
      </w:pPr>
      <w:r w:rsidRPr="002A51CA">
        <w:t xml:space="preserve">Program Quality and Partner Performance </w:t>
      </w:r>
    </w:p>
    <w:p w14:paraId="3735B665" w14:textId="77777777" w:rsidR="00173829" w:rsidRPr="002A51CA" w:rsidRDefault="00173829" w:rsidP="00173829">
      <w:pPr>
        <w:rPr>
          <w:b/>
          <w:lang w:eastAsia="zh-CN"/>
        </w:rPr>
      </w:pPr>
      <w:r w:rsidRPr="002A51CA">
        <w:rPr>
          <w:b/>
          <w:lang w:eastAsia="zh-CN"/>
        </w:rPr>
        <w:t>Overview</w:t>
      </w:r>
      <w:r w:rsidRPr="002A51CA">
        <w:rPr>
          <w:b/>
          <w:lang w:eastAsia="zh-CN"/>
        </w:rPr>
        <w:tab/>
      </w:r>
      <w:r w:rsidRPr="002A51CA">
        <w:rPr>
          <w:b/>
          <w:lang w:eastAsia="zh-CN"/>
        </w:rPr>
        <w:tab/>
      </w:r>
    </w:p>
    <w:p w14:paraId="22A30DB8" w14:textId="78E23531" w:rsidR="00173829" w:rsidRDefault="00F22D24" w:rsidP="00AF00ED">
      <w:pPr>
        <w:suppressAutoHyphens w:val="0"/>
        <w:spacing w:before="0" w:after="120" w:line="240" w:lineRule="auto"/>
      </w:pPr>
      <w:r w:rsidRPr="00F22D24">
        <w:t xml:space="preserve">In 2015-16, we </w:t>
      </w:r>
      <w:r w:rsidR="00131FBE">
        <w:t xml:space="preserve">had a total </w:t>
      </w:r>
      <w:r w:rsidR="009057CC">
        <w:t xml:space="preserve">of </w:t>
      </w:r>
      <w:r w:rsidR="00131FBE" w:rsidRPr="00F22D24">
        <w:t>26 investments</w:t>
      </w:r>
      <w:r w:rsidR="00131FBE">
        <w:t>. Three were approved for exemption from an Aid Quality Check (AQC)</w:t>
      </w:r>
      <w:r w:rsidR="000364AA">
        <w:t xml:space="preserve"> and w</w:t>
      </w:r>
      <w:r w:rsidR="00131FBE">
        <w:t xml:space="preserve">e </w:t>
      </w:r>
      <w:r w:rsidRPr="00F22D24">
        <w:t>prepared 13 AQC</w:t>
      </w:r>
      <w:r>
        <w:t>s</w:t>
      </w:r>
      <w:r w:rsidRPr="00F22D24">
        <w:t xml:space="preserve"> and </w:t>
      </w:r>
      <w:r w:rsidR="001B2A19">
        <w:t>six</w:t>
      </w:r>
      <w:r w:rsidRPr="00F22D24">
        <w:t xml:space="preserve"> Final Aid Quality Checks</w:t>
      </w:r>
      <w:r>
        <w:t xml:space="preserve"> (FAQCs)</w:t>
      </w:r>
      <w:r w:rsidR="008E4949">
        <w:t xml:space="preserve">. </w:t>
      </w:r>
      <w:r w:rsidR="00397123">
        <w:t xml:space="preserve">Annex D sets out </w:t>
      </w:r>
      <w:r w:rsidR="009E69CD">
        <w:t>AQC and FAQC scores</w:t>
      </w:r>
      <w:r w:rsidR="00173829">
        <w:t xml:space="preserve"> an</w:t>
      </w:r>
      <w:r w:rsidR="00374351">
        <w:t xml:space="preserve">d shows that most </w:t>
      </w:r>
      <w:r w:rsidR="002E15B6">
        <w:t>investments</w:t>
      </w:r>
      <w:r w:rsidR="00374351">
        <w:t xml:space="preserve"> performed at the same or better levels</w:t>
      </w:r>
      <w:r w:rsidR="003F01D9">
        <w:t xml:space="preserve"> from 2014-</w:t>
      </w:r>
      <w:r w:rsidR="00173829">
        <w:t>2015.</w:t>
      </w:r>
    </w:p>
    <w:p w14:paraId="64521B31" w14:textId="4A27A24C" w:rsidR="00173829" w:rsidRDefault="009057CC" w:rsidP="00AF00ED">
      <w:pPr>
        <w:suppressAutoHyphens w:val="0"/>
        <w:spacing w:before="0" w:after="120" w:line="240" w:lineRule="auto"/>
      </w:pPr>
      <w:r>
        <w:t>These</w:t>
      </w:r>
      <w:r w:rsidR="00B674F2">
        <w:t xml:space="preserve"> 26 </w:t>
      </w:r>
      <w:r w:rsidR="008D619C">
        <w:t>i</w:t>
      </w:r>
      <w:r w:rsidR="00E51AF0">
        <w:t xml:space="preserve">nvestments </w:t>
      </w:r>
      <w:r w:rsidR="00B674F2">
        <w:t>encompassed</w:t>
      </w:r>
      <w:r w:rsidR="00E51AF0">
        <w:t xml:space="preserve"> 53</w:t>
      </w:r>
      <w:r w:rsidR="00B674F2">
        <w:t xml:space="preserve"> </w:t>
      </w:r>
      <w:r w:rsidR="008D619C">
        <w:t>a</w:t>
      </w:r>
      <w:r w:rsidR="00173829">
        <w:t>greements</w:t>
      </w:r>
      <w:r w:rsidR="00B674F2">
        <w:t xml:space="preserve">. This </w:t>
      </w:r>
      <w:r w:rsidR="00173829">
        <w:t>compared to 27</w:t>
      </w:r>
      <w:r w:rsidR="008D619C">
        <w:t> </w:t>
      </w:r>
      <w:r w:rsidR="00173829">
        <w:t xml:space="preserve">investments and </w:t>
      </w:r>
      <w:r w:rsidR="003F01D9">
        <w:t xml:space="preserve">78 </w:t>
      </w:r>
      <w:r w:rsidR="008D619C">
        <w:t>a</w:t>
      </w:r>
      <w:r w:rsidR="00B674F2">
        <w:t>greements in 2014-15, indicating</w:t>
      </w:r>
      <w:r w:rsidR="00173829">
        <w:t xml:space="preserve"> a </w:t>
      </w:r>
      <w:r w:rsidR="00B674F2">
        <w:t>30 per</w:t>
      </w:r>
      <w:r w:rsidR="008D619C">
        <w:t xml:space="preserve"> </w:t>
      </w:r>
      <w:r w:rsidR="00B674F2">
        <w:t>cent</w:t>
      </w:r>
      <w:r w:rsidR="00173829">
        <w:t xml:space="preserve"> consolidation </w:t>
      </w:r>
      <w:r w:rsidR="00B674F2">
        <w:t xml:space="preserve">at the </w:t>
      </w:r>
      <w:r w:rsidR="008D619C">
        <w:t>a</w:t>
      </w:r>
      <w:r w:rsidR="00173829">
        <w:t xml:space="preserve">greement </w:t>
      </w:r>
      <w:r w:rsidR="00B674F2">
        <w:t>level. Further opportunities</w:t>
      </w:r>
      <w:r w:rsidR="00173829">
        <w:t xml:space="preserve"> to consolidate the Cambodia program</w:t>
      </w:r>
      <w:r w:rsidR="00B674F2">
        <w:t xml:space="preserve"> should be realised in 2016-17, with a reduction to </w:t>
      </w:r>
      <w:r w:rsidR="00E51AF0">
        <w:t xml:space="preserve">23 </w:t>
      </w:r>
      <w:r w:rsidR="008D619C">
        <w:t>i</w:t>
      </w:r>
      <w:r w:rsidR="00E51AF0">
        <w:t xml:space="preserve">nvestments and 47 </w:t>
      </w:r>
      <w:r w:rsidR="008D619C">
        <w:t>a</w:t>
      </w:r>
      <w:r w:rsidR="00E51AF0">
        <w:t xml:space="preserve">greements </w:t>
      </w:r>
      <w:r w:rsidR="00B674F2">
        <w:t>anticipated</w:t>
      </w:r>
      <w:r w:rsidR="00173829">
        <w:t>.</w:t>
      </w:r>
    </w:p>
    <w:p w14:paraId="3CEA0E5A" w14:textId="77777777" w:rsidR="00173829" w:rsidRDefault="00173829" w:rsidP="00AF00ED">
      <w:pPr>
        <w:suppressAutoHyphens w:val="0"/>
        <w:spacing w:before="0" w:after="120" w:line="240" w:lineRule="auto"/>
      </w:pPr>
      <w:r>
        <w:t xml:space="preserve">We </w:t>
      </w:r>
      <w:r w:rsidRPr="00C7796B">
        <w:t xml:space="preserve">conducted </w:t>
      </w:r>
      <w:r w:rsidR="008D619C">
        <w:t xml:space="preserve">five </w:t>
      </w:r>
      <w:r w:rsidRPr="00C7796B">
        <w:t>independent evaluation</w:t>
      </w:r>
      <w:r>
        <w:t>s</w:t>
      </w:r>
      <w:r w:rsidR="00B674F2">
        <w:t xml:space="preserve">: </w:t>
      </w:r>
      <w:r>
        <w:t>two progress reviews (</w:t>
      </w:r>
      <w:r w:rsidR="002E15B6">
        <w:t>Partnering</w:t>
      </w:r>
      <w:r>
        <w:t xml:space="preserve"> </w:t>
      </w:r>
      <w:r w:rsidR="002E15B6">
        <w:t>to Save</w:t>
      </w:r>
      <w:r>
        <w:t xml:space="preserve"> Lives, Disabilities Rights Initiative Cambodia)</w:t>
      </w:r>
      <w:r w:rsidRPr="00247AAC">
        <w:t xml:space="preserve">, </w:t>
      </w:r>
      <w:r>
        <w:t xml:space="preserve">and </w:t>
      </w:r>
      <w:r w:rsidR="008D619C">
        <w:t xml:space="preserve">three </w:t>
      </w:r>
      <w:r w:rsidR="00B674F2">
        <w:t>completion reports</w:t>
      </w:r>
      <w:r>
        <w:t xml:space="preserve"> (</w:t>
      </w:r>
      <w:r w:rsidR="002E15B6">
        <w:t>CCAP I</w:t>
      </w:r>
      <w:r w:rsidR="008D619C">
        <w:t xml:space="preserve">, </w:t>
      </w:r>
      <w:r w:rsidR="002E15B6">
        <w:t>CCJAP</w:t>
      </w:r>
      <w:r w:rsidR="008D619C">
        <w:t xml:space="preserve"> </w:t>
      </w:r>
      <w:r>
        <w:t xml:space="preserve">and </w:t>
      </w:r>
      <w:r w:rsidR="002E15B6">
        <w:t>CFR</w:t>
      </w:r>
      <w:r>
        <w:t xml:space="preserve"> II</w:t>
      </w:r>
      <w:r w:rsidRPr="00176075">
        <w:t>)</w:t>
      </w:r>
      <w:r w:rsidRPr="00873947">
        <w:t xml:space="preserve">. </w:t>
      </w:r>
      <w:r w:rsidR="00115F59">
        <w:t>In 2016-17</w:t>
      </w:r>
      <w:r w:rsidR="00115F59" w:rsidRPr="00873947">
        <w:t>,</w:t>
      </w:r>
      <w:r w:rsidR="00115F59">
        <w:t xml:space="preserve"> and in-line with DFAT</w:t>
      </w:r>
      <w:r w:rsidR="002E15B6">
        <w:t>’s</w:t>
      </w:r>
      <w:r w:rsidR="00115F59">
        <w:t xml:space="preserve"> approach to more targeted and strategic evaluations, we</w:t>
      </w:r>
      <w:r w:rsidR="00115F59" w:rsidRPr="00873947">
        <w:t xml:space="preserve"> plan to conduct </w:t>
      </w:r>
      <w:r w:rsidR="00115F59">
        <w:t>two</w:t>
      </w:r>
      <w:r w:rsidR="00115F59" w:rsidRPr="00C7796B">
        <w:t xml:space="preserve"> evaluations</w:t>
      </w:r>
      <w:r w:rsidR="00115F59">
        <w:t xml:space="preserve"> within our health and infrastructure objectives. </w:t>
      </w:r>
      <w:r>
        <w:t>Annex C lists details of evaluations and reviews</w:t>
      </w:r>
      <w:r w:rsidR="0061131B">
        <w:t>.</w:t>
      </w:r>
    </w:p>
    <w:p w14:paraId="7A356D95" w14:textId="77777777" w:rsidR="00173829" w:rsidRPr="00450A2F" w:rsidRDefault="00173829" w:rsidP="00173829">
      <w:pPr>
        <w:rPr>
          <w:b/>
          <w:lang w:eastAsia="zh-CN"/>
        </w:rPr>
      </w:pPr>
      <w:r w:rsidRPr="00450A2F">
        <w:rPr>
          <w:b/>
          <w:lang w:eastAsia="zh-CN"/>
        </w:rPr>
        <w:t xml:space="preserve">Analysis of Aid Quality Checks </w:t>
      </w:r>
    </w:p>
    <w:p w14:paraId="6EB9D3A1" w14:textId="77777777" w:rsidR="00A30085" w:rsidRDefault="00A30085" w:rsidP="00AF00ED">
      <w:pPr>
        <w:suppressAutoHyphens w:val="0"/>
        <w:spacing w:before="0" w:after="120" w:line="240" w:lineRule="auto"/>
      </w:pPr>
      <w:r>
        <w:t xml:space="preserve">In response to the </w:t>
      </w:r>
      <w:r w:rsidR="002E15B6">
        <w:t xml:space="preserve">DFAT’s </w:t>
      </w:r>
      <w:r>
        <w:t xml:space="preserve">Office of Development Effectiveness review of 2014-15 AQCs across the entire Australian aid program, </w:t>
      </w:r>
      <w:r w:rsidR="005D364B">
        <w:t xml:space="preserve">in 2015-16 </w:t>
      </w:r>
      <w:r>
        <w:t xml:space="preserve">the Cambodia program focused more thoroughly on </w:t>
      </w:r>
      <w:r w:rsidR="00173829">
        <w:t>gender,</w:t>
      </w:r>
      <w:r>
        <w:t xml:space="preserve"> sustainability and </w:t>
      </w:r>
      <w:r w:rsidR="008D619C">
        <w:t>monitoring and evaluation (</w:t>
      </w:r>
      <w:r>
        <w:t>M&amp;E</w:t>
      </w:r>
      <w:r w:rsidR="008D619C">
        <w:t>)</w:t>
      </w:r>
      <w:r>
        <w:t xml:space="preserve"> in AQC preparation and moderation</w:t>
      </w:r>
      <w:r w:rsidR="00173829">
        <w:t xml:space="preserve">. </w:t>
      </w:r>
    </w:p>
    <w:p w14:paraId="7CD79E64" w14:textId="76E46407" w:rsidR="001D2F1C" w:rsidRDefault="00A30085" w:rsidP="001D2F1C">
      <w:pPr>
        <w:suppressAutoHyphens w:val="0"/>
        <w:spacing w:before="0" w:after="120" w:line="240" w:lineRule="auto"/>
      </w:pPr>
      <w:r>
        <w:t>An analysis of our ACQs and FACQs</w:t>
      </w:r>
      <w:r w:rsidR="00173829" w:rsidRPr="00A05C63">
        <w:t xml:space="preserve"> </w:t>
      </w:r>
      <w:r>
        <w:t xml:space="preserve">confirm the generally </w:t>
      </w:r>
      <w:r w:rsidR="00173829" w:rsidRPr="00A05C63">
        <w:t>high quality</w:t>
      </w:r>
      <w:r w:rsidR="00173829">
        <w:t xml:space="preserve"> of our investments. Of the </w:t>
      </w:r>
      <w:r w:rsidR="001D2F1C">
        <w:br w:type="page"/>
      </w:r>
    </w:p>
    <w:p w14:paraId="69F8B3E8" w14:textId="25AD1A53" w:rsidR="00173829" w:rsidRDefault="00173829" w:rsidP="00AF00ED">
      <w:pPr>
        <w:suppressAutoHyphens w:val="0"/>
        <w:spacing w:before="0" w:after="120" w:line="240" w:lineRule="auto"/>
      </w:pPr>
      <w:r>
        <w:lastRenderedPageBreak/>
        <w:t xml:space="preserve">19 investments assessed, 14 were rated satisfactory </w:t>
      </w:r>
      <w:r w:rsidRPr="00A05C63">
        <w:t xml:space="preserve">for </w:t>
      </w:r>
      <w:r>
        <w:t xml:space="preserve">all </w:t>
      </w:r>
      <w:r w:rsidR="00A30085">
        <w:t>AQC or FAQC criteria. On the Relevance criteria 80</w:t>
      </w:r>
      <w:r w:rsidR="008D619C">
        <w:t xml:space="preserve"> per cent</w:t>
      </w:r>
      <w:r w:rsidR="00A30085">
        <w:t xml:space="preserve"> of investments </w:t>
      </w:r>
      <w:r w:rsidR="008D619C">
        <w:t xml:space="preserve">were rated as a </w:t>
      </w:r>
      <w:r w:rsidR="00A30085">
        <w:t>5-6</w:t>
      </w:r>
      <w:r w:rsidR="008D619C">
        <w:t xml:space="preserve"> overall</w:t>
      </w:r>
      <w:r>
        <w:t xml:space="preserve">. </w:t>
      </w:r>
      <w:r w:rsidR="00A30085">
        <w:t xml:space="preserve">We attribute this high score to the program’s focus on </w:t>
      </w:r>
      <w:r>
        <w:t xml:space="preserve">Australian aid priorities </w:t>
      </w:r>
      <w:r w:rsidR="00A30085">
        <w:t>of</w:t>
      </w:r>
      <w:r>
        <w:t xml:space="preserve"> pri</w:t>
      </w:r>
      <w:r w:rsidR="00A30085">
        <w:t xml:space="preserve">vate sector development, health and </w:t>
      </w:r>
      <w:r>
        <w:t xml:space="preserve">gender equality. </w:t>
      </w:r>
    </w:p>
    <w:p w14:paraId="051AC532" w14:textId="67789403" w:rsidR="00173829" w:rsidRDefault="000C1B10" w:rsidP="00AF00ED">
      <w:pPr>
        <w:suppressAutoHyphens w:val="0"/>
        <w:spacing w:before="0" w:after="120" w:line="240" w:lineRule="auto"/>
      </w:pPr>
      <w:r>
        <w:t>The program exceeded the strategic target on</w:t>
      </w:r>
      <w:r w:rsidR="00C9373A">
        <w:t xml:space="preserve"> </w:t>
      </w:r>
      <w:r w:rsidR="00131FBE">
        <w:t>g</w:t>
      </w:r>
      <w:r>
        <w:t>ender equality performance</w:t>
      </w:r>
      <w:r w:rsidR="00C9373A">
        <w:t>,</w:t>
      </w:r>
      <w:r>
        <w:t xml:space="preserve"> with</w:t>
      </w:r>
      <w:r w:rsidR="00C9373A">
        <w:t xml:space="preserve"> 84 per cent</w:t>
      </w:r>
      <w:r w:rsidR="008D619C">
        <w:t xml:space="preserve"> of</w:t>
      </w:r>
      <w:r w:rsidR="00173829">
        <w:t xml:space="preserve"> </w:t>
      </w:r>
      <w:r w:rsidR="00173829" w:rsidRPr="002A6668">
        <w:t>investments</w:t>
      </w:r>
      <w:r w:rsidR="00173829" w:rsidRPr="001329C9">
        <w:t xml:space="preserve"> </w:t>
      </w:r>
      <w:r w:rsidR="00C9373A">
        <w:t>achieved satisfactory or higher ratings</w:t>
      </w:r>
      <w:r w:rsidR="00173829">
        <w:t xml:space="preserve"> (score</w:t>
      </w:r>
      <w:r w:rsidR="008D619C">
        <w:t xml:space="preserve"> of</w:t>
      </w:r>
      <w:r w:rsidR="00173829">
        <w:t xml:space="preserve"> 4-6)</w:t>
      </w:r>
      <w:r>
        <w:t>. T</w:t>
      </w:r>
      <w:r w:rsidR="00C9373A">
        <w:t xml:space="preserve">his </w:t>
      </w:r>
      <w:r w:rsidR="00173829" w:rsidRPr="001329C9">
        <w:t xml:space="preserve">was </w:t>
      </w:r>
      <w:r w:rsidR="00C9373A">
        <w:t xml:space="preserve">marginally </w:t>
      </w:r>
      <w:r w:rsidR="00173829" w:rsidRPr="001329C9">
        <w:t>lower compare</w:t>
      </w:r>
      <w:r w:rsidR="00173829">
        <w:t>d</w:t>
      </w:r>
      <w:r w:rsidR="00173829" w:rsidRPr="001329C9">
        <w:t xml:space="preserve"> to last year</w:t>
      </w:r>
      <w:r w:rsidR="00C9373A">
        <w:t>. Three investments—Investing</w:t>
      </w:r>
      <w:r w:rsidR="00173829">
        <w:t xml:space="preserve"> in Infrastructure, Cambodia Public Finance Management </w:t>
      </w:r>
      <w:r w:rsidR="00C9373A">
        <w:t xml:space="preserve">and </w:t>
      </w:r>
      <w:r w:rsidR="002E15B6">
        <w:t xml:space="preserve">the </w:t>
      </w:r>
      <w:r w:rsidR="00C9373A">
        <w:t>Community Development Fund—</w:t>
      </w:r>
      <w:r w:rsidR="00173829">
        <w:t>had</w:t>
      </w:r>
      <w:r w:rsidR="00C9373A">
        <w:t xml:space="preserve"> </w:t>
      </w:r>
      <w:r w:rsidR="00173829">
        <w:t>less than adequate gender</w:t>
      </w:r>
      <w:r>
        <w:t xml:space="preserve"> equality</w:t>
      </w:r>
      <w:r w:rsidR="000364AA">
        <w:t xml:space="preserve"> scores</w:t>
      </w:r>
      <w:r w:rsidR="008E4949">
        <w:t xml:space="preserve">. </w:t>
      </w:r>
      <w:r w:rsidR="00C9373A">
        <w:t xml:space="preserve">The development </w:t>
      </w:r>
      <w:r w:rsidR="009057CC">
        <w:t xml:space="preserve">and implementation </w:t>
      </w:r>
      <w:r w:rsidR="00C9373A">
        <w:t xml:space="preserve">of </w:t>
      </w:r>
      <w:r w:rsidR="009057CC">
        <w:t xml:space="preserve">a </w:t>
      </w:r>
      <w:r w:rsidR="00B602D9">
        <w:t xml:space="preserve">Post </w:t>
      </w:r>
      <w:r w:rsidR="00173829">
        <w:t>Gender Act</w:t>
      </w:r>
      <w:r w:rsidR="00C9373A">
        <w:t>ion Plan will be used to improve</w:t>
      </w:r>
      <w:r>
        <w:t xml:space="preserve"> upon this</w:t>
      </w:r>
      <w:r w:rsidR="00C9373A">
        <w:t xml:space="preserve"> </w:t>
      </w:r>
      <w:r>
        <w:t>performance</w:t>
      </w:r>
      <w:r w:rsidR="0061131B">
        <w:t>.</w:t>
      </w:r>
    </w:p>
    <w:p w14:paraId="6F0BB094" w14:textId="77777777" w:rsidR="00AB5102" w:rsidRDefault="00C9373A" w:rsidP="00EA6960">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Australian support to the ADB-led </w:t>
      </w:r>
      <w:r w:rsidR="00397123" w:rsidRPr="00397123">
        <w:rPr>
          <w:rFonts w:asciiTheme="minorHAnsi" w:eastAsiaTheme="minorHAnsi" w:hAnsiTheme="minorHAnsi" w:cstheme="minorBidi"/>
          <w:color w:val="495965" w:themeColor="text2"/>
          <w:sz w:val="22"/>
          <w:szCs w:val="22"/>
          <w:lang w:val="en-GB" w:eastAsia="en-US"/>
        </w:rPr>
        <w:t xml:space="preserve">Cambodia Rail </w:t>
      </w:r>
      <w:r>
        <w:rPr>
          <w:rFonts w:asciiTheme="minorHAnsi" w:eastAsiaTheme="minorHAnsi" w:hAnsiTheme="minorHAnsi" w:cstheme="minorBidi"/>
          <w:color w:val="495965" w:themeColor="text2"/>
          <w:sz w:val="22"/>
          <w:szCs w:val="22"/>
          <w:lang w:val="en-GB" w:eastAsia="en-US"/>
        </w:rPr>
        <w:t>Project</w:t>
      </w:r>
      <w:r w:rsidR="00397123" w:rsidRPr="00397123">
        <w:rPr>
          <w:rFonts w:asciiTheme="minorHAnsi" w:eastAsiaTheme="minorHAnsi" w:hAnsiTheme="minorHAnsi" w:cstheme="minorBidi"/>
          <w:color w:val="495965" w:themeColor="text2"/>
          <w:sz w:val="22"/>
          <w:szCs w:val="22"/>
          <w:lang w:val="en-GB" w:eastAsia="en-US"/>
        </w:rPr>
        <w:t xml:space="preserve"> ended in 2013,</w:t>
      </w:r>
      <w:r w:rsidR="001276F2">
        <w:rPr>
          <w:rFonts w:asciiTheme="minorHAnsi" w:eastAsiaTheme="minorHAnsi" w:hAnsiTheme="minorHAnsi" w:cstheme="minorBidi"/>
          <w:color w:val="495965" w:themeColor="text2"/>
          <w:sz w:val="22"/>
          <w:szCs w:val="22"/>
          <w:lang w:val="en-GB" w:eastAsia="en-US"/>
        </w:rPr>
        <w:t xml:space="preserve"> and</w:t>
      </w:r>
      <w:r w:rsidR="00397123" w:rsidRPr="00397123">
        <w:rPr>
          <w:rFonts w:asciiTheme="minorHAnsi" w:eastAsiaTheme="minorHAnsi" w:hAnsiTheme="minorHAnsi" w:cstheme="minorBidi"/>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our</w:t>
      </w:r>
      <w:r w:rsidR="00397123" w:rsidRPr="00397123">
        <w:rPr>
          <w:rFonts w:asciiTheme="minorHAnsi" w:eastAsiaTheme="minorHAnsi" w:hAnsiTheme="minorHAnsi" w:cstheme="minorBidi"/>
          <w:color w:val="495965" w:themeColor="text2"/>
          <w:sz w:val="22"/>
          <w:szCs w:val="22"/>
          <w:lang w:val="en-GB" w:eastAsia="en-US"/>
        </w:rPr>
        <w:t xml:space="preserve"> additional support for livelihoods assistance</w:t>
      </w:r>
      <w:r>
        <w:rPr>
          <w:rFonts w:asciiTheme="minorHAnsi" w:eastAsiaTheme="minorHAnsi" w:hAnsiTheme="minorHAnsi" w:cstheme="minorBidi"/>
          <w:color w:val="495965" w:themeColor="text2"/>
          <w:sz w:val="22"/>
          <w:szCs w:val="22"/>
          <w:lang w:val="en-GB" w:eastAsia="en-US"/>
        </w:rPr>
        <w:t xml:space="preserve"> related to this concluded in the 2015-16</w:t>
      </w:r>
      <w:r w:rsidR="00397123" w:rsidRPr="00397123">
        <w:rPr>
          <w:rFonts w:asciiTheme="minorHAnsi" w:eastAsiaTheme="minorHAnsi" w:hAnsiTheme="minorHAnsi" w:cstheme="minorBidi"/>
          <w:color w:val="495965" w:themeColor="text2"/>
          <w:sz w:val="22"/>
          <w:szCs w:val="22"/>
          <w:lang w:val="en-GB" w:eastAsia="en-US"/>
        </w:rPr>
        <w:t xml:space="preserve"> period. </w:t>
      </w:r>
      <w:r>
        <w:rPr>
          <w:rFonts w:asciiTheme="minorHAnsi" w:eastAsiaTheme="minorHAnsi" w:hAnsiTheme="minorHAnsi" w:cstheme="minorBidi"/>
          <w:color w:val="495965" w:themeColor="text2"/>
          <w:sz w:val="22"/>
          <w:szCs w:val="22"/>
          <w:lang w:val="en-GB" w:eastAsia="en-US"/>
        </w:rPr>
        <w:t xml:space="preserve">The FAQC prepared for our entire rail-related assistance made an assessment </w:t>
      </w:r>
      <w:r w:rsidR="001276F2">
        <w:rPr>
          <w:rFonts w:asciiTheme="minorHAnsi" w:eastAsiaTheme="minorHAnsi" w:hAnsiTheme="minorHAnsi" w:cstheme="minorBidi"/>
          <w:color w:val="495965" w:themeColor="text2"/>
          <w:sz w:val="22"/>
          <w:szCs w:val="22"/>
          <w:lang w:val="en-GB" w:eastAsia="en-US"/>
        </w:rPr>
        <w:t>that it</w:t>
      </w:r>
      <w:r>
        <w:rPr>
          <w:rFonts w:asciiTheme="minorHAnsi" w:eastAsiaTheme="minorHAnsi" w:hAnsiTheme="minorHAnsi" w:cstheme="minorBidi"/>
          <w:color w:val="495965" w:themeColor="text2"/>
          <w:sz w:val="22"/>
          <w:szCs w:val="22"/>
          <w:lang w:val="en-GB" w:eastAsia="en-US"/>
        </w:rPr>
        <w:t xml:space="preserve"> performed poorly</w:t>
      </w:r>
      <w:r w:rsidR="001276F2">
        <w:rPr>
          <w:rFonts w:asciiTheme="minorHAnsi" w:eastAsiaTheme="minorHAnsi" w:hAnsiTheme="minorHAnsi" w:cstheme="minorBidi"/>
          <w:color w:val="495965" w:themeColor="text2"/>
          <w:sz w:val="22"/>
          <w:szCs w:val="22"/>
          <w:lang w:val="en-GB" w:eastAsia="en-US"/>
        </w:rPr>
        <w:t xml:space="preserve"> overall</w:t>
      </w:r>
      <w:r>
        <w:rPr>
          <w:rFonts w:asciiTheme="minorHAnsi" w:eastAsiaTheme="minorHAnsi" w:hAnsiTheme="minorHAnsi" w:cstheme="minorBidi"/>
          <w:color w:val="495965" w:themeColor="text2"/>
          <w:sz w:val="22"/>
          <w:szCs w:val="22"/>
          <w:lang w:val="en-GB" w:eastAsia="en-US"/>
        </w:rPr>
        <w:t xml:space="preserve">, with a score of 2 </w:t>
      </w:r>
      <w:r w:rsidR="001276F2">
        <w:rPr>
          <w:rFonts w:asciiTheme="minorHAnsi" w:eastAsiaTheme="minorHAnsi" w:hAnsiTheme="minorHAnsi" w:cstheme="minorBidi"/>
          <w:color w:val="495965" w:themeColor="text2"/>
          <w:sz w:val="22"/>
          <w:szCs w:val="22"/>
          <w:lang w:val="en-GB" w:eastAsia="en-US"/>
        </w:rPr>
        <w:t>for</w:t>
      </w:r>
      <w:r>
        <w:rPr>
          <w:rFonts w:asciiTheme="minorHAnsi" w:eastAsiaTheme="minorHAnsi" w:hAnsiTheme="minorHAnsi" w:cstheme="minorBidi"/>
          <w:color w:val="495965" w:themeColor="text2"/>
          <w:sz w:val="22"/>
          <w:szCs w:val="22"/>
          <w:lang w:val="en-GB" w:eastAsia="en-US"/>
        </w:rPr>
        <w:t xml:space="preserve"> </w:t>
      </w:r>
      <w:r w:rsidR="00131FBE">
        <w:rPr>
          <w:rFonts w:asciiTheme="minorHAnsi" w:eastAsiaTheme="minorHAnsi" w:hAnsiTheme="minorHAnsi" w:cstheme="minorBidi"/>
          <w:color w:val="495965" w:themeColor="text2"/>
          <w:sz w:val="22"/>
          <w:szCs w:val="22"/>
          <w:lang w:val="en-GB" w:eastAsia="en-US"/>
        </w:rPr>
        <w:t>e</w:t>
      </w:r>
      <w:r w:rsidR="001276F2">
        <w:rPr>
          <w:rFonts w:asciiTheme="minorHAnsi" w:eastAsiaTheme="minorHAnsi" w:hAnsiTheme="minorHAnsi" w:cstheme="minorBidi"/>
          <w:color w:val="495965" w:themeColor="text2"/>
          <w:sz w:val="22"/>
          <w:szCs w:val="22"/>
          <w:lang w:val="en-GB" w:eastAsia="en-US"/>
        </w:rPr>
        <w:t>fficiency.</w:t>
      </w:r>
    </w:p>
    <w:p w14:paraId="2E821E6B" w14:textId="77777777" w:rsidR="00173829" w:rsidRPr="00397123" w:rsidRDefault="00173829" w:rsidP="00173829">
      <w:pPr>
        <w:rPr>
          <w:b/>
        </w:rPr>
      </w:pPr>
      <w:r w:rsidRPr="00397123">
        <w:rPr>
          <w:b/>
        </w:rPr>
        <w:t>Performance of key delivery partners</w:t>
      </w:r>
    </w:p>
    <w:p w14:paraId="50D5C410" w14:textId="1D1408E3" w:rsidR="00173829" w:rsidRDefault="00173829" w:rsidP="00AF00ED">
      <w:pPr>
        <w:suppressAutoHyphens w:val="0"/>
        <w:spacing w:before="0" w:after="120" w:line="240" w:lineRule="auto"/>
      </w:pPr>
      <w:r>
        <w:t>In 2015-16, w</w:t>
      </w:r>
      <w:r w:rsidRPr="00F54413">
        <w:t xml:space="preserve">e </w:t>
      </w:r>
      <w:r>
        <w:t>continue</w:t>
      </w:r>
      <w:r w:rsidR="002E15B6">
        <w:t>d</w:t>
      </w:r>
      <w:r>
        <w:t xml:space="preserve"> to </w:t>
      </w:r>
      <w:r w:rsidRPr="00F54413">
        <w:t>wor</w:t>
      </w:r>
      <w:r w:rsidR="002E15B6">
        <w:t>k with a large range of partner</w:t>
      </w:r>
      <w:r w:rsidR="009376F8">
        <w:t>s</w:t>
      </w:r>
      <w:r w:rsidR="002E15B6">
        <w:t xml:space="preserve">, </w:t>
      </w:r>
      <w:r w:rsidR="005D364B">
        <w:t xml:space="preserve">including </w:t>
      </w:r>
      <w:r>
        <w:t xml:space="preserve">with the </w:t>
      </w:r>
      <w:r w:rsidR="002E15B6">
        <w:t>Cambodian G</w:t>
      </w:r>
      <w:r>
        <w:t>overnment through these partners. We</w:t>
      </w:r>
      <w:r w:rsidRPr="00F54413">
        <w:t xml:space="preserve"> </w:t>
      </w:r>
      <w:r>
        <w:t>channelled our bilateral fund</w:t>
      </w:r>
      <w:r w:rsidR="0061131B">
        <w:t>ing</w:t>
      </w:r>
      <w:r>
        <w:t xml:space="preserve"> to</w:t>
      </w:r>
      <w:r w:rsidRPr="00F54413">
        <w:t xml:space="preserve"> multilateral organisations</w:t>
      </w:r>
      <w:r w:rsidR="00F73B8B">
        <w:t xml:space="preserve"> (</w:t>
      </w:r>
      <w:r w:rsidR="00825D3E">
        <w:t xml:space="preserve">49 </w:t>
      </w:r>
      <w:r w:rsidR="00F73B8B">
        <w:t>per cent</w:t>
      </w:r>
      <w:r>
        <w:t>),</w:t>
      </w:r>
      <w:r w:rsidRPr="00F54413">
        <w:t xml:space="preserve"> managing contractors</w:t>
      </w:r>
      <w:r w:rsidRPr="00A66F02">
        <w:t xml:space="preserve"> </w:t>
      </w:r>
      <w:r w:rsidR="00F73B8B">
        <w:t>(</w:t>
      </w:r>
      <w:r w:rsidR="00825D3E">
        <w:t xml:space="preserve">41 </w:t>
      </w:r>
      <w:r w:rsidR="00F73B8B">
        <w:t>per cent</w:t>
      </w:r>
      <w:r>
        <w:t>) and NGOs (</w:t>
      </w:r>
      <w:r w:rsidR="005D364B">
        <w:t>five</w:t>
      </w:r>
      <w:r w:rsidR="00F73B8B">
        <w:t xml:space="preserve"> per cent) and </w:t>
      </w:r>
      <w:r w:rsidR="005D364B">
        <w:t xml:space="preserve">Australian Government agencies </w:t>
      </w:r>
      <w:r w:rsidR="00F73B8B">
        <w:t>(</w:t>
      </w:r>
      <w:r w:rsidR="005D364B">
        <w:t>five</w:t>
      </w:r>
      <w:r w:rsidR="00F73B8B">
        <w:t xml:space="preserve"> per cent – </w:t>
      </w:r>
      <w:r w:rsidR="002E15B6">
        <w:t xml:space="preserve">the </w:t>
      </w:r>
      <w:r w:rsidR="00F73B8B">
        <w:t>Aust</w:t>
      </w:r>
      <w:r w:rsidR="002E15B6">
        <w:t xml:space="preserve">ralian Broadcasting </w:t>
      </w:r>
      <w:r w:rsidR="00251109">
        <w:t>Corporation</w:t>
      </w:r>
      <w:r w:rsidR="00115F59">
        <w:t>)</w:t>
      </w:r>
      <w:r w:rsidR="00AB5102">
        <w:t>.</w:t>
      </w:r>
    </w:p>
    <w:p w14:paraId="33CF87CF" w14:textId="77777777" w:rsidR="00173829" w:rsidRDefault="00173829" w:rsidP="00AF00ED">
      <w:pPr>
        <w:suppressAutoHyphens w:val="0"/>
        <w:spacing w:before="0" w:after="120" w:line="240" w:lineRule="auto"/>
      </w:pPr>
      <w:r w:rsidRPr="00F54413">
        <w:t xml:space="preserve">Twelve Partner Performance Assessments (PPAs) were conducted in early 2016 (four commercial suppliers, three NGOs and five multilateral organisations). </w:t>
      </w:r>
      <w:r>
        <w:t>PPA rating</w:t>
      </w:r>
      <w:r w:rsidRPr="00F54413">
        <w:t xml:space="preserve"> </w:t>
      </w:r>
      <w:r>
        <w:t>results showed</w:t>
      </w:r>
      <w:r w:rsidRPr="00F54413">
        <w:t xml:space="preserve"> good program management, better communication and good value for money</w:t>
      </w:r>
      <w:r>
        <w:t xml:space="preserve"> with partners</w:t>
      </w:r>
      <w:r w:rsidRPr="00F54413">
        <w:t xml:space="preserve">. </w:t>
      </w:r>
    </w:p>
    <w:p w14:paraId="3B99DC8D" w14:textId="77777777" w:rsidR="002A51CA" w:rsidRPr="002A51CA" w:rsidRDefault="002A51CA" w:rsidP="002A51CA">
      <w:pPr>
        <w:pStyle w:val="Heading2"/>
      </w:pPr>
      <w:r w:rsidRPr="002A51CA">
        <w:t>Risks</w:t>
      </w:r>
    </w:p>
    <w:p w14:paraId="18AEEA96" w14:textId="77777777" w:rsidR="002A51CA" w:rsidRPr="008C2F58" w:rsidRDefault="002A51CA" w:rsidP="002A51CA">
      <w:pPr>
        <w:rPr>
          <w:b/>
          <w:sz w:val="24"/>
        </w:rPr>
      </w:pPr>
      <w:r w:rsidRPr="008C2F58">
        <w:rPr>
          <w:b/>
          <w:sz w:val="24"/>
        </w:rPr>
        <w:t>Table 3 Management of Key Risks to Achieving Objectives</w:t>
      </w:r>
    </w:p>
    <w:tbl>
      <w:tblPr>
        <w:tblStyle w:val="APPR"/>
        <w:tblW w:w="5000" w:type="pct"/>
        <w:tblLook w:val="0600" w:firstRow="0" w:lastRow="0" w:firstColumn="0" w:lastColumn="0" w:noHBand="1" w:noVBand="1"/>
        <w:tblCaption w:val="Table 3 management of key risks to achieving objectives"/>
        <w:tblDescription w:val="This table outlines 5 risks to achiving our objectives as identified by our program, including: implementation of aid program may slow in the lead up to the 2017 commune elections, which has been monitored so far by monitoring the political situation and working closely to ensure strong relations with governemnt counterparts to minimise likelihood of this occurring. This will be managed with additional actions in future including working with implementing partners to develop strategies to continue delivering programs, and was assessed as a high risk."/>
      </w:tblPr>
      <w:tblGrid>
        <w:gridCol w:w="2634"/>
        <w:gridCol w:w="2648"/>
        <w:gridCol w:w="2777"/>
        <w:gridCol w:w="1851"/>
      </w:tblGrid>
      <w:tr w:rsidR="002A51CA" w:rsidRPr="00C61187" w14:paraId="109DE76C" w14:textId="77777777" w:rsidTr="000B4BDD">
        <w:tc>
          <w:tcPr>
            <w:tcW w:w="2639" w:type="dxa"/>
          </w:tcPr>
          <w:p w14:paraId="096A3C69" w14:textId="77777777" w:rsidR="002A51CA" w:rsidRPr="00BE6C6D" w:rsidRDefault="002A51CA" w:rsidP="00BE6C6D">
            <w:pPr>
              <w:rPr>
                <w:rFonts w:asciiTheme="minorHAnsi" w:hAnsiTheme="minorHAnsi"/>
                <w:b/>
              </w:rPr>
            </w:pPr>
            <w:r w:rsidRPr="00BE6C6D">
              <w:rPr>
                <w:rFonts w:asciiTheme="minorHAnsi" w:hAnsiTheme="minorHAnsi"/>
                <w:b/>
              </w:rPr>
              <w:t>Key risks</w:t>
            </w:r>
          </w:p>
        </w:tc>
        <w:tc>
          <w:tcPr>
            <w:tcW w:w="2672" w:type="dxa"/>
          </w:tcPr>
          <w:p w14:paraId="4B9C394C" w14:textId="77777777" w:rsidR="002A51CA" w:rsidRPr="00BE6C6D" w:rsidRDefault="002A51CA" w:rsidP="00BE6C6D">
            <w:pPr>
              <w:rPr>
                <w:rFonts w:asciiTheme="minorHAnsi" w:hAnsiTheme="minorHAnsi"/>
                <w:b/>
              </w:rPr>
            </w:pPr>
            <w:r w:rsidRPr="00BE6C6D">
              <w:rPr>
                <w:rFonts w:asciiTheme="minorHAnsi" w:hAnsiTheme="minorHAnsi"/>
                <w:b/>
              </w:rPr>
              <w:t>What actions were taken to manage the risks over the past year?</w:t>
            </w:r>
          </w:p>
        </w:tc>
        <w:tc>
          <w:tcPr>
            <w:tcW w:w="2807" w:type="dxa"/>
          </w:tcPr>
          <w:p w14:paraId="434EF871" w14:textId="77777777" w:rsidR="002A51CA" w:rsidRPr="00BE6C6D" w:rsidRDefault="002A51CA"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1822" w:type="dxa"/>
          </w:tcPr>
          <w:p w14:paraId="479DED1A" w14:textId="77777777" w:rsidR="002A51CA" w:rsidRPr="00BE6C6D" w:rsidRDefault="002A51CA" w:rsidP="00BE6C6D">
            <w:pPr>
              <w:rPr>
                <w:rFonts w:asciiTheme="minorHAnsi" w:hAnsiTheme="minorHAnsi"/>
                <w:b/>
              </w:rPr>
            </w:pPr>
            <w:r w:rsidRPr="00BE6C6D">
              <w:rPr>
                <w:rFonts w:asciiTheme="minorHAnsi" w:hAnsiTheme="minorHAnsi"/>
                <w:b/>
              </w:rPr>
              <w:t>For emerging/ongoing risks provide a Risk Rating (low, medium, high, very high)</w:t>
            </w:r>
          </w:p>
        </w:tc>
      </w:tr>
      <w:tr w:rsidR="00EA6960" w:rsidRPr="00C61187" w14:paraId="55A197B0" w14:textId="77777777" w:rsidTr="000B4BDD">
        <w:tc>
          <w:tcPr>
            <w:tcW w:w="2639" w:type="dxa"/>
            <w:tcBorders>
              <w:top w:val="nil"/>
              <w:bottom w:val="nil"/>
            </w:tcBorders>
          </w:tcPr>
          <w:p w14:paraId="14C3E012" w14:textId="7895258C" w:rsidR="00EA6960" w:rsidRPr="00BE6C6D" w:rsidRDefault="00EA6960" w:rsidP="000B4BDD">
            <w:pPr>
              <w:spacing w:after="0" w:line="240" w:lineRule="auto"/>
              <w:rPr>
                <w:rFonts w:asciiTheme="minorHAnsi" w:hAnsiTheme="minorHAnsi"/>
              </w:rPr>
            </w:pPr>
            <w:r w:rsidRPr="00E42C04">
              <w:rPr>
                <w:rFonts w:asciiTheme="minorHAnsi" w:hAnsiTheme="minorHAnsi"/>
              </w:rPr>
              <w:t>Safeguard standards including child protection, fra</w:t>
            </w:r>
            <w:r w:rsidR="000B4BDD">
              <w:rPr>
                <w:rFonts w:asciiTheme="minorHAnsi" w:hAnsiTheme="minorHAnsi"/>
              </w:rPr>
              <w:t>ud, Work Health and Safety</w:t>
            </w:r>
            <w:r w:rsidRPr="00E42C04">
              <w:rPr>
                <w:rFonts w:asciiTheme="minorHAnsi" w:hAnsiTheme="minorHAnsi"/>
              </w:rPr>
              <w:t>, environmen</w:t>
            </w:r>
            <w:r w:rsidR="000B4BDD">
              <w:rPr>
                <w:rFonts w:asciiTheme="minorHAnsi" w:hAnsiTheme="minorHAnsi"/>
              </w:rPr>
              <w:t xml:space="preserve">tal and resettlement </w:t>
            </w:r>
            <w:r w:rsidRPr="00E42C04">
              <w:rPr>
                <w:rFonts w:asciiTheme="minorHAnsi" w:hAnsiTheme="minorHAnsi"/>
              </w:rPr>
              <w:t>are not met in</w:t>
            </w:r>
            <w:r w:rsidR="000B4BDD">
              <w:rPr>
                <w:rFonts w:asciiTheme="minorHAnsi" w:hAnsiTheme="minorHAnsi"/>
              </w:rPr>
              <w:t xml:space="preserve"> our</w:t>
            </w:r>
            <w:r w:rsidRPr="00E42C04">
              <w:rPr>
                <w:rFonts w:asciiTheme="minorHAnsi" w:hAnsiTheme="minorHAnsi"/>
              </w:rPr>
              <w:t xml:space="preserve"> </w:t>
            </w:r>
            <w:r w:rsidR="000B4BDD">
              <w:rPr>
                <w:rFonts w:asciiTheme="minorHAnsi" w:hAnsiTheme="minorHAnsi"/>
              </w:rPr>
              <w:t>multilateral partnerships</w:t>
            </w:r>
            <w:r w:rsidR="008E4949">
              <w:rPr>
                <w:rFonts w:asciiTheme="minorHAnsi" w:hAnsiTheme="minorHAnsi"/>
              </w:rPr>
              <w:t xml:space="preserve">. </w:t>
            </w:r>
          </w:p>
        </w:tc>
        <w:tc>
          <w:tcPr>
            <w:tcW w:w="2672" w:type="dxa"/>
            <w:tcBorders>
              <w:top w:val="nil"/>
              <w:bottom w:val="nil"/>
            </w:tcBorders>
          </w:tcPr>
          <w:p w14:paraId="3977D11B" w14:textId="77777777" w:rsidR="00EA6960" w:rsidRPr="00BE6C6D" w:rsidRDefault="00EA6960" w:rsidP="000B4BDD">
            <w:pPr>
              <w:rPr>
                <w:rFonts w:asciiTheme="minorHAnsi" w:hAnsiTheme="minorHAnsi"/>
              </w:rPr>
            </w:pPr>
            <w:r w:rsidRPr="00D82092">
              <w:rPr>
                <w:rFonts w:asciiTheme="minorHAnsi" w:hAnsiTheme="minorHAnsi"/>
              </w:rPr>
              <w:t xml:space="preserve">Post </w:t>
            </w:r>
            <w:r w:rsidRPr="00EA6960">
              <w:rPr>
                <w:rFonts w:asciiTheme="minorHAnsi" w:hAnsiTheme="minorHAnsi"/>
              </w:rPr>
              <w:t>engage</w:t>
            </w:r>
            <w:r w:rsidR="000B4BDD">
              <w:rPr>
                <w:rFonts w:asciiTheme="minorHAnsi" w:hAnsiTheme="minorHAnsi"/>
              </w:rPr>
              <w:t>d</w:t>
            </w:r>
            <w:r w:rsidRPr="00EA6960">
              <w:rPr>
                <w:rFonts w:asciiTheme="minorHAnsi" w:hAnsiTheme="minorHAnsi"/>
              </w:rPr>
              <w:t xml:space="preserve"> with partners to </w:t>
            </w:r>
            <w:r w:rsidRPr="00E42C04">
              <w:rPr>
                <w:rFonts w:asciiTheme="minorHAnsi" w:hAnsiTheme="minorHAnsi"/>
              </w:rPr>
              <w:t xml:space="preserve">implement an ongoing program of training, awareness raising, </w:t>
            </w:r>
            <w:r w:rsidR="000B4BDD" w:rsidRPr="00E42C04">
              <w:rPr>
                <w:rFonts w:asciiTheme="minorHAnsi" w:hAnsiTheme="minorHAnsi"/>
              </w:rPr>
              <w:t>monitoring</w:t>
            </w:r>
            <w:r w:rsidRPr="00E42C04">
              <w:rPr>
                <w:rFonts w:asciiTheme="minorHAnsi" w:hAnsiTheme="minorHAnsi"/>
              </w:rPr>
              <w:t xml:space="preserve"> and compliance checks</w:t>
            </w:r>
            <w:r w:rsidR="007F7C4C">
              <w:rPr>
                <w:rFonts w:asciiTheme="minorHAnsi" w:hAnsiTheme="minorHAnsi"/>
              </w:rPr>
              <w:t>.</w:t>
            </w:r>
          </w:p>
        </w:tc>
        <w:tc>
          <w:tcPr>
            <w:tcW w:w="2807" w:type="dxa"/>
            <w:tcBorders>
              <w:top w:val="nil"/>
              <w:bottom w:val="nil"/>
            </w:tcBorders>
          </w:tcPr>
          <w:p w14:paraId="449DC5FC" w14:textId="77777777" w:rsidR="00EA6960" w:rsidRPr="00BE6C6D" w:rsidRDefault="00EA6960" w:rsidP="000B4BDD">
            <w:pPr>
              <w:rPr>
                <w:rFonts w:asciiTheme="minorHAnsi" w:hAnsiTheme="minorHAnsi"/>
              </w:rPr>
            </w:pPr>
            <w:r>
              <w:rPr>
                <w:rFonts w:asciiTheme="minorHAnsi" w:hAnsiTheme="minorHAnsi"/>
              </w:rPr>
              <w:t>Post will consider</w:t>
            </w:r>
            <w:r w:rsidR="009376F8">
              <w:rPr>
                <w:rFonts w:asciiTheme="minorHAnsi" w:hAnsiTheme="minorHAnsi"/>
              </w:rPr>
              <w:t xml:space="preserve"> increasing access to safeguard</w:t>
            </w:r>
            <w:r>
              <w:rPr>
                <w:rFonts w:asciiTheme="minorHAnsi" w:hAnsiTheme="minorHAnsi"/>
              </w:rPr>
              <w:t xml:space="preserve"> specialist resources through an efficient sharing arrangement</w:t>
            </w:r>
            <w:r w:rsidR="007F7C4C">
              <w:rPr>
                <w:rFonts w:asciiTheme="minorHAnsi" w:hAnsiTheme="minorHAnsi"/>
              </w:rPr>
              <w:t>.</w:t>
            </w:r>
          </w:p>
        </w:tc>
        <w:tc>
          <w:tcPr>
            <w:tcW w:w="1822" w:type="dxa"/>
            <w:tcBorders>
              <w:top w:val="nil"/>
              <w:bottom w:val="nil"/>
            </w:tcBorders>
          </w:tcPr>
          <w:p w14:paraId="73C131D4" w14:textId="77777777" w:rsidR="00EA6960" w:rsidRPr="00BE6C6D" w:rsidRDefault="007F7C4C" w:rsidP="00EA6960">
            <w:pPr>
              <w:rPr>
                <w:rFonts w:asciiTheme="minorHAnsi" w:hAnsiTheme="minorHAnsi"/>
              </w:rPr>
            </w:pPr>
            <w:r>
              <w:rPr>
                <w:rFonts w:asciiTheme="minorHAnsi" w:hAnsiTheme="minorHAnsi"/>
              </w:rPr>
              <w:t>High</w:t>
            </w:r>
          </w:p>
        </w:tc>
      </w:tr>
      <w:tr w:rsidR="00691ED1" w:rsidRPr="00934F1C" w14:paraId="3B151397" w14:textId="77777777" w:rsidTr="000B4BDD">
        <w:tc>
          <w:tcPr>
            <w:tcW w:w="2639" w:type="dxa"/>
            <w:tcBorders>
              <w:top w:val="nil"/>
              <w:bottom w:val="nil"/>
            </w:tcBorders>
          </w:tcPr>
          <w:p w14:paraId="33451693" w14:textId="77777777" w:rsidR="00691ED1" w:rsidRPr="007F7C4C" w:rsidRDefault="00222253" w:rsidP="00EA6960">
            <w:pPr>
              <w:spacing w:after="0" w:line="240" w:lineRule="auto"/>
              <w:rPr>
                <w:rFonts w:asciiTheme="minorHAnsi" w:hAnsiTheme="minorHAnsi"/>
              </w:rPr>
            </w:pPr>
            <w:r w:rsidRPr="00934F1C">
              <w:rPr>
                <w:rFonts w:asciiTheme="minorHAnsi" w:hAnsiTheme="minorHAnsi"/>
              </w:rPr>
              <w:t>Implementation of aid programs may slow in the lead up to the 2017 commune elections.</w:t>
            </w:r>
          </w:p>
        </w:tc>
        <w:tc>
          <w:tcPr>
            <w:tcW w:w="2672" w:type="dxa"/>
            <w:tcBorders>
              <w:top w:val="nil"/>
              <w:bottom w:val="nil"/>
            </w:tcBorders>
          </w:tcPr>
          <w:p w14:paraId="7C7FE4DC" w14:textId="04ECBD93" w:rsidR="00F6690E" w:rsidRDefault="00F6690E" w:rsidP="00934F1C">
            <w:pPr>
              <w:spacing w:after="0" w:line="240" w:lineRule="auto"/>
              <w:rPr>
                <w:rFonts w:asciiTheme="minorHAnsi" w:hAnsiTheme="minorHAnsi"/>
              </w:rPr>
            </w:pPr>
            <w:r w:rsidRPr="00E42C04">
              <w:rPr>
                <w:rFonts w:asciiTheme="minorHAnsi" w:hAnsiTheme="minorHAnsi"/>
              </w:rPr>
              <w:t>P</w:t>
            </w:r>
            <w:r>
              <w:rPr>
                <w:rFonts w:asciiTheme="minorHAnsi" w:hAnsiTheme="minorHAnsi"/>
              </w:rPr>
              <w:t>ost monitor</w:t>
            </w:r>
            <w:r w:rsidR="00B77CAE">
              <w:rPr>
                <w:rFonts w:asciiTheme="minorHAnsi" w:hAnsiTheme="minorHAnsi"/>
              </w:rPr>
              <w:t>ed closely</w:t>
            </w:r>
            <w:r>
              <w:rPr>
                <w:rFonts w:asciiTheme="minorHAnsi" w:hAnsiTheme="minorHAnsi"/>
              </w:rPr>
              <w:t xml:space="preserve"> the political situation</w:t>
            </w:r>
            <w:r w:rsidR="00B77CAE">
              <w:rPr>
                <w:rFonts w:asciiTheme="minorHAnsi" w:hAnsiTheme="minorHAnsi"/>
              </w:rPr>
              <w:t xml:space="preserve"> and worked to ensure strong relations with government counterparts to minimise likelihood of this occurring.</w:t>
            </w:r>
          </w:p>
          <w:p w14:paraId="517BB57F" w14:textId="77777777" w:rsidR="00691ED1" w:rsidRPr="00934F1C" w:rsidRDefault="00691ED1" w:rsidP="00934F1C">
            <w:pPr>
              <w:spacing w:after="0" w:line="240" w:lineRule="auto"/>
              <w:rPr>
                <w:rFonts w:asciiTheme="minorHAnsi" w:hAnsiTheme="minorHAnsi"/>
              </w:rPr>
            </w:pPr>
          </w:p>
        </w:tc>
        <w:tc>
          <w:tcPr>
            <w:tcW w:w="2807" w:type="dxa"/>
            <w:tcBorders>
              <w:top w:val="nil"/>
              <w:bottom w:val="nil"/>
            </w:tcBorders>
          </w:tcPr>
          <w:p w14:paraId="11EEA06E" w14:textId="77777777" w:rsidR="00691ED1" w:rsidRPr="007F7C4C" w:rsidRDefault="00F6690E" w:rsidP="000B4BDD">
            <w:pPr>
              <w:spacing w:after="0" w:line="240" w:lineRule="auto"/>
              <w:rPr>
                <w:rFonts w:asciiTheme="minorHAnsi" w:hAnsiTheme="minorHAnsi"/>
              </w:rPr>
            </w:pPr>
            <w:r>
              <w:rPr>
                <w:rFonts w:asciiTheme="minorHAnsi" w:hAnsiTheme="minorHAnsi"/>
              </w:rPr>
              <w:t xml:space="preserve">Post will </w:t>
            </w:r>
            <w:r w:rsidRPr="00E42C04">
              <w:rPr>
                <w:rFonts w:asciiTheme="minorHAnsi" w:hAnsiTheme="minorHAnsi"/>
              </w:rPr>
              <w:t xml:space="preserve">work with implementing partners to develop strategies to </w:t>
            </w:r>
            <w:r w:rsidR="000B4BDD">
              <w:rPr>
                <w:rFonts w:asciiTheme="minorHAnsi" w:hAnsiTheme="minorHAnsi"/>
              </w:rPr>
              <w:t>continue delivering</w:t>
            </w:r>
            <w:r w:rsidRPr="00E42C04">
              <w:rPr>
                <w:rFonts w:asciiTheme="minorHAnsi" w:hAnsiTheme="minorHAnsi"/>
              </w:rPr>
              <w:t xml:space="preserve"> programs </w:t>
            </w:r>
            <w:r w:rsidRPr="00EA6960">
              <w:rPr>
                <w:rFonts w:asciiTheme="minorHAnsi" w:hAnsiTheme="minorHAnsi"/>
              </w:rPr>
              <w:t>in the lead up to the elections.</w:t>
            </w:r>
          </w:p>
        </w:tc>
        <w:tc>
          <w:tcPr>
            <w:tcW w:w="1822" w:type="dxa"/>
            <w:tcBorders>
              <w:top w:val="nil"/>
              <w:bottom w:val="nil"/>
            </w:tcBorders>
          </w:tcPr>
          <w:p w14:paraId="0A8D66E5" w14:textId="77777777" w:rsidR="007F7C4C" w:rsidRDefault="007F7C4C" w:rsidP="00934F1C">
            <w:pPr>
              <w:spacing w:after="0" w:line="240" w:lineRule="auto"/>
              <w:rPr>
                <w:rFonts w:asciiTheme="minorHAnsi" w:hAnsiTheme="minorHAnsi"/>
              </w:rPr>
            </w:pPr>
            <w:r>
              <w:rPr>
                <w:rFonts w:asciiTheme="minorHAnsi" w:hAnsiTheme="minorHAnsi"/>
              </w:rPr>
              <w:t>High</w:t>
            </w:r>
          </w:p>
          <w:p w14:paraId="6DB104E1" w14:textId="77777777" w:rsidR="00691ED1" w:rsidRPr="00934F1C" w:rsidRDefault="00691ED1" w:rsidP="00934F1C">
            <w:pPr>
              <w:spacing w:after="0" w:line="240" w:lineRule="auto"/>
              <w:rPr>
                <w:rFonts w:asciiTheme="minorHAnsi" w:hAnsiTheme="minorHAnsi"/>
              </w:rPr>
            </w:pPr>
          </w:p>
        </w:tc>
      </w:tr>
      <w:tr w:rsidR="00934F1C" w:rsidRPr="00934F1C" w14:paraId="77FF1F79" w14:textId="77777777" w:rsidTr="000B4BDD">
        <w:tc>
          <w:tcPr>
            <w:tcW w:w="2639" w:type="dxa"/>
            <w:tcBorders>
              <w:top w:val="nil"/>
              <w:bottom w:val="nil"/>
            </w:tcBorders>
          </w:tcPr>
          <w:p w14:paraId="329D5868" w14:textId="77777777" w:rsidR="00934F1C" w:rsidRPr="007F7C4C" w:rsidRDefault="00934F1C" w:rsidP="00160615">
            <w:pPr>
              <w:spacing w:after="0" w:line="240" w:lineRule="auto"/>
              <w:rPr>
                <w:rFonts w:asciiTheme="minorHAnsi" w:hAnsiTheme="minorHAnsi"/>
              </w:rPr>
            </w:pPr>
            <w:r w:rsidRPr="00E42C04">
              <w:rPr>
                <w:rFonts w:asciiTheme="minorHAnsi" w:hAnsiTheme="minorHAnsi"/>
              </w:rPr>
              <w:t>Bilateral relationship issues could impact the aid program, including the sectors we work in</w:t>
            </w:r>
            <w:r>
              <w:rPr>
                <w:rFonts w:asciiTheme="minorHAnsi" w:hAnsiTheme="minorHAnsi"/>
              </w:rPr>
              <w:t>.</w:t>
            </w:r>
          </w:p>
        </w:tc>
        <w:tc>
          <w:tcPr>
            <w:tcW w:w="2672" w:type="dxa"/>
            <w:tcBorders>
              <w:top w:val="nil"/>
              <w:bottom w:val="nil"/>
            </w:tcBorders>
          </w:tcPr>
          <w:p w14:paraId="59554B5F" w14:textId="77777777" w:rsidR="00934F1C" w:rsidRPr="007F7C4C" w:rsidRDefault="00934F1C" w:rsidP="000B4BDD">
            <w:pPr>
              <w:spacing w:after="0" w:line="240" w:lineRule="auto"/>
              <w:rPr>
                <w:rFonts w:asciiTheme="minorHAnsi" w:hAnsiTheme="minorHAnsi"/>
              </w:rPr>
            </w:pPr>
            <w:r w:rsidRPr="004D4013">
              <w:rPr>
                <w:rFonts w:asciiTheme="minorHAnsi" w:hAnsiTheme="minorHAnsi"/>
              </w:rPr>
              <w:t xml:space="preserve">Post has incorporated budget flexibility </w:t>
            </w:r>
            <w:r w:rsidR="000B4BDD">
              <w:rPr>
                <w:rFonts w:asciiTheme="minorHAnsi" w:hAnsiTheme="minorHAnsi"/>
              </w:rPr>
              <w:t xml:space="preserve">into </w:t>
            </w:r>
            <w:r w:rsidRPr="004D4013">
              <w:rPr>
                <w:rFonts w:asciiTheme="minorHAnsi" w:hAnsiTheme="minorHAnsi"/>
              </w:rPr>
              <w:t>programs. Post has engaged with relevant Cambodian Governm</w:t>
            </w:r>
            <w:r w:rsidR="000B4BDD">
              <w:rPr>
                <w:rFonts w:asciiTheme="minorHAnsi" w:hAnsiTheme="minorHAnsi"/>
              </w:rPr>
              <w:t>ent counterparts to manage</w:t>
            </w:r>
            <w:r w:rsidRPr="004D4013">
              <w:rPr>
                <w:rFonts w:asciiTheme="minorHAnsi" w:hAnsiTheme="minorHAnsi"/>
              </w:rPr>
              <w:t xml:space="preserve"> expectations.</w:t>
            </w:r>
          </w:p>
        </w:tc>
        <w:tc>
          <w:tcPr>
            <w:tcW w:w="2807" w:type="dxa"/>
            <w:tcBorders>
              <w:top w:val="nil"/>
              <w:bottom w:val="nil"/>
            </w:tcBorders>
          </w:tcPr>
          <w:p w14:paraId="38396131" w14:textId="246EEBB4" w:rsidR="00934F1C" w:rsidRDefault="00934F1C" w:rsidP="00160615">
            <w:pPr>
              <w:spacing w:after="0" w:line="240" w:lineRule="auto"/>
              <w:rPr>
                <w:rFonts w:asciiTheme="minorHAnsi" w:hAnsiTheme="minorHAnsi"/>
              </w:rPr>
            </w:pPr>
            <w:r>
              <w:rPr>
                <w:rFonts w:asciiTheme="minorHAnsi" w:hAnsiTheme="minorHAnsi"/>
              </w:rPr>
              <w:t>Post will continue to liaise with counterparts to manage expectations</w:t>
            </w:r>
            <w:r w:rsidR="00825D3E">
              <w:rPr>
                <w:rFonts w:asciiTheme="minorHAnsi" w:hAnsiTheme="minorHAnsi"/>
              </w:rPr>
              <w:t>.</w:t>
            </w:r>
          </w:p>
          <w:p w14:paraId="0C525AF0" w14:textId="77777777" w:rsidR="00934F1C" w:rsidRPr="00934F1C" w:rsidRDefault="00934F1C" w:rsidP="00160615">
            <w:pPr>
              <w:spacing w:after="0" w:line="240" w:lineRule="auto"/>
              <w:rPr>
                <w:rFonts w:asciiTheme="minorHAnsi" w:hAnsiTheme="minorHAnsi"/>
              </w:rPr>
            </w:pPr>
          </w:p>
        </w:tc>
        <w:tc>
          <w:tcPr>
            <w:tcW w:w="1822" w:type="dxa"/>
            <w:tcBorders>
              <w:top w:val="nil"/>
              <w:bottom w:val="nil"/>
            </w:tcBorders>
          </w:tcPr>
          <w:p w14:paraId="4E775D43" w14:textId="77777777" w:rsidR="00934F1C" w:rsidRDefault="00934F1C" w:rsidP="00160615">
            <w:pPr>
              <w:spacing w:after="0" w:line="240" w:lineRule="auto"/>
              <w:rPr>
                <w:rFonts w:asciiTheme="minorHAnsi" w:hAnsiTheme="minorHAnsi"/>
              </w:rPr>
            </w:pPr>
            <w:r>
              <w:rPr>
                <w:rFonts w:asciiTheme="minorHAnsi" w:hAnsiTheme="minorHAnsi"/>
              </w:rPr>
              <w:t>High</w:t>
            </w:r>
          </w:p>
          <w:p w14:paraId="5441B665" w14:textId="77777777" w:rsidR="00934F1C" w:rsidRPr="00934F1C" w:rsidRDefault="00934F1C" w:rsidP="00160615">
            <w:pPr>
              <w:spacing w:after="0" w:line="240" w:lineRule="auto"/>
              <w:rPr>
                <w:rFonts w:asciiTheme="minorHAnsi" w:hAnsiTheme="minorHAnsi"/>
              </w:rPr>
            </w:pPr>
          </w:p>
        </w:tc>
      </w:tr>
      <w:tr w:rsidR="00934F1C" w:rsidRPr="00934F1C" w14:paraId="06D0A4BD" w14:textId="77777777" w:rsidTr="000B4BDD">
        <w:tc>
          <w:tcPr>
            <w:tcW w:w="2639" w:type="dxa"/>
            <w:tcBorders>
              <w:top w:val="nil"/>
              <w:bottom w:val="nil"/>
            </w:tcBorders>
          </w:tcPr>
          <w:p w14:paraId="11675C8C" w14:textId="77777777" w:rsidR="00934F1C" w:rsidRPr="00934F1C" w:rsidRDefault="00934F1C" w:rsidP="00160615">
            <w:pPr>
              <w:spacing w:after="0" w:line="240" w:lineRule="auto"/>
              <w:rPr>
                <w:rFonts w:asciiTheme="minorHAnsi" w:hAnsiTheme="minorHAnsi"/>
              </w:rPr>
            </w:pPr>
            <w:r>
              <w:rPr>
                <w:rFonts w:asciiTheme="minorHAnsi" w:hAnsiTheme="minorHAnsi"/>
              </w:rPr>
              <w:lastRenderedPageBreak/>
              <w:t xml:space="preserve">Increasing engagement with the Cambodian private sector </w:t>
            </w:r>
            <w:r w:rsidR="00770A7D">
              <w:rPr>
                <w:rFonts w:asciiTheme="minorHAnsi" w:hAnsiTheme="minorHAnsi"/>
              </w:rPr>
              <w:t xml:space="preserve">has the potential to </w:t>
            </w:r>
            <w:r>
              <w:rPr>
                <w:rFonts w:asciiTheme="minorHAnsi" w:hAnsiTheme="minorHAnsi"/>
              </w:rPr>
              <w:t>create reputational risk.</w:t>
            </w:r>
          </w:p>
        </w:tc>
        <w:tc>
          <w:tcPr>
            <w:tcW w:w="2672" w:type="dxa"/>
            <w:tcBorders>
              <w:top w:val="nil"/>
              <w:bottom w:val="nil"/>
            </w:tcBorders>
          </w:tcPr>
          <w:p w14:paraId="45561670" w14:textId="01B369B1" w:rsidR="00934F1C" w:rsidRPr="00934F1C" w:rsidRDefault="00251109" w:rsidP="00160615">
            <w:pPr>
              <w:spacing w:after="0" w:line="240" w:lineRule="auto"/>
              <w:rPr>
                <w:rFonts w:asciiTheme="minorHAnsi" w:hAnsiTheme="minorHAnsi"/>
              </w:rPr>
            </w:pPr>
            <w:r w:rsidRPr="00251109">
              <w:rPr>
                <w:rFonts w:asciiTheme="minorHAnsi" w:hAnsiTheme="minorHAnsi"/>
              </w:rPr>
              <w:t>In designing and implementing new private sector programs</w:t>
            </w:r>
            <w:r w:rsidR="00DE1699">
              <w:rPr>
                <w:rFonts w:asciiTheme="minorHAnsi" w:hAnsiTheme="minorHAnsi"/>
              </w:rPr>
              <w:t xml:space="preserve"> (3i and CAVAC II)</w:t>
            </w:r>
            <w:r w:rsidRPr="00251109">
              <w:rPr>
                <w:rFonts w:asciiTheme="minorHAnsi" w:hAnsiTheme="minorHAnsi"/>
              </w:rPr>
              <w:t>, Post put particular emphasis on developing risk management systems including, for example, company due diligence, fiduciary oversight, child protection, work health and safety, and environmental management systems.</w:t>
            </w:r>
          </w:p>
        </w:tc>
        <w:tc>
          <w:tcPr>
            <w:tcW w:w="2807" w:type="dxa"/>
            <w:tcBorders>
              <w:top w:val="nil"/>
              <w:bottom w:val="nil"/>
            </w:tcBorders>
          </w:tcPr>
          <w:p w14:paraId="12A7ADA4" w14:textId="77777777" w:rsidR="00934F1C" w:rsidRPr="00934F1C" w:rsidRDefault="00934F1C" w:rsidP="000B4BDD">
            <w:pPr>
              <w:spacing w:after="0" w:line="240" w:lineRule="auto"/>
              <w:rPr>
                <w:rFonts w:asciiTheme="minorHAnsi" w:hAnsiTheme="minorHAnsi"/>
              </w:rPr>
            </w:pPr>
            <w:r>
              <w:rPr>
                <w:rFonts w:asciiTheme="minorHAnsi" w:hAnsiTheme="minorHAnsi"/>
              </w:rPr>
              <w:t>Post</w:t>
            </w:r>
            <w:r w:rsidR="006C3339">
              <w:rPr>
                <w:rFonts w:asciiTheme="minorHAnsi" w:hAnsiTheme="minorHAnsi"/>
              </w:rPr>
              <w:t xml:space="preserve"> collaborate with PRV to ensure due diligence and risk management reflect the principles and practices applied across other programs. Post to alert managing contractors to </w:t>
            </w:r>
            <w:r w:rsidR="000B4BDD">
              <w:rPr>
                <w:rFonts w:asciiTheme="minorHAnsi" w:hAnsiTheme="minorHAnsi"/>
              </w:rPr>
              <w:t>this</w:t>
            </w:r>
            <w:r w:rsidR="006C3339">
              <w:rPr>
                <w:rFonts w:asciiTheme="minorHAnsi" w:hAnsiTheme="minorHAnsi"/>
              </w:rPr>
              <w:t xml:space="preserve"> and request regular </w:t>
            </w:r>
            <w:r w:rsidR="000B4BDD">
              <w:rPr>
                <w:rFonts w:asciiTheme="minorHAnsi" w:hAnsiTheme="minorHAnsi"/>
              </w:rPr>
              <w:t>risk reporting in meetings.</w:t>
            </w:r>
          </w:p>
        </w:tc>
        <w:tc>
          <w:tcPr>
            <w:tcW w:w="1822" w:type="dxa"/>
            <w:tcBorders>
              <w:top w:val="nil"/>
              <w:bottom w:val="nil"/>
            </w:tcBorders>
          </w:tcPr>
          <w:p w14:paraId="45BD3615" w14:textId="77777777" w:rsidR="00934F1C" w:rsidRPr="00934F1C" w:rsidRDefault="00934F1C" w:rsidP="00160615">
            <w:pPr>
              <w:spacing w:after="0" w:line="240" w:lineRule="auto"/>
              <w:rPr>
                <w:rFonts w:asciiTheme="minorHAnsi" w:hAnsiTheme="minorHAnsi"/>
              </w:rPr>
            </w:pPr>
            <w:r>
              <w:rPr>
                <w:rFonts w:asciiTheme="minorHAnsi" w:hAnsiTheme="minorHAnsi"/>
              </w:rPr>
              <w:t>Medium</w:t>
            </w:r>
          </w:p>
        </w:tc>
      </w:tr>
      <w:tr w:rsidR="00934F1C" w:rsidRPr="00934F1C" w14:paraId="4E713706" w14:textId="77777777" w:rsidTr="000B4BDD">
        <w:tc>
          <w:tcPr>
            <w:tcW w:w="2639" w:type="dxa"/>
            <w:tcBorders>
              <w:top w:val="nil"/>
              <w:bottom w:val="nil"/>
            </w:tcBorders>
          </w:tcPr>
          <w:p w14:paraId="0D4CA9B9" w14:textId="77777777" w:rsidR="00934F1C" w:rsidRPr="00934F1C" w:rsidRDefault="00934F1C" w:rsidP="00160615">
            <w:pPr>
              <w:spacing w:after="0" w:line="240" w:lineRule="auto"/>
              <w:rPr>
                <w:rFonts w:asciiTheme="minorHAnsi" w:hAnsiTheme="minorHAnsi"/>
              </w:rPr>
            </w:pPr>
            <w:r w:rsidRPr="00934F1C">
              <w:rPr>
                <w:rFonts w:asciiTheme="minorHAnsi" w:hAnsiTheme="minorHAnsi"/>
              </w:rPr>
              <w:t>Staff turnover, especially amongst locally engaged staff could result in a loss of valuable corporate knowledge.</w:t>
            </w:r>
          </w:p>
        </w:tc>
        <w:tc>
          <w:tcPr>
            <w:tcW w:w="2672" w:type="dxa"/>
            <w:tcBorders>
              <w:top w:val="nil"/>
              <w:bottom w:val="nil"/>
            </w:tcBorders>
          </w:tcPr>
          <w:p w14:paraId="5117E77C" w14:textId="77777777" w:rsidR="00934F1C" w:rsidRPr="00934F1C" w:rsidRDefault="00934F1C" w:rsidP="00160615">
            <w:pPr>
              <w:spacing w:after="0" w:line="240" w:lineRule="auto"/>
              <w:rPr>
                <w:rFonts w:asciiTheme="minorHAnsi" w:hAnsiTheme="minorHAnsi"/>
              </w:rPr>
            </w:pPr>
            <w:r w:rsidRPr="00934F1C">
              <w:rPr>
                <w:rFonts w:asciiTheme="minorHAnsi" w:hAnsiTheme="minorHAnsi"/>
              </w:rPr>
              <w:t>Post has promoted inter-sectoral learnings amongst staff through the weekly section meetings.</w:t>
            </w:r>
          </w:p>
        </w:tc>
        <w:tc>
          <w:tcPr>
            <w:tcW w:w="2807" w:type="dxa"/>
            <w:tcBorders>
              <w:top w:val="nil"/>
              <w:bottom w:val="nil"/>
            </w:tcBorders>
          </w:tcPr>
          <w:p w14:paraId="1D18729D" w14:textId="77777777" w:rsidR="00934F1C" w:rsidRPr="00934F1C" w:rsidRDefault="00934F1C" w:rsidP="00160615">
            <w:pPr>
              <w:spacing w:after="0" w:line="240" w:lineRule="auto"/>
              <w:rPr>
                <w:rFonts w:asciiTheme="minorHAnsi" w:hAnsiTheme="minorHAnsi"/>
              </w:rPr>
            </w:pPr>
            <w:r w:rsidRPr="00934F1C">
              <w:rPr>
                <w:rFonts w:asciiTheme="minorHAnsi" w:hAnsiTheme="minorHAnsi"/>
              </w:rPr>
              <w:t>Post will also look to build the capacity of staff through training and on the job experience.</w:t>
            </w:r>
          </w:p>
        </w:tc>
        <w:tc>
          <w:tcPr>
            <w:tcW w:w="1822" w:type="dxa"/>
            <w:tcBorders>
              <w:top w:val="nil"/>
              <w:bottom w:val="nil"/>
            </w:tcBorders>
          </w:tcPr>
          <w:p w14:paraId="4DF1C075" w14:textId="77777777" w:rsidR="00934F1C" w:rsidRPr="00934F1C" w:rsidRDefault="00934F1C" w:rsidP="00160615">
            <w:pPr>
              <w:spacing w:after="0" w:line="240" w:lineRule="auto"/>
              <w:rPr>
                <w:rFonts w:asciiTheme="minorHAnsi" w:hAnsiTheme="minorHAnsi"/>
              </w:rPr>
            </w:pPr>
            <w:r w:rsidRPr="00934F1C">
              <w:rPr>
                <w:rFonts w:asciiTheme="minorHAnsi" w:hAnsiTheme="minorHAnsi"/>
              </w:rPr>
              <w:t>Medium</w:t>
            </w:r>
          </w:p>
        </w:tc>
      </w:tr>
    </w:tbl>
    <w:p w14:paraId="6858B7F2" w14:textId="77777777" w:rsidR="002A51CA" w:rsidRPr="00934F1C" w:rsidRDefault="002A51CA" w:rsidP="00F651E4">
      <w:pPr>
        <w:spacing w:before="0" w:after="0" w:line="240" w:lineRule="auto"/>
        <w:rPr>
          <w:sz w:val="17"/>
          <w:lang w:eastAsia="en-AU"/>
        </w:rPr>
      </w:pPr>
    </w:p>
    <w:p w14:paraId="2E95A5CB" w14:textId="77777777" w:rsidR="002A51CA" w:rsidRPr="002A51CA" w:rsidRDefault="002A51CA" w:rsidP="00F651E4">
      <w:pPr>
        <w:pStyle w:val="Heading2"/>
        <w:spacing w:before="0"/>
      </w:pPr>
      <w:r w:rsidRPr="002A51CA">
        <w:t>Management Responses</w:t>
      </w:r>
      <w:r w:rsidRPr="002A51CA">
        <w:tab/>
      </w:r>
      <w:r w:rsidRPr="002A51CA">
        <w:tab/>
      </w:r>
    </w:p>
    <w:p w14:paraId="3E061F48" w14:textId="77777777" w:rsidR="00EA6960" w:rsidRDefault="00131FBE" w:rsidP="00EA6960">
      <w:r>
        <w:t>A</w:t>
      </w:r>
      <w:r w:rsidR="009A1EB1">
        <w:t xml:space="preserve">ll </w:t>
      </w:r>
      <w:r w:rsidR="005C3EE7">
        <w:t>time</w:t>
      </w:r>
      <w:r>
        <w:t>-</w:t>
      </w:r>
      <w:r w:rsidR="005C3EE7">
        <w:t xml:space="preserve">bound </w:t>
      </w:r>
      <w:r w:rsidR="009A1EB1">
        <w:t>m</w:t>
      </w:r>
      <w:r w:rsidR="005C3EE7">
        <w:t>anagement responses listed in 2014-15 APPR</w:t>
      </w:r>
      <w:r w:rsidR="009A1EB1">
        <w:t xml:space="preserve"> </w:t>
      </w:r>
      <w:r w:rsidR="005C3EE7">
        <w:t>have been achieved</w:t>
      </w:r>
      <w:r w:rsidR="004D343B">
        <w:t xml:space="preserve">. </w:t>
      </w:r>
      <w:r w:rsidR="009376F8">
        <w:t xml:space="preserve">Some </w:t>
      </w:r>
      <w:r w:rsidR="005C3EE7">
        <w:t>management</w:t>
      </w:r>
      <w:r w:rsidR="009A1EB1">
        <w:t xml:space="preserve"> responses </w:t>
      </w:r>
      <w:r w:rsidR="005C3EE7">
        <w:t>from the 2014-15 APPR</w:t>
      </w:r>
      <w:r w:rsidR="009A1EB1">
        <w:t xml:space="preserve"> were not time</w:t>
      </w:r>
      <w:r>
        <w:t>-</w:t>
      </w:r>
      <w:r w:rsidR="009A1EB1">
        <w:t xml:space="preserve">bound and </w:t>
      </w:r>
      <w:r w:rsidR="005C3EE7">
        <w:t>are</w:t>
      </w:r>
      <w:r w:rsidR="009A1EB1">
        <w:t xml:space="preserve"> ongoing in nature</w:t>
      </w:r>
      <w:r w:rsidR="005C3EE7">
        <w:t xml:space="preserve">. This includes </w:t>
      </w:r>
      <w:r w:rsidR="009A1EB1">
        <w:t xml:space="preserve">maintaining a strong focus on safeguards. </w:t>
      </w:r>
      <w:r w:rsidR="009A1EB1" w:rsidRPr="00C61187">
        <w:t xml:space="preserve">A </w:t>
      </w:r>
      <w:r w:rsidR="009A1EB1">
        <w:t>summary</w:t>
      </w:r>
      <w:r w:rsidR="009A1EB1" w:rsidRPr="00C61187">
        <w:t xml:space="preserve"> of progress on management responses </w:t>
      </w:r>
      <w:r w:rsidR="009A1EB1">
        <w:t>is</w:t>
      </w:r>
      <w:r w:rsidR="009A1EB1" w:rsidRPr="00C61187">
        <w:t xml:space="preserve"> </w:t>
      </w:r>
      <w:r w:rsidR="009A1EB1" w:rsidRPr="00C61187">
        <w:rPr>
          <w:b/>
        </w:rPr>
        <w:t>Annex A.</w:t>
      </w:r>
      <w:r w:rsidR="009F7F93">
        <w:rPr>
          <w:b/>
        </w:rPr>
        <w:t xml:space="preserve"> </w:t>
      </w:r>
      <w:r w:rsidR="00EA6960">
        <w:t>In 2016-2017, we will focus on the fol</w:t>
      </w:r>
      <w:r w:rsidR="009F7F93">
        <w:t>lowing key management responses:</w:t>
      </w:r>
    </w:p>
    <w:p w14:paraId="0BEAF263" w14:textId="77777777" w:rsidR="00EA6960" w:rsidRPr="001276F2" w:rsidRDefault="00EA6960" w:rsidP="00EA6960">
      <w:pPr>
        <w:rPr>
          <w:b/>
        </w:rPr>
      </w:pPr>
      <w:r w:rsidRPr="001276F2">
        <w:rPr>
          <w:b/>
        </w:rPr>
        <w:t>Strategic</w:t>
      </w:r>
    </w:p>
    <w:p w14:paraId="10E214E7" w14:textId="2D88C2B0" w:rsidR="00730273" w:rsidRDefault="00730273" w:rsidP="00730273">
      <w:pPr>
        <w:pStyle w:val="ListParagraph"/>
        <w:numPr>
          <w:ilvl w:val="0"/>
          <w:numId w:val="15"/>
        </w:numPr>
      </w:pPr>
      <w:r w:rsidRPr="00DE1699">
        <w:rPr>
          <w:b/>
        </w:rPr>
        <w:t>Review the ongoing relevance of our aid program</w:t>
      </w:r>
      <w:r>
        <w:t xml:space="preserve"> with the Cambodian Government at biennial High Level Consultations on Aid in October 2016. This will feed into early planning for our next Aid Investment Plan and pipeline planning. </w:t>
      </w:r>
    </w:p>
    <w:p w14:paraId="4F6182A7" w14:textId="77777777" w:rsidR="00EA6960" w:rsidRDefault="000C1B10" w:rsidP="00226367">
      <w:pPr>
        <w:pStyle w:val="ListParagraph"/>
        <w:numPr>
          <w:ilvl w:val="0"/>
          <w:numId w:val="15"/>
        </w:numPr>
      </w:pPr>
      <w:r w:rsidRPr="001276F2">
        <w:rPr>
          <w:b/>
        </w:rPr>
        <w:t>F</w:t>
      </w:r>
      <w:r w:rsidR="00EA6960" w:rsidRPr="001276F2">
        <w:rPr>
          <w:b/>
        </w:rPr>
        <w:t xml:space="preserve">ocus </w:t>
      </w:r>
      <w:r w:rsidRPr="001276F2">
        <w:rPr>
          <w:b/>
        </w:rPr>
        <w:t xml:space="preserve">our efforts </w:t>
      </w:r>
      <w:r w:rsidR="00EA6960" w:rsidRPr="001276F2">
        <w:rPr>
          <w:b/>
        </w:rPr>
        <w:t>on</w:t>
      </w:r>
      <w:r w:rsidR="00EA6960">
        <w:t xml:space="preserve"> </w:t>
      </w:r>
      <w:r w:rsidR="00EA6960" w:rsidRPr="001276F2">
        <w:rPr>
          <w:b/>
        </w:rPr>
        <w:t>safeguards risks</w:t>
      </w:r>
      <w:r w:rsidR="00EA6960">
        <w:t>, specifically child protection and resettlement when working in partnership with multilateral</w:t>
      </w:r>
      <w:r w:rsidR="00131FBE">
        <w:t xml:space="preserve"> </w:t>
      </w:r>
      <w:r w:rsidR="005D364B">
        <w:t>organisations</w:t>
      </w:r>
      <w:r w:rsidR="00EA6960">
        <w:t>. Assess and implement the most efficient and effectiv</w:t>
      </w:r>
      <w:r w:rsidR="009376F8">
        <w:t>e mechanism to employ safeguard</w:t>
      </w:r>
      <w:r w:rsidR="00EA6960">
        <w:t xml:space="preserve"> specialist</w:t>
      </w:r>
      <w:r w:rsidR="009376F8">
        <w:t>s</w:t>
      </w:r>
      <w:r w:rsidR="00EA6960">
        <w:t xml:space="preserve"> on retainer for access by all investments by March 2017.</w:t>
      </w:r>
    </w:p>
    <w:p w14:paraId="6ADE0D78" w14:textId="77777777" w:rsidR="00EA6960" w:rsidRDefault="000C1B10" w:rsidP="00226367">
      <w:pPr>
        <w:pStyle w:val="ListParagraph"/>
        <w:numPr>
          <w:ilvl w:val="0"/>
          <w:numId w:val="15"/>
        </w:numPr>
        <w:suppressAutoHyphens w:val="0"/>
        <w:spacing w:before="0" w:after="0" w:line="240" w:lineRule="auto"/>
      </w:pPr>
      <w:r w:rsidRPr="001276F2">
        <w:rPr>
          <w:b/>
        </w:rPr>
        <w:t>Enhance</w:t>
      </w:r>
      <w:r w:rsidR="00EA6960" w:rsidRPr="001276F2">
        <w:rPr>
          <w:b/>
        </w:rPr>
        <w:t xml:space="preserve"> gender equality </w:t>
      </w:r>
      <w:r w:rsidRPr="001276F2">
        <w:rPr>
          <w:b/>
        </w:rPr>
        <w:t>performance</w:t>
      </w:r>
      <w:r w:rsidR="00EA6960">
        <w:t xml:space="preserve"> </w:t>
      </w:r>
      <w:r>
        <w:t xml:space="preserve">of </w:t>
      </w:r>
      <w:r w:rsidR="00EA6960">
        <w:t xml:space="preserve">our </w:t>
      </w:r>
      <w:r>
        <w:t>investments,</w:t>
      </w:r>
      <w:r w:rsidR="00EA6960">
        <w:t xml:space="preserve"> </w:t>
      </w:r>
      <w:r w:rsidR="003C4C38">
        <w:t xml:space="preserve">documenting how this will be achieved and measured in the Post </w:t>
      </w:r>
      <w:r w:rsidR="00EA6960">
        <w:t>Gender Action Plan</w:t>
      </w:r>
      <w:r w:rsidR="005D35CB">
        <w:t xml:space="preserve"> (GAP)</w:t>
      </w:r>
      <w:r w:rsidR="00EA6960">
        <w:t xml:space="preserve"> </w:t>
      </w:r>
      <w:r w:rsidR="002E15B6">
        <w:t>to</w:t>
      </w:r>
      <w:r w:rsidR="003C4C38">
        <w:t xml:space="preserve"> be developed by </w:t>
      </w:r>
      <w:r w:rsidR="00EA6960">
        <w:t>June 2017</w:t>
      </w:r>
      <w:r w:rsidR="003C4C38">
        <w:t>.</w:t>
      </w:r>
      <w:r w:rsidR="00EA6960">
        <w:t xml:space="preserve"> </w:t>
      </w:r>
    </w:p>
    <w:p w14:paraId="63B79566" w14:textId="77777777" w:rsidR="00EA6960" w:rsidRDefault="00131FBE" w:rsidP="00226367">
      <w:pPr>
        <w:pStyle w:val="ListParagraph"/>
        <w:numPr>
          <w:ilvl w:val="0"/>
          <w:numId w:val="15"/>
        </w:numPr>
        <w:suppressAutoHyphens w:val="0"/>
        <w:spacing w:before="0" w:after="0" w:line="240" w:lineRule="auto"/>
      </w:pPr>
      <w:r w:rsidRPr="001276F2">
        <w:rPr>
          <w:b/>
        </w:rPr>
        <w:t>C</w:t>
      </w:r>
      <w:r w:rsidR="00EA6960" w:rsidRPr="001276F2">
        <w:rPr>
          <w:b/>
        </w:rPr>
        <w:t xml:space="preserve">ontinue </w:t>
      </w:r>
      <w:r w:rsidR="001276F2" w:rsidRPr="001276F2">
        <w:rPr>
          <w:b/>
        </w:rPr>
        <w:t>to consolidate</w:t>
      </w:r>
      <w:r w:rsidR="001276F2">
        <w:t xml:space="preserve"> </w:t>
      </w:r>
      <w:r w:rsidR="00EA6960">
        <w:t>on the good progress already made</w:t>
      </w:r>
      <w:r w:rsidR="00EA6960" w:rsidRPr="002523BD">
        <w:t xml:space="preserve"> </w:t>
      </w:r>
      <w:r w:rsidR="005C3EE7">
        <w:t xml:space="preserve">throughout </w:t>
      </w:r>
      <w:r w:rsidR="003C4C38">
        <w:t>2015-16</w:t>
      </w:r>
      <w:r w:rsidR="005C3EE7">
        <w:t xml:space="preserve">, with a goal to reduce </w:t>
      </w:r>
      <w:r w:rsidR="003C4C38">
        <w:t>a</w:t>
      </w:r>
      <w:r w:rsidR="005C3EE7">
        <w:t xml:space="preserve">greements under management to 47 by June 2017. </w:t>
      </w:r>
    </w:p>
    <w:p w14:paraId="14EB5DF9" w14:textId="77777777" w:rsidR="00B602D9" w:rsidRDefault="00B602D9" w:rsidP="00B602D9">
      <w:pPr>
        <w:pStyle w:val="ListParagraph"/>
        <w:numPr>
          <w:ilvl w:val="0"/>
          <w:numId w:val="15"/>
        </w:numPr>
      </w:pPr>
      <w:r w:rsidRPr="001276F2">
        <w:rPr>
          <w:b/>
        </w:rPr>
        <w:t>Revise the indicators in the Performance Assessment Framework</w:t>
      </w:r>
      <w:r>
        <w:t xml:space="preserve"> </w:t>
      </w:r>
      <w:r w:rsidR="001276F2">
        <w:t>to align</w:t>
      </w:r>
      <w:r>
        <w:t xml:space="preserve"> with the new programs </w:t>
      </w:r>
      <w:r w:rsidR="00110DD9">
        <w:t>by December 2016</w:t>
      </w:r>
      <w:r>
        <w:t xml:space="preserve">. Review regularly to ensure they maintain currency. </w:t>
      </w:r>
    </w:p>
    <w:p w14:paraId="7C3FDE9F" w14:textId="77777777" w:rsidR="00F71ABE" w:rsidRDefault="00F71ABE" w:rsidP="005C3EE7">
      <w:pPr>
        <w:pStyle w:val="ListParagraph"/>
        <w:suppressAutoHyphens w:val="0"/>
        <w:spacing w:before="0" w:after="0" w:line="240" w:lineRule="auto"/>
      </w:pPr>
    </w:p>
    <w:p w14:paraId="394C7DA3" w14:textId="77777777" w:rsidR="00F71ABE" w:rsidRPr="001276F2" w:rsidRDefault="00F71ABE" w:rsidP="00F71ABE">
      <w:pPr>
        <w:suppressAutoHyphens w:val="0"/>
        <w:spacing w:before="0" w:after="0" w:line="240" w:lineRule="auto"/>
        <w:rPr>
          <w:b/>
        </w:rPr>
      </w:pPr>
      <w:r w:rsidRPr="001276F2">
        <w:rPr>
          <w:b/>
        </w:rPr>
        <w:t>Program level</w:t>
      </w:r>
    </w:p>
    <w:p w14:paraId="467CA411" w14:textId="63F24C21" w:rsidR="00F71ABE" w:rsidRDefault="002E15B6" w:rsidP="00F71ABE">
      <w:pPr>
        <w:pStyle w:val="ListParagraph"/>
        <w:numPr>
          <w:ilvl w:val="0"/>
          <w:numId w:val="15"/>
        </w:numPr>
      </w:pPr>
      <w:r>
        <w:t>Pursue</w:t>
      </w:r>
      <w:r w:rsidR="00F71ABE">
        <w:t xml:space="preserve"> dialogue </w:t>
      </w:r>
      <w:r>
        <w:t>with the Cambodian Government</w:t>
      </w:r>
      <w:r w:rsidR="00F71ABE">
        <w:t xml:space="preserve"> and other donors</w:t>
      </w:r>
      <w:r w:rsidRPr="002E15B6">
        <w:t xml:space="preserve"> </w:t>
      </w:r>
      <w:r>
        <w:t>using the lessons and examples of the CAVAC program: on private sector development in the agriculture sector; and, irrigation scheme planning, operation and maintenance</w:t>
      </w:r>
      <w:r w:rsidR="008E4949">
        <w:t xml:space="preserve">. </w:t>
      </w:r>
    </w:p>
    <w:p w14:paraId="36AEEF73" w14:textId="5AEA5AE1" w:rsidR="00F71ABE" w:rsidRDefault="00F71ABE" w:rsidP="00F71ABE">
      <w:pPr>
        <w:pStyle w:val="ListParagraph"/>
        <w:numPr>
          <w:ilvl w:val="0"/>
          <w:numId w:val="15"/>
        </w:numPr>
      </w:pPr>
      <w:r>
        <w:t xml:space="preserve">Consider ways to </w:t>
      </w:r>
      <w:r w:rsidR="000C1B10">
        <w:t>reduce men’s vulnerability to</w:t>
      </w:r>
      <w:r>
        <w:t xml:space="preserve"> landmine incidences, by reviewing </w:t>
      </w:r>
      <w:r w:rsidR="009057CC">
        <w:t>landmines</w:t>
      </w:r>
      <w:r>
        <w:t xml:space="preserve"> education activities and exploring behavioural insights, in consult with our partners by June 2017. </w:t>
      </w:r>
    </w:p>
    <w:p w14:paraId="7024EF5B" w14:textId="77777777" w:rsidR="005C3EE7" w:rsidRDefault="00115F59" w:rsidP="00C13C44">
      <w:pPr>
        <w:pStyle w:val="ListParagraph"/>
        <w:numPr>
          <w:ilvl w:val="0"/>
          <w:numId w:val="15"/>
        </w:numPr>
      </w:pPr>
      <w:r>
        <w:t xml:space="preserve">Employ technical assistance (gender, public financial management and health financing) by </w:t>
      </w:r>
      <w:r w:rsidR="00B602D9">
        <w:t xml:space="preserve">October </w:t>
      </w:r>
      <w:r>
        <w:t xml:space="preserve">2016 to strengthen Post oversight of the Health Equity and Quality Improvement Project </w:t>
      </w:r>
      <w:r w:rsidR="002E15B6">
        <w:t xml:space="preserve">and </w:t>
      </w:r>
      <w:r>
        <w:t>scope potential support for private sector engagement within the health sector, based on a pending I</w:t>
      </w:r>
      <w:r w:rsidR="009C41C5">
        <w:t xml:space="preserve">nternational </w:t>
      </w:r>
      <w:r>
        <w:t>F</w:t>
      </w:r>
      <w:r w:rsidR="009C41C5">
        <w:t xml:space="preserve">inance </w:t>
      </w:r>
      <w:r>
        <w:t>C</w:t>
      </w:r>
      <w:r w:rsidR="009C41C5">
        <w:t>orporation (IFC)</w:t>
      </w:r>
      <w:r>
        <w:t xml:space="preserve"> report and on further analysis, by June 2017.</w:t>
      </w:r>
    </w:p>
    <w:p w14:paraId="53FF7B6E" w14:textId="77777777" w:rsidR="00D15A00" w:rsidRDefault="009C41C5" w:rsidP="00F71ABE">
      <w:pPr>
        <w:pStyle w:val="ListParagraph"/>
        <w:numPr>
          <w:ilvl w:val="0"/>
          <w:numId w:val="15"/>
        </w:numPr>
        <w:sectPr w:rsidR="00D15A00">
          <w:pgSz w:w="11906" w:h="16838" w:code="9"/>
          <w:pgMar w:top="1527" w:right="1134" w:bottom="851" w:left="1134" w:header="1418" w:footer="567" w:gutter="0"/>
          <w:cols w:space="397"/>
          <w:docGrid w:linePitch="360"/>
        </w:sectPr>
      </w:pPr>
      <w:r>
        <w:t>Assess and d</w:t>
      </w:r>
      <w:r w:rsidR="00F71ABE">
        <w:t>ecide whether to continue our investments in ending violence against women and disability</w:t>
      </w:r>
      <w:r w:rsidR="00076160">
        <w:t xml:space="preserve"> beyond 2016-17. If support continues, </w:t>
      </w:r>
      <w:r w:rsidR="00F71ABE">
        <w:t>design a</w:t>
      </w:r>
      <w:r w:rsidR="00076160">
        <w:t>n</w:t>
      </w:r>
      <w:r w:rsidR="00F71ABE">
        <w:t xml:space="preserve"> efficient and effective</w:t>
      </w:r>
      <w:r w:rsidR="00076160">
        <w:t xml:space="preserve"> mechanism to maximise</w:t>
      </w:r>
      <w:r w:rsidR="00F71ABE">
        <w:t xml:space="preserve"> investment</w:t>
      </w:r>
      <w:r w:rsidR="00076160">
        <w:t xml:space="preserve">s in both areas </w:t>
      </w:r>
      <w:r w:rsidR="00F71ABE">
        <w:t>by June 2017.</w:t>
      </w:r>
    </w:p>
    <w:p w14:paraId="0B2F1117" w14:textId="77777777" w:rsidR="00400B0F" w:rsidRPr="00400B0F" w:rsidRDefault="00400B0F" w:rsidP="00400B0F">
      <w:pPr>
        <w:pStyle w:val="Subtitle"/>
        <w:numPr>
          <w:ilvl w:val="0"/>
          <w:numId w:val="0"/>
        </w:numPr>
      </w:pPr>
      <w:r w:rsidRPr="00400B0F">
        <w:lastRenderedPageBreak/>
        <w:t>Annex A - Progress in Addressing Management Responses</w:t>
      </w:r>
    </w:p>
    <w:p w14:paraId="27AF68F0" w14:textId="77777777" w:rsidR="00400B0F" w:rsidRPr="00C61187" w:rsidRDefault="00400B0F" w:rsidP="008C2F58">
      <w:r w:rsidRPr="00C61187">
        <w:t>Describe progress made against management responses in 2014-15 report</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400B0F" w:rsidRPr="00C61187" w14:paraId="7142CF85"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0F5980E7"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Management responses identified in 2014-15 APPR</w:t>
            </w:r>
            <w:r w:rsidRPr="00880004">
              <w:rPr>
                <w:rFonts w:asciiTheme="minorHAnsi" w:eastAsia="Times New Roman" w:hAnsiTheme="minorHAnsi"/>
                <w:b/>
                <w:iCs/>
                <w:szCs w:val="17"/>
                <w:lang w:eastAsia="en-US"/>
              </w:rPr>
              <w:tab/>
            </w:r>
          </w:p>
        </w:tc>
        <w:tc>
          <w:tcPr>
            <w:tcW w:w="964" w:type="dxa"/>
          </w:tcPr>
          <w:p w14:paraId="77B2DCDB"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896" w:type="dxa"/>
          </w:tcPr>
          <w:p w14:paraId="23CFAD94" w14:textId="4BBF27C9" w:rsidR="00400B0F" w:rsidRPr="00880004" w:rsidRDefault="00AF176F" w:rsidP="009E7BB8">
            <w:pPr>
              <w:keepLines/>
              <w:spacing w:before="80" w:after="80" w:line="200" w:lineRule="atLeast"/>
              <w:jc w:val="center"/>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Progress made </w:t>
            </w:r>
            <w:r w:rsidR="00400B0F" w:rsidRPr="00880004">
              <w:rPr>
                <w:rFonts w:asciiTheme="minorHAnsi" w:eastAsia="Times New Roman" w:hAnsiTheme="minorHAnsi"/>
                <w:b/>
                <w:iCs/>
                <w:szCs w:val="17"/>
                <w:lang w:eastAsia="en-US"/>
              </w:rPr>
              <w:t>in 2015-16</w:t>
            </w:r>
          </w:p>
        </w:tc>
      </w:tr>
      <w:tr w:rsidR="008E3409" w:rsidRPr="00C61187" w14:paraId="5E790DE4"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2B200978" w14:textId="77777777" w:rsidR="008E3409" w:rsidRPr="008E3409" w:rsidRDefault="008E3409" w:rsidP="0000095D">
            <w:pPr>
              <w:keepLines/>
              <w:spacing w:before="80" w:after="80" w:line="200" w:lineRule="atLeast"/>
              <w:rPr>
                <w:b/>
              </w:rPr>
            </w:pPr>
            <w:r w:rsidRPr="0000095D">
              <w:rPr>
                <w:rFonts w:asciiTheme="minorHAnsi" w:eastAsia="Times New Roman" w:hAnsiTheme="minorHAnsi"/>
                <w:b/>
                <w:iCs/>
                <w:szCs w:val="17"/>
                <w:lang w:eastAsia="en-US"/>
              </w:rPr>
              <w:t>Overarching</w:t>
            </w:r>
          </w:p>
        </w:tc>
        <w:tc>
          <w:tcPr>
            <w:tcW w:w="964" w:type="dxa"/>
            <w:shd w:val="clear" w:color="auto" w:fill="F5F5F5"/>
          </w:tcPr>
          <w:p w14:paraId="071806A8" w14:textId="77777777" w:rsidR="008E3409" w:rsidRPr="00880004" w:rsidRDefault="008E3409" w:rsidP="006F27B1">
            <w:pPr>
              <w:keepLines/>
              <w:spacing w:before="40" w:after="40" w:line="200" w:lineRule="atLeast"/>
              <w:jc w:val="center"/>
              <w:rPr>
                <w:rFonts w:eastAsia="Times New Roman"/>
                <w:iCs/>
                <w:color w:val="FFFFFF" w:themeColor="background1"/>
                <w:szCs w:val="17"/>
              </w:rPr>
            </w:pPr>
          </w:p>
        </w:tc>
        <w:tc>
          <w:tcPr>
            <w:tcW w:w="6896" w:type="dxa"/>
          </w:tcPr>
          <w:p w14:paraId="3FC40823" w14:textId="77777777" w:rsidR="008E3409" w:rsidRPr="00880004" w:rsidRDefault="008E3409" w:rsidP="006F27B1">
            <w:pPr>
              <w:keepLines/>
              <w:spacing w:before="40" w:after="40" w:line="200" w:lineRule="atLeast"/>
              <w:rPr>
                <w:rFonts w:eastAsia="Times New Roman"/>
                <w:iCs/>
                <w:color w:val="92D050"/>
                <w:szCs w:val="17"/>
              </w:rPr>
            </w:pPr>
          </w:p>
        </w:tc>
      </w:tr>
      <w:tr w:rsidR="00400B0F" w:rsidRPr="00C61187" w14:paraId="34ECA44F"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6516C23C" w14:textId="77777777" w:rsidR="00400B0F" w:rsidRPr="0000095D" w:rsidRDefault="008E3409" w:rsidP="0000095D">
            <w:pPr>
              <w:keepLines/>
              <w:spacing w:before="40" w:after="40" w:line="200" w:lineRule="atLeast"/>
            </w:pPr>
            <w:r w:rsidRPr="00F73C74">
              <w:t>Ensure</w:t>
            </w:r>
            <w:r>
              <w:t xml:space="preserve"> smooth transition to the new </w:t>
            </w:r>
            <w:hyperlink r:id="rId19" w:history="1">
              <w:r w:rsidR="00181D27">
                <w:t>AIP</w:t>
              </w:r>
              <w:r w:rsidRPr="0000095D">
                <w:t xml:space="preserve"> 2015-18</w:t>
              </w:r>
            </w:hyperlink>
            <w:r w:rsidR="00DB543B">
              <w:t>.</w:t>
            </w:r>
          </w:p>
        </w:tc>
        <w:tc>
          <w:tcPr>
            <w:tcW w:w="964" w:type="dxa"/>
            <w:shd w:val="clear" w:color="auto" w:fill="92D050"/>
          </w:tcPr>
          <w:p w14:paraId="352672E8" w14:textId="77777777" w:rsidR="00400B0F" w:rsidRPr="0000095D" w:rsidRDefault="007F7C4C" w:rsidP="00DB543B">
            <w:pPr>
              <w:keepLines/>
              <w:spacing w:before="40" w:after="40" w:line="200" w:lineRule="atLeast"/>
              <w:jc w:val="center"/>
              <w:rPr>
                <w:rFonts w:asciiTheme="minorHAnsi" w:eastAsia="Times New Roman" w:hAnsiTheme="minorHAnsi"/>
                <w:iCs/>
                <w:color w:val="auto"/>
                <w:szCs w:val="17"/>
                <w:lang w:eastAsia="en-US"/>
              </w:rPr>
            </w:pPr>
            <w:r w:rsidRPr="007F7C4C">
              <w:rPr>
                <w:rFonts w:asciiTheme="minorHAnsi" w:eastAsia="Times New Roman" w:hAnsiTheme="minorHAnsi"/>
                <w:iCs/>
                <w:color w:val="FFFFFF" w:themeColor="background1"/>
                <w:szCs w:val="17"/>
                <w:lang w:eastAsia="en-US"/>
              </w:rPr>
              <w:t>Achieved</w:t>
            </w:r>
          </w:p>
        </w:tc>
        <w:tc>
          <w:tcPr>
            <w:tcW w:w="6896" w:type="dxa"/>
          </w:tcPr>
          <w:p w14:paraId="1F12F278" w14:textId="77777777" w:rsidR="00400B0F" w:rsidRPr="00880004" w:rsidRDefault="00400B0F" w:rsidP="00D5396B">
            <w:pPr>
              <w:keepLines/>
              <w:spacing w:before="40" w:after="40" w:line="200" w:lineRule="atLeast"/>
              <w:rPr>
                <w:rFonts w:asciiTheme="minorHAnsi" w:eastAsia="Times New Roman" w:hAnsiTheme="minorHAnsi"/>
                <w:iCs/>
                <w:color w:val="92D050"/>
                <w:szCs w:val="17"/>
                <w:lang w:eastAsia="en-US"/>
              </w:rPr>
            </w:pPr>
          </w:p>
        </w:tc>
      </w:tr>
      <w:tr w:rsidR="00400B0F" w:rsidRPr="00C61187" w14:paraId="4494959D"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756845CF" w14:textId="77777777" w:rsidR="00400B0F" w:rsidRPr="0000095D" w:rsidRDefault="00A66CAA" w:rsidP="0000095D">
            <w:pPr>
              <w:keepLines/>
              <w:spacing w:before="40" w:after="40" w:line="200" w:lineRule="atLeast"/>
            </w:pPr>
            <w:r>
              <w:t xml:space="preserve">Continue to consolidate the program to focus on fewer, larger activities to reduce administration and transaction costs for the Australian and Cambodian Governments, with a consistent focus on adhering to agreed mutual priorities as outlined in the </w:t>
            </w:r>
            <w:hyperlink r:id="rId20" w:history="1">
              <w:r w:rsidR="00181D27">
                <w:t>AIP</w:t>
              </w:r>
              <w:r w:rsidRPr="0000095D">
                <w:t xml:space="preserve"> 2015-18</w:t>
              </w:r>
            </w:hyperlink>
            <w:r>
              <w:t>.</w:t>
            </w:r>
          </w:p>
        </w:tc>
        <w:tc>
          <w:tcPr>
            <w:tcW w:w="964" w:type="dxa"/>
            <w:shd w:val="clear" w:color="auto" w:fill="92D050"/>
          </w:tcPr>
          <w:p w14:paraId="3C4B119B" w14:textId="77777777" w:rsidR="00400B0F" w:rsidRPr="004F0626" w:rsidRDefault="004F0626" w:rsidP="00DB543B">
            <w:pPr>
              <w:keepLines/>
              <w:spacing w:before="40" w:after="40" w:line="200" w:lineRule="atLeast"/>
              <w:jc w:val="center"/>
              <w:rPr>
                <w:rFonts w:asciiTheme="minorHAnsi" w:eastAsia="Times New Roman" w:hAnsiTheme="minorHAnsi"/>
                <w:iCs/>
                <w:color w:val="FFFFFF" w:themeColor="background1"/>
                <w:szCs w:val="17"/>
                <w:lang w:eastAsia="en-US"/>
              </w:rPr>
            </w:pPr>
            <w:r w:rsidRPr="004F0626">
              <w:rPr>
                <w:rFonts w:asciiTheme="minorHAnsi" w:eastAsia="Times New Roman" w:hAnsiTheme="minorHAnsi"/>
                <w:iCs/>
                <w:color w:val="FFFFFF" w:themeColor="background1"/>
                <w:szCs w:val="17"/>
                <w:lang w:eastAsia="en-US"/>
              </w:rPr>
              <w:t>Achieved</w:t>
            </w:r>
          </w:p>
        </w:tc>
        <w:tc>
          <w:tcPr>
            <w:tcW w:w="6896" w:type="dxa"/>
          </w:tcPr>
          <w:p w14:paraId="26EF4772" w14:textId="77777777" w:rsidR="00400B0F" w:rsidRPr="00880004" w:rsidRDefault="004F0626" w:rsidP="00861E8A">
            <w:pPr>
              <w:keepLines/>
              <w:spacing w:before="40" w:after="40" w:line="200" w:lineRule="atLeast"/>
              <w:rPr>
                <w:rFonts w:asciiTheme="minorHAnsi" w:eastAsia="Times New Roman" w:hAnsiTheme="minorHAnsi"/>
                <w:iCs/>
                <w:color w:val="92D050"/>
                <w:szCs w:val="17"/>
                <w:lang w:eastAsia="en-US"/>
              </w:rPr>
            </w:pPr>
            <w:r>
              <w:t>There was a significant consolidation in the agreement number</w:t>
            </w:r>
            <w:r w:rsidR="009C41C5">
              <w:t>s</w:t>
            </w:r>
            <w:r>
              <w:t xml:space="preserve"> in 2015-16 compared to 2014-15. The</w:t>
            </w:r>
            <w:r w:rsidR="00861E8A">
              <w:t xml:space="preserve"> number of</w:t>
            </w:r>
            <w:r>
              <w:t xml:space="preserve"> agreement</w:t>
            </w:r>
            <w:r w:rsidR="00861E8A">
              <w:t>s</w:t>
            </w:r>
            <w:r>
              <w:t xml:space="preserve"> </w:t>
            </w:r>
            <w:r w:rsidR="00861E8A">
              <w:t>decreased by</w:t>
            </w:r>
            <w:r>
              <w:t xml:space="preserve"> 3</w:t>
            </w:r>
            <w:r w:rsidR="00861E8A">
              <w:t>0</w:t>
            </w:r>
            <w:r>
              <w:t>% in 2015-16</w:t>
            </w:r>
            <w:r w:rsidR="007E61A4">
              <w:t xml:space="preserve"> (from 78-53)</w:t>
            </w:r>
            <w:r>
              <w:t>.</w:t>
            </w:r>
          </w:p>
        </w:tc>
      </w:tr>
      <w:tr w:rsidR="00400B0F" w:rsidRPr="00C61187" w14:paraId="4C152153"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133C8087" w14:textId="77777777" w:rsidR="00400B0F" w:rsidRPr="0000095D" w:rsidRDefault="00A66CAA" w:rsidP="0000095D">
            <w:pPr>
              <w:keepLines/>
              <w:spacing w:before="40" w:after="40" w:line="200" w:lineRule="atLeast"/>
            </w:pPr>
            <w:r>
              <w:t>Ensure sufficient management attention is given to new and transitioning programs to avoid delays, progra</w:t>
            </w:r>
            <w:r w:rsidR="0000095D">
              <w:t xml:space="preserve">m gaps and budget fluctuation. </w:t>
            </w:r>
          </w:p>
        </w:tc>
        <w:tc>
          <w:tcPr>
            <w:tcW w:w="964" w:type="dxa"/>
            <w:shd w:val="clear" w:color="auto" w:fill="92D050"/>
          </w:tcPr>
          <w:p w14:paraId="131B8261" w14:textId="77777777" w:rsidR="00400B0F" w:rsidRPr="0000095D" w:rsidRDefault="007F7C4C" w:rsidP="00DB543B">
            <w:pPr>
              <w:keepLines/>
              <w:spacing w:before="40" w:after="40" w:line="200" w:lineRule="atLeast"/>
              <w:jc w:val="center"/>
              <w:rPr>
                <w:rFonts w:asciiTheme="minorHAnsi" w:eastAsia="Times New Roman" w:hAnsiTheme="minorHAnsi"/>
                <w:iCs/>
                <w:color w:val="auto"/>
                <w:szCs w:val="17"/>
                <w:lang w:eastAsia="en-US"/>
              </w:rPr>
            </w:pPr>
            <w:r w:rsidRPr="004F0626">
              <w:rPr>
                <w:rFonts w:asciiTheme="minorHAnsi" w:eastAsia="Times New Roman" w:hAnsiTheme="minorHAnsi"/>
                <w:iCs/>
                <w:color w:val="FFFFFF" w:themeColor="background1"/>
                <w:szCs w:val="17"/>
                <w:lang w:eastAsia="en-US"/>
              </w:rPr>
              <w:t>Achieved</w:t>
            </w:r>
          </w:p>
        </w:tc>
        <w:tc>
          <w:tcPr>
            <w:tcW w:w="6896" w:type="dxa"/>
          </w:tcPr>
          <w:p w14:paraId="216573B8" w14:textId="77777777" w:rsidR="00400B0F" w:rsidRPr="00880004" w:rsidRDefault="007F7C4C" w:rsidP="007E61A4">
            <w:pPr>
              <w:keepLines/>
              <w:spacing w:before="40" w:after="40" w:line="200" w:lineRule="atLeast"/>
              <w:rPr>
                <w:rFonts w:asciiTheme="minorHAnsi" w:eastAsia="Times New Roman" w:hAnsiTheme="minorHAnsi"/>
                <w:iCs/>
                <w:color w:val="92D050"/>
                <w:szCs w:val="17"/>
                <w:lang w:eastAsia="en-US"/>
              </w:rPr>
            </w:pPr>
            <w:r w:rsidRPr="000B73E9">
              <w:t xml:space="preserve">Five </w:t>
            </w:r>
            <w:r w:rsidR="007E61A4">
              <w:t>initiatives</w:t>
            </w:r>
            <w:r w:rsidR="007E61A4" w:rsidRPr="000B73E9">
              <w:t xml:space="preserve"> </w:t>
            </w:r>
            <w:r w:rsidRPr="000B73E9">
              <w:t xml:space="preserve">(CAVAC, </w:t>
            </w:r>
            <w:r w:rsidR="007E61A4">
              <w:t>Law and Justice</w:t>
            </w:r>
            <w:r w:rsidRPr="000B73E9">
              <w:t>, C</w:t>
            </w:r>
            <w:r w:rsidR="009C41C5">
              <w:t>F</w:t>
            </w:r>
            <w:r w:rsidRPr="000B73E9">
              <w:t>R</w:t>
            </w:r>
            <w:r w:rsidR="00524858">
              <w:t>II</w:t>
            </w:r>
            <w:r w:rsidRPr="000B73E9">
              <w:t xml:space="preserve">, </w:t>
            </w:r>
            <w:r w:rsidR="000B73E9" w:rsidRPr="000B73E9">
              <w:t xml:space="preserve">CCAP) completed and were </w:t>
            </w:r>
            <w:r w:rsidR="00D82092">
              <w:t xml:space="preserve">in transition into new phases </w:t>
            </w:r>
            <w:r w:rsidR="00250354">
              <w:t xml:space="preserve">(where relevant) </w:t>
            </w:r>
            <w:r w:rsidR="00D82092">
              <w:t>w</w:t>
            </w:r>
            <w:r w:rsidR="000B73E9" w:rsidRPr="000B73E9">
              <w:t>ithout delay</w:t>
            </w:r>
            <w:r w:rsidR="00D82092">
              <w:t>s</w:t>
            </w:r>
            <w:r w:rsidR="000B73E9" w:rsidRPr="000B73E9">
              <w:t>, gap</w:t>
            </w:r>
            <w:r w:rsidR="00D82092">
              <w:t>s</w:t>
            </w:r>
            <w:r w:rsidR="000B73E9" w:rsidRPr="000B73E9">
              <w:t xml:space="preserve"> or financial issues. </w:t>
            </w:r>
            <w:r w:rsidR="007E61A4" w:rsidRPr="000B73E9">
              <w:t>T</w:t>
            </w:r>
            <w:r w:rsidR="007E61A4">
              <w:t>wo</w:t>
            </w:r>
            <w:r w:rsidR="007E61A4" w:rsidRPr="000B73E9">
              <w:t xml:space="preserve"> </w:t>
            </w:r>
            <w:r w:rsidR="000B73E9" w:rsidRPr="000B73E9">
              <w:t xml:space="preserve">new </w:t>
            </w:r>
            <w:r w:rsidR="007E61A4" w:rsidRPr="000B73E9">
              <w:t>i</w:t>
            </w:r>
            <w:r w:rsidR="007E61A4">
              <w:t xml:space="preserve">nitiatives </w:t>
            </w:r>
            <w:r w:rsidR="00D82092">
              <w:t xml:space="preserve">(3i, </w:t>
            </w:r>
            <w:r w:rsidR="007E61A4">
              <w:t xml:space="preserve">and </w:t>
            </w:r>
            <w:r w:rsidR="00D82092">
              <w:t>CPI</w:t>
            </w:r>
            <w:r w:rsidR="000B73E9" w:rsidRPr="000B73E9">
              <w:t>) established.</w:t>
            </w:r>
            <w:r w:rsidR="00250354">
              <w:t xml:space="preserve"> A new health program (H-EQIP) was designed and ready to transition from HSSP2 by year-end (on schedule). </w:t>
            </w:r>
          </w:p>
        </w:tc>
      </w:tr>
      <w:tr w:rsidR="00400B0F" w:rsidRPr="00C61187" w14:paraId="22E0CC2B"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61AC51EE" w14:textId="77777777" w:rsidR="00400B0F" w:rsidRPr="0000095D" w:rsidRDefault="0000095D" w:rsidP="006F27B1">
            <w:pPr>
              <w:keepLines/>
              <w:spacing w:before="40" w:after="40" w:line="200" w:lineRule="atLeast"/>
            </w:pPr>
            <w:r>
              <w:t>Maintain a strong focus on key risks such as child protection, fraud, work health and safety (WHS), as well as environmental and resettlement safeguards</w:t>
            </w:r>
            <w:r w:rsidR="00DB543B">
              <w:t>.</w:t>
            </w:r>
          </w:p>
        </w:tc>
        <w:tc>
          <w:tcPr>
            <w:tcW w:w="964" w:type="dxa"/>
            <w:shd w:val="clear" w:color="auto" w:fill="92D050"/>
          </w:tcPr>
          <w:p w14:paraId="2ACFFD11" w14:textId="77777777" w:rsidR="00400B0F" w:rsidRPr="0000095D" w:rsidRDefault="004F0626" w:rsidP="00DB543B">
            <w:pPr>
              <w:keepLines/>
              <w:spacing w:before="40" w:after="40" w:line="200" w:lineRule="atLeast"/>
              <w:jc w:val="center"/>
              <w:rPr>
                <w:rFonts w:asciiTheme="minorHAnsi" w:eastAsia="Times New Roman" w:hAnsiTheme="minorHAnsi"/>
                <w:iCs/>
                <w:color w:val="auto"/>
                <w:szCs w:val="17"/>
                <w:lang w:eastAsia="en-US"/>
              </w:rPr>
            </w:pPr>
            <w:r w:rsidRPr="00D661B6">
              <w:rPr>
                <w:rFonts w:asciiTheme="minorHAnsi" w:eastAsia="Times New Roman" w:hAnsiTheme="minorHAnsi"/>
                <w:iCs/>
                <w:color w:val="FFFFFF" w:themeColor="background1"/>
                <w:szCs w:val="17"/>
                <w:lang w:eastAsia="en-US"/>
              </w:rPr>
              <w:t>Achieved</w:t>
            </w:r>
          </w:p>
        </w:tc>
        <w:tc>
          <w:tcPr>
            <w:tcW w:w="6896" w:type="dxa"/>
          </w:tcPr>
          <w:p w14:paraId="082C3458" w14:textId="77777777" w:rsidR="00400B0F" w:rsidRPr="00880004" w:rsidRDefault="009376F8" w:rsidP="00163D67">
            <w:pPr>
              <w:keepLines/>
              <w:spacing w:before="40" w:after="40" w:line="200" w:lineRule="atLeast"/>
              <w:rPr>
                <w:rFonts w:asciiTheme="minorHAnsi" w:eastAsia="Times New Roman" w:hAnsiTheme="minorHAnsi"/>
                <w:iCs/>
                <w:color w:val="409F68" w:themeColor="accent6"/>
                <w:szCs w:val="17"/>
                <w:lang w:eastAsia="en-US"/>
              </w:rPr>
            </w:pPr>
            <w:r>
              <w:t>Ongoing focus on safeguard</w:t>
            </w:r>
            <w:r w:rsidR="00D661B6">
              <w:t xml:space="preserve"> risks, specifically child protection and resettlement when working in partnership with multilaterals. Child protection training </w:t>
            </w:r>
            <w:r w:rsidR="00163D67">
              <w:t xml:space="preserve">conducted in June 2016 </w:t>
            </w:r>
            <w:r w:rsidR="00D661B6">
              <w:t xml:space="preserve">for implementing partners and Post staff. Risk register managed and updated on quarterly basis. </w:t>
            </w:r>
          </w:p>
        </w:tc>
      </w:tr>
      <w:tr w:rsidR="00400B0F" w:rsidRPr="00C61187" w14:paraId="02EB0105" w14:textId="77777777" w:rsidTr="00E346EE">
        <w:trPr>
          <w:cnfStyle w:val="000000010000" w:firstRow="0" w:lastRow="0" w:firstColumn="0" w:lastColumn="0" w:oddVBand="0" w:evenVBand="0" w:oddHBand="0" w:evenHBand="1" w:firstRowFirstColumn="0" w:firstRowLastColumn="0" w:lastRowFirstColumn="0" w:lastRowLastColumn="0"/>
        </w:trPr>
        <w:tc>
          <w:tcPr>
            <w:tcW w:w="6473" w:type="dxa"/>
          </w:tcPr>
          <w:p w14:paraId="250549F1" w14:textId="77777777" w:rsidR="00400B0F" w:rsidRPr="00880004" w:rsidRDefault="00DB543B" w:rsidP="00DB543B">
            <w:pPr>
              <w:keepLines/>
              <w:spacing w:before="80" w:after="80" w:line="200" w:lineRule="atLeast"/>
              <w:rPr>
                <w:rFonts w:asciiTheme="minorHAnsi" w:eastAsia="Times New Roman" w:hAnsiTheme="minorHAnsi"/>
                <w:iCs/>
                <w:szCs w:val="17"/>
                <w:lang w:eastAsia="en-US"/>
              </w:rPr>
            </w:pPr>
            <w:r w:rsidRPr="00DB543B">
              <w:rPr>
                <w:rFonts w:asciiTheme="minorHAnsi" w:eastAsia="Times New Roman" w:hAnsiTheme="minorHAnsi"/>
                <w:b/>
                <w:iCs/>
                <w:szCs w:val="17"/>
                <w:lang w:eastAsia="en-US"/>
              </w:rPr>
              <w:t>Infrastructure</w:t>
            </w:r>
          </w:p>
        </w:tc>
        <w:tc>
          <w:tcPr>
            <w:tcW w:w="964" w:type="dxa"/>
            <w:shd w:val="clear" w:color="auto" w:fill="auto"/>
          </w:tcPr>
          <w:p w14:paraId="56F25E7E" w14:textId="77777777" w:rsidR="00400B0F" w:rsidRPr="0000095D" w:rsidRDefault="00400B0F" w:rsidP="00DB543B">
            <w:pPr>
              <w:keepLines/>
              <w:spacing w:before="40" w:after="40" w:line="200" w:lineRule="atLeast"/>
              <w:jc w:val="center"/>
              <w:rPr>
                <w:rFonts w:asciiTheme="minorHAnsi" w:eastAsia="Times New Roman" w:hAnsiTheme="minorHAnsi"/>
                <w:iCs/>
                <w:color w:val="auto"/>
                <w:szCs w:val="17"/>
                <w:lang w:eastAsia="en-US"/>
              </w:rPr>
            </w:pPr>
          </w:p>
        </w:tc>
        <w:tc>
          <w:tcPr>
            <w:tcW w:w="6896" w:type="dxa"/>
          </w:tcPr>
          <w:p w14:paraId="2B1FED9A" w14:textId="77777777" w:rsidR="00400B0F" w:rsidRPr="00880004" w:rsidRDefault="00400B0F" w:rsidP="006F27B1">
            <w:pPr>
              <w:keepLines/>
              <w:spacing w:before="40" w:after="40" w:line="200" w:lineRule="atLeast"/>
              <w:rPr>
                <w:rFonts w:asciiTheme="minorHAnsi" w:eastAsia="Times New Roman" w:hAnsiTheme="minorHAnsi"/>
                <w:iCs/>
                <w:color w:val="409F68" w:themeColor="accent6"/>
                <w:szCs w:val="17"/>
                <w:lang w:eastAsia="en-US"/>
              </w:rPr>
            </w:pPr>
          </w:p>
        </w:tc>
      </w:tr>
      <w:tr w:rsidR="0000095D" w:rsidRPr="00C61187" w14:paraId="2CA10CD2"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0C92C8A7" w14:textId="77777777" w:rsidR="0000095D" w:rsidRPr="00DB543B" w:rsidRDefault="00DB543B" w:rsidP="006F27B1">
            <w:pPr>
              <w:keepLines/>
              <w:spacing w:before="40" w:after="40" w:line="200" w:lineRule="atLeast"/>
            </w:pPr>
            <w:r>
              <w:t xml:space="preserve">Ensure lessons learnt from Flood Damage Emergency Reconstruction Project feed into the additional financing package. </w:t>
            </w:r>
          </w:p>
        </w:tc>
        <w:tc>
          <w:tcPr>
            <w:tcW w:w="964" w:type="dxa"/>
            <w:shd w:val="clear" w:color="auto" w:fill="92D050"/>
          </w:tcPr>
          <w:p w14:paraId="76286C1C" w14:textId="77777777" w:rsidR="0000095D" w:rsidRPr="00D44AA6" w:rsidRDefault="00D44AA6" w:rsidP="00DB543B">
            <w:pPr>
              <w:jc w:val="center"/>
              <w:rPr>
                <w:color w:val="FFFFFF" w:themeColor="background1"/>
              </w:rPr>
            </w:pPr>
            <w:r w:rsidRPr="00D44AA6">
              <w:rPr>
                <w:rFonts w:asciiTheme="minorHAnsi" w:eastAsia="Times New Roman" w:hAnsiTheme="minorHAnsi"/>
                <w:iCs/>
                <w:color w:val="FFFFFF" w:themeColor="background1"/>
                <w:szCs w:val="17"/>
                <w:lang w:eastAsia="en-US"/>
              </w:rPr>
              <w:t>Achieved</w:t>
            </w:r>
          </w:p>
        </w:tc>
        <w:tc>
          <w:tcPr>
            <w:tcW w:w="6896" w:type="dxa"/>
          </w:tcPr>
          <w:p w14:paraId="07C85CE9" w14:textId="77777777" w:rsidR="0000095D" w:rsidRPr="00D44AA6" w:rsidRDefault="00D44AA6" w:rsidP="006F27B1">
            <w:pPr>
              <w:keepLines/>
              <w:spacing w:before="40" w:after="40" w:line="200" w:lineRule="atLeast"/>
            </w:pPr>
            <w:r w:rsidRPr="00D44AA6">
              <w:t>Reinforced in supervision missions on 9-21 September 2015 and 16-26 February 2016 as well as day-to-day management.</w:t>
            </w:r>
          </w:p>
        </w:tc>
      </w:tr>
      <w:tr w:rsidR="0000095D" w:rsidRPr="00C61187" w14:paraId="04DE544B"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39759447" w14:textId="77777777" w:rsidR="0000095D" w:rsidRPr="007C00BC" w:rsidRDefault="00DB543B" w:rsidP="007C00BC">
            <w:pPr>
              <w:keepLines/>
              <w:spacing w:before="40" w:after="40" w:line="200" w:lineRule="atLeast"/>
            </w:pPr>
            <w:r>
              <w:t xml:space="preserve">Ensure timely implementation of 3i in line with contract documentation. </w:t>
            </w:r>
          </w:p>
        </w:tc>
        <w:tc>
          <w:tcPr>
            <w:tcW w:w="964" w:type="dxa"/>
            <w:shd w:val="clear" w:color="auto" w:fill="92D050"/>
          </w:tcPr>
          <w:p w14:paraId="6EC64646" w14:textId="77777777" w:rsidR="0000095D" w:rsidRPr="00D44AA6" w:rsidRDefault="00D44AA6" w:rsidP="00DB543B">
            <w:pPr>
              <w:jc w:val="center"/>
              <w:rPr>
                <w:color w:val="FFFFFF" w:themeColor="background1"/>
              </w:rPr>
            </w:pPr>
            <w:r w:rsidRPr="00D44AA6">
              <w:rPr>
                <w:rFonts w:asciiTheme="minorHAnsi" w:eastAsia="Times New Roman" w:hAnsiTheme="minorHAnsi"/>
                <w:iCs/>
                <w:color w:val="FFFFFF" w:themeColor="background1"/>
                <w:szCs w:val="17"/>
                <w:lang w:eastAsia="en-US"/>
              </w:rPr>
              <w:t>Achieved</w:t>
            </w:r>
          </w:p>
        </w:tc>
        <w:tc>
          <w:tcPr>
            <w:tcW w:w="6896" w:type="dxa"/>
          </w:tcPr>
          <w:p w14:paraId="4782ED81" w14:textId="2774BB48" w:rsidR="0000095D" w:rsidRPr="00D44AA6" w:rsidRDefault="00D44AA6" w:rsidP="007E61A4">
            <w:pPr>
              <w:keepLines/>
              <w:spacing w:before="40" w:after="40" w:line="200" w:lineRule="atLeast"/>
            </w:pPr>
            <w:r w:rsidRPr="00D44AA6">
              <w:t>Project on-track to complete first investment pilots in 2016. 2016 Annual Work Plan approved</w:t>
            </w:r>
            <w:r w:rsidR="008E4949">
              <w:t xml:space="preserve">. </w:t>
            </w:r>
            <w:r w:rsidRPr="00D44AA6">
              <w:t xml:space="preserve">One proposal was granted no-objection from Oversight Committee and is under final evaluation of the Program Board. </w:t>
            </w:r>
          </w:p>
        </w:tc>
      </w:tr>
      <w:tr w:rsidR="000F21C1" w:rsidRPr="00C61187" w14:paraId="12B39AA5" w14:textId="77777777" w:rsidTr="00E346EE">
        <w:trPr>
          <w:cnfStyle w:val="000000010000" w:firstRow="0" w:lastRow="0" w:firstColumn="0" w:lastColumn="0" w:oddVBand="0" w:evenVBand="0" w:oddHBand="0" w:evenHBand="1" w:firstRowFirstColumn="0" w:firstRowLastColumn="0" w:lastRowFirstColumn="0" w:lastRowLastColumn="0"/>
        </w:trPr>
        <w:tc>
          <w:tcPr>
            <w:tcW w:w="6473" w:type="dxa"/>
          </w:tcPr>
          <w:p w14:paraId="60548056" w14:textId="77777777" w:rsidR="000F21C1" w:rsidRPr="00DB543B" w:rsidRDefault="000F21C1" w:rsidP="00DB543B">
            <w:pPr>
              <w:keepLines/>
              <w:spacing w:before="40" w:after="40" w:line="200" w:lineRule="atLeast"/>
              <w:rPr>
                <w:rFonts w:eastAsia="Times New Roman"/>
                <w:b/>
                <w:iCs/>
                <w:szCs w:val="17"/>
              </w:rPr>
            </w:pPr>
            <w:r>
              <w:rPr>
                <w:rFonts w:eastAsia="Times New Roman"/>
                <w:b/>
                <w:iCs/>
                <w:szCs w:val="17"/>
              </w:rPr>
              <w:t>Agriculture and Rural Development</w:t>
            </w:r>
          </w:p>
        </w:tc>
        <w:tc>
          <w:tcPr>
            <w:tcW w:w="964" w:type="dxa"/>
            <w:shd w:val="clear" w:color="auto" w:fill="auto"/>
          </w:tcPr>
          <w:p w14:paraId="24CC3AD6" w14:textId="77777777" w:rsidR="000F21C1" w:rsidRPr="00AC799C" w:rsidRDefault="000F21C1" w:rsidP="00DB543B">
            <w:pPr>
              <w:jc w:val="center"/>
              <w:rPr>
                <w:rFonts w:eastAsia="Times New Roman"/>
                <w:iCs/>
                <w:color w:val="auto"/>
                <w:szCs w:val="17"/>
              </w:rPr>
            </w:pPr>
          </w:p>
        </w:tc>
        <w:tc>
          <w:tcPr>
            <w:tcW w:w="6896" w:type="dxa"/>
          </w:tcPr>
          <w:p w14:paraId="49F9E42E" w14:textId="77777777" w:rsidR="000F21C1" w:rsidRPr="00880004" w:rsidRDefault="000F21C1" w:rsidP="006F27B1">
            <w:pPr>
              <w:keepLines/>
              <w:spacing w:before="40" w:after="40" w:line="200" w:lineRule="atLeast"/>
              <w:rPr>
                <w:rFonts w:eastAsia="Times New Roman"/>
                <w:iCs/>
                <w:color w:val="409F68" w:themeColor="accent6"/>
                <w:szCs w:val="17"/>
              </w:rPr>
            </w:pPr>
          </w:p>
        </w:tc>
      </w:tr>
      <w:tr w:rsidR="000F21C1" w:rsidRPr="000F21C1" w14:paraId="40E08AAA"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0F406EEE" w14:textId="77777777" w:rsidR="000F21C1" w:rsidRPr="000F21C1" w:rsidRDefault="000F21C1" w:rsidP="000F21C1">
            <w:pPr>
              <w:keepLines/>
              <w:spacing w:before="40" w:after="40" w:line="200" w:lineRule="atLeast"/>
            </w:pPr>
            <w:r w:rsidRPr="00F73C74">
              <w:t>Ensure good preparation and smooth transition to CAVAC Phase II by January 2016</w:t>
            </w:r>
            <w:r>
              <w:t>.</w:t>
            </w:r>
            <w:r w:rsidRPr="00F73C74">
              <w:t xml:space="preserve"> </w:t>
            </w:r>
          </w:p>
        </w:tc>
        <w:tc>
          <w:tcPr>
            <w:tcW w:w="964" w:type="dxa"/>
            <w:shd w:val="clear" w:color="auto" w:fill="92D050"/>
          </w:tcPr>
          <w:p w14:paraId="35EC62C6" w14:textId="77777777" w:rsidR="000F21C1" w:rsidRPr="000F21C1" w:rsidRDefault="00AB6A49" w:rsidP="000F21C1">
            <w:pPr>
              <w:keepLines/>
              <w:spacing w:before="40" w:after="40" w:line="200" w:lineRule="atLeast"/>
            </w:pPr>
            <w:r w:rsidRPr="00104177">
              <w:rPr>
                <w:color w:val="FFFFFF" w:themeColor="background1"/>
              </w:rPr>
              <w:t xml:space="preserve">Achieved </w:t>
            </w:r>
          </w:p>
        </w:tc>
        <w:tc>
          <w:tcPr>
            <w:tcW w:w="6896" w:type="dxa"/>
          </w:tcPr>
          <w:p w14:paraId="48961641" w14:textId="77777777" w:rsidR="000F21C1" w:rsidRPr="000F21C1" w:rsidRDefault="00AB6A49" w:rsidP="007E61A4">
            <w:pPr>
              <w:keepLines/>
              <w:spacing w:before="40" w:after="40" w:line="200" w:lineRule="atLeast"/>
            </w:pPr>
            <w:r>
              <w:t xml:space="preserve">There was a </w:t>
            </w:r>
            <w:r w:rsidR="00D82092">
              <w:t>sound</w:t>
            </w:r>
            <w:r>
              <w:t xml:space="preserve"> transition from Phase I to II. The contract with the new Contractor, Cardno Emerging Market was signed on 16 January 2016. The team mobilised and most staff from CAVAC I were novated to CAVAC II. Contracts for </w:t>
            </w:r>
            <w:r w:rsidR="007E61A4">
              <w:t>seven</w:t>
            </w:r>
            <w:r>
              <w:t xml:space="preserve"> irrigation schemes were approved and construction started in April 2016. </w:t>
            </w:r>
            <w:r w:rsidR="007E61A4">
              <w:t>Construction is</w:t>
            </w:r>
            <w:r>
              <w:t xml:space="preserve"> expected to be completed at the end of 2016.</w:t>
            </w:r>
          </w:p>
        </w:tc>
      </w:tr>
      <w:tr w:rsidR="004F0626" w:rsidRPr="000F21C1" w14:paraId="2C11AB15"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5270F8B2" w14:textId="71B190A1" w:rsidR="004F0626" w:rsidRPr="000F21C1" w:rsidRDefault="004F0626" w:rsidP="004F0626">
            <w:pPr>
              <w:keepLines/>
              <w:spacing w:before="40" w:after="40" w:line="200" w:lineRule="atLeast"/>
            </w:pPr>
            <w:r w:rsidRPr="00F73C74">
              <w:t>Capture lesson</w:t>
            </w:r>
            <w:r>
              <w:t>s</w:t>
            </w:r>
            <w:r w:rsidRPr="00F73C74">
              <w:t xml:space="preserve"> learned from CAVAC Phase I </w:t>
            </w:r>
            <w:r>
              <w:t xml:space="preserve">in the end of project impact analysis </w:t>
            </w:r>
            <w:r w:rsidRPr="00F73C74">
              <w:t xml:space="preserve">to inform </w:t>
            </w:r>
            <w:r>
              <w:t xml:space="preserve">the implementation of CAVAC </w:t>
            </w:r>
            <w:r w:rsidRPr="00F73C74">
              <w:t>Phase II</w:t>
            </w:r>
            <w:r>
              <w:t>, including a specific focus on sustainability of FWUCs</w:t>
            </w:r>
            <w:r w:rsidRPr="00F73C74">
              <w:t>.</w:t>
            </w:r>
          </w:p>
        </w:tc>
        <w:tc>
          <w:tcPr>
            <w:tcW w:w="964" w:type="dxa"/>
            <w:shd w:val="clear" w:color="auto" w:fill="C15A2D" w:themeFill="accent5"/>
          </w:tcPr>
          <w:p w14:paraId="5301A9AB" w14:textId="77777777" w:rsidR="004F0626" w:rsidRPr="00D44AA6" w:rsidRDefault="00D82092" w:rsidP="008B2991">
            <w:pPr>
              <w:keepLines/>
              <w:spacing w:before="40" w:after="40" w:line="200" w:lineRule="atLeast"/>
              <w:jc w:val="center"/>
              <w:rPr>
                <w:color w:val="FFFFFF" w:themeColor="background1"/>
              </w:rPr>
            </w:pPr>
            <w:r w:rsidRPr="00D82092">
              <w:rPr>
                <w:color w:val="FFFFFF" w:themeColor="background1"/>
              </w:rPr>
              <w:t>Partly achiev</w:t>
            </w:r>
            <w:r w:rsidRPr="008B2991">
              <w:rPr>
                <w:color w:val="FFFFFF" w:themeColor="background1"/>
                <w:shd w:val="clear" w:color="auto" w:fill="C15A2D" w:themeFill="accent5"/>
              </w:rPr>
              <w:t>e</w:t>
            </w:r>
            <w:r w:rsidRPr="00D82092">
              <w:rPr>
                <w:color w:val="FFFFFF" w:themeColor="background1"/>
              </w:rPr>
              <w:t>d</w:t>
            </w:r>
          </w:p>
        </w:tc>
        <w:tc>
          <w:tcPr>
            <w:tcW w:w="6896" w:type="dxa"/>
          </w:tcPr>
          <w:p w14:paraId="01D6E4BC" w14:textId="77777777" w:rsidR="004F0626" w:rsidRPr="000F21C1" w:rsidRDefault="004F0626" w:rsidP="004F0626">
            <w:pPr>
              <w:keepLines/>
              <w:spacing w:before="40" w:after="40" w:line="200" w:lineRule="atLeast"/>
            </w:pPr>
            <w:r>
              <w:t>Ongoing. As part of the CAVAC II 2016 Annual Work Plan, a Dissemination Workshop on CAVAC I Results, Impacts and Lessons Learnt will be held in October 2016.</w:t>
            </w:r>
          </w:p>
        </w:tc>
      </w:tr>
      <w:tr w:rsidR="004F0626" w:rsidRPr="000F21C1" w14:paraId="636C22F9"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3CDD139B" w14:textId="1D6CEEF7" w:rsidR="004F0626" w:rsidRPr="00F73C74" w:rsidRDefault="004F0626" w:rsidP="004F0626">
            <w:pPr>
              <w:keepLines/>
              <w:spacing w:before="40" w:after="40" w:line="200" w:lineRule="atLeast"/>
            </w:pPr>
            <w:r>
              <w:t>Progress the design and ensure smooth transition to the next phase of demining support</w:t>
            </w:r>
            <w:r w:rsidR="008E4949">
              <w:t xml:space="preserve">. </w:t>
            </w:r>
          </w:p>
        </w:tc>
        <w:tc>
          <w:tcPr>
            <w:tcW w:w="964" w:type="dxa"/>
            <w:shd w:val="clear" w:color="auto" w:fill="92D050"/>
          </w:tcPr>
          <w:p w14:paraId="0845FD06" w14:textId="77777777" w:rsidR="004F0626" w:rsidRPr="00D44AA6" w:rsidRDefault="004F0626" w:rsidP="004F0626">
            <w:pPr>
              <w:jc w:val="center"/>
              <w:rPr>
                <w:color w:val="FFFFFF" w:themeColor="background1"/>
              </w:rPr>
            </w:pPr>
            <w:r w:rsidRPr="00D44AA6">
              <w:rPr>
                <w:rFonts w:asciiTheme="minorHAnsi" w:eastAsia="Times New Roman" w:hAnsiTheme="minorHAnsi"/>
                <w:iCs/>
                <w:color w:val="FFFFFF" w:themeColor="background1"/>
                <w:szCs w:val="17"/>
                <w:lang w:eastAsia="en-US"/>
              </w:rPr>
              <w:t>Achieved</w:t>
            </w:r>
          </w:p>
        </w:tc>
        <w:tc>
          <w:tcPr>
            <w:tcW w:w="6896" w:type="dxa"/>
          </w:tcPr>
          <w:p w14:paraId="00088F3F" w14:textId="77777777" w:rsidR="004F0626" w:rsidRDefault="00104177" w:rsidP="00104177">
            <w:pPr>
              <w:keepLines/>
              <w:spacing w:before="40" w:after="40" w:line="200" w:lineRule="atLeast"/>
            </w:pPr>
            <w:r>
              <w:t>The design of C</w:t>
            </w:r>
            <w:r w:rsidR="009C41C5">
              <w:t>F</w:t>
            </w:r>
            <w:r>
              <w:t>R Phase 3 was been successfully completed as planned and implementation is underway.</w:t>
            </w:r>
          </w:p>
        </w:tc>
      </w:tr>
      <w:tr w:rsidR="004F0626" w:rsidRPr="00C61187" w14:paraId="048B7AEC" w14:textId="77777777" w:rsidTr="00E346EE">
        <w:trPr>
          <w:cnfStyle w:val="000000010000" w:firstRow="0" w:lastRow="0" w:firstColumn="0" w:lastColumn="0" w:oddVBand="0" w:evenVBand="0" w:oddHBand="0" w:evenHBand="1" w:firstRowFirstColumn="0" w:firstRowLastColumn="0" w:lastRowFirstColumn="0" w:lastRowLastColumn="0"/>
        </w:trPr>
        <w:tc>
          <w:tcPr>
            <w:tcW w:w="6473" w:type="dxa"/>
          </w:tcPr>
          <w:p w14:paraId="5E1DD987" w14:textId="77777777" w:rsidR="00446354" w:rsidRDefault="00446354" w:rsidP="004F0626">
            <w:pPr>
              <w:keepLines/>
              <w:spacing w:before="40" w:after="40" w:line="200" w:lineRule="atLeast"/>
              <w:rPr>
                <w:rFonts w:asciiTheme="minorHAnsi" w:eastAsia="Times New Roman" w:hAnsiTheme="minorHAnsi"/>
                <w:b/>
                <w:iCs/>
                <w:szCs w:val="17"/>
                <w:lang w:eastAsia="en-US"/>
              </w:rPr>
            </w:pPr>
          </w:p>
          <w:p w14:paraId="4686A86A" w14:textId="77777777" w:rsidR="004F0626" w:rsidRDefault="004F0626" w:rsidP="004F0626">
            <w:pPr>
              <w:keepLines/>
              <w:spacing w:before="40" w:after="40" w:line="200" w:lineRule="atLeast"/>
            </w:pPr>
            <w:r w:rsidRPr="00DB543B">
              <w:rPr>
                <w:rFonts w:asciiTheme="minorHAnsi" w:eastAsia="Times New Roman" w:hAnsiTheme="minorHAnsi"/>
                <w:b/>
                <w:iCs/>
                <w:szCs w:val="17"/>
                <w:lang w:eastAsia="en-US"/>
              </w:rPr>
              <w:t>Health and Education</w:t>
            </w:r>
          </w:p>
        </w:tc>
        <w:tc>
          <w:tcPr>
            <w:tcW w:w="964" w:type="dxa"/>
            <w:shd w:val="clear" w:color="auto" w:fill="auto"/>
          </w:tcPr>
          <w:p w14:paraId="36F7B895" w14:textId="77777777" w:rsidR="004F0626" w:rsidRPr="00AC799C" w:rsidRDefault="004F0626" w:rsidP="004F0626">
            <w:pPr>
              <w:jc w:val="center"/>
              <w:rPr>
                <w:rFonts w:eastAsia="Times New Roman"/>
                <w:iCs/>
                <w:color w:val="auto"/>
                <w:szCs w:val="17"/>
              </w:rPr>
            </w:pPr>
          </w:p>
        </w:tc>
        <w:tc>
          <w:tcPr>
            <w:tcW w:w="6896" w:type="dxa"/>
          </w:tcPr>
          <w:p w14:paraId="5871104F" w14:textId="77777777" w:rsidR="004F0626" w:rsidRPr="00880004" w:rsidRDefault="004F0626" w:rsidP="004F0626">
            <w:pPr>
              <w:keepLines/>
              <w:spacing w:before="40" w:after="40" w:line="200" w:lineRule="atLeast"/>
              <w:rPr>
                <w:rFonts w:eastAsia="Times New Roman"/>
                <w:iCs/>
                <w:color w:val="409F68" w:themeColor="accent6"/>
                <w:szCs w:val="17"/>
              </w:rPr>
            </w:pPr>
          </w:p>
        </w:tc>
      </w:tr>
      <w:tr w:rsidR="004F0626" w:rsidRPr="00C61187" w14:paraId="4C166C6E"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75F76980" w14:textId="77777777" w:rsidR="004F0626" w:rsidRPr="00DB543B" w:rsidRDefault="004F0626" w:rsidP="004F0626">
            <w:pPr>
              <w:keepLines/>
              <w:spacing w:before="40" w:after="40" w:line="200" w:lineRule="atLeast"/>
            </w:pPr>
            <w:r>
              <w:t>Work with the World Bank to ensure the timely delivery of the design for a new health program for 2016–20.</w:t>
            </w:r>
          </w:p>
        </w:tc>
        <w:tc>
          <w:tcPr>
            <w:tcW w:w="964" w:type="dxa"/>
            <w:shd w:val="clear" w:color="auto" w:fill="92D050"/>
          </w:tcPr>
          <w:p w14:paraId="2F97556D" w14:textId="77777777" w:rsidR="004F0626" w:rsidRDefault="008B2991" w:rsidP="004F0626">
            <w:pPr>
              <w:keepLines/>
              <w:spacing w:before="40" w:after="40" w:line="200" w:lineRule="atLeast"/>
              <w:jc w:val="center"/>
            </w:pPr>
            <w:r w:rsidRPr="00104177">
              <w:rPr>
                <w:color w:val="FFFFFF" w:themeColor="background1"/>
              </w:rPr>
              <w:t>Achieved</w:t>
            </w:r>
          </w:p>
        </w:tc>
        <w:tc>
          <w:tcPr>
            <w:tcW w:w="6896" w:type="dxa"/>
          </w:tcPr>
          <w:p w14:paraId="5BB50F3D" w14:textId="77777777" w:rsidR="004F0626" w:rsidRPr="00DB543B" w:rsidRDefault="004F0626" w:rsidP="007E61A4">
            <w:pPr>
              <w:keepLines/>
              <w:spacing w:before="40" w:after="40" w:line="200" w:lineRule="atLeast"/>
            </w:pPr>
            <w:r>
              <w:t>The new health program design has been successfully completed as planned</w:t>
            </w:r>
            <w:r w:rsidR="007E61A4">
              <w:t xml:space="preserve">, with H-EQIP mobilised in </w:t>
            </w:r>
            <w:r>
              <w:t>August 2016.</w:t>
            </w:r>
          </w:p>
        </w:tc>
      </w:tr>
      <w:tr w:rsidR="004F0626" w:rsidRPr="00C61187" w14:paraId="51CA3E30"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134A8690" w14:textId="77777777" w:rsidR="004F0626" w:rsidRPr="00DB543B" w:rsidRDefault="004F0626" w:rsidP="004F0626">
            <w:pPr>
              <w:keepLines/>
              <w:spacing w:before="40" w:after="40" w:line="200" w:lineRule="atLeast"/>
            </w:pPr>
            <w:r>
              <w:t>Continue to advocate with the Cambodian Government to agree and implement reforms for a more sustainable and cost effective health financing mechanism.</w:t>
            </w:r>
          </w:p>
        </w:tc>
        <w:tc>
          <w:tcPr>
            <w:tcW w:w="964" w:type="dxa"/>
            <w:shd w:val="clear" w:color="auto" w:fill="92D050"/>
          </w:tcPr>
          <w:p w14:paraId="2D190A8B" w14:textId="77777777" w:rsidR="004F0626" w:rsidRDefault="008B2991" w:rsidP="004F0626">
            <w:pPr>
              <w:keepLines/>
              <w:spacing w:before="40" w:after="40" w:line="200" w:lineRule="atLeast"/>
              <w:jc w:val="center"/>
            </w:pPr>
            <w:r w:rsidRPr="00104177">
              <w:rPr>
                <w:color w:val="FFFFFF" w:themeColor="background1"/>
              </w:rPr>
              <w:t>Achieved</w:t>
            </w:r>
          </w:p>
        </w:tc>
        <w:tc>
          <w:tcPr>
            <w:tcW w:w="6896" w:type="dxa"/>
          </w:tcPr>
          <w:p w14:paraId="34B6543B" w14:textId="77777777" w:rsidR="004F0626" w:rsidRPr="00DB543B" w:rsidRDefault="004F0626" w:rsidP="007E61A4">
            <w:pPr>
              <w:keepLines/>
              <w:spacing w:before="40" w:after="40" w:line="200" w:lineRule="atLeast"/>
            </w:pPr>
            <w:r>
              <w:t>More effective health financing mechanism has been endorsed by Government within H</w:t>
            </w:r>
            <w:r w:rsidR="007E61A4">
              <w:noBreakHyphen/>
            </w:r>
            <w:r>
              <w:t>EQIP.</w:t>
            </w:r>
          </w:p>
        </w:tc>
      </w:tr>
      <w:tr w:rsidR="004F0626" w:rsidRPr="00C61187" w14:paraId="325D13C2"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56C0A0B6" w14:textId="77777777" w:rsidR="004F0626" w:rsidRPr="00DB543B" w:rsidRDefault="004F0626" w:rsidP="004F0626">
            <w:pPr>
              <w:keepLines/>
              <w:spacing w:before="40" w:after="40" w:line="200" w:lineRule="atLeast"/>
            </w:pPr>
            <w:r>
              <w:t>Independently review progress on Partnering to Save Lives to inform future investments in reproductive, maternal and child health.</w:t>
            </w:r>
          </w:p>
        </w:tc>
        <w:tc>
          <w:tcPr>
            <w:tcW w:w="964" w:type="dxa"/>
            <w:shd w:val="clear" w:color="auto" w:fill="92D050"/>
          </w:tcPr>
          <w:p w14:paraId="36E247D3" w14:textId="77777777" w:rsidR="004F0626" w:rsidRDefault="008B2991" w:rsidP="004F0626">
            <w:pPr>
              <w:jc w:val="center"/>
            </w:pPr>
            <w:r w:rsidRPr="00104177">
              <w:rPr>
                <w:color w:val="FFFFFF" w:themeColor="background1"/>
              </w:rPr>
              <w:t>Achieved</w:t>
            </w:r>
          </w:p>
        </w:tc>
        <w:tc>
          <w:tcPr>
            <w:tcW w:w="6896" w:type="dxa"/>
          </w:tcPr>
          <w:p w14:paraId="21EA3E19" w14:textId="77777777" w:rsidR="004F0626" w:rsidRPr="00DB543B" w:rsidRDefault="004F0626" w:rsidP="004F0626">
            <w:pPr>
              <w:keepLines/>
              <w:spacing w:before="40" w:after="40" w:line="200" w:lineRule="atLeast"/>
            </w:pPr>
            <w:r w:rsidRPr="00EF51CF">
              <w:t>PSL extended for a final two years in April 2016. The Annual Operation Plan for year 4 was submitted to DFAT on 1 June 2016. It reflects Mid-Term Review recommendations.</w:t>
            </w:r>
          </w:p>
        </w:tc>
      </w:tr>
      <w:tr w:rsidR="004F0626" w:rsidRPr="00C61187" w14:paraId="4DAE2764"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37CBC8AD" w14:textId="77777777" w:rsidR="004F0626" w:rsidRPr="00DB543B" w:rsidRDefault="004F0626" w:rsidP="004F0626">
            <w:pPr>
              <w:keepLines/>
              <w:spacing w:before="40" w:after="40" w:line="200" w:lineRule="atLeast"/>
            </w:pPr>
            <w:r>
              <w:t xml:space="preserve">Implement the recommendations of the mid-term review of the Australia Awards </w:t>
            </w:r>
            <w:r w:rsidR="008A7E51">
              <w:t>p</w:t>
            </w:r>
            <w:r>
              <w:t>rogram.</w:t>
            </w:r>
          </w:p>
        </w:tc>
        <w:tc>
          <w:tcPr>
            <w:tcW w:w="964" w:type="dxa"/>
            <w:shd w:val="clear" w:color="auto" w:fill="92D050"/>
          </w:tcPr>
          <w:p w14:paraId="1FDE6E77" w14:textId="77777777" w:rsidR="004F0626" w:rsidRPr="00DB543B" w:rsidRDefault="008B2991" w:rsidP="004F0626">
            <w:pPr>
              <w:jc w:val="center"/>
            </w:pPr>
            <w:r w:rsidRPr="00104177">
              <w:rPr>
                <w:color w:val="FFFFFF" w:themeColor="background1"/>
              </w:rPr>
              <w:t>Achieved</w:t>
            </w:r>
          </w:p>
        </w:tc>
        <w:tc>
          <w:tcPr>
            <w:tcW w:w="6896" w:type="dxa"/>
          </w:tcPr>
          <w:p w14:paraId="33408800" w14:textId="77AA637B" w:rsidR="004F0626" w:rsidRPr="00DB543B" w:rsidRDefault="004F0626" w:rsidP="004F0626">
            <w:pPr>
              <w:keepLines/>
              <w:spacing w:before="40" w:after="40" w:line="200" w:lineRule="atLeast"/>
            </w:pPr>
            <w:r w:rsidRPr="00E049BC">
              <w:t xml:space="preserve">Recommendations from the mid-term review are being implemented, i.e. contract has been extended for another two years, </w:t>
            </w:r>
            <w:r w:rsidR="00104177" w:rsidRPr="00E049BC">
              <w:t>and other</w:t>
            </w:r>
            <w:r w:rsidRPr="00E049BC">
              <w:t xml:space="preserve"> core activities have been carried out and on track</w:t>
            </w:r>
            <w:r w:rsidR="008E4949">
              <w:t xml:space="preserve">. </w:t>
            </w:r>
          </w:p>
        </w:tc>
      </w:tr>
      <w:tr w:rsidR="004F0626" w:rsidRPr="00C61187" w14:paraId="52AC96F8" w14:textId="77777777" w:rsidTr="00E346EE">
        <w:trPr>
          <w:cnfStyle w:val="000000010000" w:firstRow="0" w:lastRow="0" w:firstColumn="0" w:lastColumn="0" w:oddVBand="0" w:evenVBand="0" w:oddHBand="0" w:evenHBand="1" w:firstRowFirstColumn="0" w:firstRowLastColumn="0" w:lastRowFirstColumn="0" w:lastRowLastColumn="0"/>
        </w:trPr>
        <w:tc>
          <w:tcPr>
            <w:tcW w:w="6473" w:type="dxa"/>
          </w:tcPr>
          <w:p w14:paraId="2D29F46E" w14:textId="77777777" w:rsidR="004F0626" w:rsidRPr="00DB543B" w:rsidRDefault="004F0626" w:rsidP="004F0626">
            <w:pPr>
              <w:keepLines/>
              <w:spacing w:before="80" w:after="80" w:line="200" w:lineRule="atLeast"/>
              <w:rPr>
                <w:rFonts w:asciiTheme="minorHAnsi" w:eastAsia="Times New Roman" w:hAnsiTheme="minorHAnsi"/>
                <w:b/>
                <w:iCs/>
                <w:szCs w:val="17"/>
                <w:lang w:eastAsia="en-US"/>
              </w:rPr>
            </w:pPr>
            <w:r w:rsidRPr="00DB543B">
              <w:rPr>
                <w:rFonts w:asciiTheme="minorHAnsi" w:eastAsia="Times New Roman" w:hAnsiTheme="minorHAnsi"/>
                <w:b/>
                <w:iCs/>
                <w:szCs w:val="17"/>
                <w:lang w:eastAsia="en-US"/>
              </w:rPr>
              <w:t>Cross-cutting</w:t>
            </w:r>
          </w:p>
        </w:tc>
        <w:tc>
          <w:tcPr>
            <w:tcW w:w="964" w:type="dxa"/>
            <w:shd w:val="clear" w:color="auto" w:fill="auto"/>
          </w:tcPr>
          <w:p w14:paraId="3D92F647" w14:textId="77777777" w:rsidR="004F0626" w:rsidRPr="00DB543B" w:rsidRDefault="004F0626" w:rsidP="004F0626">
            <w:pPr>
              <w:jc w:val="center"/>
            </w:pPr>
          </w:p>
        </w:tc>
        <w:tc>
          <w:tcPr>
            <w:tcW w:w="6896" w:type="dxa"/>
          </w:tcPr>
          <w:p w14:paraId="49FEE539" w14:textId="77777777" w:rsidR="004F0626" w:rsidRPr="00DB543B" w:rsidRDefault="004F0626" w:rsidP="004F0626">
            <w:pPr>
              <w:keepLines/>
              <w:spacing w:before="40" w:after="40" w:line="200" w:lineRule="atLeast"/>
            </w:pPr>
          </w:p>
        </w:tc>
      </w:tr>
      <w:tr w:rsidR="004F0626" w:rsidRPr="00C61187" w14:paraId="24D5B602"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42288B13" w14:textId="77777777" w:rsidR="004F0626" w:rsidRPr="00DB543B" w:rsidRDefault="004F0626" w:rsidP="004F0626">
            <w:pPr>
              <w:keepLines/>
              <w:spacing w:before="40" w:after="40" w:line="200" w:lineRule="atLeast"/>
            </w:pPr>
            <w:r>
              <w:t>Accelerate CCJAP exit strategy by transitioning away from outcome areas 1 and 3 (</w:t>
            </w:r>
            <w:r w:rsidRPr="00C559F3">
              <w:t xml:space="preserve">alternative sentencing </w:t>
            </w:r>
            <w:r>
              <w:t xml:space="preserve">and </w:t>
            </w:r>
            <w:r w:rsidRPr="00C559F3">
              <w:t>data for evidence based management decisions</w:t>
            </w:r>
            <w:r>
              <w:t>)</w:t>
            </w:r>
            <w:r w:rsidRPr="00C559F3">
              <w:t xml:space="preserve"> </w:t>
            </w:r>
            <w:r>
              <w:t>and reshape program to focus on community policing pilot in its last year of implementation.</w:t>
            </w:r>
          </w:p>
        </w:tc>
        <w:tc>
          <w:tcPr>
            <w:tcW w:w="964" w:type="dxa"/>
            <w:shd w:val="clear" w:color="auto" w:fill="92D050"/>
          </w:tcPr>
          <w:p w14:paraId="286C2FB8" w14:textId="77777777" w:rsidR="004F0626" w:rsidRPr="00DB543B" w:rsidRDefault="008B2991" w:rsidP="004F0626">
            <w:pPr>
              <w:jc w:val="center"/>
            </w:pPr>
            <w:r w:rsidRPr="00104177">
              <w:rPr>
                <w:color w:val="FFFFFF" w:themeColor="background1"/>
              </w:rPr>
              <w:t>Achieved</w:t>
            </w:r>
          </w:p>
        </w:tc>
        <w:tc>
          <w:tcPr>
            <w:tcW w:w="6896" w:type="dxa"/>
          </w:tcPr>
          <w:p w14:paraId="596F7B30" w14:textId="77777777" w:rsidR="004F0626" w:rsidRPr="00DB543B" w:rsidRDefault="004F0626" w:rsidP="007E61A4">
            <w:pPr>
              <w:keepLines/>
              <w:spacing w:before="40" w:after="40" w:line="200" w:lineRule="atLeast"/>
            </w:pPr>
            <w:r w:rsidRPr="007C00BC">
              <w:t>In 2015</w:t>
            </w:r>
            <w:r w:rsidR="007E61A4">
              <w:t xml:space="preserve">-16 CCJAP continued to </w:t>
            </w:r>
            <w:r w:rsidRPr="007C00BC">
              <w:t>focus only on crime prevention and community safety (CPCS) activities with greater emphasis on ending violence against women, and piloting community policing approach with the Cambodia National Police (CNP).</w:t>
            </w:r>
          </w:p>
        </w:tc>
      </w:tr>
      <w:tr w:rsidR="004F0626" w:rsidRPr="00C61187" w14:paraId="4B53FFA1"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35B42ED6" w14:textId="77777777" w:rsidR="004F0626" w:rsidRPr="00DB543B" w:rsidRDefault="004F0626" w:rsidP="004F0626">
            <w:pPr>
              <w:keepLines/>
              <w:spacing w:before="40" w:after="40" w:line="200" w:lineRule="atLeast"/>
            </w:pPr>
            <w:r>
              <w:t>Ensure implementation of the Community Policing Initiative (CPI) commences by July 2016.</w:t>
            </w:r>
          </w:p>
        </w:tc>
        <w:tc>
          <w:tcPr>
            <w:tcW w:w="964" w:type="dxa"/>
            <w:shd w:val="clear" w:color="auto" w:fill="92D050"/>
          </w:tcPr>
          <w:p w14:paraId="5C75A5DA" w14:textId="77777777" w:rsidR="004F0626" w:rsidRPr="00EF51CF" w:rsidRDefault="008B2991" w:rsidP="004F0626">
            <w:pPr>
              <w:jc w:val="center"/>
              <w:rPr>
                <w:color w:val="FFFFFF" w:themeColor="background1"/>
              </w:rPr>
            </w:pPr>
            <w:r w:rsidRPr="00104177">
              <w:rPr>
                <w:color w:val="FFFFFF" w:themeColor="background1"/>
              </w:rPr>
              <w:t>Achieved</w:t>
            </w:r>
          </w:p>
        </w:tc>
        <w:tc>
          <w:tcPr>
            <w:tcW w:w="6896" w:type="dxa"/>
          </w:tcPr>
          <w:p w14:paraId="28687B6E" w14:textId="77777777" w:rsidR="004F0626" w:rsidRPr="00DB543B" w:rsidRDefault="004F0626" w:rsidP="007E61A4">
            <w:pPr>
              <w:keepLines/>
              <w:spacing w:before="40" w:after="40" w:line="200" w:lineRule="atLeast"/>
            </w:pPr>
            <w:r w:rsidRPr="007C00BC">
              <w:t xml:space="preserve">CPI </w:t>
            </w:r>
            <w:r w:rsidR="00115F59" w:rsidRPr="007C00BC">
              <w:t>mobilise</w:t>
            </w:r>
            <w:r w:rsidR="00115F59">
              <w:t>d</w:t>
            </w:r>
            <w:r w:rsidR="00115F59" w:rsidRPr="007C00BC">
              <w:t xml:space="preserve"> </w:t>
            </w:r>
            <w:r w:rsidR="00115F59">
              <w:t>on</w:t>
            </w:r>
            <w:r w:rsidR="007E61A4">
              <w:t xml:space="preserve"> 1 </w:t>
            </w:r>
            <w:r w:rsidRPr="007C00BC">
              <w:t>June 2016</w:t>
            </w:r>
            <w:r w:rsidR="007E61A4">
              <w:t>, with program activities starting</w:t>
            </w:r>
            <w:r w:rsidRPr="007C00BC">
              <w:t xml:space="preserve"> in July 2016 as agreed with the Cambodia National Police.</w:t>
            </w:r>
          </w:p>
        </w:tc>
      </w:tr>
      <w:tr w:rsidR="004F0626" w:rsidRPr="00C61187" w14:paraId="5CA0A899"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7082A711" w14:textId="77777777" w:rsidR="004F0626" w:rsidRPr="00DB543B" w:rsidRDefault="004F0626" w:rsidP="004F0626">
            <w:pPr>
              <w:keepLines/>
              <w:spacing w:before="40" w:after="40" w:line="200" w:lineRule="atLeast"/>
            </w:pPr>
            <w:r>
              <w:t>Consider whether or not to proceed with a new phase of the Cambodia Communication Assistance Project.</w:t>
            </w:r>
          </w:p>
        </w:tc>
        <w:tc>
          <w:tcPr>
            <w:tcW w:w="964" w:type="dxa"/>
            <w:shd w:val="clear" w:color="auto" w:fill="92D050"/>
          </w:tcPr>
          <w:p w14:paraId="5F502060" w14:textId="77777777" w:rsidR="004F0626" w:rsidRPr="00DB543B" w:rsidRDefault="008B2991" w:rsidP="004F0626">
            <w:pPr>
              <w:jc w:val="center"/>
            </w:pPr>
            <w:r w:rsidRPr="00104177">
              <w:rPr>
                <w:color w:val="FFFFFF" w:themeColor="background1"/>
              </w:rPr>
              <w:t>Achieved</w:t>
            </w:r>
          </w:p>
        </w:tc>
        <w:tc>
          <w:tcPr>
            <w:tcW w:w="6896" w:type="dxa"/>
          </w:tcPr>
          <w:p w14:paraId="1FF6DD9E" w14:textId="77777777" w:rsidR="004F0626" w:rsidRPr="00DB543B" w:rsidRDefault="00250354" w:rsidP="00250354">
            <w:pPr>
              <w:keepLines/>
              <w:spacing w:before="40" w:after="40" w:line="200" w:lineRule="atLeast"/>
            </w:pPr>
            <w:r>
              <w:t xml:space="preserve">CCAP was extended for a further </w:t>
            </w:r>
            <w:r w:rsidR="004F0626" w:rsidRPr="00EF51CF">
              <w:t xml:space="preserve">3 years in October 2015. </w:t>
            </w:r>
          </w:p>
        </w:tc>
      </w:tr>
      <w:tr w:rsidR="004F0626" w:rsidRPr="00C61187" w14:paraId="1F29D161" w14:textId="77777777">
        <w:trPr>
          <w:cnfStyle w:val="000000010000" w:firstRow="0" w:lastRow="0" w:firstColumn="0" w:lastColumn="0" w:oddVBand="0" w:evenVBand="0" w:oddHBand="0" w:evenHBand="1" w:firstRowFirstColumn="0" w:firstRowLastColumn="0" w:lastRowFirstColumn="0" w:lastRowLastColumn="0"/>
        </w:trPr>
        <w:tc>
          <w:tcPr>
            <w:tcW w:w="6473" w:type="dxa"/>
          </w:tcPr>
          <w:p w14:paraId="1A70EA3F" w14:textId="77777777" w:rsidR="004F0626" w:rsidRPr="00DB543B" w:rsidRDefault="004F0626" w:rsidP="004F0626">
            <w:pPr>
              <w:keepLines/>
              <w:spacing w:before="40" w:after="40" w:line="200" w:lineRule="atLeast"/>
            </w:pPr>
            <w:r>
              <w:t xml:space="preserve">Improve DRIC through implementing </w:t>
            </w:r>
            <w:r w:rsidRPr="0018696E">
              <w:t>an early mid-term</w:t>
            </w:r>
            <w:r>
              <w:t xml:space="preserve"> review of the program.</w:t>
            </w:r>
          </w:p>
        </w:tc>
        <w:tc>
          <w:tcPr>
            <w:tcW w:w="964" w:type="dxa"/>
            <w:shd w:val="clear" w:color="auto" w:fill="C15A2D" w:themeFill="accent5"/>
          </w:tcPr>
          <w:p w14:paraId="78D7459B" w14:textId="77777777" w:rsidR="004F0626" w:rsidRPr="00DB543B" w:rsidRDefault="008B2991" w:rsidP="004F0626">
            <w:pPr>
              <w:jc w:val="center"/>
            </w:pPr>
            <w:r>
              <w:rPr>
                <w:color w:val="FFFFFF" w:themeColor="background1"/>
              </w:rPr>
              <w:t>Partly achieved</w:t>
            </w:r>
          </w:p>
        </w:tc>
        <w:tc>
          <w:tcPr>
            <w:tcW w:w="6896" w:type="dxa"/>
          </w:tcPr>
          <w:p w14:paraId="75963986" w14:textId="77777777" w:rsidR="004F0626" w:rsidRPr="00DB543B" w:rsidRDefault="004F0626" w:rsidP="007E61A4">
            <w:pPr>
              <w:keepLines/>
              <w:spacing w:before="40" w:after="40" w:line="200" w:lineRule="atLeast"/>
            </w:pPr>
            <w:r w:rsidRPr="00EC06F5">
              <w:t xml:space="preserve">DRIC Mid-Term Review (MTR) was jointly conducted by DFAT and the UN partners in February-March 2016. The MTR provided 11 recommendations to fill up the gaps and improve the effectiveness of the program. DFAT and the UN partners are developing a Joint-Management Response </w:t>
            </w:r>
            <w:r w:rsidR="007E61A4">
              <w:t>which</w:t>
            </w:r>
            <w:r w:rsidR="007E61A4" w:rsidRPr="00EC06F5">
              <w:t xml:space="preserve"> </w:t>
            </w:r>
            <w:r w:rsidRPr="00EC06F5">
              <w:t xml:space="preserve">is expected to get Program Board approval </w:t>
            </w:r>
            <w:r w:rsidR="007E61A4">
              <w:t>in</w:t>
            </w:r>
            <w:r w:rsidR="007E61A4" w:rsidRPr="00EC06F5">
              <w:t xml:space="preserve"> </w:t>
            </w:r>
            <w:r w:rsidRPr="00EC06F5">
              <w:t>early September 2016.</w:t>
            </w:r>
          </w:p>
        </w:tc>
      </w:tr>
    </w:tbl>
    <w:p w14:paraId="225227EB"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44D22642" w14:textId="3B009BE8"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w:t>
      </w:r>
      <w:r w:rsidR="008E4949">
        <w:rPr>
          <w:rFonts w:eastAsia="Times New Roman"/>
          <w:b/>
          <w:sz w:val="16"/>
          <w:szCs w:val="14"/>
        </w:rPr>
        <w:t xml:space="preserve">. </w:t>
      </w:r>
      <w:r w:rsidRPr="00880004">
        <w:rPr>
          <w:rFonts w:eastAsia="Times New Roman"/>
          <w:b/>
          <w:sz w:val="16"/>
          <w:szCs w:val="14"/>
        </w:rPr>
        <w:t xml:space="preserve">Significant progress has been made in addressing the issue </w:t>
      </w:r>
    </w:p>
    <w:p w14:paraId="4D127B2E" w14:textId="7408DA7B"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w:t>
      </w:r>
      <w:r w:rsidR="008E4949">
        <w:rPr>
          <w:rFonts w:eastAsia="Times New Roman"/>
          <w:b/>
          <w:sz w:val="16"/>
          <w:szCs w:val="14"/>
        </w:rPr>
        <w:t xml:space="preserve">. </w:t>
      </w:r>
      <w:r w:rsidRPr="00880004">
        <w:rPr>
          <w:rFonts w:eastAsia="Times New Roman"/>
          <w:b/>
          <w:sz w:val="16"/>
          <w:szCs w:val="14"/>
        </w:rPr>
        <w:t xml:space="preserve">Some progress has been made in addressing the issue, but the issue has not been resolved </w:t>
      </w:r>
    </w:p>
    <w:p w14:paraId="590C7F4F"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4F7CCD3E" w14:textId="77777777" w:rsidR="00060268" w:rsidRDefault="00060268" w:rsidP="002A51CA"/>
    <w:p w14:paraId="01DAB1AC" w14:textId="77777777" w:rsidR="009F7E52" w:rsidRDefault="009F7E52">
      <w:pPr>
        <w:suppressAutoHyphens w:val="0"/>
        <w:spacing w:before="0" w:after="120" w:line="440" w:lineRule="atLeast"/>
        <w:rPr>
          <w:rFonts w:eastAsiaTheme="majorEastAsia" w:cstheme="majorBidi"/>
          <w:bCs/>
          <w:iCs/>
          <w:caps/>
          <w:spacing w:val="-10"/>
          <w:kern w:val="28"/>
          <w:sz w:val="38"/>
          <w:szCs w:val="24"/>
        </w:rPr>
      </w:pPr>
      <w:r>
        <w:br w:type="page"/>
      </w:r>
    </w:p>
    <w:p w14:paraId="3DDEC769" w14:textId="77777777" w:rsidR="00400B0F" w:rsidRPr="00400B0F" w:rsidRDefault="00400B0F" w:rsidP="00400B0F">
      <w:pPr>
        <w:pStyle w:val="Subtitle"/>
        <w:numPr>
          <w:ilvl w:val="0"/>
          <w:numId w:val="0"/>
        </w:numPr>
      </w:pPr>
      <w:r w:rsidRPr="00400B0F">
        <w:lastRenderedPageBreak/>
        <w:t>Annex B - Progress towards Performance Benchmarks in 2015-16</w:t>
      </w:r>
    </w:p>
    <w:tbl>
      <w:tblPr>
        <w:tblStyle w:val="DFATTable"/>
        <w:tblW w:w="5063" w:type="pct"/>
        <w:tblLook w:val="04A0" w:firstRow="1" w:lastRow="0" w:firstColumn="1" w:lastColumn="0" w:noHBand="0" w:noVBand="1"/>
      </w:tblPr>
      <w:tblGrid>
        <w:gridCol w:w="3366"/>
        <w:gridCol w:w="4537"/>
        <w:gridCol w:w="1276"/>
        <w:gridCol w:w="5391"/>
      </w:tblGrid>
      <w:tr w:rsidR="000E3A0F" w:rsidRPr="00C61187" w14:paraId="16D48E70" w14:textId="77777777">
        <w:trPr>
          <w:tblHeader/>
        </w:trPr>
        <w:tc>
          <w:tcPr>
            <w:tcW w:w="1155" w:type="pct"/>
            <w:tcMar>
              <w:top w:w="57" w:type="dxa"/>
              <w:bottom w:w="57" w:type="dxa"/>
            </w:tcMar>
          </w:tcPr>
          <w:p w14:paraId="2694DC44"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557" w:type="pct"/>
          </w:tcPr>
          <w:p w14:paraId="37D2F45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2014-15 benchmark </w:t>
            </w:r>
          </w:p>
        </w:tc>
        <w:tc>
          <w:tcPr>
            <w:tcW w:w="438" w:type="pct"/>
          </w:tcPr>
          <w:p w14:paraId="32F5A7EB" w14:textId="77777777" w:rsidR="00400B0F" w:rsidRPr="00880004" w:rsidRDefault="00400B0F" w:rsidP="009E7BB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1850" w:type="pct"/>
          </w:tcPr>
          <w:p w14:paraId="1537C02F" w14:textId="77777777" w:rsidR="00400B0F" w:rsidRPr="00880004" w:rsidRDefault="00400B0F" w:rsidP="009E7BB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2015-16</w:t>
            </w:r>
          </w:p>
        </w:tc>
      </w:tr>
      <w:tr w:rsidR="0082388D" w:rsidRPr="00C61187" w14:paraId="192264F7" w14:textId="77777777">
        <w:tc>
          <w:tcPr>
            <w:tcW w:w="1155" w:type="pct"/>
            <w:tcBorders>
              <w:top w:val="single" w:sz="8" w:space="0" w:color="FFFFFF" w:themeColor="background1"/>
              <w:bottom w:val="single" w:sz="8" w:space="0" w:color="FFFFFF" w:themeColor="background1"/>
            </w:tcBorders>
            <w:tcMar>
              <w:top w:w="57" w:type="dxa"/>
              <w:bottom w:w="57" w:type="dxa"/>
            </w:tcMar>
          </w:tcPr>
          <w:p w14:paraId="73691D79" w14:textId="77777777" w:rsidR="0082388D" w:rsidRPr="00880004" w:rsidRDefault="0082388D" w:rsidP="006F27B1">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Strategic Objective</w:t>
            </w:r>
            <w:r w:rsidRPr="001F60AE">
              <w:rPr>
                <w:rFonts w:asciiTheme="minorHAnsi" w:eastAsia="Times New Roman" w:hAnsiTheme="minorHAnsi"/>
                <w:iCs/>
                <w:szCs w:val="17"/>
                <w:lang w:eastAsia="en-US"/>
              </w:rPr>
              <w:t xml:space="preserve"> 1: Improved access to essential infrastructure</w:t>
            </w:r>
          </w:p>
        </w:tc>
        <w:tc>
          <w:tcPr>
            <w:tcW w:w="1557" w:type="pct"/>
            <w:tcBorders>
              <w:top w:val="single" w:sz="8" w:space="0" w:color="FFFFFF" w:themeColor="background1"/>
              <w:bottom w:val="single" w:sz="8" w:space="0" w:color="FFFFFF" w:themeColor="background1"/>
            </w:tcBorders>
          </w:tcPr>
          <w:p w14:paraId="229CB367" w14:textId="77777777" w:rsidR="0082388D" w:rsidRPr="00880004" w:rsidRDefault="0082388D" w:rsidP="001F60AE">
            <w:pPr>
              <w:keepLines/>
              <w:spacing w:before="40" w:after="40" w:line="200" w:lineRule="atLeast"/>
              <w:rPr>
                <w:rFonts w:asciiTheme="minorHAnsi" w:eastAsia="Times New Roman" w:hAnsiTheme="minorHAnsi"/>
                <w:iCs/>
                <w:szCs w:val="17"/>
                <w:lang w:eastAsia="en-US"/>
              </w:rPr>
            </w:pPr>
            <w:r w:rsidRPr="001F60AE">
              <w:rPr>
                <w:rFonts w:asciiTheme="minorHAnsi" w:eastAsia="Times New Roman" w:hAnsiTheme="minorHAnsi"/>
                <w:iCs/>
                <w:szCs w:val="17"/>
                <w:lang w:eastAsia="en-US"/>
              </w:rPr>
              <w:t>46,400 additional households and businesses connected to electricity</w:t>
            </w:r>
          </w:p>
        </w:tc>
        <w:tc>
          <w:tcPr>
            <w:tcW w:w="438" w:type="pct"/>
            <w:tcBorders>
              <w:top w:val="single" w:sz="8" w:space="0" w:color="FFFFFF" w:themeColor="background1"/>
              <w:bottom w:val="single" w:sz="8" w:space="0" w:color="FFFFFF" w:themeColor="background1"/>
            </w:tcBorders>
            <w:shd w:val="clear" w:color="auto" w:fill="FF0000"/>
          </w:tcPr>
          <w:p w14:paraId="709B476A" w14:textId="77777777" w:rsidR="0082388D" w:rsidRPr="001F60AE" w:rsidRDefault="0082388D"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1F60AE">
              <w:rPr>
                <w:rFonts w:asciiTheme="minorHAnsi" w:eastAsia="Times New Roman" w:hAnsiTheme="minorHAnsi"/>
                <w:iCs/>
                <w:color w:val="FFFFFF" w:themeColor="background1"/>
                <w:szCs w:val="17"/>
                <w:lang w:eastAsia="en-US"/>
              </w:rPr>
              <w:t>Not achieved</w:t>
            </w:r>
          </w:p>
        </w:tc>
        <w:tc>
          <w:tcPr>
            <w:tcW w:w="1850" w:type="pct"/>
            <w:tcBorders>
              <w:top w:val="single" w:sz="8" w:space="0" w:color="FFFFFF" w:themeColor="background1"/>
              <w:bottom w:val="single" w:sz="8" w:space="0" w:color="FFFFFF" w:themeColor="background1"/>
            </w:tcBorders>
          </w:tcPr>
          <w:p w14:paraId="100F94E9" w14:textId="77777777" w:rsidR="0082388D" w:rsidRPr="00880004" w:rsidRDefault="0082388D" w:rsidP="00D661B6">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 xml:space="preserve">There was a delay in implementation of the </w:t>
            </w:r>
            <w:r w:rsidR="009C41C5">
              <w:rPr>
                <w:rFonts w:asciiTheme="minorHAnsi" w:hAnsiTheme="minorHAnsi" w:cstheme="minorBidi"/>
                <w:color w:val="495965" w:themeColor="text2"/>
                <w:lang w:val="en-GB" w:eastAsia="en-US"/>
              </w:rPr>
              <w:t>3i</w:t>
            </w:r>
            <w:r w:rsidR="00EC3F50">
              <w:rPr>
                <w:rFonts w:asciiTheme="minorHAnsi" w:hAnsiTheme="minorHAnsi" w:cstheme="minorBidi"/>
                <w:color w:val="495965" w:themeColor="text2"/>
                <w:lang w:val="en-GB" w:eastAsia="en-US"/>
              </w:rPr>
              <w:t xml:space="preserve"> program</w:t>
            </w:r>
          </w:p>
          <w:p w14:paraId="40D07B99" w14:textId="77777777" w:rsidR="0082388D" w:rsidRPr="00880004" w:rsidRDefault="0082388D" w:rsidP="00D661B6">
            <w:pPr>
              <w:keepLines/>
              <w:spacing w:before="40" w:after="40" w:line="200" w:lineRule="atLeast"/>
              <w:rPr>
                <w:rFonts w:asciiTheme="minorHAnsi" w:eastAsia="Times New Roman" w:hAnsiTheme="minorHAnsi"/>
                <w:iCs/>
                <w:szCs w:val="17"/>
                <w:lang w:eastAsia="en-US"/>
              </w:rPr>
            </w:pPr>
          </w:p>
        </w:tc>
      </w:tr>
      <w:tr w:rsidR="0082388D" w:rsidRPr="00C61187" w14:paraId="30A7348C" w14:textId="77777777">
        <w:tc>
          <w:tcPr>
            <w:tcW w:w="1155" w:type="pct"/>
            <w:tcBorders>
              <w:top w:val="single" w:sz="8" w:space="0" w:color="FFFFFF" w:themeColor="background1"/>
              <w:bottom w:val="single" w:sz="8" w:space="0" w:color="FFFFFF" w:themeColor="background1"/>
            </w:tcBorders>
            <w:tcMar>
              <w:top w:w="57" w:type="dxa"/>
              <w:bottom w:w="57" w:type="dxa"/>
            </w:tcMar>
          </w:tcPr>
          <w:p w14:paraId="57881D0A" w14:textId="77777777" w:rsidR="0082388D" w:rsidRPr="00880004" w:rsidRDefault="0082388D" w:rsidP="006F27B1">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Strategic Objective</w:t>
            </w:r>
            <w:r w:rsidRPr="001F60AE">
              <w:rPr>
                <w:rFonts w:asciiTheme="minorHAnsi" w:eastAsia="Times New Roman" w:hAnsiTheme="minorHAnsi"/>
                <w:iCs/>
                <w:szCs w:val="17"/>
                <w:lang w:eastAsia="en-US"/>
              </w:rPr>
              <w:t xml:space="preserve"> 1: Improved access to essential infrastructure</w:t>
            </w:r>
          </w:p>
        </w:tc>
        <w:tc>
          <w:tcPr>
            <w:tcW w:w="1557" w:type="pct"/>
            <w:tcBorders>
              <w:top w:val="single" w:sz="8" w:space="0" w:color="FFFFFF" w:themeColor="background1"/>
              <w:bottom w:val="single" w:sz="8" w:space="0" w:color="FFFFFF" w:themeColor="background1"/>
            </w:tcBorders>
          </w:tcPr>
          <w:p w14:paraId="1BCEE326" w14:textId="77777777" w:rsidR="0082388D" w:rsidRPr="00880004" w:rsidRDefault="0082388D" w:rsidP="006F27B1">
            <w:pPr>
              <w:keepLines/>
              <w:spacing w:before="40" w:after="40" w:line="200" w:lineRule="atLeast"/>
              <w:rPr>
                <w:rFonts w:asciiTheme="minorHAnsi" w:eastAsia="Times New Roman" w:hAnsiTheme="minorHAnsi"/>
                <w:iCs/>
                <w:szCs w:val="17"/>
                <w:lang w:eastAsia="en-US"/>
              </w:rPr>
            </w:pPr>
            <w:r w:rsidRPr="001F60AE">
              <w:rPr>
                <w:rFonts w:asciiTheme="minorHAnsi" w:eastAsia="Times New Roman" w:hAnsiTheme="minorHAnsi"/>
                <w:iCs/>
                <w:szCs w:val="17"/>
                <w:lang w:eastAsia="en-US"/>
              </w:rPr>
              <w:t>27,600 additional households and businesses connected to piped, treated water</w:t>
            </w:r>
          </w:p>
        </w:tc>
        <w:tc>
          <w:tcPr>
            <w:tcW w:w="438" w:type="pct"/>
            <w:tcBorders>
              <w:top w:val="single" w:sz="8" w:space="0" w:color="FFFFFF" w:themeColor="background1"/>
              <w:bottom w:val="single" w:sz="8" w:space="0" w:color="FFFFFF" w:themeColor="background1"/>
            </w:tcBorders>
            <w:shd w:val="clear" w:color="auto" w:fill="FF0000"/>
          </w:tcPr>
          <w:p w14:paraId="6AECEC76" w14:textId="77777777" w:rsidR="0082388D" w:rsidRPr="001F60AE" w:rsidRDefault="0082388D" w:rsidP="001F60AE">
            <w:pPr>
              <w:keepLines/>
              <w:spacing w:before="40" w:after="40" w:line="200" w:lineRule="atLeast"/>
              <w:rPr>
                <w:rFonts w:asciiTheme="minorHAnsi" w:eastAsia="Times New Roman" w:hAnsiTheme="minorHAnsi"/>
                <w:iCs/>
                <w:color w:val="FFFFFF" w:themeColor="background1"/>
                <w:szCs w:val="17"/>
                <w:lang w:eastAsia="en-US"/>
              </w:rPr>
            </w:pPr>
            <w:r w:rsidRPr="001F60AE">
              <w:rPr>
                <w:rFonts w:asciiTheme="minorHAnsi" w:eastAsia="Times New Roman" w:hAnsiTheme="minorHAnsi"/>
                <w:iCs/>
                <w:color w:val="FFFFFF" w:themeColor="background1"/>
                <w:szCs w:val="17"/>
                <w:lang w:eastAsia="en-US"/>
              </w:rPr>
              <w:t xml:space="preserve"> Not achieved </w:t>
            </w:r>
          </w:p>
        </w:tc>
        <w:tc>
          <w:tcPr>
            <w:tcW w:w="1850" w:type="pct"/>
            <w:tcBorders>
              <w:top w:val="single" w:sz="8" w:space="0" w:color="FFFFFF" w:themeColor="background1"/>
              <w:bottom w:val="single" w:sz="8" w:space="0" w:color="FFFFFF" w:themeColor="background1"/>
            </w:tcBorders>
          </w:tcPr>
          <w:p w14:paraId="1E386BE5" w14:textId="77777777" w:rsidR="0082388D" w:rsidRPr="00880004" w:rsidRDefault="0082388D" w:rsidP="00D661B6">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 xml:space="preserve">There was a delay in implementation of the </w:t>
            </w:r>
            <w:r w:rsidR="00861E8A">
              <w:rPr>
                <w:rFonts w:asciiTheme="minorHAnsi" w:hAnsiTheme="minorHAnsi" w:cstheme="minorBidi"/>
                <w:color w:val="495965" w:themeColor="text2"/>
                <w:lang w:val="en-GB" w:eastAsia="en-US"/>
              </w:rPr>
              <w:t xml:space="preserve">3i </w:t>
            </w:r>
            <w:r>
              <w:rPr>
                <w:rFonts w:asciiTheme="minorHAnsi" w:hAnsiTheme="minorHAnsi" w:cstheme="minorBidi"/>
                <w:color w:val="495965" w:themeColor="text2"/>
                <w:lang w:val="en-GB" w:eastAsia="en-US"/>
              </w:rPr>
              <w:t>program.</w:t>
            </w:r>
          </w:p>
          <w:p w14:paraId="759001EF" w14:textId="77777777" w:rsidR="0082388D" w:rsidRPr="00880004" w:rsidRDefault="0082388D" w:rsidP="00D661B6">
            <w:pPr>
              <w:keepLines/>
              <w:spacing w:before="40" w:after="40" w:line="200" w:lineRule="atLeast"/>
              <w:rPr>
                <w:rFonts w:asciiTheme="minorHAnsi" w:eastAsia="Times New Roman" w:hAnsiTheme="minorHAnsi"/>
                <w:iCs/>
                <w:szCs w:val="17"/>
                <w:lang w:eastAsia="en-US"/>
              </w:rPr>
            </w:pPr>
          </w:p>
        </w:tc>
      </w:tr>
      <w:tr w:rsidR="000E3A0F" w:rsidRPr="00C61187" w14:paraId="65B32115" w14:textId="77777777">
        <w:tc>
          <w:tcPr>
            <w:tcW w:w="1155" w:type="pct"/>
            <w:tcBorders>
              <w:top w:val="single" w:sz="8" w:space="0" w:color="FFFFFF" w:themeColor="background1"/>
              <w:bottom w:val="single" w:sz="8" w:space="0" w:color="FFFFFF" w:themeColor="background1"/>
            </w:tcBorders>
            <w:tcMar>
              <w:top w:w="57" w:type="dxa"/>
              <w:bottom w:w="57" w:type="dxa"/>
            </w:tcMar>
          </w:tcPr>
          <w:p w14:paraId="1997A91E" w14:textId="77777777" w:rsidR="001F60AE" w:rsidRPr="00880004" w:rsidRDefault="000E3A0F" w:rsidP="006F27B1">
            <w:pPr>
              <w:keepLines/>
              <w:spacing w:before="40" w:after="40" w:line="200" w:lineRule="atLeast"/>
              <w:rPr>
                <w:rFonts w:eastAsia="Times New Roman"/>
                <w:iCs/>
                <w:szCs w:val="17"/>
              </w:rPr>
            </w:pPr>
            <w:r w:rsidRPr="00880004">
              <w:rPr>
                <w:rFonts w:asciiTheme="minorHAnsi" w:eastAsia="Times New Roman" w:hAnsiTheme="minorHAnsi"/>
                <w:iCs/>
                <w:szCs w:val="17"/>
                <w:lang w:eastAsia="en-US"/>
              </w:rPr>
              <w:t>Strategic Objective</w:t>
            </w:r>
            <w:r w:rsidRPr="001F60AE">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2</w:t>
            </w:r>
            <w:r w:rsidRPr="001F60AE">
              <w:rPr>
                <w:rFonts w:asciiTheme="minorHAnsi" w:eastAsia="Times New Roman" w:hAnsiTheme="minorHAnsi"/>
                <w:iCs/>
                <w:szCs w:val="17"/>
                <w:lang w:eastAsia="en-US"/>
              </w:rPr>
              <w:t xml:space="preserve">: </w:t>
            </w:r>
            <w:r w:rsidRPr="000E3A0F">
              <w:rPr>
                <w:rFonts w:asciiTheme="minorHAnsi" w:eastAsia="Times New Roman" w:hAnsiTheme="minorHAnsi"/>
                <w:iCs/>
                <w:szCs w:val="17"/>
                <w:lang w:eastAsia="en-US"/>
              </w:rPr>
              <w:t>Increased agricultural productivity and farmer incomes</w:t>
            </w:r>
          </w:p>
        </w:tc>
        <w:tc>
          <w:tcPr>
            <w:tcW w:w="1557" w:type="pct"/>
            <w:tcBorders>
              <w:top w:val="single" w:sz="8" w:space="0" w:color="FFFFFF" w:themeColor="background1"/>
              <w:bottom w:val="single" w:sz="8" w:space="0" w:color="FFFFFF" w:themeColor="background1"/>
            </w:tcBorders>
          </w:tcPr>
          <w:p w14:paraId="6A3F9799" w14:textId="77777777" w:rsidR="001F60AE" w:rsidRPr="007A4F1C" w:rsidRDefault="0082388D" w:rsidP="000E3A0F">
            <w:pPr>
              <w:keepLines/>
              <w:spacing w:before="40" w:after="40" w:line="200" w:lineRule="atLeast"/>
              <w:rPr>
                <w:rFonts w:ascii="Franklin Gothic Book" w:hAnsi="Franklin Gothic Book"/>
                <w:i/>
                <w:color w:val="808080" w:themeColor="background1" w:themeShade="80"/>
                <w:sz w:val="20"/>
                <w:szCs w:val="20"/>
              </w:rPr>
            </w:pPr>
            <w:r>
              <w:rPr>
                <w:rFonts w:asciiTheme="minorHAnsi" w:eastAsia="Times New Roman" w:hAnsiTheme="minorHAnsi"/>
                <w:iCs/>
                <w:szCs w:val="17"/>
                <w:lang w:eastAsia="en-US"/>
              </w:rPr>
              <w:t>#</w:t>
            </w:r>
            <w:r w:rsidR="000E3A0F" w:rsidRPr="000E3A0F">
              <w:rPr>
                <w:rFonts w:asciiTheme="minorHAnsi" w:eastAsia="Times New Roman" w:hAnsiTheme="minorHAnsi"/>
                <w:iCs/>
                <w:szCs w:val="17"/>
                <w:lang w:eastAsia="en-US"/>
              </w:rPr>
              <w:t xml:space="preserve"> of farmers with increased productivity</w:t>
            </w:r>
          </w:p>
        </w:tc>
        <w:tc>
          <w:tcPr>
            <w:tcW w:w="438" w:type="pct"/>
            <w:tcBorders>
              <w:top w:val="single" w:sz="8" w:space="0" w:color="FFFFFF" w:themeColor="background1"/>
              <w:bottom w:val="single" w:sz="8" w:space="0" w:color="FFFFFF" w:themeColor="background1"/>
            </w:tcBorders>
            <w:shd w:val="clear" w:color="auto" w:fill="92D050"/>
          </w:tcPr>
          <w:p w14:paraId="24A7AF29" w14:textId="77777777" w:rsidR="001F60AE" w:rsidRPr="000E3A0F" w:rsidRDefault="000E3A0F" w:rsidP="001F60AE">
            <w:pPr>
              <w:keepLines/>
              <w:spacing w:before="40" w:after="40" w:line="200" w:lineRule="atLeast"/>
              <w:rPr>
                <w:rFonts w:asciiTheme="minorHAnsi" w:eastAsia="Times New Roman" w:hAnsiTheme="minorHAnsi"/>
                <w:iCs/>
                <w:color w:val="FFFFFF" w:themeColor="background1"/>
                <w:szCs w:val="17"/>
                <w:lang w:eastAsia="en-US"/>
              </w:rPr>
            </w:pPr>
            <w:r w:rsidRPr="000E3A0F">
              <w:rPr>
                <w:rFonts w:asciiTheme="minorHAnsi" w:eastAsia="Times New Roman" w:hAnsiTheme="minorHAnsi"/>
                <w:iCs/>
                <w:color w:val="FFFFFF" w:themeColor="background1"/>
                <w:szCs w:val="17"/>
                <w:lang w:eastAsia="en-US"/>
              </w:rPr>
              <w:t>Achieved</w:t>
            </w:r>
          </w:p>
        </w:tc>
        <w:tc>
          <w:tcPr>
            <w:tcW w:w="1850" w:type="pct"/>
            <w:tcBorders>
              <w:top w:val="single" w:sz="8" w:space="0" w:color="FFFFFF" w:themeColor="background1"/>
              <w:bottom w:val="single" w:sz="8" w:space="0" w:color="FFFFFF" w:themeColor="background1"/>
            </w:tcBorders>
          </w:tcPr>
          <w:p w14:paraId="4FF784EC" w14:textId="77777777" w:rsidR="001F60AE" w:rsidRDefault="0082388D" w:rsidP="000B136F">
            <w:pPr>
              <w:pStyle w:val="TableTextEntries"/>
              <w:keepNext/>
              <w:rPr>
                <w:rFonts w:asciiTheme="minorHAnsi" w:hAnsiTheme="minorHAnsi" w:cstheme="minorBidi"/>
                <w:color w:val="495965" w:themeColor="text2"/>
                <w:lang w:val="en-GB"/>
              </w:rPr>
            </w:pPr>
            <w:r w:rsidRPr="0082388D">
              <w:rPr>
                <w:rFonts w:asciiTheme="minorHAnsi" w:hAnsiTheme="minorHAnsi" w:cstheme="minorBidi"/>
                <w:color w:val="495965" w:themeColor="text2"/>
                <w:lang w:val="en-GB"/>
              </w:rPr>
              <w:t>161</w:t>
            </w:r>
            <w:r>
              <w:rPr>
                <w:rFonts w:asciiTheme="minorHAnsi" w:hAnsiTheme="minorHAnsi" w:cstheme="minorBidi"/>
                <w:color w:val="495965" w:themeColor="text2"/>
                <w:lang w:val="en-GB"/>
              </w:rPr>
              <w:t>,</w:t>
            </w:r>
            <w:r w:rsidRPr="0082388D">
              <w:rPr>
                <w:rFonts w:asciiTheme="minorHAnsi" w:hAnsiTheme="minorHAnsi" w:cstheme="minorBidi"/>
                <w:color w:val="495965" w:themeColor="text2"/>
                <w:lang w:val="en-GB"/>
              </w:rPr>
              <w:t>314</w:t>
            </w:r>
            <w:r>
              <w:rPr>
                <w:rFonts w:asciiTheme="minorHAnsi" w:hAnsiTheme="minorHAnsi" w:cstheme="minorBidi"/>
                <w:color w:val="495965" w:themeColor="text2"/>
                <w:lang w:val="en-GB"/>
              </w:rPr>
              <w:t xml:space="preserve"> farmers (50</w:t>
            </w:r>
            <w:r w:rsidR="00861E8A">
              <w:rPr>
                <w:rFonts w:asciiTheme="minorHAnsi" w:hAnsiTheme="minorHAnsi" w:cstheme="minorBidi"/>
                <w:color w:val="495965" w:themeColor="text2"/>
                <w:lang w:val="en-GB"/>
              </w:rPr>
              <w:t xml:space="preserve"> per cent</w:t>
            </w:r>
            <w:r>
              <w:rPr>
                <w:rFonts w:asciiTheme="minorHAnsi" w:hAnsiTheme="minorHAnsi" w:cstheme="minorBidi"/>
                <w:color w:val="495965" w:themeColor="text2"/>
                <w:lang w:val="en-GB"/>
              </w:rPr>
              <w:t xml:space="preserve"> female) </w:t>
            </w:r>
            <w:r w:rsidRPr="0082388D">
              <w:rPr>
                <w:rFonts w:asciiTheme="minorHAnsi" w:hAnsiTheme="minorHAnsi" w:cstheme="minorBidi"/>
                <w:color w:val="495965" w:themeColor="text2"/>
                <w:lang w:val="en-GB"/>
              </w:rPr>
              <w:t>increased agricultural productivity and farmer incomes</w:t>
            </w:r>
          </w:p>
        </w:tc>
      </w:tr>
      <w:tr w:rsidR="000E3A0F" w:rsidRPr="00C61187" w14:paraId="7138A931" w14:textId="77777777">
        <w:tc>
          <w:tcPr>
            <w:tcW w:w="1155" w:type="pct"/>
            <w:tcBorders>
              <w:top w:val="single" w:sz="8" w:space="0" w:color="FFFFFF" w:themeColor="background1"/>
              <w:bottom w:val="single" w:sz="8" w:space="0" w:color="FFFFFF" w:themeColor="background1"/>
            </w:tcBorders>
            <w:tcMar>
              <w:top w:w="57" w:type="dxa"/>
              <w:bottom w:w="57" w:type="dxa"/>
            </w:tcMar>
          </w:tcPr>
          <w:p w14:paraId="24090A2F" w14:textId="77777777" w:rsidR="001F60AE" w:rsidRPr="00880004" w:rsidRDefault="000E3A0F" w:rsidP="006F27B1">
            <w:pPr>
              <w:keepLines/>
              <w:spacing w:before="40" w:after="40" w:line="200" w:lineRule="atLeast"/>
              <w:rPr>
                <w:rFonts w:eastAsia="Times New Roman"/>
                <w:iCs/>
                <w:szCs w:val="17"/>
              </w:rPr>
            </w:pPr>
            <w:r w:rsidRPr="00880004">
              <w:rPr>
                <w:rFonts w:asciiTheme="minorHAnsi" w:eastAsia="Times New Roman" w:hAnsiTheme="minorHAnsi"/>
                <w:iCs/>
                <w:szCs w:val="17"/>
                <w:lang w:eastAsia="en-US"/>
              </w:rPr>
              <w:t>Strategic Objective</w:t>
            </w:r>
            <w:r w:rsidRPr="001F60AE">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2</w:t>
            </w:r>
            <w:r w:rsidRPr="001F60AE">
              <w:rPr>
                <w:rFonts w:asciiTheme="minorHAnsi" w:eastAsia="Times New Roman" w:hAnsiTheme="minorHAnsi"/>
                <w:iCs/>
                <w:szCs w:val="17"/>
                <w:lang w:eastAsia="en-US"/>
              </w:rPr>
              <w:t xml:space="preserve">: </w:t>
            </w:r>
            <w:r w:rsidRPr="000E3A0F">
              <w:rPr>
                <w:rFonts w:asciiTheme="minorHAnsi" w:eastAsia="Times New Roman" w:hAnsiTheme="minorHAnsi"/>
                <w:iCs/>
                <w:szCs w:val="17"/>
                <w:lang w:eastAsia="en-US"/>
              </w:rPr>
              <w:t>Increased agricultural productivity and farmer incomes</w:t>
            </w:r>
          </w:p>
        </w:tc>
        <w:tc>
          <w:tcPr>
            <w:tcW w:w="1557" w:type="pct"/>
            <w:tcBorders>
              <w:top w:val="single" w:sz="8" w:space="0" w:color="FFFFFF" w:themeColor="background1"/>
              <w:bottom w:val="single" w:sz="8" w:space="0" w:color="FFFFFF" w:themeColor="background1"/>
            </w:tcBorders>
          </w:tcPr>
          <w:p w14:paraId="09D8619A" w14:textId="77777777" w:rsidR="001F60AE" w:rsidRPr="000E3A0F" w:rsidRDefault="000E3A0F" w:rsidP="006F27B1">
            <w:pPr>
              <w:keepLines/>
              <w:spacing w:before="40" w:after="40" w:line="200" w:lineRule="atLeast"/>
              <w:rPr>
                <w:rFonts w:asciiTheme="minorHAnsi" w:eastAsia="Times New Roman" w:hAnsiTheme="minorHAnsi"/>
                <w:iCs/>
                <w:szCs w:val="17"/>
                <w:lang w:eastAsia="en-US"/>
              </w:rPr>
            </w:pPr>
            <w:r w:rsidRPr="000E3A0F">
              <w:rPr>
                <w:rFonts w:asciiTheme="minorHAnsi" w:eastAsia="Times New Roman" w:hAnsiTheme="minorHAnsi"/>
                <w:iCs/>
                <w:szCs w:val="17"/>
                <w:lang w:eastAsia="en-US"/>
              </w:rPr>
              <w:t>Additional 10.3 km</w:t>
            </w:r>
            <w:r w:rsidRPr="000E3A0F">
              <w:rPr>
                <w:rFonts w:asciiTheme="minorHAnsi" w:eastAsia="Times New Roman" w:hAnsiTheme="minorHAnsi"/>
                <w:iCs/>
                <w:szCs w:val="17"/>
                <w:vertAlign w:val="superscript"/>
                <w:lang w:eastAsia="en-US"/>
              </w:rPr>
              <w:t>2</w:t>
            </w:r>
            <w:r w:rsidRPr="000E3A0F">
              <w:rPr>
                <w:rFonts w:asciiTheme="minorHAnsi" w:eastAsia="Times New Roman" w:hAnsiTheme="minorHAnsi"/>
                <w:iCs/>
                <w:szCs w:val="17"/>
                <w:lang w:eastAsia="en-US"/>
              </w:rPr>
              <w:t xml:space="preserve"> area of land contaminated by landmines and other Explosive Remnants of War released for productive use each year</w:t>
            </w:r>
          </w:p>
        </w:tc>
        <w:tc>
          <w:tcPr>
            <w:tcW w:w="438" w:type="pct"/>
            <w:tcBorders>
              <w:top w:val="single" w:sz="8" w:space="0" w:color="FFFFFF" w:themeColor="background1"/>
              <w:bottom w:val="single" w:sz="8" w:space="0" w:color="FFFFFF" w:themeColor="background1"/>
            </w:tcBorders>
            <w:shd w:val="clear" w:color="auto" w:fill="92D050"/>
          </w:tcPr>
          <w:p w14:paraId="4D251115" w14:textId="77777777" w:rsidR="001F60AE" w:rsidRPr="000E3A0F" w:rsidRDefault="00F65551" w:rsidP="001F60AE">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Over a</w:t>
            </w:r>
            <w:r w:rsidR="000E3A0F" w:rsidRPr="000E3A0F">
              <w:rPr>
                <w:rFonts w:asciiTheme="minorHAnsi" w:eastAsia="Times New Roman" w:hAnsiTheme="minorHAnsi"/>
                <w:iCs/>
                <w:color w:val="FFFFFF" w:themeColor="background1"/>
                <w:szCs w:val="17"/>
                <w:lang w:eastAsia="en-US"/>
              </w:rPr>
              <w:t>chieved</w:t>
            </w:r>
          </w:p>
        </w:tc>
        <w:tc>
          <w:tcPr>
            <w:tcW w:w="1850" w:type="pct"/>
            <w:tcBorders>
              <w:top w:val="single" w:sz="8" w:space="0" w:color="FFFFFF" w:themeColor="background1"/>
              <w:bottom w:val="single" w:sz="8" w:space="0" w:color="FFFFFF" w:themeColor="background1"/>
            </w:tcBorders>
          </w:tcPr>
          <w:p w14:paraId="220D3F0D" w14:textId="77777777" w:rsidR="001F60AE" w:rsidRDefault="00F65551" w:rsidP="000B136F">
            <w:pPr>
              <w:pStyle w:val="TableTextEntries"/>
              <w:keepNext/>
              <w:rPr>
                <w:rFonts w:asciiTheme="minorHAnsi" w:hAnsiTheme="minorHAnsi" w:cstheme="minorBidi"/>
                <w:color w:val="495965" w:themeColor="text2"/>
                <w:lang w:val="en-GB"/>
              </w:rPr>
            </w:pPr>
            <w:r w:rsidRPr="00F65551">
              <w:rPr>
                <w:rFonts w:asciiTheme="minorHAnsi" w:hAnsiTheme="minorHAnsi" w:cstheme="minorBidi"/>
                <w:color w:val="495965" w:themeColor="text2"/>
                <w:lang w:val="en-GB"/>
              </w:rPr>
              <w:t>Additional 28 km</w:t>
            </w:r>
            <w:r w:rsidRPr="00F65551">
              <w:rPr>
                <w:rFonts w:asciiTheme="minorHAnsi" w:hAnsiTheme="minorHAnsi" w:cstheme="minorBidi"/>
                <w:color w:val="495965" w:themeColor="text2"/>
                <w:vertAlign w:val="superscript"/>
                <w:lang w:val="en-GB"/>
              </w:rPr>
              <w:t>2</w:t>
            </w:r>
            <w:r w:rsidRPr="00F65551">
              <w:rPr>
                <w:rFonts w:asciiTheme="minorHAnsi" w:hAnsiTheme="minorHAnsi" w:cstheme="minorBidi"/>
                <w:color w:val="495965" w:themeColor="text2"/>
                <w:lang w:val="en-GB"/>
              </w:rPr>
              <w:t xml:space="preserve"> area of land contaminated by landmines and other Explosive Remnants of War was cleared and additional 44 km</w:t>
            </w:r>
            <w:r w:rsidRPr="00F65551">
              <w:rPr>
                <w:rFonts w:asciiTheme="minorHAnsi" w:hAnsiTheme="minorHAnsi" w:cstheme="minorBidi"/>
                <w:color w:val="495965" w:themeColor="text2"/>
                <w:vertAlign w:val="superscript"/>
                <w:lang w:val="en-GB"/>
              </w:rPr>
              <w:t>2</w:t>
            </w:r>
            <w:r w:rsidRPr="00F65551">
              <w:rPr>
                <w:rFonts w:asciiTheme="minorHAnsi" w:hAnsiTheme="minorHAnsi" w:cstheme="minorBidi"/>
                <w:color w:val="495965" w:themeColor="text2"/>
                <w:lang w:val="en-GB"/>
              </w:rPr>
              <w:t xml:space="preserve"> was released through Non-Technical Survey for productive use in 2015-16.</w:t>
            </w:r>
          </w:p>
        </w:tc>
      </w:tr>
      <w:tr w:rsidR="000E3A0F" w:rsidRPr="00C61187" w14:paraId="2CFC5679" w14:textId="77777777">
        <w:tc>
          <w:tcPr>
            <w:tcW w:w="1155" w:type="pct"/>
            <w:tcBorders>
              <w:top w:val="single" w:sz="8" w:space="0" w:color="FFFFFF" w:themeColor="background1"/>
              <w:bottom w:val="single" w:sz="8" w:space="0" w:color="FFFFFF" w:themeColor="background1"/>
            </w:tcBorders>
            <w:tcMar>
              <w:top w:w="57" w:type="dxa"/>
              <w:bottom w:w="57" w:type="dxa"/>
            </w:tcMar>
          </w:tcPr>
          <w:p w14:paraId="25BFA3FB" w14:textId="77777777" w:rsidR="001F60AE" w:rsidRPr="00880004" w:rsidRDefault="000E3A0F" w:rsidP="006F27B1">
            <w:pPr>
              <w:keepLines/>
              <w:spacing w:before="40" w:after="40" w:line="200" w:lineRule="atLeast"/>
              <w:rPr>
                <w:rFonts w:eastAsia="Times New Roman"/>
                <w:iCs/>
                <w:szCs w:val="17"/>
              </w:rPr>
            </w:pPr>
            <w:r w:rsidRPr="00880004">
              <w:rPr>
                <w:rFonts w:asciiTheme="minorHAnsi" w:eastAsia="Times New Roman" w:hAnsiTheme="minorHAnsi"/>
                <w:iCs/>
                <w:szCs w:val="17"/>
                <w:lang w:eastAsia="en-US"/>
              </w:rPr>
              <w:t>Strategic Objective</w:t>
            </w:r>
            <w:r w:rsidRPr="001F60AE">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3</w:t>
            </w:r>
            <w:r w:rsidRPr="001F60AE">
              <w:rPr>
                <w:rFonts w:asciiTheme="minorHAnsi" w:eastAsia="Times New Roman" w:hAnsiTheme="minorHAnsi"/>
                <w:iCs/>
                <w:szCs w:val="17"/>
                <w:lang w:eastAsia="en-US"/>
              </w:rPr>
              <w:t xml:space="preserve">: </w:t>
            </w:r>
            <w:r w:rsidRPr="000E3A0F">
              <w:rPr>
                <w:rFonts w:asciiTheme="minorHAnsi" w:eastAsia="Times New Roman" w:hAnsiTheme="minorHAnsi"/>
                <w:iCs/>
                <w:szCs w:val="17"/>
                <w:lang w:eastAsia="en-US"/>
              </w:rPr>
              <w:t>Better health and education outcomes</w:t>
            </w:r>
          </w:p>
        </w:tc>
        <w:tc>
          <w:tcPr>
            <w:tcW w:w="1557" w:type="pct"/>
            <w:tcBorders>
              <w:top w:val="single" w:sz="8" w:space="0" w:color="FFFFFF" w:themeColor="background1"/>
              <w:bottom w:val="single" w:sz="8" w:space="0" w:color="FFFFFF" w:themeColor="background1"/>
            </w:tcBorders>
          </w:tcPr>
          <w:p w14:paraId="44028C4E" w14:textId="77777777" w:rsidR="001F60AE" w:rsidRPr="000E3A0F" w:rsidRDefault="000E3A0F" w:rsidP="000E3A0F">
            <w:pPr>
              <w:keepLines/>
              <w:spacing w:before="40" w:after="40" w:line="200" w:lineRule="atLeast"/>
              <w:rPr>
                <w:rFonts w:asciiTheme="minorHAnsi" w:eastAsia="Times New Roman" w:hAnsiTheme="minorHAnsi"/>
                <w:iCs/>
                <w:szCs w:val="17"/>
                <w:lang w:eastAsia="en-US"/>
              </w:rPr>
            </w:pPr>
            <w:r w:rsidRPr="000E3A0F">
              <w:rPr>
                <w:rFonts w:asciiTheme="minorHAnsi" w:eastAsia="Times New Roman" w:hAnsiTheme="minorHAnsi"/>
                <w:iCs/>
                <w:szCs w:val="17"/>
                <w:lang w:eastAsia="en-US"/>
              </w:rPr>
              <w:t>70</w:t>
            </w:r>
            <w:r w:rsidR="00861E8A">
              <w:rPr>
                <w:rFonts w:asciiTheme="minorHAnsi" w:eastAsia="Times New Roman" w:hAnsiTheme="minorHAnsi"/>
                <w:iCs/>
                <w:szCs w:val="17"/>
                <w:lang w:eastAsia="en-US"/>
              </w:rPr>
              <w:t xml:space="preserve"> per cent</w:t>
            </w:r>
            <w:r w:rsidRPr="000E3A0F">
              <w:rPr>
                <w:rFonts w:asciiTheme="minorHAnsi" w:eastAsia="Times New Roman" w:hAnsiTheme="minorHAnsi"/>
                <w:iCs/>
                <w:szCs w:val="17"/>
                <w:lang w:eastAsia="en-US"/>
              </w:rPr>
              <w:t xml:space="preserve"> of health facilities, hospitals and health centres, assessed by quality of care assessment tool</w:t>
            </w:r>
          </w:p>
        </w:tc>
        <w:tc>
          <w:tcPr>
            <w:tcW w:w="438" w:type="pct"/>
            <w:tcBorders>
              <w:top w:val="single" w:sz="8" w:space="0" w:color="FFFFFF" w:themeColor="background1"/>
              <w:bottom w:val="single" w:sz="8" w:space="0" w:color="FFFFFF" w:themeColor="background1"/>
            </w:tcBorders>
            <w:shd w:val="clear" w:color="auto" w:fill="92D050"/>
          </w:tcPr>
          <w:p w14:paraId="30CD680D" w14:textId="77777777" w:rsidR="001F60AE" w:rsidRPr="001F60AE" w:rsidRDefault="00E0779D" w:rsidP="001F60AE">
            <w:pPr>
              <w:keepLines/>
              <w:spacing w:before="40" w:after="40" w:line="200" w:lineRule="atLeast"/>
              <w:rPr>
                <w:rFonts w:eastAsia="Times New Roman"/>
                <w:iCs/>
                <w:color w:val="FFFFFF" w:themeColor="background1"/>
                <w:szCs w:val="17"/>
              </w:rPr>
            </w:pPr>
            <w:r w:rsidRPr="00C13637">
              <w:rPr>
                <w:rFonts w:asciiTheme="minorHAnsi" w:eastAsia="Times New Roman" w:hAnsiTheme="minorHAnsi"/>
                <w:iCs/>
                <w:color w:val="FFFFFF" w:themeColor="background1"/>
                <w:szCs w:val="17"/>
                <w:lang w:eastAsia="en-US"/>
              </w:rPr>
              <w:t>Over achieved</w:t>
            </w:r>
          </w:p>
        </w:tc>
        <w:tc>
          <w:tcPr>
            <w:tcW w:w="1850" w:type="pct"/>
            <w:tcBorders>
              <w:top w:val="single" w:sz="8" w:space="0" w:color="FFFFFF" w:themeColor="background1"/>
              <w:bottom w:val="single" w:sz="8" w:space="0" w:color="FFFFFF" w:themeColor="background1"/>
            </w:tcBorders>
          </w:tcPr>
          <w:p w14:paraId="531D7AC9" w14:textId="77777777" w:rsidR="001F60AE" w:rsidRDefault="00E0779D" w:rsidP="000B136F">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100</w:t>
            </w:r>
            <w:r w:rsidR="00861E8A">
              <w:rPr>
                <w:rFonts w:asciiTheme="minorHAnsi" w:hAnsiTheme="minorHAnsi" w:cstheme="minorBidi"/>
                <w:color w:val="495965" w:themeColor="text2"/>
                <w:lang w:val="en-GB"/>
              </w:rPr>
              <w:t xml:space="preserve"> per cent</w:t>
            </w:r>
            <w:r>
              <w:rPr>
                <w:rFonts w:asciiTheme="minorHAnsi" w:hAnsiTheme="minorHAnsi" w:cstheme="minorBidi"/>
                <w:color w:val="495965" w:themeColor="text2"/>
                <w:lang w:val="en-GB"/>
              </w:rPr>
              <w:t xml:space="preserve"> of </w:t>
            </w:r>
            <w:r w:rsidRPr="00E0779D">
              <w:rPr>
                <w:rFonts w:asciiTheme="minorHAnsi" w:hAnsiTheme="minorHAnsi" w:cstheme="minorBidi"/>
                <w:color w:val="495965" w:themeColor="text2"/>
                <w:lang w:val="en-GB"/>
              </w:rPr>
              <w:t>health facilities, hospitals and health centres, assessed by quality of care assessment tool</w:t>
            </w:r>
            <w:r w:rsidR="00A969DC">
              <w:rPr>
                <w:rFonts w:asciiTheme="minorHAnsi" w:hAnsiTheme="minorHAnsi" w:cstheme="minorBidi"/>
                <w:color w:val="495965" w:themeColor="text2"/>
                <w:lang w:val="en-GB"/>
              </w:rPr>
              <w:t>.</w:t>
            </w:r>
          </w:p>
        </w:tc>
      </w:tr>
      <w:tr w:rsidR="000E3A0F" w:rsidRPr="00C61187" w14:paraId="5D59552C" w14:textId="77777777">
        <w:tc>
          <w:tcPr>
            <w:tcW w:w="1155" w:type="pct"/>
            <w:tcBorders>
              <w:top w:val="single" w:sz="8" w:space="0" w:color="FFFFFF" w:themeColor="background1"/>
              <w:bottom w:val="single" w:sz="8" w:space="0" w:color="FFFFFF" w:themeColor="background1"/>
            </w:tcBorders>
            <w:tcMar>
              <w:top w:w="57" w:type="dxa"/>
              <w:bottom w:w="57" w:type="dxa"/>
            </w:tcMar>
          </w:tcPr>
          <w:p w14:paraId="678E378C" w14:textId="77777777" w:rsidR="001F60AE" w:rsidRPr="00880004" w:rsidRDefault="000E3A0F" w:rsidP="006F27B1">
            <w:pPr>
              <w:keepLines/>
              <w:spacing w:before="40" w:after="40" w:line="200" w:lineRule="atLeast"/>
              <w:rPr>
                <w:rFonts w:eastAsia="Times New Roman"/>
                <w:iCs/>
                <w:szCs w:val="17"/>
              </w:rPr>
            </w:pPr>
            <w:r w:rsidRPr="00880004">
              <w:rPr>
                <w:rFonts w:asciiTheme="minorHAnsi" w:eastAsia="Times New Roman" w:hAnsiTheme="minorHAnsi"/>
                <w:iCs/>
                <w:szCs w:val="17"/>
                <w:lang w:eastAsia="en-US"/>
              </w:rPr>
              <w:t>Strategic Objective</w:t>
            </w:r>
            <w:r w:rsidRPr="001F60AE">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3</w:t>
            </w:r>
            <w:r w:rsidRPr="001F60AE">
              <w:rPr>
                <w:rFonts w:asciiTheme="minorHAnsi" w:eastAsia="Times New Roman" w:hAnsiTheme="minorHAnsi"/>
                <w:iCs/>
                <w:szCs w:val="17"/>
                <w:lang w:eastAsia="en-US"/>
              </w:rPr>
              <w:t xml:space="preserve">: </w:t>
            </w:r>
            <w:r w:rsidRPr="000E3A0F">
              <w:rPr>
                <w:rFonts w:asciiTheme="minorHAnsi" w:eastAsia="Times New Roman" w:hAnsiTheme="minorHAnsi"/>
                <w:iCs/>
                <w:szCs w:val="17"/>
                <w:lang w:eastAsia="en-US"/>
              </w:rPr>
              <w:t>Better health and education outcomes</w:t>
            </w:r>
          </w:p>
        </w:tc>
        <w:tc>
          <w:tcPr>
            <w:tcW w:w="1557" w:type="pct"/>
            <w:tcBorders>
              <w:top w:val="single" w:sz="8" w:space="0" w:color="FFFFFF" w:themeColor="background1"/>
              <w:bottom w:val="single" w:sz="8" w:space="0" w:color="FFFFFF" w:themeColor="background1"/>
            </w:tcBorders>
          </w:tcPr>
          <w:p w14:paraId="55F5DCA9" w14:textId="77777777" w:rsidR="001F60AE" w:rsidRPr="000E3A0F" w:rsidRDefault="000E3A0F" w:rsidP="000E3A0F">
            <w:pPr>
              <w:keepLines/>
              <w:spacing w:before="40" w:after="40" w:line="200" w:lineRule="atLeast"/>
              <w:rPr>
                <w:rFonts w:asciiTheme="minorHAnsi" w:eastAsia="Times New Roman" w:hAnsiTheme="minorHAnsi"/>
                <w:iCs/>
                <w:szCs w:val="17"/>
                <w:lang w:eastAsia="en-US"/>
              </w:rPr>
            </w:pPr>
            <w:r w:rsidRPr="000E3A0F">
              <w:rPr>
                <w:rFonts w:asciiTheme="minorHAnsi" w:eastAsia="Times New Roman" w:hAnsiTheme="minorHAnsi"/>
                <w:iCs/>
                <w:szCs w:val="17"/>
                <w:lang w:eastAsia="en-US"/>
              </w:rPr>
              <w:t>Female/male proportion of scholarships awarded (28/27)</w:t>
            </w:r>
          </w:p>
        </w:tc>
        <w:tc>
          <w:tcPr>
            <w:tcW w:w="438" w:type="pct"/>
            <w:tcBorders>
              <w:top w:val="single" w:sz="8" w:space="0" w:color="FFFFFF" w:themeColor="background1"/>
              <w:bottom w:val="single" w:sz="8" w:space="0" w:color="FFFFFF" w:themeColor="background1"/>
            </w:tcBorders>
            <w:shd w:val="clear" w:color="auto" w:fill="C15A2D" w:themeFill="accent5"/>
          </w:tcPr>
          <w:p w14:paraId="541F2153" w14:textId="77777777" w:rsidR="001F60AE" w:rsidRPr="00CB15DB" w:rsidRDefault="008B2991" w:rsidP="00E0779D">
            <w:pPr>
              <w:keepLines/>
              <w:spacing w:before="40" w:after="40" w:line="200" w:lineRule="atLeast"/>
              <w:jc w:val="center"/>
              <w:rPr>
                <w:rFonts w:asciiTheme="minorHAnsi" w:eastAsia="Times New Roman" w:hAnsiTheme="minorHAnsi"/>
                <w:iCs/>
                <w:color w:val="FFFFFF" w:themeColor="background1"/>
                <w:szCs w:val="17"/>
              </w:rPr>
            </w:pPr>
            <w:r w:rsidRPr="00CB15DB">
              <w:rPr>
                <w:rFonts w:asciiTheme="minorHAnsi" w:hAnsiTheme="minorHAnsi"/>
                <w:color w:val="FFFFFF" w:themeColor="background1"/>
              </w:rPr>
              <w:t>Partly achieved</w:t>
            </w:r>
          </w:p>
        </w:tc>
        <w:tc>
          <w:tcPr>
            <w:tcW w:w="1850" w:type="pct"/>
            <w:tcBorders>
              <w:top w:val="single" w:sz="8" w:space="0" w:color="FFFFFF" w:themeColor="background1"/>
              <w:bottom w:val="single" w:sz="8" w:space="0" w:color="FFFFFF" w:themeColor="background1"/>
            </w:tcBorders>
          </w:tcPr>
          <w:p w14:paraId="494E5680" w14:textId="7F661578" w:rsidR="001F60AE" w:rsidRDefault="007C00BC" w:rsidP="000B136F">
            <w:pPr>
              <w:pStyle w:val="TableTextEntries"/>
              <w:keepNext/>
              <w:rPr>
                <w:rFonts w:asciiTheme="minorHAnsi" w:hAnsiTheme="minorHAnsi" w:cstheme="minorBidi"/>
                <w:color w:val="495965" w:themeColor="text2"/>
                <w:lang w:val="en-GB"/>
              </w:rPr>
            </w:pPr>
            <w:r>
              <w:rPr>
                <w:rFonts w:asciiTheme="minorHAnsi" w:hAnsiTheme="minorHAnsi" w:cstheme="minorBidi"/>
                <w:color w:val="495965" w:themeColor="text2"/>
                <w:lang w:val="en-GB"/>
              </w:rPr>
              <w:t xml:space="preserve">The ratio </w:t>
            </w:r>
            <w:r w:rsidR="00E0779D">
              <w:rPr>
                <w:rFonts w:asciiTheme="minorHAnsi" w:hAnsiTheme="minorHAnsi" w:cstheme="minorBidi"/>
                <w:color w:val="495965" w:themeColor="text2"/>
                <w:lang w:val="en-GB"/>
              </w:rPr>
              <w:t xml:space="preserve">of male and female awardee </w:t>
            </w:r>
            <w:r w:rsidR="007E61A4">
              <w:rPr>
                <w:rFonts w:asciiTheme="minorHAnsi" w:hAnsiTheme="minorHAnsi" w:cstheme="minorBidi"/>
                <w:color w:val="495965" w:themeColor="text2"/>
                <w:lang w:val="en-GB"/>
              </w:rPr>
              <w:t>was</w:t>
            </w:r>
            <w:r w:rsidR="00E0779D">
              <w:rPr>
                <w:rFonts w:asciiTheme="minorHAnsi" w:hAnsiTheme="minorHAnsi" w:cstheme="minorBidi"/>
                <w:color w:val="495965" w:themeColor="text2"/>
                <w:lang w:val="en-GB"/>
              </w:rPr>
              <w:t xml:space="preserve"> 23/25</w:t>
            </w:r>
            <w:r>
              <w:rPr>
                <w:rFonts w:asciiTheme="minorHAnsi" w:hAnsiTheme="minorHAnsi" w:cstheme="minorBidi"/>
                <w:color w:val="495965" w:themeColor="text2"/>
                <w:lang w:val="en-GB"/>
              </w:rPr>
              <w:t xml:space="preserve"> (48</w:t>
            </w:r>
            <w:r w:rsidR="007E61A4">
              <w:rPr>
                <w:rFonts w:asciiTheme="minorHAnsi" w:hAnsiTheme="minorHAnsi" w:cstheme="minorBidi"/>
                <w:color w:val="495965" w:themeColor="text2"/>
                <w:lang w:val="en-GB"/>
              </w:rPr>
              <w:t xml:space="preserve"> per cent </w:t>
            </w:r>
            <w:r>
              <w:rPr>
                <w:rFonts w:asciiTheme="minorHAnsi" w:hAnsiTheme="minorHAnsi" w:cstheme="minorBidi"/>
                <w:color w:val="495965" w:themeColor="text2"/>
                <w:lang w:val="en-GB"/>
              </w:rPr>
              <w:t>of female awardee</w:t>
            </w:r>
            <w:r w:rsidR="007E61A4">
              <w:rPr>
                <w:rFonts w:asciiTheme="minorHAnsi" w:hAnsiTheme="minorHAnsi" w:cstheme="minorBidi"/>
                <w:color w:val="495965" w:themeColor="text2"/>
                <w:lang w:val="en-GB"/>
              </w:rPr>
              <w:t>s</w:t>
            </w:r>
            <w:r>
              <w:rPr>
                <w:rFonts w:asciiTheme="minorHAnsi" w:hAnsiTheme="minorHAnsi" w:cstheme="minorBidi"/>
                <w:color w:val="495965" w:themeColor="text2"/>
                <w:lang w:val="en-GB"/>
              </w:rPr>
              <w:t>)</w:t>
            </w:r>
          </w:p>
        </w:tc>
      </w:tr>
      <w:tr w:rsidR="000E3A0F" w:rsidRPr="00C61187" w14:paraId="3DE3CE06" w14:textId="77777777">
        <w:tc>
          <w:tcPr>
            <w:tcW w:w="1155" w:type="pct"/>
            <w:tcBorders>
              <w:top w:val="single" w:sz="8" w:space="0" w:color="FFFFFF" w:themeColor="background1"/>
              <w:bottom w:val="single" w:sz="12" w:space="0" w:color="auto"/>
            </w:tcBorders>
            <w:tcMar>
              <w:top w:w="57" w:type="dxa"/>
              <w:bottom w:w="57" w:type="dxa"/>
            </w:tcMar>
          </w:tcPr>
          <w:p w14:paraId="47256FAC" w14:textId="77777777" w:rsidR="001F60AE" w:rsidRPr="00880004" w:rsidRDefault="000E3A0F" w:rsidP="006F27B1">
            <w:pPr>
              <w:keepLines/>
              <w:spacing w:before="40" w:after="40" w:line="200" w:lineRule="atLeast"/>
              <w:rPr>
                <w:rFonts w:eastAsia="Times New Roman"/>
                <w:iCs/>
                <w:szCs w:val="17"/>
              </w:rPr>
            </w:pPr>
            <w:r w:rsidRPr="000E3A0F">
              <w:rPr>
                <w:rFonts w:asciiTheme="minorHAnsi" w:eastAsia="Times New Roman" w:hAnsiTheme="minorHAnsi"/>
                <w:iCs/>
                <w:szCs w:val="17"/>
                <w:lang w:eastAsia="en-US"/>
              </w:rPr>
              <w:t>Cross-cutting: Reduced gender-based violence</w:t>
            </w:r>
          </w:p>
        </w:tc>
        <w:tc>
          <w:tcPr>
            <w:tcW w:w="1557" w:type="pct"/>
            <w:tcBorders>
              <w:top w:val="single" w:sz="8" w:space="0" w:color="FFFFFF" w:themeColor="background1"/>
              <w:bottom w:val="single" w:sz="12" w:space="0" w:color="auto"/>
            </w:tcBorders>
          </w:tcPr>
          <w:p w14:paraId="0239E88A" w14:textId="77777777" w:rsidR="001F60AE" w:rsidRPr="000E3A0F" w:rsidRDefault="000E3A0F" w:rsidP="000E3A0F">
            <w:pPr>
              <w:keepLines/>
              <w:spacing w:before="40" w:after="40" w:line="200" w:lineRule="atLeast"/>
              <w:rPr>
                <w:rFonts w:asciiTheme="minorHAnsi" w:eastAsia="Times New Roman" w:hAnsiTheme="minorHAnsi"/>
                <w:iCs/>
                <w:szCs w:val="17"/>
                <w:lang w:eastAsia="en-US"/>
              </w:rPr>
            </w:pPr>
            <w:r w:rsidRPr="000E3A0F">
              <w:rPr>
                <w:rFonts w:asciiTheme="minorHAnsi" w:eastAsia="Times New Roman" w:hAnsiTheme="minorHAnsi"/>
                <w:iCs/>
                <w:szCs w:val="17"/>
                <w:lang w:eastAsia="en-US"/>
              </w:rPr>
              <w:t>Additional 1,000 of women survivors of violence receiving services such as counselling each year</w:t>
            </w:r>
          </w:p>
        </w:tc>
        <w:tc>
          <w:tcPr>
            <w:tcW w:w="438" w:type="pct"/>
            <w:tcBorders>
              <w:top w:val="single" w:sz="8" w:space="0" w:color="FFFFFF" w:themeColor="background1"/>
              <w:bottom w:val="single" w:sz="12" w:space="0" w:color="auto"/>
            </w:tcBorders>
            <w:shd w:val="clear" w:color="auto" w:fill="92D050"/>
          </w:tcPr>
          <w:p w14:paraId="029A9B74" w14:textId="77777777" w:rsidR="001F60AE" w:rsidRPr="001F60AE" w:rsidRDefault="000E3A0F" w:rsidP="001F60AE">
            <w:pPr>
              <w:keepLines/>
              <w:spacing w:before="40" w:after="40" w:line="200" w:lineRule="atLeast"/>
              <w:rPr>
                <w:rFonts w:eastAsia="Times New Roman"/>
                <w:iCs/>
                <w:color w:val="FFFFFF" w:themeColor="background1"/>
                <w:szCs w:val="17"/>
              </w:rPr>
            </w:pPr>
            <w:r w:rsidRPr="00C13637">
              <w:rPr>
                <w:rFonts w:asciiTheme="minorHAnsi" w:eastAsia="Times New Roman" w:hAnsiTheme="minorHAnsi"/>
                <w:iCs/>
                <w:color w:val="FFFFFF" w:themeColor="background1"/>
                <w:szCs w:val="17"/>
                <w:lang w:eastAsia="en-US"/>
              </w:rPr>
              <w:t>Over achieved</w:t>
            </w:r>
          </w:p>
        </w:tc>
        <w:tc>
          <w:tcPr>
            <w:tcW w:w="1850" w:type="pct"/>
            <w:tcBorders>
              <w:top w:val="single" w:sz="8" w:space="0" w:color="FFFFFF" w:themeColor="background1"/>
              <w:bottom w:val="single" w:sz="12" w:space="0" w:color="auto"/>
            </w:tcBorders>
          </w:tcPr>
          <w:p w14:paraId="004A4FCB" w14:textId="77777777" w:rsidR="001F60AE" w:rsidRDefault="00E0779D" w:rsidP="000B136F">
            <w:pPr>
              <w:pStyle w:val="TableTextEntries"/>
              <w:keepNext/>
              <w:rPr>
                <w:rFonts w:asciiTheme="minorHAnsi" w:hAnsiTheme="minorHAnsi" w:cstheme="minorBidi"/>
                <w:color w:val="495965" w:themeColor="text2"/>
                <w:lang w:val="en-GB"/>
              </w:rPr>
            </w:pPr>
            <w:r w:rsidRPr="00E0779D">
              <w:rPr>
                <w:rFonts w:asciiTheme="minorHAnsi" w:hAnsiTheme="minorHAnsi" w:cstheme="minorBidi"/>
                <w:color w:val="495965" w:themeColor="text2"/>
                <w:lang w:val="en-GB"/>
              </w:rPr>
              <w:t>9,950 of women survivors of violence receiving services such as counselling in 2015-16</w:t>
            </w:r>
          </w:p>
        </w:tc>
      </w:tr>
    </w:tbl>
    <w:p w14:paraId="67637FA1"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F242E7C" w14:textId="65F9027E"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w:t>
      </w:r>
      <w:r w:rsidR="008E4949">
        <w:rPr>
          <w:rFonts w:eastAsia="Times New Roman"/>
          <w:b/>
          <w:sz w:val="16"/>
          <w:szCs w:val="14"/>
        </w:rPr>
        <w:t xml:space="preserve">. </w:t>
      </w:r>
      <w:r w:rsidRPr="00880004">
        <w:rPr>
          <w:rFonts w:eastAsia="Times New Roman"/>
          <w:b/>
          <w:sz w:val="16"/>
          <w:szCs w:val="14"/>
        </w:rPr>
        <w:t xml:space="preserve">Significant progress has been made and the performance benchmark was achieved </w:t>
      </w:r>
    </w:p>
    <w:p w14:paraId="5A183392" w14:textId="1535427D"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w:t>
      </w:r>
      <w:r w:rsidR="008E4949">
        <w:rPr>
          <w:rFonts w:eastAsia="Times New Roman"/>
          <w:b/>
          <w:sz w:val="16"/>
          <w:szCs w:val="14"/>
        </w:rPr>
        <w:t xml:space="preserve">. </w:t>
      </w:r>
      <w:r w:rsidRPr="00880004">
        <w:rPr>
          <w:rFonts w:eastAsia="Times New Roman"/>
          <w:b/>
          <w:sz w:val="16"/>
          <w:szCs w:val="14"/>
        </w:rPr>
        <w:t xml:space="preserve">Some progress has been made towards achieving the performance benchmark, but progress was less than anticipated. </w:t>
      </w:r>
    </w:p>
    <w:p w14:paraId="6D7F50DC"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484E0C8B" w14:textId="77777777" w:rsidR="00400B0F" w:rsidRPr="00C61187" w:rsidRDefault="00400B0F" w:rsidP="00400B0F">
      <w:pPr>
        <w:spacing w:after="160" w:line="280" w:lineRule="exact"/>
        <w:rPr>
          <w:rFonts w:ascii="Franklin Gothic Book" w:eastAsia="Times New Roman" w:hAnsi="Franklin Gothic Book"/>
          <w:sz w:val="21"/>
        </w:rPr>
      </w:pPr>
    </w:p>
    <w:p w14:paraId="75441DD0" w14:textId="77777777" w:rsidR="00400B0F" w:rsidRDefault="00400B0F" w:rsidP="002A51CA">
      <w:pPr>
        <w:spacing w:after="120" w:line="280" w:lineRule="exact"/>
        <w:rPr>
          <w:rFonts w:ascii="Franklin Gothic Book" w:eastAsia="Times New Roman" w:hAnsi="Franklin Gothic Book"/>
          <w:sz w:val="21"/>
        </w:rPr>
      </w:pPr>
    </w:p>
    <w:p w14:paraId="5138B54A" w14:textId="77777777"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14:paraId="078FB420" w14:textId="77777777" w:rsidR="00400B0F" w:rsidRPr="00784031" w:rsidRDefault="00400B0F" w:rsidP="00784031">
      <w:pPr>
        <w:pStyle w:val="Subtitle"/>
        <w:numPr>
          <w:ilvl w:val="0"/>
          <w:numId w:val="0"/>
        </w:numPr>
      </w:pPr>
      <w:r w:rsidRPr="00784031">
        <w:lastRenderedPageBreak/>
        <w:t>Annex C - Evaluation Planning</w:t>
      </w:r>
    </w:p>
    <w:p w14:paraId="2EFDD3BE" w14:textId="77777777" w:rsidR="00400B0F" w:rsidRPr="008C2F58" w:rsidRDefault="00400B0F" w:rsidP="008C2F58">
      <w:pPr>
        <w:rPr>
          <w:b/>
          <w:sz w:val="24"/>
        </w:rPr>
      </w:pPr>
      <w:r w:rsidRPr="008C2F58">
        <w:rPr>
          <w:b/>
          <w:sz w:val="24"/>
        </w:rPr>
        <w:t xml:space="preserve">List of evaluations completed in the reporting period </w:t>
      </w:r>
    </w:p>
    <w:tbl>
      <w:tblPr>
        <w:tblStyle w:val="APPR"/>
        <w:tblW w:w="14445" w:type="dxa"/>
        <w:tblLayout w:type="fixed"/>
        <w:tblLook w:val="04A0" w:firstRow="1" w:lastRow="0" w:firstColumn="1" w:lastColumn="0" w:noHBand="0" w:noVBand="1"/>
      </w:tblPr>
      <w:tblGrid>
        <w:gridCol w:w="3106"/>
        <w:gridCol w:w="4543"/>
        <w:gridCol w:w="1559"/>
        <w:gridCol w:w="1981"/>
        <w:gridCol w:w="1699"/>
        <w:gridCol w:w="1557"/>
      </w:tblGrid>
      <w:tr w:rsidR="00400B0F" w:rsidRPr="00C61187" w14:paraId="4AFA8338" w14:textId="77777777">
        <w:trPr>
          <w:cnfStyle w:val="100000000000" w:firstRow="1" w:lastRow="0" w:firstColumn="0" w:lastColumn="0" w:oddVBand="0" w:evenVBand="0" w:oddHBand="0" w:evenHBand="0" w:firstRowFirstColumn="0" w:firstRowLastColumn="0" w:lastRowFirstColumn="0" w:lastRowLastColumn="0"/>
        </w:trPr>
        <w:tc>
          <w:tcPr>
            <w:tcW w:w="3064" w:type="dxa"/>
          </w:tcPr>
          <w:p w14:paraId="5AB0E8A1"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14:paraId="4FD942B4" w14:textId="77777777" w:rsidR="00400B0F" w:rsidRPr="00880004" w:rsidRDefault="00400B0F" w:rsidP="006F27B1">
            <w:pPr>
              <w:keepLines/>
              <w:spacing w:line="200" w:lineRule="atLeast"/>
              <w:rPr>
                <w:rFonts w:asciiTheme="minorHAnsi" w:eastAsia="Times New Roman" w:hAnsiTheme="minorHAnsi"/>
                <w:b w:val="0"/>
                <w:iCs/>
                <w:szCs w:val="17"/>
                <w:lang w:eastAsia="en-US"/>
              </w:rPr>
            </w:pPr>
            <w:r w:rsidRPr="00880004">
              <w:rPr>
                <w:rFonts w:asciiTheme="minorHAnsi" w:eastAsia="Times New Roman" w:hAnsiTheme="minorHAnsi"/>
                <w:iCs/>
                <w:szCs w:val="17"/>
                <w:lang w:eastAsia="en-US"/>
              </w:rPr>
              <w:t xml:space="preserve">(if applicable) </w:t>
            </w:r>
          </w:p>
        </w:tc>
        <w:tc>
          <w:tcPr>
            <w:tcW w:w="4515" w:type="dxa"/>
          </w:tcPr>
          <w:p w14:paraId="5CE0C18A"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531" w:type="dxa"/>
          </w:tcPr>
          <w:p w14:paraId="356DB648"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Pr>
          <w:p w14:paraId="4CF6B841"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Pr>
          <w:p w14:paraId="3007761F"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Pr>
          <w:p w14:paraId="294B5B4E" w14:textId="77777777"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D63DFC" w:rsidRPr="003B5EE5" w14:paraId="3852B6A1" w14:textId="77777777" w:rsidTr="00D63DFC">
        <w:trPr>
          <w:cnfStyle w:val="100000000000" w:firstRow="1" w:lastRow="0" w:firstColumn="0" w:lastColumn="0" w:oddVBand="0" w:evenVBand="0" w:oddHBand="0" w:evenHBand="0" w:firstRowFirstColumn="0" w:firstRowLastColumn="0" w:lastRowFirstColumn="0" w:lastRowLastColumn="0"/>
        </w:trPr>
        <w:tc>
          <w:tcPr>
            <w:tcW w:w="3064" w:type="dxa"/>
          </w:tcPr>
          <w:p w14:paraId="0788EAEA" w14:textId="77777777" w:rsidR="00D63DFC" w:rsidRDefault="00D63DFC" w:rsidP="006F27B1">
            <w:pPr>
              <w:keepLines/>
              <w:spacing w:before="40" w:after="40" w:line="200" w:lineRule="atLeast"/>
              <w:rPr>
                <w:rFonts w:eastAsia="Times New Roman"/>
                <w:iCs/>
                <w:szCs w:val="17"/>
              </w:rPr>
            </w:pPr>
            <w:r w:rsidRPr="00F43638">
              <w:rPr>
                <w:rFonts w:asciiTheme="minorHAnsi" w:eastAsia="Times New Roman" w:hAnsiTheme="minorHAnsi"/>
                <w:b w:val="0"/>
                <w:iCs/>
                <w:szCs w:val="17"/>
                <w:lang w:eastAsia="en-US"/>
              </w:rPr>
              <w:t>INK662</w:t>
            </w:r>
            <w:r>
              <w:rPr>
                <w:rFonts w:asciiTheme="minorHAnsi" w:eastAsia="Times New Roman" w:hAnsiTheme="minorHAnsi"/>
                <w:b w:val="0"/>
                <w:iCs/>
                <w:szCs w:val="17"/>
                <w:lang w:eastAsia="en-US"/>
              </w:rPr>
              <w:t xml:space="preserve"> Cambodia Australia Scholarship Initiative</w:t>
            </w:r>
          </w:p>
        </w:tc>
        <w:tc>
          <w:tcPr>
            <w:tcW w:w="4515" w:type="dxa"/>
          </w:tcPr>
          <w:p w14:paraId="2AA8D83E" w14:textId="77777777" w:rsidR="00D63DFC" w:rsidRPr="006870D6" w:rsidRDefault="00D63DFC" w:rsidP="006F27B1">
            <w:pPr>
              <w:keepLines/>
              <w:spacing w:before="40" w:after="40" w:line="200" w:lineRule="atLeast"/>
              <w:rPr>
                <w:rFonts w:eastAsia="Times New Roman"/>
                <w:iCs/>
                <w:szCs w:val="17"/>
              </w:rPr>
            </w:pPr>
            <w:r w:rsidRPr="00F43638">
              <w:rPr>
                <w:rFonts w:asciiTheme="minorHAnsi" w:eastAsia="Times New Roman" w:hAnsiTheme="minorHAnsi"/>
                <w:b w:val="0"/>
                <w:iCs/>
                <w:szCs w:val="17"/>
                <w:lang w:eastAsia="en-US"/>
              </w:rPr>
              <w:t xml:space="preserve">Mid-term review of the Australia Awards Scholarships program in Cambodia </w:t>
            </w:r>
          </w:p>
        </w:tc>
        <w:tc>
          <w:tcPr>
            <w:tcW w:w="1531" w:type="dxa"/>
            <w:vAlign w:val="center"/>
          </w:tcPr>
          <w:p w14:paraId="2A7C9612" w14:textId="77777777" w:rsidR="00D63DFC" w:rsidRPr="006870D6" w:rsidRDefault="00D63DFC" w:rsidP="00D63DFC">
            <w:pPr>
              <w:keepLines/>
              <w:spacing w:before="40" w:after="40" w:line="200" w:lineRule="atLeast"/>
              <w:rPr>
                <w:rFonts w:eastAsia="Times New Roman"/>
                <w:iCs/>
                <w:szCs w:val="17"/>
              </w:rPr>
            </w:pPr>
            <w:r w:rsidRPr="00F43638">
              <w:rPr>
                <w:rFonts w:asciiTheme="minorHAnsi" w:eastAsia="Times New Roman" w:hAnsiTheme="minorHAnsi"/>
                <w:b w:val="0"/>
                <w:iCs/>
                <w:szCs w:val="17"/>
                <w:lang w:eastAsia="en-US"/>
              </w:rPr>
              <w:t>September 201</w:t>
            </w:r>
            <w:r>
              <w:rPr>
                <w:rFonts w:asciiTheme="minorHAnsi" w:eastAsia="Times New Roman" w:hAnsiTheme="minorHAnsi"/>
                <w:b w:val="0"/>
                <w:iCs/>
                <w:szCs w:val="17"/>
                <w:lang w:eastAsia="en-US"/>
              </w:rPr>
              <w:t>5</w:t>
            </w:r>
          </w:p>
        </w:tc>
        <w:tc>
          <w:tcPr>
            <w:tcW w:w="1953" w:type="dxa"/>
            <w:vAlign w:val="center"/>
          </w:tcPr>
          <w:p w14:paraId="0895F853" w14:textId="77777777" w:rsidR="00D63DFC" w:rsidRPr="00193644" w:rsidRDefault="00D63DFC" w:rsidP="00D63DFC">
            <w:pPr>
              <w:keepLines/>
              <w:spacing w:before="40" w:after="40" w:line="200" w:lineRule="atLeast"/>
              <w:rPr>
                <w:rFonts w:eastAsia="Times New Roman"/>
                <w:iCs/>
                <w:szCs w:val="17"/>
              </w:rPr>
            </w:pPr>
            <w:r w:rsidRPr="00F43638">
              <w:rPr>
                <w:rFonts w:asciiTheme="minorHAnsi" w:eastAsia="Times New Roman" w:hAnsiTheme="minorHAnsi"/>
                <w:b w:val="0"/>
                <w:iCs/>
                <w:szCs w:val="17"/>
                <w:lang w:eastAsia="en-US"/>
              </w:rPr>
              <w:t>August 2016</w:t>
            </w:r>
          </w:p>
        </w:tc>
        <w:tc>
          <w:tcPr>
            <w:tcW w:w="1671" w:type="dxa"/>
            <w:vAlign w:val="center"/>
          </w:tcPr>
          <w:p w14:paraId="7C643C13" w14:textId="77777777" w:rsidR="00D63DFC" w:rsidRPr="00193644" w:rsidRDefault="00D63DFC" w:rsidP="00A10477">
            <w:pPr>
              <w:keepLines/>
              <w:spacing w:before="40" w:after="40" w:line="200" w:lineRule="atLeast"/>
              <w:rPr>
                <w:rFonts w:eastAsia="Times New Roman"/>
                <w:iCs/>
                <w:szCs w:val="17"/>
              </w:rPr>
            </w:pPr>
            <w:r w:rsidRPr="00F43638">
              <w:rPr>
                <w:rFonts w:asciiTheme="minorHAnsi" w:eastAsia="Times New Roman" w:hAnsiTheme="minorHAnsi"/>
                <w:b w:val="0"/>
                <w:iCs/>
                <w:szCs w:val="17"/>
                <w:lang w:eastAsia="en-US"/>
              </w:rPr>
              <w:t>August 2016</w:t>
            </w:r>
          </w:p>
        </w:tc>
        <w:tc>
          <w:tcPr>
            <w:tcW w:w="1515" w:type="dxa"/>
            <w:vAlign w:val="center"/>
          </w:tcPr>
          <w:p w14:paraId="2C61A063" w14:textId="77777777" w:rsidR="00D63DFC" w:rsidRPr="00193644" w:rsidRDefault="00D63DFC">
            <w:pPr>
              <w:keepLines/>
              <w:spacing w:before="40" w:after="40" w:line="200" w:lineRule="atLeast"/>
              <w:rPr>
                <w:rFonts w:eastAsia="Times New Roman"/>
                <w:iCs/>
                <w:szCs w:val="17"/>
              </w:rPr>
            </w:pPr>
            <w:r w:rsidRPr="00F43638">
              <w:rPr>
                <w:rFonts w:asciiTheme="minorHAnsi" w:eastAsia="Times New Roman" w:hAnsiTheme="minorHAnsi"/>
                <w:b w:val="0"/>
                <w:iCs/>
                <w:szCs w:val="17"/>
                <w:lang w:eastAsia="en-US"/>
              </w:rPr>
              <w:t>July 2016</w:t>
            </w:r>
          </w:p>
        </w:tc>
      </w:tr>
      <w:tr w:rsidR="00D63DFC" w:rsidRPr="003B5EE5" w14:paraId="674E94E1" w14:textId="77777777" w:rsidTr="00D63DFC">
        <w:trPr>
          <w:cnfStyle w:val="100000000000" w:firstRow="1" w:lastRow="0" w:firstColumn="0" w:lastColumn="0" w:oddVBand="0" w:evenVBand="0" w:oddHBand="0" w:evenHBand="0" w:firstRowFirstColumn="0" w:firstRowLastColumn="0" w:lastRowFirstColumn="0" w:lastRowLastColumn="0"/>
        </w:trPr>
        <w:tc>
          <w:tcPr>
            <w:tcW w:w="3064" w:type="dxa"/>
          </w:tcPr>
          <w:p w14:paraId="58350EF6" w14:textId="77777777" w:rsidR="00D63DFC" w:rsidRPr="00880004" w:rsidRDefault="00D63DFC" w:rsidP="006F27B1">
            <w:pPr>
              <w:keepLines/>
              <w:spacing w:before="40" w:after="40" w:line="200" w:lineRule="atLeast"/>
              <w:rPr>
                <w:rFonts w:eastAsia="Times New Roman"/>
                <w:iCs/>
                <w:szCs w:val="17"/>
              </w:rPr>
            </w:pPr>
            <w:r>
              <w:rPr>
                <w:rFonts w:asciiTheme="minorHAnsi" w:eastAsia="Times New Roman" w:hAnsiTheme="minorHAnsi"/>
                <w:b w:val="0"/>
                <w:iCs/>
                <w:szCs w:val="17"/>
                <w:lang w:eastAsia="en-US"/>
              </w:rPr>
              <w:t>ING741 Cambodia</w:t>
            </w:r>
            <w:r w:rsidRPr="006870D6">
              <w:rPr>
                <w:rFonts w:asciiTheme="minorHAnsi" w:eastAsia="Times New Roman" w:hAnsiTheme="minorHAnsi"/>
                <w:b w:val="0"/>
                <w:iCs/>
                <w:szCs w:val="17"/>
                <w:lang w:eastAsia="en-US"/>
              </w:rPr>
              <w:t xml:space="preserve"> Delivering Better Health</w:t>
            </w:r>
          </w:p>
        </w:tc>
        <w:tc>
          <w:tcPr>
            <w:tcW w:w="4515" w:type="dxa"/>
          </w:tcPr>
          <w:p w14:paraId="068BD05B" w14:textId="77777777" w:rsidR="00D63DFC" w:rsidRPr="00880004" w:rsidRDefault="00D63DFC" w:rsidP="006F27B1">
            <w:pPr>
              <w:keepLines/>
              <w:spacing w:before="40" w:after="40" w:line="200" w:lineRule="atLeast"/>
              <w:rPr>
                <w:rFonts w:eastAsia="Times New Roman"/>
                <w:iCs/>
                <w:szCs w:val="17"/>
              </w:rPr>
            </w:pPr>
            <w:r w:rsidRPr="006870D6">
              <w:rPr>
                <w:rFonts w:asciiTheme="minorHAnsi" w:eastAsia="Times New Roman" w:hAnsiTheme="minorHAnsi"/>
                <w:b w:val="0"/>
                <w:iCs/>
                <w:szCs w:val="17"/>
                <w:lang w:eastAsia="en-US"/>
              </w:rPr>
              <w:t xml:space="preserve">Partnering for Saving Lives (PSL) Independent </w:t>
            </w:r>
            <w:r>
              <w:rPr>
                <w:rFonts w:asciiTheme="minorHAnsi" w:eastAsia="Times New Roman" w:hAnsiTheme="minorHAnsi"/>
                <w:b w:val="0"/>
                <w:iCs/>
                <w:szCs w:val="17"/>
                <w:lang w:eastAsia="en-US"/>
              </w:rPr>
              <w:t>Progress Review</w:t>
            </w:r>
          </w:p>
        </w:tc>
        <w:tc>
          <w:tcPr>
            <w:tcW w:w="1531" w:type="dxa"/>
            <w:vAlign w:val="center"/>
          </w:tcPr>
          <w:p w14:paraId="3CC4F67F" w14:textId="77777777" w:rsidR="00D63DFC" w:rsidRPr="006870D6" w:rsidRDefault="00D63DFC" w:rsidP="00D63DFC">
            <w:pPr>
              <w:keepLines/>
              <w:spacing w:before="40" w:after="40" w:line="200" w:lineRule="atLeast"/>
              <w:rPr>
                <w:rFonts w:asciiTheme="minorHAnsi" w:eastAsia="Times New Roman" w:hAnsiTheme="minorHAnsi"/>
                <w:b w:val="0"/>
                <w:iCs/>
                <w:szCs w:val="17"/>
                <w:lang w:eastAsia="en-US"/>
              </w:rPr>
            </w:pPr>
            <w:r w:rsidRPr="006870D6">
              <w:rPr>
                <w:rFonts w:asciiTheme="minorHAnsi" w:eastAsia="Times New Roman" w:hAnsiTheme="minorHAnsi"/>
                <w:b w:val="0"/>
                <w:iCs/>
                <w:szCs w:val="17"/>
                <w:lang w:eastAsia="en-US"/>
              </w:rPr>
              <w:t>November 2015</w:t>
            </w:r>
          </w:p>
        </w:tc>
        <w:tc>
          <w:tcPr>
            <w:tcW w:w="1953" w:type="dxa"/>
            <w:vAlign w:val="center"/>
          </w:tcPr>
          <w:p w14:paraId="6B312BE5" w14:textId="77777777" w:rsidR="00D63DFC" w:rsidRPr="00193644" w:rsidRDefault="00D63DFC" w:rsidP="00D63DFC">
            <w:pPr>
              <w:keepLines/>
              <w:spacing w:before="40" w:after="40" w:line="200" w:lineRule="atLeast"/>
              <w:rPr>
                <w:rFonts w:asciiTheme="minorHAnsi" w:eastAsia="Times New Roman" w:hAnsiTheme="minorHAnsi"/>
                <w:b w:val="0"/>
                <w:iCs/>
                <w:szCs w:val="17"/>
                <w:lang w:eastAsia="en-US"/>
              </w:rPr>
            </w:pPr>
            <w:r w:rsidRPr="00193644">
              <w:rPr>
                <w:rFonts w:asciiTheme="minorHAnsi" w:eastAsia="Times New Roman" w:hAnsiTheme="minorHAnsi"/>
                <w:b w:val="0"/>
                <w:iCs/>
                <w:szCs w:val="17"/>
                <w:lang w:eastAsia="en-US"/>
              </w:rPr>
              <w:t xml:space="preserve"> June 2016</w:t>
            </w:r>
          </w:p>
        </w:tc>
        <w:tc>
          <w:tcPr>
            <w:tcW w:w="1671" w:type="dxa"/>
            <w:vAlign w:val="center"/>
          </w:tcPr>
          <w:p w14:paraId="586DCE26" w14:textId="77777777" w:rsidR="00D63DFC" w:rsidRPr="00193644" w:rsidRDefault="00D63DFC" w:rsidP="00D63DFC">
            <w:pPr>
              <w:keepLines/>
              <w:spacing w:before="40" w:after="40" w:line="200" w:lineRule="atLeast"/>
              <w:rPr>
                <w:rFonts w:asciiTheme="minorHAnsi" w:eastAsia="Times New Roman" w:hAnsiTheme="minorHAnsi"/>
                <w:b w:val="0"/>
                <w:iCs/>
                <w:szCs w:val="17"/>
                <w:lang w:eastAsia="en-US"/>
              </w:rPr>
            </w:pPr>
            <w:r w:rsidRPr="00193644">
              <w:rPr>
                <w:rFonts w:asciiTheme="minorHAnsi" w:eastAsia="Times New Roman" w:hAnsiTheme="minorHAnsi"/>
                <w:b w:val="0"/>
                <w:iCs/>
                <w:szCs w:val="17"/>
                <w:lang w:eastAsia="en-US"/>
              </w:rPr>
              <w:t>June 2016</w:t>
            </w:r>
          </w:p>
        </w:tc>
        <w:tc>
          <w:tcPr>
            <w:tcW w:w="1515" w:type="dxa"/>
            <w:vAlign w:val="center"/>
          </w:tcPr>
          <w:p w14:paraId="078A7F9E" w14:textId="77777777" w:rsidR="00D63DFC" w:rsidRPr="00880004" w:rsidRDefault="00D63DFC" w:rsidP="00D63DFC">
            <w:pPr>
              <w:keepLines/>
              <w:spacing w:before="40" w:after="40" w:line="200" w:lineRule="atLeast"/>
              <w:rPr>
                <w:rFonts w:eastAsia="Times New Roman"/>
                <w:iCs/>
                <w:szCs w:val="17"/>
              </w:rPr>
            </w:pPr>
            <w:r w:rsidRPr="00193644">
              <w:rPr>
                <w:rFonts w:asciiTheme="minorHAnsi" w:eastAsia="Times New Roman" w:hAnsiTheme="minorHAnsi"/>
                <w:b w:val="0"/>
                <w:iCs/>
                <w:szCs w:val="17"/>
                <w:lang w:eastAsia="en-US"/>
              </w:rPr>
              <w:t>July 2016</w:t>
            </w:r>
          </w:p>
        </w:tc>
      </w:tr>
      <w:tr w:rsidR="00D63DFC" w:rsidRPr="003B5EE5" w14:paraId="7045C487" w14:textId="77777777" w:rsidTr="00D63DFC">
        <w:trPr>
          <w:cnfStyle w:val="100000000000" w:firstRow="1" w:lastRow="0" w:firstColumn="0" w:lastColumn="0" w:oddVBand="0" w:evenVBand="0" w:oddHBand="0" w:evenHBand="0" w:firstRowFirstColumn="0" w:firstRowLastColumn="0" w:lastRowFirstColumn="0" w:lastRowLastColumn="0"/>
        </w:trPr>
        <w:tc>
          <w:tcPr>
            <w:tcW w:w="3064" w:type="dxa"/>
          </w:tcPr>
          <w:p w14:paraId="4CB27CB0" w14:textId="77777777" w:rsidR="00D63DFC" w:rsidRPr="00A72092" w:rsidRDefault="00D63DFC" w:rsidP="006F27B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INJ925 </w:t>
            </w:r>
            <w:r w:rsidRPr="00A72092">
              <w:rPr>
                <w:rFonts w:asciiTheme="minorHAnsi" w:eastAsia="Times New Roman" w:hAnsiTheme="minorHAnsi"/>
                <w:b w:val="0"/>
                <w:iCs/>
                <w:szCs w:val="17"/>
                <w:lang w:eastAsia="en-US"/>
              </w:rPr>
              <w:t>Clearing for Results Phase 2 (2011-2015)</w:t>
            </w:r>
          </w:p>
        </w:tc>
        <w:tc>
          <w:tcPr>
            <w:tcW w:w="4515" w:type="dxa"/>
          </w:tcPr>
          <w:p w14:paraId="76665CED" w14:textId="77777777" w:rsidR="00D63DFC" w:rsidRPr="00A72092" w:rsidRDefault="00D63DFC" w:rsidP="006F27B1">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 xml:space="preserve">Independent </w:t>
            </w:r>
            <w:r>
              <w:rPr>
                <w:rFonts w:asciiTheme="minorHAnsi" w:eastAsia="Times New Roman" w:hAnsiTheme="minorHAnsi"/>
                <w:b w:val="0"/>
                <w:iCs/>
                <w:szCs w:val="17"/>
                <w:lang w:eastAsia="en-US"/>
              </w:rPr>
              <w:t>C</w:t>
            </w:r>
            <w:r w:rsidRPr="00A72092">
              <w:rPr>
                <w:rFonts w:asciiTheme="minorHAnsi" w:eastAsia="Times New Roman" w:hAnsiTheme="minorHAnsi"/>
                <w:b w:val="0"/>
                <w:iCs/>
                <w:szCs w:val="17"/>
                <w:lang w:eastAsia="en-US"/>
              </w:rPr>
              <w:t>ompletion Review (partner-led)</w:t>
            </w:r>
          </w:p>
        </w:tc>
        <w:tc>
          <w:tcPr>
            <w:tcW w:w="1531" w:type="dxa"/>
            <w:vAlign w:val="center"/>
          </w:tcPr>
          <w:p w14:paraId="5007ED01" w14:textId="77777777" w:rsidR="00D63DFC" w:rsidRPr="00A72092" w:rsidRDefault="00D63DFC" w:rsidP="00D63DFC">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March 2016</w:t>
            </w:r>
          </w:p>
        </w:tc>
        <w:tc>
          <w:tcPr>
            <w:tcW w:w="1953" w:type="dxa"/>
            <w:vAlign w:val="center"/>
          </w:tcPr>
          <w:p w14:paraId="5B1C1169" w14:textId="77777777" w:rsidR="00D63DFC" w:rsidRPr="00A72092" w:rsidRDefault="00D63DFC" w:rsidP="00D63DFC">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April 2016</w:t>
            </w:r>
          </w:p>
        </w:tc>
        <w:tc>
          <w:tcPr>
            <w:tcW w:w="1671" w:type="dxa"/>
            <w:vAlign w:val="center"/>
          </w:tcPr>
          <w:p w14:paraId="5ED4BF03" w14:textId="77777777" w:rsidR="00D63DFC" w:rsidRPr="00A72092" w:rsidRDefault="00D63DFC" w:rsidP="00D63DF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June</w:t>
            </w:r>
            <w:r w:rsidRPr="00A72092">
              <w:rPr>
                <w:rFonts w:asciiTheme="minorHAnsi" w:eastAsia="Times New Roman" w:hAnsiTheme="minorHAnsi"/>
                <w:b w:val="0"/>
                <w:iCs/>
                <w:szCs w:val="17"/>
                <w:lang w:eastAsia="en-US"/>
              </w:rPr>
              <w:t xml:space="preserve"> 2016</w:t>
            </w:r>
          </w:p>
        </w:tc>
        <w:tc>
          <w:tcPr>
            <w:tcW w:w="1515" w:type="dxa"/>
            <w:vAlign w:val="center"/>
          </w:tcPr>
          <w:p w14:paraId="22B0B613" w14:textId="77777777" w:rsidR="00D63DFC" w:rsidRPr="00880004" w:rsidRDefault="00D63DFC" w:rsidP="00D63DFC">
            <w:pPr>
              <w:keepLines/>
              <w:spacing w:before="40" w:after="40" w:line="200" w:lineRule="atLeast"/>
              <w:rPr>
                <w:rFonts w:eastAsia="Times New Roman"/>
                <w:iCs/>
                <w:szCs w:val="17"/>
              </w:rPr>
            </w:pPr>
            <w:r w:rsidRPr="00E307C9">
              <w:rPr>
                <w:rFonts w:asciiTheme="minorHAnsi" w:eastAsia="Times New Roman" w:hAnsiTheme="minorHAnsi"/>
                <w:b w:val="0"/>
                <w:iCs/>
                <w:szCs w:val="17"/>
                <w:lang w:eastAsia="en-US"/>
              </w:rPr>
              <w:t>Pending</w:t>
            </w:r>
          </w:p>
        </w:tc>
      </w:tr>
      <w:tr w:rsidR="00D63DFC" w:rsidRPr="003B5EE5" w14:paraId="53C68152" w14:textId="77777777" w:rsidTr="00D63DFC">
        <w:trPr>
          <w:cnfStyle w:val="100000000000" w:firstRow="1" w:lastRow="0" w:firstColumn="0" w:lastColumn="0" w:oddVBand="0" w:evenVBand="0" w:oddHBand="0" w:evenHBand="0" w:firstRowFirstColumn="0" w:firstRowLastColumn="0" w:lastRowFirstColumn="0" w:lastRowLastColumn="0"/>
        </w:trPr>
        <w:tc>
          <w:tcPr>
            <w:tcW w:w="3064" w:type="dxa"/>
          </w:tcPr>
          <w:p w14:paraId="3F914FC7" w14:textId="77777777" w:rsidR="00D63DFC" w:rsidRPr="00A72092" w:rsidRDefault="00D63DFC" w:rsidP="006870D6">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 xml:space="preserve">INL137 Disability Rights Initiative Cambodia </w:t>
            </w:r>
          </w:p>
        </w:tc>
        <w:tc>
          <w:tcPr>
            <w:tcW w:w="4515" w:type="dxa"/>
          </w:tcPr>
          <w:p w14:paraId="44AE4BF3" w14:textId="77777777" w:rsidR="00D63DFC" w:rsidRPr="00A72092" w:rsidRDefault="00D63DFC" w:rsidP="006F27B1">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Mid-term review (partner-led)</w:t>
            </w:r>
          </w:p>
        </w:tc>
        <w:tc>
          <w:tcPr>
            <w:tcW w:w="1531" w:type="dxa"/>
            <w:vAlign w:val="center"/>
          </w:tcPr>
          <w:p w14:paraId="6DA48E21" w14:textId="77777777" w:rsidR="00D63DFC" w:rsidRPr="00A72092" w:rsidRDefault="00D63DFC" w:rsidP="00D63DFC">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Jun</w:t>
            </w:r>
            <w:r>
              <w:rPr>
                <w:rFonts w:asciiTheme="minorHAnsi" w:eastAsia="Times New Roman" w:hAnsiTheme="minorHAnsi"/>
                <w:b w:val="0"/>
                <w:iCs/>
                <w:szCs w:val="17"/>
                <w:lang w:eastAsia="en-US"/>
              </w:rPr>
              <w:t>e</w:t>
            </w:r>
            <w:r w:rsidRPr="00A72092">
              <w:rPr>
                <w:rFonts w:asciiTheme="minorHAnsi" w:eastAsia="Times New Roman" w:hAnsiTheme="minorHAnsi"/>
                <w:b w:val="0"/>
                <w:iCs/>
                <w:szCs w:val="17"/>
                <w:lang w:eastAsia="en-US"/>
              </w:rPr>
              <w:t xml:space="preserve"> 2016</w:t>
            </w:r>
          </w:p>
        </w:tc>
        <w:tc>
          <w:tcPr>
            <w:tcW w:w="1953" w:type="dxa"/>
            <w:vAlign w:val="center"/>
          </w:tcPr>
          <w:p w14:paraId="5CED748F" w14:textId="77777777" w:rsidR="00D63DFC" w:rsidRPr="00E307C9" w:rsidRDefault="00D63DFC" w:rsidP="00D63DFC">
            <w:r w:rsidRPr="00E307C9">
              <w:rPr>
                <w:rFonts w:asciiTheme="minorHAnsi" w:eastAsia="Times New Roman" w:hAnsiTheme="minorHAnsi"/>
                <w:b w:val="0"/>
                <w:iCs/>
                <w:szCs w:val="17"/>
                <w:lang w:eastAsia="en-US"/>
              </w:rPr>
              <w:t>Pending</w:t>
            </w:r>
          </w:p>
        </w:tc>
        <w:tc>
          <w:tcPr>
            <w:tcW w:w="1671" w:type="dxa"/>
            <w:vAlign w:val="center"/>
          </w:tcPr>
          <w:p w14:paraId="1C9D736F" w14:textId="77777777" w:rsidR="00D63DFC" w:rsidRPr="00E307C9" w:rsidRDefault="00D63DFC" w:rsidP="00D63DFC">
            <w:r w:rsidRPr="00E307C9">
              <w:rPr>
                <w:rFonts w:asciiTheme="minorHAnsi" w:eastAsia="Times New Roman" w:hAnsiTheme="minorHAnsi"/>
                <w:b w:val="0"/>
                <w:iCs/>
                <w:szCs w:val="17"/>
                <w:lang w:eastAsia="en-US"/>
              </w:rPr>
              <w:t>Pending</w:t>
            </w:r>
          </w:p>
        </w:tc>
        <w:tc>
          <w:tcPr>
            <w:tcW w:w="1515" w:type="dxa"/>
            <w:vAlign w:val="center"/>
          </w:tcPr>
          <w:p w14:paraId="5F6228DD" w14:textId="77777777" w:rsidR="00D63DFC" w:rsidRPr="00E307C9" w:rsidRDefault="00D63DFC" w:rsidP="00D63DFC">
            <w:r w:rsidRPr="00E307C9">
              <w:rPr>
                <w:rFonts w:asciiTheme="minorHAnsi" w:eastAsia="Times New Roman" w:hAnsiTheme="minorHAnsi"/>
                <w:b w:val="0"/>
                <w:iCs/>
                <w:szCs w:val="17"/>
                <w:lang w:eastAsia="en-US"/>
              </w:rPr>
              <w:t>Pending</w:t>
            </w:r>
          </w:p>
        </w:tc>
      </w:tr>
      <w:tr w:rsidR="00D63DFC" w:rsidRPr="00A72092" w14:paraId="54594DF9" w14:textId="77777777" w:rsidTr="00D63DFC">
        <w:trPr>
          <w:cnfStyle w:val="100000000000" w:firstRow="1" w:lastRow="0" w:firstColumn="0" w:lastColumn="0" w:oddVBand="0" w:evenVBand="0" w:oddHBand="0" w:evenHBand="0" w:firstRowFirstColumn="0" w:firstRowLastColumn="0" w:lastRowFirstColumn="0" w:lastRowLastColumn="0"/>
        </w:trPr>
        <w:tc>
          <w:tcPr>
            <w:tcW w:w="3064" w:type="dxa"/>
          </w:tcPr>
          <w:p w14:paraId="015C1B3B" w14:textId="77777777" w:rsidR="00D63DFC" w:rsidRPr="00A72092" w:rsidRDefault="00D63DFC" w:rsidP="00922BCC">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INK523 Cambodia Law and Justice Sector Support</w:t>
            </w:r>
          </w:p>
        </w:tc>
        <w:tc>
          <w:tcPr>
            <w:tcW w:w="4515" w:type="dxa"/>
          </w:tcPr>
          <w:p w14:paraId="458D6440" w14:textId="77777777" w:rsidR="00D63DFC" w:rsidRPr="00A72092" w:rsidRDefault="00D63DFC" w:rsidP="006F27B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Cambodia Community Justice Assistance Partnership </w:t>
            </w:r>
            <w:r w:rsidRPr="00A72092">
              <w:rPr>
                <w:rFonts w:asciiTheme="minorHAnsi" w:eastAsia="Times New Roman" w:hAnsiTheme="minorHAnsi"/>
                <w:b w:val="0"/>
                <w:iCs/>
                <w:szCs w:val="17"/>
                <w:lang w:eastAsia="en-US"/>
              </w:rPr>
              <w:t>Independent Completion Review</w:t>
            </w:r>
          </w:p>
        </w:tc>
        <w:tc>
          <w:tcPr>
            <w:tcW w:w="1531" w:type="dxa"/>
            <w:vAlign w:val="center"/>
          </w:tcPr>
          <w:p w14:paraId="5C4BBF78" w14:textId="77777777" w:rsidR="00D63DFC" w:rsidRPr="00A72092" w:rsidRDefault="00D63DFC" w:rsidP="00D63DFC">
            <w:pPr>
              <w:keepLines/>
              <w:spacing w:before="40" w:after="40" w:line="200" w:lineRule="atLeast"/>
              <w:rPr>
                <w:rFonts w:asciiTheme="minorHAnsi" w:eastAsia="Times New Roman" w:hAnsiTheme="minorHAnsi"/>
                <w:b w:val="0"/>
                <w:iCs/>
                <w:szCs w:val="17"/>
                <w:lang w:eastAsia="en-US"/>
              </w:rPr>
            </w:pPr>
            <w:r w:rsidRPr="00A72092">
              <w:rPr>
                <w:rFonts w:asciiTheme="minorHAnsi" w:eastAsia="Times New Roman" w:hAnsiTheme="minorHAnsi"/>
                <w:b w:val="0"/>
                <w:iCs/>
                <w:szCs w:val="17"/>
                <w:lang w:eastAsia="en-US"/>
              </w:rPr>
              <w:t>Jun</w:t>
            </w:r>
            <w:r>
              <w:rPr>
                <w:rFonts w:asciiTheme="minorHAnsi" w:eastAsia="Times New Roman" w:hAnsiTheme="minorHAnsi"/>
                <w:b w:val="0"/>
                <w:iCs/>
                <w:szCs w:val="17"/>
                <w:lang w:eastAsia="en-US"/>
              </w:rPr>
              <w:t>e</w:t>
            </w:r>
            <w:r w:rsidRPr="00A72092">
              <w:rPr>
                <w:rFonts w:asciiTheme="minorHAnsi" w:eastAsia="Times New Roman" w:hAnsiTheme="minorHAnsi"/>
                <w:b w:val="0"/>
                <w:iCs/>
                <w:szCs w:val="17"/>
                <w:lang w:eastAsia="en-US"/>
              </w:rPr>
              <w:t xml:space="preserve"> 2016</w:t>
            </w:r>
          </w:p>
        </w:tc>
        <w:tc>
          <w:tcPr>
            <w:tcW w:w="1953" w:type="dxa"/>
            <w:vAlign w:val="center"/>
          </w:tcPr>
          <w:p w14:paraId="60FD4A30" w14:textId="77777777" w:rsidR="00D63DFC" w:rsidRPr="00E307C9" w:rsidRDefault="00A10477" w:rsidP="00A10477">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2016</w:t>
            </w:r>
          </w:p>
        </w:tc>
        <w:tc>
          <w:tcPr>
            <w:tcW w:w="1671" w:type="dxa"/>
            <w:vAlign w:val="center"/>
          </w:tcPr>
          <w:p w14:paraId="70140D58" w14:textId="77777777" w:rsidR="00D63DFC" w:rsidRPr="00E307C9" w:rsidRDefault="00A10477" w:rsidP="00D63DF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2016</w:t>
            </w:r>
          </w:p>
        </w:tc>
        <w:tc>
          <w:tcPr>
            <w:tcW w:w="1515" w:type="dxa"/>
            <w:vAlign w:val="center"/>
          </w:tcPr>
          <w:p w14:paraId="4C50D71D" w14:textId="77777777" w:rsidR="00D63DFC" w:rsidRPr="00E307C9" w:rsidRDefault="00D63DFC" w:rsidP="00D63DFC">
            <w:pPr>
              <w:keepLines/>
              <w:spacing w:before="40" w:after="40" w:line="200" w:lineRule="atLeast"/>
              <w:rPr>
                <w:rFonts w:asciiTheme="minorHAnsi" w:eastAsia="Times New Roman" w:hAnsiTheme="minorHAnsi"/>
                <w:b w:val="0"/>
                <w:iCs/>
                <w:szCs w:val="17"/>
                <w:lang w:eastAsia="en-US"/>
              </w:rPr>
            </w:pPr>
            <w:r w:rsidRPr="00E307C9">
              <w:rPr>
                <w:rFonts w:asciiTheme="minorHAnsi" w:eastAsia="Times New Roman" w:hAnsiTheme="minorHAnsi"/>
                <w:b w:val="0"/>
                <w:iCs/>
                <w:szCs w:val="17"/>
                <w:lang w:eastAsia="en-US"/>
              </w:rPr>
              <w:t>Pending</w:t>
            </w:r>
          </w:p>
        </w:tc>
      </w:tr>
      <w:tr w:rsidR="00D63DFC" w:rsidRPr="003B5EE5" w14:paraId="76E514B9" w14:textId="77777777">
        <w:trPr>
          <w:cnfStyle w:val="100000000000" w:firstRow="1" w:lastRow="0" w:firstColumn="0" w:lastColumn="0" w:oddVBand="0" w:evenVBand="0" w:oddHBand="0" w:evenHBand="0" w:firstRowFirstColumn="0" w:firstRowLastColumn="0" w:lastRowFirstColumn="0" w:lastRowLastColumn="0"/>
        </w:trPr>
        <w:tc>
          <w:tcPr>
            <w:tcW w:w="3064" w:type="dxa"/>
          </w:tcPr>
          <w:p w14:paraId="01112C84" w14:textId="77777777" w:rsidR="00D63DFC" w:rsidRPr="006870D6" w:rsidRDefault="00D63DFC" w:rsidP="006F27B1">
            <w:pPr>
              <w:keepLines/>
              <w:spacing w:before="40" w:after="40" w:line="200" w:lineRule="atLeast"/>
              <w:rPr>
                <w:rFonts w:eastAsia="Times New Roman"/>
                <w:b w:val="0"/>
                <w:iCs/>
                <w:szCs w:val="17"/>
              </w:rPr>
            </w:pPr>
          </w:p>
        </w:tc>
        <w:tc>
          <w:tcPr>
            <w:tcW w:w="4515" w:type="dxa"/>
          </w:tcPr>
          <w:p w14:paraId="0AE57C61" w14:textId="77777777" w:rsidR="00D63DFC" w:rsidRPr="006870D6" w:rsidRDefault="00D63DFC" w:rsidP="006F27B1">
            <w:pPr>
              <w:keepLines/>
              <w:spacing w:before="40" w:after="40" w:line="200" w:lineRule="atLeast"/>
              <w:rPr>
                <w:rFonts w:eastAsia="Times New Roman"/>
                <w:b w:val="0"/>
                <w:iCs/>
                <w:szCs w:val="17"/>
              </w:rPr>
            </w:pPr>
          </w:p>
        </w:tc>
        <w:tc>
          <w:tcPr>
            <w:tcW w:w="1531" w:type="dxa"/>
          </w:tcPr>
          <w:p w14:paraId="20E1401A" w14:textId="77777777" w:rsidR="00D63DFC" w:rsidRPr="006870D6" w:rsidRDefault="00D63DFC" w:rsidP="006F27B1">
            <w:pPr>
              <w:keepLines/>
              <w:spacing w:before="40" w:after="40" w:line="200" w:lineRule="atLeast"/>
              <w:rPr>
                <w:rFonts w:eastAsia="Times New Roman"/>
                <w:b w:val="0"/>
                <w:iCs/>
                <w:szCs w:val="17"/>
              </w:rPr>
            </w:pPr>
          </w:p>
        </w:tc>
        <w:tc>
          <w:tcPr>
            <w:tcW w:w="1953" w:type="dxa"/>
          </w:tcPr>
          <w:p w14:paraId="7C64E086" w14:textId="77777777" w:rsidR="00D63DFC" w:rsidRPr="00880004" w:rsidRDefault="00D63DFC" w:rsidP="006F27B1">
            <w:pPr>
              <w:keepLines/>
              <w:spacing w:before="40" w:after="40" w:line="200" w:lineRule="atLeast"/>
              <w:rPr>
                <w:rFonts w:eastAsia="Times New Roman"/>
                <w:iCs/>
                <w:szCs w:val="17"/>
              </w:rPr>
            </w:pPr>
          </w:p>
        </w:tc>
        <w:tc>
          <w:tcPr>
            <w:tcW w:w="1671" w:type="dxa"/>
          </w:tcPr>
          <w:p w14:paraId="45066A48" w14:textId="77777777" w:rsidR="00D63DFC" w:rsidRPr="00880004" w:rsidRDefault="00D63DFC" w:rsidP="006F27B1">
            <w:pPr>
              <w:keepLines/>
              <w:spacing w:before="40" w:after="40" w:line="200" w:lineRule="atLeast"/>
              <w:rPr>
                <w:rFonts w:eastAsia="Times New Roman"/>
                <w:iCs/>
                <w:szCs w:val="17"/>
              </w:rPr>
            </w:pPr>
          </w:p>
        </w:tc>
        <w:tc>
          <w:tcPr>
            <w:tcW w:w="1515" w:type="dxa"/>
          </w:tcPr>
          <w:p w14:paraId="2228161D" w14:textId="77777777" w:rsidR="00D63DFC" w:rsidRPr="00880004" w:rsidRDefault="00D63DFC" w:rsidP="009E7BB8">
            <w:pPr>
              <w:keepLines/>
              <w:spacing w:before="40" w:after="40" w:line="200" w:lineRule="atLeast"/>
              <w:rPr>
                <w:rFonts w:eastAsia="Times New Roman"/>
                <w:iCs/>
                <w:szCs w:val="17"/>
              </w:rPr>
            </w:pPr>
          </w:p>
        </w:tc>
      </w:tr>
    </w:tbl>
    <w:p w14:paraId="4D58F445" w14:textId="77777777" w:rsidR="003C3136" w:rsidRDefault="003C3136" w:rsidP="008C2F58">
      <w:pPr>
        <w:rPr>
          <w:b/>
          <w:sz w:val="24"/>
        </w:rPr>
      </w:pPr>
    </w:p>
    <w:p w14:paraId="689FC6AB" w14:textId="77777777" w:rsidR="003C3136" w:rsidRDefault="003C3136">
      <w:pPr>
        <w:suppressAutoHyphens w:val="0"/>
        <w:spacing w:before="0" w:after="120" w:line="440" w:lineRule="atLeast"/>
        <w:rPr>
          <w:b/>
          <w:sz w:val="24"/>
        </w:rPr>
      </w:pPr>
      <w:r>
        <w:rPr>
          <w:b/>
          <w:sz w:val="24"/>
        </w:rPr>
        <w:br w:type="page"/>
      </w:r>
    </w:p>
    <w:p w14:paraId="54957286" w14:textId="77777777" w:rsidR="00400B0F" w:rsidRPr="008C2F58" w:rsidRDefault="00400B0F" w:rsidP="008C2F58">
      <w:pPr>
        <w:rPr>
          <w:b/>
          <w:sz w:val="24"/>
        </w:rPr>
      </w:pPr>
      <w:r w:rsidRPr="008C2F58">
        <w:rPr>
          <w:b/>
          <w:sz w:val="24"/>
        </w:rPr>
        <w:lastRenderedPageBreak/>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C61187" w14:paraId="1DEBBC9E" w14:textId="77777777">
        <w:tc>
          <w:tcPr>
            <w:tcW w:w="2472" w:type="dxa"/>
          </w:tcPr>
          <w:p w14:paraId="045767C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81" w:type="dxa"/>
          </w:tcPr>
          <w:p w14:paraId="28361D9C"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59" w:type="dxa"/>
          </w:tcPr>
          <w:p w14:paraId="3F1A9FF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227" w:type="dxa"/>
          </w:tcPr>
          <w:p w14:paraId="7B78C78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48" w:type="dxa"/>
          </w:tcPr>
          <w:p w14:paraId="638CB58E"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62" w:type="dxa"/>
          </w:tcPr>
          <w:p w14:paraId="281DE520"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400B0F" w:rsidRPr="00C61187" w14:paraId="37D773B3" w14:textId="77777777">
        <w:tc>
          <w:tcPr>
            <w:tcW w:w="2472" w:type="dxa"/>
          </w:tcPr>
          <w:p w14:paraId="77AFB184" w14:textId="77777777" w:rsidR="00400B0F" w:rsidRPr="00D01065" w:rsidRDefault="00922BCC" w:rsidP="00193644">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 xml:space="preserve">Independent Completion Review (HSSP2) </w:t>
            </w:r>
          </w:p>
        </w:tc>
        <w:tc>
          <w:tcPr>
            <w:tcW w:w="2381" w:type="dxa"/>
          </w:tcPr>
          <w:p w14:paraId="2A3A1708" w14:textId="77777777" w:rsidR="00400B0F"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Cambodia: Delivering Better Health (ING741)</w:t>
            </w:r>
          </w:p>
        </w:tc>
        <w:tc>
          <w:tcPr>
            <w:tcW w:w="2459" w:type="dxa"/>
          </w:tcPr>
          <w:p w14:paraId="11924DF9" w14:textId="77777777" w:rsidR="00400B0F"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July 2016</w:t>
            </w:r>
          </w:p>
        </w:tc>
        <w:tc>
          <w:tcPr>
            <w:tcW w:w="2227" w:type="dxa"/>
          </w:tcPr>
          <w:p w14:paraId="34C6088C" w14:textId="77777777" w:rsidR="00400B0F"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Dec 2016</w:t>
            </w:r>
          </w:p>
        </w:tc>
        <w:tc>
          <w:tcPr>
            <w:tcW w:w="2348" w:type="dxa"/>
          </w:tcPr>
          <w:p w14:paraId="2C42BA74" w14:textId="77777777" w:rsidR="00400B0F" w:rsidRPr="00D01065" w:rsidRDefault="00D0106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w:t>
            </w:r>
            <w:r w:rsidRPr="00880004">
              <w:rPr>
                <w:rFonts w:asciiTheme="minorHAnsi" w:eastAsia="Times New Roman" w:hAnsiTheme="minorHAnsi"/>
                <w:iCs/>
                <w:szCs w:val="17"/>
                <w:lang w:eastAsia="en-US"/>
              </w:rPr>
              <w:t>emonstrate results</w:t>
            </w:r>
          </w:p>
        </w:tc>
        <w:tc>
          <w:tcPr>
            <w:tcW w:w="2362" w:type="dxa"/>
          </w:tcPr>
          <w:p w14:paraId="16F7B495" w14:textId="77777777" w:rsidR="00400B0F" w:rsidRPr="00D01065" w:rsidRDefault="00193644" w:rsidP="006F27B1">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Partner led</w:t>
            </w:r>
          </w:p>
        </w:tc>
      </w:tr>
      <w:tr w:rsidR="00922BCC" w:rsidRPr="00C61187" w14:paraId="58738AD9" w14:textId="77777777">
        <w:tc>
          <w:tcPr>
            <w:tcW w:w="2472" w:type="dxa"/>
          </w:tcPr>
          <w:p w14:paraId="5F7E5D03" w14:textId="77777777" w:rsidR="00922BCC"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Scalability Review</w:t>
            </w:r>
          </w:p>
        </w:tc>
        <w:tc>
          <w:tcPr>
            <w:tcW w:w="2381" w:type="dxa"/>
          </w:tcPr>
          <w:p w14:paraId="0DC324C5" w14:textId="77777777" w:rsidR="00922BCC"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Investing in Infrastructure</w:t>
            </w:r>
            <w:r w:rsidR="009C41C5">
              <w:rPr>
                <w:rFonts w:asciiTheme="minorHAnsi" w:eastAsia="Times New Roman" w:hAnsiTheme="minorHAnsi"/>
                <w:iCs/>
                <w:szCs w:val="17"/>
                <w:lang w:eastAsia="en-US"/>
              </w:rPr>
              <w:t xml:space="preserve"> (3i)</w:t>
            </w:r>
          </w:p>
        </w:tc>
        <w:tc>
          <w:tcPr>
            <w:tcW w:w="2459" w:type="dxa"/>
          </w:tcPr>
          <w:p w14:paraId="12664388" w14:textId="77777777" w:rsidR="00922BCC"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Jan 2017</w:t>
            </w:r>
          </w:p>
        </w:tc>
        <w:tc>
          <w:tcPr>
            <w:tcW w:w="2227" w:type="dxa"/>
          </w:tcPr>
          <w:p w14:paraId="78396117" w14:textId="77777777" w:rsidR="00922BCC" w:rsidRPr="00D01065" w:rsidRDefault="00922BCC" w:rsidP="006F27B1">
            <w:pPr>
              <w:keepLines/>
              <w:spacing w:before="40" w:after="40" w:line="200" w:lineRule="atLeast"/>
              <w:rPr>
                <w:rFonts w:asciiTheme="minorHAnsi" w:eastAsia="Times New Roman" w:hAnsiTheme="minorHAnsi"/>
                <w:iCs/>
                <w:szCs w:val="17"/>
                <w:lang w:eastAsia="en-US"/>
              </w:rPr>
            </w:pPr>
            <w:r w:rsidRPr="00D01065">
              <w:rPr>
                <w:rFonts w:asciiTheme="minorHAnsi" w:eastAsia="Times New Roman" w:hAnsiTheme="minorHAnsi"/>
                <w:iCs/>
                <w:szCs w:val="17"/>
                <w:lang w:eastAsia="en-US"/>
              </w:rPr>
              <w:t>Feb 2017</w:t>
            </w:r>
          </w:p>
        </w:tc>
        <w:tc>
          <w:tcPr>
            <w:tcW w:w="2348" w:type="dxa"/>
          </w:tcPr>
          <w:p w14:paraId="4C4EA165" w14:textId="77777777" w:rsidR="00D01065" w:rsidRDefault="00D01065" w:rsidP="00D0106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V</w:t>
            </w:r>
            <w:r w:rsidRPr="00880004">
              <w:rPr>
                <w:rFonts w:asciiTheme="minorHAnsi" w:eastAsia="Times New Roman" w:hAnsiTheme="minorHAnsi"/>
                <w:iCs/>
                <w:szCs w:val="17"/>
                <w:lang w:eastAsia="en-US"/>
              </w:rPr>
              <w:t>erify performance</w:t>
            </w:r>
          </w:p>
          <w:p w14:paraId="7F928B36" w14:textId="1DD4B59A" w:rsidR="00D01065" w:rsidRPr="00880004" w:rsidRDefault="00AF176F" w:rsidP="00D0106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Scaling up the </w:t>
            </w:r>
            <w:r w:rsidR="00D01065">
              <w:rPr>
                <w:rFonts w:asciiTheme="minorHAnsi" w:eastAsia="Times New Roman" w:hAnsiTheme="minorHAnsi"/>
                <w:iCs/>
                <w:szCs w:val="17"/>
                <w:lang w:eastAsia="en-US"/>
              </w:rPr>
              <w:t>investment</w:t>
            </w:r>
          </w:p>
          <w:p w14:paraId="33F3898F" w14:textId="77777777" w:rsidR="00922BCC" w:rsidRPr="00D01065" w:rsidRDefault="00922BCC" w:rsidP="006F27B1">
            <w:pPr>
              <w:keepLines/>
              <w:spacing w:before="40" w:after="40" w:line="200" w:lineRule="atLeast"/>
              <w:rPr>
                <w:rFonts w:asciiTheme="minorHAnsi" w:eastAsia="Times New Roman" w:hAnsiTheme="minorHAnsi"/>
                <w:iCs/>
                <w:szCs w:val="17"/>
                <w:lang w:eastAsia="en-US"/>
              </w:rPr>
            </w:pPr>
          </w:p>
        </w:tc>
        <w:tc>
          <w:tcPr>
            <w:tcW w:w="2362" w:type="dxa"/>
          </w:tcPr>
          <w:p w14:paraId="20F0FF01" w14:textId="77777777" w:rsidR="00922BCC" w:rsidRPr="00D01065" w:rsidRDefault="00961631" w:rsidP="006F27B1">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DFAT led (includes consultants engaged by DFAT)</w:t>
            </w:r>
          </w:p>
        </w:tc>
      </w:tr>
    </w:tbl>
    <w:p w14:paraId="63A29D97" w14:textId="77777777" w:rsidR="00400B0F" w:rsidRPr="00C61187" w:rsidRDefault="00400B0F" w:rsidP="00400B0F">
      <w:pPr>
        <w:rPr>
          <w:b/>
        </w:rPr>
        <w:sectPr w:rsidR="00400B0F" w:rsidRPr="00C61187">
          <w:headerReference w:type="even" r:id="rId21"/>
          <w:headerReference w:type="default" r:id="rId22"/>
          <w:headerReference w:type="first" r:id="rId23"/>
          <w:footerReference w:type="first" r:id="rId24"/>
          <w:footnotePr>
            <w:numRestart w:val="eachPage"/>
          </w:footnotePr>
          <w:type w:val="continuous"/>
          <w:pgSz w:w="16838" w:h="11906" w:orient="landscape" w:code="9"/>
          <w:pgMar w:top="1272" w:right="1814" w:bottom="851" w:left="851" w:header="709" w:footer="230" w:gutter="0"/>
          <w:cols w:space="708"/>
          <w:titlePg/>
          <w:docGrid w:linePitch="360"/>
        </w:sectPr>
      </w:pPr>
    </w:p>
    <w:p w14:paraId="7084A63C" w14:textId="77777777"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14:paraId="2BEA39B8" w14:textId="77777777"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14:paraId="53B50D4D" w14:textId="77777777" w:rsidR="00400B0F" w:rsidRPr="00C61187" w:rsidRDefault="00400B0F" w:rsidP="004E0264">
      <w:r w:rsidRPr="00C61187">
        <w:t>AQC investment performance over the previous 12 months and where available last year’s AQC ratings are included.</w:t>
      </w:r>
    </w:p>
    <w:tbl>
      <w:tblPr>
        <w:tblStyle w:val="APPR"/>
        <w:tblW w:w="4724" w:type="pct"/>
        <w:tblLook w:val="0000" w:firstRow="0" w:lastRow="0" w:firstColumn="0" w:lastColumn="0" w:noHBand="0" w:noVBand="0"/>
      </w:tblPr>
      <w:tblGrid>
        <w:gridCol w:w="2976"/>
        <w:gridCol w:w="901"/>
        <w:gridCol w:w="1256"/>
        <w:gridCol w:w="1261"/>
        <w:gridCol w:w="1250"/>
        <w:gridCol w:w="1258"/>
        <w:gridCol w:w="1250"/>
        <w:gridCol w:w="1258"/>
        <w:gridCol w:w="1250"/>
        <w:gridCol w:w="1259"/>
      </w:tblGrid>
      <w:tr w:rsidR="00400B0F" w:rsidRPr="00C61187" w14:paraId="2D68F860" w14:textId="77777777" w:rsidTr="00F822A7">
        <w:trPr>
          <w:cnfStyle w:val="000000010000" w:firstRow="0" w:lastRow="0" w:firstColumn="0" w:lastColumn="0" w:oddVBand="0" w:evenVBand="0" w:oddHBand="0" w:evenHBand="1" w:firstRowFirstColumn="0" w:firstRowLastColumn="0" w:lastRowFirstColumn="0" w:lastRowLastColumn="0"/>
          <w:trHeight w:val="1413"/>
        </w:trPr>
        <w:tc>
          <w:tcPr>
            <w:tcW w:w="1054" w:type="pct"/>
          </w:tcPr>
          <w:p w14:paraId="63CC2B6C"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76672" behindDoc="0" locked="0" layoutInCell="1" allowOverlap="1" wp14:anchorId="57DDD302" wp14:editId="73F4D308">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880004">
              <w:rPr>
                <w:rFonts w:asciiTheme="minorHAnsi" w:eastAsia="Times New Roman" w:hAnsiTheme="minorHAnsi"/>
                <w:b/>
                <w:iCs/>
                <w:szCs w:val="17"/>
                <w:lang w:eastAsia="en-US"/>
              </w:rPr>
              <w:t>Investment name</w:t>
            </w:r>
          </w:p>
        </w:tc>
        <w:tc>
          <w:tcPr>
            <w:tcW w:w="314" w:type="pct"/>
            <w:textDirection w:val="btLr"/>
          </w:tcPr>
          <w:p w14:paraId="2AAAB004"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41" w:type="pct"/>
            <w:textDirection w:val="btLr"/>
          </w:tcPr>
          <w:p w14:paraId="712F64DD"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43" w:type="pct"/>
            <w:textDirection w:val="btLr"/>
          </w:tcPr>
          <w:p w14:paraId="423D6334"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39" w:type="pct"/>
            <w:textDirection w:val="btLr"/>
          </w:tcPr>
          <w:p w14:paraId="4813918A"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42" w:type="pct"/>
            <w:textDirection w:val="btLr"/>
          </w:tcPr>
          <w:p w14:paraId="31C33832"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39" w:type="pct"/>
            <w:textDirection w:val="btLr"/>
          </w:tcPr>
          <w:p w14:paraId="294FA092"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42" w:type="pct"/>
            <w:textDirection w:val="btLr"/>
          </w:tcPr>
          <w:p w14:paraId="6ECFC2AC"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39" w:type="pct"/>
            <w:textDirection w:val="btLr"/>
          </w:tcPr>
          <w:p w14:paraId="336C452F" w14:textId="77777777"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37" w:type="pct"/>
            <w:textDirection w:val="btLr"/>
          </w:tcPr>
          <w:p w14:paraId="5BA6E9EC" w14:textId="4C039276" w:rsidR="00400B0F" w:rsidRPr="00880004" w:rsidRDefault="00AF176F" w:rsidP="006F27B1">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Risks </w:t>
            </w:r>
            <w:r w:rsidR="00400B0F" w:rsidRPr="00880004">
              <w:rPr>
                <w:rFonts w:asciiTheme="minorHAnsi" w:eastAsia="Times New Roman" w:hAnsiTheme="minorHAnsi"/>
                <w:b/>
                <w:iCs/>
                <w:szCs w:val="17"/>
                <w:lang w:eastAsia="en-US"/>
              </w:rPr>
              <w:t>and Safeguards</w:t>
            </w:r>
          </w:p>
        </w:tc>
      </w:tr>
      <w:tr w:rsidR="00DA2911" w:rsidRPr="00C61187" w14:paraId="6DB79EE8" w14:textId="77777777" w:rsidTr="00F822A7">
        <w:trPr>
          <w:trHeight w:val="284"/>
          <w:tblHeader w:val="0"/>
        </w:trPr>
        <w:tc>
          <w:tcPr>
            <w:tcW w:w="1054" w:type="pct"/>
            <w:vMerge w:val="restart"/>
            <w:tcBorders>
              <w:top w:val="single" w:sz="8" w:space="0" w:color="auto"/>
            </w:tcBorders>
          </w:tcPr>
          <w:p w14:paraId="2F0D3518"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3i - Investing In Infrastructure</w:t>
            </w:r>
          </w:p>
        </w:tc>
        <w:tc>
          <w:tcPr>
            <w:tcW w:w="314" w:type="pct"/>
            <w:vMerge w:val="restart"/>
            <w:tcBorders>
              <w:top w:val="single" w:sz="8" w:space="0" w:color="auto"/>
            </w:tcBorders>
            <w:vAlign w:val="center"/>
          </w:tcPr>
          <w:p w14:paraId="28BAB8BB"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$48.5 m</w:t>
            </w:r>
          </w:p>
          <w:p w14:paraId="1E4D9DB3"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2014-20</w:t>
            </w:r>
          </w:p>
        </w:tc>
        <w:tc>
          <w:tcPr>
            <w:tcW w:w="441" w:type="pct"/>
            <w:vMerge w:val="restart"/>
            <w:tcBorders>
              <w:top w:val="single" w:sz="8" w:space="0" w:color="auto"/>
            </w:tcBorders>
            <w:vAlign w:val="center"/>
          </w:tcPr>
          <w:p w14:paraId="22A7A59C"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14891363"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69B97BE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0BD33CF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41D58BDE"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FFFF00"/>
            <w:noWrap/>
            <w:vAlign w:val="center"/>
          </w:tcPr>
          <w:p w14:paraId="3863A4D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61B74968"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DF8C4D"/>
            <w:noWrap/>
            <w:vAlign w:val="center"/>
          </w:tcPr>
          <w:p w14:paraId="4F88064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7" w:type="pct"/>
            <w:tcBorders>
              <w:top w:val="single" w:sz="8" w:space="0" w:color="auto"/>
            </w:tcBorders>
            <w:shd w:val="clear" w:color="auto" w:fill="92D050"/>
            <w:vAlign w:val="center"/>
          </w:tcPr>
          <w:p w14:paraId="3066AAEA"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DA2911" w:rsidRPr="00C61187" w14:paraId="348C651C"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tcBorders>
              <w:bottom w:val="single" w:sz="4" w:space="0" w:color="auto"/>
            </w:tcBorders>
            <w:vAlign w:val="center"/>
          </w:tcPr>
          <w:p w14:paraId="38582A8F"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314" w:type="pct"/>
            <w:vMerge/>
            <w:tcBorders>
              <w:bottom w:val="single" w:sz="4" w:space="0" w:color="auto"/>
            </w:tcBorders>
            <w:vAlign w:val="center"/>
          </w:tcPr>
          <w:p w14:paraId="29658897"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441" w:type="pct"/>
            <w:vMerge/>
            <w:tcBorders>
              <w:bottom w:val="single" w:sz="4" w:space="0" w:color="auto"/>
            </w:tcBorders>
            <w:vAlign w:val="center"/>
          </w:tcPr>
          <w:p w14:paraId="3735DE20"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443" w:type="pct"/>
            <w:tcBorders>
              <w:bottom w:val="single" w:sz="4" w:space="0" w:color="auto"/>
            </w:tcBorders>
            <w:shd w:val="clear" w:color="auto" w:fill="F2F2F2" w:themeFill="background1" w:themeFillShade="F2"/>
            <w:noWrap/>
            <w:vAlign w:val="center"/>
          </w:tcPr>
          <w:p w14:paraId="2897403A"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c>
          <w:tcPr>
            <w:tcW w:w="439" w:type="pct"/>
            <w:tcBorders>
              <w:bottom w:val="single" w:sz="4" w:space="0" w:color="auto"/>
            </w:tcBorders>
            <w:shd w:val="clear" w:color="auto" w:fill="F2F2F2" w:themeFill="background1" w:themeFillShade="F2"/>
            <w:noWrap/>
            <w:vAlign w:val="center"/>
          </w:tcPr>
          <w:p w14:paraId="4D87B94D"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c>
          <w:tcPr>
            <w:tcW w:w="442" w:type="pct"/>
            <w:tcBorders>
              <w:bottom w:val="single" w:sz="4" w:space="0" w:color="auto"/>
            </w:tcBorders>
            <w:shd w:val="clear" w:color="auto" w:fill="F2F2F2" w:themeFill="background1" w:themeFillShade="F2"/>
            <w:noWrap/>
            <w:vAlign w:val="center"/>
          </w:tcPr>
          <w:p w14:paraId="6ADC9CB5"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c>
          <w:tcPr>
            <w:tcW w:w="439" w:type="pct"/>
            <w:tcBorders>
              <w:bottom w:val="single" w:sz="4" w:space="0" w:color="auto"/>
            </w:tcBorders>
            <w:shd w:val="clear" w:color="auto" w:fill="F2F2F2" w:themeFill="background1" w:themeFillShade="F2"/>
            <w:noWrap/>
            <w:vAlign w:val="center"/>
          </w:tcPr>
          <w:p w14:paraId="2C74AE83"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c>
          <w:tcPr>
            <w:tcW w:w="442" w:type="pct"/>
            <w:tcBorders>
              <w:bottom w:val="single" w:sz="4" w:space="0" w:color="auto"/>
            </w:tcBorders>
            <w:shd w:val="clear" w:color="auto" w:fill="F2F2F2" w:themeFill="background1" w:themeFillShade="F2"/>
            <w:noWrap/>
            <w:vAlign w:val="center"/>
          </w:tcPr>
          <w:p w14:paraId="13579AA7"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c>
          <w:tcPr>
            <w:tcW w:w="439" w:type="pct"/>
            <w:tcBorders>
              <w:bottom w:val="single" w:sz="4" w:space="0" w:color="auto"/>
            </w:tcBorders>
            <w:shd w:val="clear" w:color="auto" w:fill="F2F2F2" w:themeFill="background1" w:themeFillShade="F2"/>
            <w:noWrap/>
            <w:vAlign w:val="center"/>
          </w:tcPr>
          <w:p w14:paraId="22D4C1F3"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c>
          <w:tcPr>
            <w:tcW w:w="437" w:type="pct"/>
            <w:tcBorders>
              <w:bottom w:val="single" w:sz="4" w:space="0" w:color="auto"/>
            </w:tcBorders>
            <w:shd w:val="clear" w:color="auto" w:fill="F2F2F2" w:themeFill="background1" w:themeFillShade="F2"/>
            <w:vAlign w:val="center"/>
          </w:tcPr>
          <w:p w14:paraId="5721537A"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n/a</w:t>
            </w:r>
          </w:p>
        </w:tc>
      </w:tr>
      <w:tr w:rsidR="00DA2911" w:rsidRPr="00C61187" w14:paraId="5866365D" w14:textId="77777777" w:rsidTr="00F822A7">
        <w:trPr>
          <w:trHeight w:val="284"/>
          <w:tblHeader w:val="0"/>
        </w:trPr>
        <w:tc>
          <w:tcPr>
            <w:tcW w:w="1054" w:type="pct"/>
            <w:vMerge w:val="restart"/>
            <w:vAlign w:val="center"/>
          </w:tcPr>
          <w:p w14:paraId="090FAB55"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Cambodia Infrastructure Investment 2013-2020</w:t>
            </w:r>
          </w:p>
        </w:tc>
        <w:tc>
          <w:tcPr>
            <w:tcW w:w="314" w:type="pct"/>
            <w:vMerge w:val="restart"/>
            <w:vAlign w:val="center"/>
          </w:tcPr>
          <w:p w14:paraId="392C8C49"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$40 m</w:t>
            </w:r>
          </w:p>
          <w:p w14:paraId="7D0E8D08"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2013-20</w:t>
            </w:r>
          </w:p>
        </w:tc>
        <w:tc>
          <w:tcPr>
            <w:tcW w:w="441" w:type="pct"/>
            <w:vMerge w:val="restart"/>
            <w:vAlign w:val="center"/>
          </w:tcPr>
          <w:p w14:paraId="324554CF"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28D34811"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shd w:val="clear" w:color="auto" w:fill="92D050"/>
            <w:noWrap/>
            <w:vAlign w:val="center"/>
          </w:tcPr>
          <w:p w14:paraId="4C8076D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775CC91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3D9B31C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05D2530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70C7E6F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FFFF00"/>
            <w:noWrap/>
            <w:vAlign w:val="center"/>
          </w:tcPr>
          <w:p w14:paraId="3FF39C9E"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shd w:val="clear" w:color="auto" w:fill="FFFF00"/>
            <w:vAlign w:val="center"/>
          </w:tcPr>
          <w:p w14:paraId="7FCC36FB"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67CC8966"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tcBorders>
              <w:bottom w:val="single" w:sz="4" w:space="0" w:color="auto"/>
            </w:tcBorders>
            <w:vAlign w:val="center"/>
          </w:tcPr>
          <w:p w14:paraId="64407F4D"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314" w:type="pct"/>
            <w:vMerge/>
            <w:tcBorders>
              <w:bottom w:val="single" w:sz="4" w:space="0" w:color="auto"/>
            </w:tcBorders>
            <w:vAlign w:val="center"/>
          </w:tcPr>
          <w:p w14:paraId="19608DEF"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441" w:type="pct"/>
            <w:vMerge/>
            <w:tcBorders>
              <w:bottom w:val="single" w:sz="4" w:space="0" w:color="auto"/>
            </w:tcBorders>
            <w:vAlign w:val="center"/>
          </w:tcPr>
          <w:p w14:paraId="2831BEF3"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443" w:type="pct"/>
            <w:tcBorders>
              <w:bottom w:val="single" w:sz="4" w:space="0" w:color="auto"/>
            </w:tcBorders>
            <w:shd w:val="clear" w:color="auto" w:fill="F2F2F2" w:themeFill="background1" w:themeFillShade="F2"/>
            <w:noWrap/>
            <w:vAlign w:val="center"/>
          </w:tcPr>
          <w:p w14:paraId="177741CD"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c>
          <w:tcPr>
            <w:tcW w:w="439" w:type="pct"/>
            <w:tcBorders>
              <w:bottom w:val="single" w:sz="4" w:space="0" w:color="auto"/>
            </w:tcBorders>
            <w:shd w:val="clear" w:color="auto" w:fill="F2F2F2" w:themeFill="background1" w:themeFillShade="F2"/>
            <w:noWrap/>
            <w:vAlign w:val="center"/>
          </w:tcPr>
          <w:p w14:paraId="552420ED"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c>
          <w:tcPr>
            <w:tcW w:w="442" w:type="pct"/>
            <w:tcBorders>
              <w:bottom w:val="single" w:sz="4" w:space="0" w:color="auto"/>
            </w:tcBorders>
            <w:shd w:val="clear" w:color="auto" w:fill="F2F2F2" w:themeFill="background1" w:themeFillShade="F2"/>
            <w:noWrap/>
            <w:vAlign w:val="center"/>
          </w:tcPr>
          <w:p w14:paraId="660FFA90"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c>
          <w:tcPr>
            <w:tcW w:w="439" w:type="pct"/>
            <w:tcBorders>
              <w:bottom w:val="single" w:sz="4" w:space="0" w:color="auto"/>
            </w:tcBorders>
            <w:shd w:val="clear" w:color="auto" w:fill="F2F2F2" w:themeFill="background1" w:themeFillShade="F2"/>
            <w:noWrap/>
            <w:vAlign w:val="center"/>
          </w:tcPr>
          <w:p w14:paraId="0E0C57AF"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c>
          <w:tcPr>
            <w:tcW w:w="442" w:type="pct"/>
            <w:tcBorders>
              <w:bottom w:val="single" w:sz="4" w:space="0" w:color="auto"/>
            </w:tcBorders>
            <w:shd w:val="clear" w:color="auto" w:fill="F2F2F2" w:themeFill="background1" w:themeFillShade="F2"/>
            <w:noWrap/>
            <w:vAlign w:val="center"/>
          </w:tcPr>
          <w:p w14:paraId="0A8C813C"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c>
          <w:tcPr>
            <w:tcW w:w="439" w:type="pct"/>
            <w:tcBorders>
              <w:bottom w:val="single" w:sz="4" w:space="0" w:color="auto"/>
            </w:tcBorders>
            <w:shd w:val="clear" w:color="auto" w:fill="F2F2F2" w:themeFill="background1" w:themeFillShade="F2"/>
            <w:noWrap/>
            <w:vAlign w:val="center"/>
          </w:tcPr>
          <w:p w14:paraId="4B46982A"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c>
          <w:tcPr>
            <w:tcW w:w="437" w:type="pct"/>
            <w:tcBorders>
              <w:bottom w:val="single" w:sz="4" w:space="0" w:color="auto"/>
            </w:tcBorders>
            <w:shd w:val="clear" w:color="auto" w:fill="F2F2F2" w:themeFill="background1" w:themeFillShade="F2"/>
            <w:vAlign w:val="center"/>
          </w:tcPr>
          <w:p w14:paraId="6E485407"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E</w:t>
            </w:r>
          </w:p>
        </w:tc>
      </w:tr>
      <w:tr w:rsidR="00DA2911" w:rsidRPr="00C61187" w14:paraId="4A3BEE9E" w14:textId="77777777" w:rsidTr="00F822A7">
        <w:trPr>
          <w:trHeight w:val="284"/>
          <w:tblHeader w:val="0"/>
        </w:trPr>
        <w:tc>
          <w:tcPr>
            <w:tcW w:w="1054" w:type="pct"/>
            <w:vMerge w:val="restart"/>
            <w:vAlign w:val="center"/>
          </w:tcPr>
          <w:p w14:paraId="2CC00DCF"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 xml:space="preserve">Cambodia Emergency Flood Rehabilitation Project </w:t>
            </w:r>
          </w:p>
        </w:tc>
        <w:tc>
          <w:tcPr>
            <w:tcW w:w="314" w:type="pct"/>
            <w:vMerge w:val="restart"/>
            <w:vAlign w:val="center"/>
          </w:tcPr>
          <w:p w14:paraId="5EDE8C6C"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$12.6 m</w:t>
            </w:r>
          </w:p>
          <w:p w14:paraId="1ABDFD5A"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2012-17</w:t>
            </w:r>
          </w:p>
        </w:tc>
        <w:tc>
          <w:tcPr>
            <w:tcW w:w="441" w:type="pct"/>
            <w:vMerge w:val="restart"/>
            <w:vAlign w:val="center"/>
          </w:tcPr>
          <w:p w14:paraId="05AD31AD"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6057745D"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shd w:val="clear" w:color="auto" w:fill="92D050"/>
            <w:noWrap/>
            <w:vAlign w:val="center"/>
          </w:tcPr>
          <w:p w14:paraId="16180EAC"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33F78BC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3AB9A948"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7FA0092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398BB00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FFFF00"/>
            <w:noWrap/>
            <w:vAlign w:val="center"/>
          </w:tcPr>
          <w:p w14:paraId="3EEDB3DF"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shd w:val="clear" w:color="auto" w:fill="FFFF00"/>
            <w:vAlign w:val="center"/>
          </w:tcPr>
          <w:p w14:paraId="401A40F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6DF3D0FD"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783E12E3"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314" w:type="pct"/>
            <w:vMerge/>
            <w:vAlign w:val="center"/>
          </w:tcPr>
          <w:p w14:paraId="00679976"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441" w:type="pct"/>
            <w:vMerge/>
            <w:vAlign w:val="center"/>
          </w:tcPr>
          <w:p w14:paraId="2176F53F" w14:textId="77777777" w:rsidR="00DA2911" w:rsidRPr="00880004" w:rsidRDefault="00DA2911" w:rsidP="00DA2911">
            <w:pPr>
              <w:keepLines/>
              <w:spacing w:before="0" w:after="0" w:line="240" w:lineRule="auto"/>
              <w:rPr>
                <w:rFonts w:asciiTheme="minorHAnsi" w:eastAsia="Times New Roman" w:hAnsiTheme="minorHAnsi"/>
                <w:iCs/>
                <w:szCs w:val="17"/>
                <w:lang w:eastAsia="en-US"/>
              </w:rPr>
            </w:pPr>
          </w:p>
        </w:tc>
        <w:tc>
          <w:tcPr>
            <w:tcW w:w="443" w:type="pct"/>
            <w:shd w:val="clear" w:color="auto" w:fill="92D050"/>
            <w:noWrap/>
            <w:vAlign w:val="center"/>
          </w:tcPr>
          <w:p w14:paraId="6BAB4043"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39" w:type="pct"/>
            <w:shd w:val="clear" w:color="auto" w:fill="92D050"/>
            <w:noWrap/>
            <w:vAlign w:val="center"/>
          </w:tcPr>
          <w:p w14:paraId="23CD326B"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6</w:t>
            </w:r>
          </w:p>
        </w:tc>
        <w:tc>
          <w:tcPr>
            <w:tcW w:w="442" w:type="pct"/>
            <w:shd w:val="clear" w:color="auto" w:fill="92D050"/>
            <w:noWrap/>
            <w:vAlign w:val="center"/>
          </w:tcPr>
          <w:p w14:paraId="1213F1E4"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39" w:type="pct"/>
            <w:shd w:val="clear" w:color="auto" w:fill="92D050"/>
            <w:noWrap/>
            <w:vAlign w:val="center"/>
          </w:tcPr>
          <w:p w14:paraId="22336217"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42" w:type="pct"/>
            <w:shd w:val="clear" w:color="auto" w:fill="92D050"/>
            <w:noWrap/>
            <w:vAlign w:val="center"/>
          </w:tcPr>
          <w:p w14:paraId="2846D0EB"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39" w:type="pct"/>
            <w:shd w:val="clear" w:color="auto" w:fill="92D050"/>
            <w:noWrap/>
            <w:vAlign w:val="center"/>
          </w:tcPr>
          <w:p w14:paraId="3FC98291"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37" w:type="pct"/>
            <w:shd w:val="clear" w:color="auto" w:fill="92D050"/>
            <w:vAlign w:val="center"/>
          </w:tcPr>
          <w:p w14:paraId="30A2BB2F" w14:textId="77777777" w:rsidR="00DA2911" w:rsidRPr="00880004" w:rsidRDefault="00DA2911" w:rsidP="00DA2911">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r>
      <w:tr w:rsidR="00DA2911" w:rsidRPr="00C61187" w14:paraId="4DAAFF46" w14:textId="77777777" w:rsidTr="00F822A7">
        <w:trPr>
          <w:trHeight w:val="284"/>
          <w:tblHeader w:val="0"/>
        </w:trPr>
        <w:tc>
          <w:tcPr>
            <w:tcW w:w="1054" w:type="pct"/>
            <w:vMerge w:val="restart"/>
            <w:tcBorders>
              <w:top w:val="single" w:sz="8" w:space="0" w:color="auto"/>
            </w:tcBorders>
            <w:vAlign w:val="center"/>
          </w:tcPr>
          <w:p w14:paraId="3DA56EB9"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Rural Electrification and Transmission Project</w:t>
            </w:r>
          </w:p>
        </w:tc>
        <w:tc>
          <w:tcPr>
            <w:tcW w:w="314" w:type="pct"/>
            <w:vMerge w:val="restart"/>
            <w:tcBorders>
              <w:top w:val="single" w:sz="8" w:space="0" w:color="auto"/>
            </w:tcBorders>
            <w:vAlign w:val="center"/>
          </w:tcPr>
          <w:p w14:paraId="0E958FF1"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$7.8 m</w:t>
            </w:r>
          </w:p>
          <w:p w14:paraId="1ABFD723"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2008-17</w:t>
            </w:r>
          </w:p>
        </w:tc>
        <w:tc>
          <w:tcPr>
            <w:tcW w:w="441" w:type="pct"/>
            <w:vMerge w:val="restart"/>
            <w:tcBorders>
              <w:top w:val="single" w:sz="8" w:space="0" w:color="auto"/>
            </w:tcBorders>
            <w:vAlign w:val="center"/>
          </w:tcPr>
          <w:p w14:paraId="4CAD113C"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267B1B7E"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5BDA6B7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6558B08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92D050"/>
            <w:noWrap/>
            <w:vAlign w:val="center"/>
          </w:tcPr>
          <w:p w14:paraId="167838A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1D21445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2046AA6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5202DB46"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tcBorders>
              <w:top w:val="single" w:sz="8" w:space="0" w:color="auto"/>
            </w:tcBorders>
            <w:shd w:val="clear" w:color="auto" w:fill="92D050"/>
            <w:vAlign w:val="center"/>
          </w:tcPr>
          <w:p w14:paraId="52A2E15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DA2911" w:rsidRPr="00C61187" w14:paraId="578FBAC6"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340FFD44"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6473F590"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4FA089AD"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F2F2F2" w:themeFill="background1" w:themeFillShade="F2"/>
            <w:noWrap/>
            <w:vAlign w:val="center"/>
          </w:tcPr>
          <w:p w14:paraId="5CCE8F0F"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shd w:val="clear" w:color="auto" w:fill="F2F2F2" w:themeFill="background1" w:themeFillShade="F2"/>
            <w:noWrap/>
            <w:vAlign w:val="center"/>
          </w:tcPr>
          <w:p w14:paraId="7B530AC9"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shd w:val="clear" w:color="auto" w:fill="F2F2F2" w:themeFill="background1" w:themeFillShade="F2"/>
            <w:noWrap/>
            <w:vAlign w:val="center"/>
          </w:tcPr>
          <w:p w14:paraId="3BD1C72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shd w:val="clear" w:color="auto" w:fill="F2F2F2" w:themeFill="background1" w:themeFillShade="F2"/>
            <w:noWrap/>
            <w:vAlign w:val="center"/>
          </w:tcPr>
          <w:p w14:paraId="79D18F4F"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shd w:val="clear" w:color="auto" w:fill="F2F2F2" w:themeFill="background1" w:themeFillShade="F2"/>
            <w:noWrap/>
            <w:vAlign w:val="center"/>
          </w:tcPr>
          <w:p w14:paraId="7773C4BA"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shd w:val="clear" w:color="auto" w:fill="F2F2F2" w:themeFill="background1" w:themeFillShade="F2"/>
            <w:noWrap/>
            <w:vAlign w:val="center"/>
          </w:tcPr>
          <w:p w14:paraId="2F4F1DAA"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7" w:type="pct"/>
            <w:shd w:val="clear" w:color="auto" w:fill="F2F2F2" w:themeFill="background1" w:themeFillShade="F2"/>
            <w:vAlign w:val="center"/>
          </w:tcPr>
          <w:p w14:paraId="0931D39C"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r w:rsidR="00886141" w:rsidRPr="00C61187" w14:paraId="03950257" w14:textId="77777777" w:rsidTr="00F822A7">
        <w:trPr>
          <w:trHeight w:val="284"/>
          <w:tblHeader w:val="0"/>
        </w:trPr>
        <w:tc>
          <w:tcPr>
            <w:tcW w:w="1054" w:type="pct"/>
            <w:vMerge w:val="restart"/>
            <w:tcBorders>
              <w:top w:val="single" w:sz="8" w:space="0" w:color="auto"/>
            </w:tcBorders>
            <w:vAlign w:val="center"/>
          </w:tcPr>
          <w:p w14:paraId="3FFD1320"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Cambodia Agricultural Value Chain Program Phase 2</w:t>
            </w:r>
          </w:p>
        </w:tc>
        <w:tc>
          <w:tcPr>
            <w:tcW w:w="314" w:type="pct"/>
            <w:vMerge w:val="restart"/>
            <w:tcBorders>
              <w:top w:val="single" w:sz="8" w:space="0" w:color="auto"/>
            </w:tcBorders>
            <w:vAlign w:val="center"/>
          </w:tcPr>
          <w:p w14:paraId="6AD37A41"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$89.7 m</w:t>
            </w:r>
          </w:p>
          <w:p w14:paraId="4E060254"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2016-21</w:t>
            </w:r>
          </w:p>
        </w:tc>
        <w:tc>
          <w:tcPr>
            <w:tcW w:w="441" w:type="pct"/>
            <w:vMerge w:val="restart"/>
            <w:tcBorders>
              <w:top w:val="single" w:sz="8" w:space="0" w:color="auto"/>
            </w:tcBorders>
            <w:vAlign w:val="center"/>
          </w:tcPr>
          <w:p w14:paraId="57942DF3"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6AB3B085"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F2F2F2" w:themeFill="background1" w:themeFillShade="F2"/>
            <w:noWrap/>
            <w:vAlign w:val="center"/>
          </w:tcPr>
          <w:p w14:paraId="0A87D81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1879311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tcBorders>
              <w:top w:val="single" w:sz="8" w:space="0" w:color="auto"/>
            </w:tcBorders>
            <w:shd w:val="clear" w:color="auto" w:fill="F2F2F2" w:themeFill="background1" w:themeFillShade="F2"/>
            <w:noWrap/>
            <w:vAlign w:val="center"/>
          </w:tcPr>
          <w:p w14:paraId="7C5DE1B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38A88AC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tcBorders>
              <w:top w:val="single" w:sz="8" w:space="0" w:color="auto"/>
            </w:tcBorders>
            <w:shd w:val="clear" w:color="auto" w:fill="F2F2F2" w:themeFill="background1" w:themeFillShade="F2"/>
            <w:noWrap/>
            <w:vAlign w:val="center"/>
          </w:tcPr>
          <w:p w14:paraId="34E022B2"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159FE7E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7" w:type="pct"/>
            <w:tcBorders>
              <w:top w:val="single" w:sz="8" w:space="0" w:color="auto"/>
            </w:tcBorders>
            <w:shd w:val="clear" w:color="auto" w:fill="F2F2F2" w:themeFill="background1" w:themeFillShade="F2"/>
            <w:vAlign w:val="center"/>
          </w:tcPr>
          <w:p w14:paraId="329119BC"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r w:rsidR="00886141" w:rsidRPr="00C61187" w14:paraId="01344466"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06876A33"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1401C88C"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2377682C"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F2F2F2" w:themeFill="background1" w:themeFillShade="F2"/>
            <w:noWrap/>
            <w:vAlign w:val="center"/>
          </w:tcPr>
          <w:p w14:paraId="36E4142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66E5465F"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42" w:type="pct"/>
            <w:shd w:val="clear" w:color="auto" w:fill="F2F2F2" w:themeFill="background1" w:themeFillShade="F2"/>
            <w:noWrap/>
            <w:vAlign w:val="center"/>
          </w:tcPr>
          <w:p w14:paraId="04C9AB8B"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47C69EBB"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42" w:type="pct"/>
            <w:shd w:val="clear" w:color="auto" w:fill="F2F2F2" w:themeFill="background1" w:themeFillShade="F2"/>
            <w:noWrap/>
            <w:vAlign w:val="center"/>
          </w:tcPr>
          <w:p w14:paraId="29C43E5B"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6898FB6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7" w:type="pct"/>
            <w:shd w:val="clear" w:color="auto" w:fill="F2F2F2" w:themeFill="background1" w:themeFillShade="F2"/>
            <w:vAlign w:val="center"/>
          </w:tcPr>
          <w:p w14:paraId="4FF19029"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r>
      <w:tr w:rsidR="00DA2911" w:rsidRPr="00C61187" w14:paraId="2234A816" w14:textId="77777777" w:rsidTr="00F822A7">
        <w:trPr>
          <w:trHeight w:val="284"/>
          <w:tblHeader w:val="0"/>
        </w:trPr>
        <w:tc>
          <w:tcPr>
            <w:tcW w:w="1054" w:type="pct"/>
            <w:vMerge w:val="restart"/>
            <w:tcBorders>
              <w:top w:val="single" w:sz="8" w:space="0" w:color="auto"/>
            </w:tcBorders>
            <w:vAlign w:val="center"/>
          </w:tcPr>
          <w:p w14:paraId="4D30A5D1"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Smallholder Agriculture and Social Protection</w:t>
            </w:r>
          </w:p>
        </w:tc>
        <w:tc>
          <w:tcPr>
            <w:tcW w:w="314" w:type="pct"/>
            <w:vMerge w:val="restart"/>
            <w:tcBorders>
              <w:top w:val="single" w:sz="8" w:space="0" w:color="auto"/>
            </w:tcBorders>
            <w:vAlign w:val="center"/>
          </w:tcPr>
          <w:p w14:paraId="5E561592"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$4 m</w:t>
            </w:r>
          </w:p>
          <w:p w14:paraId="278674C2"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2009-17</w:t>
            </w:r>
          </w:p>
        </w:tc>
        <w:tc>
          <w:tcPr>
            <w:tcW w:w="441" w:type="pct"/>
            <w:vMerge w:val="restart"/>
            <w:tcBorders>
              <w:top w:val="single" w:sz="8" w:space="0" w:color="auto"/>
            </w:tcBorders>
            <w:vAlign w:val="center"/>
          </w:tcPr>
          <w:p w14:paraId="6C39ED79"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0558213D"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FFFF00"/>
            <w:noWrap/>
            <w:vAlign w:val="center"/>
          </w:tcPr>
          <w:p w14:paraId="20FFD26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DF8C4D"/>
            <w:noWrap/>
            <w:vAlign w:val="center"/>
          </w:tcPr>
          <w:p w14:paraId="113706C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42" w:type="pct"/>
            <w:tcBorders>
              <w:top w:val="single" w:sz="8" w:space="0" w:color="auto"/>
            </w:tcBorders>
            <w:shd w:val="clear" w:color="auto" w:fill="DF8C4D"/>
            <w:noWrap/>
            <w:vAlign w:val="center"/>
          </w:tcPr>
          <w:p w14:paraId="070B6F2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9" w:type="pct"/>
            <w:tcBorders>
              <w:top w:val="single" w:sz="8" w:space="0" w:color="auto"/>
            </w:tcBorders>
            <w:shd w:val="clear" w:color="auto" w:fill="FFFF00"/>
            <w:noWrap/>
            <w:vAlign w:val="center"/>
          </w:tcPr>
          <w:p w14:paraId="5CB354B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DF8C4D"/>
            <w:noWrap/>
            <w:vAlign w:val="center"/>
          </w:tcPr>
          <w:p w14:paraId="66C53FB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9" w:type="pct"/>
            <w:tcBorders>
              <w:top w:val="single" w:sz="8" w:space="0" w:color="auto"/>
            </w:tcBorders>
            <w:shd w:val="clear" w:color="auto" w:fill="FFFF00"/>
            <w:noWrap/>
            <w:vAlign w:val="center"/>
          </w:tcPr>
          <w:p w14:paraId="3829ACB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tcBorders>
              <w:top w:val="single" w:sz="8" w:space="0" w:color="auto"/>
            </w:tcBorders>
            <w:shd w:val="clear" w:color="auto" w:fill="FFFF00"/>
            <w:vAlign w:val="center"/>
          </w:tcPr>
          <w:p w14:paraId="31D3B788"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51787E5D"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59211900"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65C8FA00"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6A2BCC81"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FFFF00"/>
            <w:noWrap/>
            <w:vAlign w:val="center"/>
          </w:tcPr>
          <w:p w14:paraId="2D51706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DF8C4D"/>
            <w:noWrap/>
            <w:vAlign w:val="center"/>
          </w:tcPr>
          <w:p w14:paraId="28518C0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42" w:type="pct"/>
            <w:shd w:val="clear" w:color="auto" w:fill="FFFF00"/>
            <w:noWrap/>
            <w:vAlign w:val="center"/>
          </w:tcPr>
          <w:p w14:paraId="5B75273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FFFF00"/>
            <w:noWrap/>
            <w:vAlign w:val="center"/>
          </w:tcPr>
          <w:p w14:paraId="386DE71C"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shd w:val="clear" w:color="auto" w:fill="DF8C4D"/>
            <w:noWrap/>
            <w:vAlign w:val="center"/>
          </w:tcPr>
          <w:p w14:paraId="6B47E24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9" w:type="pct"/>
            <w:shd w:val="clear" w:color="auto" w:fill="FFFF00"/>
            <w:noWrap/>
            <w:vAlign w:val="center"/>
          </w:tcPr>
          <w:p w14:paraId="3FBFC396"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shd w:val="clear" w:color="auto" w:fill="FFFF00"/>
            <w:vAlign w:val="center"/>
          </w:tcPr>
          <w:p w14:paraId="3ABF219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0BBB158F" w14:textId="77777777" w:rsidTr="00F822A7">
        <w:trPr>
          <w:trHeight w:val="284"/>
          <w:tblHeader w:val="0"/>
        </w:trPr>
        <w:tc>
          <w:tcPr>
            <w:tcW w:w="1054" w:type="pct"/>
            <w:vMerge w:val="restart"/>
            <w:tcBorders>
              <w:top w:val="single" w:sz="8" w:space="0" w:color="auto"/>
            </w:tcBorders>
            <w:vAlign w:val="center"/>
          </w:tcPr>
          <w:p w14:paraId="16948DD4"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 xml:space="preserve">Cambodia: Delivering Better Health </w:t>
            </w:r>
          </w:p>
        </w:tc>
        <w:tc>
          <w:tcPr>
            <w:tcW w:w="314" w:type="pct"/>
            <w:vMerge w:val="restart"/>
            <w:tcBorders>
              <w:top w:val="single" w:sz="8" w:space="0" w:color="auto"/>
            </w:tcBorders>
            <w:vAlign w:val="center"/>
          </w:tcPr>
          <w:p w14:paraId="5C11C1E6"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$124 m</w:t>
            </w:r>
          </w:p>
          <w:p w14:paraId="30488420"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2007-18</w:t>
            </w:r>
          </w:p>
        </w:tc>
        <w:tc>
          <w:tcPr>
            <w:tcW w:w="441" w:type="pct"/>
            <w:vMerge w:val="restart"/>
            <w:tcBorders>
              <w:top w:val="single" w:sz="8" w:space="0" w:color="auto"/>
            </w:tcBorders>
            <w:vAlign w:val="center"/>
          </w:tcPr>
          <w:p w14:paraId="690184DB"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7A52BF77"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5388266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439" w:type="pct"/>
            <w:tcBorders>
              <w:top w:val="single" w:sz="8" w:space="0" w:color="auto"/>
            </w:tcBorders>
            <w:shd w:val="clear" w:color="auto" w:fill="92D050"/>
            <w:noWrap/>
            <w:vAlign w:val="center"/>
          </w:tcPr>
          <w:p w14:paraId="29350B5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FFFF00"/>
            <w:noWrap/>
            <w:vAlign w:val="center"/>
          </w:tcPr>
          <w:p w14:paraId="72FFDF1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92D050"/>
            <w:noWrap/>
            <w:vAlign w:val="center"/>
          </w:tcPr>
          <w:p w14:paraId="5D1F60AE"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17CCEAE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2B5B49E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tcBorders>
              <w:top w:val="single" w:sz="8" w:space="0" w:color="auto"/>
            </w:tcBorders>
            <w:shd w:val="clear" w:color="auto" w:fill="FFFF00"/>
            <w:vAlign w:val="center"/>
          </w:tcPr>
          <w:p w14:paraId="682FC59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4FD85B26"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2336C62C"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075D5ACF"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23715BFE"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92D050"/>
            <w:noWrap/>
            <w:vAlign w:val="center"/>
          </w:tcPr>
          <w:p w14:paraId="4EE2D9DE"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439" w:type="pct"/>
            <w:shd w:val="clear" w:color="auto" w:fill="92D050"/>
            <w:noWrap/>
            <w:vAlign w:val="center"/>
          </w:tcPr>
          <w:p w14:paraId="6FCCF522"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FFFF00"/>
            <w:noWrap/>
            <w:vAlign w:val="center"/>
          </w:tcPr>
          <w:p w14:paraId="24E5113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92D050"/>
            <w:noWrap/>
            <w:vAlign w:val="center"/>
          </w:tcPr>
          <w:p w14:paraId="02D31C9E"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FFFF00"/>
            <w:noWrap/>
            <w:vAlign w:val="center"/>
          </w:tcPr>
          <w:p w14:paraId="77FD898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92D050"/>
            <w:noWrap/>
            <w:vAlign w:val="center"/>
          </w:tcPr>
          <w:p w14:paraId="5490E4DE"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shd w:val="clear" w:color="auto" w:fill="FFFF00"/>
            <w:vAlign w:val="center"/>
          </w:tcPr>
          <w:p w14:paraId="55A902AC"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09A8C6A0" w14:textId="77777777" w:rsidTr="00F822A7">
        <w:trPr>
          <w:trHeight w:val="284"/>
          <w:tblHeader w:val="0"/>
        </w:trPr>
        <w:tc>
          <w:tcPr>
            <w:tcW w:w="1054" w:type="pct"/>
            <w:vMerge w:val="restart"/>
            <w:tcBorders>
              <w:top w:val="single" w:sz="8" w:space="0" w:color="auto"/>
            </w:tcBorders>
            <w:vAlign w:val="center"/>
          </w:tcPr>
          <w:p w14:paraId="3A2D9267"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Australian Development Scholarships - 2011 Intake</w:t>
            </w:r>
          </w:p>
        </w:tc>
        <w:tc>
          <w:tcPr>
            <w:tcW w:w="314" w:type="pct"/>
            <w:vMerge w:val="restart"/>
            <w:tcBorders>
              <w:top w:val="single" w:sz="8" w:space="0" w:color="auto"/>
            </w:tcBorders>
            <w:vAlign w:val="center"/>
          </w:tcPr>
          <w:p w14:paraId="01564BD8"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$4.2 m</w:t>
            </w:r>
          </w:p>
          <w:p w14:paraId="66A84973"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2010-18</w:t>
            </w:r>
          </w:p>
        </w:tc>
        <w:tc>
          <w:tcPr>
            <w:tcW w:w="441" w:type="pct"/>
            <w:vMerge w:val="restart"/>
            <w:tcBorders>
              <w:top w:val="single" w:sz="8" w:space="0" w:color="auto"/>
            </w:tcBorders>
            <w:vAlign w:val="center"/>
          </w:tcPr>
          <w:p w14:paraId="6116B285"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3ECB7348"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1E12584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40D0EAA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29C6696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3BC737E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64B7EFA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7F70F07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tcBorders>
              <w:top w:val="single" w:sz="8" w:space="0" w:color="auto"/>
            </w:tcBorders>
            <w:shd w:val="clear" w:color="auto" w:fill="92D050"/>
            <w:vAlign w:val="center"/>
          </w:tcPr>
          <w:p w14:paraId="2AC60489"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DA2911" w:rsidRPr="00C61187" w14:paraId="00C0FF73"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2AD8AD36"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5579B639"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39509F18"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92D050"/>
            <w:noWrap/>
            <w:vAlign w:val="center"/>
          </w:tcPr>
          <w:p w14:paraId="64F43542"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439" w:type="pct"/>
            <w:shd w:val="clear" w:color="auto" w:fill="92D050"/>
            <w:noWrap/>
            <w:vAlign w:val="center"/>
          </w:tcPr>
          <w:p w14:paraId="07AC012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6CB48596"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6475BE9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141D33F9"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3F5F82C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shd w:val="clear" w:color="auto" w:fill="FFFF00"/>
            <w:vAlign w:val="center"/>
          </w:tcPr>
          <w:p w14:paraId="4E287298"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700F8291" w14:textId="77777777" w:rsidTr="00F822A7">
        <w:trPr>
          <w:trHeight w:val="284"/>
          <w:tblHeader w:val="0"/>
        </w:trPr>
        <w:tc>
          <w:tcPr>
            <w:tcW w:w="1054" w:type="pct"/>
            <w:vMerge w:val="restart"/>
            <w:tcBorders>
              <w:top w:val="single" w:sz="8" w:space="0" w:color="auto"/>
            </w:tcBorders>
            <w:vAlign w:val="center"/>
          </w:tcPr>
          <w:p w14:paraId="0714842C"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 xml:space="preserve">Cambodia Australian Scholarship </w:t>
            </w:r>
            <w:r>
              <w:rPr>
                <w:rFonts w:ascii="Calibri Light" w:hAnsi="Calibri Light" w:cs="Arial"/>
                <w:color w:val="495965"/>
                <w:szCs w:val="17"/>
              </w:rPr>
              <w:lastRenderedPageBreak/>
              <w:t>Initiative</w:t>
            </w:r>
          </w:p>
        </w:tc>
        <w:tc>
          <w:tcPr>
            <w:tcW w:w="314" w:type="pct"/>
            <w:vMerge w:val="restart"/>
            <w:tcBorders>
              <w:top w:val="single" w:sz="8" w:space="0" w:color="auto"/>
            </w:tcBorders>
            <w:vAlign w:val="center"/>
          </w:tcPr>
          <w:p w14:paraId="391F319A"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lastRenderedPageBreak/>
              <w:t>$12.8 m</w:t>
            </w:r>
          </w:p>
          <w:p w14:paraId="7CBEA6F6"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lastRenderedPageBreak/>
              <w:t>2013-18</w:t>
            </w:r>
          </w:p>
        </w:tc>
        <w:tc>
          <w:tcPr>
            <w:tcW w:w="441" w:type="pct"/>
            <w:vMerge w:val="restart"/>
            <w:tcBorders>
              <w:top w:val="single" w:sz="8" w:space="0" w:color="auto"/>
            </w:tcBorders>
            <w:vAlign w:val="center"/>
          </w:tcPr>
          <w:p w14:paraId="391834F0"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lastRenderedPageBreak/>
              <w:t>2015 AQC</w:t>
            </w:r>
          </w:p>
          <w:p w14:paraId="70B3A18B"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lastRenderedPageBreak/>
              <w:t>2014 AQC</w:t>
            </w:r>
          </w:p>
        </w:tc>
        <w:tc>
          <w:tcPr>
            <w:tcW w:w="443" w:type="pct"/>
            <w:tcBorders>
              <w:top w:val="single" w:sz="8" w:space="0" w:color="auto"/>
            </w:tcBorders>
            <w:shd w:val="clear" w:color="auto" w:fill="92D050"/>
            <w:noWrap/>
            <w:vAlign w:val="center"/>
          </w:tcPr>
          <w:p w14:paraId="364940D7"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lastRenderedPageBreak/>
              <w:t>5</w:t>
            </w:r>
          </w:p>
        </w:tc>
        <w:tc>
          <w:tcPr>
            <w:tcW w:w="439" w:type="pct"/>
            <w:tcBorders>
              <w:top w:val="single" w:sz="8" w:space="0" w:color="auto"/>
            </w:tcBorders>
            <w:shd w:val="clear" w:color="auto" w:fill="92D050"/>
            <w:noWrap/>
            <w:vAlign w:val="center"/>
          </w:tcPr>
          <w:p w14:paraId="33494EF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1E6687C3"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5E73024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7D2A5D36"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5D46EC82"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tcBorders>
              <w:top w:val="single" w:sz="8" w:space="0" w:color="auto"/>
            </w:tcBorders>
            <w:shd w:val="clear" w:color="auto" w:fill="92D050"/>
            <w:vAlign w:val="center"/>
          </w:tcPr>
          <w:p w14:paraId="04EC15D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DA2911" w:rsidRPr="00C61187" w14:paraId="0C1F5BF6"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1E10F93A"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0C35E5FD"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0AC4CC11"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92D050"/>
            <w:noWrap/>
            <w:vAlign w:val="center"/>
          </w:tcPr>
          <w:p w14:paraId="3AD561A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439" w:type="pct"/>
            <w:shd w:val="clear" w:color="auto" w:fill="92D050"/>
            <w:noWrap/>
            <w:vAlign w:val="center"/>
          </w:tcPr>
          <w:p w14:paraId="270FDCFF"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269DE54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12708E16"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0307A09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56A75B2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shd w:val="clear" w:color="auto" w:fill="FFFF00"/>
            <w:vAlign w:val="center"/>
          </w:tcPr>
          <w:p w14:paraId="6D5FB7E9"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DA2911" w:rsidRPr="00C61187" w14:paraId="1BF09796" w14:textId="77777777" w:rsidTr="00F822A7">
        <w:trPr>
          <w:trHeight w:val="284"/>
          <w:tblHeader w:val="0"/>
        </w:trPr>
        <w:tc>
          <w:tcPr>
            <w:tcW w:w="1054" w:type="pct"/>
            <w:vMerge w:val="restart"/>
            <w:tcBorders>
              <w:top w:val="single" w:sz="8" w:space="0" w:color="auto"/>
            </w:tcBorders>
            <w:vAlign w:val="center"/>
          </w:tcPr>
          <w:p w14:paraId="2A1798A7"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lastRenderedPageBreak/>
              <w:t>Cambodia Law and Justice Sector Support</w:t>
            </w:r>
          </w:p>
        </w:tc>
        <w:tc>
          <w:tcPr>
            <w:tcW w:w="314" w:type="pct"/>
            <w:vMerge w:val="restart"/>
            <w:tcBorders>
              <w:top w:val="single" w:sz="8" w:space="0" w:color="auto"/>
            </w:tcBorders>
            <w:vAlign w:val="center"/>
          </w:tcPr>
          <w:p w14:paraId="6647FF8E"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11.3 m</w:t>
            </w:r>
          </w:p>
          <w:p w14:paraId="7323CFF6"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2012-16</w:t>
            </w:r>
          </w:p>
        </w:tc>
        <w:tc>
          <w:tcPr>
            <w:tcW w:w="441" w:type="pct"/>
            <w:vMerge w:val="restart"/>
            <w:tcBorders>
              <w:top w:val="single" w:sz="8" w:space="0" w:color="auto"/>
            </w:tcBorders>
            <w:vAlign w:val="center"/>
          </w:tcPr>
          <w:p w14:paraId="3FEE075B"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299CF29F" w14:textId="77777777" w:rsidR="00DA2911" w:rsidRDefault="00DA291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051478F6"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7D711582"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92D050"/>
            <w:noWrap/>
            <w:vAlign w:val="center"/>
          </w:tcPr>
          <w:p w14:paraId="76531981"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6D065EAD"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tcBorders>
              <w:top w:val="single" w:sz="8" w:space="0" w:color="auto"/>
            </w:tcBorders>
            <w:shd w:val="clear" w:color="auto" w:fill="92D050"/>
            <w:noWrap/>
            <w:vAlign w:val="center"/>
          </w:tcPr>
          <w:p w14:paraId="286AF39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92D050"/>
            <w:noWrap/>
            <w:vAlign w:val="center"/>
          </w:tcPr>
          <w:p w14:paraId="2A0F61CA"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tcBorders>
              <w:top w:val="single" w:sz="8" w:space="0" w:color="auto"/>
            </w:tcBorders>
            <w:shd w:val="clear" w:color="auto" w:fill="92D050"/>
            <w:vAlign w:val="center"/>
          </w:tcPr>
          <w:p w14:paraId="2B2740E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DA2911" w:rsidRPr="00C61187" w14:paraId="5F1D63F9"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77F41088" w14:textId="77777777" w:rsidR="00DA2911" w:rsidRDefault="00DA2911" w:rsidP="00DA2911">
            <w:pPr>
              <w:spacing w:before="0" w:after="0" w:line="240" w:lineRule="auto"/>
              <w:rPr>
                <w:rFonts w:ascii="Calibri Light" w:hAnsi="Calibri Light" w:cs="Arial"/>
                <w:color w:val="495965"/>
                <w:szCs w:val="17"/>
              </w:rPr>
            </w:pPr>
          </w:p>
        </w:tc>
        <w:tc>
          <w:tcPr>
            <w:tcW w:w="314" w:type="pct"/>
            <w:vMerge/>
            <w:vAlign w:val="center"/>
          </w:tcPr>
          <w:p w14:paraId="692B36B4" w14:textId="77777777" w:rsidR="00DA2911" w:rsidRDefault="00DA2911" w:rsidP="00DA2911">
            <w:pPr>
              <w:spacing w:before="0" w:after="0" w:line="240" w:lineRule="auto"/>
              <w:rPr>
                <w:rFonts w:ascii="Calibri Light" w:hAnsi="Calibri Light" w:cs="Arial"/>
                <w:color w:val="495965"/>
                <w:szCs w:val="17"/>
              </w:rPr>
            </w:pPr>
          </w:p>
        </w:tc>
        <w:tc>
          <w:tcPr>
            <w:tcW w:w="441" w:type="pct"/>
            <w:vMerge/>
            <w:vAlign w:val="center"/>
          </w:tcPr>
          <w:p w14:paraId="39DE76A0" w14:textId="77777777" w:rsidR="00DA2911" w:rsidRDefault="00DA2911" w:rsidP="00DA2911">
            <w:pPr>
              <w:spacing w:before="0" w:after="0" w:line="240" w:lineRule="auto"/>
              <w:rPr>
                <w:rFonts w:ascii="Calibri Light" w:hAnsi="Calibri Light" w:cs="Arial"/>
                <w:color w:val="495965"/>
                <w:szCs w:val="17"/>
              </w:rPr>
            </w:pPr>
          </w:p>
        </w:tc>
        <w:tc>
          <w:tcPr>
            <w:tcW w:w="443" w:type="pct"/>
            <w:shd w:val="clear" w:color="auto" w:fill="FFFF00"/>
            <w:noWrap/>
            <w:vAlign w:val="center"/>
          </w:tcPr>
          <w:p w14:paraId="2679ACCC"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FFFF00"/>
            <w:noWrap/>
            <w:vAlign w:val="center"/>
          </w:tcPr>
          <w:p w14:paraId="24E6CB5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shd w:val="clear" w:color="auto" w:fill="FFFF00"/>
            <w:noWrap/>
            <w:vAlign w:val="center"/>
          </w:tcPr>
          <w:p w14:paraId="4513185A"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92D050"/>
            <w:noWrap/>
            <w:vAlign w:val="center"/>
          </w:tcPr>
          <w:p w14:paraId="089A0F70"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92D050"/>
            <w:noWrap/>
            <w:vAlign w:val="center"/>
          </w:tcPr>
          <w:p w14:paraId="194EEDE4"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04091222"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shd w:val="clear" w:color="auto" w:fill="92D050"/>
            <w:vAlign w:val="center"/>
          </w:tcPr>
          <w:p w14:paraId="6B094EB5" w14:textId="77777777" w:rsidR="00DA2911" w:rsidRDefault="00DA291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886141" w:rsidRPr="00C61187" w14:paraId="687578A8" w14:textId="77777777" w:rsidTr="00F822A7">
        <w:trPr>
          <w:trHeight w:val="284"/>
          <w:tblHeader w:val="0"/>
        </w:trPr>
        <w:tc>
          <w:tcPr>
            <w:tcW w:w="1054" w:type="pct"/>
            <w:vMerge w:val="restart"/>
            <w:tcBorders>
              <w:top w:val="single" w:sz="8" w:space="0" w:color="auto"/>
            </w:tcBorders>
            <w:vAlign w:val="center"/>
          </w:tcPr>
          <w:p w14:paraId="059128CB"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Ending Violence Against Women in Cambodia</w:t>
            </w:r>
          </w:p>
        </w:tc>
        <w:tc>
          <w:tcPr>
            <w:tcW w:w="314" w:type="pct"/>
            <w:vMerge w:val="restart"/>
            <w:tcBorders>
              <w:top w:val="single" w:sz="8" w:space="0" w:color="auto"/>
            </w:tcBorders>
            <w:vAlign w:val="center"/>
          </w:tcPr>
          <w:p w14:paraId="2CD6A55A"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$15 m</w:t>
            </w:r>
          </w:p>
          <w:p w14:paraId="41922A9D"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2012-18</w:t>
            </w:r>
          </w:p>
        </w:tc>
        <w:tc>
          <w:tcPr>
            <w:tcW w:w="441" w:type="pct"/>
            <w:vMerge w:val="restart"/>
            <w:tcBorders>
              <w:top w:val="single" w:sz="8" w:space="0" w:color="auto"/>
            </w:tcBorders>
            <w:vAlign w:val="center"/>
          </w:tcPr>
          <w:p w14:paraId="1F79965D"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168A32A6"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4EC5BB02"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12A4181E"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3C3DE8F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FFFF00"/>
            <w:noWrap/>
            <w:vAlign w:val="center"/>
          </w:tcPr>
          <w:p w14:paraId="2E1E990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66E0965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92D050"/>
            <w:noWrap/>
            <w:vAlign w:val="center"/>
          </w:tcPr>
          <w:p w14:paraId="50F3DB9F"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tcBorders>
              <w:top w:val="single" w:sz="8" w:space="0" w:color="auto"/>
            </w:tcBorders>
            <w:shd w:val="clear" w:color="auto" w:fill="92D050"/>
            <w:vAlign w:val="center"/>
          </w:tcPr>
          <w:p w14:paraId="363D4B10"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886141" w:rsidRPr="00C61187" w14:paraId="6E95D5CF"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7DA2A8AF" w14:textId="77777777" w:rsidR="00886141" w:rsidRDefault="00886141" w:rsidP="00DA2911">
            <w:pPr>
              <w:spacing w:before="0" w:after="0" w:line="240" w:lineRule="auto"/>
              <w:rPr>
                <w:rFonts w:ascii="Calibri Light" w:hAnsi="Calibri Light" w:cs="Arial"/>
                <w:color w:val="495965"/>
                <w:szCs w:val="17"/>
              </w:rPr>
            </w:pPr>
          </w:p>
        </w:tc>
        <w:tc>
          <w:tcPr>
            <w:tcW w:w="314" w:type="pct"/>
            <w:vMerge/>
            <w:vAlign w:val="center"/>
          </w:tcPr>
          <w:p w14:paraId="642E31BD" w14:textId="77777777" w:rsidR="00886141" w:rsidRDefault="00886141" w:rsidP="00DA2911">
            <w:pPr>
              <w:spacing w:before="0" w:after="0" w:line="240" w:lineRule="auto"/>
              <w:rPr>
                <w:rFonts w:ascii="Calibri Light" w:hAnsi="Calibri Light" w:cs="Arial"/>
                <w:color w:val="495965"/>
                <w:szCs w:val="17"/>
              </w:rPr>
            </w:pPr>
          </w:p>
        </w:tc>
        <w:tc>
          <w:tcPr>
            <w:tcW w:w="441" w:type="pct"/>
            <w:vMerge/>
            <w:vAlign w:val="center"/>
          </w:tcPr>
          <w:p w14:paraId="5B371CB7" w14:textId="77777777" w:rsidR="00886141" w:rsidRDefault="00886141" w:rsidP="00DA2911">
            <w:pPr>
              <w:spacing w:before="0" w:after="0" w:line="240" w:lineRule="auto"/>
              <w:rPr>
                <w:rFonts w:ascii="Calibri Light" w:hAnsi="Calibri Light" w:cs="Arial"/>
                <w:color w:val="495965"/>
                <w:szCs w:val="17"/>
              </w:rPr>
            </w:pPr>
          </w:p>
        </w:tc>
        <w:tc>
          <w:tcPr>
            <w:tcW w:w="443" w:type="pct"/>
            <w:shd w:val="clear" w:color="auto" w:fill="92D050"/>
            <w:noWrap/>
            <w:vAlign w:val="center"/>
          </w:tcPr>
          <w:p w14:paraId="6C55786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92D050"/>
            <w:noWrap/>
            <w:vAlign w:val="center"/>
          </w:tcPr>
          <w:p w14:paraId="25F85AFD"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FFFF00"/>
            <w:noWrap/>
            <w:vAlign w:val="center"/>
          </w:tcPr>
          <w:p w14:paraId="43C75A7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92D050"/>
            <w:noWrap/>
            <w:vAlign w:val="center"/>
          </w:tcPr>
          <w:p w14:paraId="51E6C77F"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2" w:type="pct"/>
            <w:shd w:val="clear" w:color="auto" w:fill="FFFF00"/>
            <w:noWrap/>
            <w:vAlign w:val="center"/>
          </w:tcPr>
          <w:p w14:paraId="1D80306D"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92D050"/>
            <w:noWrap/>
            <w:vAlign w:val="center"/>
          </w:tcPr>
          <w:p w14:paraId="59CE7E8B"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shd w:val="clear" w:color="auto" w:fill="92D050"/>
            <w:vAlign w:val="center"/>
          </w:tcPr>
          <w:p w14:paraId="61D97622"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886141" w:rsidRPr="00C61187" w14:paraId="49120D19" w14:textId="77777777" w:rsidTr="00F822A7">
        <w:trPr>
          <w:trHeight w:val="284"/>
          <w:tblHeader w:val="0"/>
        </w:trPr>
        <w:tc>
          <w:tcPr>
            <w:tcW w:w="1054" w:type="pct"/>
            <w:vMerge w:val="restart"/>
            <w:tcBorders>
              <w:top w:val="single" w:sz="8" w:space="0" w:color="auto"/>
            </w:tcBorders>
            <w:vAlign w:val="center"/>
          </w:tcPr>
          <w:p w14:paraId="05384FC7"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Cambodia Communication Assistance Project Phase 2</w:t>
            </w:r>
          </w:p>
        </w:tc>
        <w:tc>
          <w:tcPr>
            <w:tcW w:w="314" w:type="pct"/>
            <w:vMerge w:val="restart"/>
            <w:tcBorders>
              <w:top w:val="single" w:sz="8" w:space="0" w:color="auto"/>
            </w:tcBorders>
            <w:vAlign w:val="center"/>
          </w:tcPr>
          <w:p w14:paraId="5C593638"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$3.5 m</w:t>
            </w:r>
          </w:p>
          <w:p w14:paraId="6581F3A2"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2015-18</w:t>
            </w:r>
          </w:p>
        </w:tc>
        <w:tc>
          <w:tcPr>
            <w:tcW w:w="441" w:type="pct"/>
            <w:vMerge w:val="restart"/>
            <w:tcBorders>
              <w:top w:val="single" w:sz="8" w:space="0" w:color="auto"/>
            </w:tcBorders>
            <w:vAlign w:val="center"/>
          </w:tcPr>
          <w:p w14:paraId="456C8044"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6E81988D"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7CC64FFB"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5EF74CA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92D050"/>
            <w:noWrap/>
            <w:vAlign w:val="center"/>
          </w:tcPr>
          <w:p w14:paraId="5043FE2D"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5B7AF2F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16C6E54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92D050"/>
            <w:noWrap/>
            <w:vAlign w:val="center"/>
          </w:tcPr>
          <w:p w14:paraId="67570446"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tcBorders>
              <w:top w:val="single" w:sz="8" w:space="0" w:color="auto"/>
            </w:tcBorders>
            <w:shd w:val="clear" w:color="auto" w:fill="92D050"/>
            <w:vAlign w:val="center"/>
          </w:tcPr>
          <w:p w14:paraId="104BDAB5"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886141" w:rsidRPr="00C61187" w14:paraId="0E4D8EEF"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548D4C86" w14:textId="77777777" w:rsidR="00886141" w:rsidRDefault="00886141" w:rsidP="00DA2911">
            <w:pPr>
              <w:spacing w:before="0" w:after="0" w:line="240" w:lineRule="auto"/>
              <w:rPr>
                <w:rFonts w:ascii="Calibri Light" w:hAnsi="Calibri Light" w:cs="Arial"/>
                <w:color w:val="495965"/>
                <w:szCs w:val="17"/>
              </w:rPr>
            </w:pPr>
          </w:p>
        </w:tc>
        <w:tc>
          <w:tcPr>
            <w:tcW w:w="314" w:type="pct"/>
            <w:vMerge/>
            <w:vAlign w:val="center"/>
          </w:tcPr>
          <w:p w14:paraId="4BBDA5B8" w14:textId="77777777" w:rsidR="00886141" w:rsidRDefault="00886141" w:rsidP="00DA2911">
            <w:pPr>
              <w:spacing w:before="0" w:after="0" w:line="240" w:lineRule="auto"/>
              <w:rPr>
                <w:rFonts w:ascii="Calibri Light" w:hAnsi="Calibri Light" w:cs="Arial"/>
                <w:color w:val="495965"/>
                <w:szCs w:val="17"/>
              </w:rPr>
            </w:pPr>
          </w:p>
        </w:tc>
        <w:tc>
          <w:tcPr>
            <w:tcW w:w="441" w:type="pct"/>
            <w:vMerge/>
            <w:vAlign w:val="center"/>
          </w:tcPr>
          <w:p w14:paraId="458B530B" w14:textId="77777777" w:rsidR="00886141" w:rsidRDefault="00886141" w:rsidP="00DA2911">
            <w:pPr>
              <w:spacing w:before="0" w:after="0" w:line="240" w:lineRule="auto"/>
              <w:rPr>
                <w:rFonts w:ascii="Calibri Light" w:hAnsi="Calibri Light" w:cs="Arial"/>
                <w:color w:val="495965"/>
                <w:szCs w:val="17"/>
              </w:rPr>
            </w:pPr>
          </w:p>
        </w:tc>
        <w:tc>
          <w:tcPr>
            <w:tcW w:w="443" w:type="pct"/>
            <w:shd w:val="clear" w:color="auto" w:fill="F2F2F2" w:themeFill="background1" w:themeFillShade="F2"/>
            <w:noWrap/>
            <w:vAlign w:val="center"/>
          </w:tcPr>
          <w:p w14:paraId="0CFDA69D"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79ED91CC"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42" w:type="pct"/>
            <w:shd w:val="clear" w:color="auto" w:fill="F2F2F2" w:themeFill="background1" w:themeFillShade="F2"/>
            <w:noWrap/>
            <w:vAlign w:val="center"/>
          </w:tcPr>
          <w:p w14:paraId="29FF4B3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41F5BD52"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42" w:type="pct"/>
            <w:shd w:val="clear" w:color="auto" w:fill="F2F2F2" w:themeFill="background1" w:themeFillShade="F2"/>
            <w:noWrap/>
            <w:vAlign w:val="center"/>
          </w:tcPr>
          <w:p w14:paraId="0B6CD70C"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69829C2E"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7" w:type="pct"/>
            <w:shd w:val="clear" w:color="auto" w:fill="F2F2F2" w:themeFill="background1" w:themeFillShade="F2"/>
            <w:vAlign w:val="center"/>
          </w:tcPr>
          <w:p w14:paraId="52AE9316"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r>
      <w:tr w:rsidR="00886141" w:rsidRPr="00C61187" w14:paraId="53D04FCF" w14:textId="77777777" w:rsidTr="00F822A7">
        <w:trPr>
          <w:trHeight w:val="284"/>
          <w:tblHeader w:val="0"/>
        </w:trPr>
        <w:tc>
          <w:tcPr>
            <w:tcW w:w="1054" w:type="pct"/>
            <w:vMerge w:val="restart"/>
            <w:tcBorders>
              <w:top w:val="single" w:sz="8" w:space="0" w:color="auto"/>
            </w:tcBorders>
            <w:vAlign w:val="center"/>
          </w:tcPr>
          <w:p w14:paraId="5071156E"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Cambodia Public Financial Management</w:t>
            </w:r>
          </w:p>
        </w:tc>
        <w:tc>
          <w:tcPr>
            <w:tcW w:w="314" w:type="pct"/>
            <w:vMerge w:val="restart"/>
            <w:tcBorders>
              <w:top w:val="single" w:sz="8" w:space="0" w:color="auto"/>
            </w:tcBorders>
            <w:vAlign w:val="center"/>
          </w:tcPr>
          <w:p w14:paraId="1D4FF60E"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$3.3 m</w:t>
            </w:r>
          </w:p>
          <w:p w14:paraId="1F9F2971"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2004-16</w:t>
            </w:r>
          </w:p>
        </w:tc>
        <w:tc>
          <w:tcPr>
            <w:tcW w:w="441" w:type="pct"/>
            <w:vMerge w:val="restart"/>
            <w:tcBorders>
              <w:top w:val="single" w:sz="8" w:space="0" w:color="auto"/>
            </w:tcBorders>
            <w:vAlign w:val="center"/>
          </w:tcPr>
          <w:p w14:paraId="380589ED"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47891394"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92D050"/>
            <w:noWrap/>
            <w:vAlign w:val="center"/>
          </w:tcPr>
          <w:p w14:paraId="70C0DD5E"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tcBorders>
              <w:top w:val="single" w:sz="8" w:space="0" w:color="auto"/>
            </w:tcBorders>
            <w:shd w:val="clear" w:color="auto" w:fill="FFFF00"/>
            <w:noWrap/>
            <w:vAlign w:val="center"/>
          </w:tcPr>
          <w:p w14:paraId="31F95FB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46DA30B8"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FFFF00"/>
            <w:noWrap/>
            <w:vAlign w:val="center"/>
          </w:tcPr>
          <w:p w14:paraId="3B8BEDFE"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FFFF00"/>
            <w:noWrap/>
            <w:vAlign w:val="center"/>
          </w:tcPr>
          <w:p w14:paraId="0235F960"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DF8C4D"/>
            <w:noWrap/>
            <w:vAlign w:val="center"/>
          </w:tcPr>
          <w:p w14:paraId="6BAC9204"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7" w:type="pct"/>
            <w:tcBorders>
              <w:top w:val="single" w:sz="8" w:space="0" w:color="auto"/>
            </w:tcBorders>
            <w:shd w:val="clear" w:color="auto" w:fill="FFFF00"/>
            <w:vAlign w:val="center"/>
          </w:tcPr>
          <w:p w14:paraId="566AA1DC"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886141" w:rsidRPr="00C61187" w14:paraId="25BCD716"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79929EB3" w14:textId="77777777" w:rsidR="00886141" w:rsidRDefault="00886141" w:rsidP="00DA2911">
            <w:pPr>
              <w:spacing w:before="0" w:after="0" w:line="240" w:lineRule="auto"/>
              <w:rPr>
                <w:rFonts w:ascii="Calibri Light" w:hAnsi="Calibri Light" w:cs="Arial"/>
                <w:color w:val="495965"/>
                <w:szCs w:val="17"/>
              </w:rPr>
            </w:pPr>
          </w:p>
        </w:tc>
        <w:tc>
          <w:tcPr>
            <w:tcW w:w="314" w:type="pct"/>
            <w:vMerge/>
            <w:vAlign w:val="center"/>
          </w:tcPr>
          <w:p w14:paraId="08DF2574" w14:textId="77777777" w:rsidR="00886141" w:rsidRDefault="00886141" w:rsidP="00DA2911">
            <w:pPr>
              <w:spacing w:before="0" w:after="0" w:line="240" w:lineRule="auto"/>
              <w:rPr>
                <w:rFonts w:ascii="Calibri Light" w:hAnsi="Calibri Light" w:cs="Arial"/>
                <w:color w:val="495965"/>
                <w:szCs w:val="17"/>
              </w:rPr>
            </w:pPr>
          </w:p>
        </w:tc>
        <w:tc>
          <w:tcPr>
            <w:tcW w:w="441" w:type="pct"/>
            <w:vMerge/>
            <w:vAlign w:val="center"/>
          </w:tcPr>
          <w:p w14:paraId="73AC8052" w14:textId="77777777" w:rsidR="00886141" w:rsidRDefault="00886141" w:rsidP="00DA2911">
            <w:pPr>
              <w:spacing w:before="0" w:after="0" w:line="240" w:lineRule="auto"/>
              <w:rPr>
                <w:rFonts w:ascii="Calibri Light" w:hAnsi="Calibri Light" w:cs="Arial"/>
                <w:color w:val="495965"/>
                <w:szCs w:val="17"/>
              </w:rPr>
            </w:pPr>
          </w:p>
        </w:tc>
        <w:tc>
          <w:tcPr>
            <w:tcW w:w="443" w:type="pct"/>
            <w:shd w:val="clear" w:color="auto" w:fill="92D050"/>
            <w:noWrap/>
            <w:vAlign w:val="center"/>
          </w:tcPr>
          <w:p w14:paraId="3BC3B7EF"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FFFF00"/>
            <w:noWrap/>
            <w:vAlign w:val="center"/>
          </w:tcPr>
          <w:p w14:paraId="5E74264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shd w:val="clear" w:color="auto" w:fill="FFFF00"/>
            <w:noWrap/>
            <w:vAlign w:val="center"/>
          </w:tcPr>
          <w:p w14:paraId="28ECBB66"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FFFF00"/>
            <w:noWrap/>
            <w:vAlign w:val="center"/>
          </w:tcPr>
          <w:p w14:paraId="1CDDF07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shd w:val="clear" w:color="auto" w:fill="FFFF00"/>
            <w:noWrap/>
            <w:vAlign w:val="center"/>
          </w:tcPr>
          <w:p w14:paraId="095F498C"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FFFF00"/>
            <w:noWrap/>
            <w:vAlign w:val="center"/>
          </w:tcPr>
          <w:p w14:paraId="27952F7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shd w:val="clear" w:color="auto" w:fill="FFFF00"/>
            <w:vAlign w:val="center"/>
          </w:tcPr>
          <w:p w14:paraId="2149C2A4"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886141" w:rsidRPr="00C61187" w14:paraId="4A1BC267" w14:textId="77777777" w:rsidTr="00F822A7">
        <w:trPr>
          <w:trHeight w:val="284"/>
          <w:tblHeader w:val="0"/>
        </w:trPr>
        <w:tc>
          <w:tcPr>
            <w:tcW w:w="1054" w:type="pct"/>
            <w:vMerge w:val="restart"/>
            <w:tcBorders>
              <w:top w:val="single" w:sz="8" w:space="0" w:color="auto"/>
            </w:tcBorders>
            <w:vAlign w:val="center"/>
          </w:tcPr>
          <w:p w14:paraId="589421BC"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Disability Rights Initiative Cambodia</w:t>
            </w:r>
          </w:p>
        </w:tc>
        <w:tc>
          <w:tcPr>
            <w:tcW w:w="314" w:type="pct"/>
            <w:vMerge w:val="restart"/>
            <w:tcBorders>
              <w:top w:val="single" w:sz="8" w:space="0" w:color="auto"/>
            </w:tcBorders>
            <w:vAlign w:val="center"/>
          </w:tcPr>
          <w:p w14:paraId="45DF12B9"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10.4 m</w:t>
            </w:r>
          </w:p>
          <w:p w14:paraId="19DE0C7D"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2013-19</w:t>
            </w:r>
          </w:p>
        </w:tc>
        <w:tc>
          <w:tcPr>
            <w:tcW w:w="441" w:type="pct"/>
            <w:vMerge w:val="restart"/>
            <w:tcBorders>
              <w:top w:val="single" w:sz="8" w:space="0" w:color="auto"/>
            </w:tcBorders>
            <w:vAlign w:val="center"/>
          </w:tcPr>
          <w:p w14:paraId="7691E39C"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55D5CD75"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FFFF00"/>
            <w:noWrap/>
            <w:vAlign w:val="center"/>
          </w:tcPr>
          <w:p w14:paraId="0637F007"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tcBorders>
              <w:top w:val="single" w:sz="8" w:space="0" w:color="auto"/>
            </w:tcBorders>
            <w:shd w:val="clear" w:color="auto" w:fill="FFFF00"/>
            <w:noWrap/>
            <w:vAlign w:val="center"/>
          </w:tcPr>
          <w:p w14:paraId="2AFFECF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DF8C4D"/>
            <w:noWrap/>
            <w:vAlign w:val="center"/>
          </w:tcPr>
          <w:p w14:paraId="3731E6CB"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9" w:type="pct"/>
            <w:tcBorders>
              <w:top w:val="single" w:sz="8" w:space="0" w:color="auto"/>
            </w:tcBorders>
            <w:shd w:val="clear" w:color="auto" w:fill="FFFF00"/>
            <w:noWrap/>
            <w:vAlign w:val="center"/>
          </w:tcPr>
          <w:p w14:paraId="106FBC49"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tcBorders>
              <w:top w:val="single" w:sz="8" w:space="0" w:color="auto"/>
            </w:tcBorders>
            <w:shd w:val="clear" w:color="auto" w:fill="DF8C4D"/>
            <w:noWrap/>
            <w:vAlign w:val="center"/>
          </w:tcPr>
          <w:p w14:paraId="2996FB6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9" w:type="pct"/>
            <w:tcBorders>
              <w:top w:val="single" w:sz="8" w:space="0" w:color="auto"/>
            </w:tcBorders>
            <w:shd w:val="clear" w:color="auto" w:fill="FFFF00"/>
            <w:noWrap/>
            <w:vAlign w:val="center"/>
          </w:tcPr>
          <w:p w14:paraId="2036C7A7"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7" w:type="pct"/>
            <w:tcBorders>
              <w:top w:val="single" w:sz="8" w:space="0" w:color="auto"/>
            </w:tcBorders>
            <w:shd w:val="clear" w:color="auto" w:fill="FFFF00"/>
            <w:vAlign w:val="center"/>
          </w:tcPr>
          <w:p w14:paraId="70961E78"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886141" w:rsidRPr="00C61187" w14:paraId="55A7521A"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25FDB6F8" w14:textId="77777777" w:rsidR="00886141" w:rsidRDefault="00886141" w:rsidP="00DA2911">
            <w:pPr>
              <w:spacing w:before="0" w:after="0" w:line="240" w:lineRule="auto"/>
              <w:rPr>
                <w:rFonts w:ascii="Calibri Light" w:hAnsi="Calibri Light" w:cs="Arial"/>
                <w:color w:val="495965"/>
                <w:szCs w:val="17"/>
              </w:rPr>
            </w:pPr>
          </w:p>
        </w:tc>
        <w:tc>
          <w:tcPr>
            <w:tcW w:w="314" w:type="pct"/>
            <w:vMerge/>
            <w:vAlign w:val="center"/>
          </w:tcPr>
          <w:p w14:paraId="116121DC" w14:textId="77777777" w:rsidR="00886141" w:rsidRDefault="00886141" w:rsidP="00DA2911">
            <w:pPr>
              <w:spacing w:before="0" w:after="0" w:line="240" w:lineRule="auto"/>
              <w:rPr>
                <w:rFonts w:ascii="Calibri Light" w:hAnsi="Calibri Light" w:cs="Arial"/>
                <w:color w:val="495965"/>
                <w:szCs w:val="17"/>
              </w:rPr>
            </w:pPr>
          </w:p>
        </w:tc>
        <w:tc>
          <w:tcPr>
            <w:tcW w:w="441" w:type="pct"/>
            <w:vMerge/>
            <w:vAlign w:val="center"/>
          </w:tcPr>
          <w:p w14:paraId="565CBFA0" w14:textId="77777777" w:rsidR="00886141" w:rsidRDefault="00886141" w:rsidP="00DA2911">
            <w:pPr>
              <w:spacing w:before="0" w:after="0" w:line="240" w:lineRule="auto"/>
              <w:rPr>
                <w:rFonts w:ascii="Calibri Light" w:hAnsi="Calibri Light" w:cs="Arial"/>
                <w:color w:val="495965"/>
                <w:szCs w:val="17"/>
              </w:rPr>
            </w:pPr>
          </w:p>
        </w:tc>
        <w:tc>
          <w:tcPr>
            <w:tcW w:w="443" w:type="pct"/>
            <w:shd w:val="clear" w:color="auto" w:fill="92D050"/>
            <w:noWrap/>
            <w:vAlign w:val="center"/>
          </w:tcPr>
          <w:p w14:paraId="3F303AA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9" w:type="pct"/>
            <w:shd w:val="clear" w:color="auto" w:fill="FFFF00"/>
            <w:noWrap/>
            <w:vAlign w:val="center"/>
          </w:tcPr>
          <w:p w14:paraId="38464D1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shd w:val="clear" w:color="auto" w:fill="FFFF00"/>
            <w:noWrap/>
            <w:vAlign w:val="center"/>
          </w:tcPr>
          <w:p w14:paraId="7C075472"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FFFF00"/>
            <w:noWrap/>
            <w:vAlign w:val="center"/>
          </w:tcPr>
          <w:p w14:paraId="403FA05C"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2" w:type="pct"/>
            <w:shd w:val="clear" w:color="auto" w:fill="FFFF00"/>
            <w:noWrap/>
            <w:vAlign w:val="center"/>
          </w:tcPr>
          <w:p w14:paraId="63F7C88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9" w:type="pct"/>
            <w:shd w:val="clear" w:color="auto" w:fill="92D050"/>
            <w:noWrap/>
            <w:vAlign w:val="center"/>
          </w:tcPr>
          <w:p w14:paraId="33D3E9F6"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7" w:type="pct"/>
            <w:shd w:val="clear" w:color="auto" w:fill="FF0000"/>
            <w:vAlign w:val="center"/>
          </w:tcPr>
          <w:p w14:paraId="63C347D3"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2</w:t>
            </w:r>
          </w:p>
        </w:tc>
      </w:tr>
      <w:tr w:rsidR="00886141" w:rsidRPr="00C61187" w14:paraId="2D45F7D1" w14:textId="77777777" w:rsidTr="00F822A7">
        <w:trPr>
          <w:trHeight w:val="284"/>
          <w:tblHeader w:val="0"/>
        </w:trPr>
        <w:tc>
          <w:tcPr>
            <w:tcW w:w="1054" w:type="pct"/>
            <w:vMerge w:val="restart"/>
            <w:tcBorders>
              <w:top w:val="single" w:sz="8" w:space="0" w:color="auto"/>
            </w:tcBorders>
            <w:vAlign w:val="center"/>
          </w:tcPr>
          <w:p w14:paraId="0F05913B"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Clearing for Results Phase III</w:t>
            </w:r>
          </w:p>
        </w:tc>
        <w:tc>
          <w:tcPr>
            <w:tcW w:w="314" w:type="pct"/>
            <w:tcBorders>
              <w:top w:val="single" w:sz="8" w:space="0" w:color="auto"/>
            </w:tcBorders>
            <w:vAlign w:val="center"/>
          </w:tcPr>
          <w:p w14:paraId="63A1397B"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 </w:t>
            </w:r>
          </w:p>
        </w:tc>
        <w:tc>
          <w:tcPr>
            <w:tcW w:w="441" w:type="pct"/>
            <w:vMerge w:val="restart"/>
            <w:tcBorders>
              <w:top w:val="single" w:sz="8" w:space="0" w:color="auto"/>
            </w:tcBorders>
            <w:vAlign w:val="center"/>
          </w:tcPr>
          <w:p w14:paraId="3B27149A"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654E2784"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F2F2F2" w:themeFill="background1" w:themeFillShade="F2"/>
            <w:noWrap/>
            <w:vAlign w:val="center"/>
          </w:tcPr>
          <w:p w14:paraId="024EEF6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29435DAC"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tcBorders>
              <w:top w:val="single" w:sz="8" w:space="0" w:color="auto"/>
            </w:tcBorders>
            <w:shd w:val="clear" w:color="auto" w:fill="F2F2F2" w:themeFill="background1" w:themeFillShade="F2"/>
            <w:noWrap/>
            <w:vAlign w:val="center"/>
          </w:tcPr>
          <w:p w14:paraId="186D50C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34BFA83F"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tcBorders>
              <w:top w:val="single" w:sz="8" w:space="0" w:color="auto"/>
            </w:tcBorders>
            <w:shd w:val="clear" w:color="auto" w:fill="F2F2F2" w:themeFill="background1" w:themeFillShade="F2"/>
            <w:noWrap/>
            <w:vAlign w:val="center"/>
          </w:tcPr>
          <w:p w14:paraId="37A65234"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02AC5C27"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7" w:type="pct"/>
            <w:tcBorders>
              <w:top w:val="single" w:sz="8" w:space="0" w:color="auto"/>
            </w:tcBorders>
            <w:shd w:val="clear" w:color="auto" w:fill="F2F2F2" w:themeFill="background1" w:themeFillShade="F2"/>
            <w:vAlign w:val="center"/>
          </w:tcPr>
          <w:p w14:paraId="2957EDAE"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r w:rsidR="00886141" w:rsidRPr="00C61187" w14:paraId="09DDD8A3"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vAlign w:val="center"/>
          </w:tcPr>
          <w:p w14:paraId="7040E1F7" w14:textId="77777777" w:rsidR="00886141" w:rsidRDefault="00886141" w:rsidP="00DA2911">
            <w:pPr>
              <w:spacing w:before="0" w:after="0" w:line="240" w:lineRule="auto"/>
              <w:rPr>
                <w:rFonts w:ascii="Calibri Light" w:hAnsi="Calibri Light" w:cs="Arial"/>
                <w:color w:val="495965"/>
                <w:szCs w:val="17"/>
              </w:rPr>
            </w:pPr>
          </w:p>
        </w:tc>
        <w:tc>
          <w:tcPr>
            <w:tcW w:w="314" w:type="pct"/>
            <w:vAlign w:val="center"/>
          </w:tcPr>
          <w:p w14:paraId="0429C728"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 </w:t>
            </w:r>
          </w:p>
        </w:tc>
        <w:tc>
          <w:tcPr>
            <w:tcW w:w="441" w:type="pct"/>
            <w:vMerge/>
            <w:vAlign w:val="center"/>
          </w:tcPr>
          <w:p w14:paraId="51C9F7E9" w14:textId="77777777" w:rsidR="00886141" w:rsidRDefault="00886141" w:rsidP="00DA2911">
            <w:pPr>
              <w:spacing w:before="0" w:after="0" w:line="240" w:lineRule="auto"/>
              <w:rPr>
                <w:rFonts w:ascii="Calibri Light" w:hAnsi="Calibri Light" w:cs="Arial"/>
                <w:color w:val="495965"/>
                <w:szCs w:val="17"/>
              </w:rPr>
            </w:pPr>
          </w:p>
        </w:tc>
        <w:tc>
          <w:tcPr>
            <w:tcW w:w="443" w:type="pct"/>
            <w:shd w:val="clear" w:color="auto" w:fill="F2F2F2" w:themeFill="background1" w:themeFillShade="F2"/>
            <w:noWrap/>
            <w:vAlign w:val="center"/>
          </w:tcPr>
          <w:p w14:paraId="4C38903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31008CE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42" w:type="pct"/>
            <w:shd w:val="clear" w:color="auto" w:fill="F2F2F2" w:themeFill="background1" w:themeFillShade="F2"/>
            <w:noWrap/>
            <w:vAlign w:val="center"/>
          </w:tcPr>
          <w:p w14:paraId="7D296ED9"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398E763D"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42" w:type="pct"/>
            <w:shd w:val="clear" w:color="auto" w:fill="F2F2F2" w:themeFill="background1" w:themeFillShade="F2"/>
            <w:noWrap/>
            <w:vAlign w:val="center"/>
          </w:tcPr>
          <w:p w14:paraId="295AE24B"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9" w:type="pct"/>
            <w:shd w:val="clear" w:color="auto" w:fill="F2F2F2" w:themeFill="background1" w:themeFillShade="F2"/>
            <w:noWrap/>
            <w:vAlign w:val="center"/>
          </w:tcPr>
          <w:p w14:paraId="1EA832D0"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c>
          <w:tcPr>
            <w:tcW w:w="437" w:type="pct"/>
            <w:shd w:val="clear" w:color="auto" w:fill="F2F2F2" w:themeFill="background1" w:themeFillShade="F2"/>
            <w:vAlign w:val="center"/>
          </w:tcPr>
          <w:p w14:paraId="35B207B1"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n/a</w:t>
            </w:r>
          </w:p>
        </w:tc>
      </w:tr>
      <w:tr w:rsidR="00886141" w:rsidRPr="00C61187" w14:paraId="7590AD21" w14:textId="77777777" w:rsidTr="00F822A7">
        <w:trPr>
          <w:trHeight w:val="284"/>
          <w:tblHeader w:val="0"/>
        </w:trPr>
        <w:tc>
          <w:tcPr>
            <w:tcW w:w="1054" w:type="pct"/>
            <w:vMerge w:val="restart"/>
            <w:tcBorders>
              <w:top w:val="single" w:sz="8" w:space="0" w:color="auto"/>
            </w:tcBorders>
            <w:vAlign w:val="center"/>
          </w:tcPr>
          <w:p w14:paraId="1ECC95B2"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Support to Khmer Rouge Tribunal</w:t>
            </w:r>
          </w:p>
        </w:tc>
        <w:tc>
          <w:tcPr>
            <w:tcW w:w="314" w:type="pct"/>
            <w:tcBorders>
              <w:top w:val="single" w:sz="8" w:space="0" w:color="auto"/>
            </w:tcBorders>
            <w:vAlign w:val="center"/>
          </w:tcPr>
          <w:p w14:paraId="29979526"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 </w:t>
            </w:r>
          </w:p>
        </w:tc>
        <w:tc>
          <w:tcPr>
            <w:tcW w:w="441" w:type="pct"/>
            <w:vMerge w:val="restart"/>
            <w:tcBorders>
              <w:top w:val="single" w:sz="8" w:space="0" w:color="auto"/>
            </w:tcBorders>
            <w:vAlign w:val="center"/>
          </w:tcPr>
          <w:p w14:paraId="37419139"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696CF6F2" w14:textId="77777777" w:rsidR="00886141" w:rsidRDefault="00886141" w:rsidP="00DA2911">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43" w:type="pct"/>
            <w:tcBorders>
              <w:top w:val="single" w:sz="8" w:space="0" w:color="auto"/>
            </w:tcBorders>
            <w:shd w:val="clear" w:color="auto" w:fill="F2F2F2" w:themeFill="background1" w:themeFillShade="F2"/>
            <w:noWrap/>
            <w:vAlign w:val="center"/>
          </w:tcPr>
          <w:p w14:paraId="144A8772"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0A3AD89D"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tcBorders>
              <w:top w:val="single" w:sz="8" w:space="0" w:color="auto"/>
            </w:tcBorders>
            <w:shd w:val="clear" w:color="auto" w:fill="F2F2F2" w:themeFill="background1" w:themeFillShade="F2"/>
            <w:noWrap/>
            <w:vAlign w:val="center"/>
          </w:tcPr>
          <w:p w14:paraId="0E94BB5B"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7AE44DFF"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tcBorders>
              <w:top w:val="single" w:sz="8" w:space="0" w:color="auto"/>
            </w:tcBorders>
            <w:shd w:val="clear" w:color="auto" w:fill="F2F2F2" w:themeFill="background1" w:themeFillShade="F2"/>
            <w:noWrap/>
            <w:vAlign w:val="center"/>
          </w:tcPr>
          <w:p w14:paraId="23913BD4"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tcBorders>
              <w:top w:val="single" w:sz="8" w:space="0" w:color="auto"/>
            </w:tcBorders>
            <w:shd w:val="clear" w:color="auto" w:fill="F2F2F2" w:themeFill="background1" w:themeFillShade="F2"/>
            <w:noWrap/>
            <w:vAlign w:val="center"/>
          </w:tcPr>
          <w:p w14:paraId="15B1082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7" w:type="pct"/>
            <w:tcBorders>
              <w:top w:val="single" w:sz="8" w:space="0" w:color="auto"/>
            </w:tcBorders>
            <w:shd w:val="clear" w:color="auto" w:fill="F2F2F2" w:themeFill="background1" w:themeFillShade="F2"/>
            <w:vAlign w:val="center"/>
          </w:tcPr>
          <w:p w14:paraId="4392E60F"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r w:rsidR="00886141" w:rsidRPr="00C61187" w14:paraId="1FF3999A" w14:textId="77777777" w:rsidTr="00F822A7">
        <w:trPr>
          <w:cnfStyle w:val="000000010000" w:firstRow="0" w:lastRow="0" w:firstColumn="0" w:lastColumn="0" w:oddVBand="0" w:evenVBand="0" w:oddHBand="0" w:evenHBand="1" w:firstRowFirstColumn="0" w:firstRowLastColumn="0" w:lastRowFirstColumn="0" w:lastRowLastColumn="0"/>
          <w:trHeight w:val="284"/>
          <w:tblHeader w:val="0"/>
        </w:trPr>
        <w:tc>
          <w:tcPr>
            <w:tcW w:w="1054" w:type="pct"/>
            <w:vMerge/>
          </w:tcPr>
          <w:p w14:paraId="4A4EC978" w14:textId="77777777" w:rsidR="00886141" w:rsidRPr="00880004" w:rsidRDefault="00886141" w:rsidP="00DA2911">
            <w:pPr>
              <w:keepLines/>
              <w:spacing w:before="0" w:after="0" w:line="240" w:lineRule="auto"/>
              <w:rPr>
                <w:rFonts w:eastAsia="Times New Roman"/>
                <w:iCs/>
                <w:szCs w:val="17"/>
              </w:rPr>
            </w:pPr>
          </w:p>
        </w:tc>
        <w:tc>
          <w:tcPr>
            <w:tcW w:w="314" w:type="pct"/>
          </w:tcPr>
          <w:p w14:paraId="4B93CB72" w14:textId="77777777" w:rsidR="00886141" w:rsidRPr="00880004" w:rsidRDefault="00886141" w:rsidP="00DA2911">
            <w:pPr>
              <w:keepLines/>
              <w:spacing w:before="0" w:after="0" w:line="240" w:lineRule="auto"/>
              <w:rPr>
                <w:rFonts w:eastAsia="Times New Roman"/>
                <w:iCs/>
                <w:szCs w:val="17"/>
              </w:rPr>
            </w:pPr>
          </w:p>
        </w:tc>
        <w:tc>
          <w:tcPr>
            <w:tcW w:w="441" w:type="pct"/>
            <w:vMerge/>
            <w:vAlign w:val="center"/>
          </w:tcPr>
          <w:p w14:paraId="7FF0BFDC" w14:textId="77777777" w:rsidR="00886141" w:rsidRDefault="00886141" w:rsidP="00DA2911">
            <w:pPr>
              <w:spacing w:before="0" w:after="0" w:line="240" w:lineRule="auto"/>
              <w:rPr>
                <w:rFonts w:ascii="Calibri Light" w:hAnsi="Calibri Light" w:cs="Arial"/>
                <w:color w:val="495965"/>
                <w:szCs w:val="17"/>
              </w:rPr>
            </w:pPr>
          </w:p>
        </w:tc>
        <w:tc>
          <w:tcPr>
            <w:tcW w:w="443" w:type="pct"/>
            <w:shd w:val="clear" w:color="auto" w:fill="F2F2F2" w:themeFill="background1" w:themeFillShade="F2"/>
            <w:noWrap/>
            <w:vAlign w:val="center"/>
          </w:tcPr>
          <w:p w14:paraId="51FD46E5"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shd w:val="clear" w:color="auto" w:fill="F2F2F2" w:themeFill="background1" w:themeFillShade="F2"/>
            <w:noWrap/>
            <w:vAlign w:val="center"/>
          </w:tcPr>
          <w:p w14:paraId="7C958F49"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shd w:val="clear" w:color="auto" w:fill="F2F2F2" w:themeFill="background1" w:themeFillShade="F2"/>
            <w:noWrap/>
            <w:vAlign w:val="center"/>
          </w:tcPr>
          <w:p w14:paraId="10A6EA65"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shd w:val="clear" w:color="auto" w:fill="F2F2F2" w:themeFill="background1" w:themeFillShade="F2"/>
            <w:noWrap/>
            <w:vAlign w:val="center"/>
          </w:tcPr>
          <w:p w14:paraId="6E7AD65E"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2" w:type="pct"/>
            <w:shd w:val="clear" w:color="auto" w:fill="F2F2F2" w:themeFill="background1" w:themeFillShade="F2"/>
            <w:noWrap/>
            <w:vAlign w:val="center"/>
          </w:tcPr>
          <w:p w14:paraId="797EBE65"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9" w:type="pct"/>
            <w:shd w:val="clear" w:color="auto" w:fill="F2F2F2" w:themeFill="background1" w:themeFillShade="F2"/>
            <w:noWrap/>
            <w:vAlign w:val="center"/>
          </w:tcPr>
          <w:p w14:paraId="0E5B186A"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7" w:type="pct"/>
            <w:shd w:val="clear" w:color="auto" w:fill="F2F2F2" w:themeFill="background1" w:themeFillShade="F2"/>
            <w:vAlign w:val="center"/>
          </w:tcPr>
          <w:p w14:paraId="57C44764" w14:textId="77777777" w:rsidR="00886141" w:rsidRDefault="00886141" w:rsidP="00DA2911">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bl>
    <w:p w14:paraId="5F586D5A" w14:textId="77777777" w:rsidR="00400B0F" w:rsidRPr="00C61187" w:rsidRDefault="00400B0F" w:rsidP="00400B0F">
      <w:pPr>
        <w:rPr>
          <w:iCs/>
        </w:rPr>
      </w:pPr>
    </w:p>
    <w:p w14:paraId="5E680FAD" w14:textId="77777777" w:rsidR="00886141" w:rsidRDefault="0088614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592E54F6" w14:textId="7093BD4F"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r w:rsidRPr="00C61187">
        <w:rPr>
          <w:rFonts w:ascii="Helvetica" w:eastAsia="Times New Roman" w:hAnsi="Helvetica" w:cs="Arial"/>
          <w:b/>
          <w:color w:val="124486"/>
          <w:kern w:val="28"/>
          <w:lang w:eastAsia="zh-CN"/>
        </w:rPr>
        <w:t xml:space="preserve"> </w:t>
      </w:r>
    </w:p>
    <w:p w14:paraId="617E3788" w14:textId="77777777" w:rsidR="00400B0F" w:rsidRPr="00C61187" w:rsidRDefault="00400B0F" w:rsidP="00784031">
      <w:r w:rsidRPr="00C61187">
        <w:t>Final AQCs assess performance over the lifetime of the investment (ratings are not compared to previous years).</w:t>
      </w:r>
    </w:p>
    <w:tbl>
      <w:tblPr>
        <w:tblStyle w:val="APPR"/>
        <w:tblW w:w="4954" w:type="pct"/>
        <w:tblLook w:val="0000" w:firstRow="0" w:lastRow="0" w:firstColumn="0" w:lastColumn="0" w:noHBand="0" w:noVBand="0"/>
      </w:tblPr>
      <w:tblGrid>
        <w:gridCol w:w="2498"/>
        <w:gridCol w:w="1609"/>
        <w:gridCol w:w="1083"/>
        <w:gridCol w:w="1274"/>
        <w:gridCol w:w="1128"/>
        <w:gridCol w:w="1285"/>
        <w:gridCol w:w="1608"/>
        <w:gridCol w:w="1437"/>
        <w:gridCol w:w="1320"/>
        <w:gridCol w:w="1354"/>
      </w:tblGrid>
      <w:tr w:rsidR="00ED056B" w14:paraId="667E6CBD" w14:textId="77777777">
        <w:trPr>
          <w:cnfStyle w:val="000000010000" w:firstRow="0" w:lastRow="0" w:firstColumn="0" w:lastColumn="0" w:oddVBand="0" w:evenVBand="0" w:oddHBand="0" w:evenHBand="1" w:firstRowFirstColumn="0" w:firstRowLastColumn="0" w:lastRowFirstColumn="0" w:lastRowLastColumn="0"/>
          <w:cantSplit/>
          <w:trHeight w:val="1134"/>
        </w:trPr>
        <w:tc>
          <w:tcPr>
            <w:tcW w:w="841" w:type="pct"/>
            <w:vAlign w:val="center"/>
          </w:tcPr>
          <w:p w14:paraId="42255843" w14:textId="77777777" w:rsidR="00ED056B" w:rsidRDefault="00ED056B" w:rsidP="005D1CBA">
            <w:pPr>
              <w:spacing w:before="0" w:after="0" w:line="240" w:lineRule="auto"/>
              <w:rPr>
                <w:rFonts w:ascii="Calibri Light" w:hAnsi="Calibri Light" w:cs="Arial"/>
                <w:color w:val="495965"/>
                <w:szCs w:val="17"/>
              </w:rPr>
            </w:pPr>
            <w:r w:rsidRPr="00880004">
              <w:rPr>
                <w:rFonts w:asciiTheme="minorHAnsi" w:eastAsia="Times New Roman" w:hAnsiTheme="minorHAnsi"/>
                <w:b/>
                <w:iCs/>
                <w:szCs w:val="17"/>
                <w:lang w:eastAsia="en-US"/>
              </w:rPr>
              <w:t>Investment name</w:t>
            </w:r>
          </w:p>
        </w:tc>
        <w:tc>
          <w:tcPr>
            <w:tcW w:w="542" w:type="pct"/>
            <w:vAlign w:val="center"/>
          </w:tcPr>
          <w:p w14:paraId="2DB7E5D9" w14:textId="77777777" w:rsidR="00ED056B" w:rsidRDefault="00ED056B" w:rsidP="005D1CBA">
            <w:pPr>
              <w:spacing w:before="0" w:after="0" w:line="240" w:lineRule="auto"/>
              <w:rPr>
                <w:rFonts w:ascii="Calibri Light" w:hAnsi="Calibri Light" w:cs="Arial"/>
                <w:color w:val="495965"/>
                <w:szCs w:val="17"/>
              </w:rPr>
            </w:pPr>
            <w:r w:rsidRPr="00880004">
              <w:rPr>
                <w:rFonts w:asciiTheme="minorHAnsi" w:eastAsia="Times New Roman" w:hAnsiTheme="minorHAnsi"/>
                <w:b/>
                <w:iCs/>
                <w:szCs w:val="17"/>
                <w:lang w:eastAsia="en-US"/>
              </w:rPr>
              <w:t>Approved budget and duration</w:t>
            </w:r>
          </w:p>
        </w:tc>
        <w:tc>
          <w:tcPr>
            <w:tcW w:w="361" w:type="pct"/>
            <w:vAlign w:val="center"/>
          </w:tcPr>
          <w:p w14:paraId="02F971B4" w14:textId="77777777" w:rsidR="00ED056B" w:rsidRDefault="00ED056B" w:rsidP="005D1CBA">
            <w:pPr>
              <w:spacing w:before="0" w:after="0" w:line="240" w:lineRule="auto"/>
              <w:rPr>
                <w:rFonts w:ascii="Calibri Light" w:hAnsi="Calibri Light" w:cs="Arial"/>
                <w:color w:val="495965"/>
                <w:szCs w:val="17"/>
              </w:rPr>
            </w:pPr>
            <w:r w:rsidRPr="00880004">
              <w:rPr>
                <w:rFonts w:asciiTheme="minorHAnsi" w:eastAsia="Times New Roman" w:hAnsiTheme="minorHAnsi"/>
                <w:b/>
                <w:iCs/>
                <w:szCs w:val="17"/>
                <w:lang w:eastAsia="en-US"/>
              </w:rPr>
              <w:t>Overall rating</w:t>
            </w:r>
          </w:p>
        </w:tc>
        <w:tc>
          <w:tcPr>
            <w:tcW w:w="427" w:type="pct"/>
            <w:shd w:val="clear" w:color="auto" w:fill="FFFFFF" w:themeFill="background1"/>
            <w:noWrap/>
            <w:textDirection w:val="btLr"/>
            <w:vAlign w:val="center"/>
          </w:tcPr>
          <w:p w14:paraId="368BBEE3" w14:textId="77777777" w:rsidR="00ED056B" w:rsidRDefault="00ED056B" w:rsidP="00ED056B">
            <w:pPr>
              <w:spacing w:before="0" w:after="0" w:line="240" w:lineRule="auto"/>
              <w:ind w:left="113" w:right="113"/>
              <w:jc w:val="center"/>
              <w:rPr>
                <w:rFonts w:ascii="Calibri Light" w:hAnsi="Calibri Light" w:cs="Arial"/>
                <w:color w:val="495965"/>
                <w:szCs w:val="17"/>
              </w:rPr>
            </w:pPr>
            <w:r w:rsidRPr="00880004">
              <w:rPr>
                <w:rFonts w:asciiTheme="minorHAnsi" w:eastAsia="Times New Roman" w:hAnsiTheme="minorHAnsi"/>
                <w:b/>
                <w:iCs/>
                <w:szCs w:val="17"/>
                <w:lang w:eastAsia="en-US"/>
              </w:rPr>
              <w:t>Relevance</w:t>
            </w:r>
          </w:p>
        </w:tc>
        <w:tc>
          <w:tcPr>
            <w:tcW w:w="377" w:type="pct"/>
            <w:shd w:val="clear" w:color="auto" w:fill="FFFFFF" w:themeFill="background1"/>
            <w:noWrap/>
            <w:textDirection w:val="btLr"/>
            <w:vAlign w:val="center"/>
          </w:tcPr>
          <w:p w14:paraId="2A26E2A9" w14:textId="77777777" w:rsidR="00ED056B" w:rsidRDefault="00ED056B" w:rsidP="00ED056B">
            <w:pPr>
              <w:spacing w:before="0" w:after="0" w:line="240" w:lineRule="auto"/>
              <w:ind w:left="113" w:right="113"/>
              <w:jc w:val="center"/>
              <w:rPr>
                <w:rFonts w:ascii="Calibri Light" w:hAnsi="Calibri Light" w:cs="Arial"/>
                <w:color w:val="495965"/>
                <w:szCs w:val="17"/>
              </w:rPr>
            </w:pPr>
            <w:r w:rsidRPr="00880004">
              <w:rPr>
                <w:rFonts w:asciiTheme="minorHAnsi" w:eastAsia="Times New Roman" w:hAnsiTheme="minorHAnsi"/>
                <w:b/>
                <w:iCs/>
                <w:szCs w:val="17"/>
                <w:lang w:eastAsia="en-US"/>
              </w:rPr>
              <w:t>Effectiveness</w:t>
            </w:r>
          </w:p>
        </w:tc>
        <w:tc>
          <w:tcPr>
            <w:tcW w:w="431" w:type="pct"/>
            <w:shd w:val="clear" w:color="auto" w:fill="FFFFFF" w:themeFill="background1"/>
            <w:noWrap/>
            <w:textDirection w:val="btLr"/>
            <w:vAlign w:val="center"/>
          </w:tcPr>
          <w:p w14:paraId="30D22FDB" w14:textId="77777777" w:rsidR="00ED056B" w:rsidRDefault="00ED056B" w:rsidP="00ED056B">
            <w:pPr>
              <w:spacing w:before="0" w:after="0" w:line="240" w:lineRule="auto"/>
              <w:ind w:left="113" w:right="113"/>
              <w:jc w:val="center"/>
              <w:rPr>
                <w:rFonts w:ascii="Calibri Light" w:hAnsi="Calibri Light" w:cs="Arial"/>
                <w:color w:val="495965"/>
                <w:szCs w:val="17"/>
              </w:rPr>
            </w:pPr>
            <w:r w:rsidRPr="00880004">
              <w:rPr>
                <w:rFonts w:asciiTheme="minorHAnsi" w:eastAsia="Times New Roman" w:hAnsiTheme="minorHAnsi"/>
                <w:b/>
                <w:iCs/>
                <w:szCs w:val="17"/>
                <w:lang w:eastAsia="en-US"/>
              </w:rPr>
              <w:t>Efficiency</w:t>
            </w:r>
          </w:p>
        </w:tc>
        <w:tc>
          <w:tcPr>
            <w:tcW w:w="542" w:type="pct"/>
            <w:shd w:val="clear" w:color="auto" w:fill="FFFFFF" w:themeFill="background1"/>
            <w:noWrap/>
            <w:textDirection w:val="btLr"/>
            <w:vAlign w:val="center"/>
          </w:tcPr>
          <w:p w14:paraId="0A82C2D2" w14:textId="77777777" w:rsidR="00ED056B" w:rsidRDefault="00ED056B" w:rsidP="00ED056B">
            <w:pPr>
              <w:spacing w:before="0" w:after="0" w:line="240" w:lineRule="auto"/>
              <w:ind w:left="113" w:right="113"/>
              <w:jc w:val="center"/>
              <w:rPr>
                <w:rFonts w:ascii="Calibri Light" w:hAnsi="Calibri Light" w:cs="Arial"/>
                <w:color w:val="495965"/>
                <w:szCs w:val="17"/>
              </w:rPr>
            </w:pPr>
            <w:r w:rsidRPr="00880004">
              <w:rPr>
                <w:rFonts w:asciiTheme="minorHAnsi" w:eastAsia="Times New Roman" w:hAnsiTheme="minorHAnsi"/>
                <w:b/>
                <w:iCs/>
                <w:szCs w:val="17"/>
                <w:lang w:eastAsia="en-US"/>
              </w:rPr>
              <w:t>Monitoring and Evaluation</w:t>
            </w:r>
          </w:p>
        </w:tc>
        <w:tc>
          <w:tcPr>
            <w:tcW w:w="483" w:type="pct"/>
            <w:shd w:val="clear" w:color="auto" w:fill="FFFFFF" w:themeFill="background1"/>
            <w:noWrap/>
            <w:textDirection w:val="btLr"/>
            <w:vAlign w:val="center"/>
          </w:tcPr>
          <w:p w14:paraId="5578B918" w14:textId="77777777" w:rsidR="00ED056B" w:rsidRDefault="00ED056B" w:rsidP="00ED056B">
            <w:pPr>
              <w:spacing w:before="0" w:after="0" w:line="240" w:lineRule="auto"/>
              <w:ind w:left="113" w:right="113"/>
              <w:jc w:val="center"/>
              <w:rPr>
                <w:rFonts w:ascii="Calibri Light" w:hAnsi="Calibri Light" w:cs="Arial"/>
                <w:color w:val="495965"/>
                <w:szCs w:val="17"/>
              </w:rPr>
            </w:pPr>
            <w:r w:rsidRPr="00880004">
              <w:rPr>
                <w:rFonts w:asciiTheme="minorHAnsi" w:eastAsia="Times New Roman" w:hAnsiTheme="minorHAnsi"/>
                <w:b/>
                <w:iCs/>
                <w:szCs w:val="17"/>
                <w:lang w:eastAsia="en-US"/>
              </w:rPr>
              <w:t>Sustainability</w:t>
            </w:r>
          </w:p>
        </w:tc>
        <w:tc>
          <w:tcPr>
            <w:tcW w:w="443" w:type="pct"/>
            <w:shd w:val="clear" w:color="auto" w:fill="FFFFFF" w:themeFill="background1"/>
            <w:noWrap/>
            <w:textDirection w:val="btLr"/>
            <w:vAlign w:val="center"/>
          </w:tcPr>
          <w:p w14:paraId="1361C083" w14:textId="77777777" w:rsidR="00ED056B" w:rsidRDefault="00ED056B" w:rsidP="00ED056B">
            <w:pPr>
              <w:spacing w:before="0" w:after="0" w:line="240" w:lineRule="auto"/>
              <w:ind w:left="113" w:right="113"/>
              <w:jc w:val="center"/>
              <w:rPr>
                <w:rFonts w:ascii="Calibri Light" w:hAnsi="Calibri Light" w:cs="Arial"/>
                <w:color w:val="495965"/>
                <w:szCs w:val="17"/>
              </w:rPr>
            </w:pPr>
            <w:r w:rsidRPr="00880004">
              <w:rPr>
                <w:rFonts w:asciiTheme="minorHAnsi" w:eastAsia="Times New Roman" w:hAnsiTheme="minorHAnsi"/>
                <w:b/>
                <w:iCs/>
                <w:szCs w:val="17"/>
                <w:lang w:eastAsia="en-US"/>
              </w:rPr>
              <w:t>Gender equality</w:t>
            </w:r>
          </w:p>
        </w:tc>
        <w:tc>
          <w:tcPr>
            <w:tcW w:w="450" w:type="pct"/>
            <w:shd w:val="clear" w:color="auto" w:fill="FFFFFF" w:themeFill="background1"/>
            <w:textDirection w:val="btLr"/>
          </w:tcPr>
          <w:p w14:paraId="28231F8F" w14:textId="3BAB2B13" w:rsidR="00ED056B" w:rsidRPr="00880004" w:rsidRDefault="00AF176F" w:rsidP="00ED056B">
            <w:pPr>
              <w:keepLines/>
              <w:spacing w:before="80" w:after="80" w:line="200" w:lineRule="atLeast"/>
              <w:ind w:left="113" w:right="113"/>
              <w:rPr>
                <w:rFonts w:asciiTheme="minorHAnsi" w:eastAsia="Times New Roman" w:hAnsiTheme="minorHAnsi"/>
                <w:b/>
                <w:iCs/>
                <w:szCs w:val="17"/>
                <w:lang w:eastAsia="en-US"/>
              </w:rPr>
            </w:pPr>
            <w:r>
              <w:rPr>
                <w:rFonts w:asciiTheme="minorHAnsi" w:eastAsia="Times New Roman" w:hAnsiTheme="minorHAnsi"/>
                <w:b/>
                <w:iCs/>
                <w:szCs w:val="17"/>
                <w:lang w:eastAsia="en-US"/>
              </w:rPr>
              <w:t xml:space="preserve">Risks </w:t>
            </w:r>
            <w:r w:rsidR="00ED056B" w:rsidRPr="00880004">
              <w:rPr>
                <w:rFonts w:asciiTheme="minorHAnsi" w:eastAsia="Times New Roman" w:hAnsiTheme="minorHAnsi"/>
                <w:b/>
                <w:iCs/>
                <w:szCs w:val="17"/>
                <w:lang w:eastAsia="en-US"/>
              </w:rPr>
              <w:t>and Safeguards</w:t>
            </w:r>
          </w:p>
        </w:tc>
      </w:tr>
      <w:tr w:rsidR="00ED056B" w14:paraId="47E2473E" w14:textId="77777777" w:rsidTr="00A8588E">
        <w:trPr>
          <w:cnfStyle w:val="000000010000" w:firstRow="0" w:lastRow="0" w:firstColumn="0" w:lastColumn="0" w:oddVBand="0" w:evenVBand="0" w:oddHBand="0" w:evenHBand="1" w:firstRowFirstColumn="0" w:firstRowLastColumn="0" w:lastRowFirstColumn="0" w:lastRowLastColumn="0"/>
          <w:trHeight w:val="284"/>
        </w:trPr>
        <w:tc>
          <w:tcPr>
            <w:tcW w:w="841" w:type="pct"/>
            <w:vMerge w:val="restart"/>
            <w:tcBorders>
              <w:top w:val="single" w:sz="8" w:space="0" w:color="auto"/>
            </w:tcBorders>
            <w:vAlign w:val="center"/>
          </w:tcPr>
          <w:p w14:paraId="1B1E8CEB"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Rehabilitation of Railway in Cambodia Project</w:t>
            </w:r>
          </w:p>
        </w:tc>
        <w:tc>
          <w:tcPr>
            <w:tcW w:w="542" w:type="pct"/>
            <w:vMerge w:val="restart"/>
            <w:tcBorders>
              <w:top w:val="single" w:sz="8" w:space="0" w:color="auto"/>
            </w:tcBorders>
            <w:vAlign w:val="center"/>
          </w:tcPr>
          <w:p w14:paraId="7E10C951"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$27 m</w:t>
            </w:r>
          </w:p>
          <w:p w14:paraId="6508203C"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2009-16</w:t>
            </w:r>
          </w:p>
        </w:tc>
        <w:tc>
          <w:tcPr>
            <w:tcW w:w="361" w:type="pct"/>
            <w:vMerge w:val="restart"/>
            <w:tcBorders>
              <w:top w:val="single" w:sz="8" w:space="0" w:color="auto"/>
            </w:tcBorders>
            <w:vAlign w:val="center"/>
          </w:tcPr>
          <w:p w14:paraId="03C988B9"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658EDC66"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27" w:type="pct"/>
            <w:tcBorders>
              <w:top w:val="single" w:sz="8" w:space="0" w:color="auto"/>
            </w:tcBorders>
            <w:shd w:val="clear" w:color="auto" w:fill="92D050"/>
            <w:noWrap/>
            <w:vAlign w:val="center"/>
          </w:tcPr>
          <w:p w14:paraId="34AA21ED"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377" w:type="pct"/>
            <w:tcBorders>
              <w:top w:val="single" w:sz="8" w:space="0" w:color="auto"/>
            </w:tcBorders>
            <w:shd w:val="clear" w:color="auto" w:fill="D3875F" w:themeFill="accent2"/>
            <w:noWrap/>
            <w:vAlign w:val="center"/>
          </w:tcPr>
          <w:p w14:paraId="7DE4580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31" w:type="pct"/>
            <w:tcBorders>
              <w:top w:val="single" w:sz="8" w:space="0" w:color="auto"/>
            </w:tcBorders>
            <w:shd w:val="clear" w:color="auto" w:fill="FF0000"/>
            <w:noWrap/>
            <w:vAlign w:val="center"/>
          </w:tcPr>
          <w:p w14:paraId="3C115FE7"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2</w:t>
            </w:r>
          </w:p>
        </w:tc>
        <w:tc>
          <w:tcPr>
            <w:tcW w:w="542" w:type="pct"/>
            <w:tcBorders>
              <w:top w:val="single" w:sz="8" w:space="0" w:color="auto"/>
            </w:tcBorders>
            <w:shd w:val="clear" w:color="auto" w:fill="FFFF00"/>
            <w:noWrap/>
            <w:vAlign w:val="center"/>
          </w:tcPr>
          <w:p w14:paraId="019901A8"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83" w:type="pct"/>
            <w:tcBorders>
              <w:top w:val="single" w:sz="8" w:space="0" w:color="auto"/>
            </w:tcBorders>
            <w:shd w:val="clear" w:color="auto" w:fill="FFFF00"/>
            <w:noWrap/>
            <w:vAlign w:val="center"/>
          </w:tcPr>
          <w:p w14:paraId="65E12A4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3" w:type="pct"/>
            <w:tcBorders>
              <w:top w:val="single" w:sz="8" w:space="0" w:color="auto"/>
            </w:tcBorders>
            <w:shd w:val="clear" w:color="auto" w:fill="FFFF00"/>
            <w:noWrap/>
            <w:vAlign w:val="center"/>
          </w:tcPr>
          <w:p w14:paraId="0A1EB724"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50" w:type="pct"/>
            <w:tcBorders>
              <w:top w:val="single" w:sz="8" w:space="0" w:color="auto"/>
            </w:tcBorders>
            <w:shd w:val="clear" w:color="auto" w:fill="DF8C4D"/>
            <w:vAlign w:val="center"/>
          </w:tcPr>
          <w:p w14:paraId="57648F8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r>
      <w:tr w:rsidR="00ED056B" w14:paraId="6E543251"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ign w:val="center"/>
          </w:tcPr>
          <w:p w14:paraId="4ED3E745" w14:textId="77777777" w:rsidR="00ED056B" w:rsidRDefault="00ED056B" w:rsidP="005D1CBA">
            <w:pPr>
              <w:spacing w:before="0" w:after="0" w:line="240" w:lineRule="auto"/>
              <w:rPr>
                <w:rFonts w:ascii="Calibri Light" w:hAnsi="Calibri Light" w:cs="Arial"/>
                <w:color w:val="495965"/>
                <w:szCs w:val="17"/>
              </w:rPr>
            </w:pPr>
          </w:p>
        </w:tc>
        <w:tc>
          <w:tcPr>
            <w:tcW w:w="542" w:type="pct"/>
            <w:vMerge/>
            <w:vAlign w:val="center"/>
          </w:tcPr>
          <w:p w14:paraId="325C226D" w14:textId="77777777" w:rsidR="00ED056B" w:rsidRDefault="00ED056B" w:rsidP="005D1CBA">
            <w:pPr>
              <w:spacing w:before="0" w:after="0" w:line="240" w:lineRule="auto"/>
              <w:rPr>
                <w:rFonts w:ascii="Calibri Light" w:hAnsi="Calibri Light" w:cs="Arial"/>
                <w:color w:val="495965"/>
                <w:szCs w:val="17"/>
              </w:rPr>
            </w:pPr>
          </w:p>
        </w:tc>
        <w:tc>
          <w:tcPr>
            <w:tcW w:w="361" w:type="pct"/>
            <w:vMerge/>
            <w:vAlign w:val="center"/>
          </w:tcPr>
          <w:p w14:paraId="13A179B4" w14:textId="77777777" w:rsidR="00ED056B" w:rsidRDefault="00ED056B" w:rsidP="005D1CBA">
            <w:pPr>
              <w:spacing w:before="0" w:after="0" w:line="240" w:lineRule="auto"/>
              <w:rPr>
                <w:rFonts w:ascii="Calibri Light" w:hAnsi="Calibri Light" w:cs="Arial"/>
                <w:color w:val="495965"/>
                <w:szCs w:val="17"/>
              </w:rPr>
            </w:pPr>
          </w:p>
        </w:tc>
        <w:tc>
          <w:tcPr>
            <w:tcW w:w="427" w:type="pct"/>
            <w:shd w:val="clear" w:color="auto" w:fill="F2F2F2" w:themeFill="background1" w:themeFillShade="F2"/>
            <w:noWrap/>
            <w:vAlign w:val="center"/>
          </w:tcPr>
          <w:p w14:paraId="34C6BA8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377" w:type="pct"/>
            <w:shd w:val="clear" w:color="auto" w:fill="F2F2F2" w:themeFill="background1" w:themeFillShade="F2"/>
            <w:noWrap/>
            <w:vAlign w:val="center"/>
          </w:tcPr>
          <w:p w14:paraId="46EE48C6"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1" w:type="pct"/>
            <w:shd w:val="clear" w:color="auto" w:fill="F2F2F2" w:themeFill="background1" w:themeFillShade="F2"/>
            <w:noWrap/>
            <w:vAlign w:val="center"/>
          </w:tcPr>
          <w:p w14:paraId="3E6AA03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542" w:type="pct"/>
            <w:shd w:val="clear" w:color="auto" w:fill="F2F2F2" w:themeFill="background1" w:themeFillShade="F2"/>
            <w:noWrap/>
            <w:vAlign w:val="center"/>
          </w:tcPr>
          <w:p w14:paraId="1B90E7A6"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83" w:type="pct"/>
            <w:shd w:val="clear" w:color="auto" w:fill="F2F2F2" w:themeFill="background1" w:themeFillShade="F2"/>
            <w:noWrap/>
            <w:vAlign w:val="center"/>
          </w:tcPr>
          <w:p w14:paraId="21138F57"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3" w:type="pct"/>
            <w:shd w:val="clear" w:color="auto" w:fill="F2F2F2" w:themeFill="background1" w:themeFillShade="F2"/>
            <w:noWrap/>
            <w:vAlign w:val="center"/>
          </w:tcPr>
          <w:p w14:paraId="066ED3C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50" w:type="pct"/>
            <w:shd w:val="clear" w:color="auto" w:fill="F2F2F2" w:themeFill="background1" w:themeFillShade="F2"/>
            <w:vAlign w:val="center"/>
          </w:tcPr>
          <w:p w14:paraId="64BE29BD"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r w:rsidR="00ED056B" w14:paraId="48E5C71F"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restart"/>
            <w:tcBorders>
              <w:top w:val="single" w:sz="8" w:space="0" w:color="auto"/>
            </w:tcBorders>
            <w:vAlign w:val="center"/>
          </w:tcPr>
          <w:p w14:paraId="2F1B3487"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Southern Coastal Corridor Cambodia</w:t>
            </w:r>
          </w:p>
        </w:tc>
        <w:tc>
          <w:tcPr>
            <w:tcW w:w="542" w:type="pct"/>
            <w:vMerge w:val="restart"/>
            <w:tcBorders>
              <w:top w:val="single" w:sz="8" w:space="0" w:color="auto"/>
            </w:tcBorders>
            <w:vAlign w:val="center"/>
          </w:tcPr>
          <w:p w14:paraId="41BAF67C"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10.3 m</w:t>
            </w:r>
          </w:p>
          <w:p w14:paraId="3C8ECBEA"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2007-17</w:t>
            </w:r>
          </w:p>
        </w:tc>
        <w:tc>
          <w:tcPr>
            <w:tcW w:w="361" w:type="pct"/>
            <w:vMerge w:val="restart"/>
            <w:tcBorders>
              <w:top w:val="single" w:sz="8" w:space="0" w:color="auto"/>
            </w:tcBorders>
            <w:vAlign w:val="center"/>
          </w:tcPr>
          <w:p w14:paraId="4D3193D1"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0200A188"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27" w:type="pct"/>
            <w:tcBorders>
              <w:top w:val="single" w:sz="8" w:space="0" w:color="auto"/>
            </w:tcBorders>
            <w:shd w:val="clear" w:color="auto" w:fill="92D050"/>
            <w:noWrap/>
            <w:vAlign w:val="center"/>
          </w:tcPr>
          <w:p w14:paraId="6D41816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377" w:type="pct"/>
            <w:tcBorders>
              <w:top w:val="single" w:sz="8" w:space="0" w:color="auto"/>
            </w:tcBorders>
            <w:shd w:val="clear" w:color="auto" w:fill="92D050"/>
            <w:noWrap/>
            <w:vAlign w:val="center"/>
          </w:tcPr>
          <w:p w14:paraId="050DF93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1" w:type="pct"/>
            <w:tcBorders>
              <w:top w:val="single" w:sz="8" w:space="0" w:color="auto"/>
            </w:tcBorders>
            <w:shd w:val="clear" w:color="auto" w:fill="FFFF00"/>
            <w:noWrap/>
            <w:vAlign w:val="center"/>
          </w:tcPr>
          <w:p w14:paraId="041F087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542" w:type="pct"/>
            <w:tcBorders>
              <w:top w:val="single" w:sz="8" w:space="0" w:color="auto"/>
            </w:tcBorders>
            <w:shd w:val="clear" w:color="auto" w:fill="92D050"/>
            <w:noWrap/>
            <w:vAlign w:val="center"/>
          </w:tcPr>
          <w:p w14:paraId="3594109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83" w:type="pct"/>
            <w:tcBorders>
              <w:top w:val="single" w:sz="8" w:space="0" w:color="auto"/>
            </w:tcBorders>
            <w:shd w:val="clear" w:color="auto" w:fill="FFFF00"/>
            <w:noWrap/>
            <w:vAlign w:val="center"/>
          </w:tcPr>
          <w:p w14:paraId="0C4CA75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3" w:type="pct"/>
            <w:tcBorders>
              <w:top w:val="single" w:sz="8" w:space="0" w:color="auto"/>
            </w:tcBorders>
            <w:shd w:val="clear" w:color="auto" w:fill="FFFF00"/>
            <w:noWrap/>
            <w:vAlign w:val="center"/>
          </w:tcPr>
          <w:p w14:paraId="73BCFA4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50" w:type="pct"/>
            <w:tcBorders>
              <w:top w:val="single" w:sz="8" w:space="0" w:color="auto"/>
            </w:tcBorders>
            <w:shd w:val="clear" w:color="auto" w:fill="FFFF00"/>
            <w:vAlign w:val="center"/>
          </w:tcPr>
          <w:p w14:paraId="33D9E2FD"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ED056B" w:rsidRPr="00ED15B6" w14:paraId="5C6BB249"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ign w:val="center"/>
          </w:tcPr>
          <w:p w14:paraId="3214C77B" w14:textId="77777777" w:rsidR="00ED056B" w:rsidRDefault="00ED056B" w:rsidP="005D1CBA">
            <w:pPr>
              <w:spacing w:before="0" w:after="0" w:line="240" w:lineRule="auto"/>
              <w:rPr>
                <w:rFonts w:ascii="Calibri Light" w:hAnsi="Calibri Light" w:cs="Arial"/>
                <w:color w:val="495965"/>
                <w:szCs w:val="17"/>
              </w:rPr>
            </w:pPr>
          </w:p>
        </w:tc>
        <w:tc>
          <w:tcPr>
            <w:tcW w:w="542" w:type="pct"/>
            <w:vMerge/>
            <w:vAlign w:val="center"/>
          </w:tcPr>
          <w:p w14:paraId="62357DA4" w14:textId="77777777" w:rsidR="00ED056B" w:rsidRDefault="00ED056B" w:rsidP="005D1CBA">
            <w:pPr>
              <w:spacing w:before="0" w:after="0" w:line="240" w:lineRule="auto"/>
              <w:rPr>
                <w:rFonts w:ascii="Calibri Light" w:hAnsi="Calibri Light" w:cs="Arial"/>
                <w:color w:val="495965"/>
                <w:szCs w:val="17"/>
              </w:rPr>
            </w:pPr>
          </w:p>
        </w:tc>
        <w:tc>
          <w:tcPr>
            <w:tcW w:w="361" w:type="pct"/>
            <w:vMerge/>
            <w:vAlign w:val="center"/>
          </w:tcPr>
          <w:p w14:paraId="3921F31E" w14:textId="77777777" w:rsidR="00ED056B" w:rsidRDefault="00ED056B" w:rsidP="005D1CBA">
            <w:pPr>
              <w:spacing w:before="0" w:after="0" w:line="240" w:lineRule="auto"/>
              <w:rPr>
                <w:rFonts w:ascii="Calibri Light" w:hAnsi="Calibri Light" w:cs="Arial"/>
                <w:color w:val="495965"/>
                <w:szCs w:val="17"/>
              </w:rPr>
            </w:pPr>
          </w:p>
        </w:tc>
        <w:tc>
          <w:tcPr>
            <w:tcW w:w="427" w:type="pct"/>
            <w:shd w:val="clear" w:color="auto" w:fill="F2F2F2" w:themeFill="background1" w:themeFillShade="F2"/>
            <w:noWrap/>
            <w:vAlign w:val="center"/>
          </w:tcPr>
          <w:p w14:paraId="6678870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377" w:type="pct"/>
            <w:shd w:val="clear" w:color="auto" w:fill="F2F2F2" w:themeFill="background1" w:themeFillShade="F2"/>
            <w:noWrap/>
            <w:vAlign w:val="center"/>
          </w:tcPr>
          <w:p w14:paraId="38E0520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31" w:type="pct"/>
            <w:shd w:val="clear" w:color="auto" w:fill="F2F2F2" w:themeFill="background1" w:themeFillShade="F2"/>
            <w:noWrap/>
            <w:vAlign w:val="center"/>
          </w:tcPr>
          <w:p w14:paraId="10B7015A"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542" w:type="pct"/>
            <w:shd w:val="clear" w:color="auto" w:fill="F2F2F2" w:themeFill="background1" w:themeFillShade="F2"/>
            <w:noWrap/>
            <w:vAlign w:val="center"/>
          </w:tcPr>
          <w:p w14:paraId="57BB9F61"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83" w:type="pct"/>
            <w:shd w:val="clear" w:color="auto" w:fill="F2F2F2" w:themeFill="background1" w:themeFillShade="F2"/>
            <w:noWrap/>
            <w:vAlign w:val="center"/>
          </w:tcPr>
          <w:p w14:paraId="53DE233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43" w:type="pct"/>
            <w:shd w:val="clear" w:color="auto" w:fill="F2F2F2" w:themeFill="background1" w:themeFillShade="F2"/>
            <w:noWrap/>
            <w:vAlign w:val="center"/>
          </w:tcPr>
          <w:p w14:paraId="0BFA63D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c>
          <w:tcPr>
            <w:tcW w:w="450" w:type="pct"/>
            <w:shd w:val="clear" w:color="auto" w:fill="F2F2F2" w:themeFill="background1" w:themeFillShade="F2"/>
            <w:vAlign w:val="center"/>
          </w:tcPr>
          <w:p w14:paraId="1FD57EBC"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E</w:t>
            </w:r>
          </w:p>
        </w:tc>
      </w:tr>
      <w:tr w:rsidR="00ED056B" w14:paraId="53E4F0AB"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restart"/>
            <w:tcBorders>
              <w:top w:val="single" w:sz="8" w:space="0" w:color="auto"/>
            </w:tcBorders>
            <w:vAlign w:val="center"/>
          </w:tcPr>
          <w:p w14:paraId="2AA37901"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Cambodia Agricultural Value Chain Program</w:t>
            </w:r>
          </w:p>
        </w:tc>
        <w:tc>
          <w:tcPr>
            <w:tcW w:w="542" w:type="pct"/>
            <w:vMerge w:val="restart"/>
            <w:tcBorders>
              <w:top w:val="single" w:sz="8" w:space="0" w:color="auto"/>
            </w:tcBorders>
            <w:vAlign w:val="center"/>
          </w:tcPr>
          <w:p w14:paraId="5C65F713"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$58.9 m</w:t>
            </w:r>
          </w:p>
          <w:p w14:paraId="4EC47A54"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2007-16</w:t>
            </w:r>
          </w:p>
        </w:tc>
        <w:tc>
          <w:tcPr>
            <w:tcW w:w="361" w:type="pct"/>
            <w:vMerge w:val="restart"/>
            <w:tcBorders>
              <w:top w:val="single" w:sz="8" w:space="0" w:color="auto"/>
            </w:tcBorders>
            <w:vAlign w:val="center"/>
          </w:tcPr>
          <w:p w14:paraId="6295CDF7"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280B7AB0"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27" w:type="pct"/>
            <w:tcBorders>
              <w:top w:val="single" w:sz="8" w:space="0" w:color="auto"/>
            </w:tcBorders>
            <w:shd w:val="clear" w:color="auto" w:fill="92D050"/>
            <w:noWrap/>
            <w:vAlign w:val="center"/>
          </w:tcPr>
          <w:p w14:paraId="5B6E726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377" w:type="pct"/>
            <w:tcBorders>
              <w:top w:val="single" w:sz="8" w:space="0" w:color="auto"/>
            </w:tcBorders>
            <w:shd w:val="clear" w:color="auto" w:fill="92D050"/>
            <w:noWrap/>
            <w:vAlign w:val="center"/>
          </w:tcPr>
          <w:p w14:paraId="3726AECF"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1" w:type="pct"/>
            <w:tcBorders>
              <w:top w:val="single" w:sz="8" w:space="0" w:color="auto"/>
            </w:tcBorders>
            <w:shd w:val="clear" w:color="auto" w:fill="FFFF00"/>
            <w:noWrap/>
            <w:vAlign w:val="center"/>
          </w:tcPr>
          <w:p w14:paraId="620CFE2F"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542" w:type="pct"/>
            <w:tcBorders>
              <w:top w:val="single" w:sz="8" w:space="0" w:color="auto"/>
            </w:tcBorders>
            <w:shd w:val="clear" w:color="auto" w:fill="92D050"/>
            <w:noWrap/>
            <w:vAlign w:val="center"/>
          </w:tcPr>
          <w:p w14:paraId="278039C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483" w:type="pct"/>
            <w:tcBorders>
              <w:top w:val="single" w:sz="8" w:space="0" w:color="auto"/>
            </w:tcBorders>
            <w:shd w:val="clear" w:color="auto" w:fill="92D050"/>
            <w:noWrap/>
            <w:vAlign w:val="center"/>
          </w:tcPr>
          <w:p w14:paraId="7D344B1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3" w:type="pct"/>
            <w:tcBorders>
              <w:top w:val="single" w:sz="8" w:space="0" w:color="auto"/>
            </w:tcBorders>
            <w:shd w:val="clear" w:color="auto" w:fill="92D050"/>
            <w:noWrap/>
            <w:vAlign w:val="center"/>
          </w:tcPr>
          <w:p w14:paraId="5A30E6F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50" w:type="pct"/>
            <w:tcBorders>
              <w:top w:val="single" w:sz="8" w:space="0" w:color="auto"/>
            </w:tcBorders>
            <w:shd w:val="clear" w:color="auto" w:fill="92D050"/>
            <w:vAlign w:val="center"/>
          </w:tcPr>
          <w:p w14:paraId="2118EA6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ED056B" w14:paraId="5D013150"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ign w:val="center"/>
          </w:tcPr>
          <w:p w14:paraId="10F1B102" w14:textId="77777777" w:rsidR="00ED056B" w:rsidRDefault="00ED056B" w:rsidP="005D1CBA">
            <w:pPr>
              <w:spacing w:before="0" w:after="0" w:line="240" w:lineRule="auto"/>
              <w:rPr>
                <w:rFonts w:ascii="Calibri Light" w:hAnsi="Calibri Light" w:cs="Arial"/>
                <w:color w:val="495965"/>
                <w:szCs w:val="17"/>
              </w:rPr>
            </w:pPr>
          </w:p>
        </w:tc>
        <w:tc>
          <w:tcPr>
            <w:tcW w:w="542" w:type="pct"/>
            <w:vMerge/>
            <w:vAlign w:val="center"/>
          </w:tcPr>
          <w:p w14:paraId="232047E2" w14:textId="77777777" w:rsidR="00ED056B" w:rsidRDefault="00ED056B" w:rsidP="005D1CBA">
            <w:pPr>
              <w:spacing w:before="0" w:after="0" w:line="240" w:lineRule="auto"/>
              <w:rPr>
                <w:rFonts w:ascii="Calibri Light" w:hAnsi="Calibri Light" w:cs="Arial"/>
                <w:color w:val="495965"/>
                <w:szCs w:val="17"/>
              </w:rPr>
            </w:pPr>
          </w:p>
        </w:tc>
        <w:tc>
          <w:tcPr>
            <w:tcW w:w="361" w:type="pct"/>
            <w:vMerge/>
            <w:vAlign w:val="center"/>
          </w:tcPr>
          <w:p w14:paraId="28727EBF" w14:textId="77777777" w:rsidR="00ED056B" w:rsidRDefault="00ED056B" w:rsidP="005D1CBA">
            <w:pPr>
              <w:spacing w:before="0" w:after="0" w:line="240" w:lineRule="auto"/>
              <w:rPr>
                <w:rFonts w:ascii="Calibri Light" w:hAnsi="Calibri Light" w:cs="Arial"/>
                <w:color w:val="495965"/>
                <w:szCs w:val="17"/>
              </w:rPr>
            </w:pPr>
          </w:p>
        </w:tc>
        <w:tc>
          <w:tcPr>
            <w:tcW w:w="427" w:type="pct"/>
            <w:shd w:val="clear" w:color="auto" w:fill="92D050"/>
            <w:noWrap/>
            <w:vAlign w:val="center"/>
          </w:tcPr>
          <w:p w14:paraId="4B753077"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377" w:type="pct"/>
            <w:shd w:val="clear" w:color="auto" w:fill="92D050"/>
            <w:noWrap/>
            <w:vAlign w:val="center"/>
          </w:tcPr>
          <w:p w14:paraId="69D11F38"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1" w:type="pct"/>
            <w:shd w:val="clear" w:color="auto" w:fill="92D050"/>
            <w:noWrap/>
            <w:vAlign w:val="center"/>
          </w:tcPr>
          <w:p w14:paraId="16A786F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542" w:type="pct"/>
            <w:shd w:val="clear" w:color="auto" w:fill="92D050"/>
            <w:noWrap/>
            <w:vAlign w:val="center"/>
          </w:tcPr>
          <w:p w14:paraId="33F10FCA"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83" w:type="pct"/>
            <w:shd w:val="clear" w:color="auto" w:fill="92D050"/>
            <w:noWrap/>
            <w:vAlign w:val="center"/>
          </w:tcPr>
          <w:p w14:paraId="41F7875C"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6</w:t>
            </w:r>
          </w:p>
        </w:tc>
        <w:tc>
          <w:tcPr>
            <w:tcW w:w="443" w:type="pct"/>
            <w:shd w:val="clear" w:color="auto" w:fill="92D050"/>
            <w:noWrap/>
            <w:vAlign w:val="center"/>
          </w:tcPr>
          <w:p w14:paraId="50109921"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50" w:type="pct"/>
            <w:shd w:val="clear" w:color="auto" w:fill="FFFF00"/>
            <w:vAlign w:val="center"/>
          </w:tcPr>
          <w:p w14:paraId="27CF767C"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r>
      <w:tr w:rsidR="00ED056B" w14:paraId="1BC7CFB8"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restart"/>
            <w:tcBorders>
              <w:top w:val="single" w:sz="8" w:space="0" w:color="auto"/>
            </w:tcBorders>
            <w:vAlign w:val="center"/>
          </w:tcPr>
          <w:p w14:paraId="11CDA1BB"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Cambodia Communication Assistance Project</w:t>
            </w:r>
          </w:p>
        </w:tc>
        <w:tc>
          <w:tcPr>
            <w:tcW w:w="542" w:type="pct"/>
            <w:vMerge w:val="restart"/>
            <w:tcBorders>
              <w:top w:val="single" w:sz="8" w:space="0" w:color="auto"/>
            </w:tcBorders>
            <w:vAlign w:val="center"/>
          </w:tcPr>
          <w:p w14:paraId="18C24A58"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$3 m</w:t>
            </w:r>
          </w:p>
          <w:p w14:paraId="70AAC96A"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2012-15</w:t>
            </w:r>
          </w:p>
        </w:tc>
        <w:tc>
          <w:tcPr>
            <w:tcW w:w="361" w:type="pct"/>
            <w:vMerge w:val="restart"/>
            <w:tcBorders>
              <w:top w:val="single" w:sz="8" w:space="0" w:color="auto"/>
            </w:tcBorders>
            <w:vAlign w:val="center"/>
          </w:tcPr>
          <w:p w14:paraId="62FDD13B"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3E50A9AA"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27" w:type="pct"/>
            <w:tcBorders>
              <w:top w:val="single" w:sz="8" w:space="0" w:color="auto"/>
            </w:tcBorders>
            <w:shd w:val="clear" w:color="auto" w:fill="FFFF00"/>
            <w:noWrap/>
            <w:vAlign w:val="center"/>
          </w:tcPr>
          <w:p w14:paraId="3789A17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377" w:type="pct"/>
            <w:tcBorders>
              <w:top w:val="single" w:sz="8" w:space="0" w:color="auto"/>
            </w:tcBorders>
            <w:shd w:val="clear" w:color="auto" w:fill="92D050"/>
            <w:noWrap/>
            <w:vAlign w:val="center"/>
          </w:tcPr>
          <w:p w14:paraId="36035F37"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1" w:type="pct"/>
            <w:tcBorders>
              <w:top w:val="single" w:sz="8" w:space="0" w:color="auto"/>
            </w:tcBorders>
            <w:shd w:val="clear" w:color="auto" w:fill="92D050"/>
            <w:noWrap/>
            <w:vAlign w:val="center"/>
          </w:tcPr>
          <w:p w14:paraId="3A68A1CA"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542" w:type="pct"/>
            <w:tcBorders>
              <w:top w:val="single" w:sz="8" w:space="0" w:color="auto"/>
            </w:tcBorders>
            <w:shd w:val="clear" w:color="auto" w:fill="92D050"/>
            <w:noWrap/>
            <w:vAlign w:val="center"/>
          </w:tcPr>
          <w:p w14:paraId="5B138FEF"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83" w:type="pct"/>
            <w:tcBorders>
              <w:top w:val="single" w:sz="8" w:space="0" w:color="auto"/>
            </w:tcBorders>
            <w:shd w:val="clear" w:color="auto" w:fill="FFFF00"/>
            <w:noWrap/>
            <w:vAlign w:val="center"/>
          </w:tcPr>
          <w:p w14:paraId="18859D97"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3" w:type="pct"/>
            <w:tcBorders>
              <w:top w:val="single" w:sz="8" w:space="0" w:color="auto"/>
            </w:tcBorders>
            <w:shd w:val="clear" w:color="auto" w:fill="FFFF00"/>
            <w:noWrap/>
            <w:vAlign w:val="center"/>
          </w:tcPr>
          <w:p w14:paraId="58FB748F"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50" w:type="pct"/>
            <w:tcBorders>
              <w:top w:val="single" w:sz="8" w:space="0" w:color="auto"/>
            </w:tcBorders>
            <w:shd w:val="clear" w:color="auto" w:fill="92D050"/>
            <w:vAlign w:val="center"/>
          </w:tcPr>
          <w:p w14:paraId="41B36F76"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ED056B" w14:paraId="324FE0C0"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ign w:val="center"/>
          </w:tcPr>
          <w:p w14:paraId="5B78951E" w14:textId="77777777" w:rsidR="00ED056B" w:rsidRDefault="00ED056B" w:rsidP="005D1CBA">
            <w:pPr>
              <w:spacing w:before="0" w:after="0" w:line="240" w:lineRule="auto"/>
              <w:rPr>
                <w:rFonts w:ascii="Calibri Light" w:hAnsi="Calibri Light" w:cs="Arial"/>
                <w:color w:val="495965"/>
                <w:szCs w:val="17"/>
              </w:rPr>
            </w:pPr>
          </w:p>
        </w:tc>
        <w:tc>
          <w:tcPr>
            <w:tcW w:w="542" w:type="pct"/>
            <w:vMerge/>
            <w:vAlign w:val="center"/>
          </w:tcPr>
          <w:p w14:paraId="3BFD807B" w14:textId="77777777" w:rsidR="00ED056B" w:rsidRDefault="00ED056B" w:rsidP="005D1CBA">
            <w:pPr>
              <w:spacing w:before="0" w:after="0" w:line="240" w:lineRule="auto"/>
              <w:rPr>
                <w:rFonts w:ascii="Calibri Light" w:hAnsi="Calibri Light" w:cs="Arial"/>
                <w:color w:val="495965"/>
                <w:szCs w:val="17"/>
              </w:rPr>
            </w:pPr>
          </w:p>
        </w:tc>
        <w:tc>
          <w:tcPr>
            <w:tcW w:w="361" w:type="pct"/>
            <w:vMerge/>
            <w:vAlign w:val="center"/>
          </w:tcPr>
          <w:p w14:paraId="0736CDB2" w14:textId="77777777" w:rsidR="00ED056B" w:rsidRDefault="00ED056B" w:rsidP="005D1CBA">
            <w:pPr>
              <w:spacing w:before="0" w:after="0" w:line="240" w:lineRule="auto"/>
              <w:rPr>
                <w:rFonts w:ascii="Calibri Light" w:hAnsi="Calibri Light" w:cs="Arial"/>
                <w:color w:val="495965"/>
                <w:szCs w:val="17"/>
              </w:rPr>
            </w:pPr>
          </w:p>
        </w:tc>
        <w:tc>
          <w:tcPr>
            <w:tcW w:w="427" w:type="pct"/>
            <w:shd w:val="clear" w:color="auto" w:fill="92D050"/>
            <w:noWrap/>
            <w:vAlign w:val="center"/>
          </w:tcPr>
          <w:p w14:paraId="5C7DE56D"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377" w:type="pct"/>
            <w:shd w:val="clear" w:color="auto" w:fill="92D050"/>
            <w:noWrap/>
            <w:vAlign w:val="center"/>
          </w:tcPr>
          <w:p w14:paraId="64D7768A"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1" w:type="pct"/>
            <w:shd w:val="clear" w:color="auto" w:fill="92D050"/>
            <w:noWrap/>
            <w:vAlign w:val="center"/>
          </w:tcPr>
          <w:p w14:paraId="38EB743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542" w:type="pct"/>
            <w:shd w:val="clear" w:color="auto" w:fill="FFFF00"/>
            <w:noWrap/>
            <w:vAlign w:val="center"/>
          </w:tcPr>
          <w:p w14:paraId="3BD5FA8F"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83" w:type="pct"/>
            <w:shd w:val="clear" w:color="auto" w:fill="92D050"/>
            <w:noWrap/>
            <w:vAlign w:val="center"/>
          </w:tcPr>
          <w:p w14:paraId="1AFA099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3" w:type="pct"/>
            <w:shd w:val="clear" w:color="auto" w:fill="92D050"/>
            <w:noWrap/>
            <w:vAlign w:val="center"/>
          </w:tcPr>
          <w:p w14:paraId="054F47FE"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50" w:type="pct"/>
            <w:shd w:val="clear" w:color="auto" w:fill="92D050"/>
            <w:vAlign w:val="center"/>
          </w:tcPr>
          <w:p w14:paraId="4D899617"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ED056B" w14:paraId="0D4E7E1F"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restart"/>
            <w:tcBorders>
              <w:top w:val="single" w:sz="8" w:space="0" w:color="auto"/>
            </w:tcBorders>
            <w:vAlign w:val="center"/>
          </w:tcPr>
          <w:p w14:paraId="3D6DEAE9"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Clearing for Results Phase II (2011-2015)</w:t>
            </w:r>
          </w:p>
        </w:tc>
        <w:tc>
          <w:tcPr>
            <w:tcW w:w="542" w:type="pct"/>
            <w:vMerge w:val="restart"/>
            <w:tcBorders>
              <w:top w:val="single" w:sz="8" w:space="0" w:color="auto"/>
            </w:tcBorders>
            <w:vAlign w:val="center"/>
          </w:tcPr>
          <w:p w14:paraId="3CD9B939" w14:textId="39AF12E4" w:rsidR="00ED056B" w:rsidRDefault="00AF176F" w:rsidP="005D1CBA">
            <w:pPr>
              <w:spacing w:before="0" w:after="0" w:line="240" w:lineRule="auto"/>
              <w:rPr>
                <w:rFonts w:ascii="Calibri Light" w:hAnsi="Calibri Light" w:cs="Arial"/>
                <w:color w:val="495965"/>
                <w:szCs w:val="17"/>
              </w:rPr>
            </w:pPr>
            <w:r>
              <w:rPr>
                <w:rFonts w:ascii="Calibri Light" w:hAnsi="Calibri Light" w:cs="Arial"/>
                <w:color w:val="495965"/>
                <w:szCs w:val="17"/>
              </w:rPr>
              <w:t>$11.2 m</w:t>
            </w:r>
            <w:r w:rsidR="00ED056B">
              <w:rPr>
                <w:rFonts w:ascii="Calibri Light" w:hAnsi="Calibri Light" w:cs="Arial"/>
                <w:color w:val="495965"/>
                <w:szCs w:val="17"/>
              </w:rPr>
              <w:t xml:space="preserve">                       2011-16</w:t>
            </w:r>
          </w:p>
          <w:p w14:paraId="07A38B9D" w14:textId="77777777" w:rsidR="00ED056B" w:rsidRDefault="00ED056B" w:rsidP="005D1CBA">
            <w:pPr>
              <w:spacing w:before="0" w:after="0" w:line="240" w:lineRule="auto"/>
              <w:rPr>
                <w:rFonts w:ascii="Calibri Light" w:hAnsi="Calibri Light" w:cs="Arial"/>
                <w:color w:val="495965"/>
                <w:szCs w:val="17"/>
              </w:rPr>
            </w:pPr>
          </w:p>
        </w:tc>
        <w:tc>
          <w:tcPr>
            <w:tcW w:w="361" w:type="pct"/>
            <w:vMerge w:val="restart"/>
            <w:tcBorders>
              <w:top w:val="single" w:sz="8" w:space="0" w:color="auto"/>
            </w:tcBorders>
            <w:vAlign w:val="center"/>
          </w:tcPr>
          <w:p w14:paraId="282FB996"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49EF8822" w14:textId="77777777" w:rsidR="00ED056B" w:rsidRDefault="00ED056B" w:rsidP="005D1CBA">
            <w:pPr>
              <w:keepLines/>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27" w:type="pct"/>
            <w:tcBorders>
              <w:top w:val="single" w:sz="8" w:space="0" w:color="auto"/>
            </w:tcBorders>
            <w:shd w:val="clear" w:color="auto" w:fill="92D050"/>
            <w:noWrap/>
            <w:vAlign w:val="center"/>
          </w:tcPr>
          <w:p w14:paraId="054655A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377" w:type="pct"/>
            <w:tcBorders>
              <w:top w:val="single" w:sz="8" w:space="0" w:color="auto"/>
            </w:tcBorders>
            <w:shd w:val="clear" w:color="auto" w:fill="92D050"/>
            <w:noWrap/>
            <w:vAlign w:val="center"/>
          </w:tcPr>
          <w:p w14:paraId="764F835C"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31" w:type="pct"/>
            <w:tcBorders>
              <w:top w:val="single" w:sz="8" w:space="0" w:color="auto"/>
            </w:tcBorders>
            <w:shd w:val="clear" w:color="auto" w:fill="92D050"/>
            <w:noWrap/>
            <w:vAlign w:val="center"/>
          </w:tcPr>
          <w:p w14:paraId="636F4F04"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542" w:type="pct"/>
            <w:tcBorders>
              <w:top w:val="single" w:sz="8" w:space="0" w:color="auto"/>
            </w:tcBorders>
            <w:shd w:val="clear" w:color="auto" w:fill="92D050"/>
            <w:noWrap/>
            <w:vAlign w:val="center"/>
          </w:tcPr>
          <w:p w14:paraId="40372A3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83" w:type="pct"/>
            <w:tcBorders>
              <w:top w:val="single" w:sz="8" w:space="0" w:color="auto"/>
            </w:tcBorders>
            <w:shd w:val="clear" w:color="auto" w:fill="92D050"/>
            <w:noWrap/>
            <w:vAlign w:val="center"/>
          </w:tcPr>
          <w:p w14:paraId="1F5A563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43" w:type="pct"/>
            <w:tcBorders>
              <w:top w:val="single" w:sz="8" w:space="0" w:color="auto"/>
            </w:tcBorders>
            <w:shd w:val="clear" w:color="auto" w:fill="92D050"/>
            <w:noWrap/>
            <w:vAlign w:val="center"/>
          </w:tcPr>
          <w:p w14:paraId="67A97F1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50" w:type="pct"/>
            <w:tcBorders>
              <w:top w:val="single" w:sz="8" w:space="0" w:color="auto"/>
            </w:tcBorders>
            <w:shd w:val="clear" w:color="auto" w:fill="92D050"/>
            <w:vAlign w:val="center"/>
          </w:tcPr>
          <w:p w14:paraId="6C7CDD9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ED056B" w:rsidRPr="00880004" w14:paraId="0356D873"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ign w:val="center"/>
          </w:tcPr>
          <w:p w14:paraId="174913A7" w14:textId="77777777" w:rsidR="00ED056B" w:rsidRPr="00880004" w:rsidRDefault="00ED056B" w:rsidP="005D1CBA">
            <w:pPr>
              <w:keepLines/>
              <w:spacing w:before="0" w:after="0" w:line="240" w:lineRule="auto"/>
              <w:rPr>
                <w:rFonts w:asciiTheme="minorHAnsi" w:eastAsia="Times New Roman" w:hAnsiTheme="minorHAnsi"/>
                <w:iCs/>
                <w:szCs w:val="17"/>
                <w:lang w:eastAsia="en-US"/>
              </w:rPr>
            </w:pPr>
          </w:p>
        </w:tc>
        <w:tc>
          <w:tcPr>
            <w:tcW w:w="542" w:type="pct"/>
            <w:vMerge/>
            <w:vAlign w:val="center"/>
          </w:tcPr>
          <w:p w14:paraId="69839D78" w14:textId="77777777" w:rsidR="00ED056B" w:rsidRPr="00880004" w:rsidRDefault="00ED056B" w:rsidP="005D1CBA">
            <w:pPr>
              <w:keepLines/>
              <w:spacing w:before="0" w:after="0" w:line="240" w:lineRule="auto"/>
              <w:rPr>
                <w:rFonts w:asciiTheme="minorHAnsi" w:eastAsia="Times New Roman" w:hAnsiTheme="minorHAnsi"/>
                <w:iCs/>
                <w:szCs w:val="17"/>
                <w:lang w:eastAsia="en-US"/>
              </w:rPr>
            </w:pPr>
          </w:p>
        </w:tc>
        <w:tc>
          <w:tcPr>
            <w:tcW w:w="361" w:type="pct"/>
            <w:vMerge/>
            <w:vAlign w:val="center"/>
          </w:tcPr>
          <w:p w14:paraId="793D0072" w14:textId="77777777" w:rsidR="00ED056B" w:rsidRPr="00880004" w:rsidRDefault="00ED056B" w:rsidP="005D1CBA">
            <w:pPr>
              <w:keepLines/>
              <w:spacing w:before="0" w:after="0" w:line="240" w:lineRule="auto"/>
              <w:rPr>
                <w:rFonts w:asciiTheme="minorHAnsi" w:eastAsia="Times New Roman" w:hAnsiTheme="minorHAnsi"/>
                <w:iCs/>
                <w:szCs w:val="17"/>
                <w:lang w:eastAsia="en-US"/>
              </w:rPr>
            </w:pPr>
          </w:p>
        </w:tc>
        <w:tc>
          <w:tcPr>
            <w:tcW w:w="427" w:type="pct"/>
            <w:shd w:val="clear" w:color="auto" w:fill="92D050"/>
            <w:noWrap/>
            <w:vAlign w:val="center"/>
          </w:tcPr>
          <w:p w14:paraId="34471F48"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6</w:t>
            </w:r>
          </w:p>
        </w:tc>
        <w:tc>
          <w:tcPr>
            <w:tcW w:w="377" w:type="pct"/>
            <w:shd w:val="clear" w:color="auto" w:fill="92D050"/>
            <w:noWrap/>
            <w:vAlign w:val="center"/>
          </w:tcPr>
          <w:p w14:paraId="2787EF64"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31" w:type="pct"/>
            <w:shd w:val="clear" w:color="auto" w:fill="92D050"/>
            <w:noWrap/>
            <w:vAlign w:val="center"/>
          </w:tcPr>
          <w:p w14:paraId="24F787D3"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542" w:type="pct"/>
            <w:shd w:val="clear" w:color="auto" w:fill="92D050"/>
            <w:noWrap/>
            <w:vAlign w:val="center"/>
          </w:tcPr>
          <w:p w14:paraId="472281D8"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83" w:type="pct"/>
            <w:shd w:val="clear" w:color="auto" w:fill="92D050"/>
            <w:noWrap/>
            <w:vAlign w:val="center"/>
          </w:tcPr>
          <w:p w14:paraId="11DC0D4B"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43" w:type="pct"/>
            <w:shd w:val="clear" w:color="auto" w:fill="92D050"/>
            <w:noWrap/>
            <w:vAlign w:val="center"/>
          </w:tcPr>
          <w:p w14:paraId="41F6B736"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5</w:t>
            </w:r>
          </w:p>
        </w:tc>
        <w:tc>
          <w:tcPr>
            <w:tcW w:w="450" w:type="pct"/>
            <w:shd w:val="clear" w:color="auto" w:fill="DF8C4D"/>
            <w:vAlign w:val="center"/>
          </w:tcPr>
          <w:p w14:paraId="30DF589A" w14:textId="77777777" w:rsidR="00ED056B" w:rsidRPr="00880004" w:rsidRDefault="00ED056B" w:rsidP="005D1CBA">
            <w:pPr>
              <w:keepLines/>
              <w:spacing w:before="0" w:after="0" w:line="240" w:lineRule="auto"/>
              <w:jc w:val="center"/>
              <w:rPr>
                <w:rFonts w:asciiTheme="minorHAnsi" w:eastAsia="Times New Roman" w:hAnsiTheme="minorHAnsi"/>
                <w:iCs/>
                <w:szCs w:val="17"/>
                <w:lang w:eastAsia="en-US"/>
              </w:rPr>
            </w:pPr>
            <w:r>
              <w:rPr>
                <w:rFonts w:ascii="Calibri Light" w:hAnsi="Calibri Light" w:cs="Arial"/>
                <w:color w:val="495965"/>
                <w:szCs w:val="17"/>
              </w:rPr>
              <w:t>3</w:t>
            </w:r>
          </w:p>
        </w:tc>
      </w:tr>
      <w:tr w:rsidR="00ED056B" w:rsidRPr="00880004" w14:paraId="20FE7C6C"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restart"/>
            <w:tcBorders>
              <w:top w:val="single" w:sz="8" w:space="0" w:color="auto"/>
            </w:tcBorders>
            <w:vAlign w:val="center"/>
          </w:tcPr>
          <w:p w14:paraId="35BA78B6"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Community Development Fund (CDF) 2010-13</w:t>
            </w:r>
          </w:p>
        </w:tc>
        <w:tc>
          <w:tcPr>
            <w:tcW w:w="542" w:type="pct"/>
            <w:vMerge w:val="restart"/>
            <w:tcBorders>
              <w:top w:val="single" w:sz="8" w:space="0" w:color="auto"/>
            </w:tcBorders>
            <w:vAlign w:val="center"/>
          </w:tcPr>
          <w:p w14:paraId="4DB5BC27"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$4.8 m</w:t>
            </w:r>
          </w:p>
          <w:p w14:paraId="4FFFFC6F"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2010-16</w:t>
            </w:r>
          </w:p>
        </w:tc>
        <w:tc>
          <w:tcPr>
            <w:tcW w:w="361" w:type="pct"/>
            <w:vMerge w:val="restart"/>
            <w:tcBorders>
              <w:top w:val="single" w:sz="8" w:space="0" w:color="auto"/>
            </w:tcBorders>
            <w:vAlign w:val="center"/>
          </w:tcPr>
          <w:p w14:paraId="2A84071E"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2015 AQC</w:t>
            </w:r>
          </w:p>
          <w:p w14:paraId="2611C6BE" w14:textId="77777777" w:rsidR="00ED056B" w:rsidRDefault="00ED056B" w:rsidP="005D1CBA">
            <w:pPr>
              <w:spacing w:before="0" w:after="0" w:line="240" w:lineRule="auto"/>
              <w:rPr>
                <w:rFonts w:ascii="Calibri Light" w:hAnsi="Calibri Light" w:cs="Arial"/>
                <w:color w:val="495965"/>
                <w:szCs w:val="17"/>
              </w:rPr>
            </w:pPr>
            <w:r>
              <w:rPr>
                <w:rFonts w:ascii="Calibri Light" w:hAnsi="Calibri Light" w:cs="Arial"/>
                <w:color w:val="495965"/>
                <w:szCs w:val="17"/>
              </w:rPr>
              <w:t>2014 AQC</w:t>
            </w:r>
          </w:p>
        </w:tc>
        <w:tc>
          <w:tcPr>
            <w:tcW w:w="427" w:type="pct"/>
            <w:tcBorders>
              <w:top w:val="single" w:sz="8" w:space="0" w:color="auto"/>
            </w:tcBorders>
            <w:shd w:val="clear" w:color="auto" w:fill="FFFF00"/>
            <w:noWrap/>
            <w:vAlign w:val="center"/>
          </w:tcPr>
          <w:p w14:paraId="13022D6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377" w:type="pct"/>
            <w:tcBorders>
              <w:top w:val="single" w:sz="8" w:space="0" w:color="auto"/>
            </w:tcBorders>
            <w:shd w:val="clear" w:color="auto" w:fill="FFFF00"/>
            <w:noWrap/>
            <w:vAlign w:val="center"/>
          </w:tcPr>
          <w:p w14:paraId="5593D195"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1" w:type="pct"/>
            <w:tcBorders>
              <w:top w:val="single" w:sz="8" w:space="0" w:color="auto"/>
            </w:tcBorders>
            <w:shd w:val="clear" w:color="auto" w:fill="FFFF00"/>
            <w:noWrap/>
            <w:vAlign w:val="center"/>
          </w:tcPr>
          <w:p w14:paraId="22DC17D3"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542" w:type="pct"/>
            <w:tcBorders>
              <w:top w:val="single" w:sz="8" w:space="0" w:color="auto"/>
            </w:tcBorders>
            <w:shd w:val="clear" w:color="auto" w:fill="FFFF00"/>
            <w:noWrap/>
            <w:vAlign w:val="center"/>
          </w:tcPr>
          <w:p w14:paraId="708AB332"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83" w:type="pct"/>
            <w:tcBorders>
              <w:top w:val="single" w:sz="8" w:space="0" w:color="auto"/>
            </w:tcBorders>
            <w:shd w:val="clear" w:color="auto" w:fill="DF8C4D"/>
            <w:noWrap/>
            <w:vAlign w:val="center"/>
          </w:tcPr>
          <w:p w14:paraId="14097230"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43" w:type="pct"/>
            <w:tcBorders>
              <w:top w:val="single" w:sz="8" w:space="0" w:color="auto"/>
            </w:tcBorders>
            <w:shd w:val="clear" w:color="auto" w:fill="DF8C4D"/>
            <w:noWrap/>
            <w:vAlign w:val="center"/>
          </w:tcPr>
          <w:p w14:paraId="496E5A01"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3</w:t>
            </w:r>
          </w:p>
        </w:tc>
        <w:tc>
          <w:tcPr>
            <w:tcW w:w="450" w:type="pct"/>
            <w:tcBorders>
              <w:top w:val="single" w:sz="8" w:space="0" w:color="auto"/>
            </w:tcBorders>
            <w:shd w:val="clear" w:color="auto" w:fill="92D050"/>
            <w:vAlign w:val="center"/>
          </w:tcPr>
          <w:p w14:paraId="297FA58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r w:rsidR="00ED056B" w:rsidRPr="00880004" w14:paraId="30E8A0B2" w14:textId="77777777">
        <w:trPr>
          <w:cnfStyle w:val="000000010000" w:firstRow="0" w:lastRow="0" w:firstColumn="0" w:lastColumn="0" w:oddVBand="0" w:evenVBand="0" w:oddHBand="0" w:evenHBand="1" w:firstRowFirstColumn="0" w:firstRowLastColumn="0" w:lastRowFirstColumn="0" w:lastRowLastColumn="0"/>
          <w:trHeight w:val="284"/>
        </w:trPr>
        <w:tc>
          <w:tcPr>
            <w:tcW w:w="841" w:type="pct"/>
            <w:vMerge/>
            <w:vAlign w:val="center"/>
          </w:tcPr>
          <w:p w14:paraId="5DF7F42E" w14:textId="77777777" w:rsidR="00ED056B" w:rsidRDefault="00ED056B" w:rsidP="005D1CBA">
            <w:pPr>
              <w:spacing w:before="0" w:after="0" w:line="240" w:lineRule="auto"/>
              <w:rPr>
                <w:rFonts w:ascii="Calibri Light" w:hAnsi="Calibri Light" w:cs="Arial"/>
                <w:color w:val="495965"/>
                <w:szCs w:val="17"/>
              </w:rPr>
            </w:pPr>
          </w:p>
        </w:tc>
        <w:tc>
          <w:tcPr>
            <w:tcW w:w="542" w:type="pct"/>
            <w:vMerge/>
            <w:vAlign w:val="center"/>
          </w:tcPr>
          <w:p w14:paraId="0C5F645A" w14:textId="77777777" w:rsidR="00ED056B" w:rsidRDefault="00ED056B" w:rsidP="005D1CBA">
            <w:pPr>
              <w:spacing w:before="0" w:after="0" w:line="240" w:lineRule="auto"/>
              <w:rPr>
                <w:rFonts w:ascii="Calibri Light" w:hAnsi="Calibri Light" w:cs="Arial"/>
                <w:color w:val="495965"/>
                <w:szCs w:val="17"/>
              </w:rPr>
            </w:pPr>
          </w:p>
        </w:tc>
        <w:tc>
          <w:tcPr>
            <w:tcW w:w="361" w:type="pct"/>
            <w:vMerge/>
            <w:vAlign w:val="center"/>
          </w:tcPr>
          <w:p w14:paraId="429989CA" w14:textId="77777777" w:rsidR="00ED056B" w:rsidRDefault="00ED056B" w:rsidP="005D1CBA">
            <w:pPr>
              <w:spacing w:before="0" w:after="0" w:line="240" w:lineRule="auto"/>
              <w:rPr>
                <w:rFonts w:ascii="Calibri Light" w:hAnsi="Calibri Light" w:cs="Arial"/>
                <w:color w:val="495965"/>
                <w:szCs w:val="17"/>
              </w:rPr>
            </w:pPr>
          </w:p>
        </w:tc>
        <w:tc>
          <w:tcPr>
            <w:tcW w:w="427" w:type="pct"/>
            <w:shd w:val="clear" w:color="auto" w:fill="FFFF00"/>
            <w:noWrap/>
            <w:vAlign w:val="center"/>
          </w:tcPr>
          <w:p w14:paraId="1747F3F6"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377" w:type="pct"/>
            <w:shd w:val="clear" w:color="auto" w:fill="FFFF00"/>
            <w:noWrap/>
            <w:vAlign w:val="center"/>
          </w:tcPr>
          <w:p w14:paraId="3E66D539"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31" w:type="pct"/>
            <w:shd w:val="clear" w:color="auto" w:fill="92D050"/>
            <w:noWrap/>
            <w:vAlign w:val="center"/>
          </w:tcPr>
          <w:p w14:paraId="0A0EAFAC"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542" w:type="pct"/>
            <w:shd w:val="clear" w:color="auto" w:fill="FFFF00"/>
            <w:noWrap/>
            <w:vAlign w:val="center"/>
          </w:tcPr>
          <w:p w14:paraId="7076034B"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83" w:type="pct"/>
            <w:shd w:val="clear" w:color="auto" w:fill="FFFF00"/>
            <w:noWrap/>
            <w:vAlign w:val="center"/>
          </w:tcPr>
          <w:p w14:paraId="7A693BB8"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4</w:t>
            </w:r>
          </w:p>
        </w:tc>
        <w:tc>
          <w:tcPr>
            <w:tcW w:w="443" w:type="pct"/>
            <w:shd w:val="clear" w:color="auto" w:fill="92D050"/>
            <w:noWrap/>
            <w:vAlign w:val="center"/>
          </w:tcPr>
          <w:p w14:paraId="3224FC34"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c>
          <w:tcPr>
            <w:tcW w:w="450" w:type="pct"/>
            <w:shd w:val="clear" w:color="auto" w:fill="92D050"/>
            <w:vAlign w:val="center"/>
          </w:tcPr>
          <w:p w14:paraId="4FEC2231" w14:textId="77777777" w:rsidR="00ED056B" w:rsidRDefault="00ED056B" w:rsidP="005D1CBA">
            <w:pPr>
              <w:spacing w:before="0" w:after="0" w:line="240" w:lineRule="auto"/>
              <w:jc w:val="center"/>
              <w:rPr>
                <w:rFonts w:ascii="Calibri Light" w:hAnsi="Calibri Light" w:cs="Arial"/>
                <w:color w:val="495965"/>
                <w:szCs w:val="17"/>
              </w:rPr>
            </w:pPr>
            <w:r>
              <w:rPr>
                <w:rFonts w:ascii="Calibri Light" w:hAnsi="Calibri Light" w:cs="Arial"/>
                <w:color w:val="495965"/>
                <w:szCs w:val="17"/>
              </w:rPr>
              <w:t>5</w:t>
            </w:r>
          </w:p>
        </w:tc>
      </w:tr>
    </w:tbl>
    <w:p w14:paraId="67699FE8" w14:textId="77777777" w:rsidR="00400B0F" w:rsidRPr="00C61187" w:rsidRDefault="00400B0F" w:rsidP="00400B0F">
      <w:pPr>
        <w:spacing w:before="20" w:after="20" w:line="180" w:lineRule="atLeast"/>
        <w:jc w:val="both"/>
        <w:rPr>
          <w:rFonts w:ascii="Franklin Gothic Book" w:eastAsia="Times New Roman" w:hAnsi="Franklin Gothic Book"/>
          <w:b/>
          <w:sz w:val="14"/>
          <w:szCs w:val="14"/>
        </w:rPr>
      </w:pPr>
    </w:p>
    <w:p w14:paraId="5A287FEA"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14:paraId="5EC01EC7"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14:paraId="0B69B248" w14:textId="5727F63F"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w:t>
      </w:r>
      <w:r w:rsidR="008E4949">
        <w:rPr>
          <w:rFonts w:eastAsia="Times New Roman"/>
          <w:b/>
          <w:sz w:val="16"/>
          <w:szCs w:val="14"/>
        </w:rPr>
        <w:t xml:space="preserve">.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14:paraId="70E91C8A"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14:paraId="39F8D6AA"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14:paraId="1A500D67"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14:paraId="0C1EF380" w14:textId="3CBCBC67" w:rsidR="004E0264" w:rsidRPr="00880004" w:rsidRDefault="00400B0F" w:rsidP="00784031">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w:t>
      </w:r>
      <w:r w:rsidR="008E4949">
        <w:rPr>
          <w:rFonts w:eastAsia="Times New Roman"/>
          <w:b/>
          <w:sz w:val="16"/>
          <w:szCs w:val="14"/>
        </w:rPr>
        <w:t xml:space="preserve">.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14:paraId="1A702921" w14:textId="77777777" w:rsidR="004E0264" w:rsidRDefault="004E0264" w:rsidP="004E0264">
      <w:r>
        <w:br w:type="page"/>
      </w:r>
    </w:p>
    <w:p w14:paraId="5BE6903B" w14:textId="77777777" w:rsidR="00400B0F" w:rsidRPr="00784031" w:rsidRDefault="00400B0F" w:rsidP="00400B0F">
      <w:pPr>
        <w:spacing w:before="20" w:after="20" w:line="18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E – Performance Assessment Framework</w:t>
      </w:r>
      <w:r w:rsidR="006F473E">
        <w:rPr>
          <w:rStyle w:val="FootnoteReference"/>
          <w:rFonts w:eastAsiaTheme="majorEastAsia" w:cstheme="majorBidi"/>
          <w:bCs/>
          <w:iCs/>
          <w:caps/>
          <w:spacing w:val="-10"/>
          <w:kern w:val="28"/>
          <w:sz w:val="38"/>
          <w:szCs w:val="24"/>
        </w:rPr>
        <w:footnoteReference w:id="24"/>
      </w:r>
    </w:p>
    <w:p w14:paraId="37381EF2" w14:textId="77777777" w:rsidR="000B136F" w:rsidRDefault="000B136F" w:rsidP="000B136F">
      <w:pPr>
        <w:pStyle w:val="Caption"/>
        <w:rPr>
          <w:b w:val="0"/>
          <w:color w:val="000000"/>
          <w:szCs w:val="20"/>
        </w:rPr>
      </w:pPr>
      <w:r>
        <w:t>Performance Assessment Framework 2015–16 to 2018-19</w:t>
      </w:r>
    </w:p>
    <w:tbl>
      <w:tblPr>
        <w:tblStyle w:val="LightList-Accent5"/>
        <w:tblW w:w="5204"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1"/>
        <w:gridCol w:w="3400"/>
        <w:gridCol w:w="1705"/>
        <w:gridCol w:w="1668"/>
        <w:gridCol w:w="1463"/>
        <w:gridCol w:w="1463"/>
        <w:gridCol w:w="1497"/>
        <w:gridCol w:w="1558"/>
      </w:tblGrid>
      <w:tr w:rsidR="00DB4868" w:rsidRPr="00C21370" w14:paraId="3935D32E" w14:textId="77777777">
        <w:trPr>
          <w:cnfStyle w:val="100000000000" w:firstRow="1" w:lastRow="0" w:firstColumn="0" w:lastColumn="0" w:oddVBand="0" w:evenVBand="0" w:oddHBand="0" w:evenHBand="0" w:firstRowFirstColumn="0" w:firstRowLastColumn="0" w:lastRowFirstColumn="0" w:lastRowLastColumn="0"/>
          <w:cantSplit/>
          <w:trHeight w:val="278"/>
          <w:tblHeader/>
        </w:trPr>
        <w:tc>
          <w:tcPr>
            <w:cnfStyle w:val="001000000000" w:firstRow="0" w:lastRow="0" w:firstColumn="1" w:lastColumn="0" w:oddVBand="0" w:evenVBand="0" w:oddHBand="0" w:evenHBand="0" w:firstRowFirstColumn="0" w:firstRowLastColumn="0" w:lastRowFirstColumn="0" w:lastRowLastColumn="0"/>
            <w:tcW w:w="825" w:type="pct"/>
            <w:tcBorders>
              <w:top w:val="single" w:sz="4" w:space="0" w:color="auto"/>
            </w:tcBorders>
            <w:shd w:val="clear" w:color="auto" w:fill="auto"/>
          </w:tcPr>
          <w:p w14:paraId="7F07F8E3" w14:textId="7027558E" w:rsidR="000B136F" w:rsidRPr="00A87BFE" w:rsidRDefault="00AF176F" w:rsidP="00003741">
            <w:pPr>
              <w:rPr>
                <w:rFonts w:ascii="Franklin Gothic Book" w:hAnsi="Franklin Gothic Book"/>
                <w:color w:val="000000"/>
                <w:sz w:val="21"/>
                <w:szCs w:val="21"/>
              </w:rPr>
            </w:pPr>
            <w:r>
              <w:rPr>
                <w:rFonts w:ascii="Franklin Gothic Book" w:hAnsi="Franklin Gothic Book"/>
                <w:color w:val="000000"/>
                <w:sz w:val="21"/>
                <w:szCs w:val="21"/>
              </w:rPr>
              <w:t>Shared Development</w:t>
            </w:r>
            <w:r w:rsidR="000B136F" w:rsidRPr="00A87BFE">
              <w:rPr>
                <w:rFonts w:ascii="Franklin Gothic Book" w:hAnsi="Franklin Gothic Book"/>
                <w:color w:val="000000"/>
                <w:sz w:val="21"/>
                <w:szCs w:val="21"/>
              </w:rPr>
              <w:t xml:space="preserve"> Objective to 2018–19</w:t>
            </w:r>
          </w:p>
        </w:tc>
        <w:tc>
          <w:tcPr>
            <w:tcW w:w="1113" w:type="pct"/>
            <w:tcBorders>
              <w:top w:val="single" w:sz="4" w:space="0" w:color="auto"/>
            </w:tcBorders>
            <w:shd w:val="clear" w:color="auto" w:fill="auto"/>
          </w:tcPr>
          <w:p w14:paraId="6FE40789"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1"/>
                <w:szCs w:val="21"/>
              </w:rPr>
            </w:pPr>
            <w:r w:rsidRPr="00A87BFE">
              <w:rPr>
                <w:rFonts w:ascii="Franklin Gothic Book" w:hAnsi="Franklin Gothic Book"/>
                <w:color w:val="000000"/>
                <w:sz w:val="21"/>
                <w:szCs w:val="21"/>
              </w:rPr>
              <w:t xml:space="preserve">End-of-AIP outcome indicators </w:t>
            </w:r>
          </w:p>
        </w:tc>
        <w:tc>
          <w:tcPr>
            <w:tcW w:w="558" w:type="pct"/>
            <w:tcBorders>
              <w:top w:val="single" w:sz="4" w:space="0" w:color="auto"/>
            </w:tcBorders>
            <w:shd w:val="clear" w:color="auto" w:fill="auto"/>
          </w:tcPr>
          <w:p w14:paraId="1A020257"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1"/>
                <w:szCs w:val="21"/>
              </w:rPr>
            </w:pPr>
            <w:r w:rsidRPr="00A87BFE">
              <w:rPr>
                <w:rFonts w:ascii="Franklin Gothic Book" w:hAnsi="Franklin Gothic Book"/>
                <w:color w:val="000000"/>
                <w:sz w:val="21"/>
                <w:szCs w:val="21"/>
              </w:rPr>
              <w:t>Data source and baseline</w:t>
            </w:r>
          </w:p>
        </w:tc>
        <w:tc>
          <w:tcPr>
            <w:tcW w:w="546" w:type="pct"/>
            <w:tcBorders>
              <w:top w:val="single" w:sz="4" w:space="0" w:color="auto"/>
            </w:tcBorders>
            <w:shd w:val="clear" w:color="auto" w:fill="auto"/>
          </w:tcPr>
          <w:p w14:paraId="5A2088EA"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1"/>
                <w:szCs w:val="21"/>
              </w:rPr>
            </w:pPr>
            <w:r w:rsidRPr="00A87BFE">
              <w:rPr>
                <w:rFonts w:ascii="Franklin Gothic Book" w:hAnsi="Franklin Gothic Book"/>
                <w:color w:val="000000"/>
                <w:sz w:val="21"/>
                <w:szCs w:val="21"/>
              </w:rPr>
              <w:t>Target</w:t>
            </w:r>
          </w:p>
        </w:tc>
        <w:tc>
          <w:tcPr>
            <w:tcW w:w="479" w:type="pct"/>
            <w:tcBorders>
              <w:top w:val="single" w:sz="4" w:space="0" w:color="auto"/>
            </w:tcBorders>
            <w:shd w:val="clear" w:color="auto" w:fill="auto"/>
          </w:tcPr>
          <w:p w14:paraId="2D315386"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1"/>
                <w:szCs w:val="21"/>
              </w:rPr>
            </w:pPr>
            <w:r w:rsidRPr="00A87BFE">
              <w:rPr>
                <w:rFonts w:ascii="Franklin Gothic Book" w:hAnsi="Franklin Gothic Book"/>
                <w:color w:val="000000"/>
                <w:sz w:val="21"/>
                <w:szCs w:val="21"/>
              </w:rPr>
              <w:t>2014–15</w:t>
            </w:r>
          </w:p>
        </w:tc>
        <w:tc>
          <w:tcPr>
            <w:tcW w:w="479" w:type="pct"/>
            <w:tcBorders>
              <w:top w:val="single" w:sz="4" w:space="0" w:color="auto"/>
            </w:tcBorders>
            <w:shd w:val="clear" w:color="auto" w:fill="auto"/>
          </w:tcPr>
          <w:p w14:paraId="585DFF57"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1"/>
                <w:szCs w:val="21"/>
              </w:rPr>
            </w:pPr>
            <w:r w:rsidRPr="00A87BFE">
              <w:rPr>
                <w:rFonts w:ascii="Franklin Gothic Book" w:hAnsi="Franklin Gothic Book"/>
                <w:color w:val="000000"/>
                <w:sz w:val="21"/>
                <w:szCs w:val="21"/>
              </w:rPr>
              <w:t>2015–16</w:t>
            </w:r>
          </w:p>
        </w:tc>
        <w:tc>
          <w:tcPr>
            <w:tcW w:w="490" w:type="pct"/>
            <w:tcBorders>
              <w:top w:val="single" w:sz="4" w:space="0" w:color="auto"/>
            </w:tcBorders>
            <w:shd w:val="clear" w:color="auto" w:fill="auto"/>
          </w:tcPr>
          <w:p w14:paraId="29198745"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1"/>
                <w:szCs w:val="21"/>
              </w:rPr>
            </w:pPr>
            <w:r w:rsidRPr="00A87BFE">
              <w:rPr>
                <w:rFonts w:ascii="Franklin Gothic Book" w:hAnsi="Franklin Gothic Book"/>
                <w:color w:val="000000"/>
                <w:sz w:val="21"/>
                <w:szCs w:val="21"/>
              </w:rPr>
              <w:t>2016–17</w:t>
            </w:r>
          </w:p>
        </w:tc>
        <w:tc>
          <w:tcPr>
            <w:tcW w:w="510" w:type="pct"/>
            <w:tcBorders>
              <w:top w:val="single" w:sz="4" w:space="0" w:color="auto"/>
            </w:tcBorders>
            <w:shd w:val="clear" w:color="auto" w:fill="auto"/>
          </w:tcPr>
          <w:p w14:paraId="536733AA" w14:textId="77777777" w:rsidR="000B136F" w:rsidRPr="00A87BFE" w:rsidRDefault="000B136F" w:rsidP="00003741">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1"/>
                <w:szCs w:val="21"/>
              </w:rPr>
            </w:pPr>
            <w:r w:rsidRPr="00A87BFE">
              <w:rPr>
                <w:rFonts w:ascii="Franklin Gothic Book" w:hAnsi="Franklin Gothic Book"/>
                <w:color w:val="000000"/>
                <w:sz w:val="21"/>
                <w:szCs w:val="21"/>
              </w:rPr>
              <w:t>2017–18</w:t>
            </w:r>
          </w:p>
        </w:tc>
      </w:tr>
      <w:tr w:rsidR="00DB4868" w:rsidRPr="00C21370" w14:paraId="189A0484" w14:textId="77777777">
        <w:trPr>
          <w:cnfStyle w:val="000000100000" w:firstRow="0" w:lastRow="0" w:firstColumn="0" w:lastColumn="0" w:oddVBand="0" w:evenVBand="0" w:oddHBand="1" w:evenHBand="0" w:firstRowFirstColumn="0" w:firstRowLastColumn="0" w:lastRowFirstColumn="0" w:lastRowLastColumn="0"/>
          <w:cantSplit/>
          <w:trHeight w:val="321"/>
        </w:trPr>
        <w:tc>
          <w:tcPr>
            <w:cnfStyle w:val="001000000000" w:firstRow="0" w:lastRow="0" w:firstColumn="1" w:lastColumn="0" w:oddVBand="0" w:evenVBand="0" w:oddHBand="0" w:evenHBand="0" w:firstRowFirstColumn="0" w:firstRowLastColumn="0" w:lastRowFirstColumn="0" w:lastRowLastColumn="0"/>
            <w:tcW w:w="825" w:type="pct"/>
            <w:shd w:val="clear" w:color="auto" w:fill="C0C0C0"/>
          </w:tcPr>
          <w:p w14:paraId="60F35E0E" w14:textId="77777777" w:rsidR="000B136F" w:rsidRPr="00C21370" w:rsidRDefault="000B136F" w:rsidP="00003741">
            <w:pPr>
              <w:rPr>
                <w:rFonts w:ascii="Franklin Gothic Book" w:hAnsi="Franklin Gothic Book"/>
                <w:color w:val="000000"/>
              </w:rPr>
            </w:pPr>
            <w:r w:rsidRPr="00C21370">
              <w:rPr>
                <w:rFonts w:ascii="Franklin Gothic Book" w:hAnsi="Franklin Gothic Book"/>
                <w:color w:val="000000"/>
              </w:rPr>
              <w:t>End–of–AIP Objective 1</w:t>
            </w:r>
          </w:p>
        </w:tc>
        <w:tc>
          <w:tcPr>
            <w:tcW w:w="4175" w:type="pct"/>
            <w:gridSpan w:val="7"/>
            <w:shd w:val="clear" w:color="auto" w:fill="C0C0C0"/>
          </w:tcPr>
          <w:p w14:paraId="736C30D3"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b/>
                <w:bCs/>
                <w:color w:val="000000"/>
              </w:rPr>
            </w:pPr>
            <w:r w:rsidRPr="00C21370">
              <w:rPr>
                <w:rFonts w:ascii="Franklin Gothic Book" w:hAnsi="Franklin Gothic Book"/>
                <w:b/>
                <w:bCs/>
                <w:iCs/>
              </w:rPr>
              <w:t xml:space="preserve">Increased </w:t>
            </w:r>
            <w:r>
              <w:rPr>
                <w:rFonts w:ascii="Franklin Gothic Book" w:hAnsi="Franklin Gothic Book"/>
                <w:b/>
                <w:bCs/>
                <w:iCs/>
              </w:rPr>
              <w:t>access to essential infrastructure</w:t>
            </w:r>
          </w:p>
        </w:tc>
      </w:tr>
      <w:tr w:rsidR="000B136F" w:rsidRPr="00C21370" w14:paraId="566ECBC9" w14:textId="77777777">
        <w:trPr>
          <w:cantSplit/>
          <w:trHeight w:val="3"/>
        </w:trPr>
        <w:tc>
          <w:tcPr>
            <w:cnfStyle w:val="001000000000" w:firstRow="0" w:lastRow="0" w:firstColumn="1" w:lastColumn="0" w:oddVBand="0" w:evenVBand="0" w:oddHBand="0" w:evenHBand="0" w:firstRowFirstColumn="0" w:firstRowLastColumn="0" w:lastRowFirstColumn="0" w:lastRowLastColumn="0"/>
            <w:tcW w:w="825" w:type="pct"/>
          </w:tcPr>
          <w:p w14:paraId="67AC0B26" w14:textId="77777777" w:rsidR="000B136F" w:rsidRPr="00C21370" w:rsidRDefault="000B136F" w:rsidP="00003741">
            <w:pPr>
              <w:rPr>
                <w:rFonts w:ascii="Franklin Gothic Book" w:hAnsi="Franklin Gothic Book"/>
                <w:color w:val="000000"/>
              </w:rPr>
            </w:pPr>
            <w:r w:rsidRPr="00C21370">
              <w:rPr>
                <w:rFonts w:ascii="Franklin Gothic Book" w:hAnsi="Franklin Gothic Book"/>
                <w:color w:val="000000"/>
              </w:rPr>
              <w:t>Intermediate Outcome 1.1</w:t>
            </w:r>
          </w:p>
        </w:tc>
        <w:tc>
          <w:tcPr>
            <w:tcW w:w="4175" w:type="pct"/>
            <w:gridSpan w:val="7"/>
          </w:tcPr>
          <w:p w14:paraId="4E34B0C8"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000000"/>
              </w:rPr>
            </w:pPr>
            <w:r w:rsidRPr="00C21370">
              <w:rPr>
                <w:rFonts w:ascii="Franklin Gothic Book" w:hAnsi="Franklin Gothic Book"/>
                <w:b/>
                <w:bCs/>
                <w:iCs/>
              </w:rPr>
              <w:t>Increased access to utilities and other infrastructure services for households and businesses</w:t>
            </w:r>
            <w:r w:rsidRPr="00C21370">
              <w:rPr>
                <w:rFonts w:ascii="Franklin Gothic Book" w:hAnsi="Franklin Gothic Book"/>
                <w:b/>
                <w:bCs/>
                <w:color w:val="000000"/>
              </w:rPr>
              <w:t xml:space="preserve"> </w:t>
            </w:r>
            <w:r w:rsidR="005F1191">
              <w:rPr>
                <w:rStyle w:val="FootnoteReference"/>
                <w:rFonts w:ascii="Franklin Gothic Book" w:hAnsi="Franklin Gothic Book"/>
                <w:b/>
                <w:bCs/>
                <w:color w:val="000000"/>
              </w:rPr>
              <w:footnoteReference w:id="25"/>
            </w:r>
          </w:p>
        </w:tc>
      </w:tr>
      <w:tr w:rsidR="00DB4868" w:rsidRPr="00C21370" w14:paraId="7B9825B3" w14:textId="77777777">
        <w:trPr>
          <w:cnfStyle w:val="000000100000" w:firstRow="0" w:lastRow="0" w:firstColumn="0" w:lastColumn="0" w:oddVBand="0" w:evenVBand="0" w:oddHBand="1" w:evenHBand="0" w:firstRowFirstColumn="0" w:firstRowLastColumn="0" w:lastRowFirstColumn="0" w:lastRowLastColumn="0"/>
          <w:cantSplit/>
          <w:trHeight w:val="3"/>
        </w:trPr>
        <w:tc>
          <w:tcPr>
            <w:cnfStyle w:val="001000000000" w:firstRow="0" w:lastRow="0" w:firstColumn="1" w:lastColumn="0" w:oddVBand="0" w:evenVBand="0" w:oddHBand="0" w:evenHBand="0" w:firstRowFirstColumn="0" w:firstRowLastColumn="0" w:lastRowFirstColumn="0" w:lastRowLastColumn="0"/>
            <w:tcW w:w="825" w:type="pct"/>
          </w:tcPr>
          <w:p w14:paraId="738CC3C5" w14:textId="77777777" w:rsidR="000B136F" w:rsidRPr="00C21370" w:rsidRDefault="000B136F" w:rsidP="00003741">
            <w:pPr>
              <w:pStyle w:val="ListParagraph"/>
              <w:rPr>
                <w:rFonts w:ascii="Franklin Gothic Book" w:hAnsi="Franklin Gothic Book"/>
                <w:color w:val="000000"/>
              </w:rPr>
            </w:pPr>
          </w:p>
        </w:tc>
        <w:tc>
          <w:tcPr>
            <w:tcW w:w="1113" w:type="pct"/>
          </w:tcPr>
          <w:p w14:paraId="7A3F5007"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Additional households and businesses connected to electricity (note: analysis will be conducted to assess the different impact that connecting a household to electricity has on women and men)</w:t>
            </w:r>
          </w:p>
        </w:tc>
        <w:tc>
          <w:tcPr>
            <w:tcW w:w="558" w:type="pct"/>
          </w:tcPr>
          <w:p w14:paraId="69EE194C"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3i: Investing In Infrastructure program reports</w:t>
            </w:r>
          </w:p>
          <w:p w14:paraId="6E4D6314"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546" w:type="pct"/>
          </w:tcPr>
          <w:p w14:paraId="29DEFABE"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440,800 by mid-2018 (3 years into a 5-year program)</w:t>
            </w:r>
          </w:p>
          <w:p w14:paraId="6A4603E4"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479" w:type="pct"/>
          </w:tcPr>
          <w:p w14:paraId="1B103CDD"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0</w:t>
            </w:r>
          </w:p>
          <w:p w14:paraId="58FBA780"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479" w:type="pct"/>
          </w:tcPr>
          <w:p w14:paraId="4955C2B3"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46,400</w:t>
            </w:r>
          </w:p>
          <w:p w14:paraId="7A1B27C3"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490" w:type="pct"/>
          </w:tcPr>
          <w:p w14:paraId="7ED162C4"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197,200</w:t>
            </w:r>
          </w:p>
          <w:p w14:paraId="41C6EE04"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510" w:type="pct"/>
          </w:tcPr>
          <w:p w14:paraId="07A5F030"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197,200</w:t>
            </w:r>
          </w:p>
          <w:p w14:paraId="03FC2806"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r>
      <w:tr w:rsidR="000B136F" w:rsidRPr="00C21370" w14:paraId="0DEC93FC" w14:textId="77777777">
        <w:trPr>
          <w:cantSplit/>
          <w:trHeight w:val="717"/>
        </w:trPr>
        <w:tc>
          <w:tcPr>
            <w:cnfStyle w:val="001000000000" w:firstRow="0" w:lastRow="0" w:firstColumn="1" w:lastColumn="0" w:oddVBand="0" w:evenVBand="0" w:oddHBand="0" w:evenHBand="0" w:firstRowFirstColumn="0" w:firstRowLastColumn="0" w:lastRowFirstColumn="0" w:lastRowLastColumn="0"/>
            <w:tcW w:w="825" w:type="pct"/>
          </w:tcPr>
          <w:p w14:paraId="16EB34B9" w14:textId="77777777" w:rsidR="000B136F" w:rsidRPr="00C21370" w:rsidRDefault="000B136F" w:rsidP="00003741">
            <w:pPr>
              <w:pStyle w:val="ListParagraph"/>
              <w:rPr>
                <w:rFonts w:ascii="Franklin Gothic Book" w:hAnsi="Franklin Gothic Book"/>
                <w:color w:val="000000"/>
              </w:rPr>
            </w:pPr>
          </w:p>
        </w:tc>
        <w:tc>
          <w:tcPr>
            <w:tcW w:w="1113" w:type="pct"/>
          </w:tcPr>
          <w:p w14:paraId="585257E0"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Additional households and businesses connected to piped, treated water (note: analysis will be conducted to assess the different impact that connecting a household to electricity has on women and men)</w:t>
            </w:r>
          </w:p>
        </w:tc>
        <w:tc>
          <w:tcPr>
            <w:tcW w:w="558" w:type="pct"/>
          </w:tcPr>
          <w:p w14:paraId="6A020ED4"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3i: Investing In Infrastructure program reports</w:t>
            </w:r>
          </w:p>
          <w:p w14:paraId="6BFFCEC7"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c>
          <w:tcPr>
            <w:tcW w:w="546" w:type="pct"/>
          </w:tcPr>
          <w:p w14:paraId="4FAC9A7C"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262,200 by mid-2018 (3 years into a 5-year program)</w:t>
            </w:r>
          </w:p>
        </w:tc>
        <w:tc>
          <w:tcPr>
            <w:tcW w:w="479" w:type="pct"/>
          </w:tcPr>
          <w:p w14:paraId="2BAF59FE"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0</w:t>
            </w:r>
          </w:p>
          <w:p w14:paraId="011C420A"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c>
          <w:tcPr>
            <w:tcW w:w="479" w:type="pct"/>
          </w:tcPr>
          <w:p w14:paraId="341E282A"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27,600</w:t>
            </w:r>
          </w:p>
          <w:p w14:paraId="03F7A562"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c>
          <w:tcPr>
            <w:tcW w:w="490" w:type="pct"/>
          </w:tcPr>
          <w:p w14:paraId="4E906293"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117,300</w:t>
            </w:r>
          </w:p>
          <w:p w14:paraId="14228BEA"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c>
          <w:tcPr>
            <w:tcW w:w="510" w:type="pct"/>
          </w:tcPr>
          <w:p w14:paraId="0C5E5E63"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117,300</w:t>
            </w:r>
          </w:p>
          <w:p w14:paraId="1B57AF4B"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r>
      <w:tr w:rsidR="00DB4868" w:rsidRPr="00C21370" w14:paraId="49AD366B" w14:textId="77777777">
        <w:trPr>
          <w:cnfStyle w:val="000000100000" w:firstRow="0" w:lastRow="0" w:firstColumn="0" w:lastColumn="0" w:oddVBand="0" w:evenVBand="0" w:oddHBand="1" w:evenHBand="0" w:firstRowFirstColumn="0" w:firstRowLastColumn="0" w:lastRowFirstColumn="0" w:lastRowLastColumn="0"/>
          <w:cantSplit/>
          <w:trHeight w:val="3"/>
        </w:trPr>
        <w:tc>
          <w:tcPr>
            <w:cnfStyle w:val="001000000000" w:firstRow="0" w:lastRow="0" w:firstColumn="1" w:lastColumn="0" w:oddVBand="0" w:evenVBand="0" w:oddHBand="0" w:evenHBand="0" w:firstRowFirstColumn="0" w:firstRowLastColumn="0" w:lastRowFirstColumn="0" w:lastRowLastColumn="0"/>
            <w:tcW w:w="825" w:type="pct"/>
          </w:tcPr>
          <w:p w14:paraId="47F5E5D1" w14:textId="77777777" w:rsidR="000B136F" w:rsidRPr="00C21370" w:rsidRDefault="000B136F" w:rsidP="00003741">
            <w:pPr>
              <w:pStyle w:val="ListParagraph"/>
              <w:rPr>
                <w:rFonts w:ascii="Franklin Gothic Book" w:hAnsi="Franklin Gothic Book"/>
                <w:color w:val="000000"/>
              </w:rPr>
            </w:pPr>
          </w:p>
        </w:tc>
        <w:tc>
          <w:tcPr>
            <w:tcW w:w="1113" w:type="pct"/>
          </w:tcPr>
          <w:p w14:paraId="3F7E5067"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Infrastructure investment funding leveraged from the private sector</w:t>
            </w:r>
          </w:p>
          <w:p w14:paraId="6BDF5236"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558" w:type="pct"/>
          </w:tcPr>
          <w:p w14:paraId="7161D6CD"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3i: Investing In Infrastructure program reports</w:t>
            </w:r>
          </w:p>
        </w:tc>
        <w:tc>
          <w:tcPr>
            <w:tcW w:w="546" w:type="pct"/>
          </w:tcPr>
          <w:p w14:paraId="517A79F9"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$21,571,000 by mid-2018 (3 years into a 5</w:t>
            </w:r>
            <w:r w:rsidRPr="00C21370">
              <w:rPr>
                <w:rFonts w:ascii="Franklin Gothic Book" w:hAnsi="Franklin Gothic Book"/>
                <w:color w:val="000000"/>
              </w:rPr>
              <w:noBreakHyphen/>
              <w:t>year program)</w:t>
            </w:r>
          </w:p>
        </w:tc>
        <w:tc>
          <w:tcPr>
            <w:tcW w:w="479" w:type="pct"/>
          </w:tcPr>
          <w:p w14:paraId="62A616E7"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0</w:t>
            </w:r>
          </w:p>
        </w:tc>
        <w:tc>
          <w:tcPr>
            <w:tcW w:w="479" w:type="pct"/>
          </w:tcPr>
          <w:p w14:paraId="18C986C5"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$2,397,000</w:t>
            </w:r>
          </w:p>
        </w:tc>
        <w:tc>
          <w:tcPr>
            <w:tcW w:w="490" w:type="pct"/>
          </w:tcPr>
          <w:p w14:paraId="0643E7CC"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$9,587,000</w:t>
            </w:r>
          </w:p>
        </w:tc>
        <w:tc>
          <w:tcPr>
            <w:tcW w:w="510" w:type="pct"/>
          </w:tcPr>
          <w:p w14:paraId="7620215F"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$9,587,000</w:t>
            </w:r>
          </w:p>
        </w:tc>
      </w:tr>
      <w:tr w:rsidR="000B136F" w:rsidRPr="00C21370" w14:paraId="1EA3F525"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150D78EC" w14:textId="77777777" w:rsidR="000B136F" w:rsidRPr="00C21370" w:rsidRDefault="000B136F" w:rsidP="00003741">
            <w:pPr>
              <w:rPr>
                <w:rFonts w:ascii="Franklin Gothic Book" w:hAnsi="Franklin Gothic Book"/>
                <w:color w:val="000000"/>
              </w:rPr>
            </w:pPr>
            <w:r w:rsidRPr="00C21370">
              <w:rPr>
                <w:rFonts w:ascii="Franklin Gothic Book" w:hAnsi="Franklin Gothic Book"/>
                <w:color w:val="000000"/>
              </w:rPr>
              <w:t>Intermediate Outcome 1.2</w:t>
            </w:r>
          </w:p>
        </w:tc>
        <w:tc>
          <w:tcPr>
            <w:tcW w:w="4175" w:type="pct"/>
            <w:gridSpan w:val="7"/>
          </w:tcPr>
          <w:p w14:paraId="40E4A53D"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highlight w:val="yellow"/>
              </w:rPr>
            </w:pPr>
            <w:r w:rsidRPr="00C21370">
              <w:rPr>
                <w:rFonts w:ascii="Franklin Gothic Book" w:hAnsi="Franklin Gothic Book"/>
                <w:b/>
                <w:bCs/>
                <w:iCs/>
              </w:rPr>
              <w:t>Expanded supplies of reliable grid-electricity in Svay Rieng target Province</w:t>
            </w:r>
          </w:p>
        </w:tc>
      </w:tr>
      <w:tr w:rsidR="00DB4868" w:rsidRPr="00C21370" w14:paraId="7B7F4679"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13005A12" w14:textId="77777777" w:rsidR="000B136F" w:rsidRPr="00C21370" w:rsidRDefault="000B136F" w:rsidP="00003741">
            <w:pPr>
              <w:rPr>
                <w:rFonts w:ascii="Franklin Gothic Book" w:hAnsi="Franklin Gothic Book"/>
                <w:color w:val="000000"/>
              </w:rPr>
            </w:pPr>
          </w:p>
        </w:tc>
        <w:tc>
          <w:tcPr>
            <w:tcW w:w="1113" w:type="pct"/>
          </w:tcPr>
          <w:p w14:paraId="0F8C1EE9"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b/>
                <w:i/>
                <w:lang w:eastAsia="en-US"/>
              </w:rPr>
            </w:pPr>
            <w:r w:rsidRPr="00C21370">
              <w:rPr>
                <w:rFonts w:ascii="Franklin Gothic Book" w:hAnsi="Franklin Gothic Book"/>
                <w:color w:val="000000"/>
              </w:rPr>
              <w:t>Combined Electricite du Cambodge (EDC) and rural electricity enterprise (REE) customers in Svay Rieng Province increase to 21,460 households in 2018 (note: analysis will be conducted to assess the different impact that connecting a household to electricity has on women and men)</w:t>
            </w:r>
          </w:p>
        </w:tc>
        <w:tc>
          <w:tcPr>
            <w:tcW w:w="558" w:type="pct"/>
          </w:tcPr>
          <w:p w14:paraId="0D8A973B"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Customer database of</w:t>
            </w:r>
            <w:r>
              <w:rPr>
                <w:rFonts w:ascii="Franklin Gothic Book" w:hAnsi="Franklin Gothic Book"/>
                <w:color w:val="000000"/>
              </w:rPr>
              <w:t xml:space="preserve"> EDC</w:t>
            </w:r>
            <w:r w:rsidRPr="00C21370">
              <w:rPr>
                <w:rFonts w:ascii="Franklin Gothic Book" w:hAnsi="Franklin Gothic Book"/>
                <w:color w:val="000000"/>
              </w:rPr>
              <w:t xml:space="preserve"> and impact assessment report by the consultants of EDC</w:t>
            </w:r>
          </w:p>
        </w:tc>
        <w:tc>
          <w:tcPr>
            <w:tcW w:w="546" w:type="pct"/>
          </w:tcPr>
          <w:p w14:paraId="18D869F5"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21,460 households</w:t>
            </w:r>
          </w:p>
        </w:tc>
        <w:tc>
          <w:tcPr>
            <w:tcW w:w="479" w:type="pct"/>
          </w:tcPr>
          <w:p w14:paraId="4165A655"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13,460 households</w:t>
            </w:r>
          </w:p>
        </w:tc>
        <w:tc>
          <w:tcPr>
            <w:tcW w:w="479" w:type="pct"/>
          </w:tcPr>
          <w:p w14:paraId="73AAEBE9"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14,260 households</w:t>
            </w:r>
          </w:p>
        </w:tc>
        <w:tc>
          <w:tcPr>
            <w:tcW w:w="490" w:type="pct"/>
          </w:tcPr>
          <w:p w14:paraId="7F292C19"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17,460 households</w:t>
            </w:r>
          </w:p>
        </w:tc>
        <w:tc>
          <w:tcPr>
            <w:tcW w:w="510" w:type="pct"/>
          </w:tcPr>
          <w:p w14:paraId="698DAEFE"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21,460 households</w:t>
            </w:r>
          </w:p>
        </w:tc>
      </w:tr>
      <w:tr w:rsidR="000B136F" w:rsidRPr="00C21370" w14:paraId="7D4CABB9" w14:textId="77777777">
        <w:trPr>
          <w:cantSplit/>
          <w:trHeight w:val="3"/>
        </w:trPr>
        <w:tc>
          <w:tcPr>
            <w:cnfStyle w:val="001000000000" w:firstRow="0" w:lastRow="0" w:firstColumn="1" w:lastColumn="0" w:oddVBand="0" w:evenVBand="0" w:oddHBand="0" w:evenHBand="0" w:firstRowFirstColumn="0" w:firstRowLastColumn="0" w:lastRowFirstColumn="0" w:lastRowLastColumn="0"/>
            <w:tcW w:w="825" w:type="pct"/>
          </w:tcPr>
          <w:p w14:paraId="5CBF87FE" w14:textId="77777777" w:rsidR="000B136F" w:rsidRPr="00C21370" w:rsidRDefault="000B136F" w:rsidP="00003741">
            <w:pPr>
              <w:rPr>
                <w:rFonts w:ascii="Franklin Gothic Book" w:hAnsi="Franklin Gothic Book"/>
                <w:color w:val="000000"/>
              </w:rPr>
            </w:pPr>
            <w:r w:rsidRPr="00C21370">
              <w:rPr>
                <w:rFonts w:ascii="Franklin Gothic Book" w:hAnsi="Franklin Gothic Book"/>
                <w:color w:val="000000"/>
              </w:rPr>
              <w:t>Intermediate Outcome 1.3</w:t>
            </w:r>
          </w:p>
        </w:tc>
        <w:tc>
          <w:tcPr>
            <w:tcW w:w="4175" w:type="pct"/>
            <w:gridSpan w:val="7"/>
          </w:tcPr>
          <w:p w14:paraId="3AD0F4D0"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b/>
                <w:bCs/>
                <w:iCs/>
              </w:rPr>
              <w:t>Improved access in agricultural areas of the nine targeted provinces by effective project rural road network</w:t>
            </w:r>
          </w:p>
        </w:tc>
      </w:tr>
      <w:tr w:rsidR="00DB4868" w:rsidRPr="00C21370" w14:paraId="67F0F6B6" w14:textId="77777777">
        <w:trPr>
          <w:cnfStyle w:val="000000100000" w:firstRow="0" w:lastRow="0" w:firstColumn="0" w:lastColumn="0" w:oddVBand="0" w:evenVBand="0" w:oddHBand="1" w:evenHBand="0" w:firstRowFirstColumn="0" w:firstRowLastColumn="0" w:lastRowFirstColumn="0" w:lastRowLastColumn="0"/>
          <w:cantSplit/>
          <w:trHeight w:val="3"/>
        </w:trPr>
        <w:tc>
          <w:tcPr>
            <w:cnfStyle w:val="001000000000" w:firstRow="0" w:lastRow="0" w:firstColumn="1" w:lastColumn="0" w:oddVBand="0" w:evenVBand="0" w:oddHBand="0" w:evenHBand="0" w:firstRowFirstColumn="0" w:firstRowLastColumn="0" w:lastRowFirstColumn="0" w:lastRowLastColumn="0"/>
            <w:tcW w:w="825" w:type="pct"/>
          </w:tcPr>
          <w:p w14:paraId="0164C216" w14:textId="77777777" w:rsidR="000B136F" w:rsidRPr="00C21370" w:rsidRDefault="000B136F" w:rsidP="00003741">
            <w:pPr>
              <w:pStyle w:val="ListParagraph"/>
              <w:rPr>
                <w:rFonts w:ascii="Franklin Gothic Book" w:hAnsi="Franklin Gothic Book"/>
                <w:color w:val="000000"/>
              </w:rPr>
            </w:pPr>
          </w:p>
        </w:tc>
        <w:tc>
          <w:tcPr>
            <w:tcW w:w="1113" w:type="pct"/>
          </w:tcPr>
          <w:p w14:paraId="11766C6F"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Average number of days per year that targe</w:t>
            </w:r>
            <w:r>
              <w:rPr>
                <w:rFonts w:ascii="Franklin Gothic Book" w:hAnsi="Franklin Gothic Book"/>
                <w:color w:val="000000"/>
              </w:rPr>
              <w:t>t roads are accessible</w:t>
            </w:r>
          </w:p>
        </w:tc>
        <w:tc>
          <w:tcPr>
            <w:tcW w:w="558" w:type="pct"/>
          </w:tcPr>
          <w:p w14:paraId="072A98C6"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highlight w:val="yellow"/>
              </w:rPr>
            </w:pPr>
            <w:r w:rsidRPr="00C21370">
              <w:rPr>
                <w:rFonts w:ascii="Franklin Gothic Book" w:hAnsi="Franklin Gothic Book"/>
                <w:color w:val="000000"/>
              </w:rPr>
              <w:t>Field traffic surveys and annual reports of by Ministry of Rural Development</w:t>
            </w:r>
          </w:p>
        </w:tc>
        <w:tc>
          <w:tcPr>
            <w:tcW w:w="546" w:type="pct"/>
          </w:tcPr>
          <w:p w14:paraId="0833969F"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Av.</w:t>
            </w:r>
            <w:r w:rsidRPr="00C21370">
              <w:rPr>
                <w:rFonts w:ascii="Franklin Gothic Book" w:hAnsi="Franklin Gothic Book"/>
                <w:color w:val="000000"/>
              </w:rPr>
              <w:t xml:space="preserve"> number of days per year that the project roads are accessible increased to 300 days by 2018</w:t>
            </w:r>
          </w:p>
        </w:tc>
        <w:tc>
          <w:tcPr>
            <w:tcW w:w="479" w:type="pct"/>
          </w:tcPr>
          <w:p w14:paraId="3E2613D0"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200 days</w:t>
            </w:r>
          </w:p>
        </w:tc>
        <w:tc>
          <w:tcPr>
            <w:tcW w:w="479" w:type="pct"/>
          </w:tcPr>
          <w:p w14:paraId="55D2DDAD"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225 days</w:t>
            </w:r>
          </w:p>
        </w:tc>
        <w:tc>
          <w:tcPr>
            <w:tcW w:w="490" w:type="pct"/>
          </w:tcPr>
          <w:p w14:paraId="158F268B"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265 days</w:t>
            </w:r>
          </w:p>
        </w:tc>
        <w:tc>
          <w:tcPr>
            <w:tcW w:w="510" w:type="pct"/>
          </w:tcPr>
          <w:p w14:paraId="2FC65D2B" w14:textId="77777777" w:rsidR="000B136F" w:rsidRPr="00C21370" w:rsidRDefault="000B136F"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300 days</w:t>
            </w:r>
          </w:p>
        </w:tc>
      </w:tr>
      <w:tr w:rsidR="000B136F" w:rsidRPr="00C21370" w14:paraId="45BB43C7" w14:textId="77777777">
        <w:trPr>
          <w:cantSplit/>
          <w:trHeight w:val="1017"/>
        </w:trPr>
        <w:tc>
          <w:tcPr>
            <w:cnfStyle w:val="001000000000" w:firstRow="0" w:lastRow="0" w:firstColumn="1" w:lastColumn="0" w:oddVBand="0" w:evenVBand="0" w:oddHBand="0" w:evenHBand="0" w:firstRowFirstColumn="0" w:firstRowLastColumn="0" w:lastRowFirstColumn="0" w:lastRowLastColumn="0"/>
            <w:tcW w:w="825" w:type="pct"/>
          </w:tcPr>
          <w:p w14:paraId="223597E2" w14:textId="77777777" w:rsidR="000B136F" w:rsidRPr="00C21370" w:rsidRDefault="000B136F" w:rsidP="00003741">
            <w:pPr>
              <w:pStyle w:val="ListParagraph"/>
              <w:rPr>
                <w:rFonts w:ascii="Franklin Gothic Book" w:hAnsi="Franklin Gothic Book"/>
                <w:color w:val="000000"/>
              </w:rPr>
            </w:pPr>
          </w:p>
        </w:tc>
        <w:tc>
          <w:tcPr>
            <w:tcW w:w="1113" w:type="pct"/>
          </w:tcPr>
          <w:p w14:paraId="7D1084ED"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iCs/>
                <w:color w:val="000000"/>
              </w:rPr>
              <w:t>Average travel time per trip on targeted roads decreased by 18 minutes in 2018</w:t>
            </w:r>
          </w:p>
        </w:tc>
        <w:tc>
          <w:tcPr>
            <w:tcW w:w="558" w:type="pct"/>
          </w:tcPr>
          <w:p w14:paraId="7DC87167"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Field traffic surveys and annual reports by Ministry of Rural Development</w:t>
            </w:r>
          </w:p>
        </w:tc>
        <w:tc>
          <w:tcPr>
            <w:tcW w:w="546" w:type="pct"/>
          </w:tcPr>
          <w:p w14:paraId="0DB37F9F"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18 minutes</w:t>
            </w:r>
          </w:p>
        </w:tc>
        <w:tc>
          <w:tcPr>
            <w:tcW w:w="479" w:type="pct"/>
          </w:tcPr>
          <w:p w14:paraId="3A33AC56"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0</w:t>
            </w:r>
          </w:p>
        </w:tc>
        <w:tc>
          <w:tcPr>
            <w:tcW w:w="479" w:type="pct"/>
          </w:tcPr>
          <w:p w14:paraId="6B673435"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5 minutes</w:t>
            </w:r>
          </w:p>
        </w:tc>
        <w:tc>
          <w:tcPr>
            <w:tcW w:w="490" w:type="pct"/>
          </w:tcPr>
          <w:p w14:paraId="714AD4B4"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12 minutes</w:t>
            </w:r>
          </w:p>
        </w:tc>
        <w:tc>
          <w:tcPr>
            <w:tcW w:w="510" w:type="pct"/>
          </w:tcPr>
          <w:p w14:paraId="5ECEFC8B" w14:textId="77777777" w:rsidR="000B136F" w:rsidRPr="00C21370" w:rsidRDefault="000B136F"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18 minutes</w:t>
            </w:r>
          </w:p>
        </w:tc>
      </w:tr>
      <w:tr w:rsidR="00DB4868" w:rsidRPr="00C21370" w14:paraId="34DA08D4"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shd w:val="clear" w:color="auto" w:fill="C0C0C0"/>
          </w:tcPr>
          <w:p w14:paraId="3C23F69F" w14:textId="77777777" w:rsidR="000B136F" w:rsidRPr="00C21370" w:rsidRDefault="000B136F" w:rsidP="00003741">
            <w:pPr>
              <w:rPr>
                <w:rFonts w:ascii="Franklin Gothic Book" w:hAnsi="Franklin Gothic Book"/>
                <w:iCs/>
              </w:rPr>
            </w:pPr>
            <w:r w:rsidRPr="00C21370">
              <w:rPr>
                <w:rFonts w:ascii="Franklin Gothic Book" w:hAnsi="Franklin Gothic Book"/>
                <w:iCs/>
              </w:rPr>
              <w:t>End–of–AIP Objective 2</w:t>
            </w:r>
          </w:p>
        </w:tc>
        <w:tc>
          <w:tcPr>
            <w:tcW w:w="4175" w:type="pct"/>
            <w:gridSpan w:val="7"/>
            <w:shd w:val="clear" w:color="auto" w:fill="C0C0C0"/>
          </w:tcPr>
          <w:p w14:paraId="4AB8F69F" w14:textId="6BAD50B1" w:rsidR="000B136F" w:rsidRPr="00C21370" w:rsidRDefault="000B136F" w:rsidP="0018337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b/>
                <w:bCs/>
                <w:iCs/>
              </w:rPr>
            </w:pPr>
            <w:r w:rsidRPr="00C21370">
              <w:rPr>
                <w:rFonts w:ascii="Franklin Gothic Book" w:hAnsi="Franklin Gothic Book"/>
                <w:b/>
                <w:bCs/>
                <w:iCs/>
              </w:rPr>
              <w:t xml:space="preserve">Increased agricultural productivity </w:t>
            </w:r>
          </w:p>
        </w:tc>
      </w:tr>
      <w:tr w:rsidR="000B136F" w:rsidRPr="00C21370" w14:paraId="05662E1C"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2B918967" w14:textId="5872ECEB" w:rsidR="000B136F" w:rsidRPr="0018337C" w:rsidRDefault="000B136F" w:rsidP="00003741">
            <w:pPr>
              <w:rPr>
                <w:rFonts w:ascii="Franklin Gothic Book" w:hAnsi="Franklin Gothic Book"/>
                <w:color w:val="000000"/>
              </w:rPr>
            </w:pPr>
            <w:r w:rsidRPr="0018337C">
              <w:rPr>
                <w:rFonts w:ascii="Franklin Gothic Book" w:hAnsi="Franklin Gothic Book"/>
                <w:color w:val="000000"/>
              </w:rPr>
              <w:t>Intermediate Outcome 2.1</w:t>
            </w:r>
          </w:p>
        </w:tc>
        <w:tc>
          <w:tcPr>
            <w:tcW w:w="4175" w:type="pct"/>
            <w:gridSpan w:val="7"/>
          </w:tcPr>
          <w:p w14:paraId="09510CD6" w14:textId="51C7107B" w:rsidR="000B136F" w:rsidRPr="00F822A7" w:rsidRDefault="000B136F" w:rsidP="0018337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18337C">
              <w:rPr>
                <w:rFonts w:ascii="Franklin Gothic Book" w:hAnsi="Franklin Gothic Book"/>
                <w:color w:val="000000"/>
              </w:rPr>
              <w:t>.</w:t>
            </w:r>
            <w:r w:rsidR="0079235B" w:rsidRPr="0018337C">
              <w:t xml:space="preserve"> </w:t>
            </w:r>
            <w:r w:rsidR="0079235B" w:rsidRPr="00F822A7">
              <w:rPr>
                <w:rFonts w:ascii="Franklin Gothic Book" w:hAnsi="Franklin Gothic Book"/>
                <w:color w:val="000000"/>
              </w:rPr>
              <w:t>Improved agricultural productivity</w:t>
            </w:r>
          </w:p>
        </w:tc>
      </w:tr>
      <w:tr w:rsidR="0079235B" w:rsidRPr="00C21370" w14:paraId="62AE7331"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476A32D8" w14:textId="77777777" w:rsidR="0079235B" w:rsidRPr="00C21370" w:rsidRDefault="0079235B" w:rsidP="00003741">
            <w:pPr>
              <w:rPr>
                <w:rFonts w:ascii="Franklin Gothic Book" w:hAnsi="Franklin Gothic Book"/>
                <w:color w:val="000000"/>
              </w:rPr>
            </w:pPr>
          </w:p>
        </w:tc>
        <w:tc>
          <w:tcPr>
            <w:tcW w:w="1113" w:type="pct"/>
          </w:tcPr>
          <w:p w14:paraId="502D5B30" w14:textId="2DE71C3F" w:rsidR="0079235B" w:rsidRPr="00F822A7"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F822A7">
              <w:rPr>
                <w:rFonts w:ascii="Franklin Gothic Book" w:hAnsi="Franklin Gothic Book"/>
                <w:color w:val="000000"/>
              </w:rPr>
              <w:t>Number of farmers with increased productivity</w:t>
            </w:r>
          </w:p>
        </w:tc>
        <w:tc>
          <w:tcPr>
            <w:tcW w:w="558" w:type="pct"/>
          </w:tcPr>
          <w:p w14:paraId="77102EA7" w14:textId="647FA356"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CAVAC monitoring system</w:t>
            </w:r>
          </w:p>
        </w:tc>
        <w:tc>
          <w:tcPr>
            <w:tcW w:w="546" w:type="pct"/>
          </w:tcPr>
          <w:p w14:paraId="42DAC44A" w14:textId="1EEAD293" w:rsidR="0079235B" w:rsidRPr="0018337C"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18337C">
              <w:rPr>
                <w:rFonts w:ascii="Franklin Gothic Book" w:hAnsi="Franklin Gothic Book"/>
                <w:iCs/>
                <w:color w:val="000000"/>
              </w:rPr>
              <w:t>296,932</w:t>
            </w:r>
          </w:p>
        </w:tc>
        <w:tc>
          <w:tcPr>
            <w:tcW w:w="479" w:type="pct"/>
          </w:tcPr>
          <w:p w14:paraId="5DA91BE1" w14:textId="4A0B78CE" w:rsidR="0079235B" w:rsidRPr="00F822A7"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18337C">
              <w:rPr>
                <w:rFonts w:ascii="Franklin Gothic Book" w:hAnsi="Franklin Gothic Book"/>
                <w:iCs/>
                <w:color w:val="000000"/>
              </w:rPr>
              <w:t>135</w:t>
            </w:r>
            <w:r w:rsidRPr="00F822A7">
              <w:rPr>
                <w:rFonts w:ascii="Franklin Gothic Book" w:hAnsi="Franklin Gothic Book"/>
                <w:iCs/>
                <w:color w:val="000000"/>
              </w:rPr>
              <w:t>,618</w:t>
            </w:r>
          </w:p>
        </w:tc>
        <w:tc>
          <w:tcPr>
            <w:tcW w:w="479" w:type="pct"/>
          </w:tcPr>
          <w:p w14:paraId="3B9F6E24" w14:textId="653DE017" w:rsidR="0079235B" w:rsidRPr="00F822A7"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F822A7">
              <w:rPr>
                <w:rFonts w:ascii="Franklin Gothic Book" w:hAnsi="Franklin Gothic Book"/>
                <w:iCs/>
                <w:color w:val="000000"/>
              </w:rPr>
              <w:t>161,314</w:t>
            </w:r>
          </w:p>
        </w:tc>
        <w:tc>
          <w:tcPr>
            <w:tcW w:w="490" w:type="pct"/>
          </w:tcPr>
          <w:p w14:paraId="6E512807" w14:textId="68C9DAC7" w:rsidR="0079235B" w:rsidRPr="0018337C"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F822A7">
              <w:rPr>
                <w:rFonts w:ascii="Franklin Gothic Book" w:hAnsi="Franklin Gothic Book"/>
                <w:iCs/>
                <w:color w:val="000000"/>
              </w:rPr>
              <w:t>13, 507</w:t>
            </w:r>
          </w:p>
        </w:tc>
        <w:tc>
          <w:tcPr>
            <w:tcW w:w="510" w:type="pct"/>
          </w:tcPr>
          <w:p w14:paraId="3A79834A" w14:textId="22DAEF11" w:rsidR="0079235B" w:rsidRPr="0018337C"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iCs/>
                <w:color w:val="000000"/>
              </w:rPr>
            </w:pPr>
            <w:r w:rsidRPr="00F822A7">
              <w:rPr>
                <w:rFonts w:ascii="Franklin Gothic Book" w:hAnsi="Franklin Gothic Book"/>
                <w:iCs/>
                <w:color w:val="000000"/>
              </w:rPr>
              <w:t>50, 490</w:t>
            </w:r>
          </w:p>
        </w:tc>
      </w:tr>
      <w:tr w:rsidR="0079235B" w:rsidRPr="00C21370" w14:paraId="626C0628" w14:textId="77777777" w:rsidTr="00582CF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7F432D79" w14:textId="77777777" w:rsidR="00107E9A" w:rsidRDefault="00107E9A" w:rsidP="00003741">
            <w:pPr>
              <w:rPr>
                <w:rFonts w:ascii="Franklin Gothic Book" w:hAnsi="Franklin Gothic Book"/>
                <w:color w:val="000000"/>
              </w:rPr>
            </w:pPr>
          </w:p>
          <w:p w14:paraId="34F7ECC7" w14:textId="77777777" w:rsidR="00107E9A" w:rsidRDefault="00107E9A" w:rsidP="00003741">
            <w:pPr>
              <w:rPr>
                <w:rFonts w:ascii="Franklin Gothic Book" w:hAnsi="Franklin Gothic Book"/>
                <w:color w:val="000000"/>
              </w:rPr>
            </w:pPr>
          </w:p>
          <w:p w14:paraId="3C039CC6" w14:textId="77777777" w:rsidR="0079235B" w:rsidRPr="00C21370" w:rsidRDefault="0079235B" w:rsidP="00003741">
            <w:pPr>
              <w:rPr>
                <w:rFonts w:ascii="Franklin Gothic Book" w:hAnsi="Franklin Gothic Book"/>
                <w:color w:val="000000"/>
                <w:highlight w:val="yellow"/>
              </w:rPr>
            </w:pPr>
            <w:r w:rsidRPr="00C21370">
              <w:rPr>
                <w:rFonts w:ascii="Franklin Gothic Book" w:hAnsi="Franklin Gothic Book"/>
                <w:color w:val="000000"/>
              </w:rPr>
              <w:t>Intermediate Outcome 2.2</w:t>
            </w:r>
          </w:p>
        </w:tc>
        <w:tc>
          <w:tcPr>
            <w:tcW w:w="4175" w:type="pct"/>
            <w:gridSpan w:val="7"/>
          </w:tcPr>
          <w:p w14:paraId="2AECEB13" w14:textId="77777777" w:rsidR="00107E9A" w:rsidRDefault="00107E9A"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color w:val="000000"/>
              </w:rPr>
            </w:pPr>
          </w:p>
          <w:p w14:paraId="264354E1" w14:textId="77777777" w:rsidR="00107E9A" w:rsidRDefault="00107E9A"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color w:val="000000"/>
              </w:rPr>
            </w:pPr>
          </w:p>
          <w:p w14:paraId="357B9E13" w14:textId="73B2CE30"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b/>
                <w:color w:val="000000"/>
              </w:rPr>
              <w:t>Increase availability of land for productive use</w:t>
            </w:r>
          </w:p>
        </w:tc>
      </w:tr>
      <w:tr w:rsidR="0079235B" w:rsidRPr="00C21370" w14:paraId="1B53238D"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653522C4" w14:textId="77777777" w:rsidR="0079235B" w:rsidRPr="00C21370" w:rsidRDefault="0079235B" w:rsidP="00003741">
            <w:pPr>
              <w:rPr>
                <w:rFonts w:ascii="Franklin Gothic Book" w:hAnsi="Franklin Gothic Book"/>
                <w:color w:val="000000"/>
                <w:highlight w:val="yellow"/>
              </w:rPr>
            </w:pPr>
          </w:p>
        </w:tc>
        <w:tc>
          <w:tcPr>
            <w:tcW w:w="1113" w:type="pct"/>
          </w:tcPr>
          <w:p w14:paraId="4283AB2B"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Additional area of land contaminated by landmines and other Explosive Remnants of War (ERW) released for productive use</w:t>
            </w:r>
          </w:p>
        </w:tc>
        <w:tc>
          <w:tcPr>
            <w:tcW w:w="558" w:type="pct"/>
          </w:tcPr>
          <w:p w14:paraId="504A7506"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 xml:space="preserve">Program reports and </w:t>
            </w:r>
            <w:r>
              <w:rPr>
                <w:rFonts w:ascii="Franklin Gothic Book" w:hAnsi="Franklin Gothic Book"/>
                <w:color w:val="000000"/>
              </w:rPr>
              <w:t>CMAA</w:t>
            </w:r>
            <w:r w:rsidRPr="00C21370">
              <w:rPr>
                <w:rFonts w:ascii="Franklin Gothic Book" w:hAnsi="Franklin Gothic Book"/>
                <w:color w:val="000000"/>
              </w:rPr>
              <w:t xml:space="preserve"> database</w:t>
            </w:r>
          </w:p>
        </w:tc>
        <w:tc>
          <w:tcPr>
            <w:tcW w:w="546" w:type="pct"/>
          </w:tcPr>
          <w:p w14:paraId="5378504E"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41.2km</w:t>
            </w:r>
            <w:r w:rsidRPr="00AF0FED">
              <w:rPr>
                <w:rFonts w:ascii="Franklin Gothic Book" w:hAnsi="Franklin Gothic Book"/>
                <w:color w:val="000000"/>
                <w:vertAlign w:val="superscript"/>
              </w:rPr>
              <w:t>2</w:t>
            </w:r>
          </w:p>
        </w:tc>
        <w:tc>
          <w:tcPr>
            <w:tcW w:w="479" w:type="pct"/>
          </w:tcPr>
          <w:p w14:paraId="49AD941B"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10.3</w:t>
            </w:r>
            <w:r>
              <w:rPr>
                <w:rFonts w:ascii="Franklin Gothic Book" w:hAnsi="Franklin Gothic Book"/>
                <w:color w:val="000000"/>
              </w:rPr>
              <w:t>km</w:t>
            </w:r>
            <w:r w:rsidRPr="00AF0FED">
              <w:rPr>
                <w:rFonts w:ascii="Franklin Gothic Book" w:hAnsi="Franklin Gothic Book"/>
                <w:color w:val="000000"/>
                <w:vertAlign w:val="superscript"/>
              </w:rPr>
              <w:t>2</w:t>
            </w:r>
          </w:p>
        </w:tc>
        <w:tc>
          <w:tcPr>
            <w:tcW w:w="479" w:type="pct"/>
          </w:tcPr>
          <w:p w14:paraId="2317AC7F"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10.3</w:t>
            </w:r>
            <w:r>
              <w:rPr>
                <w:rFonts w:ascii="Franklin Gothic Book" w:hAnsi="Franklin Gothic Book"/>
                <w:color w:val="000000"/>
              </w:rPr>
              <w:t>km</w:t>
            </w:r>
            <w:r w:rsidRPr="00AF0FED">
              <w:rPr>
                <w:rFonts w:ascii="Franklin Gothic Book" w:hAnsi="Franklin Gothic Book"/>
                <w:color w:val="000000"/>
                <w:vertAlign w:val="superscript"/>
              </w:rPr>
              <w:t>2</w:t>
            </w:r>
          </w:p>
        </w:tc>
        <w:tc>
          <w:tcPr>
            <w:tcW w:w="490" w:type="pct"/>
          </w:tcPr>
          <w:p w14:paraId="5E415210"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6.5km</w:t>
            </w:r>
            <w:r w:rsidRPr="00F67A12">
              <w:rPr>
                <w:rFonts w:ascii="Franklin Gothic Book" w:hAnsi="Franklin Gothic Book"/>
                <w:color w:val="000000"/>
                <w:vertAlign w:val="superscript"/>
              </w:rPr>
              <w:t>2</w:t>
            </w:r>
          </w:p>
        </w:tc>
        <w:tc>
          <w:tcPr>
            <w:tcW w:w="510" w:type="pct"/>
          </w:tcPr>
          <w:p w14:paraId="0AF6060F"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6.5km</w:t>
            </w:r>
            <w:r w:rsidRPr="00010F97">
              <w:rPr>
                <w:rFonts w:ascii="Franklin Gothic Book" w:hAnsi="Franklin Gothic Book"/>
                <w:color w:val="000000"/>
                <w:vertAlign w:val="superscript"/>
              </w:rPr>
              <w:t>2</w:t>
            </w:r>
          </w:p>
        </w:tc>
      </w:tr>
      <w:tr w:rsidR="0079235B" w:rsidRPr="00C21370" w14:paraId="034BFF54"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shd w:val="clear" w:color="auto" w:fill="C0C0C0"/>
          </w:tcPr>
          <w:p w14:paraId="5F87913E" w14:textId="77777777" w:rsidR="0079235B" w:rsidRPr="00C21370" w:rsidRDefault="0079235B" w:rsidP="00003741">
            <w:pPr>
              <w:rPr>
                <w:rFonts w:ascii="Franklin Gothic Book" w:hAnsi="Franklin Gothic Book"/>
                <w:iCs/>
              </w:rPr>
            </w:pPr>
            <w:r w:rsidRPr="00C21370">
              <w:rPr>
                <w:rFonts w:ascii="Franklin Gothic Book" w:hAnsi="Franklin Gothic Book"/>
                <w:iCs/>
              </w:rPr>
              <w:t>End–of–AIP Objective 3</w:t>
            </w:r>
          </w:p>
        </w:tc>
        <w:tc>
          <w:tcPr>
            <w:tcW w:w="4175" w:type="pct"/>
            <w:gridSpan w:val="7"/>
            <w:shd w:val="clear" w:color="auto" w:fill="C0C0C0"/>
          </w:tcPr>
          <w:p w14:paraId="6EDBDA20"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iCs/>
              </w:rPr>
            </w:pPr>
            <w:r>
              <w:rPr>
                <w:rFonts w:ascii="Franklin Gothic Book" w:hAnsi="Franklin Gothic Book"/>
                <w:b/>
                <w:bCs/>
                <w:iCs/>
              </w:rPr>
              <w:t>Better health and education outcomes</w:t>
            </w:r>
          </w:p>
        </w:tc>
      </w:tr>
      <w:tr w:rsidR="0079235B" w:rsidRPr="00C21370" w14:paraId="1AEF95B1"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158EFD2E" w14:textId="77777777" w:rsidR="0079235B" w:rsidRPr="00C21370" w:rsidRDefault="0079235B" w:rsidP="00003741">
            <w:pPr>
              <w:rPr>
                <w:rFonts w:ascii="Franklin Gothic Book" w:hAnsi="Franklin Gothic Book"/>
                <w:color w:val="000000"/>
              </w:rPr>
            </w:pPr>
            <w:r w:rsidRPr="00C21370">
              <w:rPr>
                <w:rFonts w:ascii="Franklin Gothic Book" w:hAnsi="Franklin Gothic Book"/>
                <w:color w:val="000000"/>
              </w:rPr>
              <w:t>Intermediate Outcome 3.1</w:t>
            </w:r>
          </w:p>
        </w:tc>
        <w:tc>
          <w:tcPr>
            <w:tcW w:w="4175" w:type="pct"/>
            <w:gridSpan w:val="7"/>
          </w:tcPr>
          <w:p w14:paraId="29938204"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highlight w:val="yellow"/>
              </w:rPr>
            </w:pPr>
            <w:r w:rsidRPr="00C21370">
              <w:rPr>
                <w:rFonts w:ascii="Franklin Gothic Book" w:hAnsi="Franklin Gothic Book"/>
                <w:b/>
                <w:bCs/>
                <w:color w:val="000000"/>
              </w:rPr>
              <w:t xml:space="preserve">Increased access to quality health services for the poor, women and children, </w:t>
            </w:r>
            <w:r>
              <w:rPr>
                <w:rFonts w:ascii="Franklin Gothic Book" w:hAnsi="Franklin Gothic Book"/>
                <w:b/>
                <w:bCs/>
                <w:color w:val="000000"/>
              </w:rPr>
              <w:t xml:space="preserve">and </w:t>
            </w:r>
            <w:r w:rsidRPr="00C21370">
              <w:rPr>
                <w:rFonts w:ascii="Franklin Gothic Book" w:hAnsi="Franklin Gothic Book"/>
                <w:b/>
                <w:bCs/>
                <w:color w:val="000000"/>
              </w:rPr>
              <w:t>progress towards the health MDGs</w:t>
            </w:r>
            <w:r>
              <w:rPr>
                <w:rFonts w:ascii="Franklin Gothic Book" w:hAnsi="Franklin Gothic Book"/>
                <w:b/>
                <w:bCs/>
                <w:color w:val="000000"/>
              </w:rPr>
              <w:t>/SDGs</w:t>
            </w:r>
            <w:r w:rsidRPr="00C21370">
              <w:rPr>
                <w:rFonts w:ascii="Franklin Gothic Book" w:hAnsi="Franklin Gothic Book"/>
                <w:b/>
                <w:bCs/>
                <w:color w:val="000000"/>
              </w:rPr>
              <w:t>.</w:t>
            </w:r>
          </w:p>
        </w:tc>
      </w:tr>
      <w:tr w:rsidR="0079235B" w:rsidRPr="00C21370" w14:paraId="10DCC793"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744E70A7" w14:textId="77777777" w:rsidR="0079235B" w:rsidRPr="00C21370" w:rsidRDefault="0079235B" w:rsidP="00003741">
            <w:pPr>
              <w:rPr>
                <w:rFonts w:ascii="Franklin Gothic Book" w:hAnsi="Franklin Gothic Book"/>
                <w:color w:val="000000"/>
              </w:rPr>
            </w:pPr>
          </w:p>
        </w:tc>
        <w:tc>
          <w:tcPr>
            <w:tcW w:w="1113" w:type="pct"/>
          </w:tcPr>
          <w:p w14:paraId="0044B035"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Percentage of children vaccinated with DTP3 - HepB</w:t>
            </w:r>
          </w:p>
        </w:tc>
        <w:tc>
          <w:tcPr>
            <w:tcW w:w="558" w:type="pct"/>
          </w:tcPr>
          <w:p w14:paraId="66288657"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Ministry of Health Reports</w:t>
            </w:r>
          </w:p>
        </w:tc>
        <w:tc>
          <w:tcPr>
            <w:tcW w:w="546" w:type="pct"/>
          </w:tcPr>
          <w:p w14:paraId="3BB6B470"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 xml:space="preserve">More </w:t>
            </w:r>
            <w:r>
              <w:rPr>
                <w:rFonts w:ascii="Franklin Gothic Book" w:hAnsi="Franklin Gothic Book"/>
                <w:color w:val="000000"/>
              </w:rPr>
              <w:t>than 97% of children aged &lt;1 y</w:t>
            </w:r>
            <w:r w:rsidRPr="00C21370">
              <w:rPr>
                <w:rFonts w:ascii="Franklin Gothic Book" w:hAnsi="Franklin Gothic Book"/>
                <w:color w:val="000000"/>
              </w:rPr>
              <w:t>r vaccinated with DTP3-HepB by 2018</w:t>
            </w:r>
          </w:p>
        </w:tc>
        <w:tc>
          <w:tcPr>
            <w:tcW w:w="479" w:type="pct"/>
          </w:tcPr>
          <w:p w14:paraId="6B350613"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95%</w:t>
            </w:r>
          </w:p>
        </w:tc>
        <w:tc>
          <w:tcPr>
            <w:tcW w:w="479" w:type="pct"/>
          </w:tcPr>
          <w:p w14:paraId="6C36FB7D"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&gt;97%</w:t>
            </w:r>
          </w:p>
        </w:tc>
        <w:tc>
          <w:tcPr>
            <w:tcW w:w="490" w:type="pct"/>
          </w:tcPr>
          <w:p w14:paraId="145ADC87"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&gt;97%</w:t>
            </w:r>
          </w:p>
        </w:tc>
        <w:tc>
          <w:tcPr>
            <w:tcW w:w="510" w:type="pct"/>
          </w:tcPr>
          <w:p w14:paraId="7CCAF318"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&gt;97%</w:t>
            </w:r>
          </w:p>
        </w:tc>
      </w:tr>
      <w:tr w:rsidR="0079235B" w:rsidRPr="00C21370" w14:paraId="09236694"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00E0FC97" w14:textId="77777777" w:rsidR="0079235B" w:rsidRPr="00C21370" w:rsidRDefault="0079235B" w:rsidP="00003741">
            <w:pPr>
              <w:rPr>
                <w:rFonts w:ascii="Franklin Gothic Book" w:hAnsi="Franklin Gothic Book"/>
                <w:color w:val="000000"/>
              </w:rPr>
            </w:pPr>
          </w:p>
        </w:tc>
        <w:tc>
          <w:tcPr>
            <w:tcW w:w="1113" w:type="pct"/>
          </w:tcPr>
          <w:p w14:paraId="5246EA72"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Percentage of births attended by trained health personnel</w:t>
            </w:r>
          </w:p>
        </w:tc>
        <w:tc>
          <w:tcPr>
            <w:tcW w:w="558" w:type="pct"/>
          </w:tcPr>
          <w:p w14:paraId="059CFD19"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Ministry of Health Reports</w:t>
            </w:r>
          </w:p>
        </w:tc>
        <w:tc>
          <w:tcPr>
            <w:tcW w:w="546" w:type="pct"/>
          </w:tcPr>
          <w:p w14:paraId="72A65350"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More than 80% of births attended by trained health personnel by 2018</w:t>
            </w:r>
          </w:p>
        </w:tc>
        <w:tc>
          <w:tcPr>
            <w:tcW w:w="479" w:type="pct"/>
          </w:tcPr>
          <w:p w14:paraId="71D71CD8"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&gt;80%</w:t>
            </w:r>
          </w:p>
        </w:tc>
        <w:tc>
          <w:tcPr>
            <w:tcW w:w="479" w:type="pct"/>
          </w:tcPr>
          <w:p w14:paraId="647A832D"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&gt;80%</w:t>
            </w:r>
          </w:p>
        </w:tc>
        <w:tc>
          <w:tcPr>
            <w:tcW w:w="490" w:type="pct"/>
          </w:tcPr>
          <w:p w14:paraId="4B07472A"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&gt;80%</w:t>
            </w:r>
          </w:p>
        </w:tc>
        <w:tc>
          <w:tcPr>
            <w:tcW w:w="510" w:type="pct"/>
          </w:tcPr>
          <w:p w14:paraId="7141ECB9"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&gt;80%</w:t>
            </w:r>
          </w:p>
        </w:tc>
      </w:tr>
      <w:tr w:rsidR="0079235B" w:rsidRPr="00C21370" w14:paraId="0D1110E5"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2E22E880" w14:textId="77777777" w:rsidR="0079235B" w:rsidRPr="00C21370" w:rsidRDefault="0079235B" w:rsidP="00003741">
            <w:pPr>
              <w:rPr>
                <w:rFonts w:ascii="Franklin Gothic Book" w:hAnsi="Franklin Gothic Book"/>
                <w:color w:val="000000"/>
              </w:rPr>
            </w:pPr>
          </w:p>
        </w:tc>
        <w:tc>
          <w:tcPr>
            <w:tcW w:w="1113" w:type="pct"/>
          </w:tcPr>
          <w:p w14:paraId="0C3E3AD7"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Percentage of women aged 15-49</w:t>
            </w:r>
            <w:r>
              <w:rPr>
                <w:rFonts w:ascii="Franklin Gothic Book" w:hAnsi="Franklin Gothic Book"/>
                <w:color w:val="000000"/>
              </w:rPr>
              <w:t xml:space="preserve"> </w:t>
            </w:r>
            <w:r w:rsidRPr="00C21370">
              <w:rPr>
                <w:rFonts w:ascii="Franklin Gothic Book" w:hAnsi="Franklin Gothic Book"/>
                <w:color w:val="000000"/>
              </w:rPr>
              <w:t>years who are married or in union used modern contraceptive methods</w:t>
            </w:r>
          </w:p>
        </w:tc>
        <w:tc>
          <w:tcPr>
            <w:tcW w:w="558" w:type="pct"/>
          </w:tcPr>
          <w:p w14:paraId="4A63F065"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Ministry of Health and project reports</w:t>
            </w:r>
          </w:p>
        </w:tc>
        <w:tc>
          <w:tcPr>
            <w:tcW w:w="546" w:type="pct"/>
          </w:tcPr>
          <w:p w14:paraId="770A258F"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At least 42% of women aged 15-49 years used modern contraceptive methods by 2018</w:t>
            </w:r>
          </w:p>
        </w:tc>
        <w:tc>
          <w:tcPr>
            <w:tcW w:w="479" w:type="pct"/>
          </w:tcPr>
          <w:p w14:paraId="5B4FDB1B"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35%</w:t>
            </w:r>
          </w:p>
        </w:tc>
        <w:tc>
          <w:tcPr>
            <w:tcW w:w="479" w:type="pct"/>
          </w:tcPr>
          <w:p w14:paraId="219573E7"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37%</w:t>
            </w:r>
          </w:p>
        </w:tc>
        <w:tc>
          <w:tcPr>
            <w:tcW w:w="490" w:type="pct"/>
          </w:tcPr>
          <w:p w14:paraId="7D8C1744"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40%</w:t>
            </w:r>
          </w:p>
        </w:tc>
        <w:tc>
          <w:tcPr>
            <w:tcW w:w="510" w:type="pct"/>
          </w:tcPr>
          <w:p w14:paraId="02658E4F"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42%</w:t>
            </w:r>
          </w:p>
        </w:tc>
      </w:tr>
      <w:tr w:rsidR="0079235B" w:rsidRPr="00C21370" w14:paraId="5CF43211"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62C1CA67" w14:textId="77777777" w:rsidR="0079235B" w:rsidRPr="00C21370" w:rsidRDefault="0079235B" w:rsidP="00003741">
            <w:pPr>
              <w:rPr>
                <w:rFonts w:ascii="Franklin Gothic Book" w:hAnsi="Franklin Gothic Book"/>
                <w:color w:val="000000"/>
              </w:rPr>
            </w:pPr>
          </w:p>
        </w:tc>
        <w:tc>
          <w:tcPr>
            <w:tcW w:w="1113" w:type="pct"/>
          </w:tcPr>
          <w:p w14:paraId="3F7EBE81"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 xml:space="preserve">Percentage of poor people </w:t>
            </w:r>
            <w:r>
              <w:rPr>
                <w:rFonts w:ascii="Franklin Gothic Book" w:hAnsi="Franklin Gothic Book"/>
                <w:color w:val="000000"/>
              </w:rPr>
              <w:t xml:space="preserve">(men/women) </w:t>
            </w:r>
            <w:r w:rsidRPr="00C21370">
              <w:rPr>
                <w:rFonts w:ascii="Franklin Gothic Book" w:hAnsi="Franklin Gothic Book"/>
                <w:color w:val="000000"/>
              </w:rPr>
              <w:t>who access to health care covered by health equity fund (HEF)</w:t>
            </w:r>
          </w:p>
        </w:tc>
        <w:tc>
          <w:tcPr>
            <w:tcW w:w="558" w:type="pct"/>
          </w:tcPr>
          <w:p w14:paraId="7C5F3765"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Ministry of Health and project Reports</w:t>
            </w:r>
          </w:p>
        </w:tc>
        <w:tc>
          <w:tcPr>
            <w:tcW w:w="546" w:type="pct"/>
          </w:tcPr>
          <w:p w14:paraId="6BDD2A68"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100% of poor people covered by HEF by 2018</w:t>
            </w:r>
          </w:p>
        </w:tc>
        <w:tc>
          <w:tcPr>
            <w:tcW w:w="479" w:type="pct"/>
          </w:tcPr>
          <w:p w14:paraId="1EB0B66B"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80%</w:t>
            </w:r>
          </w:p>
        </w:tc>
        <w:tc>
          <w:tcPr>
            <w:tcW w:w="479" w:type="pct"/>
          </w:tcPr>
          <w:p w14:paraId="7C52EA3A"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90%</w:t>
            </w:r>
          </w:p>
        </w:tc>
        <w:tc>
          <w:tcPr>
            <w:tcW w:w="490" w:type="pct"/>
          </w:tcPr>
          <w:p w14:paraId="13F0BE97"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95%</w:t>
            </w:r>
          </w:p>
        </w:tc>
        <w:tc>
          <w:tcPr>
            <w:tcW w:w="510" w:type="pct"/>
          </w:tcPr>
          <w:p w14:paraId="15CC62BA"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100%</w:t>
            </w:r>
          </w:p>
        </w:tc>
      </w:tr>
      <w:tr w:rsidR="0079235B" w:rsidRPr="00C21370" w14:paraId="6063A620"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1F318E5E" w14:textId="77777777" w:rsidR="0079235B" w:rsidRPr="00C21370" w:rsidRDefault="0079235B" w:rsidP="00003741">
            <w:pPr>
              <w:rPr>
                <w:rFonts w:ascii="Franklin Gothic Book" w:hAnsi="Franklin Gothic Book"/>
                <w:color w:val="000000"/>
              </w:rPr>
            </w:pPr>
          </w:p>
        </w:tc>
        <w:tc>
          <w:tcPr>
            <w:tcW w:w="1113" w:type="pct"/>
          </w:tcPr>
          <w:p w14:paraId="4B2F7DF8"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Percentage of public health facilities, hospitals and health centres, assessed by quality of care assessment tool</w:t>
            </w:r>
          </w:p>
        </w:tc>
        <w:tc>
          <w:tcPr>
            <w:tcW w:w="558" w:type="pct"/>
          </w:tcPr>
          <w:p w14:paraId="78007A6B"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Ministry of Health and project reports</w:t>
            </w:r>
          </w:p>
        </w:tc>
        <w:tc>
          <w:tcPr>
            <w:tcW w:w="546" w:type="pct"/>
          </w:tcPr>
          <w:p w14:paraId="45654738"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All public health facilities assessed by quality of care assessment tool by 2018</w:t>
            </w:r>
          </w:p>
        </w:tc>
        <w:tc>
          <w:tcPr>
            <w:tcW w:w="479" w:type="pct"/>
          </w:tcPr>
          <w:p w14:paraId="5969FBFF"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50%</w:t>
            </w:r>
          </w:p>
        </w:tc>
        <w:tc>
          <w:tcPr>
            <w:tcW w:w="479" w:type="pct"/>
          </w:tcPr>
          <w:p w14:paraId="51F53882"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70%</w:t>
            </w:r>
          </w:p>
        </w:tc>
        <w:tc>
          <w:tcPr>
            <w:tcW w:w="490" w:type="pct"/>
          </w:tcPr>
          <w:p w14:paraId="4785A905"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90%</w:t>
            </w:r>
          </w:p>
        </w:tc>
        <w:tc>
          <w:tcPr>
            <w:tcW w:w="510" w:type="pct"/>
          </w:tcPr>
          <w:p w14:paraId="6DB1FDD4"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100%</w:t>
            </w:r>
          </w:p>
        </w:tc>
      </w:tr>
      <w:tr w:rsidR="0079235B" w:rsidRPr="00C21370" w14:paraId="5A77F6AF"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69E8FA0E" w14:textId="77777777" w:rsidR="0079235B" w:rsidRPr="00C21370" w:rsidRDefault="0079235B" w:rsidP="00003741">
            <w:pPr>
              <w:rPr>
                <w:rFonts w:ascii="Franklin Gothic Book" w:hAnsi="Franklin Gothic Book"/>
                <w:color w:val="000000"/>
                <w:highlight w:val="yellow"/>
              </w:rPr>
            </w:pPr>
            <w:r w:rsidRPr="00C21370">
              <w:rPr>
                <w:rFonts w:ascii="Franklin Gothic Book" w:hAnsi="Franklin Gothic Book"/>
                <w:color w:val="000000"/>
              </w:rPr>
              <w:t>Intermediate Outcome 3.2</w:t>
            </w:r>
          </w:p>
        </w:tc>
        <w:tc>
          <w:tcPr>
            <w:tcW w:w="4175" w:type="pct"/>
            <w:gridSpan w:val="7"/>
          </w:tcPr>
          <w:p w14:paraId="29CDE286"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highlight w:val="yellow"/>
              </w:rPr>
            </w:pPr>
            <w:r w:rsidRPr="00C21370">
              <w:rPr>
                <w:rFonts w:ascii="Franklin Gothic Book" w:hAnsi="Franklin Gothic Book"/>
                <w:b/>
                <w:bCs/>
                <w:iCs/>
                <w:color w:val="000000"/>
              </w:rPr>
              <w:t>Improved capacity and leadership skills of individuals who can contribute to development in Cambodia</w:t>
            </w:r>
          </w:p>
        </w:tc>
      </w:tr>
      <w:tr w:rsidR="0079235B" w:rsidRPr="00C21370" w14:paraId="0E59C93D"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473F86C5" w14:textId="77777777" w:rsidR="0079235B" w:rsidRPr="00C21370" w:rsidRDefault="0079235B" w:rsidP="00003741">
            <w:pPr>
              <w:rPr>
                <w:rFonts w:ascii="Franklin Gothic Book" w:hAnsi="Franklin Gothic Book"/>
                <w:color w:val="000000"/>
                <w:highlight w:val="yellow"/>
              </w:rPr>
            </w:pPr>
          </w:p>
        </w:tc>
        <w:tc>
          <w:tcPr>
            <w:tcW w:w="1113" w:type="pct"/>
          </w:tcPr>
          <w:p w14:paraId="6B21FC52"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Number of female/male scholarship candidate awarded to Australian universities</w:t>
            </w:r>
          </w:p>
        </w:tc>
        <w:tc>
          <w:tcPr>
            <w:tcW w:w="558" w:type="pct"/>
          </w:tcPr>
          <w:p w14:paraId="11D9BDF1"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Project reports</w:t>
            </w:r>
          </w:p>
          <w:p w14:paraId="69588C9B"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c>
          <w:tcPr>
            <w:tcW w:w="546" w:type="pct"/>
          </w:tcPr>
          <w:p w14:paraId="05171025" w14:textId="77777777" w:rsidR="0079235B" w:rsidRPr="00C21370" w:rsidRDefault="0079235B" w:rsidP="00003741">
            <w:pPr>
              <w:spacing w:after="120"/>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Total 220</w:t>
            </w:r>
            <w:r w:rsidRPr="00C21370">
              <w:rPr>
                <w:rFonts w:ascii="Franklin Gothic Book" w:hAnsi="Franklin Gothic Book"/>
                <w:color w:val="000000"/>
              </w:rPr>
              <w:br/>
              <w:t>(50% women/50% men)</w:t>
            </w:r>
          </w:p>
        </w:tc>
        <w:tc>
          <w:tcPr>
            <w:tcW w:w="479" w:type="pct"/>
          </w:tcPr>
          <w:p w14:paraId="60D31C41" w14:textId="77777777" w:rsidR="0079235B" w:rsidRPr="00C21370" w:rsidRDefault="0079235B" w:rsidP="00003741">
            <w:pPr>
              <w:spacing w:after="120"/>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24/31</w:t>
            </w:r>
          </w:p>
        </w:tc>
        <w:tc>
          <w:tcPr>
            <w:tcW w:w="479" w:type="pct"/>
          </w:tcPr>
          <w:p w14:paraId="1DEFC806" w14:textId="77777777" w:rsidR="0079235B" w:rsidRPr="00C21370" w:rsidRDefault="0079235B" w:rsidP="00003741">
            <w:pPr>
              <w:spacing w:after="120"/>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28/27</w:t>
            </w:r>
          </w:p>
        </w:tc>
        <w:tc>
          <w:tcPr>
            <w:tcW w:w="490" w:type="pct"/>
          </w:tcPr>
          <w:p w14:paraId="12D962ED" w14:textId="77777777" w:rsidR="0079235B" w:rsidRPr="00C21370" w:rsidRDefault="0079235B" w:rsidP="00003741">
            <w:pPr>
              <w:spacing w:after="120"/>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28/27</w:t>
            </w:r>
          </w:p>
        </w:tc>
        <w:tc>
          <w:tcPr>
            <w:tcW w:w="510" w:type="pct"/>
          </w:tcPr>
          <w:p w14:paraId="38B4E248" w14:textId="77777777" w:rsidR="0079235B" w:rsidRPr="00C21370" w:rsidRDefault="0079235B" w:rsidP="00003741">
            <w:pPr>
              <w:spacing w:after="120"/>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28/27</w:t>
            </w:r>
          </w:p>
        </w:tc>
      </w:tr>
      <w:tr w:rsidR="0079235B" w:rsidRPr="00C21370" w14:paraId="7F496C58"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2589DDE9" w14:textId="77777777" w:rsidR="0079235B" w:rsidRPr="00C21370" w:rsidRDefault="0079235B" w:rsidP="00003741">
            <w:pPr>
              <w:rPr>
                <w:rFonts w:ascii="Franklin Gothic Book" w:hAnsi="Franklin Gothic Book"/>
                <w:color w:val="000000"/>
                <w:highlight w:val="yellow"/>
              </w:rPr>
            </w:pPr>
          </w:p>
        </w:tc>
        <w:tc>
          <w:tcPr>
            <w:tcW w:w="1113" w:type="pct"/>
          </w:tcPr>
          <w:p w14:paraId="351308B0"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 xml:space="preserve">Percentage of </w:t>
            </w:r>
            <w:r>
              <w:rPr>
                <w:rFonts w:ascii="Franklin Gothic Book" w:hAnsi="Franklin Gothic Book"/>
                <w:color w:val="000000"/>
              </w:rPr>
              <w:t xml:space="preserve">male/female </w:t>
            </w:r>
            <w:r w:rsidRPr="00C21370">
              <w:rPr>
                <w:rFonts w:ascii="Franklin Gothic Book" w:hAnsi="Franklin Gothic Book"/>
                <w:color w:val="000000"/>
              </w:rPr>
              <w:t>scholarship awardees successfully completing their studies in Australia</w:t>
            </w:r>
          </w:p>
        </w:tc>
        <w:tc>
          <w:tcPr>
            <w:tcW w:w="558" w:type="pct"/>
          </w:tcPr>
          <w:p w14:paraId="364127FF"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Project reports</w:t>
            </w:r>
          </w:p>
          <w:p w14:paraId="7CA8363A"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p>
        </w:tc>
        <w:tc>
          <w:tcPr>
            <w:tcW w:w="546" w:type="pct"/>
          </w:tcPr>
          <w:p w14:paraId="5C35520B" w14:textId="77777777" w:rsidR="0079235B" w:rsidRPr="00C21370" w:rsidRDefault="0079235B" w:rsidP="00003741">
            <w:pPr>
              <w:spacing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Over 95% of awardees successfully completing their studies</w:t>
            </w:r>
          </w:p>
        </w:tc>
        <w:tc>
          <w:tcPr>
            <w:tcW w:w="479" w:type="pct"/>
          </w:tcPr>
          <w:p w14:paraId="04995D52" w14:textId="77777777" w:rsidR="0079235B" w:rsidRPr="00C21370" w:rsidRDefault="0079235B" w:rsidP="00003741">
            <w:pPr>
              <w:spacing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&gt;95%</w:t>
            </w:r>
          </w:p>
        </w:tc>
        <w:tc>
          <w:tcPr>
            <w:tcW w:w="479" w:type="pct"/>
          </w:tcPr>
          <w:p w14:paraId="0A9DC6CB" w14:textId="77777777" w:rsidR="0079235B" w:rsidRPr="00C21370" w:rsidRDefault="0079235B" w:rsidP="00003741">
            <w:pPr>
              <w:spacing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&gt;95%</w:t>
            </w:r>
          </w:p>
        </w:tc>
        <w:tc>
          <w:tcPr>
            <w:tcW w:w="490" w:type="pct"/>
          </w:tcPr>
          <w:p w14:paraId="61E00F78" w14:textId="77777777" w:rsidR="0079235B" w:rsidRPr="00C21370" w:rsidRDefault="0079235B" w:rsidP="00003741">
            <w:pPr>
              <w:spacing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&gt;95%</w:t>
            </w:r>
          </w:p>
        </w:tc>
        <w:tc>
          <w:tcPr>
            <w:tcW w:w="510" w:type="pct"/>
          </w:tcPr>
          <w:p w14:paraId="6BBE517F" w14:textId="77777777" w:rsidR="0079235B" w:rsidRPr="00C21370" w:rsidRDefault="0079235B" w:rsidP="00003741">
            <w:pPr>
              <w:spacing w:after="120"/>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&gt;95%</w:t>
            </w:r>
          </w:p>
        </w:tc>
      </w:tr>
      <w:tr w:rsidR="0079235B" w:rsidRPr="00C21370" w14:paraId="63812FBA"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shd w:val="clear" w:color="auto" w:fill="C0C0C0"/>
          </w:tcPr>
          <w:p w14:paraId="3ECE6BDF" w14:textId="77777777" w:rsidR="0079235B" w:rsidRPr="00C21370" w:rsidRDefault="0079235B" w:rsidP="00003741">
            <w:pPr>
              <w:rPr>
                <w:rFonts w:ascii="Franklin Gothic Book" w:eastAsiaTheme="minorHAnsi" w:hAnsi="Franklin Gothic Book"/>
                <w:color w:val="000000"/>
                <w:highlight w:val="yellow"/>
              </w:rPr>
            </w:pPr>
            <w:r w:rsidRPr="00C21370">
              <w:rPr>
                <w:rFonts w:ascii="Franklin Gothic Book" w:hAnsi="Franklin Gothic Book"/>
                <w:iCs/>
              </w:rPr>
              <w:t xml:space="preserve">End–of–AIP Objective </w:t>
            </w:r>
            <w:r>
              <w:rPr>
                <w:rFonts w:ascii="Franklin Gothic Book" w:hAnsi="Franklin Gothic Book"/>
                <w:iCs/>
              </w:rPr>
              <w:t>4</w:t>
            </w:r>
          </w:p>
        </w:tc>
        <w:tc>
          <w:tcPr>
            <w:tcW w:w="4175" w:type="pct"/>
            <w:gridSpan w:val="7"/>
            <w:shd w:val="clear" w:color="auto" w:fill="C0C0C0"/>
          </w:tcPr>
          <w:p w14:paraId="100D2640"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b/>
                <w:bCs/>
                <w:color w:val="000000"/>
                <w:highlight w:val="yellow"/>
              </w:rPr>
            </w:pPr>
            <w:r>
              <w:rPr>
                <w:rFonts w:ascii="Franklin Gothic Book" w:hAnsi="Franklin Gothic Book"/>
                <w:b/>
                <w:bCs/>
                <w:iCs/>
              </w:rPr>
              <w:t>Cross-cutting investments</w:t>
            </w:r>
          </w:p>
        </w:tc>
      </w:tr>
      <w:tr w:rsidR="0079235B" w:rsidRPr="00C21370" w14:paraId="30D6357C" w14:textId="77777777">
        <w:trPr>
          <w:cnfStyle w:val="000000100000" w:firstRow="0" w:lastRow="0" w:firstColumn="0" w:lastColumn="0" w:oddVBand="0" w:evenVBand="0" w:oddHBand="1" w:evenHBand="0" w:firstRowFirstColumn="0" w:firstRowLastColumn="0" w:lastRowFirstColumn="0" w:lastRowLastColumn="0"/>
          <w:cantSplit/>
          <w:trHeight w:val="241"/>
        </w:trPr>
        <w:tc>
          <w:tcPr>
            <w:cnfStyle w:val="001000000000" w:firstRow="0" w:lastRow="0" w:firstColumn="1" w:lastColumn="0" w:oddVBand="0" w:evenVBand="0" w:oddHBand="0" w:evenHBand="0" w:firstRowFirstColumn="0" w:firstRowLastColumn="0" w:lastRowFirstColumn="0" w:lastRowLastColumn="0"/>
            <w:tcW w:w="825" w:type="pct"/>
            <w:vMerge w:val="restart"/>
          </w:tcPr>
          <w:p w14:paraId="6E10E189" w14:textId="77777777" w:rsidR="0079235B" w:rsidRPr="00C21370" w:rsidRDefault="0079235B" w:rsidP="00003741">
            <w:pPr>
              <w:rPr>
                <w:rFonts w:ascii="Franklin Gothic Book" w:hAnsi="Franklin Gothic Book"/>
                <w:color w:val="000000"/>
              </w:rPr>
            </w:pPr>
            <w:r w:rsidRPr="00C21370">
              <w:rPr>
                <w:rFonts w:ascii="Franklin Gothic Book" w:hAnsi="Franklin Gothic Book"/>
                <w:color w:val="000000"/>
              </w:rPr>
              <w:t>Intermediate Outcome 4.1</w:t>
            </w:r>
          </w:p>
        </w:tc>
        <w:tc>
          <w:tcPr>
            <w:tcW w:w="4175" w:type="pct"/>
            <w:gridSpan w:val="7"/>
          </w:tcPr>
          <w:p w14:paraId="18A94559"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b/>
                <w:bCs/>
                <w:iCs/>
                <w:color w:val="000000"/>
              </w:rPr>
            </w:pPr>
            <w:r w:rsidRPr="00C21370">
              <w:rPr>
                <w:rFonts w:ascii="Franklin Gothic Book" w:hAnsi="Franklin Gothic Book"/>
                <w:b/>
                <w:bCs/>
                <w:iCs/>
                <w:color w:val="000000"/>
              </w:rPr>
              <w:t xml:space="preserve">Increased access to </w:t>
            </w:r>
            <w:r>
              <w:rPr>
                <w:rFonts w:ascii="Franklin Gothic Book" w:hAnsi="Franklin Gothic Book"/>
                <w:b/>
                <w:bCs/>
                <w:iCs/>
                <w:color w:val="000000"/>
              </w:rPr>
              <w:t xml:space="preserve">gender-based violence response </w:t>
            </w:r>
            <w:r w:rsidRPr="00C21370">
              <w:rPr>
                <w:rFonts w:ascii="Franklin Gothic Book" w:hAnsi="Franklin Gothic Book"/>
                <w:b/>
                <w:bCs/>
                <w:iCs/>
                <w:color w:val="000000"/>
              </w:rPr>
              <w:t>services in targeted provinces</w:t>
            </w:r>
          </w:p>
        </w:tc>
      </w:tr>
      <w:tr w:rsidR="0079235B" w:rsidRPr="00C21370" w14:paraId="5DBBEA4C"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vMerge/>
          </w:tcPr>
          <w:p w14:paraId="24CE9AD5" w14:textId="77777777" w:rsidR="0079235B" w:rsidRPr="00C21370" w:rsidRDefault="0079235B" w:rsidP="00003741">
            <w:pPr>
              <w:rPr>
                <w:rFonts w:ascii="Franklin Gothic Book" w:hAnsi="Franklin Gothic Book"/>
                <w:color w:val="000000"/>
              </w:rPr>
            </w:pPr>
          </w:p>
        </w:tc>
        <w:tc>
          <w:tcPr>
            <w:tcW w:w="1113" w:type="pct"/>
          </w:tcPr>
          <w:p w14:paraId="2516AD7B"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color w:val="000000"/>
              </w:rPr>
            </w:pPr>
            <w:r w:rsidRPr="00C21370">
              <w:rPr>
                <w:rFonts w:ascii="Franklin Gothic Book" w:hAnsi="Franklin Gothic Book"/>
                <w:color w:val="000000"/>
              </w:rPr>
              <w:t>Number of women accessing response services and counselling</w:t>
            </w:r>
          </w:p>
        </w:tc>
        <w:tc>
          <w:tcPr>
            <w:tcW w:w="558" w:type="pct"/>
          </w:tcPr>
          <w:p w14:paraId="720A01D3"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Government reports</w:t>
            </w:r>
          </w:p>
          <w:p w14:paraId="04F4FA0F"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Project reports</w:t>
            </w:r>
          </w:p>
          <w:p w14:paraId="4529D569"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Partner Reports</w:t>
            </w:r>
          </w:p>
          <w:p w14:paraId="70ECED51"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p>
        </w:tc>
        <w:tc>
          <w:tcPr>
            <w:tcW w:w="546" w:type="pct"/>
          </w:tcPr>
          <w:p w14:paraId="4C5923E7" w14:textId="77777777" w:rsidR="0079235B" w:rsidRPr="00AF0FED"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iCs/>
                <w:color w:val="000000"/>
              </w:rPr>
            </w:pPr>
            <w:r w:rsidRPr="00C21370">
              <w:rPr>
                <w:rFonts w:ascii="Franklin Gothic Book" w:hAnsi="Franklin Gothic Book"/>
                <w:iCs/>
                <w:color w:val="000000"/>
              </w:rPr>
              <w:t>5,000 women accessing response services and counselling</w:t>
            </w:r>
          </w:p>
        </w:tc>
        <w:tc>
          <w:tcPr>
            <w:tcW w:w="479" w:type="pct"/>
          </w:tcPr>
          <w:p w14:paraId="12C328EA"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1000</w:t>
            </w:r>
          </w:p>
        </w:tc>
        <w:tc>
          <w:tcPr>
            <w:tcW w:w="479" w:type="pct"/>
          </w:tcPr>
          <w:p w14:paraId="6405643C"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1000</w:t>
            </w:r>
          </w:p>
        </w:tc>
        <w:tc>
          <w:tcPr>
            <w:tcW w:w="490" w:type="pct"/>
          </w:tcPr>
          <w:p w14:paraId="3DE339B9"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15</w:t>
            </w:r>
            <w:r w:rsidRPr="00C21370">
              <w:rPr>
                <w:rFonts w:ascii="Franklin Gothic Book" w:hAnsi="Franklin Gothic Book"/>
                <w:color w:val="000000"/>
              </w:rPr>
              <w:t>00</w:t>
            </w:r>
          </w:p>
        </w:tc>
        <w:tc>
          <w:tcPr>
            <w:tcW w:w="510" w:type="pct"/>
          </w:tcPr>
          <w:p w14:paraId="512A4593"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Pr>
                <w:rFonts w:ascii="Franklin Gothic Book" w:hAnsi="Franklin Gothic Book"/>
                <w:color w:val="000000"/>
              </w:rPr>
              <w:t>10</w:t>
            </w:r>
            <w:r w:rsidRPr="00C21370">
              <w:rPr>
                <w:rFonts w:ascii="Franklin Gothic Book" w:hAnsi="Franklin Gothic Book"/>
                <w:color w:val="000000"/>
              </w:rPr>
              <w:t>00</w:t>
            </w:r>
          </w:p>
        </w:tc>
      </w:tr>
      <w:tr w:rsidR="0079235B" w:rsidRPr="00C21370" w14:paraId="339A3152"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0D1853E8" w14:textId="77777777" w:rsidR="0079235B" w:rsidRPr="00C21370" w:rsidRDefault="0079235B" w:rsidP="00003741">
            <w:pPr>
              <w:rPr>
                <w:rFonts w:ascii="Franklin Gothic Book" w:hAnsi="Franklin Gothic Book"/>
                <w:color w:val="000000"/>
              </w:rPr>
            </w:pPr>
            <w:r w:rsidRPr="00C21370">
              <w:rPr>
                <w:rFonts w:ascii="Franklin Gothic Book" w:hAnsi="Franklin Gothic Book"/>
                <w:color w:val="000000"/>
              </w:rPr>
              <w:lastRenderedPageBreak/>
              <w:t>Intermediate Outcome 4.2</w:t>
            </w:r>
          </w:p>
        </w:tc>
        <w:tc>
          <w:tcPr>
            <w:tcW w:w="4175" w:type="pct"/>
            <w:gridSpan w:val="7"/>
          </w:tcPr>
          <w:p w14:paraId="7957AD24"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b/>
                <w:color w:val="000000" w:themeColor="text1" w:themeShade="BF"/>
              </w:rPr>
            </w:pPr>
            <w:r w:rsidRPr="00C21370">
              <w:rPr>
                <w:rFonts w:ascii="Franklin Gothic Book" w:hAnsi="Franklin Gothic Book"/>
                <w:b/>
                <w:color w:val="000000"/>
              </w:rPr>
              <w:t>Law enforcement and concerned agents in targeted communities engage with women and respond to their safety and provide legal needs</w:t>
            </w:r>
          </w:p>
        </w:tc>
      </w:tr>
      <w:tr w:rsidR="0079235B" w:rsidRPr="00C21370" w14:paraId="55B21B2E"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3D62D85A" w14:textId="77777777" w:rsidR="0079235B" w:rsidRPr="00C21370" w:rsidRDefault="0079235B" w:rsidP="00003741">
            <w:pPr>
              <w:rPr>
                <w:rFonts w:ascii="Franklin Gothic Book" w:hAnsi="Franklin Gothic Book"/>
                <w:color w:val="000000"/>
              </w:rPr>
            </w:pPr>
          </w:p>
        </w:tc>
        <w:tc>
          <w:tcPr>
            <w:tcW w:w="1113" w:type="pct"/>
          </w:tcPr>
          <w:p w14:paraId="1412CC11"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21370">
              <w:rPr>
                <w:rFonts w:ascii="Franklin Gothic Book" w:hAnsi="Franklin Gothic Book"/>
                <w:iCs/>
                <w:color w:val="000000"/>
              </w:rPr>
              <w:t>Percentage of communes in target provinces hav</w:t>
            </w:r>
            <w:r>
              <w:rPr>
                <w:rFonts w:ascii="Franklin Gothic Book" w:hAnsi="Franklin Gothic Book"/>
                <w:iCs/>
                <w:color w:val="000000"/>
              </w:rPr>
              <w:t>e actions plan and implement it</w:t>
            </w:r>
            <w:r w:rsidRPr="00C21370">
              <w:rPr>
                <w:rFonts w:ascii="Franklin Gothic Book" w:hAnsi="Franklin Gothic Book"/>
                <w:iCs/>
                <w:color w:val="000000"/>
              </w:rPr>
              <w:t xml:space="preserve"> to prevent violence against women and advocate to end it</w:t>
            </w:r>
          </w:p>
        </w:tc>
        <w:tc>
          <w:tcPr>
            <w:tcW w:w="558" w:type="pct"/>
          </w:tcPr>
          <w:p w14:paraId="302B53B6"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 xml:space="preserve">Case studies of leaders in target communities, schools, </w:t>
            </w:r>
            <w:r>
              <w:rPr>
                <w:rFonts w:ascii="Franklin Gothic Book" w:hAnsi="Franklin Gothic Book"/>
                <w:color w:val="000000"/>
              </w:rPr>
              <w:t xml:space="preserve">and </w:t>
            </w:r>
            <w:r w:rsidRPr="00C21370">
              <w:rPr>
                <w:rFonts w:ascii="Franklin Gothic Book" w:hAnsi="Franklin Gothic Book"/>
                <w:color w:val="000000"/>
              </w:rPr>
              <w:t>work places and ad hoc evaluations</w:t>
            </w:r>
          </w:p>
        </w:tc>
        <w:tc>
          <w:tcPr>
            <w:tcW w:w="546" w:type="pct"/>
          </w:tcPr>
          <w:p w14:paraId="0937350D"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C21370">
              <w:rPr>
                <w:rFonts w:ascii="Franklin Gothic Book" w:hAnsi="Franklin Gothic Book"/>
                <w:iCs/>
                <w:color w:val="000000"/>
              </w:rPr>
              <w:t>50% of communes in target provinces implementing action plan</w:t>
            </w:r>
          </w:p>
        </w:tc>
        <w:tc>
          <w:tcPr>
            <w:tcW w:w="479" w:type="pct"/>
          </w:tcPr>
          <w:p w14:paraId="25FAF596"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0%</w:t>
            </w:r>
          </w:p>
        </w:tc>
        <w:tc>
          <w:tcPr>
            <w:tcW w:w="479" w:type="pct"/>
          </w:tcPr>
          <w:p w14:paraId="27AC485F"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10%</w:t>
            </w:r>
          </w:p>
        </w:tc>
        <w:tc>
          <w:tcPr>
            <w:tcW w:w="490" w:type="pct"/>
          </w:tcPr>
          <w:p w14:paraId="176125ED"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30%</w:t>
            </w:r>
          </w:p>
        </w:tc>
        <w:tc>
          <w:tcPr>
            <w:tcW w:w="510" w:type="pct"/>
          </w:tcPr>
          <w:p w14:paraId="04F8BE88"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50%</w:t>
            </w:r>
          </w:p>
        </w:tc>
      </w:tr>
      <w:tr w:rsidR="0079235B" w:rsidRPr="00C21370" w14:paraId="751F92D3"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2CC9A142" w14:textId="77777777" w:rsidR="0079235B" w:rsidRPr="00C21370" w:rsidRDefault="0079235B" w:rsidP="00003741">
            <w:pPr>
              <w:rPr>
                <w:rFonts w:ascii="Franklin Gothic Book" w:eastAsiaTheme="minorHAnsi" w:hAnsi="Franklin Gothic Book"/>
                <w:color w:val="000000"/>
                <w:highlight w:val="yellow"/>
              </w:rPr>
            </w:pPr>
            <w:r>
              <w:rPr>
                <w:rFonts w:ascii="Franklin Gothic Book" w:hAnsi="Franklin Gothic Book"/>
                <w:color w:val="000000"/>
              </w:rPr>
              <w:t>Intermediate Outcome 4</w:t>
            </w:r>
            <w:r w:rsidRPr="00C21370">
              <w:rPr>
                <w:rFonts w:ascii="Franklin Gothic Book" w:hAnsi="Franklin Gothic Book"/>
                <w:color w:val="000000"/>
              </w:rPr>
              <w:t>.</w:t>
            </w:r>
            <w:r>
              <w:rPr>
                <w:rFonts w:ascii="Franklin Gothic Book" w:hAnsi="Franklin Gothic Book"/>
                <w:color w:val="000000"/>
              </w:rPr>
              <w:t>3</w:t>
            </w:r>
          </w:p>
        </w:tc>
        <w:tc>
          <w:tcPr>
            <w:tcW w:w="4175" w:type="pct"/>
            <w:gridSpan w:val="7"/>
          </w:tcPr>
          <w:p w14:paraId="4E3C29E2"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color w:val="000000"/>
                <w:highlight w:val="yellow"/>
              </w:rPr>
            </w:pPr>
            <w:r w:rsidRPr="00C21370">
              <w:rPr>
                <w:rFonts w:ascii="Franklin Gothic Book" w:hAnsi="Franklin Gothic Book"/>
                <w:b/>
                <w:bCs/>
                <w:color w:val="000000"/>
              </w:rPr>
              <w:t>Improved quality of life for people with disability</w:t>
            </w:r>
          </w:p>
        </w:tc>
      </w:tr>
      <w:tr w:rsidR="0079235B" w:rsidRPr="00C21370" w14:paraId="2204A6EA" w14:textId="77777777">
        <w:trPr>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57508CAE" w14:textId="77777777" w:rsidR="0079235B" w:rsidRPr="00C21370" w:rsidRDefault="0079235B" w:rsidP="00003741">
            <w:pPr>
              <w:rPr>
                <w:rFonts w:ascii="Franklin Gothic Book" w:eastAsiaTheme="minorHAnsi" w:hAnsi="Franklin Gothic Book"/>
                <w:color w:val="000000"/>
                <w:highlight w:val="yellow"/>
              </w:rPr>
            </w:pPr>
          </w:p>
        </w:tc>
        <w:tc>
          <w:tcPr>
            <w:tcW w:w="1113" w:type="pct"/>
          </w:tcPr>
          <w:p w14:paraId="4831DBEF"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iCs/>
                <w:color w:val="000000"/>
                <w:lang w:eastAsia="en-US"/>
              </w:rPr>
            </w:pPr>
            <w:r w:rsidRPr="00C21370">
              <w:rPr>
                <w:rFonts w:ascii="Franklin Gothic Book" w:hAnsi="Franklin Gothic Book"/>
                <w:iCs/>
                <w:color w:val="000000"/>
              </w:rPr>
              <w:t>Number of Disabled People’s Organisations (DPOs) supported to effectively represent diverse groups of people with disability</w:t>
            </w:r>
          </w:p>
        </w:tc>
        <w:tc>
          <w:tcPr>
            <w:tcW w:w="558" w:type="pct"/>
          </w:tcPr>
          <w:p w14:paraId="3BCF28CE"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olor w:val="000000"/>
              </w:rPr>
            </w:pPr>
            <w:r w:rsidRPr="00C21370">
              <w:rPr>
                <w:rFonts w:ascii="Franklin Gothic Book" w:hAnsi="Franklin Gothic Book"/>
                <w:color w:val="000000"/>
              </w:rPr>
              <w:t>Reports from the Disability Rights Initiative Cambodia</w:t>
            </w:r>
          </w:p>
        </w:tc>
        <w:tc>
          <w:tcPr>
            <w:tcW w:w="546" w:type="pct"/>
          </w:tcPr>
          <w:p w14:paraId="155D3D88"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Up to 25 DPOs per year received support</w:t>
            </w:r>
          </w:p>
        </w:tc>
        <w:tc>
          <w:tcPr>
            <w:tcW w:w="479" w:type="pct"/>
          </w:tcPr>
          <w:p w14:paraId="350E43F4"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25 DPOs</w:t>
            </w:r>
          </w:p>
        </w:tc>
        <w:tc>
          <w:tcPr>
            <w:tcW w:w="479" w:type="pct"/>
          </w:tcPr>
          <w:p w14:paraId="7F51AE4B"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25 DPOs</w:t>
            </w:r>
          </w:p>
        </w:tc>
        <w:tc>
          <w:tcPr>
            <w:tcW w:w="490" w:type="pct"/>
          </w:tcPr>
          <w:p w14:paraId="7B987E76"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25 DPOs</w:t>
            </w:r>
          </w:p>
        </w:tc>
        <w:tc>
          <w:tcPr>
            <w:tcW w:w="510" w:type="pct"/>
          </w:tcPr>
          <w:p w14:paraId="24386197" w14:textId="77777777" w:rsidR="0079235B" w:rsidRPr="00C21370" w:rsidRDefault="0079235B" w:rsidP="00003741">
            <w:pPr>
              <w:cnfStyle w:val="000000000000" w:firstRow="0" w:lastRow="0" w:firstColumn="0" w:lastColumn="0" w:oddVBand="0" w:evenVBand="0" w:oddHBand="0"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25 DPOs</w:t>
            </w:r>
          </w:p>
        </w:tc>
      </w:tr>
      <w:tr w:rsidR="0079235B" w:rsidRPr="00C21370" w14:paraId="7A4E66C2" w14:textId="77777777">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825" w:type="pct"/>
          </w:tcPr>
          <w:p w14:paraId="2784164F" w14:textId="77777777" w:rsidR="0079235B" w:rsidRPr="00C21370" w:rsidRDefault="0079235B" w:rsidP="00003741">
            <w:pPr>
              <w:rPr>
                <w:rFonts w:ascii="Franklin Gothic Book" w:eastAsiaTheme="minorHAnsi" w:hAnsi="Franklin Gothic Book"/>
                <w:color w:val="000000"/>
                <w:highlight w:val="yellow"/>
              </w:rPr>
            </w:pPr>
          </w:p>
        </w:tc>
        <w:tc>
          <w:tcPr>
            <w:tcW w:w="1113" w:type="pct"/>
          </w:tcPr>
          <w:p w14:paraId="11588A20"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iCs/>
                <w:color w:val="000000"/>
                <w:lang w:eastAsia="en-US"/>
              </w:rPr>
            </w:pPr>
            <w:r w:rsidRPr="00C21370">
              <w:rPr>
                <w:rFonts w:ascii="Franklin Gothic Book" w:hAnsi="Franklin Gothic Book"/>
                <w:iCs/>
                <w:color w:val="000000"/>
              </w:rPr>
              <w:t>Number of people (women/men) provided with assistive devices and/or other disability services</w:t>
            </w:r>
          </w:p>
        </w:tc>
        <w:tc>
          <w:tcPr>
            <w:tcW w:w="558" w:type="pct"/>
          </w:tcPr>
          <w:p w14:paraId="0CB7B4A9"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Reports from the Disability Rights Initiative Cambodia</w:t>
            </w:r>
          </w:p>
        </w:tc>
        <w:tc>
          <w:tcPr>
            <w:tcW w:w="546" w:type="pct"/>
          </w:tcPr>
          <w:p w14:paraId="7E9A725C"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 xml:space="preserve">Up to 60,000 people received </w:t>
            </w:r>
            <w:r>
              <w:rPr>
                <w:rFonts w:ascii="Franklin Gothic Book" w:hAnsi="Franklin Gothic Book"/>
                <w:color w:val="000000"/>
              </w:rPr>
              <w:t>assistance</w:t>
            </w:r>
            <w:r w:rsidRPr="00C21370">
              <w:rPr>
                <w:rFonts w:ascii="Franklin Gothic Book" w:hAnsi="Franklin Gothic Book"/>
                <w:color w:val="000000"/>
              </w:rPr>
              <w:t xml:space="preserve"> </w:t>
            </w:r>
          </w:p>
        </w:tc>
        <w:tc>
          <w:tcPr>
            <w:tcW w:w="479" w:type="pct"/>
          </w:tcPr>
          <w:p w14:paraId="062231C1"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15,000 (7,500/7,500)</w:t>
            </w:r>
          </w:p>
        </w:tc>
        <w:tc>
          <w:tcPr>
            <w:tcW w:w="479" w:type="pct"/>
          </w:tcPr>
          <w:p w14:paraId="68DB762D"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15,000</w:t>
            </w:r>
          </w:p>
          <w:p w14:paraId="46519DF9"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(7,500/7,500)</w:t>
            </w:r>
          </w:p>
        </w:tc>
        <w:tc>
          <w:tcPr>
            <w:tcW w:w="490" w:type="pct"/>
          </w:tcPr>
          <w:p w14:paraId="44263C70"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15,000</w:t>
            </w:r>
          </w:p>
          <w:p w14:paraId="09E96C82"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(7,500/7,500)</w:t>
            </w:r>
          </w:p>
        </w:tc>
        <w:tc>
          <w:tcPr>
            <w:tcW w:w="510" w:type="pct"/>
          </w:tcPr>
          <w:p w14:paraId="5AF46635"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rPr>
            </w:pPr>
            <w:r w:rsidRPr="00C21370">
              <w:rPr>
                <w:rFonts w:ascii="Franklin Gothic Book" w:hAnsi="Franklin Gothic Book"/>
                <w:color w:val="000000"/>
              </w:rPr>
              <w:t>15,000</w:t>
            </w:r>
          </w:p>
          <w:p w14:paraId="6D01D4D2" w14:textId="77777777" w:rsidR="0079235B" w:rsidRPr="00C21370" w:rsidRDefault="0079235B" w:rsidP="00003741">
            <w:pPr>
              <w:cnfStyle w:val="000000100000" w:firstRow="0" w:lastRow="0" w:firstColumn="0" w:lastColumn="0" w:oddVBand="0" w:evenVBand="0" w:oddHBand="1" w:evenHBand="0" w:firstRowFirstColumn="0" w:firstRowLastColumn="0" w:lastRowFirstColumn="0" w:lastRowLastColumn="0"/>
              <w:rPr>
                <w:rFonts w:ascii="Franklin Gothic Book" w:eastAsiaTheme="minorHAnsi" w:hAnsi="Franklin Gothic Book"/>
                <w:color w:val="000000"/>
                <w:lang w:eastAsia="en-US"/>
              </w:rPr>
            </w:pPr>
            <w:r w:rsidRPr="00C21370">
              <w:rPr>
                <w:rFonts w:ascii="Franklin Gothic Book" w:hAnsi="Franklin Gothic Book"/>
                <w:color w:val="000000"/>
              </w:rPr>
              <w:t>(7,500/7,500)</w:t>
            </w:r>
          </w:p>
        </w:tc>
      </w:tr>
    </w:tbl>
    <w:p w14:paraId="2CC92507" w14:textId="77777777" w:rsidR="000B136F" w:rsidRPr="00E644AE" w:rsidRDefault="000B136F" w:rsidP="00784031"/>
    <w:sectPr w:rsidR="000B136F" w:rsidRPr="00E644AE" w:rsidSect="001F60AE">
      <w:headerReference w:type="default" r:id="rId25"/>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17904" w14:textId="77777777" w:rsidR="00A37EE4" w:rsidRDefault="00A37EE4" w:rsidP="00EF4574">
      <w:pPr>
        <w:spacing w:before="0" w:after="0" w:line="240" w:lineRule="auto"/>
      </w:pPr>
      <w:r>
        <w:separator/>
      </w:r>
    </w:p>
  </w:endnote>
  <w:endnote w:type="continuationSeparator" w:id="0">
    <w:p w14:paraId="1E1943FD" w14:textId="77777777" w:rsidR="00A37EE4" w:rsidRDefault="00A37EE4" w:rsidP="00EF4574">
      <w:pPr>
        <w:spacing w:before="0" w:after="0" w:line="240" w:lineRule="auto"/>
      </w:pPr>
      <w:r>
        <w:continuationSeparator/>
      </w:r>
    </w:p>
  </w:endnote>
  <w:endnote w:type="continuationNotice" w:id="1">
    <w:p w14:paraId="44A370F0" w14:textId="77777777" w:rsidR="00A37EE4" w:rsidRDefault="00A37E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unPenh">
    <w:panose1 w:val="01010101010101010101"/>
    <w:charset w:val="00"/>
    <w:family w:val="auto"/>
    <w:pitch w:val="variable"/>
    <w:sig w:usb0="00000003" w:usb1="00000000" w:usb2="0001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D74F" w14:textId="77777777" w:rsidR="00FA6647" w:rsidRDefault="00FA6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979160"/>
      <w:docPartObj>
        <w:docPartGallery w:val="Page Numbers (Bottom of Page)"/>
        <w:docPartUnique/>
      </w:docPartObj>
    </w:sdtPr>
    <w:sdtEndPr>
      <w:rPr>
        <w:noProof/>
      </w:rPr>
    </w:sdtEndPr>
    <w:sdtContent>
      <w:p w14:paraId="009D317F" w14:textId="77777777" w:rsidR="00A37EE4" w:rsidRDefault="00A37EE4">
        <w:pPr>
          <w:pStyle w:val="Footer"/>
        </w:pPr>
        <w:r>
          <w:fldChar w:fldCharType="begin"/>
        </w:r>
        <w:r>
          <w:instrText xml:space="preserve"> PAGE   \* MERGEFORMAT </w:instrText>
        </w:r>
        <w:r>
          <w:fldChar w:fldCharType="separate"/>
        </w:r>
        <w:r w:rsidR="00FA6647">
          <w:rPr>
            <w:noProof/>
          </w:rPr>
          <w:t>1</w:t>
        </w:r>
        <w:r>
          <w:rPr>
            <w:noProof/>
          </w:rPr>
          <w:fldChar w:fldCharType="end"/>
        </w:r>
      </w:p>
    </w:sdtContent>
  </w:sdt>
  <w:p w14:paraId="29808F95" w14:textId="77777777" w:rsidR="00A37EE4" w:rsidRDefault="00A37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80C9E" w14:textId="77777777" w:rsidR="00FA6647" w:rsidRDefault="00FA66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7B89D" w14:textId="77777777" w:rsidR="00A37EE4" w:rsidRPr="00CD0E4B" w:rsidRDefault="00A37EE4" w:rsidP="00784031">
    <w:pPr>
      <w:pStyle w:val="Footer"/>
    </w:pPr>
    <w:r w:rsidRPr="00CD0E4B">
      <w:rPr>
        <w:noProof/>
        <w:lang w:val="en-AU" w:eastAsia="en-AU"/>
      </w:rPr>
      <w:drawing>
        <wp:inline distT="0" distB="0" distL="0" distR="0" wp14:anchorId="61865118" wp14:editId="78E1FC7A">
          <wp:extent cx="90000" cy="74520"/>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7B2592C" w14:textId="77777777" w:rsidR="00A37EE4" w:rsidRPr="00CD0E4B" w:rsidRDefault="00A37EE4"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8249E" w14:textId="77777777" w:rsidR="00A37EE4" w:rsidRPr="008C5A0E" w:rsidRDefault="00A37EE4" w:rsidP="001D663E">
      <w:pPr>
        <w:pStyle w:val="Footer"/>
        <w:pBdr>
          <w:top w:val="single" w:sz="4" w:space="1" w:color="495965" w:themeColor="text2"/>
        </w:pBdr>
      </w:pPr>
    </w:p>
  </w:footnote>
  <w:footnote w:type="continuationSeparator" w:id="0">
    <w:p w14:paraId="19D35B99" w14:textId="77777777" w:rsidR="00A37EE4" w:rsidRDefault="00A37EE4" w:rsidP="00EF4574">
      <w:pPr>
        <w:spacing w:before="0" w:after="0" w:line="240" w:lineRule="auto"/>
      </w:pPr>
      <w:r>
        <w:continuationSeparator/>
      </w:r>
    </w:p>
  </w:footnote>
  <w:footnote w:type="continuationNotice" w:id="1">
    <w:p w14:paraId="766CC81A" w14:textId="77777777" w:rsidR="00A37EE4" w:rsidRDefault="00A37EE4">
      <w:pPr>
        <w:spacing w:before="0" w:after="0" w:line="240" w:lineRule="auto"/>
      </w:pPr>
    </w:p>
  </w:footnote>
  <w:footnote w:id="2">
    <w:p w14:paraId="192C3FAA" w14:textId="77777777" w:rsidR="00A37EE4" w:rsidRPr="00C43430" w:rsidRDefault="00A37EE4">
      <w:pPr>
        <w:pStyle w:val="FootnoteText"/>
        <w:rPr>
          <w:rStyle w:val="Hyperlink"/>
          <w:sz w:val="22"/>
          <w:szCs w:val="22"/>
        </w:rPr>
      </w:pPr>
      <w:r w:rsidRPr="00C43430">
        <w:rPr>
          <w:rStyle w:val="Hyperlink"/>
          <w:rFonts w:cstheme="minorBidi"/>
        </w:rPr>
        <w:footnoteRef/>
      </w:r>
      <w:r w:rsidRPr="00C43430">
        <w:rPr>
          <w:rStyle w:val="Hyperlink"/>
          <w:rFonts w:cstheme="minorBidi"/>
        </w:rPr>
        <w:t xml:space="preserve"> </w:t>
      </w:r>
      <w:r w:rsidRPr="00303251">
        <w:t>https://www.imf.org/en/News/Articles/2016/07/18/13/34/PR16343-Cambodia-IMF-Staff-Completes-2016-Article-IV-Mission</w:t>
      </w:r>
      <w:r w:rsidRPr="00C43430">
        <w:rPr>
          <w:rStyle w:val="Hyperlink"/>
          <w:rFonts w:cstheme="minorBidi"/>
          <w:i/>
          <w:iCs/>
        </w:rPr>
        <w:t xml:space="preserve"> </w:t>
      </w:r>
    </w:p>
  </w:footnote>
  <w:footnote w:id="3">
    <w:p w14:paraId="519317E0" w14:textId="77777777" w:rsidR="00A37EE4" w:rsidRPr="00C43430" w:rsidRDefault="00A37EE4">
      <w:pPr>
        <w:pStyle w:val="FootnoteText"/>
        <w:rPr>
          <w:rStyle w:val="Hyperlink"/>
          <w:sz w:val="22"/>
          <w:szCs w:val="22"/>
        </w:rPr>
      </w:pPr>
      <w:r w:rsidRPr="00C43430">
        <w:rPr>
          <w:rStyle w:val="Hyperlink"/>
          <w:rFonts w:cstheme="minorBidi"/>
        </w:rPr>
        <w:footnoteRef/>
      </w:r>
      <w:r w:rsidRPr="00C43430">
        <w:rPr>
          <w:rStyle w:val="Hyperlink"/>
          <w:rFonts w:cstheme="minorBidi"/>
        </w:rPr>
        <w:t xml:space="preserve"> </w:t>
      </w:r>
      <w:hyperlink r:id="rId1" w:history="1">
        <w:r>
          <w:rPr>
            <w:rStyle w:val="Hyperlink"/>
            <w:rFonts w:cstheme="minorBidi"/>
          </w:rPr>
          <w:t>http://documents.worldbank.org/curated/en/881041467999363660/Cambodia-economic-update-maintaining-high-growth;jsessionid=dmaQB9QwZFnlvzqAIxAuqt-6</w:t>
        </w:r>
      </w:hyperlink>
    </w:p>
  </w:footnote>
  <w:footnote w:id="4">
    <w:p w14:paraId="1307D248" w14:textId="77777777" w:rsidR="00A37EE4" w:rsidRPr="00C43430" w:rsidRDefault="00A37EE4" w:rsidP="00C43430">
      <w:pPr>
        <w:pStyle w:val="FootnoteText"/>
        <w:rPr>
          <w:rStyle w:val="Hyperlink"/>
          <w:sz w:val="22"/>
          <w:szCs w:val="22"/>
        </w:rPr>
      </w:pPr>
      <w:r w:rsidRPr="00C43430">
        <w:rPr>
          <w:rStyle w:val="Hyperlink"/>
          <w:rFonts w:cstheme="minorBidi"/>
        </w:rPr>
        <w:footnoteRef/>
      </w:r>
      <w:r w:rsidRPr="00C43430">
        <w:rPr>
          <w:rStyle w:val="Hyperlink"/>
          <w:rFonts w:cstheme="minorBidi"/>
        </w:rPr>
        <w:t xml:space="preserve"> </w:t>
      </w:r>
      <w:hyperlink r:id="rId2" w:history="1">
        <w:r w:rsidRPr="00397BFE">
          <w:rPr>
            <w:rStyle w:val="Hyperlink"/>
            <w:rFonts w:cstheme="minorBidi"/>
          </w:rPr>
          <w:t>http://www3.weforum.org/docs/HCR2016_Main_Report.pdf</w:t>
        </w:r>
      </w:hyperlink>
      <w:r w:rsidRPr="00C43430">
        <w:rPr>
          <w:rStyle w:val="Hyperlink"/>
          <w:rFonts w:cstheme="minorBidi"/>
        </w:rPr>
        <w:t xml:space="preserve"> </w:t>
      </w:r>
    </w:p>
  </w:footnote>
  <w:footnote w:id="5">
    <w:p w14:paraId="2E1AC8D5" w14:textId="77777777" w:rsidR="00A37EE4" w:rsidRPr="00C43430" w:rsidRDefault="00A37EE4">
      <w:pPr>
        <w:pStyle w:val="FootnoteText"/>
        <w:rPr>
          <w:rStyle w:val="Hyperlink"/>
          <w:sz w:val="22"/>
          <w:szCs w:val="22"/>
        </w:rPr>
      </w:pPr>
      <w:r w:rsidRPr="00C43430">
        <w:rPr>
          <w:rStyle w:val="Hyperlink"/>
          <w:rFonts w:cstheme="minorBidi"/>
        </w:rPr>
        <w:footnoteRef/>
      </w:r>
      <w:r w:rsidRPr="00C43430">
        <w:rPr>
          <w:rStyle w:val="Hyperlink"/>
          <w:rFonts w:cstheme="minorBidi"/>
        </w:rPr>
        <w:t xml:space="preserve"> </w:t>
      </w:r>
      <w:hyperlink r:id="rId3" w:history="1">
        <w:r w:rsidRPr="00397BFE">
          <w:rPr>
            <w:rStyle w:val="Hyperlink"/>
            <w:rFonts w:cstheme="minorBidi"/>
          </w:rPr>
          <w:t>http://hdr.undp.org/en/composite/HDI</w:t>
        </w:r>
      </w:hyperlink>
      <w:r w:rsidRPr="00C43430">
        <w:rPr>
          <w:rStyle w:val="Hyperlink"/>
          <w:rFonts w:cstheme="minorBidi"/>
        </w:rPr>
        <w:t xml:space="preserve"> </w:t>
      </w:r>
    </w:p>
  </w:footnote>
  <w:footnote w:id="6">
    <w:p w14:paraId="54976174" w14:textId="77777777" w:rsidR="00A37EE4" w:rsidRPr="00315683" w:rsidRDefault="00A37EE4" w:rsidP="00406B1A">
      <w:pPr>
        <w:pStyle w:val="FootnoteText"/>
        <w:rPr>
          <w:lang w:val="en-AU"/>
        </w:rPr>
      </w:pPr>
      <w:r>
        <w:rPr>
          <w:rStyle w:val="FootnoteReference"/>
        </w:rPr>
        <w:footnoteRef/>
      </w:r>
      <w:r>
        <w:t xml:space="preserve"> </w:t>
      </w:r>
      <w:hyperlink r:id="rId4" w:history="1">
        <w:r w:rsidRPr="006B5F94">
          <w:rPr>
            <w:rStyle w:val="Hyperlink"/>
            <w:rFonts w:cstheme="minorBidi"/>
          </w:rPr>
          <w:t>http://www.kh.undp.org/content/cambodia/en/home/countryinfo.html</w:t>
        </w:r>
      </w:hyperlink>
      <w:r>
        <w:t xml:space="preserve"> </w:t>
      </w:r>
    </w:p>
  </w:footnote>
  <w:footnote w:id="7">
    <w:p w14:paraId="32333DD8" w14:textId="5C2BC7E3" w:rsidR="00A37EE4" w:rsidRPr="00DE1699" w:rsidRDefault="00A37EE4">
      <w:pPr>
        <w:pStyle w:val="FootnoteText"/>
        <w:rPr>
          <w:lang w:val="en-AU"/>
        </w:rPr>
      </w:pPr>
      <w:r>
        <w:rPr>
          <w:rStyle w:val="FootnoteReference"/>
        </w:rPr>
        <w:footnoteRef/>
      </w:r>
      <w:r>
        <w:t xml:space="preserve"> </w:t>
      </w:r>
      <w:hyperlink r:id="rId5" w:history="1">
        <w:r w:rsidRPr="004651EB">
          <w:rPr>
            <w:rStyle w:val="Hyperlink"/>
            <w:rFonts w:cstheme="minorBidi"/>
          </w:rPr>
          <w:t>http://www.doingbusiness.org/~/media/GIAWB/Doing%20Business/Documents/Annual-Reports/English/DB16-Full-Report.pdf</w:t>
        </w:r>
      </w:hyperlink>
      <w:r>
        <w:t xml:space="preserve"> </w:t>
      </w:r>
    </w:p>
  </w:footnote>
  <w:footnote w:id="8">
    <w:p w14:paraId="3DF1F53E" w14:textId="5521F9D5" w:rsidR="00A37EE4" w:rsidRPr="00DE1699" w:rsidRDefault="00A37EE4">
      <w:pPr>
        <w:pStyle w:val="FootnoteText"/>
        <w:rPr>
          <w:lang w:val="en-AU"/>
        </w:rPr>
      </w:pPr>
      <w:r>
        <w:rPr>
          <w:rStyle w:val="FootnoteReference"/>
        </w:rPr>
        <w:footnoteRef/>
      </w:r>
      <w:r>
        <w:t xml:space="preserve"> </w:t>
      </w:r>
      <w:hyperlink r:id="rId6" w:history="1">
        <w:r w:rsidRPr="004651EB">
          <w:rPr>
            <w:rStyle w:val="Hyperlink"/>
            <w:rFonts w:cstheme="minorBidi"/>
          </w:rPr>
          <w:t>http://www.transparency.org/cpi2015</w:t>
        </w:r>
      </w:hyperlink>
      <w:r>
        <w:t xml:space="preserve"> </w:t>
      </w:r>
    </w:p>
  </w:footnote>
  <w:footnote w:id="9">
    <w:p w14:paraId="44C756D2" w14:textId="10F6AF56" w:rsidR="00A37EE4" w:rsidRPr="00F55EF6" w:rsidRDefault="00A37EE4" w:rsidP="005465B0">
      <w:pPr>
        <w:pStyle w:val="FootnoteText"/>
        <w:rPr>
          <w:lang w:val="en-AU"/>
        </w:rPr>
      </w:pPr>
      <w:r>
        <w:rPr>
          <w:rStyle w:val="FootnoteReference"/>
        </w:rPr>
        <w:footnoteRef/>
      </w:r>
      <w:r>
        <w:t xml:space="preserve"> </w:t>
      </w:r>
      <w:r>
        <w:rPr>
          <w:lang w:val="en-AU"/>
        </w:rPr>
        <w:t xml:space="preserve">ODA figures as maintained and published by the Council for the Development of Cambodia, the Cambodian Government agency that maintains ODA statistics. Figures are estimates for 2015. These figures have been converted to AUD from USD reported figures using the following </w:t>
      </w:r>
      <w:r w:rsidRPr="00EC3F50">
        <w:rPr>
          <w:lang w:val="en-AU"/>
        </w:rPr>
        <w:t>exchange rate</w:t>
      </w:r>
      <w:r>
        <w:rPr>
          <w:lang w:val="en-AU"/>
        </w:rPr>
        <w:t xml:space="preserve">: US$1 = AU$0.77. Further information at </w:t>
      </w:r>
      <w:hyperlink r:id="rId7" w:history="1">
        <w:r w:rsidRPr="003557CE">
          <w:rPr>
            <w:rStyle w:val="Hyperlink"/>
            <w:rFonts w:cstheme="minorBidi"/>
            <w:lang w:val="en-AU"/>
          </w:rPr>
          <w:t>http://www.cdc-crdb.gov.kh/cdc/aid_management/DCPR_2016.pdf</w:t>
        </w:r>
      </w:hyperlink>
      <w:r>
        <w:rPr>
          <w:lang w:val="en-AU"/>
        </w:rPr>
        <w:t xml:space="preserve"> </w:t>
      </w:r>
    </w:p>
  </w:footnote>
  <w:footnote w:id="10">
    <w:p w14:paraId="7FF4B501" w14:textId="7CB211F5" w:rsidR="00A37EE4" w:rsidRPr="004F4708" w:rsidRDefault="00A37EE4" w:rsidP="00493029">
      <w:pPr>
        <w:pStyle w:val="FootnoteText"/>
        <w:ind w:left="142" w:hanging="142"/>
        <w:rPr>
          <w:lang w:val="en-AU"/>
        </w:rPr>
      </w:pPr>
      <w:r>
        <w:rPr>
          <w:rStyle w:val="FootnoteReference"/>
        </w:rPr>
        <w:footnoteRef/>
      </w:r>
      <w:r>
        <w:t xml:space="preserve"> </w:t>
      </w:r>
      <w:r w:rsidRPr="00F822A7">
        <w:rPr>
          <w:lang w:val="en-AU"/>
        </w:rPr>
        <w:t xml:space="preserve">See 9. </w:t>
      </w:r>
      <w:r>
        <w:rPr>
          <w:lang w:val="en-AU"/>
        </w:rPr>
        <w:t>a</w:t>
      </w:r>
      <w:r w:rsidRPr="00F822A7">
        <w:rPr>
          <w:lang w:val="en-AU"/>
        </w:rPr>
        <w:t>bove.</w:t>
      </w:r>
      <w:r>
        <w:t xml:space="preserve"> </w:t>
      </w:r>
    </w:p>
  </w:footnote>
  <w:footnote w:id="11">
    <w:p w14:paraId="69D0EDDB" w14:textId="77777777" w:rsidR="00A37EE4" w:rsidRPr="001C28A7" w:rsidRDefault="00A37EE4">
      <w:pPr>
        <w:pStyle w:val="FootnoteText"/>
        <w:rPr>
          <w:lang w:val="en-AU"/>
        </w:rPr>
      </w:pPr>
      <w:r>
        <w:rPr>
          <w:rStyle w:val="FootnoteReference"/>
        </w:rPr>
        <w:footnoteRef/>
      </w:r>
      <w:r>
        <w:t xml:space="preserve"> </w:t>
      </w:r>
      <w:r>
        <w:rPr>
          <w:lang w:val="en-AU"/>
        </w:rPr>
        <w:t>While this is the first year reporting against the current AIP Objectives, last year’s APPR Objectives generally align, which allows this comparison to last year’s ratings</w:t>
      </w:r>
    </w:p>
  </w:footnote>
  <w:footnote w:id="12">
    <w:p w14:paraId="0F41EC90" w14:textId="300A22B8" w:rsidR="00A37EE4" w:rsidRPr="00115F59" w:rsidRDefault="00A37EE4">
      <w:pPr>
        <w:pStyle w:val="FootnoteText"/>
        <w:rPr>
          <w:lang w:val="en-AU"/>
        </w:rPr>
      </w:pPr>
      <w:r>
        <w:rPr>
          <w:rStyle w:val="FootnoteReference"/>
        </w:rPr>
        <w:footnoteRef/>
      </w:r>
      <w:r>
        <w:t xml:space="preserve"> </w:t>
      </w:r>
      <w:r>
        <w:rPr>
          <w:lang w:val="en-AU"/>
        </w:rPr>
        <w:t>Ministry of Industry and Handicrafts; Ministry of Mines and Energy; Council for the Development of Cambodia; Ministry for Economy and Finance</w:t>
      </w:r>
    </w:p>
  </w:footnote>
  <w:footnote w:id="13">
    <w:p w14:paraId="6F1D0968" w14:textId="77777777" w:rsidR="00A37EE4" w:rsidRPr="00632721" w:rsidRDefault="00A37EE4">
      <w:pPr>
        <w:pStyle w:val="FootnoteText"/>
        <w:rPr>
          <w:lang w:val="en-AU"/>
        </w:rPr>
      </w:pPr>
      <w:r>
        <w:rPr>
          <w:rStyle w:val="FootnoteReference"/>
        </w:rPr>
        <w:footnoteRef/>
      </w:r>
      <w:r>
        <w:t xml:space="preserve"> </w:t>
      </w:r>
      <w:hyperlink r:id="rId8" w:history="1">
        <w:r w:rsidRPr="00FF1406">
          <w:rPr>
            <w:rStyle w:val="Hyperlink"/>
            <w:rFonts w:cstheme="minorBidi"/>
          </w:rPr>
          <w:t>https://asiafoundation.org/resources/pdfs/DemocracyinCambodia2014.pdf</w:t>
        </w:r>
      </w:hyperlink>
      <w:r>
        <w:t xml:space="preserve"> </w:t>
      </w:r>
    </w:p>
  </w:footnote>
  <w:footnote w:id="14">
    <w:p w14:paraId="47FEC45B" w14:textId="77777777" w:rsidR="00A37EE4" w:rsidRPr="000C1DEC" w:rsidRDefault="00A37EE4">
      <w:pPr>
        <w:pStyle w:val="FootnoteText"/>
        <w:rPr>
          <w:lang w:val="en-AU"/>
        </w:rPr>
      </w:pPr>
      <w:r>
        <w:rPr>
          <w:rStyle w:val="FootnoteReference"/>
        </w:rPr>
        <w:footnoteRef/>
      </w:r>
      <w:r>
        <w:t xml:space="preserve"> </w:t>
      </w:r>
      <w:hyperlink r:id="rId9" w:history="1">
        <w:r w:rsidRPr="00FF1406">
          <w:rPr>
            <w:rStyle w:val="Hyperlink"/>
            <w:rFonts w:cstheme="minorBidi"/>
          </w:rPr>
          <w:t>http://www.maff.gov.kh/policies-strategies/1288-2015-09-25-05-10-08.html</w:t>
        </w:r>
      </w:hyperlink>
      <w:r>
        <w:t xml:space="preserve"> </w:t>
      </w:r>
    </w:p>
  </w:footnote>
  <w:footnote w:id="15">
    <w:p w14:paraId="13BFAE5A" w14:textId="77777777" w:rsidR="00A37EE4" w:rsidRPr="000C1DEC" w:rsidRDefault="00A37EE4">
      <w:pPr>
        <w:pStyle w:val="FootnoteText"/>
        <w:rPr>
          <w:lang w:val="en-AU"/>
        </w:rPr>
      </w:pPr>
      <w:r>
        <w:rPr>
          <w:rStyle w:val="FootnoteReference"/>
        </w:rPr>
        <w:footnoteRef/>
      </w:r>
      <w:r>
        <w:t xml:space="preserve"> </w:t>
      </w:r>
      <w:r w:rsidRPr="00B41475">
        <w:rPr>
          <w:lang w:val="en-AU"/>
        </w:rPr>
        <w:t>http://www.pecad.fas.usda.gov/highlights/2015/06/Southeast_Asia/Index.htm</w:t>
      </w:r>
    </w:p>
  </w:footnote>
  <w:footnote w:id="16">
    <w:p w14:paraId="3B907DA0" w14:textId="77777777" w:rsidR="00A37EE4" w:rsidRPr="00155AE9" w:rsidRDefault="00A37EE4">
      <w:pPr>
        <w:pStyle w:val="FootnoteText"/>
        <w:rPr>
          <w:lang w:val="en-AU"/>
        </w:rPr>
      </w:pPr>
      <w:r>
        <w:rPr>
          <w:rStyle w:val="FootnoteReference"/>
        </w:rPr>
        <w:footnoteRef/>
      </w:r>
      <w:r>
        <w:t xml:space="preserve"> </w:t>
      </w:r>
      <w:hyperlink r:id="rId10" w:history="1">
        <w:r w:rsidRPr="006B5F94">
          <w:rPr>
            <w:rStyle w:val="Hyperlink"/>
            <w:rFonts w:cstheme="minorBidi"/>
          </w:rPr>
          <w:t>http://www.nis.gov.kh/index.php/en/</w:t>
        </w:r>
      </w:hyperlink>
      <w:r>
        <w:t xml:space="preserve"> </w:t>
      </w:r>
    </w:p>
  </w:footnote>
  <w:footnote w:id="17">
    <w:p w14:paraId="31302F2E" w14:textId="77777777" w:rsidR="00A37EE4" w:rsidRPr="00155AE9" w:rsidRDefault="00A37EE4" w:rsidP="00817E16">
      <w:pPr>
        <w:pStyle w:val="FootnoteText"/>
        <w:rPr>
          <w:lang w:val="en-AU"/>
        </w:rPr>
      </w:pPr>
      <w:r>
        <w:rPr>
          <w:rStyle w:val="FootnoteReference"/>
        </w:rPr>
        <w:footnoteRef/>
      </w:r>
      <w:r>
        <w:t xml:space="preserve"> Cambodia Mine and ERW Victim Information System</w:t>
      </w:r>
    </w:p>
  </w:footnote>
  <w:footnote w:id="18">
    <w:p w14:paraId="0C0DA648" w14:textId="4C031D2F" w:rsidR="00A37EE4" w:rsidRPr="00F822A7" w:rsidRDefault="00A37EE4">
      <w:pPr>
        <w:pStyle w:val="FootnoteText"/>
        <w:rPr>
          <w:lang w:val="en-AU"/>
        </w:rPr>
      </w:pPr>
      <w:r>
        <w:rPr>
          <w:rStyle w:val="FootnoteReference"/>
        </w:rPr>
        <w:footnoteRef/>
      </w:r>
      <w:r>
        <w:t xml:space="preserve"> </w:t>
      </w:r>
      <w:r>
        <w:rPr>
          <w:lang w:val="en-AU"/>
        </w:rPr>
        <w:t>National Survey on Women’s Health and Life Experiences in Cambodia, 2015</w:t>
      </w:r>
    </w:p>
  </w:footnote>
  <w:footnote w:id="19">
    <w:p w14:paraId="208EB933" w14:textId="77777777" w:rsidR="00A37EE4" w:rsidRPr="007C21B3" w:rsidRDefault="00A37EE4">
      <w:pPr>
        <w:pStyle w:val="FootnoteText"/>
        <w:rPr>
          <w:lang w:val="en-AU"/>
        </w:rPr>
      </w:pPr>
      <w:r>
        <w:rPr>
          <w:rStyle w:val="FootnoteReference"/>
        </w:rPr>
        <w:footnoteRef/>
      </w:r>
      <w:r>
        <w:t xml:space="preserve"> </w:t>
      </w:r>
      <w:hyperlink r:id="rId11" w:history="1">
        <w:r w:rsidRPr="00B75B21">
          <w:rPr>
            <w:rStyle w:val="Hyperlink"/>
            <w:rFonts w:cstheme="minorBidi"/>
          </w:rPr>
          <w:t>http://dfat.gov.au/about-us/publications/Pages/development-for-all-2015-2020.aspx</w:t>
        </w:r>
      </w:hyperlink>
      <w:r>
        <w:t xml:space="preserve"> </w:t>
      </w:r>
    </w:p>
  </w:footnote>
  <w:footnote w:id="20">
    <w:p w14:paraId="1E63A9EE" w14:textId="77777777" w:rsidR="00A37EE4" w:rsidRPr="003F01D9" w:rsidRDefault="00A37EE4">
      <w:pPr>
        <w:pStyle w:val="FootnoteText"/>
        <w:rPr>
          <w:lang w:val="en-AU"/>
        </w:rPr>
      </w:pPr>
      <w:r>
        <w:rPr>
          <w:rStyle w:val="FootnoteReference"/>
        </w:rPr>
        <w:footnoteRef/>
      </w:r>
      <w:r>
        <w:t xml:space="preserve"> </w:t>
      </w:r>
      <w:hyperlink r:id="rId12" w:history="1">
        <w:r w:rsidRPr="00FF1406">
          <w:rPr>
            <w:rStyle w:val="Hyperlink"/>
            <w:rFonts w:cstheme="minorBidi"/>
          </w:rPr>
          <w:t>http://whqlibdoc.who.int/publications/2011/9789240685215_eng.pdf?ua=1</w:t>
        </w:r>
      </w:hyperlink>
      <w:r>
        <w:t xml:space="preserve"> </w:t>
      </w:r>
    </w:p>
  </w:footnote>
  <w:footnote w:id="21">
    <w:p w14:paraId="707ABF1D" w14:textId="27DD6B7F" w:rsidR="00A37EE4" w:rsidRPr="00097DA8" w:rsidRDefault="00A37EE4">
      <w:pPr>
        <w:pStyle w:val="FootnoteText"/>
        <w:rPr>
          <w:lang w:val="en-AU"/>
        </w:rPr>
      </w:pPr>
      <w:r>
        <w:rPr>
          <w:rStyle w:val="FootnoteReference"/>
        </w:rPr>
        <w:footnoteRef/>
      </w:r>
      <w:r>
        <w:t xml:space="preserve"> </w:t>
      </w:r>
      <w:r w:rsidRPr="007A1A7E">
        <w:t>The first two Performance Benchmarks are currently undergoing revision to account for incorrect nomenclature used in the AIP Performance Assessment Framework. This will be amended for future versions of the benchmarks and PAF to accurately reflect the intended outcomes and targets.</w:t>
      </w:r>
    </w:p>
  </w:footnote>
  <w:footnote w:id="22">
    <w:p w14:paraId="3002A975" w14:textId="77777777" w:rsidR="00A37EE4" w:rsidRDefault="00A37EE4" w:rsidP="008914AF">
      <w:pPr>
        <w:pStyle w:val="FootnoteText"/>
      </w:pPr>
      <w:r>
        <w:rPr>
          <w:rStyle w:val="FootnoteReference"/>
        </w:rPr>
        <w:footnoteRef/>
      </w:r>
      <w:r>
        <w:t xml:space="preserve"> </w:t>
      </w:r>
      <w:hyperlink r:id="rId13" w:history="1">
        <w:r>
          <w:rPr>
            <w:rStyle w:val="Hyperlink"/>
          </w:rPr>
          <w:t>http://documents.worldbank.org/curated/en/403961467989523939/Cambodia-Economic-update-improving-macroeconomic-and-financial-resilience</w:t>
        </w:r>
      </w:hyperlink>
      <w:r>
        <w:t xml:space="preserve"> </w:t>
      </w:r>
    </w:p>
  </w:footnote>
  <w:footnote w:id="23">
    <w:p w14:paraId="712BB2F6" w14:textId="77777777" w:rsidR="00A37EE4" w:rsidRDefault="00A37EE4" w:rsidP="008914AF">
      <w:pPr>
        <w:pStyle w:val="FootnoteText"/>
      </w:pPr>
      <w:r>
        <w:rPr>
          <w:rStyle w:val="FootnoteReference"/>
        </w:rPr>
        <w:footnoteRef/>
      </w:r>
      <w:r>
        <w:t xml:space="preserve"> World Bank reporting</w:t>
      </w:r>
    </w:p>
  </w:footnote>
  <w:footnote w:id="24">
    <w:p w14:paraId="347D6FD1" w14:textId="77777777" w:rsidR="00A37EE4" w:rsidRPr="006F473E" w:rsidRDefault="00A37EE4">
      <w:pPr>
        <w:pStyle w:val="FootnoteText"/>
        <w:rPr>
          <w:lang w:val="en-AU"/>
        </w:rPr>
      </w:pPr>
      <w:r>
        <w:rPr>
          <w:rStyle w:val="FootnoteReference"/>
        </w:rPr>
        <w:footnoteRef/>
      </w:r>
      <w:r>
        <w:t xml:space="preserve"> </w:t>
      </w:r>
      <w:r>
        <w:rPr>
          <w:lang w:val="en-AU"/>
        </w:rPr>
        <w:t>The PAF will undergo revision in 2016-2017 as per the Management Responses.</w:t>
      </w:r>
    </w:p>
  </w:footnote>
  <w:footnote w:id="25">
    <w:p w14:paraId="4B3786DB" w14:textId="77777777" w:rsidR="00A37EE4" w:rsidRPr="005F1191" w:rsidRDefault="00A37EE4" w:rsidP="006F473E">
      <w:pPr>
        <w:pStyle w:val="FootnoteText"/>
        <w:ind w:left="0" w:firstLine="0"/>
        <w:rPr>
          <w:lang w:val="en-AU"/>
        </w:rPr>
      </w:pPr>
      <w:r>
        <w:rPr>
          <w:rStyle w:val="FootnoteReference"/>
        </w:rPr>
        <w:footnoteRef/>
      </w:r>
      <w:r>
        <w:t xml:space="preserve"> The term ‘households and businesses’ for this intermediate outcome and indicators is incorrect and should have been ‘people’. This will be amended for future version of the Benchmarks and PAF to accurately reflect the intended outcomes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7B52A" w14:textId="77777777" w:rsidR="00FA6647" w:rsidRDefault="00FA6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8138" w14:textId="14C93AF6" w:rsidR="00A37EE4" w:rsidRPr="00333501" w:rsidRDefault="00A37EE4" w:rsidP="008F56A8">
    <w:pPr>
      <w:pStyle w:val="Header"/>
      <w:jc w:val="left"/>
    </w:pPr>
    <w:r>
      <w:rPr>
        <w:noProof/>
        <w:lang w:val="en-AU" w:eastAsia="en-AU"/>
      </w:rPr>
      <w:drawing>
        <wp:anchor distT="0" distB="0" distL="114300" distR="114300" simplePos="0" relativeHeight="251655680" behindDoc="1" locked="1" layoutInCell="1" allowOverlap="1" wp14:anchorId="0DD30866" wp14:editId="73F5EA26">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CFEF" w14:textId="77777777" w:rsidR="00FA6647" w:rsidRDefault="00FA66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3C7A" w14:textId="77777777" w:rsidR="00A37EE4" w:rsidRDefault="00A37E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04D78" w14:textId="77777777" w:rsidR="00A37EE4" w:rsidRPr="00333501" w:rsidRDefault="00A37EE4" w:rsidP="008F56A8">
    <w:pPr>
      <w:pStyle w:val="Header"/>
      <w:jc w:val="left"/>
    </w:pPr>
    <w:r>
      <w:rPr>
        <w:noProof/>
        <w:lang w:val="en-AU" w:eastAsia="en-AU"/>
      </w:rPr>
      <w:drawing>
        <wp:anchor distT="0" distB="0" distL="114300" distR="114300" simplePos="0" relativeHeight="251658752" behindDoc="1" locked="1" layoutInCell="1" allowOverlap="1" wp14:anchorId="3C249D61" wp14:editId="63B66987">
          <wp:simplePos x="0" y="0"/>
          <wp:positionH relativeFrom="page">
            <wp:posOffset>160020</wp:posOffset>
          </wp:positionH>
          <wp:positionV relativeFrom="page">
            <wp:posOffset>160020</wp:posOffset>
          </wp:positionV>
          <wp:extent cx="10662285" cy="7545705"/>
          <wp:effectExtent l="0" t="0" r="571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B8FC" w14:textId="77777777" w:rsidR="00A37EE4" w:rsidRPr="003D352D" w:rsidRDefault="00A37EE4" w:rsidP="003D352D">
    <w:pPr>
      <w:pStyle w:val="Header"/>
      <w:jc w:val="left"/>
    </w:pPr>
    <w:r>
      <w:rPr>
        <w:noProof/>
        <w:lang w:val="en-AU" w:eastAsia="en-AU"/>
      </w:rPr>
      <w:drawing>
        <wp:anchor distT="0" distB="0" distL="114300" distR="114300" simplePos="0" relativeHeight="251657728" behindDoc="1" locked="1" layoutInCell="1" allowOverlap="1" wp14:anchorId="67FB5155" wp14:editId="2F6C1C4C">
          <wp:simplePos x="0" y="0"/>
          <wp:positionH relativeFrom="page">
            <wp:posOffset>7620</wp:posOffset>
          </wp:positionH>
          <wp:positionV relativeFrom="page">
            <wp:posOffset>7620</wp:posOffset>
          </wp:positionV>
          <wp:extent cx="10662285" cy="7545705"/>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9B5D" w14:textId="77777777" w:rsidR="00A37EE4" w:rsidRPr="00333501" w:rsidRDefault="00A37EE4" w:rsidP="008F56A8">
    <w:pPr>
      <w:pStyle w:val="Header"/>
      <w:jc w:val="left"/>
    </w:pPr>
    <w:r>
      <w:rPr>
        <w:noProof/>
        <w:lang w:val="en-AU" w:eastAsia="en-AU"/>
      </w:rPr>
      <w:drawing>
        <wp:anchor distT="0" distB="0" distL="114300" distR="114300" simplePos="0" relativeHeight="251656704" behindDoc="1" locked="1" layoutInCell="1" allowOverlap="1" wp14:anchorId="109FD0B4" wp14:editId="5E1650F2">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3F37796"/>
    <w:multiLevelType w:val="hybridMultilevel"/>
    <w:tmpl w:val="213C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9D4041E"/>
    <w:multiLevelType w:val="hybridMultilevel"/>
    <w:tmpl w:val="22AA3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0BA2822"/>
    <w:multiLevelType w:val="multilevel"/>
    <w:tmpl w:val="5F328F1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35177A90"/>
    <w:multiLevelType w:val="hybridMultilevel"/>
    <w:tmpl w:val="6AFE2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AD5318"/>
    <w:multiLevelType w:val="hybridMultilevel"/>
    <w:tmpl w:val="23C4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3F2C08"/>
    <w:multiLevelType w:val="multilevel"/>
    <w:tmpl w:val="0B50640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764111C"/>
    <w:multiLevelType w:val="hybridMultilevel"/>
    <w:tmpl w:val="060A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6B6295"/>
    <w:multiLevelType w:val="hybridMultilevel"/>
    <w:tmpl w:val="5866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nsid w:val="4C4E109C"/>
    <w:multiLevelType w:val="hybridMultilevel"/>
    <w:tmpl w:val="13A87A7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nsid w:val="59FD1113"/>
    <w:multiLevelType w:val="hybridMultilevel"/>
    <w:tmpl w:val="4E60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510BCE"/>
    <w:multiLevelType w:val="hybridMultilevel"/>
    <w:tmpl w:val="106A01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3C1EA7"/>
    <w:multiLevelType w:val="multilevel"/>
    <w:tmpl w:val="43428892"/>
    <w:numStyleLink w:val="BulletsList"/>
  </w:abstractNum>
  <w:abstractNum w:abstractNumId="1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62104CAE"/>
    <w:multiLevelType w:val="multilevel"/>
    <w:tmpl w:val="8CCAADB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E7136E0"/>
    <w:multiLevelType w:val="hybridMultilevel"/>
    <w:tmpl w:val="E90049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0"/>
  </w:num>
  <w:num w:numId="3">
    <w:abstractNumId w:val="5"/>
  </w:num>
  <w:num w:numId="4">
    <w:abstractNumId w:val="13"/>
  </w:num>
  <w:num w:numId="5">
    <w:abstractNumId w:val="17"/>
  </w:num>
  <w:num w:numId="6">
    <w:abstractNumId w:val="5"/>
  </w:num>
  <w:num w:numId="7">
    <w:abstractNumId w:val="16"/>
  </w:num>
  <w:num w:numId="8">
    <w:abstractNumId w:val="0"/>
  </w:num>
  <w:num w:numId="9">
    <w:abstractNumId w:val="9"/>
  </w:num>
  <w:num w:numId="10">
    <w:abstractNumId w:val="2"/>
  </w:num>
  <w:num w:numId="11">
    <w:abstractNumId w:val="19"/>
  </w:num>
  <w:num w:numId="12">
    <w:abstractNumId w:val="15"/>
  </w:num>
  <w:num w:numId="13">
    <w:abstractNumId w:val="11"/>
  </w:num>
  <w:num w:numId="14">
    <w:abstractNumId w:val="6"/>
  </w:num>
  <w:num w:numId="15">
    <w:abstractNumId w:val="1"/>
  </w:num>
  <w:num w:numId="16">
    <w:abstractNumId w:val="14"/>
  </w:num>
  <w:num w:numId="17">
    <w:abstractNumId w:val="18"/>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20"/>
  </w:num>
  <w:num w:numId="23">
    <w:abstractNumId w:val="1"/>
  </w:num>
  <w:num w:numId="24">
    <w:abstractNumId w:val="10"/>
  </w:num>
  <w:num w:numId="25">
    <w:abstractNumId w:val="4"/>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95D"/>
    <w:rsid w:val="00001DA8"/>
    <w:rsid w:val="00003741"/>
    <w:rsid w:val="000040B3"/>
    <w:rsid w:val="00007FB6"/>
    <w:rsid w:val="00013B98"/>
    <w:rsid w:val="0001506E"/>
    <w:rsid w:val="00015316"/>
    <w:rsid w:val="0002080A"/>
    <w:rsid w:val="0002782F"/>
    <w:rsid w:val="00027EFA"/>
    <w:rsid w:val="00027F29"/>
    <w:rsid w:val="00031512"/>
    <w:rsid w:val="00032C9F"/>
    <w:rsid w:val="000364AA"/>
    <w:rsid w:val="00046724"/>
    <w:rsid w:val="00051082"/>
    <w:rsid w:val="00053CEE"/>
    <w:rsid w:val="0005457B"/>
    <w:rsid w:val="00054E4D"/>
    <w:rsid w:val="00060073"/>
    <w:rsid w:val="00060268"/>
    <w:rsid w:val="00064651"/>
    <w:rsid w:val="00067C52"/>
    <w:rsid w:val="0007226F"/>
    <w:rsid w:val="00074EC6"/>
    <w:rsid w:val="00076160"/>
    <w:rsid w:val="00077C36"/>
    <w:rsid w:val="00080B48"/>
    <w:rsid w:val="00084483"/>
    <w:rsid w:val="000848C1"/>
    <w:rsid w:val="00093ABB"/>
    <w:rsid w:val="00097DA8"/>
    <w:rsid w:val="000A2D10"/>
    <w:rsid w:val="000B0C28"/>
    <w:rsid w:val="000B136F"/>
    <w:rsid w:val="000B4BDD"/>
    <w:rsid w:val="000B5855"/>
    <w:rsid w:val="000B73E9"/>
    <w:rsid w:val="000C0055"/>
    <w:rsid w:val="000C1269"/>
    <w:rsid w:val="000C1B10"/>
    <w:rsid w:val="000C1DEC"/>
    <w:rsid w:val="000D66D6"/>
    <w:rsid w:val="000D687E"/>
    <w:rsid w:val="000E20F8"/>
    <w:rsid w:val="000E314A"/>
    <w:rsid w:val="000E3A0F"/>
    <w:rsid w:val="000F21C1"/>
    <w:rsid w:val="000F4691"/>
    <w:rsid w:val="00101421"/>
    <w:rsid w:val="00104177"/>
    <w:rsid w:val="00105F76"/>
    <w:rsid w:val="00107E9A"/>
    <w:rsid w:val="00110DD9"/>
    <w:rsid w:val="00111917"/>
    <w:rsid w:val="00115F59"/>
    <w:rsid w:val="001206AD"/>
    <w:rsid w:val="00122855"/>
    <w:rsid w:val="001276F2"/>
    <w:rsid w:val="00127D64"/>
    <w:rsid w:val="00131FBE"/>
    <w:rsid w:val="00135E3F"/>
    <w:rsid w:val="00136526"/>
    <w:rsid w:val="00142224"/>
    <w:rsid w:val="00147027"/>
    <w:rsid w:val="001507EE"/>
    <w:rsid w:val="00151C4A"/>
    <w:rsid w:val="001529C9"/>
    <w:rsid w:val="00152E58"/>
    <w:rsid w:val="001541EA"/>
    <w:rsid w:val="00155AE9"/>
    <w:rsid w:val="00157834"/>
    <w:rsid w:val="00160615"/>
    <w:rsid w:val="00163D67"/>
    <w:rsid w:val="00170DFF"/>
    <w:rsid w:val="00173829"/>
    <w:rsid w:val="00181D27"/>
    <w:rsid w:val="0018210C"/>
    <w:rsid w:val="0018337C"/>
    <w:rsid w:val="0019142B"/>
    <w:rsid w:val="00193644"/>
    <w:rsid w:val="0019546C"/>
    <w:rsid w:val="00197081"/>
    <w:rsid w:val="001A2C81"/>
    <w:rsid w:val="001B2A19"/>
    <w:rsid w:val="001C01D8"/>
    <w:rsid w:val="001C28A7"/>
    <w:rsid w:val="001C3040"/>
    <w:rsid w:val="001D2F1C"/>
    <w:rsid w:val="001D336E"/>
    <w:rsid w:val="001D3D22"/>
    <w:rsid w:val="001D653B"/>
    <w:rsid w:val="001D663E"/>
    <w:rsid w:val="001D7019"/>
    <w:rsid w:val="001D75FE"/>
    <w:rsid w:val="001D7B9B"/>
    <w:rsid w:val="001E152F"/>
    <w:rsid w:val="001E1DC0"/>
    <w:rsid w:val="001E4387"/>
    <w:rsid w:val="001F3FD8"/>
    <w:rsid w:val="001F5CD4"/>
    <w:rsid w:val="001F60AE"/>
    <w:rsid w:val="001F6753"/>
    <w:rsid w:val="001F7266"/>
    <w:rsid w:val="0020097C"/>
    <w:rsid w:val="00203846"/>
    <w:rsid w:val="00210F62"/>
    <w:rsid w:val="0021203E"/>
    <w:rsid w:val="00212813"/>
    <w:rsid w:val="00214ECB"/>
    <w:rsid w:val="00220502"/>
    <w:rsid w:val="00221FAA"/>
    <w:rsid w:val="00222253"/>
    <w:rsid w:val="00226367"/>
    <w:rsid w:val="00230201"/>
    <w:rsid w:val="002341CB"/>
    <w:rsid w:val="00234B00"/>
    <w:rsid w:val="00236A53"/>
    <w:rsid w:val="00237F5B"/>
    <w:rsid w:val="00240377"/>
    <w:rsid w:val="00250354"/>
    <w:rsid w:val="00251109"/>
    <w:rsid w:val="002529AB"/>
    <w:rsid w:val="00263107"/>
    <w:rsid w:val="00266069"/>
    <w:rsid w:val="00275DB7"/>
    <w:rsid w:val="00284957"/>
    <w:rsid w:val="0028602A"/>
    <w:rsid w:val="002862C2"/>
    <w:rsid w:val="0028722C"/>
    <w:rsid w:val="00291C0E"/>
    <w:rsid w:val="00296B49"/>
    <w:rsid w:val="00297570"/>
    <w:rsid w:val="002A51CA"/>
    <w:rsid w:val="002A6909"/>
    <w:rsid w:val="002B1A00"/>
    <w:rsid w:val="002B3E95"/>
    <w:rsid w:val="002B5E10"/>
    <w:rsid w:val="002C004A"/>
    <w:rsid w:val="002C0762"/>
    <w:rsid w:val="002C14C4"/>
    <w:rsid w:val="002C172F"/>
    <w:rsid w:val="002C46E1"/>
    <w:rsid w:val="002C60E4"/>
    <w:rsid w:val="002D1721"/>
    <w:rsid w:val="002D73A5"/>
    <w:rsid w:val="002E15B6"/>
    <w:rsid w:val="002E27B8"/>
    <w:rsid w:val="002F19E9"/>
    <w:rsid w:val="003002C0"/>
    <w:rsid w:val="00301144"/>
    <w:rsid w:val="00303251"/>
    <w:rsid w:val="00303410"/>
    <w:rsid w:val="003112E9"/>
    <w:rsid w:val="003148B7"/>
    <w:rsid w:val="00315683"/>
    <w:rsid w:val="003158C3"/>
    <w:rsid w:val="00321E26"/>
    <w:rsid w:val="00322574"/>
    <w:rsid w:val="003274CD"/>
    <w:rsid w:val="00333501"/>
    <w:rsid w:val="00340307"/>
    <w:rsid w:val="00344444"/>
    <w:rsid w:val="003450EE"/>
    <w:rsid w:val="003454DF"/>
    <w:rsid w:val="003457C4"/>
    <w:rsid w:val="0035119D"/>
    <w:rsid w:val="0035599A"/>
    <w:rsid w:val="00367461"/>
    <w:rsid w:val="00370103"/>
    <w:rsid w:val="00374351"/>
    <w:rsid w:val="003820E6"/>
    <w:rsid w:val="0038461C"/>
    <w:rsid w:val="003853AD"/>
    <w:rsid w:val="00386E93"/>
    <w:rsid w:val="00387149"/>
    <w:rsid w:val="00390BEF"/>
    <w:rsid w:val="00391C96"/>
    <w:rsid w:val="00394C54"/>
    <w:rsid w:val="00397123"/>
    <w:rsid w:val="003A5C20"/>
    <w:rsid w:val="003B4AD6"/>
    <w:rsid w:val="003B4B50"/>
    <w:rsid w:val="003B4F12"/>
    <w:rsid w:val="003C03D1"/>
    <w:rsid w:val="003C3136"/>
    <w:rsid w:val="003C4C38"/>
    <w:rsid w:val="003C585F"/>
    <w:rsid w:val="003D11C4"/>
    <w:rsid w:val="003D352D"/>
    <w:rsid w:val="003D5B37"/>
    <w:rsid w:val="003E21C2"/>
    <w:rsid w:val="003E3F56"/>
    <w:rsid w:val="003F01D9"/>
    <w:rsid w:val="003F65BC"/>
    <w:rsid w:val="00400B0F"/>
    <w:rsid w:val="00402ACC"/>
    <w:rsid w:val="00406B1A"/>
    <w:rsid w:val="004076E0"/>
    <w:rsid w:val="004120EC"/>
    <w:rsid w:val="00413C43"/>
    <w:rsid w:val="00414F1E"/>
    <w:rsid w:val="00423F31"/>
    <w:rsid w:val="00423FCD"/>
    <w:rsid w:val="004305D2"/>
    <w:rsid w:val="00431899"/>
    <w:rsid w:val="0043484B"/>
    <w:rsid w:val="00446354"/>
    <w:rsid w:val="00446AD7"/>
    <w:rsid w:val="00447A3C"/>
    <w:rsid w:val="0045165C"/>
    <w:rsid w:val="0046036A"/>
    <w:rsid w:val="00462370"/>
    <w:rsid w:val="0046424F"/>
    <w:rsid w:val="004720B1"/>
    <w:rsid w:val="00474D34"/>
    <w:rsid w:val="004810E8"/>
    <w:rsid w:val="00483072"/>
    <w:rsid w:val="00486804"/>
    <w:rsid w:val="00487D0E"/>
    <w:rsid w:val="004908B7"/>
    <w:rsid w:val="00490D5A"/>
    <w:rsid w:val="00493029"/>
    <w:rsid w:val="004963F5"/>
    <w:rsid w:val="00496818"/>
    <w:rsid w:val="004977A1"/>
    <w:rsid w:val="004A27F2"/>
    <w:rsid w:val="004A5AD9"/>
    <w:rsid w:val="004B3775"/>
    <w:rsid w:val="004B512C"/>
    <w:rsid w:val="004C067C"/>
    <w:rsid w:val="004D0BA0"/>
    <w:rsid w:val="004D266A"/>
    <w:rsid w:val="004D343B"/>
    <w:rsid w:val="004D53B5"/>
    <w:rsid w:val="004E0264"/>
    <w:rsid w:val="004E058F"/>
    <w:rsid w:val="004E3B10"/>
    <w:rsid w:val="004E3B87"/>
    <w:rsid w:val="004E3CB9"/>
    <w:rsid w:val="004F0626"/>
    <w:rsid w:val="004F171D"/>
    <w:rsid w:val="004F4708"/>
    <w:rsid w:val="004F59DE"/>
    <w:rsid w:val="004F6B64"/>
    <w:rsid w:val="00502F68"/>
    <w:rsid w:val="005053B6"/>
    <w:rsid w:val="00510921"/>
    <w:rsid w:val="00510AD3"/>
    <w:rsid w:val="005115BB"/>
    <w:rsid w:val="00513348"/>
    <w:rsid w:val="0051622D"/>
    <w:rsid w:val="00524858"/>
    <w:rsid w:val="005303FD"/>
    <w:rsid w:val="00530CC5"/>
    <w:rsid w:val="00532C1F"/>
    <w:rsid w:val="00533B5D"/>
    <w:rsid w:val="00535166"/>
    <w:rsid w:val="00536C2A"/>
    <w:rsid w:val="005378C1"/>
    <w:rsid w:val="00541BBF"/>
    <w:rsid w:val="005465B0"/>
    <w:rsid w:val="00546FD7"/>
    <w:rsid w:val="00550AB7"/>
    <w:rsid w:val="005511BF"/>
    <w:rsid w:val="00554606"/>
    <w:rsid w:val="005733E6"/>
    <w:rsid w:val="00576B01"/>
    <w:rsid w:val="00580BB0"/>
    <w:rsid w:val="00582CF7"/>
    <w:rsid w:val="0058677B"/>
    <w:rsid w:val="0059146A"/>
    <w:rsid w:val="00591706"/>
    <w:rsid w:val="00596C22"/>
    <w:rsid w:val="005A17A3"/>
    <w:rsid w:val="005A59AC"/>
    <w:rsid w:val="005B2B0B"/>
    <w:rsid w:val="005B33D9"/>
    <w:rsid w:val="005B5769"/>
    <w:rsid w:val="005C39ED"/>
    <w:rsid w:val="005C3A35"/>
    <w:rsid w:val="005C3EE7"/>
    <w:rsid w:val="005C78F7"/>
    <w:rsid w:val="005D1CBA"/>
    <w:rsid w:val="005D323D"/>
    <w:rsid w:val="005D35CB"/>
    <w:rsid w:val="005D364B"/>
    <w:rsid w:val="005D3655"/>
    <w:rsid w:val="005D5450"/>
    <w:rsid w:val="005D7DA1"/>
    <w:rsid w:val="005E096C"/>
    <w:rsid w:val="005E3376"/>
    <w:rsid w:val="005E606B"/>
    <w:rsid w:val="005F1191"/>
    <w:rsid w:val="005F6352"/>
    <w:rsid w:val="00604282"/>
    <w:rsid w:val="006105E8"/>
    <w:rsid w:val="0061131B"/>
    <w:rsid w:val="00616CB7"/>
    <w:rsid w:val="00621197"/>
    <w:rsid w:val="00622D99"/>
    <w:rsid w:val="006239D3"/>
    <w:rsid w:val="00623BA1"/>
    <w:rsid w:val="006246CC"/>
    <w:rsid w:val="006248E3"/>
    <w:rsid w:val="00627EA1"/>
    <w:rsid w:val="006317B7"/>
    <w:rsid w:val="00632721"/>
    <w:rsid w:val="006346BC"/>
    <w:rsid w:val="00644201"/>
    <w:rsid w:val="006457D3"/>
    <w:rsid w:val="0065101D"/>
    <w:rsid w:val="00653233"/>
    <w:rsid w:val="0066652A"/>
    <w:rsid w:val="00666A14"/>
    <w:rsid w:val="006743AA"/>
    <w:rsid w:val="0067585A"/>
    <w:rsid w:val="00676257"/>
    <w:rsid w:val="00680522"/>
    <w:rsid w:val="00681132"/>
    <w:rsid w:val="00681F08"/>
    <w:rsid w:val="00682167"/>
    <w:rsid w:val="006843FF"/>
    <w:rsid w:val="006849B6"/>
    <w:rsid w:val="00685EC2"/>
    <w:rsid w:val="006870D6"/>
    <w:rsid w:val="0068732E"/>
    <w:rsid w:val="00691ED1"/>
    <w:rsid w:val="00694387"/>
    <w:rsid w:val="00694626"/>
    <w:rsid w:val="006A4469"/>
    <w:rsid w:val="006B2A24"/>
    <w:rsid w:val="006B4C25"/>
    <w:rsid w:val="006B599F"/>
    <w:rsid w:val="006B68B6"/>
    <w:rsid w:val="006C3339"/>
    <w:rsid w:val="006C42AF"/>
    <w:rsid w:val="006E2518"/>
    <w:rsid w:val="006E3B5A"/>
    <w:rsid w:val="006E3D6C"/>
    <w:rsid w:val="006E546B"/>
    <w:rsid w:val="006F27B1"/>
    <w:rsid w:val="006F473E"/>
    <w:rsid w:val="007028FC"/>
    <w:rsid w:val="00706A4E"/>
    <w:rsid w:val="00711761"/>
    <w:rsid w:val="00711D8E"/>
    <w:rsid w:val="007121C2"/>
    <w:rsid w:val="00712672"/>
    <w:rsid w:val="007128B0"/>
    <w:rsid w:val="007149B0"/>
    <w:rsid w:val="0071613E"/>
    <w:rsid w:val="00716771"/>
    <w:rsid w:val="00724D1B"/>
    <w:rsid w:val="00730273"/>
    <w:rsid w:val="00733344"/>
    <w:rsid w:val="00734E3F"/>
    <w:rsid w:val="007354B5"/>
    <w:rsid w:val="00736985"/>
    <w:rsid w:val="00743B93"/>
    <w:rsid w:val="00745DF5"/>
    <w:rsid w:val="00751A89"/>
    <w:rsid w:val="0075777B"/>
    <w:rsid w:val="0076250F"/>
    <w:rsid w:val="00767CAE"/>
    <w:rsid w:val="00770A7D"/>
    <w:rsid w:val="00771B53"/>
    <w:rsid w:val="0077370C"/>
    <w:rsid w:val="00784031"/>
    <w:rsid w:val="0079022D"/>
    <w:rsid w:val="00790AE5"/>
    <w:rsid w:val="0079235B"/>
    <w:rsid w:val="00793845"/>
    <w:rsid w:val="00795D90"/>
    <w:rsid w:val="007972A6"/>
    <w:rsid w:val="007A0538"/>
    <w:rsid w:val="007A1A7E"/>
    <w:rsid w:val="007A77B3"/>
    <w:rsid w:val="007B0647"/>
    <w:rsid w:val="007B1FCA"/>
    <w:rsid w:val="007B2EE8"/>
    <w:rsid w:val="007B6200"/>
    <w:rsid w:val="007C00BC"/>
    <w:rsid w:val="007C21B3"/>
    <w:rsid w:val="007C4182"/>
    <w:rsid w:val="007C435D"/>
    <w:rsid w:val="007C6141"/>
    <w:rsid w:val="007C742C"/>
    <w:rsid w:val="007C7497"/>
    <w:rsid w:val="007D61D0"/>
    <w:rsid w:val="007E50EF"/>
    <w:rsid w:val="007E61A4"/>
    <w:rsid w:val="007E6B5A"/>
    <w:rsid w:val="007E78EB"/>
    <w:rsid w:val="007F3395"/>
    <w:rsid w:val="007F7C4C"/>
    <w:rsid w:val="00801B9F"/>
    <w:rsid w:val="008057FD"/>
    <w:rsid w:val="00807190"/>
    <w:rsid w:val="008150B4"/>
    <w:rsid w:val="008151D4"/>
    <w:rsid w:val="00817E16"/>
    <w:rsid w:val="00820408"/>
    <w:rsid w:val="0082388D"/>
    <w:rsid w:val="00824727"/>
    <w:rsid w:val="00825D3E"/>
    <w:rsid w:val="0083017D"/>
    <w:rsid w:val="00837E91"/>
    <w:rsid w:val="00843A5C"/>
    <w:rsid w:val="0084513D"/>
    <w:rsid w:val="008475F0"/>
    <w:rsid w:val="0085095B"/>
    <w:rsid w:val="008615A0"/>
    <w:rsid w:val="00861E8A"/>
    <w:rsid w:val="00864210"/>
    <w:rsid w:val="00880004"/>
    <w:rsid w:val="008818E4"/>
    <w:rsid w:val="00886141"/>
    <w:rsid w:val="00890491"/>
    <w:rsid w:val="008914AF"/>
    <w:rsid w:val="008926C9"/>
    <w:rsid w:val="008A3662"/>
    <w:rsid w:val="008A36A7"/>
    <w:rsid w:val="008A5A30"/>
    <w:rsid w:val="008A5AFE"/>
    <w:rsid w:val="008A6A80"/>
    <w:rsid w:val="008A7E51"/>
    <w:rsid w:val="008B2991"/>
    <w:rsid w:val="008B68D7"/>
    <w:rsid w:val="008B7D42"/>
    <w:rsid w:val="008C0363"/>
    <w:rsid w:val="008C13DA"/>
    <w:rsid w:val="008C2F58"/>
    <w:rsid w:val="008C4FEC"/>
    <w:rsid w:val="008C5A0E"/>
    <w:rsid w:val="008D619C"/>
    <w:rsid w:val="008E0F30"/>
    <w:rsid w:val="008E3409"/>
    <w:rsid w:val="008E4949"/>
    <w:rsid w:val="008F56A8"/>
    <w:rsid w:val="009009FA"/>
    <w:rsid w:val="00901AB6"/>
    <w:rsid w:val="009057CC"/>
    <w:rsid w:val="009068B5"/>
    <w:rsid w:val="00907E1C"/>
    <w:rsid w:val="009129D3"/>
    <w:rsid w:val="00913C34"/>
    <w:rsid w:val="009172CC"/>
    <w:rsid w:val="00917760"/>
    <w:rsid w:val="009210D8"/>
    <w:rsid w:val="00922BCC"/>
    <w:rsid w:val="00923424"/>
    <w:rsid w:val="00924D9F"/>
    <w:rsid w:val="00930F22"/>
    <w:rsid w:val="00934F1C"/>
    <w:rsid w:val="00937516"/>
    <w:rsid w:val="009376F8"/>
    <w:rsid w:val="00944672"/>
    <w:rsid w:val="00945882"/>
    <w:rsid w:val="009521EA"/>
    <w:rsid w:val="00961631"/>
    <w:rsid w:val="00961887"/>
    <w:rsid w:val="00970C0D"/>
    <w:rsid w:val="00974B16"/>
    <w:rsid w:val="009753F9"/>
    <w:rsid w:val="00984A24"/>
    <w:rsid w:val="00985E7B"/>
    <w:rsid w:val="009903F3"/>
    <w:rsid w:val="00990D53"/>
    <w:rsid w:val="00992C76"/>
    <w:rsid w:val="009938A7"/>
    <w:rsid w:val="009944C2"/>
    <w:rsid w:val="009A0273"/>
    <w:rsid w:val="009A19FF"/>
    <w:rsid w:val="009A1EB1"/>
    <w:rsid w:val="009B087E"/>
    <w:rsid w:val="009B2EC1"/>
    <w:rsid w:val="009B4D3B"/>
    <w:rsid w:val="009C41C5"/>
    <w:rsid w:val="009D23DD"/>
    <w:rsid w:val="009D7134"/>
    <w:rsid w:val="009D7407"/>
    <w:rsid w:val="009E0866"/>
    <w:rsid w:val="009E141A"/>
    <w:rsid w:val="009E69CD"/>
    <w:rsid w:val="009E7177"/>
    <w:rsid w:val="009E7BB8"/>
    <w:rsid w:val="009F1600"/>
    <w:rsid w:val="009F2EE9"/>
    <w:rsid w:val="009F5488"/>
    <w:rsid w:val="009F6423"/>
    <w:rsid w:val="009F7E52"/>
    <w:rsid w:val="009F7F93"/>
    <w:rsid w:val="00A00713"/>
    <w:rsid w:val="00A02175"/>
    <w:rsid w:val="00A02DA9"/>
    <w:rsid w:val="00A059AA"/>
    <w:rsid w:val="00A07E40"/>
    <w:rsid w:val="00A10477"/>
    <w:rsid w:val="00A12D2C"/>
    <w:rsid w:val="00A24A62"/>
    <w:rsid w:val="00A27369"/>
    <w:rsid w:val="00A30085"/>
    <w:rsid w:val="00A31C9F"/>
    <w:rsid w:val="00A350F0"/>
    <w:rsid w:val="00A36B8A"/>
    <w:rsid w:val="00A37EE4"/>
    <w:rsid w:val="00A406B9"/>
    <w:rsid w:val="00A4144F"/>
    <w:rsid w:val="00A513C5"/>
    <w:rsid w:val="00A53584"/>
    <w:rsid w:val="00A56F14"/>
    <w:rsid w:val="00A6018A"/>
    <w:rsid w:val="00A60421"/>
    <w:rsid w:val="00A608F0"/>
    <w:rsid w:val="00A618CA"/>
    <w:rsid w:val="00A639B8"/>
    <w:rsid w:val="00A63FB4"/>
    <w:rsid w:val="00A65779"/>
    <w:rsid w:val="00A6577E"/>
    <w:rsid w:val="00A66CAA"/>
    <w:rsid w:val="00A67762"/>
    <w:rsid w:val="00A72092"/>
    <w:rsid w:val="00A775A3"/>
    <w:rsid w:val="00A80AC7"/>
    <w:rsid w:val="00A80F95"/>
    <w:rsid w:val="00A8197B"/>
    <w:rsid w:val="00A838F1"/>
    <w:rsid w:val="00A83FE1"/>
    <w:rsid w:val="00A84F42"/>
    <w:rsid w:val="00A8588E"/>
    <w:rsid w:val="00A87734"/>
    <w:rsid w:val="00A93ABB"/>
    <w:rsid w:val="00A93DB5"/>
    <w:rsid w:val="00A94E8E"/>
    <w:rsid w:val="00A969DC"/>
    <w:rsid w:val="00AA444A"/>
    <w:rsid w:val="00AA549B"/>
    <w:rsid w:val="00AA6769"/>
    <w:rsid w:val="00AA7BE3"/>
    <w:rsid w:val="00AB2F96"/>
    <w:rsid w:val="00AB5102"/>
    <w:rsid w:val="00AB5E7F"/>
    <w:rsid w:val="00AB6A49"/>
    <w:rsid w:val="00AC164A"/>
    <w:rsid w:val="00AC3883"/>
    <w:rsid w:val="00AD083B"/>
    <w:rsid w:val="00AD24C0"/>
    <w:rsid w:val="00AD24EE"/>
    <w:rsid w:val="00AD2CB8"/>
    <w:rsid w:val="00AE09C1"/>
    <w:rsid w:val="00AE3BD0"/>
    <w:rsid w:val="00AE67DC"/>
    <w:rsid w:val="00AF00ED"/>
    <w:rsid w:val="00AF0A7B"/>
    <w:rsid w:val="00AF176F"/>
    <w:rsid w:val="00AF1B85"/>
    <w:rsid w:val="00AF2050"/>
    <w:rsid w:val="00AF21A4"/>
    <w:rsid w:val="00AF2C7B"/>
    <w:rsid w:val="00AF5F99"/>
    <w:rsid w:val="00B0205A"/>
    <w:rsid w:val="00B027A2"/>
    <w:rsid w:val="00B03CA8"/>
    <w:rsid w:val="00B074F5"/>
    <w:rsid w:val="00B10CCA"/>
    <w:rsid w:val="00B10D8A"/>
    <w:rsid w:val="00B14A46"/>
    <w:rsid w:val="00B16F8C"/>
    <w:rsid w:val="00B1727E"/>
    <w:rsid w:val="00B21AD8"/>
    <w:rsid w:val="00B236EB"/>
    <w:rsid w:val="00B32AB1"/>
    <w:rsid w:val="00B331DC"/>
    <w:rsid w:val="00B345B2"/>
    <w:rsid w:val="00B36EC8"/>
    <w:rsid w:val="00B36FF3"/>
    <w:rsid w:val="00B37615"/>
    <w:rsid w:val="00B41475"/>
    <w:rsid w:val="00B430B4"/>
    <w:rsid w:val="00B43802"/>
    <w:rsid w:val="00B438D3"/>
    <w:rsid w:val="00B44FF2"/>
    <w:rsid w:val="00B4551E"/>
    <w:rsid w:val="00B51133"/>
    <w:rsid w:val="00B55E19"/>
    <w:rsid w:val="00B602D9"/>
    <w:rsid w:val="00B674F2"/>
    <w:rsid w:val="00B77CAE"/>
    <w:rsid w:val="00B90DB7"/>
    <w:rsid w:val="00B92B57"/>
    <w:rsid w:val="00BA0013"/>
    <w:rsid w:val="00BA4B6D"/>
    <w:rsid w:val="00BA4FA8"/>
    <w:rsid w:val="00BB10E2"/>
    <w:rsid w:val="00BB26C5"/>
    <w:rsid w:val="00BC302F"/>
    <w:rsid w:val="00BC337C"/>
    <w:rsid w:val="00BC5631"/>
    <w:rsid w:val="00BC5C37"/>
    <w:rsid w:val="00BD5773"/>
    <w:rsid w:val="00BE3467"/>
    <w:rsid w:val="00BE6C6D"/>
    <w:rsid w:val="00BE76FA"/>
    <w:rsid w:val="00BF0A93"/>
    <w:rsid w:val="00BF3236"/>
    <w:rsid w:val="00BF3D74"/>
    <w:rsid w:val="00BF4DE6"/>
    <w:rsid w:val="00BF6B9E"/>
    <w:rsid w:val="00C030B8"/>
    <w:rsid w:val="00C062C6"/>
    <w:rsid w:val="00C06F43"/>
    <w:rsid w:val="00C13637"/>
    <w:rsid w:val="00C13C44"/>
    <w:rsid w:val="00C14C08"/>
    <w:rsid w:val="00C21BAC"/>
    <w:rsid w:val="00C22933"/>
    <w:rsid w:val="00C251C6"/>
    <w:rsid w:val="00C268A7"/>
    <w:rsid w:val="00C27D58"/>
    <w:rsid w:val="00C33B01"/>
    <w:rsid w:val="00C36AF7"/>
    <w:rsid w:val="00C406F0"/>
    <w:rsid w:val="00C40BA5"/>
    <w:rsid w:val="00C41AC6"/>
    <w:rsid w:val="00C42CDE"/>
    <w:rsid w:val="00C43430"/>
    <w:rsid w:val="00C438C0"/>
    <w:rsid w:val="00C47E68"/>
    <w:rsid w:val="00C500D7"/>
    <w:rsid w:val="00C5182A"/>
    <w:rsid w:val="00C5471F"/>
    <w:rsid w:val="00C63EE9"/>
    <w:rsid w:val="00C65C4C"/>
    <w:rsid w:val="00C6626C"/>
    <w:rsid w:val="00C70477"/>
    <w:rsid w:val="00C7065A"/>
    <w:rsid w:val="00C727F9"/>
    <w:rsid w:val="00C910DE"/>
    <w:rsid w:val="00C9373A"/>
    <w:rsid w:val="00C94DBF"/>
    <w:rsid w:val="00C9618D"/>
    <w:rsid w:val="00CA37B1"/>
    <w:rsid w:val="00CB15DB"/>
    <w:rsid w:val="00CB1959"/>
    <w:rsid w:val="00CB4CC5"/>
    <w:rsid w:val="00CC03AD"/>
    <w:rsid w:val="00CC467D"/>
    <w:rsid w:val="00CD0E1B"/>
    <w:rsid w:val="00CD0E4B"/>
    <w:rsid w:val="00CE0155"/>
    <w:rsid w:val="00CE26B7"/>
    <w:rsid w:val="00CF6B3F"/>
    <w:rsid w:val="00D00802"/>
    <w:rsid w:val="00D01065"/>
    <w:rsid w:val="00D02198"/>
    <w:rsid w:val="00D0296C"/>
    <w:rsid w:val="00D10DF1"/>
    <w:rsid w:val="00D13FBE"/>
    <w:rsid w:val="00D146A2"/>
    <w:rsid w:val="00D1498F"/>
    <w:rsid w:val="00D155E5"/>
    <w:rsid w:val="00D15A00"/>
    <w:rsid w:val="00D2131F"/>
    <w:rsid w:val="00D27EAF"/>
    <w:rsid w:val="00D44AA6"/>
    <w:rsid w:val="00D45956"/>
    <w:rsid w:val="00D476E1"/>
    <w:rsid w:val="00D52C8C"/>
    <w:rsid w:val="00D535AB"/>
    <w:rsid w:val="00D5396B"/>
    <w:rsid w:val="00D601FB"/>
    <w:rsid w:val="00D63C53"/>
    <w:rsid w:val="00D63DFC"/>
    <w:rsid w:val="00D64BD1"/>
    <w:rsid w:val="00D661B6"/>
    <w:rsid w:val="00D676B0"/>
    <w:rsid w:val="00D70B55"/>
    <w:rsid w:val="00D72760"/>
    <w:rsid w:val="00D810C0"/>
    <w:rsid w:val="00D82092"/>
    <w:rsid w:val="00D84812"/>
    <w:rsid w:val="00D85023"/>
    <w:rsid w:val="00D871FE"/>
    <w:rsid w:val="00DA0B61"/>
    <w:rsid w:val="00DA2911"/>
    <w:rsid w:val="00DA2A82"/>
    <w:rsid w:val="00DA3059"/>
    <w:rsid w:val="00DB001C"/>
    <w:rsid w:val="00DB2ADD"/>
    <w:rsid w:val="00DB441B"/>
    <w:rsid w:val="00DB4868"/>
    <w:rsid w:val="00DB543B"/>
    <w:rsid w:val="00DC3249"/>
    <w:rsid w:val="00DC757D"/>
    <w:rsid w:val="00DD1986"/>
    <w:rsid w:val="00DD6235"/>
    <w:rsid w:val="00DD77B8"/>
    <w:rsid w:val="00DE084C"/>
    <w:rsid w:val="00DE1699"/>
    <w:rsid w:val="00DE613E"/>
    <w:rsid w:val="00DF5D6B"/>
    <w:rsid w:val="00DF67DD"/>
    <w:rsid w:val="00E00B4B"/>
    <w:rsid w:val="00E049BC"/>
    <w:rsid w:val="00E0779D"/>
    <w:rsid w:val="00E169BA"/>
    <w:rsid w:val="00E21B07"/>
    <w:rsid w:val="00E27053"/>
    <w:rsid w:val="00E276BF"/>
    <w:rsid w:val="00E307C9"/>
    <w:rsid w:val="00E341EE"/>
    <w:rsid w:val="00E346EE"/>
    <w:rsid w:val="00E357B7"/>
    <w:rsid w:val="00E428A1"/>
    <w:rsid w:val="00E45162"/>
    <w:rsid w:val="00E51AF0"/>
    <w:rsid w:val="00E53800"/>
    <w:rsid w:val="00E6081F"/>
    <w:rsid w:val="00E65C30"/>
    <w:rsid w:val="00E733E1"/>
    <w:rsid w:val="00E73809"/>
    <w:rsid w:val="00E82D4F"/>
    <w:rsid w:val="00E92891"/>
    <w:rsid w:val="00E97595"/>
    <w:rsid w:val="00EA04B2"/>
    <w:rsid w:val="00EA20F3"/>
    <w:rsid w:val="00EA45E0"/>
    <w:rsid w:val="00EA4F98"/>
    <w:rsid w:val="00EA6461"/>
    <w:rsid w:val="00EA6960"/>
    <w:rsid w:val="00EB22A9"/>
    <w:rsid w:val="00EB7DC2"/>
    <w:rsid w:val="00EC1A0F"/>
    <w:rsid w:val="00EC3F50"/>
    <w:rsid w:val="00EC618D"/>
    <w:rsid w:val="00EC76AD"/>
    <w:rsid w:val="00ED056B"/>
    <w:rsid w:val="00ED15B6"/>
    <w:rsid w:val="00ED2831"/>
    <w:rsid w:val="00ED32C6"/>
    <w:rsid w:val="00ED35ED"/>
    <w:rsid w:val="00ED43D1"/>
    <w:rsid w:val="00ED4D68"/>
    <w:rsid w:val="00EE4EE1"/>
    <w:rsid w:val="00EE6505"/>
    <w:rsid w:val="00EF1767"/>
    <w:rsid w:val="00EF2B56"/>
    <w:rsid w:val="00EF32A0"/>
    <w:rsid w:val="00EF4574"/>
    <w:rsid w:val="00EF51CF"/>
    <w:rsid w:val="00F01E68"/>
    <w:rsid w:val="00F046E6"/>
    <w:rsid w:val="00F15C73"/>
    <w:rsid w:val="00F207C1"/>
    <w:rsid w:val="00F22D24"/>
    <w:rsid w:val="00F25466"/>
    <w:rsid w:val="00F2684E"/>
    <w:rsid w:val="00F31A04"/>
    <w:rsid w:val="00F321B7"/>
    <w:rsid w:val="00F340A6"/>
    <w:rsid w:val="00F403BE"/>
    <w:rsid w:val="00F43638"/>
    <w:rsid w:val="00F436F8"/>
    <w:rsid w:val="00F44683"/>
    <w:rsid w:val="00F47233"/>
    <w:rsid w:val="00F50735"/>
    <w:rsid w:val="00F5219E"/>
    <w:rsid w:val="00F5404C"/>
    <w:rsid w:val="00F55EF6"/>
    <w:rsid w:val="00F5666C"/>
    <w:rsid w:val="00F56F57"/>
    <w:rsid w:val="00F61689"/>
    <w:rsid w:val="00F63B45"/>
    <w:rsid w:val="00F64E8B"/>
    <w:rsid w:val="00F651E4"/>
    <w:rsid w:val="00F65551"/>
    <w:rsid w:val="00F6690E"/>
    <w:rsid w:val="00F67A12"/>
    <w:rsid w:val="00F71ABE"/>
    <w:rsid w:val="00F7211D"/>
    <w:rsid w:val="00F729B7"/>
    <w:rsid w:val="00F729EF"/>
    <w:rsid w:val="00F73B8B"/>
    <w:rsid w:val="00F76383"/>
    <w:rsid w:val="00F77CAE"/>
    <w:rsid w:val="00F82271"/>
    <w:rsid w:val="00F822A7"/>
    <w:rsid w:val="00F83428"/>
    <w:rsid w:val="00F86FFE"/>
    <w:rsid w:val="00F931C8"/>
    <w:rsid w:val="00F96BB9"/>
    <w:rsid w:val="00FA6647"/>
    <w:rsid w:val="00FA68B1"/>
    <w:rsid w:val="00FA7A2C"/>
    <w:rsid w:val="00FB5C39"/>
    <w:rsid w:val="00FB716C"/>
    <w:rsid w:val="00FC0834"/>
    <w:rsid w:val="00FC0A43"/>
    <w:rsid w:val="00FC45AB"/>
    <w:rsid w:val="00FD3E94"/>
    <w:rsid w:val="00FE6D51"/>
    <w:rsid w:val="00FE7B7E"/>
    <w:rsid w:val="00FF09F3"/>
    <w:rsid w:val="00FF33EB"/>
    <w:rsid w:val="00FF385C"/>
    <w:rsid w:val="00FF6336"/>
  </w:rsids>
  <m:mathPr>
    <m:mathFont m:val="Cambria Math"/>
    <m:brkBin m:val="before"/>
    <m:brkBinSub m:val="--"/>
    <m:smallFrac/>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5A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semiHidden/>
    <w:rsid w:val="008C5A0E"/>
    <w:rPr>
      <w:color w:val="495965" w:themeColor="text2"/>
      <w:sz w:val="12"/>
      <w:szCs w:val="20"/>
    </w:rPr>
  </w:style>
  <w:style w:type="character" w:styleId="FootnoteReference">
    <w:name w:val="footnote reference"/>
    <w:basedOn w:val="DefaultParagraphFont"/>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Bullet Paragraph,NumberedParas,Akapit z listą BS,List Paragraph 1,Bullets,References,ANNEX,List Paragraph1,List Paragraph2,Numbered List Paragraph,ReferencesCxSpLast,List Bullet Mary,List Paragraph (numbered (a)),WB List Paragraph,Liste 1"/>
    <w:basedOn w:val="Normal"/>
    <w:link w:val="ListParagraphChar"/>
    <w:uiPriority w:val="34"/>
    <w:qFormat/>
    <w:rsid w:val="00193644"/>
    <w:pPr>
      <w:ind w:left="720"/>
      <w:contextualSpacing/>
    </w:pPr>
  </w:style>
  <w:style w:type="table" w:styleId="LightList-Accent5">
    <w:name w:val="Light List Accent 5"/>
    <w:basedOn w:val="TableNormal"/>
    <w:uiPriority w:val="61"/>
    <w:rsid w:val="000B136F"/>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15A2D" w:themeColor="accent5"/>
        <w:left w:val="single" w:sz="8" w:space="0" w:color="C15A2D" w:themeColor="accent5"/>
        <w:bottom w:val="single" w:sz="8" w:space="0" w:color="C15A2D" w:themeColor="accent5"/>
        <w:right w:val="single" w:sz="8" w:space="0" w:color="C15A2D" w:themeColor="accent5"/>
      </w:tblBorders>
    </w:tblPr>
    <w:tblStylePr w:type="firstRow">
      <w:pPr>
        <w:spacing w:before="0" w:after="0" w:line="240" w:lineRule="auto"/>
      </w:pPr>
      <w:rPr>
        <w:b/>
        <w:bCs/>
        <w:color w:val="FFFFFF" w:themeColor="background1"/>
      </w:rPr>
      <w:tblPr/>
      <w:tcPr>
        <w:shd w:val="clear" w:color="auto" w:fill="C15A2D" w:themeFill="accent5"/>
      </w:tcPr>
    </w:tblStylePr>
    <w:tblStylePr w:type="lastRow">
      <w:pPr>
        <w:spacing w:before="0" w:after="0" w:line="240" w:lineRule="auto"/>
      </w:pPr>
      <w:rPr>
        <w:b/>
        <w:bCs/>
      </w:rPr>
      <w:tblPr/>
      <w:tcPr>
        <w:tcBorders>
          <w:top w:val="double" w:sz="6" w:space="0" w:color="C15A2D" w:themeColor="accent5"/>
          <w:left w:val="single" w:sz="8" w:space="0" w:color="C15A2D" w:themeColor="accent5"/>
          <w:bottom w:val="single" w:sz="8" w:space="0" w:color="C15A2D" w:themeColor="accent5"/>
          <w:right w:val="single" w:sz="8" w:space="0" w:color="C15A2D" w:themeColor="accent5"/>
        </w:tcBorders>
      </w:tcPr>
    </w:tblStylePr>
    <w:tblStylePr w:type="firstCol">
      <w:rPr>
        <w:b/>
        <w:bCs/>
      </w:rPr>
    </w:tblStylePr>
    <w:tblStylePr w:type="lastCol">
      <w:rPr>
        <w:b/>
        <w:bCs/>
      </w:rPr>
    </w:tblStylePr>
    <w:tblStylePr w:type="band1Vert">
      <w:tblPr/>
      <w:tcPr>
        <w:tcBorders>
          <w:top w:val="single" w:sz="8" w:space="0" w:color="C15A2D" w:themeColor="accent5"/>
          <w:left w:val="single" w:sz="8" w:space="0" w:color="C15A2D" w:themeColor="accent5"/>
          <w:bottom w:val="single" w:sz="8" w:space="0" w:color="C15A2D" w:themeColor="accent5"/>
          <w:right w:val="single" w:sz="8" w:space="0" w:color="C15A2D" w:themeColor="accent5"/>
        </w:tcBorders>
      </w:tcPr>
    </w:tblStylePr>
    <w:tblStylePr w:type="band1Horz">
      <w:tblPr/>
      <w:tcPr>
        <w:tcBorders>
          <w:top w:val="single" w:sz="8" w:space="0" w:color="C15A2D" w:themeColor="accent5"/>
          <w:left w:val="single" w:sz="8" w:space="0" w:color="C15A2D" w:themeColor="accent5"/>
          <w:bottom w:val="single" w:sz="8" w:space="0" w:color="C15A2D" w:themeColor="accent5"/>
          <w:right w:val="single" w:sz="8" w:space="0" w:color="C15A2D" w:themeColor="accent5"/>
        </w:tcBorders>
      </w:tcPr>
    </w:tblStylePr>
  </w:style>
  <w:style w:type="character" w:styleId="CommentReference">
    <w:name w:val="annotation reference"/>
    <w:basedOn w:val="DefaultParagraphFont"/>
    <w:uiPriority w:val="99"/>
    <w:semiHidden/>
    <w:unhideWhenUsed/>
    <w:rsid w:val="000B136F"/>
    <w:rPr>
      <w:sz w:val="16"/>
      <w:szCs w:val="16"/>
    </w:rPr>
  </w:style>
  <w:style w:type="paragraph" w:styleId="CommentText">
    <w:name w:val="annotation text"/>
    <w:basedOn w:val="Normal"/>
    <w:link w:val="CommentTextChar"/>
    <w:uiPriority w:val="99"/>
    <w:semiHidden/>
    <w:unhideWhenUsed/>
    <w:rsid w:val="000B136F"/>
    <w:pPr>
      <w:spacing w:line="240" w:lineRule="auto"/>
    </w:pPr>
    <w:rPr>
      <w:sz w:val="20"/>
      <w:szCs w:val="20"/>
    </w:rPr>
  </w:style>
  <w:style w:type="character" w:customStyle="1" w:styleId="CommentTextChar">
    <w:name w:val="Comment Text Char"/>
    <w:basedOn w:val="DefaultParagraphFont"/>
    <w:link w:val="CommentText"/>
    <w:uiPriority w:val="99"/>
    <w:semiHidden/>
    <w:rsid w:val="000B136F"/>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B136F"/>
    <w:rPr>
      <w:b/>
      <w:bCs/>
    </w:rPr>
  </w:style>
  <w:style w:type="character" w:customStyle="1" w:styleId="CommentSubjectChar">
    <w:name w:val="Comment Subject Char"/>
    <w:basedOn w:val="CommentTextChar"/>
    <w:link w:val="CommentSubject"/>
    <w:uiPriority w:val="99"/>
    <w:semiHidden/>
    <w:rsid w:val="000B136F"/>
    <w:rPr>
      <w:b/>
      <w:bCs/>
      <w:color w:val="495965" w:themeColor="text2"/>
      <w:sz w:val="20"/>
      <w:szCs w:val="20"/>
      <w:lang w:val="en-GB"/>
    </w:rPr>
  </w:style>
  <w:style w:type="paragraph" w:customStyle="1" w:styleId="TableListBullet">
    <w:name w:val="Table List Bullet"/>
    <w:basedOn w:val="TableTextEntries"/>
    <w:uiPriority w:val="99"/>
    <w:rsid w:val="005303FD"/>
    <w:pPr>
      <w:numPr>
        <w:numId w:val="11"/>
      </w:numPr>
    </w:pPr>
    <w:rPr>
      <w:rFonts w:ascii="Helvetica" w:hAnsi="Helvetica"/>
    </w:rPr>
  </w:style>
  <w:style w:type="character" w:customStyle="1" w:styleId="ListParagraphChar">
    <w:name w:val="List Paragraph Char"/>
    <w:aliases w:val="Bullet Paragraph Char,NumberedParas Char,Akapit z listą BS Char,List Paragraph 1 Char,Bullets Char,References Char,ANNEX Char,List Paragraph1 Char,List Paragraph2 Char,Numbered List Paragraph Char,ReferencesCxSpLast Char,Liste 1 Char"/>
    <w:basedOn w:val="DefaultParagraphFont"/>
    <w:link w:val="ListParagraph"/>
    <w:uiPriority w:val="34"/>
    <w:rsid w:val="00EA6960"/>
    <w:rPr>
      <w:color w:val="495965" w:themeColor="text2"/>
      <w:lang w:val="en-GB"/>
    </w:rPr>
  </w:style>
  <w:style w:type="paragraph" w:customStyle="1" w:styleId="Default">
    <w:name w:val="Default"/>
    <w:rsid w:val="0075777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B4868"/>
    <w:pPr>
      <w:spacing w:after="0" w:line="240" w:lineRule="auto"/>
    </w:pPr>
    <w:rPr>
      <w:color w:val="495965" w:themeColor="text2"/>
      <w:lang w:val="en-GB"/>
    </w:rPr>
  </w:style>
  <w:style w:type="character" w:styleId="HTMLCite">
    <w:name w:val="HTML Cite"/>
    <w:basedOn w:val="DefaultParagraphFont"/>
    <w:uiPriority w:val="99"/>
    <w:semiHidden/>
    <w:unhideWhenUsed/>
    <w:rsid w:val="00C43430"/>
    <w:rPr>
      <w:i/>
      <w:iCs/>
    </w:rPr>
  </w:style>
  <w:style w:type="character" w:styleId="FollowedHyperlink">
    <w:name w:val="FollowedHyperlink"/>
    <w:basedOn w:val="DefaultParagraphFont"/>
    <w:uiPriority w:val="99"/>
    <w:semiHidden/>
    <w:unhideWhenUsed/>
    <w:rsid w:val="007E78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semiHidden/>
    <w:rsid w:val="008C5A0E"/>
    <w:rPr>
      <w:color w:val="495965" w:themeColor="text2"/>
      <w:sz w:val="12"/>
      <w:szCs w:val="20"/>
    </w:rPr>
  </w:style>
  <w:style w:type="character" w:styleId="FootnoteReference">
    <w:name w:val="footnote reference"/>
    <w:basedOn w:val="DefaultParagraphFont"/>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Bullet Paragraph,NumberedParas,Akapit z listą BS,List Paragraph 1,Bullets,References,ANNEX,List Paragraph1,List Paragraph2,Numbered List Paragraph,ReferencesCxSpLast,List Bullet Mary,List Paragraph (numbered (a)),WB List Paragraph,Liste 1"/>
    <w:basedOn w:val="Normal"/>
    <w:link w:val="ListParagraphChar"/>
    <w:uiPriority w:val="34"/>
    <w:qFormat/>
    <w:rsid w:val="00193644"/>
    <w:pPr>
      <w:ind w:left="720"/>
      <w:contextualSpacing/>
    </w:pPr>
  </w:style>
  <w:style w:type="table" w:styleId="LightList-Accent5">
    <w:name w:val="Light List Accent 5"/>
    <w:basedOn w:val="TableNormal"/>
    <w:uiPriority w:val="61"/>
    <w:rsid w:val="000B136F"/>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15A2D" w:themeColor="accent5"/>
        <w:left w:val="single" w:sz="8" w:space="0" w:color="C15A2D" w:themeColor="accent5"/>
        <w:bottom w:val="single" w:sz="8" w:space="0" w:color="C15A2D" w:themeColor="accent5"/>
        <w:right w:val="single" w:sz="8" w:space="0" w:color="C15A2D" w:themeColor="accent5"/>
      </w:tblBorders>
    </w:tblPr>
    <w:tblStylePr w:type="firstRow">
      <w:pPr>
        <w:spacing w:before="0" w:after="0" w:line="240" w:lineRule="auto"/>
      </w:pPr>
      <w:rPr>
        <w:b/>
        <w:bCs/>
        <w:color w:val="FFFFFF" w:themeColor="background1"/>
      </w:rPr>
      <w:tblPr/>
      <w:tcPr>
        <w:shd w:val="clear" w:color="auto" w:fill="C15A2D" w:themeFill="accent5"/>
      </w:tcPr>
    </w:tblStylePr>
    <w:tblStylePr w:type="lastRow">
      <w:pPr>
        <w:spacing w:before="0" w:after="0" w:line="240" w:lineRule="auto"/>
      </w:pPr>
      <w:rPr>
        <w:b/>
        <w:bCs/>
      </w:rPr>
      <w:tblPr/>
      <w:tcPr>
        <w:tcBorders>
          <w:top w:val="double" w:sz="6" w:space="0" w:color="C15A2D" w:themeColor="accent5"/>
          <w:left w:val="single" w:sz="8" w:space="0" w:color="C15A2D" w:themeColor="accent5"/>
          <w:bottom w:val="single" w:sz="8" w:space="0" w:color="C15A2D" w:themeColor="accent5"/>
          <w:right w:val="single" w:sz="8" w:space="0" w:color="C15A2D" w:themeColor="accent5"/>
        </w:tcBorders>
      </w:tcPr>
    </w:tblStylePr>
    <w:tblStylePr w:type="firstCol">
      <w:rPr>
        <w:b/>
        <w:bCs/>
      </w:rPr>
    </w:tblStylePr>
    <w:tblStylePr w:type="lastCol">
      <w:rPr>
        <w:b/>
        <w:bCs/>
      </w:rPr>
    </w:tblStylePr>
    <w:tblStylePr w:type="band1Vert">
      <w:tblPr/>
      <w:tcPr>
        <w:tcBorders>
          <w:top w:val="single" w:sz="8" w:space="0" w:color="C15A2D" w:themeColor="accent5"/>
          <w:left w:val="single" w:sz="8" w:space="0" w:color="C15A2D" w:themeColor="accent5"/>
          <w:bottom w:val="single" w:sz="8" w:space="0" w:color="C15A2D" w:themeColor="accent5"/>
          <w:right w:val="single" w:sz="8" w:space="0" w:color="C15A2D" w:themeColor="accent5"/>
        </w:tcBorders>
      </w:tcPr>
    </w:tblStylePr>
    <w:tblStylePr w:type="band1Horz">
      <w:tblPr/>
      <w:tcPr>
        <w:tcBorders>
          <w:top w:val="single" w:sz="8" w:space="0" w:color="C15A2D" w:themeColor="accent5"/>
          <w:left w:val="single" w:sz="8" w:space="0" w:color="C15A2D" w:themeColor="accent5"/>
          <w:bottom w:val="single" w:sz="8" w:space="0" w:color="C15A2D" w:themeColor="accent5"/>
          <w:right w:val="single" w:sz="8" w:space="0" w:color="C15A2D" w:themeColor="accent5"/>
        </w:tcBorders>
      </w:tcPr>
    </w:tblStylePr>
  </w:style>
  <w:style w:type="character" w:styleId="CommentReference">
    <w:name w:val="annotation reference"/>
    <w:basedOn w:val="DefaultParagraphFont"/>
    <w:uiPriority w:val="99"/>
    <w:semiHidden/>
    <w:unhideWhenUsed/>
    <w:rsid w:val="000B136F"/>
    <w:rPr>
      <w:sz w:val="16"/>
      <w:szCs w:val="16"/>
    </w:rPr>
  </w:style>
  <w:style w:type="paragraph" w:styleId="CommentText">
    <w:name w:val="annotation text"/>
    <w:basedOn w:val="Normal"/>
    <w:link w:val="CommentTextChar"/>
    <w:uiPriority w:val="99"/>
    <w:semiHidden/>
    <w:unhideWhenUsed/>
    <w:rsid w:val="000B136F"/>
    <w:pPr>
      <w:spacing w:line="240" w:lineRule="auto"/>
    </w:pPr>
    <w:rPr>
      <w:sz w:val="20"/>
      <w:szCs w:val="20"/>
    </w:rPr>
  </w:style>
  <w:style w:type="character" w:customStyle="1" w:styleId="CommentTextChar">
    <w:name w:val="Comment Text Char"/>
    <w:basedOn w:val="DefaultParagraphFont"/>
    <w:link w:val="CommentText"/>
    <w:uiPriority w:val="99"/>
    <w:semiHidden/>
    <w:rsid w:val="000B136F"/>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B136F"/>
    <w:rPr>
      <w:b/>
      <w:bCs/>
    </w:rPr>
  </w:style>
  <w:style w:type="character" w:customStyle="1" w:styleId="CommentSubjectChar">
    <w:name w:val="Comment Subject Char"/>
    <w:basedOn w:val="CommentTextChar"/>
    <w:link w:val="CommentSubject"/>
    <w:uiPriority w:val="99"/>
    <w:semiHidden/>
    <w:rsid w:val="000B136F"/>
    <w:rPr>
      <w:b/>
      <w:bCs/>
      <w:color w:val="495965" w:themeColor="text2"/>
      <w:sz w:val="20"/>
      <w:szCs w:val="20"/>
      <w:lang w:val="en-GB"/>
    </w:rPr>
  </w:style>
  <w:style w:type="paragraph" w:customStyle="1" w:styleId="TableListBullet">
    <w:name w:val="Table List Bullet"/>
    <w:basedOn w:val="TableTextEntries"/>
    <w:uiPriority w:val="99"/>
    <w:rsid w:val="005303FD"/>
    <w:pPr>
      <w:numPr>
        <w:numId w:val="11"/>
      </w:numPr>
    </w:pPr>
    <w:rPr>
      <w:rFonts w:ascii="Helvetica" w:hAnsi="Helvetica"/>
    </w:rPr>
  </w:style>
  <w:style w:type="character" w:customStyle="1" w:styleId="ListParagraphChar">
    <w:name w:val="List Paragraph Char"/>
    <w:aliases w:val="Bullet Paragraph Char,NumberedParas Char,Akapit z listą BS Char,List Paragraph 1 Char,Bullets Char,References Char,ANNEX Char,List Paragraph1 Char,List Paragraph2 Char,Numbered List Paragraph Char,ReferencesCxSpLast Char,Liste 1 Char"/>
    <w:basedOn w:val="DefaultParagraphFont"/>
    <w:link w:val="ListParagraph"/>
    <w:uiPriority w:val="34"/>
    <w:rsid w:val="00EA6960"/>
    <w:rPr>
      <w:color w:val="495965" w:themeColor="text2"/>
      <w:lang w:val="en-GB"/>
    </w:rPr>
  </w:style>
  <w:style w:type="paragraph" w:customStyle="1" w:styleId="Default">
    <w:name w:val="Default"/>
    <w:rsid w:val="0075777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B4868"/>
    <w:pPr>
      <w:spacing w:after="0" w:line="240" w:lineRule="auto"/>
    </w:pPr>
    <w:rPr>
      <w:color w:val="495965" w:themeColor="text2"/>
      <w:lang w:val="en-GB"/>
    </w:rPr>
  </w:style>
  <w:style w:type="character" w:styleId="HTMLCite">
    <w:name w:val="HTML Cite"/>
    <w:basedOn w:val="DefaultParagraphFont"/>
    <w:uiPriority w:val="99"/>
    <w:semiHidden/>
    <w:unhideWhenUsed/>
    <w:rsid w:val="00C43430"/>
    <w:rPr>
      <w:i/>
      <w:iCs/>
    </w:rPr>
  </w:style>
  <w:style w:type="character" w:styleId="FollowedHyperlink">
    <w:name w:val="FollowedHyperlink"/>
    <w:basedOn w:val="DefaultParagraphFont"/>
    <w:uiPriority w:val="99"/>
    <w:semiHidden/>
    <w:unhideWhenUsed/>
    <w:rsid w:val="007E7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556">
      <w:bodyDiv w:val="1"/>
      <w:marLeft w:val="0"/>
      <w:marRight w:val="0"/>
      <w:marTop w:val="0"/>
      <w:marBottom w:val="0"/>
      <w:divBdr>
        <w:top w:val="none" w:sz="0" w:space="0" w:color="auto"/>
        <w:left w:val="none" w:sz="0" w:space="0" w:color="auto"/>
        <w:bottom w:val="none" w:sz="0" w:space="0" w:color="auto"/>
        <w:right w:val="none" w:sz="0" w:space="0" w:color="auto"/>
      </w:divBdr>
    </w:div>
    <w:div w:id="32191975">
      <w:bodyDiv w:val="1"/>
      <w:marLeft w:val="0"/>
      <w:marRight w:val="0"/>
      <w:marTop w:val="0"/>
      <w:marBottom w:val="0"/>
      <w:divBdr>
        <w:top w:val="none" w:sz="0" w:space="0" w:color="auto"/>
        <w:left w:val="none" w:sz="0" w:space="0" w:color="auto"/>
        <w:bottom w:val="none" w:sz="0" w:space="0" w:color="auto"/>
        <w:right w:val="none" w:sz="0" w:space="0" w:color="auto"/>
      </w:divBdr>
    </w:div>
    <w:div w:id="435372730">
      <w:bodyDiv w:val="1"/>
      <w:marLeft w:val="0"/>
      <w:marRight w:val="0"/>
      <w:marTop w:val="0"/>
      <w:marBottom w:val="0"/>
      <w:divBdr>
        <w:top w:val="none" w:sz="0" w:space="0" w:color="auto"/>
        <w:left w:val="none" w:sz="0" w:space="0" w:color="auto"/>
        <w:bottom w:val="none" w:sz="0" w:space="0" w:color="auto"/>
        <w:right w:val="none" w:sz="0" w:space="0" w:color="auto"/>
      </w:divBdr>
    </w:div>
    <w:div w:id="441190849">
      <w:bodyDiv w:val="1"/>
      <w:marLeft w:val="0"/>
      <w:marRight w:val="0"/>
      <w:marTop w:val="0"/>
      <w:marBottom w:val="0"/>
      <w:divBdr>
        <w:top w:val="none" w:sz="0" w:space="0" w:color="auto"/>
        <w:left w:val="none" w:sz="0" w:space="0" w:color="auto"/>
        <w:bottom w:val="none" w:sz="0" w:space="0" w:color="auto"/>
        <w:right w:val="none" w:sz="0" w:space="0" w:color="auto"/>
      </w:divBdr>
    </w:div>
    <w:div w:id="672225105">
      <w:bodyDiv w:val="1"/>
      <w:marLeft w:val="0"/>
      <w:marRight w:val="0"/>
      <w:marTop w:val="0"/>
      <w:marBottom w:val="0"/>
      <w:divBdr>
        <w:top w:val="none" w:sz="0" w:space="0" w:color="auto"/>
        <w:left w:val="none" w:sz="0" w:space="0" w:color="auto"/>
        <w:bottom w:val="none" w:sz="0" w:space="0" w:color="auto"/>
        <w:right w:val="none" w:sz="0" w:space="0" w:color="auto"/>
      </w:divBdr>
    </w:div>
    <w:div w:id="693186977">
      <w:bodyDiv w:val="1"/>
      <w:marLeft w:val="0"/>
      <w:marRight w:val="0"/>
      <w:marTop w:val="0"/>
      <w:marBottom w:val="0"/>
      <w:divBdr>
        <w:top w:val="none" w:sz="0" w:space="0" w:color="auto"/>
        <w:left w:val="none" w:sz="0" w:space="0" w:color="auto"/>
        <w:bottom w:val="none" w:sz="0" w:space="0" w:color="auto"/>
        <w:right w:val="none" w:sz="0" w:space="0" w:color="auto"/>
      </w:divBdr>
    </w:div>
    <w:div w:id="940449024">
      <w:bodyDiv w:val="1"/>
      <w:marLeft w:val="0"/>
      <w:marRight w:val="0"/>
      <w:marTop w:val="0"/>
      <w:marBottom w:val="0"/>
      <w:divBdr>
        <w:top w:val="none" w:sz="0" w:space="0" w:color="auto"/>
        <w:left w:val="none" w:sz="0" w:space="0" w:color="auto"/>
        <w:bottom w:val="none" w:sz="0" w:space="0" w:color="auto"/>
        <w:right w:val="none" w:sz="0" w:space="0" w:color="auto"/>
      </w:divBdr>
    </w:div>
    <w:div w:id="1035883463">
      <w:bodyDiv w:val="1"/>
      <w:marLeft w:val="0"/>
      <w:marRight w:val="0"/>
      <w:marTop w:val="0"/>
      <w:marBottom w:val="0"/>
      <w:divBdr>
        <w:top w:val="none" w:sz="0" w:space="0" w:color="auto"/>
        <w:left w:val="none" w:sz="0" w:space="0" w:color="auto"/>
        <w:bottom w:val="none" w:sz="0" w:space="0" w:color="auto"/>
        <w:right w:val="none" w:sz="0" w:space="0" w:color="auto"/>
      </w:divBdr>
    </w:div>
    <w:div w:id="1121412088">
      <w:bodyDiv w:val="1"/>
      <w:marLeft w:val="0"/>
      <w:marRight w:val="0"/>
      <w:marTop w:val="0"/>
      <w:marBottom w:val="0"/>
      <w:divBdr>
        <w:top w:val="none" w:sz="0" w:space="0" w:color="auto"/>
        <w:left w:val="none" w:sz="0" w:space="0" w:color="auto"/>
        <w:bottom w:val="none" w:sz="0" w:space="0" w:color="auto"/>
        <w:right w:val="none" w:sz="0" w:space="0" w:color="auto"/>
      </w:divBdr>
    </w:div>
    <w:div w:id="1221281596">
      <w:bodyDiv w:val="1"/>
      <w:marLeft w:val="0"/>
      <w:marRight w:val="0"/>
      <w:marTop w:val="0"/>
      <w:marBottom w:val="0"/>
      <w:divBdr>
        <w:top w:val="none" w:sz="0" w:space="0" w:color="auto"/>
        <w:left w:val="none" w:sz="0" w:space="0" w:color="auto"/>
        <w:bottom w:val="none" w:sz="0" w:space="0" w:color="auto"/>
        <w:right w:val="none" w:sz="0" w:space="0" w:color="auto"/>
      </w:divBdr>
    </w:div>
    <w:div w:id="1303273322">
      <w:bodyDiv w:val="1"/>
      <w:marLeft w:val="0"/>
      <w:marRight w:val="0"/>
      <w:marTop w:val="0"/>
      <w:marBottom w:val="0"/>
      <w:divBdr>
        <w:top w:val="none" w:sz="0" w:space="0" w:color="auto"/>
        <w:left w:val="none" w:sz="0" w:space="0" w:color="auto"/>
        <w:bottom w:val="none" w:sz="0" w:space="0" w:color="auto"/>
        <w:right w:val="none" w:sz="0" w:space="0" w:color="auto"/>
      </w:divBdr>
    </w:div>
    <w:div w:id="1324745512">
      <w:bodyDiv w:val="1"/>
      <w:marLeft w:val="0"/>
      <w:marRight w:val="0"/>
      <w:marTop w:val="0"/>
      <w:marBottom w:val="0"/>
      <w:divBdr>
        <w:top w:val="none" w:sz="0" w:space="0" w:color="auto"/>
        <w:left w:val="none" w:sz="0" w:space="0" w:color="auto"/>
        <w:bottom w:val="none" w:sz="0" w:space="0" w:color="auto"/>
        <w:right w:val="none" w:sz="0" w:space="0" w:color="auto"/>
      </w:divBdr>
    </w:div>
    <w:div w:id="1335768825">
      <w:bodyDiv w:val="1"/>
      <w:marLeft w:val="0"/>
      <w:marRight w:val="0"/>
      <w:marTop w:val="0"/>
      <w:marBottom w:val="0"/>
      <w:divBdr>
        <w:top w:val="none" w:sz="0" w:space="0" w:color="auto"/>
        <w:left w:val="none" w:sz="0" w:space="0" w:color="auto"/>
        <w:bottom w:val="none" w:sz="0" w:space="0" w:color="auto"/>
        <w:right w:val="none" w:sz="0" w:space="0" w:color="auto"/>
      </w:divBdr>
    </w:div>
    <w:div w:id="1390886365">
      <w:bodyDiv w:val="1"/>
      <w:marLeft w:val="0"/>
      <w:marRight w:val="0"/>
      <w:marTop w:val="0"/>
      <w:marBottom w:val="0"/>
      <w:divBdr>
        <w:top w:val="none" w:sz="0" w:space="0" w:color="auto"/>
        <w:left w:val="none" w:sz="0" w:space="0" w:color="auto"/>
        <w:bottom w:val="none" w:sz="0" w:space="0" w:color="auto"/>
        <w:right w:val="none" w:sz="0" w:space="0" w:color="auto"/>
      </w:divBdr>
    </w:div>
    <w:div w:id="16652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fat.gov.au/about-us/publications/Pages/aid-investment-plan-aip-cambodia-2015-2018.aspx"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fat.gov.au/about-us/publications/Pages/aid-investment-plan-aip-cambodia-2015-2018.aspx"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dfat.gov.au/about-us/publications/Pages/aid-investment-plan-aip-cambodia-2015-2018.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4.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asiafoundation.org/resources/pdfs/DemocracyinCambodia2014.pdf" TargetMode="External"/><Relationship Id="rId13" Type="http://schemas.openxmlformats.org/officeDocument/2006/relationships/hyperlink" Target="http://documents.worldbank.org/curated/en/403961467989523939/Cambodia-Economic-update-improving-macroeconomic-and-financial-resilience" TargetMode="External"/><Relationship Id="rId3" Type="http://schemas.openxmlformats.org/officeDocument/2006/relationships/hyperlink" Target="http://hdr.undp.org/en/composite/HDI" TargetMode="External"/><Relationship Id="rId7" Type="http://schemas.openxmlformats.org/officeDocument/2006/relationships/hyperlink" Target="http://www.cdc-crdb.gov.kh/cdc/aid_management/DCPR_2016.pdf" TargetMode="External"/><Relationship Id="rId12" Type="http://schemas.openxmlformats.org/officeDocument/2006/relationships/hyperlink" Target="http://whqlibdoc.who.int/publications/2011/9789240685215_eng.pdf?ua=1" TargetMode="External"/><Relationship Id="rId2" Type="http://schemas.openxmlformats.org/officeDocument/2006/relationships/hyperlink" Target="http://www3.weforum.org/docs/HCR2016_Main_Report.pdf" TargetMode="External"/><Relationship Id="rId1" Type="http://schemas.openxmlformats.org/officeDocument/2006/relationships/hyperlink" Target="http://documents.worldbank.org/curated/en/881041467999363660/Cambodia-economic-update-maintaining-high-growth;jsessionid=dmaQB9QwZFnlvzqAIxAuqt-6" TargetMode="External"/><Relationship Id="rId6" Type="http://schemas.openxmlformats.org/officeDocument/2006/relationships/hyperlink" Target="http://www.transparency.org/cpi2015" TargetMode="External"/><Relationship Id="rId11" Type="http://schemas.openxmlformats.org/officeDocument/2006/relationships/hyperlink" Target="http://dfat.gov.au/about-us/publications/Pages/development-for-all-2015-2020.aspx" TargetMode="External"/><Relationship Id="rId5" Type="http://schemas.openxmlformats.org/officeDocument/2006/relationships/hyperlink" Target="http://www.doingbusiness.org/~/media/GIAWB/Doing%20Business/Documents/Annual-Reports/English/DB16-Full-Report.pdf" TargetMode="External"/><Relationship Id="rId10" Type="http://schemas.openxmlformats.org/officeDocument/2006/relationships/hyperlink" Target="http://www.nis.gov.kh/index.php/en/" TargetMode="External"/><Relationship Id="rId4" Type="http://schemas.openxmlformats.org/officeDocument/2006/relationships/hyperlink" Target="http://www.kh.undp.org/content/cambodia/en/home/countryinfo.html" TargetMode="External"/><Relationship Id="rId9" Type="http://schemas.openxmlformats.org/officeDocument/2006/relationships/hyperlink" Target="http://www.maff.gov.kh/policies-strategies/1288-2015-09-25-05-10-0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5D99E-C5D6-4761-AC9B-3CC7D84F91C8}"/>
</file>

<file path=customXml/itemProps2.xml><?xml version="1.0" encoding="utf-8"?>
<ds:datastoreItem xmlns:ds="http://schemas.openxmlformats.org/officeDocument/2006/customXml" ds:itemID="{AE81573C-4587-4155-8EB7-DD9E6224AF71}"/>
</file>

<file path=customXml/itemProps3.xml><?xml version="1.0" encoding="utf-8"?>
<ds:datastoreItem xmlns:ds="http://schemas.openxmlformats.org/officeDocument/2006/customXml" ds:itemID="{66F0D1DE-FE70-4A72-A187-4BE7CF77A7D8}"/>
</file>

<file path=customXml/itemProps4.xml><?xml version="1.0" encoding="utf-8"?>
<ds:datastoreItem xmlns:ds="http://schemas.openxmlformats.org/officeDocument/2006/customXml" ds:itemID="{03E671BE-D399-4A5C-A521-44CA46701D53}"/>
</file>

<file path=docProps/app.xml><?xml version="1.0" encoding="utf-8"?>
<Properties xmlns="http://schemas.openxmlformats.org/officeDocument/2006/extended-properties" xmlns:vt="http://schemas.openxmlformats.org/officeDocument/2006/docPropsVTypes">
  <Template>228B6FB0</Template>
  <TotalTime>0</TotalTime>
  <Pages>28</Pages>
  <Words>10125</Words>
  <Characters>57716</Characters>
  <Application>Microsoft Office Word</Application>
  <DocSecurity>0</DocSecurity>
  <Lines>480</Lines>
  <Paragraphs>135</Paragraphs>
  <ScaleCrop>false</ScaleCrop>
  <Company/>
  <LinksUpToDate>false</LinksUpToDate>
  <CharactersWithSpaces>67706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2016-08-30T05:21:00Z</dcterms:created>
  <dcterms:modified xsi:type="dcterms:W3CDTF">2016-08-30T05:21:00Z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06d12697-2efd-4e8c-8fa0-5048d85d6724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1051600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