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1A9AC8C6" wp14:editId="3F151A70">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E57580"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CAMBODIA</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E57580" w:rsidRDefault="000D733F" w:rsidP="000D733F">
      <w:pPr>
        <w:pStyle w:val="Heading2"/>
        <w:rPr>
          <w:sz w:val="28"/>
        </w:rPr>
      </w:pPr>
      <w:bookmarkStart w:id="1" w:name="_Toc373853205"/>
      <w:r w:rsidRPr="009E38C1">
        <w:rPr>
          <w:sz w:val="28"/>
        </w:rPr>
        <w:lastRenderedPageBreak/>
        <w:t>Key Messages</w:t>
      </w:r>
      <w:bookmarkEnd w:id="1"/>
    </w:p>
    <w:p w:rsidR="00E57580" w:rsidRDefault="00E57580" w:rsidP="00E57580">
      <w:pPr>
        <w:pStyle w:val="BodyText"/>
      </w:pPr>
      <w:r w:rsidRPr="00F415F1">
        <w:t>This report summarises the</w:t>
      </w:r>
      <w:r>
        <w:t xml:space="preserve"> aid program’s progress </w:t>
      </w:r>
      <w:r w:rsidRPr="00F415F1">
        <w:t>in Cambodia</w:t>
      </w:r>
      <w:r>
        <w:t xml:space="preserve"> </w:t>
      </w:r>
      <w:r w:rsidRPr="00F415F1">
        <w:t xml:space="preserve">from </w:t>
      </w:r>
      <w:r>
        <w:t>July 2013 to June 2014.</w:t>
      </w:r>
    </w:p>
    <w:p w:rsidR="00E57580" w:rsidRDefault="00E57580" w:rsidP="00E57580">
      <w:pPr>
        <w:pStyle w:val="BodyText"/>
      </w:pPr>
      <w:r w:rsidRPr="00F415F1">
        <w:t xml:space="preserve">Australian </w:t>
      </w:r>
      <w:r>
        <w:t>o</w:t>
      </w:r>
      <w:r w:rsidRPr="00F415F1">
        <w:t xml:space="preserve">fficial </w:t>
      </w:r>
      <w:r>
        <w:t>d</w:t>
      </w:r>
      <w:r w:rsidRPr="00F415F1">
        <w:t xml:space="preserve">evelopment </w:t>
      </w:r>
      <w:r>
        <w:t>a</w:t>
      </w:r>
      <w:r w:rsidRPr="00F415F1">
        <w:t>ssistance</w:t>
      </w:r>
      <w:r>
        <w:t xml:space="preserve"> in 2013–14</w:t>
      </w:r>
      <w:r w:rsidRPr="00F415F1">
        <w:t xml:space="preserve"> </w:t>
      </w:r>
      <w:r>
        <w:t>was</w:t>
      </w:r>
      <w:r w:rsidRPr="00F415F1">
        <w:t xml:space="preserve"> </w:t>
      </w:r>
      <w:r w:rsidRPr="00057F4D">
        <w:t>$</w:t>
      </w:r>
      <w:r>
        <w:t>77.</w:t>
      </w:r>
      <w:r w:rsidR="00950D62">
        <w:t>2</w:t>
      </w:r>
      <w:r w:rsidRPr="00057F4D">
        <w:t xml:space="preserve"> million</w:t>
      </w:r>
      <w:r w:rsidR="00380098" w:rsidRPr="009F749F">
        <w:t xml:space="preserve">. </w:t>
      </w:r>
      <w:r w:rsidR="00FA4A95" w:rsidRPr="009F749F">
        <w:t xml:space="preserve"> </w:t>
      </w:r>
      <w:r w:rsidR="00380098" w:rsidRPr="00490EFB">
        <w:t xml:space="preserve">This places Australia as the </w:t>
      </w:r>
      <w:r w:rsidR="00450AE5" w:rsidRPr="00490EFB">
        <w:t>3rd</w:t>
      </w:r>
      <w:r w:rsidR="00156733" w:rsidRPr="00490EFB">
        <w:t xml:space="preserve"> </w:t>
      </w:r>
      <w:r w:rsidR="00FA4A95" w:rsidRPr="00490EFB">
        <w:t>largest donor in Cambodia</w:t>
      </w:r>
      <w:r w:rsidR="00380098" w:rsidRPr="00490EFB">
        <w:t xml:space="preserve"> and is made up of </w:t>
      </w:r>
      <w:r w:rsidR="003C1D9C" w:rsidRPr="00490EFB">
        <w:t>$5</w:t>
      </w:r>
      <w:r w:rsidR="00950D62" w:rsidRPr="00490EFB">
        <w:t>6.1</w:t>
      </w:r>
      <w:r w:rsidR="003C1D9C" w:rsidRPr="00490EFB">
        <w:t xml:space="preserve"> million</w:t>
      </w:r>
      <w:r w:rsidR="00380098" w:rsidRPr="00490EFB">
        <w:t xml:space="preserve"> bilateral </w:t>
      </w:r>
      <w:r w:rsidR="00A903D5" w:rsidRPr="00490EFB">
        <w:t xml:space="preserve">funding </w:t>
      </w:r>
      <w:r w:rsidR="00380098" w:rsidRPr="00490EFB">
        <w:t xml:space="preserve">and </w:t>
      </w:r>
      <w:r w:rsidR="00A903D5" w:rsidRPr="00490EFB">
        <w:t>$2</w:t>
      </w:r>
      <w:r w:rsidR="00950D62" w:rsidRPr="00490EFB">
        <w:t>1.1</w:t>
      </w:r>
      <w:r w:rsidR="000C2638" w:rsidRPr="00490EFB">
        <w:t xml:space="preserve"> </w:t>
      </w:r>
      <w:r w:rsidR="00A903D5" w:rsidRPr="00490EFB">
        <w:t>million</w:t>
      </w:r>
      <w:r w:rsidR="00380098" w:rsidRPr="00490EFB">
        <w:t xml:space="preserve"> </w:t>
      </w:r>
      <w:r w:rsidR="00A903D5" w:rsidRPr="00490EFB">
        <w:t xml:space="preserve">flowing from </w:t>
      </w:r>
      <w:r w:rsidR="00380098" w:rsidRPr="00490EFB">
        <w:t>regional</w:t>
      </w:r>
      <w:r w:rsidR="00A903D5" w:rsidRPr="00490EFB">
        <w:t xml:space="preserve"> programs</w:t>
      </w:r>
      <w:r w:rsidR="00950D62">
        <w:t xml:space="preserve"> and other Australian Government departments</w:t>
      </w:r>
      <w:r w:rsidR="000C2638">
        <w:t>.</w:t>
      </w:r>
    </w:p>
    <w:p w:rsidR="00E57580" w:rsidRDefault="00E57580" w:rsidP="00E57580">
      <w:pPr>
        <w:pStyle w:val="BodyText"/>
      </w:pPr>
      <w:r>
        <w:t xml:space="preserve">2013-14 was a challenging year in Cambodia. </w:t>
      </w:r>
      <w:r w:rsidR="005138D8">
        <w:t>G</w:t>
      </w:r>
      <w:r>
        <w:t>eneral elections held in July 2013</w:t>
      </w:r>
      <w:r w:rsidR="00ED08E1">
        <w:t xml:space="preserve"> </w:t>
      </w:r>
      <w:r>
        <w:t>led to</w:t>
      </w:r>
      <w:r w:rsidR="00A11092">
        <w:t xml:space="preserve"> some</w:t>
      </w:r>
      <w:r>
        <w:t xml:space="preserve"> </w:t>
      </w:r>
      <w:r w:rsidR="00A11092">
        <w:t xml:space="preserve">short-term </w:t>
      </w:r>
      <w:r>
        <w:t xml:space="preserve">political </w:t>
      </w:r>
      <w:r w:rsidR="00ED08E1">
        <w:t>uncertaint</w:t>
      </w:r>
      <w:r w:rsidR="00A11092">
        <w:t xml:space="preserve">y, with </w:t>
      </w:r>
      <w:r w:rsidR="00ED08E1">
        <w:t xml:space="preserve">demands from the </w:t>
      </w:r>
      <w:r>
        <w:t xml:space="preserve">opposition party </w:t>
      </w:r>
      <w:r w:rsidR="00ED08E1">
        <w:t>to</w:t>
      </w:r>
      <w:r>
        <w:t xml:space="preserve"> establish an independent committee to investigate the election outcome.  </w:t>
      </w:r>
      <w:r w:rsidR="00A11092">
        <w:t>This has since</w:t>
      </w:r>
      <w:r w:rsidR="007911F2">
        <w:t xml:space="preserve"> been resolved </w:t>
      </w:r>
      <w:r w:rsidR="00A11092">
        <w:t xml:space="preserve">with </w:t>
      </w:r>
      <w:r w:rsidR="007911F2">
        <w:t>the Opposition joi</w:t>
      </w:r>
      <w:r w:rsidR="00A11092">
        <w:t>ning the National Assembly in July 2014.</w:t>
      </w:r>
    </w:p>
    <w:p w:rsidR="00E57580" w:rsidRPr="00F415F1" w:rsidRDefault="00A11092" w:rsidP="00E57580">
      <w:pPr>
        <w:pStyle w:val="BodyText"/>
      </w:pPr>
      <w:r>
        <w:t>Notwithstanding</w:t>
      </w:r>
      <w:r w:rsidR="00E57580">
        <w:t xml:space="preserve"> the</w:t>
      </w:r>
      <w:r w:rsidR="00ED08E1">
        <w:t>se challenges</w:t>
      </w:r>
      <w:r w:rsidR="00B725EB">
        <w:t>,</w:t>
      </w:r>
      <w:r w:rsidR="00ED08E1">
        <w:t xml:space="preserve"> </w:t>
      </w:r>
      <w:r w:rsidR="00E57580">
        <w:t>the Cambodia program delivered positive results and met performanc</w:t>
      </w:r>
      <w:r w:rsidR="00A368E6">
        <w:t>e targets for the 2013-14 year, as summarised below</w:t>
      </w:r>
      <w:r w:rsidR="00E57580">
        <w:t>:</w:t>
      </w:r>
    </w:p>
    <w:p w:rsidR="00E57580" w:rsidRPr="003C418B" w:rsidRDefault="00E57580" w:rsidP="00E57580">
      <w:pPr>
        <w:pStyle w:val="BodyText"/>
        <w:rPr>
          <w:u w:val="single"/>
        </w:rPr>
      </w:pPr>
      <w:r w:rsidRPr="003C418B">
        <w:rPr>
          <w:u w:val="single"/>
        </w:rPr>
        <w:t>Agriculture and rural development:</w:t>
      </w:r>
    </w:p>
    <w:p w:rsidR="00E57580" w:rsidRPr="00E57580" w:rsidRDefault="00E57580" w:rsidP="00E57580">
      <w:pPr>
        <w:pStyle w:val="BodyText"/>
      </w:pPr>
      <w:r w:rsidRPr="00366A9B">
        <w:t xml:space="preserve">In 2013-14, </w:t>
      </w:r>
      <w:r w:rsidRPr="00E57580">
        <w:t xml:space="preserve">the Cambodia Agricultural Value Chain program (CAVAC) </w:t>
      </w:r>
      <w:r w:rsidRPr="00366A9B">
        <w:t>rehabilitated or constructed seven irrigation schemes</w:t>
      </w:r>
      <w:r>
        <w:t xml:space="preserve">. This </w:t>
      </w:r>
      <w:r w:rsidRPr="00366A9B">
        <w:t>allow</w:t>
      </w:r>
      <w:r>
        <w:t>ed</w:t>
      </w:r>
      <w:r w:rsidRPr="00366A9B">
        <w:t xml:space="preserve"> an estimated additional 3,897 hectares</w:t>
      </w:r>
      <w:r w:rsidR="001472A4">
        <w:t xml:space="preserve"> (ha)</w:t>
      </w:r>
      <w:r w:rsidRPr="00366A9B">
        <w:t xml:space="preserve"> of land to be irrigated,</w:t>
      </w:r>
      <w:r>
        <w:t xml:space="preserve"> which</w:t>
      </w:r>
      <w:r w:rsidRPr="00366A9B">
        <w:t xml:space="preserve"> </w:t>
      </w:r>
      <w:r>
        <w:t xml:space="preserve">will enable </w:t>
      </w:r>
      <w:r w:rsidRPr="00366A9B">
        <w:t xml:space="preserve">4,221 families to grow more than one rice crop per year. </w:t>
      </w:r>
      <w:r w:rsidRPr="00E57580">
        <w:t>During 2013, 17.33 square kilometres of land was cleared and released for productive use under the multi-donor Clearing for Results Phase 2 project. Mine clearance operators found and destroyed 2,406 anti-personnel mines, 11 anti-tank mines and 2,091 Explosive Remnants of War (ERW) which contributed to a 66.7 per cent decrease in landmine casualty rates in the three project provinces, from 39 casualties in 2012 to 13 casualties in 2013.</w:t>
      </w:r>
    </w:p>
    <w:p w:rsidR="00E57580" w:rsidRPr="003C418B" w:rsidRDefault="00E57580" w:rsidP="00E57580">
      <w:pPr>
        <w:pStyle w:val="BodyText"/>
        <w:rPr>
          <w:u w:val="single"/>
        </w:rPr>
      </w:pPr>
      <w:r w:rsidRPr="003C418B">
        <w:rPr>
          <w:u w:val="single"/>
        </w:rPr>
        <w:t>Health:</w:t>
      </w:r>
    </w:p>
    <w:p w:rsidR="006F46D5" w:rsidRPr="006F46D5" w:rsidRDefault="006F46D5" w:rsidP="006F46D5">
      <w:pPr>
        <w:pStyle w:val="BodyText"/>
      </w:pPr>
      <w:r w:rsidRPr="00490EFB">
        <w:t>Australia’s health program in Cambodia is focused on improving access to quality health services for the poorest Cambodians.  We are a leading donor in the health sector and work with the Cambodian Ministry of Health and a range of development partners to tackle these challenges.  In 2013-14, our programs delivered strong results in this challenging area.  For example, t</w:t>
      </w:r>
      <w:r w:rsidR="00235082" w:rsidRPr="00490EFB">
        <w:t>hrough our</w:t>
      </w:r>
      <w:r w:rsidRPr="00490EFB">
        <w:t xml:space="preserve"> combined efforts</w:t>
      </w:r>
      <w:r w:rsidR="00235082" w:rsidRPr="00490EFB">
        <w:t>,</w:t>
      </w:r>
      <w:r w:rsidRPr="00490EFB">
        <w:t xml:space="preserve"> the poorest 20 per cent of Cambodians (approximately 2.5 million people) had access to free essential health care.  Through our policy discussions with the Cambodian Govern</w:t>
      </w:r>
      <w:r w:rsidR="00A11092">
        <w:t xml:space="preserve">ment, we are working to </w:t>
      </w:r>
      <w:r w:rsidRPr="00490EFB">
        <w:t>expand this coverage</w:t>
      </w:r>
      <w:r w:rsidR="00A11092">
        <w:t xml:space="preserve"> further</w:t>
      </w:r>
      <w:r w:rsidRPr="00490EFB">
        <w:t xml:space="preserve">.  </w:t>
      </w:r>
      <w:r w:rsidR="00235082" w:rsidRPr="00490EFB">
        <w:t>Australia</w:t>
      </w:r>
      <w:r w:rsidRPr="00490EFB">
        <w:t xml:space="preserve"> also launched a new program that will improve maternal and neonatal health in </w:t>
      </w:r>
      <w:r w:rsidR="00235082" w:rsidRPr="00490EFB">
        <w:t xml:space="preserve">the most </w:t>
      </w:r>
      <w:r w:rsidR="00A11092">
        <w:t xml:space="preserve">remote provinces and help </w:t>
      </w:r>
      <w:r w:rsidRPr="00490EFB">
        <w:t>ensure</w:t>
      </w:r>
      <w:r w:rsidR="00235082" w:rsidRPr="00490EFB">
        <w:t xml:space="preserve"> vulnerable young</w:t>
      </w:r>
      <w:r w:rsidRPr="00490EFB">
        <w:t xml:space="preserve"> women working in </w:t>
      </w:r>
      <w:r w:rsidR="00235082" w:rsidRPr="00490EFB">
        <w:t>Cambodia’s</w:t>
      </w:r>
      <w:r w:rsidRPr="00490EFB">
        <w:t xml:space="preserve"> garment factories have access to better reproductive health information and services.</w:t>
      </w:r>
    </w:p>
    <w:p w:rsidR="00E57580" w:rsidRPr="003C418B" w:rsidRDefault="00E57580" w:rsidP="00E57580">
      <w:pPr>
        <w:pStyle w:val="BodyText"/>
        <w:rPr>
          <w:u w:val="single"/>
        </w:rPr>
      </w:pPr>
      <w:r w:rsidRPr="003C418B">
        <w:rPr>
          <w:u w:val="single"/>
        </w:rPr>
        <w:t>Infrastructure:</w:t>
      </w:r>
    </w:p>
    <w:p w:rsidR="00E57580" w:rsidRDefault="00E57580" w:rsidP="00E57580">
      <w:pPr>
        <w:pStyle w:val="BodyText"/>
      </w:pPr>
      <w:r>
        <w:t>Australia met its financial obligations to the Asian Development Bank with respect to the Rehabilitation of the Railway in Cambodia Project.  The Southern Line was deemed substantially complete, with regular freight services carrying primarily petrol, cement, coal</w:t>
      </w:r>
      <w:r w:rsidR="007911F2">
        <w:t xml:space="preserve">, </w:t>
      </w:r>
      <w:r>
        <w:t xml:space="preserve">agricultural produce </w:t>
      </w:r>
      <w:r w:rsidR="007911F2">
        <w:t xml:space="preserve">and some containers </w:t>
      </w:r>
      <w:r>
        <w:t xml:space="preserve">between Sihanoukville and Phnom Penh.  </w:t>
      </w:r>
    </w:p>
    <w:p w:rsidR="00E57580" w:rsidRDefault="00E57580" w:rsidP="00E57580">
      <w:pPr>
        <w:pStyle w:val="BodyText"/>
      </w:pPr>
      <w:r>
        <w:t>Road works on the Southern Coastal Corridor, both new construction and maintenance, we</w:t>
      </w:r>
      <w:r w:rsidR="00A035C0">
        <w:t xml:space="preserve">re successfully completed. The </w:t>
      </w:r>
      <w:r>
        <w:t>cross-border facility at the Vietnamese border is more than 50 per cent complete, with all key structures at more than 80</w:t>
      </w:r>
      <w:r w:rsidR="00057CA8">
        <w:t xml:space="preserve"> </w:t>
      </w:r>
      <w:r>
        <w:t xml:space="preserve">per cent complete.  The Road Asset Management Project is in its final stages, and </w:t>
      </w:r>
      <w:r w:rsidR="00ED08E1">
        <w:t xml:space="preserve">has achieved </w:t>
      </w:r>
      <w:r>
        <w:t>92</w:t>
      </w:r>
      <w:r w:rsidR="00A035C0">
        <w:t xml:space="preserve"> </w:t>
      </w:r>
      <w:r>
        <w:t>per cent</w:t>
      </w:r>
      <w:r w:rsidR="00A035C0">
        <w:t xml:space="preserve"> </w:t>
      </w:r>
      <w:r>
        <w:t xml:space="preserve">of its target for maintained roads.  The Cambodian Flood Disaster and Emergency Rehabilitation Project has completed about 75 per cent of the total project rehabilitation targets for infrastructure damaged in the 2011 floods. Australia has agreed to enter into a second phase that will </w:t>
      </w:r>
      <w:r>
        <w:lastRenderedPageBreak/>
        <w:t xml:space="preserve">address damage </w:t>
      </w:r>
      <w:r w:rsidR="00057CA8">
        <w:t xml:space="preserve">to </w:t>
      </w:r>
      <w:r w:rsidR="00BF5F06">
        <w:t xml:space="preserve">national and rural roads, bridges </w:t>
      </w:r>
      <w:r w:rsidR="00057CA8">
        <w:t>and irrigation systems</w:t>
      </w:r>
      <w:r w:rsidR="00BF5F06">
        <w:t xml:space="preserve"> </w:t>
      </w:r>
      <w:r>
        <w:t>caused by flooding in 2013.</w:t>
      </w:r>
    </w:p>
    <w:p w:rsidR="000D733F" w:rsidRPr="00E57580" w:rsidRDefault="00FA4A95" w:rsidP="00E57580">
      <w:pPr>
        <w:pStyle w:val="BodyText"/>
      </w:pPr>
      <w:r>
        <w:t>Two risks continue to occupy significant management attention</w:t>
      </w:r>
      <w:r w:rsidR="00AA4DC1">
        <w:t xml:space="preserve"> - c</w:t>
      </w:r>
      <w:r>
        <w:t xml:space="preserve">hild protection and managing fiduciary risk.  </w:t>
      </w:r>
      <w:r w:rsidR="00E57580" w:rsidRPr="001974E2">
        <w:t xml:space="preserve">Child protection </w:t>
      </w:r>
      <w:r>
        <w:t xml:space="preserve">has been managed </w:t>
      </w:r>
      <w:r w:rsidR="00F36436">
        <w:t>closely</w:t>
      </w:r>
      <w:r w:rsidR="00A368E6">
        <w:t xml:space="preserve"> through extensive training </w:t>
      </w:r>
      <w:r w:rsidR="00F36436">
        <w:t>to aid program staff and delivery partners</w:t>
      </w:r>
      <w:r w:rsidR="00A368E6">
        <w:t xml:space="preserve">, in addition to </w:t>
      </w:r>
      <w:r w:rsidR="00E57580">
        <w:t xml:space="preserve">a specific child protection </w:t>
      </w:r>
      <w:r w:rsidR="00A368E6">
        <w:t xml:space="preserve">due diligence </w:t>
      </w:r>
      <w:r w:rsidR="00E57580">
        <w:t>assessment</w:t>
      </w:r>
      <w:r w:rsidR="00A368E6">
        <w:t xml:space="preserve"> that provides a framework to manage ongoing risks</w:t>
      </w:r>
      <w:r w:rsidR="00E57580">
        <w:t xml:space="preserve">. </w:t>
      </w:r>
      <w:r w:rsidR="00A368E6">
        <w:t xml:space="preserve"> </w:t>
      </w:r>
      <w:r w:rsidR="00AA4DC1">
        <w:t xml:space="preserve">Operating in Cambodia </w:t>
      </w:r>
      <w:r w:rsidR="00A368E6">
        <w:t>also carrie</w:t>
      </w:r>
      <w:r w:rsidR="007911F2">
        <w:t>s</w:t>
      </w:r>
      <w:r w:rsidR="00A368E6">
        <w:t xml:space="preserve"> </w:t>
      </w:r>
      <w:r w:rsidR="00AA4DC1">
        <w:t>high fiduciary risks</w:t>
      </w:r>
      <w:r w:rsidR="00A368E6">
        <w:t>, which is managed</w:t>
      </w:r>
      <w:r w:rsidR="00AA4DC1">
        <w:t xml:space="preserve"> </w:t>
      </w:r>
      <w:r w:rsidR="00A368E6">
        <w:t xml:space="preserve">by </w:t>
      </w:r>
      <w:r w:rsidR="00AA4DC1">
        <w:t>delivering the majority of our program through trusted partners who have strong fiduciary and risk management systems. Where we enter into agreements with less established partners</w:t>
      </w:r>
      <w:r w:rsidR="007911F2">
        <w:t>,</w:t>
      </w:r>
      <w:r w:rsidR="00AA4DC1">
        <w:t xml:space="preserve"> we conduct stringent assessments of their capacity prior to funding. </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CE64F1" w:rsidRDefault="00A11092" w:rsidP="00E57580">
      <w:pPr>
        <w:pStyle w:val="BodyText"/>
        <w:rPr>
          <w:u w:val="single"/>
        </w:rPr>
      </w:pPr>
      <w:r>
        <w:t xml:space="preserve">The </w:t>
      </w:r>
      <w:r w:rsidR="00CE64F1" w:rsidRPr="00490EFB">
        <w:t xml:space="preserve">dynamic operating environment </w:t>
      </w:r>
      <w:r>
        <w:t xml:space="preserve">in Cambodia </w:t>
      </w:r>
      <w:r w:rsidR="00CE64F1" w:rsidRPr="00490EFB">
        <w:t>means that the aid program must remain flexible and responsive in the way it engages</w:t>
      </w:r>
      <w:r>
        <w:t xml:space="preserve"> with and supports Cambodia’s key development challenges</w:t>
      </w:r>
      <w:r w:rsidR="00CE64F1" w:rsidRPr="00490EFB">
        <w:t>.</w:t>
      </w:r>
    </w:p>
    <w:p w:rsidR="00E57580" w:rsidRPr="00E57580" w:rsidRDefault="00E57580" w:rsidP="00E57580">
      <w:pPr>
        <w:pStyle w:val="BodyText"/>
        <w:rPr>
          <w:u w:val="single"/>
        </w:rPr>
      </w:pPr>
      <w:r w:rsidRPr="00E57580">
        <w:rPr>
          <w:u w:val="single"/>
        </w:rPr>
        <w:t>Economic development and challenges</w:t>
      </w:r>
    </w:p>
    <w:p w:rsidR="00E57580" w:rsidRDefault="00E57580" w:rsidP="00E57580">
      <w:pPr>
        <w:pStyle w:val="BodyText"/>
      </w:pPr>
      <w:r>
        <w:t>Eco</w:t>
      </w:r>
      <w:r w:rsidR="00A11092">
        <w:t>nomic growth in Cambodia continues to be</w:t>
      </w:r>
      <w:r>
        <w:t xml:space="preserve"> strong.  In 2013, growth was 7.2 per cent—driven by increases in garment exports and services, especially wholesale and retail trading, and</w:t>
      </w:r>
      <w:r w:rsidR="00A11092">
        <w:t xml:space="preserve"> by</w:t>
      </w:r>
      <w:r>
        <w:t xml:space="preserve"> tourism. The agricultural sector was hit hard by flooding</w:t>
      </w:r>
      <w:r w:rsidR="00F36436">
        <w:t xml:space="preserve"> and lower commodity prices</w:t>
      </w:r>
      <w:r>
        <w:t>, but continued to grow on the back of improved farming techniques. Inflation is rising, but moderate.</w:t>
      </w:r>
    </w:p>
    <w:p w:rsidR="00A368E6" w:rsidRDefault="00E57580" w:rsidP="00E57580">
      <w:pPr>
        <w:pStyle w:val="BodyText"/>
      </w:pPr>
      <w:r>
        <w:t xml:space="preserve">The economic outlook remains positive.  Growth looks set to continue on the back of garment exports as economic conditions improve in Europe, tourist arrivals from the region </w:t>
      </w:r>
      <w:r w:rsidR="007911F2">
        <w:t xml:space="preserve">increase, </w:t>
      </w:r>
      <w:r>
        <w:t>and the agricultural sector</w:t>
      </w:r>
      <w:r w:rsidR="007911F2" w:rsidRPr="007911F2">
        <w:t xml:space="preserve"> </w:t>
      </w:r>
      <w:r w:rsidR="007911F2">
        <w:t>recovers</w:t>
      </w:r>
      <w:r>
        <w:t>. The IMF forecasts growth to rise steadily to 7.5 per cent a year by 2017.</w:t>
      </w:r>
      <w:r w:rsidR="00A368E6">
        <w:rPr>
          <w:rStyle w:val="FootnoteReference"/>
        </w:rPr>
        <w:footnoteReference w:id="1"/>
      </w:r>
      <w:r w:rsidR="00A368E6">
        <w:t xml:space="preserve"> On current trends, Cambodia could graduate to middle-income status as early as 2015.</w:t>
      </w:r>
    </w:p>
    <w:p w:rsidR="00A368E6" w:rsidRPr="00E57580" w:rsidRDefault="00A368E6" w:rsidP="00E57580">
      <w:pPr>
        <w:pStyle w:val="BodyText"/>
      </w:pPr>
      <w:r>
        <w:t xml:space="preserve">But </w:t>
      </w:r>
      <w:r w:rsidRPr="00E57580">
        <w:t>Cambodia remains vulnerable to economic shocks</w:t>
      </w:r>
      <w:r>
        <w:t>. The country’s narrow economic base makes it vulnerable to slowdowns in a few key export markets. Domestically, major risks include excessive risk taking by banks, labour market tensions in the garment industry and extreme weather conditions, which could affect agricultural production.</w:t>
      </w:r>
      <w:r>
        <w:rPr>
          <w:rStyle w:val="FootnoteReference"/>
        </w:rPr>
        <w:footnoteReference w:id="2"/>
      </w:r>
    </w:p>
    <w:p w:rsidR="00A368E6" w:rsidRPr="00E57580" w:rsidRDefault="00A368E6" w:rsidP="00E57580">
      <w:pPr>
        <w:pStyle w:val="BodyText"/>
      </w:pPr>
      <w:r>
        <w:t>The major constraints on economic growth in Cambodia include poor</w:t>
      </w:r>
      <w:r w:rsidR="007911F2">
        <w:t>-</w:t>
      </w:r>
      <w:r>
        <w:t>quality infrastructure, corruption and a la</w:t>
      </w:r>
      <w:r w:rsidR="00C74E92">
        <w:t>ck of skilled workers. Limited</w:t>
      </w:r>
      <w:r>
        <w:t xml:space="preserve"> infrastructure, particularly energy and transport, remains a significant challenge for future growth. Cambodia </w:t>
      </w:r>
      <w:r w:rsidRPr="005A2F04">
        <w:t>ranked 160</w:t>
      </w:r>
      <w:r w:rsidR="007911F2">
        <w:t>th</w:t>
      </w:r>
      <w:r w:rsidRPr="005A2F04">
        <w:t xml:space="preserve"> out of 177 c</w:t>
      </w:r>
      <w:r>
        <w:t xml:space="preserve">ountries on the Transparency International 2013 Corruption </w:t>
      </w:r>
      <w:r w:rsidRPr="005A2F04">
        <w:t>Perceptions Index</w:t>
      </w:r>
      <w:r>
        <w:t>,</w:t>
      </w:r>
      <w:r w:rsidRPr="00E345F4">
        <w:t xml:space="preserve"> </w:t>
      </w:r>
      <w:r w:rsidRPr="005A2F04">
        <w:t>the lowest of all countries in South East Asia</w:t>
      </w:r>
      <w:r>
        <w:t xml:space="preserve">. The lack of skilled workers </w:t>
      </w:r>
      <w:r w:rsidR="00480CA2">
        <w:t>discourages</w:t>
      </w:r>
      <w:r>
        <w:t xml:space="preserve"> foreign investment in </w:t>
      </w:r>
      <w:r w:rsidR="00480CA2">
        <w:t>higher</w:t>
      </w:r>
      <w:r w:rsidR="007911F2">
        <w:t>-</w:t>
      </w:r>
      <w:r w:rsidR="00480CA2">
        <w:t>value</w:t>
      </w:r>
      <w:r w:rsidR="007911F2">
        <w:t>-</w:t>
      </w:r>
      <w:r w:rsidR="00480CA2">
        <w:t>add</w:t>
      </w:r>
      <w:r w:rsidR="007911F2">
        <w:t>ed</w:t>
      </w:r>
      <w:r w:rsidR="00480CA2">
        <w:t xml:space="preserve"> </w:t>
      </w:r>
      <w:r>
        <w:t>manufacturing industries.</w:t>
      </w:r>
    </w:p>
    <w:p w:rsidR="00A368E6" w:rsidRDefault="00A368E6" w:rsidP="00E57580">
      <w:pPr>
        <w:pStyle w:val="BodyText"/>
      </w:pPr>
      <w:r>
        <w:t>Expand</w:t>
      </w:r>
      <w:r w:rsidR="00C74E92">
        <w:t>ing government revenues, and encouraging the most effective and efficient expenditure of these funds</w:t>
      </w:r>
      <w:r>
        <w:t>, remain</w:t>
      </w:r>
      <w:r w:rsidR="00C74E92">
        <w:t>s</w:t>
      </w:r>
      <w:r>
        <w:t xml:space="preserve"> a priority—over 50 per cent of expenditure on public goods still comes from donors.  While government revenues have increased over the past decade, growth slowed in 2013.  The slower growth saw domestic revenue fall to 14.8 </w:t>
      </w:r>
      <w:r w:rsidR="00E50CCC">
        <w:t xml:space="preserve">per cent </w:t>
      </w:r>
      <w:r>
        <w:t>of GDP, below the peak of 15.3 per cent in 2012.  While the</w:t>
      </w:r>
      <w:r w:rsidR="009179DD">
        <w:t>re is still some way to go, the</w:t>
      </w:r>
      <w:r>
        <w:t xml:space="preserve"> quality of public expenditure</w:t>
      </w:r>
      <w:r w:rsidR="009179DD">
        <w:t xml:space="preserve"> is increasing.</w:t>
      </w:r>
    </w:p>
    <w:p w:rsidR="00A368E6" w:rsidRPr="00E57580" w:rsidRDefault="00A368E6" w:rsidP="00E57580">
      <w:pPr>
        <w:pStyle w:val="BodyText"/>
        <w:rPr>
          <w:u w:val="single"/>
        </w:rPr>
      </w:pPr>
      <w:r w:rsidRPr="00E57580">
        <w:rPr>
          <w:u w:val="single"/>
        </w:rPr>
        <w:lastRenderedPageBreak/>
        <w:t>Poverty, demography and other development challenges</w:t>
      </w:r>
    </w:p>
    <w:p w:rsidR="00A368E6" w:rsidRDefault="00A368E6" w:rsidP="0085759D">
      <w:pPr>
        <w:pStyle w:val="BodyText"/>
      </w:pPr>
      <w:r>
        <w:t>Despite almost halving the poverty rate since 2006, Cambodia remains one of the poorest countries in the region. Almost 20 per cent of the population remain</w:t>
      </w:r>
      <w:r w:rsidR="00B725EB">
        <w:t>s</w:t>
      </w:r>
      <w:r>
        <w:t xml:space="preserve"> below the national poverty line.  Many of those who have moved above the poverty line in recent years have only barely done so—they remain vulnerable to falling back into poverty due to shocks, such as an illness or death in the family, lost employment, or natural disaster. It is estimated that a small shock of less than USD0.30 per day could double the poverty rate to 40% of the population.</w:t>
      </w:r>
    </w:p>
    <w:p w:rsidR="00A368E6" w:rsidRDefault="00A368E6" w:rsidP="0085759D">
      <w:pPr>
        <w:pStyle w:val="BodyText"/>
      </w:pPr>
      <w:r>
        <w:t>Thirty seven per cent of Cambodian children under the age of 5 suffer from chronic malnutrition. The high rates of stunting</w:t>
      </w:r>
      <w:r>
        <w:rPr>
          <w:rStyle w:val="FootnoteReference"/>
        </w:rPr>
        <w:footnoteReference w:id="3"/>
      </w:r>
      <w:r>
        <w:t xml:space="preserve"> (an indicator of poverty caused by unclean water and poor sanitation facilities, poor health service provision, and lack of nutrition) highlight this vulnerability.  </w:t>
      </w:r>
    </w:p>
    <w:p w:rsidR="00A368E6" w:rsidRDefault="00A368E6" w:rsidP="0085759D">
      <w:pPr>
        <w:pStyle w:val="BodyText"/>
      </w:pPr>
      <w:r>
        <w:t>A</w:t>
      </w:r>
      <w:r w:rsidR="009179DD">
        <w:t>s is typical in post-crisi</w:t>
      </w:r>
      <w:r>
        <w:t>s periods, Cambodia’s fertility rate increased dramatically in the post</w:t>
      </w:r>
      <w:r w:rsidR="007911F2">
        <w:t>-</w:t>
      </w:r>
      <w:r>
        <w:t>war period, with about 65 per cent of the population now below the age of 30. With population momentum projected to continue for at least another two decades,</w:t>
      </w:r>
      <w:r>
        <w:rPr>
          <w:rStyle w:val="FootnoteReference"/>
        </w:rPr>
        <w:footnoteReference w:id="4"/>
      </w:r>
      <w:r>
        <w:t xml:space="preserve"> this presents both risk and opportunity. With careful management Cambodia will experience a demographic dividend as the ratio of working to non-working age people increases, sustaining and promoting economic growth. However this demographic profile places strain on low capacity health and education services. This is particularly true for urban centres. The push factor of poverty in rural areas combined with the pull factor of wage earning opportunities in urban centres is driving large-scale migration within the country. In 1998 one in 20 Cambodians lived in Phnom Penh. In 2012 the figure was one in 10.</w:t>
      </w:r>
      <w:r>
        <w:rPr>
          <w:rStyle w:val="FootnoteReference"/>
        </w:rPr>
        <w:footnoteReference w:id="5"/>
      </w:r>
      <w:r>
        <w:t xml:space="preserve"> </w:t>
      </w:r>
    </w:p>
    <w:p w:rsidR="007911F2" w:rsidRPr="009F749F" w:rsidRDefault="00A368E6" w:rsidP="00E57580">
      <w:pPr>
        <w:pStyle w:val="BodyText"/>
        <w:rPr>
          <w:u w:val="single"/>
        </w:rPr>
      </w:pPr>
      <w:r>
        <w:t>Disability and gender inequality remain strong concerns for Cambodia. Based on estimates by the World Health Organization</w:t>
      </w:r>
      <w:r w:rsidR="00D97820">
        <w:t xml:space="preserve"> </w:t>
      </w:r>
      <w:r>
        <w:t>and World Bank</w:t>
      </w:r>
      <w:r w:rsidR="0095656B">
        <w:t>,</w:t>
      </w:r>
      <w:r w:rsidR="00D97820">
        <w:rPr>
          <w:rStyle w:val="FootnoteReference"/>
        </w:rPr>
        <w:footnoteReference w:id="6"/>
      </w:r>
      <w:r>
        <w:t xml:space="preserve"> there could more than two million people with disability in Cambodia. These are among the poorest and most marginalised, with recent research finding that 24 per cent of surveyed children with disability had never attended school, and 58 per cent had been denied access to the public school system within the previous two years.</w:t>
      </w:r>
      <w:r>
        <w:rPr>
          <w:rStyle w:val="FootnoteReference"/>
        </w:rPr>
        <w:footnoteReference w:id="7"/>
      </w:r>
      <w:r>
        <w:t xml:space="preserve"> Significant gender disparities remain in all areas of life in Cambodia. Recent U</w:t>
      </w:r>
      <w:r w:rsidR="00D97820">
        <w:t>N</w:t>
      </w:r>
      <w:r>
        <w:t xml:space="preserve"> and Cambodian Government studies have found that rates of violence against women and children are amongst the highest in the region. Violence </w:t>
      </w:r>
      <w:r w:rsidRPr="009F749F">
        <w:t>impacts negatively on productivity</w:t>
      </w:r>
      <w:r w:rsidR="00D97820" w:rsidRPr="009F749F">
        <w:t xml:space="preserve"> </w:t>
      </w:r>
      <w:r w:rsidRPr="009F749F">
        <w:t>as well as on family and community harmony</w:t>
      </w:r>
      <w:r w:rsidR="00D97820" w:rsidRPr="009F749F">
        <w:t xml:space="preserve"> and </w:t>
      </w:r>
      <w:r w:rsidR="00E50CCC" w:rsidRPr="009F749F">
        <w:t>is</w:t>
      </w:r>
      <w:r w:rsidR="00D97820" w:rsidRPr="009F749F">
        <w:t xml:space="preserve"> an obstacle to </w:t>
      </w:r>
      <w:r w:rsidR="00380098" w:rsidRPr="00490EFB">
        <w:t>women fully benefiting from and contributing to economic growth</w:t>
      </w:r>
      <w:r w:rsidR="00A903D5" w:rsidRPr="009F749F">
        <w:t>.</w:t>
      </w:r>
      <w:r w:rsidR="00380098" w:rsidRPr="009F749F">
        <w:t xml:space="preserve"> </w:t>
      </w:r>
      <w:r w:rsidRPr="009F749F">
        <w:t xml:space="preserve"> Similarly, secondary or higher level educational attainment for adult women is far lower in Camb</w:t>
      </w:r>
      <w:r w:rsidR="009179DD">
        <w:t>odia than the average</w:t>
      </w:r>
      <w:r w:rsidRPr="009F749F">
        <w:t xml:space="preserve"> in East Asia and the Pacific. </w:t>
      </w:r>
      <w:r w:rsidR="00380098" w:rsidRPr="00490EFB">
        <w:t>The Minister of Women’s Affairs is a strong advocate for gender equality within Government and with development partners and her Ministry has been active in promoting plans and policies across government</w:t>
      </w:r>
      <w:r w:rsidR="0095656B">
        <w:t>.</w:t>
      </w:r>
      <w:r w:rsidR="00380098" w:rsidRPr="00490EFB">
        <w:rPr>
          <w:rStyle w:val="FootnoteReference"/>
        </w:rPr>
        <w:footnoteReference w:id="8"/>
      </w:r>
    </w:p>
    <w:p w:rsidR="00A368E6" w:rsidRPr="00E57580" w:rsidRDefault="00A368E6" w:rsidP="00E57580">
      <w:pPr>
        <w:pStyle w:val="BodyText"/>
        <w:rPr>
          <w:u w:val="single"/>
        </w:rPr>
      </w:pPr>
      <w:r w:rsidRPr="009F749F">
        <w:rPr>
          <w:u w:val="single"/>
        </w:rPr>
        <w:t>Political situation</w:t>
      </w:r>
    </w:p>
    <w:p w:rsidR="00A368E6" w:rsidRDefault="009179DD" w:rsidP="00E57580">
      <w:pPr>
        <w:pStyle w:val="BodyText"/>
      </w:pPr>
      <w:r>
        <w:t>Some p</w:t>
      </w:r>
      <w:r w:rsidR="00A368E6">
        <w:t xml:space="preserve">olitical </w:t>
      </w:r>
      <w:r>
        <w:t xml:space="preserve">uncertainty </w:t>
      </w:r>
      <w:r w:rsidR="00A368E6">
        <w:t>persisted in the aftermath of the national election held in July 2013. The Cambodian People's Party formed government, with the opposition party only agreeing to take their seats in parliament 1</w:t>
      </w:r>
      <w:r w:rsidR="007911F2">
        <w:t>2</w:t>
      </w:r>
      <w:r w:rsidR="00A368E6">
        <w:t xml:space="preserve"> months after the elections.</w:t>
      </w:r>
      <w:r w:rsidR="00A368E6">
        <w:rPr>
          <w:rStyle w:val="FootnoteReference"/>
        </w:rPr>
        <w:footnoteReference w:id="9"/>
      </w:r>
      <w:r w:rsidR="00A368E6">
        <w:t xml:space="preserve"> The government, employers and </w:t>
      </w:r>
      <w:r w:rsidR="00A368E6">
        <w:lastRenderedPageBreak/>
        <w:t xml:space="preserve">unions remain in a dispute over minimum wages in the garment sector and there are numerous ongoing land disputes across the country. </w:t>
      </w:r>
    </w:p>
    <w:p w:rsidR="00A368E6" w:rsidRPr="00A874FE" w:rsidRDefault="00A368E6" w:rsidP="00E57580">
      <w:pPr>
        <w:pStyle w:val="BodyText"/>
        <w:rPr>
          <w:u w:val="single"/>
        </w:rPr>
      </w:pPr>
      <w:r w:rsidRPr="00A874FE">
        <w:rPr>
          <w:u w:val="single"/>
        </w:rPr>
        <w:t xml:space="preserve">Official development assistance: </w:t>
      </w:r>
    </w:p>
    <w:p w:rsidR="00A903D5" w:rsidRDefault="00A368E6" w:rsidP="00E57580">
      <w:pPr>
        <w:pStyle w:val="BodyText"/>
      </w:pPr>
      <w:r w:rsidRPr="00817B5F">
        <w:t>In 2013</w:t>
      </w:r>
      <w:r w:rsidR="00FC0B80">
        <w:t xml:space="preserve"> - 14</w:t>
      </w:r>
      <w:r>
        <w:t xml:space="preserve">, </w:t>
      </w:r>
      <w:r w:rsidRPr="00817B5F">
        <w:t xml:space="preserve">Australia’s </w:t>
      </w:r>
      <w:r>
        <w:t>bilateral</w:t>
      </w:r>
      <w:r w:rsidRPr="00817B5F">
        <w:t xml:space="preserve"> program aid to Cambodia totalled $5</w:t>
      </w:r>
      <w:r w:rsidR="00FC0B80">
        <w:t>6.1</w:t>
      </w:r>
      <w:r w:rsidRPr="00817B5F">
        <w:t xml:space="preserve"> million. Other assistance through Australia’s regional and global programs and through other government agencies brought Australia’s total official development assistance (ODA) to an estimated $77.</w:t>
      </w:r>
      <w:r w:rsidR="00FC0B80">
        <w:t>2</w:t>
      </w:r>
      <w:r w:rsidRPr="00817B5F">
        <w:t xml:space="preserve"> million.  This places Australia as </w:t>
      </w:r>
      <w:r w:rsidR="00380098">
        <w:t xml:space="preserve">the third </w:t>
      </w:r>
      <w:r w:rsidRPr="00817B5F">
        <w:t>largest bilateral aid donor</w:t>
      </w:r>
      <w:r w:rsidR="00380098">
        <w:t xml:space="preserve"> </w:t>
      </w:r>
      <w:r w:rsidRPr="00817B5F">
        <w:t xml:space="preserve">to Cambodia </w:t>
      </w:r>
      <w:r>
        <w:t>among</w:t>
      </w:r>
      <w:r w:rsidRPr="00817B5F">
        <w:t xml:space="preserve"> </w:t>
      </w:r>
      <w:r>
        <w:t>China (</w:t>
      </w:r>
      <w:r w:rsidRPr="00817B5F">
        <w:t>$</w:t>
      </w:r>
      <w:r w:rsidRPr="009E1C31">
        <w:t>414.4</w:t>
      </w:r>
      <w:r>
        <w:t xml:space="preserve"> </w:t>
      </w:r>
      <w:r w:rsidRPr="00817B5F">
        <w:t>million</w:t>
      </w:r>
      <w:r>
        <w:t>), Japan (</w:t>
      </w:r>
      <w:r w:rsidRPr="00817B5F">
        <w:t>$</w:t>
      </w:r>
      <w:r w:rsidRPr="009E1C31">
        <w:t xml:space="preserve">155.8 </w:t>
      </w:r>
      <w:r w:rsidRPr="00817B5F">
        <w:t>million)</w:t>
      </w:r>
      <w:r>
        <w:t xml:space="preserve"> the United States (</w:t>
      </w:r>
      <w:r w:rsidR="00EC624F">
        <w:t>$70.3</w:t>
      </w:r>
      <w:r w:rsidR="00466BCA">
        <w:t xml:space="preserve"> </w:t>
      </w:r>
      <w:r w:rsidR="00EC624F">
        <w:t>m</w:t>
      </w:r>
      <w:r w:rsidRPr="009E1C31">
        <w:t>illion)</w:t>
      </w:r>
      <w:r>
        <w:rPr>
          <w:rFonts w:ascii="Tahoma" w:eastAsiaTheme="minorHAnsi" w:hAnsi="Tahoma" w:cs="Tahoma"/>
          <w:sz w:val="15"/>
          <w:szCs w:val="15"/>
          <w:lang w:bidi="km-KH"/>
        </w:rPr>
        <w:t xml:space="preserve"> </w:t>
      </w:r>
      <w:r>
        <w:t>and the Republic of Korea (</w:t>
      </w:r>
      <w:r w:rsidRPr="009E1C31">
        <w:t>$53.8</w:t>
      </w:r>
      <w:r>
        <w:rPr>
          <w:rFonts w:ascii="Tahoma" w:eastAsiaTheme="minorHAnsi" w:hAnsi="Tahoma" w:cs="Tahoma"/>
          <w:sz w:val="15"/>
          <w:szCs w:val="15"/>
          <w:lang w:bidi="km-KH"/>
        </w:rPr>
        <w:t xml:space="preserve"> </w:t>
      </w:r>
      <w:r w:rsidRPr="00817B5F">
        <w:t>million</w:t>
      </w:r>
      <w:r>
        <w:t>)</w:t>
      </w:r>
      <w:r w:rsidR="00DC702D">
        <w:t>.</w:t>
      </w:r>
      <w:r w:rsidR="00DC702D">
        <w:rPr>
          <w:rStyle w:val="FootnoteReference"/>
        </w:rPr>
        <w:footnoteReference w:id="10"/>
      </w:r>
      <w:r w:rsidR="0095656B">
        <w:t xml:space="preserve"> </w:t>
      </w:r>
      <w:r w:rsidR="00E57580" w:rsidRPr="00A874FE">
        <w:t>Foreign aid to Cambodia i</w:t>
      </w:r>
      <w:r w:rsidR="00450AE5">
        <w:t>ncreased from just under US</w:t>
      </w:r>
      <w:r w:rsidR="00D54D8F">
        <w:t>$</w:t>
      </w:r>
      <w:r w:rsidR="00450AE5">
        <w:t xml:space="preserve">600 </w:t>
      </w:r>
      <w:r w:rsidR="00E57580" w:rsidRPr="00A874FE">
        <w:t>million</w:t>
      </w:r>
      <w:r w:rsidR="009179DD">
        <w:t xml:space="preserve"> per annum</w:t>
      </w:r>
      <w:r w:rsidR="00E57580" w:rsidRPr="00A874FE">
        <w:t xml:space="preserve"> in 2004 to almost </w:t>
      </w:r>
      <w:r w:rsidR="00E57580" w:rsidRPr="00817B5F">
        <w:t>US$</w:t>
      </w:r>
      <w:r w:rsidR="00DB2217">
        <w:t>1.</w:t>
      </w:r>
      <w:r w:rsidR="00F95009" w:rsidRPr="00450AE5">
        <w:t>46</w:t>
      </w:r>
      <w:r w:rsidR="00622258">
        <w:t xml:space="preserve"> </w:t>
      </w:r>
      <w:r w:rsidR="00F95009" w:rsidRPr="00450AE5">
        <w:t>billion</w:t>
      </w:r>
      <w:r w:rsidR="00F95009">
        <w:t xml:space="preserve"> in 2013</w:t>
      </w:r>
      <w:r w:rsidR="00E57580" w:rsidRPr="00A874FE">
        <w:t>. In recent years, there has been a large increase in loan financing, suggestin</w:t>
      </w:r>
      <w:r w:rsidR="009179DD">
        <w:t>g that Cambodia is making a transition</w:t>
      </w:r>
      <w:r w:rsidR="00E57580" w:rsidRPr="00A874FE">
        <w:t xml:space="preserve"> from grant aid and concessional multilateral resourcing to an external assistance profile more in line with lower-middle income st</w:t>
      </w:r>
      <w:r w:rsidR="00817B5F">
        <w:t xml:space="preserve">atus. The ratio of Australia’s </w:t>
      </w:r>
      <w:r w:rsidR="00E57580" w:rsidRPr="00A874FE">
        <w:t xml:space="preserve">ODA to Cambodia’s </w:t>
      </w:r>
      <w:r w:rsidR="00E57580" w:rsidRPr="00490EFB">
        <w:t>GDP is</w:t>
      </w:r>
      <w:r w:rsidR="00F95009" w:rsidRPr="00490EFB">
        <w:t xml:space="preserve"> </w:t>
      </w:r>
      <w:r w:rsidR="003C1D9C" w:rsidRPr="00490EFB">
        <w:t xml:space="preserve">significant at </w:t>
      </w:r>
      <w:r w:rsidR="00F95009" w:rsidRPr="00490EFB">
        <w:t>4.3%</w:t>
      </w:r>
      <w:r w:rsidR="00E57580" w:rsidRPr="00490EFB">
        <w:t>.</w:t>
      </w:r>
      <w:r w:rsidR="003C1D9C" w:rsidRPr="00490EFB">
        <w:t xml:space="preserve"> </w:t>
      </w:r>
    </w:p>
    <w:p w:rsidR="00E57580" w:rsidRPr="00E57580" w:rsidRDefault="00E57580" w:rsidP="00E57580">
      <w:pPr>
        <w:pStyle w:val="BodyText"/>
        <w:rPr>
          <w:u w:val="single"/>
        </w:rPr>
      </w:pPr>
      <w:r w:rsidRPr="00E57580">
        <w:rPr>
          <w:u w:val="single"/>
        </w:rPr>
        <w:t>Australia’s program</w:t>
      </w:r>
    </w:p>
    <w:p w:rsidR="00E57580" w:rsidRPr="00A874FE" w:rsidRDefault="00E57580" w:rsidP="00E57580">
      <w:pPr>
        <w:pStyle w:val="BodyText"/>
      </w:pPr>
      <w:r w:rsidRPr="00A874FE">
        <w:t>The Australia–Cambodia Joint Aid Program Strategy 2010–20</w:t>
      </w:r>
      <w:r w:rsidR="009179DD">
        <w:t>15 focuses on responding to Cambodia’s</w:t>
      </w:r>
      <w:r w:rsidRPr="00A874FE">
        <w:t xml:space="preserve"> rapidly changing economic and social environment. </w:t>
      </w:r>
      <w:r w:rsidR="00DB2217">
        <w:t>P</w:t>
      </w:r>
      <w:r w:rsidRPr="00A874FE">
        <w:t xml:space="preserve">riority sectors include agriculture and rural development, health, infrastructure for growth, and law and justice. Australia also supports disability inclusive development, </w:t>
      </w:r>
      <w:r w:rsidR="005D0A8E">
        <w:t>h</w:t>
      </w:r>
      <w:r w:rsidR="001A5DBB">
        <w:t xml:space="preserve">uman </w:t>
      </w:r>
      <w:r w:rsidR="005D0A8E">
        <w:t>r</w:t>
      </w:r>
      <w:r w:rsidR="001A5DBB">
        <w:t xml:space="preserve">esource </w:t>
      </w:r>
      <w:r w:rsidR="005D0A8E">
        <w:t>d</w:t>
      </w:r>
      <w:r w:rsidR="001A5DBB">
        <w:t>evelopment</w:t>
      </w:r>
      <w:r w:rsidR="001A5DBB" w:rsidRPr="00A874FE">
        <w:t xml:space="preserve"> </w:t>
      </w:r>
      <w:r w:rsidRPr="00A874FE">
        <w:t>(through our scholarships program), and ending violence against women.</w:t>
      </w:r>
    </w:p>
    <w:p w:rsidR="00E57580" w:rsidRPr="00A874FE" w:rsidRDefault="00E57580" w:rsidP="00E57580">
      <w:pPr>
        <w:pStyle w:val="BodyText"/>
      </w:pPr>
      <w:r w:rsidRPr="00A874FE">
        <w:t>In 2013-14, 68 per cent of Australia’s aid program was delivered through agreements with multilaterals (including World Bank, Asia Development Bank, UN</w:t>
      </w:r>
      <w:r w:rsidR="005D0A8E">
        <w:t xml:space="preserve"> </w:t>
      </w:r>
      <w:r w:rsidRPr="00A874FE">
        <w:t>Women, UNDP, UNFPA</w:t>
      </w:r>
      <w:r w:rsidR="00D54D8F">
        <w:t xml:space="preserve"> and </w:t>
      </w:r>
      <w:r w:rsidRPr="00A874FE">
        <w:t>WFP)</w:t>
      </w:r>
      <w:r w:rsidR="0095656B">
        <w:t>,</w:t>
      </w:r>
      <w:r w:rsidR="00622258">
        <w:rPr>
          <w:rStyle w:val="FootnoteReference"/>
        </w:rPr>
        <w:footnoteReference w:id="11"/>
      </w:r>
      <w:r w:rsidRPr="00A874FE">
        <w:t xml:space="preserve"> 27 per cent was delivered by commercial suppliers and </w:t>
      </w:r>
      <w:r w:rsidR="00D54D8F">
        <w:t>five</w:t>
      </w:r>
      <w:r w:rsidRPr="00A874FE">
        <w:t xml:space="preserve"> per cent of the program was delivered through non-government organisation</w:t>
      </w:r>
      <w:r w:rsidR="00622258">
        <w:t>s</w:t>
      </w:r>
      <w:r w:rsidRPr="00A874FE">
        <w:t>/civil society.</w:t>
      </w:r>
      <w:r w:rsidR="003C1D9C">
        <w:t xml:space="preserve"> </w:t>
      </w:r>
    </w:p>
    <w:p w:rsidR="00E57580" w:rsidRPr="00A874FE" w:rsidRDefault="00E57580" w:rsidP="00A874FE">
      <w:pPr>
        <w:pStyle w:val="BodyText"/>
      </w:pPr>
      <w:r w:rsidRPr="00A874FE">
        <w:t xml:space="preserve">Australia’s bilateral program is complemented by regional development assistance including through a range of ASEAN and Mekong River Commission programs. Regional programs support regional approaches to trade reform, people trafficking, HIV/AIDS, child protection and water resource management challenges across the Mekong Basin. These programs account for </w:t>
      </w:r>
      <w:r w:rsidRPr="009F749F">
        <w:t xml:space="preserve">approximately </w:t>
      </w:r>
      <w:r w:rsidR="009F6A74" w:rsidRPr="00490EFB">
        <w:t>2</w:t>
      </w:r>
      <w:r w:rsidR="00B85CA3" w:rsidRPr="00490EFB">
        <w:t>9</w:t>
      </w:r>
      <w:r w:rsidRPr="00490EFB">
        <w:t>%</w:t>
      </w:r>
      <w:r w:rsidRPr="00A874FE">
        <w:t xml:space="preserve"> of </w:t>
      </w:r>
      <w:r w:rsidR="009179DD">
        <w:t xml:space="preserve">Australia’s total </w:t>
      </w:r>
      <w:r w:rsidR="001A5DBB">
        <w:t>ODA</w:t>
      </w:r>
      <w:r w:rsidR="009179DD">
        <w:t xml:space="preserve"> to Cambodia</w:t>
      </w:r>
      <w:r w:rsidRPr="00A874FE">
        <w:t xml:space="preserve">. </w:t>
      </w:r>
    </w:p>
    <w:p w:rsidR="00A874FE" w:rsidRPr="00A874FE" w:rsidRDefault="000D733F" w:rsidP="00A874FE">
      <w:pPr>
        <w:pStyle w:val="Heading2"/>
        <w:rPr>
          <w:sz w:val="28"/>
        </w:rPr>
      </w:pPr>
      <w:r w:rsidRPr="009E38C1">
        <w:rPr>
          <w:sz w:val="28"/>
        </w:rPr>
        <w:t>Expenditure</w:t>
      </w:r>
    </w:p>
    <w:p w:rsidR="00A874FE" w:rsidRPr="00A51634" w:rsidRDefault="00A874FE" w:rsidP="00A874FE">
      <w:pPr>
        <w:pStyle w:val="Caption"/>
        <w:rPr>
          <w:szCs w:val="20"/>
        </w:rPr>
      </w:pPr>
      <w:r w:rsidRPr="00A51634">
        <w:rPr>
          <w:szCs w:val="20"/>
        </w:rPr>
        <w:t>Table 1: Expenditure in 2013–14</w:t>
      </w:r>
    </w:p>
    <w:tbl>
      <w:tblPr>
        <w:tblStyle w:val="APPR"/>
        <w:tblW w:w="5000" w:type="pct"/>
        <w:tblLayout w:type="fixed"/>
        <w:tblLook w:val="0000" w:firstRow="0" w:lastRow="0" w:firstColumn="0" w:lastColumn="0" w:noHBand="0" w:noVBand="0"/>
      </w:tblPr>
      <w:tblGrid>
        <w:gridCol w:w="6227"/>
        <w:gridCol w:w="1030"/>
        <w:gridCol w:w="1520"/>
      </w:tblGrid>
      <w:tr w:rsidR="00A874FE" w:rsidRPr="00A51634" w:rsidTr="004F2586">
        <w:trPr>
          <w:cnfStyle w:val="000000010000" w:firstRow="0" w:lastRow="0" w:firstColumn="0" w:lastColumn="0" w:oddVBand="0" w:evenVBand="0" w:oddHBand="0" w:evenHBand="1" w:firstRowFirstColumn="0" w:firstRowLastColumn="0" w:lastRowFirstColumn="0" w:lastRowLastColumn="0"/>
          <w:cantSplit/>
          <w:trHeight w:val="489"/>
        </w:trPr>
        <w:tc>
          <w:tcPr>
            <w:tcW w:w="6189" w:type="dxa"/>
          </w:tcPr>
          <w:p w:rsidR="00A874FE" w:rsidRPr="00A51634" w:rsidRDefault="00A874FE" w:rsidP="00A874FE">
            <w:pPr>
              <w:pStyle w:val="TableTextColumnHeading"/>
              <w:rPr>
                <w:sz w:val="20"/>
                <w:szCs w:val="20"/>
              </w:rPr>
            </w:pPr>
            <w:r w:rsidRPr="00A51634">
              <w:rPr>
                <w:sz w:val="20"/>
                <w:szCs w:val="20"/>
              </w:rPr>
              <w:t>Objective</w:t>
            </w:r>
          </w:p>
        </w:tc>
        <w:tc>
          <w:tcPr>
            <w:tcW w:w="1003" w:type="dxa"/>
          </w:tcPr>
          <w:p w:rsidR="00A874FE" w:rsidRPr="00A51634" w:rsidRDefault="00A874FE" w:rsidP="004F2586">
            <w:pPr>
              <w:pStyle w:val="TableTextColumnHeading"/>
              <w:spacing w:after="0"/>
              <w:rPr>
                <w:sz w:val="20"/>
                <w:szCs w:val="20"/>
              </w:rPr>
            </w:pPr>
            <w:r w:rsidRPr="00A51634">
              <w:rPr>
                <w:sz w:val="20"/>
                <w:szCs w:val="20"/>
              </w:rPr>
              <w:t>A$ million</w:t>
            </w:r>
          </w:p>
        </w:tc>
        <w:tc>
          <w:tcPr>
            <w:tcW w:w="1479" w:type="dxa"/>
          </w:tcPr>
          <w:p w:rsidR="00A874FE" w:rsidRPr="00A51634" w:rsidRDefault="00A874FE" w:rsidP="00A874FE">
            <w:pPr>
              <w:pStyle w:val="TableTextColumnHeading"/>
              <w:rPr>
                <w:sz w:val="20"/>
                <w:szCs w:val="20"/>
              </w:rPr>
            </w:pPr>
            <w:r w:rsidRPr="00A51634">
              <w:rPr>
                <w:sz w:val="20"/>
                <w:szCs w:val="20"/>
              </w:rPr>
              <w:t>% of bilateral program</w:t>
            </w:r>
          </w:p>
        </w:tc>
      </w:tr>
      <w:tr w:rsidR="006C4C07" w:rsidRPr="00A51634" w:rsidTr="004F2586">
        <w:trPr>
          <w:cantSplit/>
          <w:tblHeader w:val="0"/>
        </w:trPr>
        <w:tc>
          <w:tcPr>
            <w:tcW w:w="6189" w:type="dxa"/>
          </w:tcPr>
          <w:p w:rsidR="006C4C07" w:rsidRPr="004F2586" w:rsidRDefault="006C4C07" w:rsidP="004F2586">
            <w:pPr>
              <w:pStyle w:val="TableTextEntries"/>
              <w:spacing w:before="0"/>
            </w:pPr>
            <w:r w:rsidRPr="004F2586">
              <w:t xml:space="preserve">Objective 1A: </w:t>
            </w:r>
            <w:r w:rsidRPr="004F2586">
              <w:rPr>
                <w:rFonts w:eastAsia="Calibri"/>
              </w:rPr>
              <w:t>Increased value of agricultural production and smallholder income in targeted provinces</w:t>
            </w:r>
          </w:p>
        </w:tc>
        <w:tc>
          <w:tcPr>
            <w:tcW w:w="1003" w:type="dxa"/>
            <w:vAlign w:val="bottom"/>
          </w:tcPr>
          <w:p w:rsidR="006C4C07" w:rsidRPr="004F2586" w:rsidRDefault="00C0704F" w:rsidP="00ED08E1">
            <w:pPr>
              <w:pStyle w:val="TableTextEntries"/>
              <w:jc w:val="center"/>
            </w:pPr>
            <w:r w:rsidRPr="004F2586">
              <w:t>9</w:t>
            </w:r>
            <w:r w:rsidR="006C4C07" w:rsidRPr="004F2586">
              <w:t>.81</w:t>
            </w:r>
          </w:p>
        </w:tc>
        <w:tc>
          <w:tcPr>
            <w:tcW w:w="1479" w:type="dxa"/>
            <w:vAlign w:val="bottom"/>
          </w:tcPr>
          <w:p w:rsidR="006C4C07" w:rsidRPr="004F2586" w:rsidRDefault="00B85CA3" w:rsidP="00ED08E1">
            <w:pPr>
              <w:pStyle w:val="TableTextEntries"/>
              <w:jc w:val="center"/>
            </w:pPr>
            <w:r w:rsidRPr="004F2586">
              <w:t>18.1</w:t>
            </w:r>
          </w:p>
        </w:tc>
      </w:tr>
      <w:tr w:rsidR="006C4C07" w:rsidRPr="00A51634" w:rsidTr="004F2586">
        <w:trPr>
          <w:cnfStyle w:val="000000010000" w:firstRow="0" w:lastRow="0" w:firstColumn="0" w:lastColumn="0" w:oddVBand="0" w:evenVBand="0" w:oddHBand="0" w:evenHBand="1" w:firstRowFirstColumn="0" w:firstRowLastColumn="0" w:lastRowFirstColumn="0" w:lastRowLastColumn="0"/>
          <w:cantSplit/>
          <w:tblHeader w:val="0"/>
        </w:trPr>
        <w:tc>
          <w:tcPr>
            <w:tcW w:w="6189" w:type="dxa"/>
          </w:tcPr>
          <w:p w:rsidR="006C4C07" w:rsidRPr="004F2586" w:rsidRDefault="006C4C07" w:rsidP="00A874FE">
            <w:pPr>
              <w:pStyle w:val="TableTextEntries"/>
            </w:pPr>
            <w:r w:rsidRPr="004F2586">
              <w:t xml:space="preserve">Objective 1B: </w:t>
            </w:r>
            <w:r w:rsidRPr="004F2586">
              <w:rPr>
                <w:rFonts w:eastAsia="Calibri"/>
              </w:rPr>
              <w:t>Increased food and livelihood security for the rural poor through social protection and landmine clearance</w:t>
            </w:r>
          </w:p>
        </w:tc>
        <w:tc>
          <w:tcPr>
            <w:tcW w:w="1003" w:type="dxa"/>
            <w:vAlign w:val="bottom"/>
          </w:tcPr>
          <w:p w:rsidR="006C4C07" w:rsidRPr="004F2586" w:rsidRDefault="00C0704F" w:rsidP="00ED08E1">
            <w:pPr>
              <w:pStyle w:val="TableTextEntries"/>
              <w:jc w:val="center"/>
            </w:pPr>
            <w:r w:rsidRPr="004F2586">
              <w:t>2</w:t>
            </w:r>
            <w:r w:rsidR="006C4C07" w:rsidRPr="004F2586">
              <w:t>.00</w:t>
            </w:r>
          </w:p>
        </w:tc>
        <w:tc>
          <w:tcPr>
            <w:tcW w:w="1479" w:type="dxa"/>
            <w:vAlign w:val="bottom"/>
          </w:tcPr>
          <w:p w:rsidR="006C4C07" w:rsidRPr="004F2586" w:rsidRDefault="00B85CA3" w:rsidP="00ED08E1">
            <w:pPr>
              <w:pStyle w:val="TableTextEntries"/>
              <w:jc w:val="center"/>
            </w:pPr>
            <w:r w:rsidRPr="004F2586">
              <w:t>3.7</w:t>
            </w:r>
          </w:p>
        </w:tc>
      </w:tr>
      <w:tr w:rsidR="006C4C07" w:rsidRPr="00745FE3" w:rsidTr="004F2586">
        <w:trPr>
          <w:cantSplit/>
          <w:tblHeader w:val="0"/>
        </w:trPr>
        <w:tc>
          <w:tcPr>
            <w:tcW w:w="6189" w:type="dxa"/>
          </w:tcPr>
          <w:p w:rsidR="006C4C07" w:rsidRPr="00B21F27" w:rsidRDefault="006C4C07" w:rsidP="00A874FE">
            <w:pPr>
              <w:pStyle w:val="TableTextEntries"/>
            </w:pPr>
            <w:r w:rsidRPr="00B21F27">
              <w:t>Objective 2:</w:t>
            </w:r>
            <w:r>
              <w:t xml:space="preserve"> </w:t>
            </w:r>
            <w:r w:rsidRPr="00B21F27">
              <w:rPr>
                <w:rFonts w:eastAsia="Calibri"/>
              </w:rPr>
              <w:t>Increased access to quality health services through improved health management</w:t>
            </w:r>
          </w:p>
        </w:tc>
        <w:tc>
          <w:tcPr>
            <w:tcW w:w="1003" w:type="dxa"/>
            <w:vAlign w:val="bottom"/>
          </w:tcPr>
          <w:p w:rsidR="006C4C07" w:rsidRPr="008534AB" w:rsidRDefault="006C4C07" w:rsidP="00ED08E1">
            <w:pPr>
              <w:pStyle w:val="TableTextEntries"/>
              <w:jc w:val="center"/>
            </w:pPr>
            <w:r w:rsidRPr="008534AB">
              <w:t>15.97</w:t>
            </w:r>
          </w:p>
        </w:tc>
        <w:tc>
          <w:tcPr>
            <w:tcW w:w="1479" w:type="dxa"/>
            <w:vAlign w:val="bottom"/>
          </w:tcPr>
          <w:p w:rsidR="006C4C07" w:rsidRPr="008534AB" w:rsidRDefault="006C4C07" w:rsidP="00ED08E1">
            <w:pPr>
              <w:pStyle w:val="TableTextEntries"/>
              <w:jc w:val="center"/>
            </w:pPr>
            <w:r w:rsidRPr="008534AB">
              <w:t>29.5</w:t>
            </w:r>
          </w:p>
        </w:tc>
      </w:tr>
      <w:tr w:rsidR="006C4C07" w:rsidRPr="00745FE3" w:rsidTr="004F2586">
        <w:trPr>
          <w:cnfStyle w:val="000000010000" w:firstRow="0" w:lastRow="0" w:firstColumn="0" w:lastColumn="0" w:oddVBand="0" w:evenVBand="0" w:oddHBand="0" w:evenHBand="1" w:firstRowFirstColumn="0" w:firstRowLastColumn="0" w:lastRowFirstColumn="0" w:lastRowLastColumn="0"/>
          <w:cantSplit/>
          <w:tblHeader w:val="0"/>
        </w:trPr>
        <w:tc>
          <w:tcPr>
            <w:tcW w:w="6189" w:type="dxa"/>
          </w:tcPr>
          <w:p w:rsidR="006C4C07" w:rsidRPr="00B21F27" w:rsidRDefault="006C4C07" w:rsidP="00A874FE">
            <w:pPr>
              <w:pStyle w:val="TableTextEntries"/>
            </w:pPr>
            <w:r w:rsidRPr="00B21F27">
              <w:t>Objective 3:</w:t>
            </w:r>
            <w:r>
              <w:t xml:space="preserve"> </w:t>
            </w:r>
            <w:r w:rsidRPr="00B21F27">
              <w:rPr>
                <w:rFonts w:eastAsia="Calibri"/>
              </w:rPr>
              <w:t>Improved transport and energy infrastructure</w:t>
            </w:r>
          </w:p>
        </w:tc>
        <w:tc>
          <w:tcPr>
            <w:tcW w:w="1003" w:type="dxa"/>
            <w:vAlign w:val="bottom"/>
          </w:tcPr>
          <w:p w:rsidR="006C4C07" w:rsidRPr="008534AB" w:rsidRDefault="006C4C07" w:rsidP="00ED08E1">
            <w:pPr>
              <w:pStyle w:val="TableTextEntries"/>
              <w:jc w:val="center"/>
            </w:pPr>
            <w:r w:rsidRPr="008534AB">
              <w:t>10.44</w:t>
            </w:r>
          </w:p>
        </w:tc>
        <w:tc>
          <w:tcPr>
            <w:tcW w:w="1479" w:type="dxa"/>
            <w:vAlign w:val="bottom"/>
          </w:tcPr>
          <w:p w:rsidR="006C4C07" w:rsidRPr="008534AB" w:rsidRDefault="006C4C07" w:rsidP="00ED08E1">
            <w:pPr>
              <w:pStyle w:val="TableTextEntries"/>
              <w:jc w:val="center"/>
            </w:pPr>
            <w:r w:rsidRPr="008534AB">
              <w:t>19.3</w:t>
            </w:r>
          </w:p>
        </w:tc>
      </w:tr>
      <w:tr w:rsidR="006C4C07" w:rsidRPr="00745FE3" w:rsidTr="004F2586">
        <w:trPr>
          <w:cantSplit/>
          <w:tblHeader w:val="0"/>
        </w:trPr>
        <w:tc>
          <w:tcPr>
            <w:tcW w:w="6189" w:type="dxa"/>
          </w:tcPr>
          <w:p w:rsidR="006C4C07" w:rsidRPr="00B21F27" w:rsidRDefault="006C4C07" w:rsidP="00A874FE">
            <w:pPr>
              <w:pStyle w:val="TableTextEntries"/>
            </w:pPr>
            <w:r w:rsidRPr="00B21F27">
              <w:t>Objective 4:</w:t>
            </w:r>
            <w:r>
              <w:t xml:space="preserve"> </w:t>
            </w:r>
            <w:r w:rsidRPr="00B21F27">
              <w:rPr>
                <w:rFonts w:eastAsia="Calibri"/>
              </w:rPr>
              <w:t>Women, youth and children are safer and communities have less crime, a more effective non-custodial sentencing system, strengthened evidence-based performance management</w:t>
            </w:r>
          </w:p>
        </w:tc>
        <w:tc>
          <w:tcPr>
            <w:tcW w:w="1003" w:type="dxa"/>
            <w:vAlign w:val="bottom"/>
          </w:tcPr>
          <w:p w:rsidR="006C4C07" w:rsidRPr="008534AB" w:rsidRDefault="006C4C07" w:rsidP="00ED08E1">
            <w:pPr>
              <w:pStyle w:val="TableTextEntries"/>
              <w:jc w:val="center"/>
            </w:pPr>
            <w:r w:rsidRPr="008534AB">
              <w:t>10.12</w:t>
            </w:r>
          </w:p>
        </w:tc>
        <w:tc>
          <w:tcPr>
            <w:tcW w:w="1479" w:type="dxa"/>
            <w:vAlign w:val="bottom"/>
          </w:tcPr>
          <w:p w:rsidR="006C4C07" w:rsidRPr="008534AB" w:rsidRDefault="006C4C07" w:rsidP="00ED08E1">
            <w:pPr>
              <w:pStyle w:val="TableTextEntries"/>
              <w:jc w:val="center"/>
            </w:pPr>
            <w:r w:rsidRPr="008534AB">
              <w:t>18.7</w:t>
            </w:r>
          </w:p>
        </w:tc>
      </w:tr>
      <w:tr w:rsidR="006C4C07" w:rsidRPr="00745FE3" w:rsidTr="004F2586">
        <w:trPr>
          <w:cnfStyle w:val="000000010000" w:firstRow="0" w:lastRow="0" w:firstColumn="0" w:lastColumn="0" w:oddVBand="0" w:evenVBand="0" w:oddHBand="0" w:evenHBand="1" w:firstRowFirstColumn="0" w:firstRowLastColumn="0" w:lastRowFirstColumn="0" w:lastRowLastColumn="0"/>
          <w:cantSplit/>
          <w:tblHeader w:val="0"/>
        </w:trPr>
        <w:tc>
          <w:tcPr>
            <w:tcW w:w="6189" w:type="dxa"/>
          </w:tcPr>
          <w:p w:rsidR="006C4C07" w:rsidRPr="00B21F27" w:rsidRDefault="006C4C07" w:rsidP="00A874FE">
            <w:pPr>
              <w:pStyle w:val="TableTextEntries"/>
            </w:pPr>
            <w:r w:rsidRPr="00B21F27">
              <w:lastRenderedPageBreak/>
              <w:t>Other (cross-cutting themes)</w:t>
            </w:r>
          </w:p>
        </w:tc>
        <w:tc>
          <w:tcPr>
            <w:tcW w:w="1003" w:type="dxa"/>
            <w:vAlign w:val="bottom"/>
          </w:tcPr>
          <w:p w:rsidR="006C4C07" w:rsidRPr="008534AB" w:rsidRDefault="006C4C07" w:rsidP="00ED08E1">
            <w:pPr>
              <w:pStyle w:val="TableTextEntries"/>
              <w:jc w:val="center"/>
            </w:pPr>
            <w:r w:rsidRPr="008534AB">
              <w:t>5.74</w:t>
            </w:r>
          </w:p>
        </w:tc>
        <w:tc>
          <w:tcPr>
            <w:tcW w:w="1479" w:type="dxa"/>
            <w:vAlign w:val="bottom"/>
          </w:tcPr>
          <w:p w:rsidR="006C4C07" w:rsidRPr="008534AB" w:rsidRDefault="006C4C07" w:rsidP="00B85CA3">
            <w:pPr>
              <w:pStyle w:val="TableTextEntries"/>
              <w:jc w:val="center"/>
            </w:pPr>
            <w:r w:rsidRPr="008534AB">
              <w:t>10.</w:t>
            </w:r>
            <w:r w:rsidR="00B85CA3">
              <w:t>7</w:t>
            </w:r>
          </w:p>
        </w:tc>
      </w:tr>
      <w:tr w:rsidR="006C4C07" w:rsidRPr="00745FE3" w:rsidTr="004F2586">
        <w:trPr>
          <w:cantSplit/>
          <w:tblHeader w:val="0"/>
        </w:trPr>
        <w:tc>
          <w:tcPr>
            <w:tcW w:w="6189" w:type="dxa"/>
          </w:tcPr>
          <w:p w:rsidR="006C4C07" w:rsidRPr="00B21F27" w:rsidRDefault="006C4C07" w:rsidP="00A874FE">
            <w:pPr>
              <w:pStyle w:val="TableTextEntries"/>
              <w:tabs>
                <w:tab w:val="left" w:pos="1141"/>
              </w:tabs>
            </w:pPr>
            <w:r w:rsidRPr="00B21F27">
              <w:t>Total</w:t>
            </w:r>
            <w:r>
              <w:tab/>
            </w:r>
          </w:p>
        </w:tc>
        <w:tc>
          <w:tcPr>
            <w:tcW w:w="1003" w:type="dxa"/>
            <w:vAlign w:val="bottom"/>
          </w:tcPr>
          <w:p w:rsidR="006C4C07" w:rsidRPr="008534AB" w:rsidRDefault="006C4C07" w:rsidP="00ED08E1">
            <w:pPr>
              <w:pStyle w:val="TableTextEntries"/>
              <w:jc w:val="center"/>
              <w:rPr>
                <w:b/>
                <w:bCs/>
              </w:rPr>
            </w:pPr>
            <w:r w:rsidRPr="008534AB">
              <w:rPr>
                <w:b/>
                <w:bCs/>
              </w:rPr>
              <w:t>54.08</w:t>
            </w:r>
          </w:p>
        </w:tc>
        <w:tc>
          <w:tcPr>
            <w:tcW w:w="1479" w:type="dxa"/>
            <w:vAlign w:val="bottom"/>
          </w:tcPr>
          <w:p w:rsidR="006C4C07" w:rsidRPr="008534AB" w:rsidRDefault="006C4C07" w:rsidP="00ED08E1">
            <w:pPr>
              <w:pStyle w:val="TableTextEntries"/>
              <w:jc w:val="center"/>
              <w:rPr>
                <w:b/>
                <w:bCs/>
              </w:rPr>
            </w:pPr>
            <w:r w:rsidRPr="008534AB">
              <w:rPr>
                <w:b/>
                <w:bCs/>
              </w:rPr>
              <w:t>100</w:t>
            </w:r>
          </w:p>
        </w:tc>
      </w:tr>
    </w:tbl>
    <w:p w:rsidR="00A874FE" w:rsidRPr="00745FE3" w:rsidRDefault="00A874FE" w:rsidP="00782500">
      <w:pPr>
        <w:pStyle w:val="Note"/>
      </w:pPr>
      <w:r w:rsidRPr="00745FE3">
        <w:t>Source: Aid</w:t>
      </w:r>
      <w:r>
        <w:t>W</w:t>
      </w:r>
      <w:r w:rsidRPr="00745FE3">
        <w:t xml:space="preserve">orks – </w:t>
      </w:r>
      <w:r>
        <w:t>DFAT</w:t>
      </w:r>
      <w:r w:rsidRPr="00745FE3">
        <w:t>’s internal financial monitoring system.</w:t>
      </w:r>
    </w:p>
    <w:p w:rsidR="000D733F" w:rsidRPr="00757BAA" w:rsidRDefault="000D733F" w:rsidP="000D733F">
      <w:pPr>
        <w:pStyle w:val="Heading3"/>
        <w:rPr>
          <w:rStyle w:val="BodyTextChar"/>
          <w:b w:val="0"/>
          <w:color w:val="auto"/>
        </w:rPr>
      </w:pPr>
      <w:bookmarkStart w:id="2" w:name="_Toc373853206"/>
      <w:r w:rsidRPr="009E38C1">
        <w:rPr>
          <w:b w:val="0"/>
          <w:color w:val="007FAD"/>
          <w:sz w:val="28"/>
          <w:szCs w:val="28"/>
          <w:lang w:eastAsia="en-AU"/>
        </w:rPr>
        <w:t>Progress towards objectives</w:t>
      </w:r>
      <w:r>
        <w:rPr>
          <w:sz w:val="32"/>
          <w:szCs w:val="32"/>
        </w:rPr>
        <w:tab/>
      </w:r>
    </w:p>
    <w:p w:rsidR="00A874FE" w:rsidRPr="00745FE3" w:rsidRDefault="00A874FE" w:rsidP="00A874FE">
      <w:pPr>
        <w:pStyle w:val="BodyText"/>
        <w:rPr>
          <w:szCs w:val="22"/>
        </w:rPr>
      </w:pPr>
      <w:r>
        <w:rPr>
          <w:szCs w:val="22"/>
        </w:rPr>
        <w:t>In 2013-14,</w:t>
      </w:r>
      <w:r w:rsidRPr="00745FE3">
        <w:rPr>
          <w:szCs w:val="22"/>
        </w:rPr>
        <w:t xml:space="preserve"> </w:t>
      </w:r>
      <w:r w:rsidR="00B725EB">
        <w:rPr>
          <w:szCs w:val="22"/>
        </w:rPr>
        <w:t xml:space="preserve">the </w:t>
      </w:r>
      <w:r w:rsidRPr="00745FE3">
        <w:rPr>
          <w:szCs w:val="22"/>
        </w:rPr>
        <w:t>agriculture</w:t>
      </w:r>
      <w:r w:rsidR="00B725EB">
        <w:rPr>
          <w:szCs w:val="22"/>
        </w:rPr>
        <w:t>,</w:t>
      </w:r>
      <w:r w:rsidRPr="00745FE3">
        <w:rPr>
          <w:szCs w:val="22"/>
        </w:rPr>
        <w:t xml:space="preserve"> rural development,</w:t>
      </w:r>
      <w:r w:rsidR="00DB2217">
        <w:rPr>
          <w:szCs w:val="22"/>
        </w:rPr>
        <w:t xml:space="preserve"> and</w:t>
      </w:r>
      <w:r w:rsidRPr="00745FE3">
        <w:rPr>
          <w:szCs w:val="22"/>
        </w:rPr>
        <w:t xml:space="preserve"> health</w:t>
      </w:r>
      <w:r>
        <w:rPr>
          <w:szCs w:val="22"/>
        </w:rPr>
        <w:t xml:space="preserve"> </w:t>
      </w:r>
      <w:r w:rsidR="00B725EB">
        <w:rPr>
          <w:szCs w:val="22"/>
        </w:rPr>
        <w:t xml:space="preserve">programs </w:t>
      </w:r>
      <w:r w:rsidRPr="00745FE3">
        <w:rPr>
          <w:szCs w:val="22"/>
        </w:rPr>
        <w:t xml:space="preserve">confirmed that </w:t>
      </w:r>
      <w:r w:rsidR="00DB2217">
        <w:rPr>
          <w:szCs w:val="22"/>
        </w:rPr>
        <w:t xml:space="preserve">their </w:t>
      </w:r>
      <w:r w:rsidRPr="00745FE3">
        <w:rPr>
          <w:szCs w:val="22"/>
        </w:rPr>
        <w:t>strateg</w:t>
      </w:r>
      <w:r w:rsidR="00B725EB">
        <w:rPr>
          <w:szCs w:val="22"/>
        </w:rPr>
        <w:t>ic</w:t>
      </w:r>
      <w:r w:rsidRPr="00745FE3">
        <w:rPr>
          <w:szCs w:val="22"/>
        </w:rPr>
        <w:t xml:space="preserve"> objectives would be fully achieved by 2015</w:t>
      </w:r>
      <w:r>
        <w:rPr>
          <w:szCs w:val="22"/>
        </w:rPr>
        <w:t>. I</w:t>
      </w:r>
      <w:r w:rsidRPr="00745FE3">
        <w:rPr>
          <w:szCs w:val="22"/>
        </w:rPr>
        <w:t>nfrastructure</w:t>
      </w:r>
      <w:r>
        <w:rPr>
          <w:szCs w:val="22"/>
        </w:rPr>
        <w:t>, and law and justice howev</w:t>
      </w:r>
      <w:r w:rsidR="0052509F">
        <w:rPr>
          <w:szCs w:val="22"/>
        </w:rPr>
        <w:t>er,</w:t>
      </w:r>
      <w:r>
        <w:rPr>
          <w:szCs w:val="22"/>
        </w:rPr>
        <w:t xml:space="preserve"> are </w:t>
      </w:r>
      <w:r w:rsidRPr="00745FE3">
        <w:rPr>
          <w:szCs w:val="22"/>
        </w:rPr>
        <w:t>expected to</w:t>
      </w:r>
      <w:r w:rsidR="009179DD">
        <w:rPr>
          <w:szCs w:val="22"/>
        </w:rPr>
        <w:t xml:space="preserve"> meet some but not all of their </w:t>
      </w:r>
      <w:r w:rsidRPr="00745FE3">
        <w:rPr>
          <w:szCs w:val="22"/>
        </w:rPr>
        <w:t>objective</w:t>
      </w:r>
      <w:r>
        <w:rPr>
          <w:szCs w:val="22"/>
        </w:rPr>
        <w:t>s</w:t>
      </w:r>
      <w:r w:rsidR="00877F92">
        <w:rPr>
          <w:szCs w:val="22"/>
        </w:rPr>
        <w:t>.</w:t>
      </w:r>
    </w:p>
    <w:p w:rsidR="00A874FE" w:rsidRPr="00745FE3" w:rsidRDefault="00A874FE" w:rsidP="00A874FE">
      <w:pPr>
        <w:pStyle w:val="Caption"/>
      </w:pPr>
      <w:r w:rsidRPr="00745FE3">
        <w:t>Table</w:t>
      </w:r>
      <w:r w:rsidR="001A4DC4">
        <w:t xml:space="preserve"> </w:t>
      </w:r>
      <w:r w:rsidR="00054549">
        <w:t>2</w:t>
      </w:r>
      <w:r>
        <w:rPr>
          <w:noProof/>
        </w:rPr>
        <w:t>:</w:t>
      </w:r>
      <w:r w:rsidRPr="00745FE3">
        <w:t xml:space="preserve"> </w:t>
      </w:r>
      <w:r>
        <w:t>Rating of the program's progress towards Australia’s aid objectives</w:t>
      </w:r>
    </w:p>
    <w:tbl>
      <w:tblPr>
        <w:tblStyle w:val="APPR"/>
        <w:tblW w:w="4364" w:type="pct"/>
        <w:tblLook w:val="0000" w:firstRow="0" w:lastRow="0" w:firstColumn="0" w:lastColumn="0" w:noHBand="0" w:noVBand="0"/>
      </w:tblPr>
      <w:tblGrid>
        <w:gridCol w:w="5480"/>
        <w:gridCol w:w="1178"/>
        <w:gridCol w:w="1003"/>
      </w:tblGrid>
      <w:tr w:rsidR="00A874FE" w:rsidRPr="00745FE3" w:rsidTr="00A874FE">
        <w:trPr>
          <w:cantSplit/>
          <w:tblHeader w:val="0"/>
        </w:trPr>
        <w:tc>
          <w:tcPr>
            <w:tcW w:w="5438" w:type="dxa"/>
          </w:tcPr>
          <w:p w:rsidR="00A874FE" w:rsidRPr="00B21F27" w:rsidRDefault="00A874FE" w:rsidP="00A874FE">
            <w:pPr>
              <w:pStyle w:val="TableTextColumnHeading"/>
            </w:pPr>
            <w:r w:rsidRPr="00B21F27">
              <w:rPr>
                <w:noProof/>
                <w:lang w:eastAsia="en-AU"/>
              </w:rPr>
              <w:drawing>
                <wp:anchor distT="0" distB="0" distL="114300" distR="114300" simplePos="0" relativeHeight="251671552" behindDoc="0" locked="0" layoutInCell="1" allowOverlap="1" wp14:anchorId="77FFEBDF" wp14:editId="3008CBA4">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F27">
              <w:t>Objective</w:t>
            </w:r>
          </w:p>
        </w:tc>
        <w:tc>
          <w:tcPr>
            <w:tcW w:w="1150" w:type="dxa"/>
          </w:tcPr>
          <w:p w:rsidR="00A874FE" w:rsidRPr="00B21F27" w:rsidRDefault="00A874FE" w:rsidP="00A874FE">
            <w:pPr>
              <w:pStyle w:val="TableTextColumnHeading"/>
            </w:pPr>
            <w:r w:rsidRPr="00B21F27">
              <w:t>Previous rating</w:t>
            </w:r>
          </w:p>
        </w:tc>
        <w:tc>
          <w:tcPr>
            <w:tcW w:w="961" w:type="dxa"/>
          </w:tcPr>
          <w:p w:rsidR="00A874FE" w:rsidRPr="00B21F27" w:rsidRDefault="00A874FE" w:rsidP="00A874FE">
            <w:pPr>
              <w:pStyle w:val="TableTextColumnHeading"/>
            </w:pPr>
            <w:r w:rsidRPr="00B21F27">
              <w:t>Current rating</w:t>
            </w:r>
          </w:p>
        </w:tc>
      </w:tr>
      <w:tr w:rsidR="00A874FE" w:rsidRPr="00745FE3" w:rsidTr="00A874FE">
        <w:trPr>
          <w:cnfStyle w:val="000000010000" w:firstRow="0" w:lastRow="0" w:firstColumn="0" w:lastColumn="0" w:oddVBand="0" w:evenVBand="0" w:oddHBand="0" w:evenHBand="1" w:firstRowFirstColumn="0" w:firstRowLastColumn="0" w:lastRowFirstColumn="0" w:lastRowLastColumn="0"/>
          <w:cantSplit/>
          <w:tblHeader w:val="0"/>
        </w:trPr>
        <w:tc>
          <w:tcPr>
            <w:tcW w:w="5438" w:type="dxa"/>
          </w:tcPr>
          <w:p w:rsidR="00A874FE" w:rsidRPr="00B21F27" w:rsidRDefault="00A874FE" w:rsidP="00A874FE">
            <w:pPr>
              <w:pStyle w:val="TableTextEntries"/>
            </w:pPr>
            <w:r w:rsidRPr="00B21F27">
              <w:t xml:space="preserve">Objective 1A: </w:t>
            </w:r>
            <w:r w:rsidRPr="00B21F27">
              <w:rPr>
                <w:rFonts w:eastAsia="Calibri"/>
              </w:rPr>
              <w:t>Increased value of agricultural production and smallholder income in targeted provinces</w:t>
            </w:r>
          </w:p>
        </w:tc>
        <w:tc>
          <w:tcPr>
            <w:tcW w:w="1150" w:type="dxa"/>
            <w:shd w:val="clear" w:color="auto" w:fill="92D050"/>
            <w:noWrap/>
          </w:tcPr>
          <w:p w:rsidR="00A874FE" w:rsidRPr="00B21F27" w:rsidRDefault="00A874FE" w:rsidP="00A874FE">
            <w:pPr>
              <w:pStyle w:val="TableTextEntries"/>
            </w:pPr>
            <w:r w:rsidRPr="00B21F27">
              <w:t>Green</w:t>
            </w:r>
          </w:p>
        </w:tc>
        <w:tc>
          <w:tcPr>
            <w:tcW w:w="961" w:type="dxa"/>
            <w:shd w:val="clear" w:color="auto" w:fill="92D050"/>
          </w:tcPr>
          <w:p w:rsidR="00A874FE" w:rsidRPr="00B21F27" w:rsidRDefault="00A874FE" w:rsidP="00A874FE">
            <w:pPr>
              <w:pStyle w:val="TableTextEntries"/>
            </w:pPr>
            <w:r>
              <w:t>Green</w:t>
            </w:r>
          </w:p>
        </w:tc>
      </w:tr>
      <w:tr w:rsidR="00A874FE" w:rsidRPr="00745FE3" w:rsidTr="00A874FE">
        <w:trPr>
          <w:cantSplit/>
          <w:tblHeader w:val="0"/>
        </w:trPr>
        <w:tc>
          <w:tcPr>
            <w:tcW w:w="5438" w:type="dxa"/>
          </w:tcPr>
          <w:p w:rsidR="00A874FE" w:rsidRPr="00B21F27" w:rsidRDefault="00A874FE" w:rsidP="00A874FE">
            <w:pPr>
              <w:pStyle w:val="TableTextEntries"/>
            </w:pPr>
            <w:r w:rsidRPr="00B21F27">
              <w:t xml:space="preserve">Objective 1B: </w:t>
            </w:r>
            <w:r w:rsidRPr="00B21F27">
              <w:rPr>
                <w:rFonts w:eastAsia="Calibri"/>
              </w:rPr>
              <w:t>Increased food and livelihood security for the rural poor through social protection and landmine clearance</w:t>
            </w:r>
          </w:p>
        </w:tc>
        <w:tc>
          <w:tcPr>
            <w:tcW w:w="1150" w:type="dxa"/>
            <w:tcBorders>
              <w:top w:val="nil"/>
              <w:bottom w:val="nil"/>
            </w:tcBorders>
            <w:shd w:val="clear" w:color="auto" w:fill="92D050"/>
            <w:noWrap/>
          </w:tcPr>
          <w:p w:rsidR="00A874FE" w:rsidRPr="00B21F27" w:rsidRDefault="00A874FE" w:rsidP="00A874FE">
            <w:pPr>
              <w:pStyle w:val="TableTextEntries"/>
            </w:pPr>
            <w:r w:rsidRPr="00B21F27">
              <w:t>Green</w:t>
            </w:r>
          </w:p>
        </w:tc>
        <w:tc>
          <w:tcPr>
            <w:tcW w:w="961" w:type="dxa"/>
            <w:tcBorders>
              <w:top w:val="nil"/>
              <w:bottom w:val="nil"/>
            </w:tcBorders>
            <w:shd w:val="clear" w:color="auto" w:fill="92D050"/>
          </w:tcPr>
          <w:p w:rsidR="00A874FE" w:rsidRPr="00B21F27" w:rsidRDefault="00A874FE" w:rsidP="00A874FE">
            <w:pPr>
              <w:pStyle w:val="TableTextEntries"/>
            </w:pPr>
            <w:r>
              <w:t>Green</w:t>
            </w:r>
          </w:p>
        </w:tc>
      </w:tr>
      <w:tr w:rsidR="00A874FE" w:rsidRPr="00745FE3" w:rsidTr="00A874FE">
        <w:trPr>
          <w:cnfStyle w:val="000000010000" w:firstRow="0" w:lastRow="0" w:firstColumn="0" w:lastColumn="0" w:oddVBand="0" w:evenVBand="0" w:oddHBand="0" w:evenHBand="1" w:firstRowFirstColumn="0" w:firstRowLastColumn="0" w:lastRowFirstColumn="0" w:lastRowLastColumn="0"/>
          <w:cantSplit/>
          <w:tblHeader w:val="0"/>
        </w:trPr>
        <w:tc>
          <w:tcPr>
            <w:tcW w:w="5438" w:type="dxa"/>
          </w:tcPr>
          <w:p w:rsidR="00A874FE" w:rsidRPr="00B21F27" w:rsidRDefault="00A874FE" w:rsidP="00A874FE">
            <w:pPr>
              <w:pStyle w:val="TableTextEntries"/>
            </w:pPr>
            <w:r w:rsidRPr="00B21F27">
              <w:t>Objective 2:</w:t>
            </w:r>
            <w:r>
              <w:t xml:space="preserve"> </w:t>
            </w:r>
            <w:r w:rsidRPr="00B21F27">
              <w:rPr>
                <w:rFonts w:eastAsia="Calibri"/>
              </w:rPr>
              <w:t>Increased access to quality health services through improved health management</w:t>
            </w:r>
          </w:p>
        </w:tc>
        <w:tc>
          <w:tcPr>
            <w:tcW w:w="1150" w:type="dxa"/>
            <w:shd w:val="clear" w:color="auto" w:fill="92D050"/>
            <w:noWrap/>
          </w:tcPr>
          <w:p w:rsidR="00A874FE" w:rsidRPr="00B21F27" w:rsidRDefault="00A874FE" w:rsidP="00A874FE">
            <w:pPr>
              <w:pStyle w:val="TableTextEntries"/>
            </w:pPr>
            <w:r w:rsidRPr="00B21F27">
              <w:t>Green</w:t>
            </w:r>
          </w:p>
        </w:tc>
        <w:tc>
          <w:tcPr>
            <w:tcW w:w="961" w:type="dxa"/>
            <w:shd w:val="clear" w:color="auto" w:fill="92D050"/>
          </w:tcPr>
          <w:p w:rsidR="00A874FE" w:rsidRPr="00B21F27" w:rsidRDefault="00A874FE" w:rsidP="00A874FE">
            <w:pPr>
              <w:pStyle w:val="TableTextEntries"/>
            </w:pPr>
            <w:r>
              <w:t>Green</w:t>
            </w:r>
          </w:p>
        </w:tc>
      </w:tr>
      <w:tr w:rsidR="00A874FE" w:rsidRPr="00745FE3" w:rsidTr="00A874FE">
        <w:trPr>
          <w:cantSplit/>
          <w:tblHeader w:val="0"/>
        </w:trPr>
        <w:tc>
          <w:tcPr>
            <w:tcW w:w="5438" w:type="dxa"/>
          </w:tcPr>
          <w:p w:rsidR="00A874FE" w:rsidRPr="00B21F27" w:rsidRDefault="00A874FE" w:rsidP="00A874FE">
            <w:pPr>
              <w:pStyle w:val="TableTextEntries"/>
            </w:pPr>
            <w:r w:rsidRPr="00B21F27">
              <w:t>Objective 3:</w:t>
            </w:r>
            <w:r>
              <w:t xml:space="preserve"> </w:t>
            </w:r>
            <w:r w:rsidRPr="00B21F27">
              <w:rPr>
                <w:rFonts w:eastAsia="Calibri"/>
              </w:rPr>
              <w:t>Improved transport and energy infrastructure</w:t>
            </w:r>
          </w:p>
        </w:tc>
        <w:tc>
          <w:tcPr>
            <w:tcW w:w="1150" w:type="dxa"/>
            <w:tcBorders>
              <w:top w:val="nil"/>
              <w:bottom w:val="nil"/>
            </w:tcBorders>
            <w:shd w:val="clear" w:color="auto" w:fill="F79646" w:themeFill="accent6"/>
            <w:noWrap/>
          </w:tcPr>
          <w:p w:rsidR="00A874FE" w:rsidRPr="00413B19" w:rsidRDefault="00A874FE" w:rsidP="00A874FE">
            <w:pPr>
              <w:pStyle w:val="TableTextEntries"/>
              <w:rPr>
                <w:color w:val="FF0000"/>
              </w:rPr>
            </w:pPr>
            <w:r w:rsidRPr="00413B19">
              <w:rPr>
                <w:color w:val="000000" w:themeColor="text1"/>
              </w:rPr>
              <w:t>Amber</w:t>
            </w:r>
          </w:p>
        </w:tc>
        <w:tc>
          <w:tcPr>
            <w:tcW w:w="961" w:type="dxa"/>
            <w:tcBorders>
              <w:top w:val="nil"/>
              <w:bottom w:val="nil"/>
            </w:tcBorders>
            <w:shd w:val="clear" w:color="auto" w:fill="F79646" w:themeFill="accent6"/>
          </w:tcPr>
          <w:p w:rsidR="00A874FE" w:rsidRPr="00413B19" w:rsidRDefault="00A874FE" w:rsidP="001A4DC4">
            <w:pPr>
              <w:pStyle w:val="TableTextEntries"/>
              <w:rPr>
                <w:color w:val="FF0000"/>
              </w:rPr>
            </w:pPr>
            <w:r w:rsidRPr="00C14A64">
              <w:t>Amber</w:t>
            </w:r>
          </w:p>
        </w:tc>
      </w:tr>
      <w:tr w:rsidR="00A874FE" w:rsidRPr="00745FE3" w:rsidTr="00A874FE">
        <w:trPr>
          <w:cnfStyle w:val="000000010000" w:firstRow="0" w:lastRow="0" w:firstColumn="0" w:lastColumn="0" w:oddVBand="0" w:evenVBand="0" w:oddHBand="0" w:evenHBand="1" w:firstRowFirstColumn="0" w:firstRowLastColumn="0" w:lastRowFirstColumn="0" w:lastRowLastColumn="0"/>
          <w:cantSplit/>
          <w:tblHeader w:val="0"/>
        </w:trPr>
        <w:tc>
          <w:tcPr>
            <w:tcW w:w="5438" w:type="dxa"/>
          </w:tcPr>
          <w:p w:rsidR="00A874FE" w:rsidRPr="00B21F27" w:rsidRDefault="00A874FE" w:rsidP="00A874FE">
            <w:pPr>
              <w:pStyle w:val="TableTextEntries"/>
            </w:pPr>
            <w:r w:rsidRPr="00B21F27">
              <w:rPr>
                <w:rFonts w:eastAsia="Calibri"/>
              </w:rPr>
              <w:t>Objective 4:</w:t>
            </w:r>
            <w:r>
              <w:rPr>
                <w:rFonts w:eastAsia="Calibri"/>
              </w:rPr>
              <w:t xml:space="preserve"> </w:t>
            </w:r>
            <w:r w:rsidRPr="00B21F27">
              <w:rPr>
                <w:rFonts w:eastAsia="Calibri"/>
              </w:rPr>
              <w:t>Women, youth and children are safer and communities have less crime, a more effective non-custodial sentencing system, strengthened evidence-based performance management</w:t>
            </w:r>
          </w:p>
        </w:tc>
        <w:tc>
          <w:tcPr>
            <w:tcW w:w="1150" w:type="dxa"/>
            <w:tcBorders>
              <w:bottom w:val="single" w:sz="12" w:space="0" w:color="000000" w:themeColor="text1"/>
            </w:tcBorders>
            <w:shd w:val="clear" w:color="auto" w:fill="F79646" w:themeFill="accent6"/>
            <w:noWrap/>
          </w:tcPr>
          <w:p w:rsidR="00A874FE" w:rsidRPr="00B21F27" w:rsidRDefault="00A874FE" w:rsidP="00A874FE">
            <w:pPr>
              <w:pStyle w:val="TableTextEntries"/>
            </w:pPr>
            <w:r>
              <w:t>Amber</w:t>
            </w:r>
          </w:p>
        </w:tc>
        <w:tc>
          <w:tcPr>
            <w:tcW w:w="961" w:type="dxa"/>
            <w:tcBorders>
              <w:bottom w:val="single" w:sz="12" w:space="0" w:color="000000" w:themeColor="text1"/>
            </w:tcBorders>
            <w:shd w:val="clear" w:color="auto" w:fill="F79646" w:themeFill="accent6"/>
          </w:tcPr>
          <w:p w:rsidR="00A874FE" w:rsidRPr="00B21F27" w:rsidRDefault="00A874FE" w:rsidP="00A874FE">
            <w:pPr>
              <w:pStyle w:val="TableTextEntries"/>
            </w:pPr>
            <w:r>
              <w:t>Amber</w:t>
            </w:r>
          </w:p>
        </w:tc>
      </w:tr>
    </w:tbl>
    <w:p w:rsidR="000D733F" w:rsidRPr="00180B19" w:rsidRDefault="000D733F" w:rsidP="00782500">
      <w:pPr>
        <w:pStyle w:val="Note"/>
      </w:pPr>
      <w:r w:rsidRPr="00180B19">
        <w:t xml:space="preserve">Note: </w:t>
      </w:r>
    </w:p>
    <w:p w:rsidR="000D733F" w:rsidRPr="00180B19" w:rsidRDefault="000D733F" w:rsidP="00782500">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782500">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782500">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for this point in time and the objective is not likely to be met given available resources and priorities. Recasting the objective may be required. </w:t>
      </w:r>
    </w:p>
    <w:p w:rsidR="006F5125" w:rsidRPr="00661ADA" w:rsidRDefault="006F5125" w:rsidP="009F749F">
      <w:pPr>
        <w:pStyle w:val="Heading3"/>
      </w:pPr>
      <w:r w:rsidRPr="00BF2045">
        <w:t>Objective 1a: Increased value of agricultural production and smallholder income in targeted provinces</w:t>
      </w:r>
    </w:p>
    <w:tbl>
      <w:tblPr>
        <w:tblStyle w:val="APPR"/>
        <w:tblW w:w="5000" w:type="pct"/>
        <w:tblLook w:val="01E0" w:firstRow="1" w:lastRow="1" w:firstColumn="1" w:lastColumn="1" w:noHBand="0" w:noVBand="0"/>
      </w:tblPr>
      <w:tblGrid>
        <w:gridCol w:w="7031"/>
        <w:gridCol w:w="1746"/>
      </w:tblGrid>
      <w:tr w:rsidR="006F5125" w:rsidRPr="00745FE3" w:rsidTr="000B314C">
        <w:trPr>
          <w:cnfStyle w:val="100000000000" w:firstRow="1" w:lastRow="0" w:firstColumn="0" w:lastColumn="0" w:oddVBand="0" w:evenVBand="0" w:oddHBand="0" w:evenHBand="0" w:firstRowFirstColumn="0" w:firstRowLastColumn="0" w:lastRowFirstColumn="0" w:lastRowLastColumn="0"/>
        </w:trPr>
        <w:tc>
          <w:tcPr>
            <w:tcW w:w="3981" w:type="pct"/>
          </w:tcPr>
          <w:p w:rsidR="006F5125" w:rsidRPr="00A51634" w:rsidRDefault="0086083F" w:rsidP="006F5125">
            <w:pPr>
              <w:pStyle w:val="TableTextEntries"/>
              <w:rPr>
                <w:rFonts w:eastAsia="Calibri"/>
              </w:rPr>
            </w:pPr>
            <w:r w:rsidRPr="00A51634">
              <w:rPr>
                <w:rFonts w:eastAsia="Calibri"/>
              </w:rPr>
              <w:t xml:space="preserve">Development outcome: </w:t>
            </w:r>
            <w:r w:rsidR="006F5125" w:rsidRPr="00A51634">
              <w:rPr>
                <w:rFonts w:eastAsia="Calibri"/>
              </w:rPr>
              <w:t>Increased value of agricultural production and smallholder income in targeted provinces.</w:t>
            </w:r>
          </w:p>
        </w:tc>
        <w:tc>
          <w:tcPr>
            <w:tcW w:w="971" w:type="pct"/>
            <w:shd w:val="clear" w:color="auto" w:fill="92D050"/>
          </w:tcPr>
          <w:p w:rsidR="006F5125" w:rsidRPr="00A51634" w:rsidRDefault="006F5125" w:rsidP="006F5125">
            <w:pPr>
              <w:pStyle w:val="TableTextEntries"/>
              <w:jc w:val="center"/>
              <w:rPr>
                <w:rFonts w:eastAsia="Calibri"/>
              </w:rPr>
            </w:pPr>
            <w:r w:rsidRPr="00A51634">
              <w:rPr>
                <w:rFonts w:eastAsia="Calibri"/>
              </w:rPr>
              <w:t>Green</w:t>
            </w:r>
          </w:p>
        </w:tc>
      </w:tr>
    </w:tbl>
    <w:p w:rsidR="00A51634" w:rsidRPr="00180B19" w:rsidRDefault="00A51634" w:rsidP="009F749F">
      <w:pPr>
        <w:pStyle w:val="Note"/>
        <w:ind w:left="0"/>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6F5125" w:rsidRPr="00BF2045" w:rsidRDefault="006F5125" w:rsidP="006F5125">
      <w:pPr>
        <w:pStyle w:val="Heading3"/>
      </w:pPr>
      <w:r>
        <w:t>Annual milestone targets 2013-14</w:t>
      </w:r>
    </w:p>
    <w:p w:rsidR="006F5125" w:rsidRPr="00366A9B" w:rsidRDefault="006F5125" w:rsidP="006F5125">
      <w:pPr>
        <w:pStyle w:val="ListBullet"/>
        <w:tabs>
          <w:tab w:val="num" w:pos="284"/>
        </w:tabs>
        <w:spacing w:line="240" w:lineRule="auto"/>
        <w:ind w:left="284" w:hanging="284"/>
      </w:pPr>
      <w:r w:rsidRPr="00366A9B">
        <w:t>Partnerships with 22 companies, counterpart ministries and associations to improve the availability of quality inputs and information for farmers, as well as access to processing and final markets (Fully Achieved)</w:t>
      </w:r>
    </w:p>
    <w:p w:rsidR="006F5125" w:rsidRPr="00366A9B" w:rsidRDefault="006F5125" w:rsidP="006F5125">
      <w:pPr>
        <w:pStyle w:val="ListBullet"/>
        <w:tabs>
          <w:tab w:val="num" w:pos="284"/>
        </w:tabs>
        <w:spacing w:line="240" w:lineRule="auto"/>
        <w:ind w:left="284" w:hanging="284"/>
      </w:pPr>
      <w:r w:rsidRPr="00366A9B">
        <w:t>Seven irrigation infrastructure improvements completed, giving up to 2,562 h</w:t>
      </w:r>
      <w:r w:rsidR="001472A4">
        <w:t>a</w:t>
      </w:r>
      <w:r w:rsidRPr="00366A9B">
        <w:t xml:space="preserve"> of land access to irrigation and allowing up to 4,036 farmer households to plant additional crops each year (Fully Achieved – actual result estimated 3,897 h</w:t>
      </w:r>
      <w:r w:rsidR="001472A4">
        <w:t>a</w:t>
      </w:r>
      <w:r w:rsidRPr="00366A9B">
        <w:t xml:space="preserve"> and 4,221 households)</w:t>
      </w:r>
    </w:p>
    <w:p w:rsidR="006F5125" w:rsidRPr="009F749F" w:rsidRDefault="006F5125" w:rsidP="006F5125">
      <w:pPr>
        <w:pStyle w:val="ListBullet"/>
        <w:tabs>
          <w:tab w:val="num" w:pos="284"/>
        </w:tabs>
        <w:spacing w:line="240" w:lineRule="auto"/>
        <w:ind w:left="284" w:hanging="284"/>
      </w:pPr>
      <w:r w:rsidRPr="00366A9B">
        <w:t>5,700 model farmer households trained and sharing their knowledge with an estimated 51,300 other farming house</w:t>
      </w:r>
      <w:r w:rsidR="009179DD">
        <w:t>holds (Partially Achieved -</w:t>
      </w:r>
      <w:r w:rsidRPr="00366A9B">
        <w:t xml:space="preserve"> 2,297 fa</w:t>
      </w:r>
      <w:r w:rsidR="009179DD">
        <w:t>rming households were trained up to the point that</w:t>
      </w:r>
      <w:r w:rsidRPr="00366A9B">
        <w:t xml:space="preserve"> </w:t>
      </w:r>
      <w:r w:rsidRPr="009F749F">
        <w:t xml:space="preserve">the </w:t>
      </w:r>
      <w:r w:rsidR="00D54D8F" w:rsidRPr="00490EFB">
        <w:t xml:space="preserve">Cambodia Agricultural Value Chain </w:t>
      </w:r>
      <w:r w:rsidR="00D54D8F" w:rsidRPr="009F749F">
        <w:t>(</w:t>
      </w:r>
      <w:r w:rsidRPr="009F749F">
        <w:t>CAVAC</w:t>
      </w:r>
      <w:r w:rsidR="00D54D8F" w:rsidRPr="009F749F">
        <w:t>)</w:t>
      </w:r>
      <w:r w:rsidRPr="009F749F">
        <w:t xml:space="preserve"> program halted this activity to conduct evaluations and improve the methodology before resuming).</w:t>
      </w:r>
    </w:p>
    <w:p w:rsidR="005129F5" w:rsidRPr="00490EFB" w:rsidRDefault="005129F5" w:rsidP="005129F5">
      <w:pPr>
        <w:pStyle w:val="ListBullet"/>
        <w:numPr>
          <w:ilvl w:val="0"/>
          <w:numId w:val="0"/>
        </w:numPr>
      </w:pPr>
      <w:r w:rsidRPr="00490EFB">
        <w:t xml:space="preserve">The goal of the </w:t>
      </w:r>
      <w:r w:rsidR="00D54D8F" w:rsidRPr="00490EFB">
        <w:t xml:space="preserve">CAVAC </w:t>
      </w:r>
      <w:r w:rsidRPr="00490EFB">
        <w:t xml:space="preserve">program is to increase the value of agricultural production and smallholder income in rice-based farming systems. By building the productive capacity of agriculture, CAVAC’s expenditure contributes to the 20 per cent aid-for-trade target for the </w:t>
      </w:r>
      <w:r w:rsidRPr="00490EFB">
        <w:lastRenderedPageBreak/>
        <w:t>Australian aid program. CAVAC’s innovative approach to working with markets and the private sector is increasingly upheld as a model in Cambodia and elsewhere</w:t>
      </w:r>
      <w:r w:rsidR="00A56AF2" w:rsidRPr="00490EFB">
        <w:t>. It</w:t>
      </w:r>
      <w:r w:rsidRPr="00490EFB">
        <w:t xml:space="preserve"> has influenced other Australian aid programs, </w:t>
      </w:r>
      <w:r w:rsidR="00A56AF2" w:rsidRPr="00490EFB">
        <w:t xml:space="preserve">including </w:t>
      </w:r>
      <w:r w:rsidRPr="00490EFB">
        <w:t xml:space="preserve">the </w:t>
      </w:r>
      <w:r w:rsidR="00A56AF2" w:rsidRPr="00490EFB">
        <w:t xml:space="preserve">new </w:t>
      </w:r>
      <w:r w:rsidRPr="00490EFB">
        <w:t xml:space="preserve">design of 3i: Investing </w:t>
      </w:r>
      <w:r w:rsidR="0091200C" w:rsidRPr="00490EFB">
        <w:t>in</w:t>
      </w:r>
      <w:r w:rsidRPr="00490EFB">
        <w:t xml:space="preserve"> Infrastructure</w:t>
      </w:r>
      <w:r w:rsidR="00D54D8F" w:rsidRPr="00490EFB">
        <w:t>, due to commence in 2015</w:t>
      </w:r>
      <w:r w:rsidRPr="00490EFB">
        <w:t>.</w:t>
      </w:r>
    </w:p>
    <w:p w:rsidR="005129F5" w:rsidRPr="00490EFB" w:rsidRDefault="005129F5" w:rsidP="005129F5">
      <w:pPr>
        <w:pStyle w:val="ListBullet"/>
        <w:numPr>
          <w:ilvl w:val="0"/>
          <w:numId w:val="0"/>
        </w:numPr>
      </w:pPr>
      <w:r w:rsidRPr="00490EFB">
        <w:t xml:space="preserve">To date, CAVAC has supported 32 interventions in agribusiness and information systems with 36 partners; including private companies, associations and the Cambodian Government. Key sectors include fertiliser, pesticides, seeds, rice milling and media. There is evidence that CAVAC interventions are having a positive impact on partner behaviour and increasing potential for scalability. </w:t>
      </w:r>
    </w:p>
    <w:p w:rsidR="005129F5" w:rsidRPr="00490EFB" w:rsidRDefault="005129F5" w:rsidP="005129F5">
      <w:pPr>
        <w:pStyle w:val="ListBullet"/>
        <w:numPr>
          <w:ilvl w:val="0"/>
          <w:numId w:val="0"/>
        </w:numPr>
      </w:pPr>
      <w:r w:rsidRPr="00490EFB">
        <w:t>CAVAC works with media companies to increase awareness of the benefits of providing quality information to the rural population. There has been much interest in the market research and a television program is now in development with CAVAC’s assistance. The vegetable market activities made progress in 2013, and CAVAC has found that farmers are adopting partner companies</w:t>
      </w:r>
      <w:r w:rsidR="00766FC2">
        <w:t>’</w:t>
      </w:r>
      <w:r w:rsidRPr="00490EFB">
        <w:t xml:space="preserve"> inputs and techniques because of their labour saving potential.</w:t>
      </w:r>
    </w:p>
    <w:p w:rsidR="005129F5" w:rsidRPr="00490EFB" w:rsidRDefault="005129F5" w:rsidP="005129F5">
      <w:pPr>
        <w:pStyle w:val="ListBullet"/>
        <w:numPr>
          <w:ilvl w:val="0"/>
          <w:numId w:val="0"/>
        </w:numPr>
      </w:pPr>
      <w:r w:rsidRPr="00490EFB">
        <w:t>Another key component of CAVAC is the construction and rehabilitation of irrigation schemes. By the end of 2013, CAVAC completed or commenced 2</w:t>
      </w:r>
      <w:r w:rsidR="00C0704F" w:rsidRPr="00490EFB">
        <w:t>0</w:t>
      </w:r>
      <w:r w:rsidRPr="00490EFB">
        <w:t xml:space="preserve"> schemes. This includes canals </w:t>
      </w:r>
      <w:r w:rsidR="00D54D8F" w:rsidRPr="00490EFB">
        <w:t>with</w:t>
      </w:r>
      <w:r w:rsidRPr="00490EFB">
        <w:t xml:space="preserve"> </w:t>
      </w:r>
      <w:r w:rsidR="00D54D8F" w:rsidRPr="00490EFB">
        <w:t xml:space="preserve">total </w:t>
      </w:r>
      <w:r w:rsidRPr="00490EFB">
        <w:t xml:space="preserve">length </w:t>
      </w:r>
      <w:r w:rsidR="00D54D8F" w:rsidRPr="00490EFB">
        <w:t>of</w:t>
      </w:r>
      <w:r w:rsidRPr="00490EFB">
        <w:t xml:space="preserve"> 117 kilometres, which should allow at least 22,617</w:t>
      </w:r>
      <w:r w:rsidR="001472A4" w:rsidRPr="00490EFB">
        <w:t xml:space="preserve"> </w:t>
      </w:r>
      <w:r w:rsidRPr="00490EFB">
        <w:t xml:space="preserve">ha to be irrigated supporting at least 20,642 households. Each completed scheme is handed over to Farmer Water User Communities (FWUCs) to support sustainable operation and maintenance. To date this includes 19 FWUCs. </w:t>
      </w:r>
    </w:p>
    <w:p w:rsidR="005129F5" w:rsidRPr="00490EFB" w:rsidRDefault="005129F5" w:rsidP="005129F5">
      <w:pPr>
        <w:pStyle w:val="ListBullet"/>
        <w:numPr>
          <w:ilvl w:val="0"/>
          <w:numId w:val="0"/>
        </w:numPr>
      </w:pPr>
      <w:r w:rsidRPr="00490EFB">
        <w:t xml:space="preserve">Recent monitoring and evaluation work has helped CAVAC </w:t>
      </w:r>
      <w:r w:rsidR="0086083F" w:rsidRPr="00490EFB">
        <w:t>determine</w:t>
      </w:r>
      <w:r w:rsidRPr="00490EFB">
        <w:t xml:space="preserve"> likely impacts against outcome-level indicators. CAVAC now estimates</w:t>
      </w:r>
      <w:r w:rsidR="009179DD">
        <w:t xml:space="preserve"> conservatively</w:t>
      </w:r>
      <w:r w:rsidRPr="00490EFB">
        <w:t xml:space="preserve"> that agribusiness and farmer informatio</w:t>
      </w:r>
      <w:r w:rsidR="009179DD">
        <w:t xml:space="preserve">n activities will </w:t>
      </w:r>
      <w:r w:rsidRPr="00490EFB">
        <w:t>have supported 264,000 farming households to improve their yields by 2017. Adding this to results from irrigation work, the total increase in production attributable to CAVAC is projected to be 250,000 tons of paddy per year in 2017. In 2013 alone, irrigation infrastructure constructed by CAVAC is estimated to have allowed an additional $21 million of rice to be grown. More work will be completed in the coming year to demonstrate project outcome-level results.</w:t>
      </w:r>
    </w:p>
    <w:p w:rsidR="005129F5" w:rsidRPr="00490EFB" w:rsidRDefault="005129F5" w:rsidP="005129F5">
      <w:pPr>
        <w:pStyle w:val="ListBullet"/>
        <w:numPr>
          <w:ilvl w:val="0"/>
          <w:numId w:val="0"/>
        </w:numPr>
      </w:pPr>
      <w:r w:rsidRPr="00490EFB">
        <w:t xml:space="preserve">Based on the findings of a very positive independent Mid Term Review, CAVAC has been extended by 18 months and will now run until 31 December 2015. </w:t>
      </w:r>
    </w:p>
    <w:p w:rsidR="005129F5" w:rsidRPr="00490EFB" w:rsidRDefault="005129F5" w:rsidP="005129F5">
      <w:pPr>
        <w:pStyle w:val="ListBullet"/>
        <w:numPr>
          <w:ilvl w:val="0"/>
          <w:numId w:val="0"/>
        </w:numPr>
      </w:pPr>
      <w:r w:rsidRPr="00490EFB">
        <w:t>CAVAC continued to use gender analysis to see how information channels in selected value chains can give male and female farmers equitable access to improved information</w:t>
      </w:r>
      <w:r w:rsidR="00AF1613">
        <w:t>.</w:t>
      </w:r>
      <w:r w:rsidR="00A51634" w:rsidRPr="00490EFB">
        <w:t xml:space="preserve"> </w:t>
      </w:r>
      <w:r w:rsidR="009179DD">
        <w:t xml:space="preserve">Further work is </w:t>
      </w:r>
      <w:r w:rsidR="00A51634" w:rsidRPr="00490EFB">
        <w:t xml:space="preserve">however </w:t>
      </w:r>
      <w:r w:rsidRPr="00490EFB">
        <w:t>needed to influence private sector practices</w:t>
      </w:r>
      <w:r w:rsidR="00A51634" w:rsidRPr="00490EFB">
        <w:t>.</w:t>
      </w:r>
      <w:r w:rsidRPr="00490EFB">
        <w:t xml:space="preserve"> In the past year, CAVAC facilitated gender training for provincial government units responsible for irrigation. CAVAC also continued efforts to </w:t>
      </w:r>
      <w:r w:rsidR="00A51634" w:rsidRPr="00490EFB">
        <w:t>improve</w:t>
      </w:r>
      <w:r w:rsidRPr="00490EFB">
        <w:t xml:space="preserve"> female representation within the FWUCs. CAVAC established a Gender and Agricultural Development Research Fund which funded </w:t>
      </w:r>
      <w:r w:rsidR="0046311F" w:rsidRPr="00490EFB">
        <w:t>six</w:t>
      </w:r>
      <w:r w:rsidRPr="00490EFB">
        <w:t xml:space="preserve"> studies in 2013.</w:t>
      </w:r>
    </w:p>
    <w:p w:rsidR="005129F5" w:rsidRDefault="005129F5" w:rsidP="0091200C">
      <w:pPr>
        <w:pStyle w:val="ListBullet"/>
        <w:numPr>
          <w:ilvl w:val="0"/>
          <w:numId w:val="0"/>
        </w:numPr>
      </w:pPr>
      <w:r w:rsidRPr="00490EFB">
        <w:t>Australian Centre for International Agricultural Research (ACIAR) activities in Cambodia are focused on: productivity of rice-based farming systems, agricultural diversification, and climate variability and climate change. In 2013-14, ACIAR’s research supported the following results</w:t>
      </w:r>
      <w:r w:rsidR="0091200C" w:rsidRPr="00490EFB">
        <w:t xml:space="preserve">: </w:t>
      </w:r>
      <w:r w:rsidRPr="00490EFB">
        <w:t>300ha of smallholder land was laser levelled and local contractors are being developed to provide ongoing services</w:t>
      </w:r>
      <w:r w:rsidR="0091200C" w:rsidRPr="00490EFB">
        <w:t xml:space="preserve">; </w:t>
      </w:r>
      <w:r w:rsidRPr="00490EFB">
        <w:t>50 farm business advisers in Svay Rieng province trained in rice double cropping on the back of nearly 200 research trials</w:t>
      </w:r>
      <w:r w:rsidR="0091200C" w:rsidRPr="00490EFB">
        <w:t>; 200 r</w:t>
      </w:r>
      <w:r w:rsidRPr="00490EFB">
        <w:t>ice drum seeders sold across Cambodia since 2011</w:t>
      </w:r>
      <w:r w:rsidR="0091200C" w:rsidRPr="00490EFB">
        <w:t>; and r</w:t>
      </w:r>
      <w:r w:rsidRPr="00490EFB">
        <w:t xml:space="preserve">esearch at 16 reservoirs on fish stocking has been used to develop community management procedures </w:t>
      </w:r>
      <w:r w:rsidR="00BE5038" w:rsidRPr="00490EFB">
        <w:t>adopted by</w:t>
      </w:r>
      <w:r w:rsidRPr="00490EFB">
        <w:t xml:space="preserve"> Government.</w:t>
      </w:r>
    </w:p>
    <w:p w:rsidR="0095656B" w:rsidRDefault="0095656B" w:rsidP="009F749F">
      <w:pPr>
        <w:pStyle w:val="Heading3"/>
      </w:pPr>
    </w:p>
    <w:p w:rsidR="006F5125" w:rsidRPr="00661ADA" w:rsidRDefault="006F5125" w:rsidP="009F749F">
      <w:pPr>
        <w:pStyle w:val="Heading3"/>
      </w:pPr>
      <w:r w:rsidRPr="00BF2045">
        <w:lastRenderedPageBreak/>
        <w:t>Objective 1b: Increased food and livelihood security for the rural poor through social protection and landmine clearance</w:t>
      </w:r>
    </w:p>
    <w:tbl>
      <w:tblPr>
        <w:tblStyle w:val="APPR"/>
        <w:tblW w:w="5000" w:type="pct"/>
        <w:tblLook w:val="01E0" w:firstRow="1" w:lastRow="1" w:firstColumn="1" w:lastColumn="1" w:noHBand="0" w:noVBand="0"/>
      </w:tblPr>
      <w:tblGrid>
        <w:gridCol w:w="7031"/>
        <w:gridCol w:w="1746"/>
      </w:tblGrid>
      <w:tr w:rsidR="006F5125" w:rsidRPr="00BF2045" w:rsidTr="000B314C">
        <w:trPr>
          <w:cnfStyle w:val="100000000000" w:firstRow="1" w:lastRow="0" w:firstColumn="0" w:lastColumn="0" w:oddVBand="0" w:evenVBand="0" w:oddHBand="0" w:evenHBand="0" w:firstRowFirstColumn="0" w:firstRowLastColumn="0" w:lastRowFirstColumn="0" w:lastRowLastColumn="0"/>
        </w:trPr>
        <w:tc>
          <w:tcPr>
            <w:tcW w:w="3981" w:type="pct"/>
          </w:tcPr>
          <w:p w:rsidR="006F5125" w:rsidRPr="00A51634" w:rsidRDefault="00A51634" w:rsidP="006F5125">
            <w:pPr>
              <w:pStyle w:val="TableTextEntries"/>
              <w:rPr>
                <w:rFonts w:eastAsia="Calibri"/>
              </w:rPr>
            </w:pPr>
            <w:r w:rsidRPr="00A51634">
              <w:rPr>
                <w:rFonts w:eastAsia="Calibri"/>
              </w:rPr>
              <w:t xml:space="preserve">Development outcome: </w:t>
            </w:r>
            <w:r w:rsidR="006F5125" w:rsidRPr="00A51634">
              <w:rPr>
                <w:rFonts w:eastAsia="Calibri"/>
              </w:rPr>
              <w:t>Increased food and livelihood security for the rural poor through social protection and landmine clearance</w:t>
            </w:r>
          </w:p>
        </w:tc>
        <w:tc>
          <w:tcPr>
            <w:tcW w:w="971" w:type="pct"/>
            <w:shd w:val="clear" w:color="auto" w:fill="92D050"/>
          </w:tcPr>
          <w:p w:rsidR="006F5125" w:rsidRPr="00A51634" w:rsidRDefault="006F5125" w:rsidP="006F5125">
            <w:pPr>
              <w:pStyle w:val="TableTextEntries"/>
              <w:jc w:val="center"/>
              <w:rPr>
                <w:rFonts w:eastAsia="Calibri"/>
              </w:rPr>
            </w:pPr>
            <w:r w:rsidRPr="00A51634">
              <w:rPr>
                <w:rFonts w:eastAsia="Calibri"/>
              </w:rPr>
              <w:t>Green</w:t>
            </w:r>
          </w:p>
        </w:tc>
      </w:tr>
    </w:tbl>
    <w:p w:rsidR="00A51634" w:rsidRPr="00180B19" w:rsidRDefault="00A51634" w:rsidP="00A51634">
      <w:pPr>
        <w:pStyle w:val="Note"/>
        <w:ind w:left="0"/>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6F5125" w:rsidRPr="00745FE3" w:rsidRDefault="006F5125" w:rsidP="006F5125">
      <w:pPr>
        <w:pStyle w:val="Heading3"/>
      </w:pPr>
      <w:r>
        <w:t>Annual milestone targets 2013-14</w:t>
      </w:r>
    </w:p>
    <w:p w:rsidR="006F5125" w:rsidRPr="00366A9B" w:rsidRDefault="006F5125" w:rsidP="006F5125">
      <w:pPr>
        <w:pStyle w:val="ListBullet"/>
        <w:tabs>
          <w:tab w:val="num" w:pos="284"/>
        </w:tabs>
        <w:spacing w:line="240" w:lineRule="auto"/>
        <w:ind w:left="284" w:hanging="284"/>
      </w:pPr>
      <w:r w:rsidRPr="00366A9B">
        <w:t>At least 15 square kilometres of high priority land released through clearance or technical survey in support of local development priorities (Fully Achieved – 17.33 square kilometres)</w:t>
      </w:r>
    </w:p>
    <w:p w:rsidR="006F5125" w:rsidRPr="00366A9B" w:rsidRDefault="006F5125" w:rsidP="006F5125">
      <w:pPr>
        <w:pStyle w:val="ListBullet"/>
        <w:tabs>
          <w:tab w:val="num" w:pos="284"/>
        </w:tabs>
        <w:spacing w:line="240" w:lineRule="auto"/>
        <w:ind w:left="284" w:hanging="284"/>
      </w:pPr>
      <w:r w:rsidRPr="00366A9B">
        <w:t xml:space="preserve">11,250 targeted beneficiaries received food or cash scholarships under the cash-food scholarship pilot (Fully Achieved – </w:t>
      </w:r>
      <w:r w:rsidR="00E34175">
        <w:t>24,373</w:t>
      </w:r>
      <w:r w:rsidRPr="00366A9B">
        <w:t xml:space="preserve"> students)</w:t>
      </w:r>
    </w:p>
    <w:p w:rsidR="006F5125" w:rsidRPr="00366A9B" w:rsidRDefault="006F5125" w:rsidP="006F5125">
      <w:pPr>
        <w:pStyle w:val="ListBullet"/>
        <w:tabs>
          <w:tab w:val="num" w:pos="284"/>
        </w:tabs>
        <w:spacing w:line="240" w:lineRule="auto"/>
        <w:ind w:left="284" w:hanging="284"/>
      </w:pPr>
      <w:r w:rsidRPr="00366A9B">
        <w:t>Public Assets and Livelihood Support program pilot and operational guidelines designed and 600 tonnes of rice distributed to target beneficiaries under the pilot (Fully Achieved</w:t>
      </w:r>
      <w:r w:rsidR="009179DD">
        <w:t xml:space="preserve"> – </w:t>
      </w:r>
      <w:r w:rsidR="00E34175">
        <w:t>beneficiaries received cash not food transfers under reformed scheme</w:t>
      </w:r>
      <w:r w:rsidRPr="00366A9B">
        <w:t>)</w:t>
      </w:r>
    </w:p>
    <w:p w:rsidR="000622B9" w:rsidRDefault="006F5125" w:rsidP="006F5125">
      <w:pPr>
        <w:pStyle w:val="BodyText"/>
        <w:rPr>
          <w:szCs w:val="22"/>
        </w:rPr>
      </w:pPr>
      <w:r w:rsidRPr="00366A9B">
        <w:rPr>
          <w:szCs w:val="22"/>
        </w:rPr>
        <w:t xml:space="preserve">During 2013, 17.33 square kilometres of land were cleared and released for productive use under the multi-donor Clearing for Results Phase 2 project. Clearance operators found and destroyed 2,406 anti-personnel mines, 11 anti-tank mines and 2,091 Explosive Remnants of War (ERW) in 49 villages. </w:t>
      </w:r>
      <w:r w:rsidR="00905097">
        <w:rPr>
          <w:szCs w:val="22"/>
        </w:rPr>
        <w:t>L</w:t>
      </w:r>
      <w:r w:rsidRPr="00366A9B">
        <w:rPr>
          <w:szCs w:val="22"/>
        </w:rPr>
        <w:t>and released through these contracts will be used for agriculture (75.61 per cent), risk reduction (22.87 per cent), housing (0.92 per cent), and school construction (0.60 per cent). It is estimated that mine clearance work funded in 2013 will directly benefit 539 families or 2,241 individuals (1,252 female and 989 male) and indirectly benefit 23,922 families or 90,651 individuals (46,881 female and 43,770 male).</w:t>
      </w:r>
      <w:r w:rsidR="00905097">
        <w:rPr>
          <w:szCs w:val="22"/>
        </w:rPr>
        <w:t xml:space="preserve"> </w:t>
      </w:r>
    </w:p>
    <w:p w:rsidR="006F5125" w:rsidRPr="00366A9B" w:rsidRDefault="006F5125" w:rsidP="006F5125">
      <w:pPr>
        <w:pStyle w:val="BodyText"/>
        <w:rPr>
          <w:szCs w:val="22"/>
        </w:rPr>
      </w:pPr>
      <w:r w:rsidRPr="00366A9B">
        <w:rPr>
          <w:szCs w:val="22"/>
        </w:rPr>
        <w:t xml:space="preserve">In 2013 there was another steep decline (66.7 per cent) in the casualty rates in the three project provinces, from 39 in 2012 to 13 in 2013. The project has achieved substantial improvements in cost-efficiency of land </w:t>
      </w:r>
      <w:r w:rsidR="00E34175">
        <w:rPr>
          <w:szCs w:val="22"/>
        </w:rPr>
        <w:t>release</w:t>
      </w:r>
      <w:r w:rsidRPr="00366A9B">
        <w:rPr>
          <w:szCs w:val="22"/>
        </w:rPr>
        <w:t xml:space="preserve"> activities. Accordingly, Cambodian Mine Action and Victim Assistance Authority (CMAA) updated the end-of-project land release target from 35 to 80 square kilometres.</w:t>
      </w:r>
    </w:p>
    <w:p w:rsidR="008B3FF6" w:rsidRPr="00366A9B" w:rsidRDefault="008B3FF6" w:rsidP="008B3FF6">
      <w:pPr>
        <w:pStyle w:val="BodyText"/>
        <w:rPr>
          <w:szCs w:val="22"/>
        </w:rPr>
      </w:pPr>
      <w:r>
        <w:rPr>
          <w:szCs w:val="22"/>
        </w:rPr>
        <w:t xml:space="preserve">The Baseline Survey (BLS), </w:t>
      </w:r>
      <w:r w:rsidRPr="00366A9B">
        <w:rPr>
          <w:szCs w:val="22"/>
        </w:rPr>
        <w:t xml:space="preserve">a major output of the project, was also completed in 2013. This is an important achievement as Cambodia </w:t>
      </w:r>
      <w:r>
        <w:rPr>
          <w:szCs w:val="22"/>
        </w:rPr>
        <w:t xml:space="preserve">had </w:t>
      </w:r>
      <w:r w:rsidRPr="00366A9B">
        <w:rPr>
          <w:szCs w:val="22"/>
        </w:rPr>
        <w:t xml:space="preserve">committed to </w:t>
      </w:r>
      <w:r>
        <w:rPr>
          <w:szCs w:val="22"/>
        </w:rPr>
        <w:t xml:space="preserve">the survey </w:t>
      </w:r>
      <w:r w:rsidRPr="00366A9B">
        <w:rPr>
          <w:szCs w:val="22"/>
        </w:rPr>
        <w:t>as part of its extension request for its obligations under Article 5 of the Anti-Personnel Mine Ban Convention. The BLS found that 1,915 square kilometres of land remain contaminated in the 124 districts surveyed</w:t>
      </w:r>
      <w:r w:rsidR="00BE5038">
        <w:rPr>
          <w:szCs w:val="22"/>
        </w:rPr>
        <w:t>.</w:t>
      </w:r>
      <w:r>
        <w:rPr>
          <w:szCs w:val="22"/>
        </w:rPr>
        <w:t xml:space="preserve"> </w:t>
      </w:r>
      <w:r w:rsidR="00BE5038" w:rsidRPr="00DC4E89">
        <w:rPr>
          <w:szCs w:val="22"/>
        </w:rPr>
        <w:t>D</w:t>
      </w:r>
      <w:r w:rsidRPr="00490EFB">
        <w:rPr>
          <w:szCs w:val="22"/>
        </w:rPr>
        <w:t xml:space="preserve">espite the huge workload the BLS identified, </w:t>
      </w:r>
      <w:r w:rsidR="00BE5038" w:rsidRPr="00DC4E89">
        <w:rPr>
          <w:szCs w:val="22"/>
        </w:rPr>
        <w:t>it</w:t>
      </w:r>
      <w:r w:rsidR="00BE5038">
        <w:rPr>
          <w:szCs w:val="22"/>
        </w:rPr>
        <w:t xml:space="preserve"> </w:t>
      </w:r>
      <w:r>
        <w:rPr>
          <w:szCs w:val="22"/>
        </w:rPr>
        <w:t>is a critical step in targeting future operations</w:t>
      </w:r>
      <w:r w:rsidRPr="00366A9B">
        <w:rPr>
          <w:szCs w:val="22"/>
        </w:rPr>
        <w:t xml:space="preserve">.  </w:t>
      </w:r>
    </w:p>
    <w:p w:rsidR="005129F5" w:rsidRDefault="005129F5" w:rsidP="005129F5">
      <w:pPr>
        <w:pStyle w:val="BodyText"/>
        <w:rPr>
          <w:szCs w:val="22"/>
        </w:rPr>
      </w:pPr>
      <w:r w:rsidRPr="00366A9B">
        <w:rPr>
          <w:szCs w:val="22"/>
        </w:rPr>
        <w:t xml:space="preserve">Australian support to the World Food Programme </w:t>
      </w:r>
      <w:r>
        <w:rPr>
          <w:szCs w:val="22"/>
        </w:rPr>
        <w:t xml:space="preserve">(WFP) </w:t>
      </w:r>
      <w:r w:rsidRPr="00366A9B">
        <w:rPr>
          <w:szCs w:val="22"/>
        </w:rPr>
        <w:t>for a pilot project testing the efficiency and effectiveness of social protection mechanisms concluded at the end of 2013. Data comparing cash versus food for school scholarships and school feeding will be used to re</w:t>
      </w:r>
      <w:r>
        <w:rPr>
          <w:szCs w:val="22"/>
        </w:rPr>
        <w:t>fine</w:t>
      </w:r>
      <w:r w:rsidRPr="00366A9B">
        <w:rPr>
          <w:szCs w:val="22"/>
        </w:rPr>
        <w:t xml:space="preserve"> </w:t>
      </w:r>
      <w:r w:rsidR="0086083F">
        <w:rPr>
          <w:szCs w:val="22"/>
        </w:rPr>
        <w:t>Cambodian Government</w:t>
      </w:r>
      <w:r w:rsidRPr="00366A9B">
        <w:rPr>
          <w:szCs w:val="22"/>
        </w:rPr>
        <w:t xml:space="preserve"> and WFP systems</w:t>
      </w:r>
      <w:r>
        <w:rPr>
          <w:szCs w:val="22"/>
        </w:rPr>
        <w:t>, especially to increase the use of cash which was more efficient and supported better educational outcomes</w:t>
      </w:r>
      <w:r w:rsidRPr="00366A9B">
        <w:rPr>
          <w:szCs w:val="22"/>
        </w:rPr>
        <w:t>. The pilot also included the design and implementation of a new Public Assets and Livelihood Support program. As well as the short</w:t>
      </w:r>
      <w:r>
        <w:rPr>
          <w:szCs w:val="22"/>
        </w:rPr>
        <w:t>-</w:t>
      </w:r>
      <w:r w:rsidRPr="00366A9B">
        <w:rPr>
          <w:szCs w:val="22"/>
        </w:rPr>
        <w:t>term benefits of rural road construction and an income for poor families, new guidelines produced will support more effective cash-for-work activities</w:t>
      </w:r>
      <w:r>
        <w:rPr>
          <w:szCs w:val="22"/>
        </w:rPr>
        <w:t xml:space="preserve"> if such schemes are funded</w:t>
      </w:r>
      <w:r w:rsidR="008E3A76">
        <w:rPr>
          <w:szCs w:val="22"/>
        </w:rPr>
        <w:t xml:space="preserve"> in the future</w:t>
      </w:r>
      <w:r w:rsidRPr="00366A9B">
        <w:rPr>
          <w:szCs w:val="22"/>
        </w:rPr>
        <w:t>.</w:t>
      </w:r>
      <w:r>
        <w:rPr>
          <w:szCs w:val="22"/>
        </w:rPr>
        <w:t xml:space="preserve"> </w:t>
      </w:r>
      <w:r w:rsidRPr="00366A9B">
        <w:rPr>
          <w:szCs w:val="22"/>
        </w:rPr>
        <w:t xml:space="preserve">Australia’s support for a </w:t>
      </w:r>
      <w:r w:rsidR="00BE5038">
        <w:rPr>
          <w:szCs w:val="22"/>
        </w:rPr>
        <w:t xml:space="preserve">World Bank managed </w:t>
      </w:r>
      <w:r w:rsidRPr="00366A9B">
        <w:rPr>
          <w:szCs w:val="22"/>
        </w:rPr>
        <w:t>trust fund allowed the continued development of a pilot to provide cash transfers to improve maternal and child nutrition. After some delays because of the national election, desi</w:t>
      </w:r>
      <w:r>
        <w:rPr>
          <w:szCs w:val="22"/>
        </w:rPr>
        <w:t xml:space="preserve">gn of the pilot has now resumed and it </w:t>
      </w:r>
      <w:r w:rsidR="00BE5038">
        <w:rPr>
          <w:szCs w:val="22"/>
        </w:rPr>
        <w:t xml:space="preserve">is </w:t>
      </w:r>
      <w:r>
        <w:rPr>
          <w:szCs w:val="22"/>
        </w:rPr>
        <w:t>expected to begin operating in the last quarter of 2014.</w:t>
      </w:r>
    </w:p>
    <w:p w:rsidR="005129F5" w:rsidRPr="005129F5" w:rsidRDefault="005129F5" w:rsidP="005129F5">
      <w:pPr>
        <w:pStyle w:val="BodyText"/>
        <w:rPr>
          <w:szCs w:val="22"/>
        </w:rPr>
      </w:pPr>
      <w:r w:rsidRPr="00490EFB">
        <w:rPr>
          <w:szCs w:val="22"/>
        </w:rPr>
        <w:t>Whil</w:t>
      </w:r>
      <w:r w:rsidR="00BE5038" w:rsidRPr="00490EFB">
        <w:rPr>
          <w:szCs w:val="22"/>
        </w:rPr>
        <w:t>e</w:t>
      </w:r>
      <w:r w:rsidRPr="00490EFB">
        <w:rPr>
          <w:szCs w:val="22"/>
        </w:rPr>
        <w:t xml:space="preserve"> the WFP pilot w</w:t>
      </w:r>
      <w:r w:rsidR="00BE5038" w:rsidRPr="00490EFB">
        <w:rPr>
          <w:szCs w:val="22"/>
        </w:rPr>
        <w:t>as</w:t>
      </w:r>
      <w:r w:rsidRPr="00490EFB">
        <w:rPr>
          <w:szCs w:val="22"/>
        </w:rPr>
        <w:t xml:space="preserve"> largely positive and we await the outcomes of the World Bank cash transfer pilot, Australia is unlikely to invest further in this area because of the low potential for significant development of large-scale, state-funded schemes in the medium-term.</w:t>
      </w:r>
    </w:p>
    <w:p w:rsidR="006F5125" w:rsidRPr="00661ADA" w:rsidRDefault="006F5125" w:rsidP="009F749F">
      <w:pPr>
        <w:pStyle w:val="Heading3"/>
      </w:pPr>
      <w:r w:rsidRPr="00BF2045">
        <w:lastRenderedPageBreak/>
        <w:t>Objective 2: Increased access to quality health services through improved health management</w:t>
      </w:r>
    </w:p>
    <w:tbl>
      <w:tblPr>
        <w:tblStyle w:val="APPR"/>
        <w:tblW w:w="5000" w:type="pct"/>
        <w:tblLook w:val="01E0" w:firstRow="1" w:lastRow="1" w:firstColumn="1" w:lastColumn="1" w:noHBand="0" w:noVBand="0"/>
      </w:tblPr>
      <w:tblGrid>
        <w:gridCol w:w="7031"/>
        <w:gridCol w:w="1746"/>
      </w:tblGrid>
      <w:tr w:rsidR="006F5125" w:rsidRPr="00BF2045" w:rsidTr="000B314C">
        <w:trPr>
          <w:cnfStyle w:val="100000000000" w:firstRow="1" w:lastRow="0" w:firstColumn="0" w:lastColumn="0" w:oddVBand="0" w:evenVBand="0" w:oddHBand="0" w:evenHBand="0" w:firstRowFirstColumn="0" w:firstRowLastColumn="0" w:lastRowFirstColumn="0" w:lastRowLastColumn="0"/>
        </w:trPr>
        <w:tc>
          <w:tcPr>
            <w:tcW w:w="3981" w:type="pct"/>
          </w:tcPr>
          <w:p w:rsidR="006F5125" w:rsidRPr="00A51634" w:rsidRDefault="00A51634" w:rsidP="00A51634">
            <w:pPr>
              <w:pStyle w:val="TableTextEntries"/>
              <w:rPr>
                <w:rFonts w:eastAsia="Calibri"/>
              </w:rPr>
            </w:pPr>
            <w:r w:rsidRPr="00A51634">
              <w:rPr>
                <w:rFonts w:eastAsia="Calibri"/>
              </w:rPr>
              <w:t xml:space="preserve">Development outcome: </w:t>
            </w:r>
            <w:r w:rsidR="006F5125" w:rsidRPr="00A51634">
              <w:rPr>
                <w:rFonts w:eastAsia="Calibri"/>
              </w:rPr>
              <w:t>Increased access to quality health services for the poor, women and children through improved health management</w:t>
            </w:r>
          </w:p>
        </w:tc>
        <w:tc>
          <w:tcPr>
            <w:tcW w:w="971" w:type="pct"/>
            <w:shd w:val="clear" w:color="auto" w:fill="92D050"/>
          </w:tcPr>
          <w:p w:rsidR="006F5125" w:rsidRPr="00A51634" w:rsidRDefault="006F5125" w:rsidP="006F5125">
            <w:pPr>
              <w:pStyle w:val="TableTextEntries"/>
              <w:jc w:val="center"/>
              <w:rPr>
                <w:rFonts w:eastAsia="Calibri"/>
              </w:rPr>
            </w:pPr>
            <w:r w:rsidRPr="00A51634">
              <w:rPr>
                <w:rFonts w:eastAsia="Calibri"/>
              </w:rPr>
              <w:t>Green</w:t>
            </w:r>
          </w:p>
        </w:tc>
      </w:tr>
    </w:tbl>
    <w:p w:rsidR="00BE5038" w:rsidRPr="00180B19" w:rsidRDefault="00BE5038" w:rsidP="00BE5038">
      <w:pPr>
        <w:pStyle w:val="Note"/>
        <w:ind w:left="0"/>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6F5125" w:rsidRPr="00745FE3" w:rsidRDefault="006F5125" w:rsidP="006F5125">
      <w:pPr>
        <w:pStyle w:val="Heading3"/>
      </w:pPr>
      <w:r>
        <w:t>Annual milestone targets 2013-14</w:t>
      </w:r>
    </w:p>
    <w:p w:rsidR="006F5125" w:rsidRDefault="006F5125" w:rsidP="006F5125">
      <w:pPr>
        <w:pStyle w:val="ListBullet"/>
        <w:tabs>
          <w:tab w:val="num" w:pos="284"/>
        </w:tabs>
        <w:spacing w:line="240" w:lineRule="auto"/>
        <w:ind w:left="284" w:hanging="284"/>
      </w:pPr>
      <w:r>
        <w:t>84%</w:t>
      </w:r>
      <w:r w:rsidRPr="009243CF">
        <w:t xml:space="preserve"> </w:t>
      </w:r>
      <w:r>
        <w:t>births attended by a skilled birth attendant</w:t>
      </w:r>
    </w:p>
    <w:p w:rsidR="006F5125" w:rsidRDefault="006F5125" w:rsidP="006F5125">
      <w:pPr>
        <w:pStyle w:val="ListBullet"/>
        <w:tabs>
          <w:tab w:val="num" w:pos="284"/>
        </w:tabs>
        <w:spacing w:line="240" w:lineRule="auto"/>
        <w:ind w:left="284" w:hanging="284"/>
      </w:pPr>
      <w:r>
        <w:t>93% of poor Cambodians covered by Health Equity Funds</w:t>
      </w:r>
    </w:p>
    <w:p w:rsidR="006F5125" w:rsidRDefault="00BE5038" w:rsidP="006F5125">
      <w:pPr>
        <w:pStyle w:val="ListBullet"/>
        <w:tabs>
          <w:tab w:val="num" w:pos="284"/>
        </w:tabs>
        <w:spacing w:line="240" w:lineRule="auto"/>
        <w:ind w:left="284" w:hanging="284"/>
      </w:pPr>
      <w:r>
        <w:t>Five</w:t>
      </w:r>
      <w:r w:rsidR="006F5125">
        <w:t xml:space="preserve"> HAARP sites (</w:t>
      </w:r>
      <w:r>
        <w:t>four</w:t>
      </w:r>
      <w:r w:rsidR="006F5125">
        <w:t xml:space="preserve"> needle and syringe exchange and </w:t>
      </w:r>
      <w:r>
        <w:t>one</w:t>
      </w:r>
      <w:r w:rsidR="006F5125">
        <w:t xml:space="preserve"> methadone therapy program)</w:t>
      </w:r>
    </w:p>
    <w:p w:rsidR="006F5125" w:rsidRDefault="006F5125" w:rsidP="006F5125">
      <w:pPr>
        <w:pStyle w:val="ListBullet"/>
        <w:numPr>
          <w:ilvl w:val="0"/>
          <w:numId w:val="0"/>
        </w:numPr>
      </w:pPr>
      <w:r>
        <w:t xml:space="preserve">Access to health care in Cambodia continued to improve in 2013-14.  The number of people covered by </w:t>
      </w:r>
      <w:r w:rsidR="00BE5038">
        <w:t>H</w:t>
      </w:r>
      <w:r>
        <w:t xml:space="preserve">ealth </w:t>
      </w:r>
      <w:r w:rsidR="00BE5038">
        <w:t>E</w:t>
      </w:r>
      <w:r>
        <w:t xml:space="preserve">quity </w:t>
      </w:r>
      <w:r w:rsidR="00BE5038">
        <w:t>F</w:t>
      </w:r>
      <w:r>
        <w:t xml:space="preserve">unds increased, as the </w:t>
      </w:r>
      <w:r w:rsidR="000F165B">
        <w:t xml:space="preserve">Cambodian </w:t>
      </w:r>
      <w:r>
        <w:t xml:space="preserve">Government expanded the </w:t>
      </w:r>
      <w:r w:rsidR="00646164">
        <w:t xml:space="preserve">geographical reach of the </w:t>
      </w:r>
      <w:r>
        <w:t xml:space="preserve">scheme.  Skilled birth attendance also continued to </w:t>
      </w:r>
      <w:r w:rsidR="000A0236">
        <w:t>increase</w:t>
      </w:r>
      <w:r>
        <w:t xml:space="preserve"> from 75</w:t>
      </w:r>
      <w:r w:rsidR="000A0236">
        <w:t xml:space="preserve"> </w:t>
      </w:r>
      <w:r>
        <w:t>per cent in 2012 to 84</w:t>
      </w:r>
      <w:r w:rsidR="000A0236">
        <w:t xml:space="preserve"> </w:t>
      </w:r>
      <w:r>
        <w:t>per cent in 2013.</w:t>
      </w:r>
    </w:p>
    <w:p w:rsidR="006F5125" w:rsidRPr="00DC4E89" w:rsidRDefault="006F5125" w:rsidP="006F5125">
      <w:pPr>
        <w:pStyle w:val="ListBullet"/>
        <w:numPr>
          <w:ilvl w:val="0"/>
          <w:numId w:val="0"/>
        </w:numPr>
      </w:pPr>
      <w:r>
        <w:t xml:space="preserve">These achievements took place in a dynamic environment in the health sector.  The Cambodian Government is placing high priority on building human capital, including </w:t>
      </w:r>
      <w:r w:rsidR="008E3A76">
        <w:t xml:space="preserve">a </w:t>
      </w:r>
      <w:r>
        <w:t xml:space="preserve">focus on improving health care.  At the same time, Australia remains the largest bilateral donor working closely with the Cambodian </w:t>
      </w:r>
      <w:r w:rsidRPr="00DC4E89">
        <w:t>Government</w:t>
      </w:r>
      <w:r w:rsidR="006F46D5" w:rsidRPr="00DC4E89">
        <w:t xml:space="preserve">.  </w:t>
      </w:r>
      <w:r w:rsidR="006F46D5" w:rsidRPr="00490EFB">
        <w:t>Uncertainties regarding ongoing World Bank funding for health have increased Australia’s prominence in the sector</w:t>
      </w:r>
      <w:r w:rsidRPr="00490EFB">
        <w:t xml:space="preserve">.  </w:t>
      </w:r>
      <w:r w:rsidR="006F46D5" w:rsidRPr="00490EFB">
        <w:t xml:space="preserve">While this flux has created challenges, </w:t>
      </w:r>
      <w:r w:rsidR="009C0C1D" w:rsidRPr="00490EFB">
        <w:t>it</w:t>
      </w:r>
      <w:r w:rsidR="009C0C1D" w:rsidRPr="00DC4E89">
        <w:t xml:space="preserve"> has</w:t>
      </w:r>
      <w:r w:rsidRPr="00DC4E89">
        <w:t xml:space="preserve"> presented an excellent opportunity for Australia’s health program to support the Cambodian Government </w:t>
      </w:r>
      <w:r w:rsidR="000A0236" w:rsidRPr="00DC4E89">
        <w:t>and exert significant policy influence</w:t>
      </w:r>
      <w:r w:rsidRPr="00DC4E89">
        <w:t xml:space="preserve">.  </w:t>
      </w:r>
    </w:p>
    <w:p w:rsidR="006F5125" w:rsidRDefault="006F5125" w:rsidP="006F5125">
      <w:pPr>
        <w:pStyle w:val="ListBullet"/>
        <w:numPr>
          <w:ilvl w:val="0"/>
          <w:numId w:val="0"/>
        </w:numPr>
      </w:pPr>
      <w:r w:rsidRPr="00DC4E89">
        <w:t xml:space="preserve">During 2013-14, Australia continued to assist the Cambodian Government to deliver essential health care, especially to poor and marginalised groups. Through the Second Health Sector Support Program (HSSP2), Australia, in collaboration with the World Bank and other development partners, enabled approximately 2.5 million of the poorest Cambodians access to primary health care and hospital services.  We also continued to provide performance-based funding directly to health centres and hospitals to </w:t>
      </w:r>
      <w:r w:rsidR="000A0236" w:rsidRPr="00DC4E89">
        <w:t>incentivise the delivery of better health services.</w:t>
      </w:r>
      <w:r w:rsidRPr="00DC4E89">
        <w:t xml:space="preserve">  HSSP2 will be extended until December 2015, </w:t>
      </w:r>
      <w:r w:rsidRPr="00490EFB">
        <w:t>while Cambodia</w:t>
      </w:r>
      <w:r w:rsidR="00C76C38" w:rsidRPr="00490EFB">
        <w:t>’s</w:t>
      </w:r>
      <w:r w:rsidRPr="00490EFB">
        <w:t xml:space="preserve"> next </w:t>
      </w:r>
      <w:r w:rsidR="00C76C38" w:rsidRPr="00490EFB">
        <w:t xml:space="preserve">health </w:t>
      </w:r>
      <w:r w:rsidRPr="00490EFB">
        <w:t>strategic plan</w:t>
      </w:r>
      <w:r w:rsidR="00C76C38" w:rsidRPr="00490EFB">
        <w:t xml:space="preserve"> is produced</w:t>
      </w:r>
      <w:r w:rsidRPr="00490EFB">
        <w:t xml:space="preserve"> and </w:t>
      </w:r>
      <w:r w:rsidR="00C76C38" w:rsidRPr="00490EFB">
        <w:t xml:space="preserve">Australia leads a joint process between development partners and the Cambodian Government to establish </w:t>
      </w:r>
      <w:r w:rsidRPr="00490EFB">
        <w:t>a more sustainable financing mechanism.</w:t>
      </w:r>
      <w:r>
        <w:t xml:space="preserve">  </w:t>
      </w:r>
    </w:p>
    <w:p w:rsidR="006F5125" w:rsidRPr="00DC4E89" w:rsidRDefault="006F5125" w:rsidP="006F5125">
      <w:pPr>
        <w:pStyle w:val="ListBullet"/>
        <w:numPr>
          <w:ilvl w:val="0"/>
          <w:numId w:val="0"/>
        </w:numPr>
      </w:pPr>
      <w:r>
        <w:t xml:space="preserve">In 2013-14, we also launched Partnering to Save Lives, a unique partnership between CARE, Save the Children, Marie Stopes International, the Australian Government and the </w:t>
      </w:r>
      <w:r w:rsidR="00466BCA">
        <w:t xml:space="preserve">Cambodian </w:t>
      </w:r>
      <w:r>
        <w:t>Government.  Partnering to Save Lives will improve reproductive, maternal and neonatal care</w:t>
      </w:r>
      <w:r w:rsidR="00646164">
        <w:t xml:space="preserve"> for women and their babies</w:t>
      </w:r>
      <w:r w:rsidR="00646164" w:rsidRPr="00DC4E89">
        <w:t>. It is specifically working in</w:t>
      </w:r>
      <w:r w:rsidRPr="00DC4E89">
        <w:t xml:space="preserve"> the four remote north-eastern provinces and also in</w:t>
      </w:r>
      <w:r w:rsidR="00646164" w:rsidRPr="00DC4E89">
        <w:t xml:space="preserve"> Cambodia’s</w:t>
      </w:r>
      <w:r w:rsidRPr="00DC4E89">
        <w:t xml:space="preserve"> garment factories, which are the largest formal employers of women.  </w:t>
      </w:r>
      <w:r w:rsidR="00C76C38" w:rsidRPr="00490EFB">
        <w:t>The program is in its establishment phase</w:t>
      </w:r>
      <w:r w:rsidR="00BE5038" w:rsidRPr="00490EFB">
        <w:t xml:space="preserve"> and</w:t>
      </w:r>
      <w:r w:rsidR="00325873" w:rsidRPr="00490EFB">
        <w:t xml:space="preserve"> too early to report specific results. </w:t>
      </w:r>
      <w:r w:rsidR="000972AA" w:rsidRPr="00490EFB">
        <w:t xml:space="preserve"> As l</w:t>
      </w:r>
      <w:r w:rsidRPr="00490EFB">
        <w:t xml:space="preserve">essons </w:t>
      </w:r>
      <w:r w:rsidR="000972AA" w:rsidRPr="00490EFB">
        <w:t>are learned, they will be</w:t>
      </w:r>
      <w:r w:rsidRPr="00490EFB">
        <w:t xml:space="preserve"> shared</w:t>
      </w:r>
      <w:r w:rsidRPr="00DC4E89">
        <w:t xml:space="preserve"> with the Cambodian Go</w:t>
      </w:r>
      <w:r w:rsidR="009179DD">
        <w:t>vernment to enable it</w:t>
      </w:r>
      <w:r w:rsidRPr="00DC4E89">
        <w:t xml:space="preserve"> to take over.</w:t>
      </w:r>
    </w:p>
    <w:p w:rsidR="006F5125" w:rsidRDefault="006F5125" w:rsidP="006F5125">
      <w:pPr>
        <w:pStyle w:val="ListBullet"/>
        <w:numPr>
          <w:ilvl w:val="0"/>
          <w:numId w:val="0"/>
        </w:numPr>
      </w:pPr>
      <w:r w:rsidRPr="00DC4E89">
        <w:t xml:space="preserve">Australia has also taken a leading role among development partners in strategic policy discussions with the Cambodian Government.  </w:t>
      </w:r>
      <w:r w:rsidR="000972AA" w:rsidRPr="00490EFB">
        <w:t xml:space="preserve">In 2013-14, Australia’s advocacy efforts helped to secure Cambodian Government </w:t>
      </w:r>
      <w:r w:rsidR="008E3A76">
        <w:t xml:space="preserve">funding </w:t>
      </w:r>
      <w:r w:rsidR="000972AA" w:rsidRPr="00490EFB">
        <w:t>for essential contraceptive commodities, reducing reliance on donors.</w:t>
      </w:r>
      <w:r w:rsidR="000972AA" w:rsidRPr="00DC4E89">
        <w:t xml:space="preserve">  </w:t>
      </w:r>
      <w:r w:rsidRPr="00DC4E89">
        <w:t xml:space="preserve">Improving </w:t>
      </w:r>
      <w:r w:rsidR="008E3A76">
        <w:t xml:space="preserve">the </w:t>
      </w:r>
      <w:r w:rsidRPr="00DC4E89">
        <w:t>quality of care, strengthening public financial</w:t>
      </w:r>
      <w:r>
        <w:t xml:space="preserve"> management for health and expanding subsidised services beyond the poorest to include the ‘near-poor’ (those living on $1.25-$2 per day) are </w:t>
      </w:r>
      <w:r w:rsidR="000972AA">
        <w:t>ongoing</w:t>
      </w:r>
      <w:r>
        <w:t xml:space="preserve"> policy priorities for Australia and other development partners.  Throughout 2014-15, </w:t>
      </w:r>
      <w:r w:rsidRPr="00DC4E89">
        <w:t xml:space="preserve">Australia will continue to drive these discussions between the </w:t>
      </w:r>
      <w:r w:rsidR="00466BCA" w:rsidRPr="00DC4E89">
        <w:t xml:space="preserve">Cambodian </w:t>
      </w:r>
      <w:r w:rsidRPr="00DC4E89">
        <w:t>Government and development partners</w:t>
      </w:r>
      <w:r w:rsidR="000A7CB7" w:rsidRPr="00490EFB">
        <w:t>, particularly as we plan a</w:t>
      </w:r>
      <w:r w:rsidR="000972AA" w:rsidRPr="00490EFB">
        <w:t xml:space="preserve"> </w:t>
      </w:r>
      <w:r w:rsidR="00C76C38" w:rsidRPr="00490EFB">
        <w:t>new health financing mechanism to follow HSSP2</w:t>
      </w:r>
      <w:r w:rsidRPr="00490EFB">
        <w:t>.</w:t>
      </w:r>
      <w:r w:rsidR="000972AA">
        <w:t xml:space="preserve">  </w:t>
      </w:r>
    </w:p>
    <w:p w:rsidR="006F5125" w:rsidRDefault="006F5125" w:rsidP="006F5125">
      <w:pPr>
        <w:pStyle w:val="ListBullet"/>
        <w:numPr>
          <w:ilvl w:val="0"/>
          <w:numId w:val="0"/>
        </w:numPr>
      </w:pPr>
      <w:r>
        <w:lastRenderedPageBreak/>
        <w:t>During 2013-14, the Australian Government decided to bring forward the closure of the HIV/AIDS Asia Regional Program (HAARP).  In Cambodia, HAARP will now close in December 2014 – six months earlier than planned.  A sustainable exit plan for HAARP has been developed and responsibility for services under the program will shift to the Cambodian Government with the support of other funders and implementing partners.</w:t>
      </w:r>
    </w:p>
    <w:p w:rsidR="006F5125" w:rsidRPr="00661ADA" w:rsidRDefault="006F5125" w:rsidP="009F749F">
      <w:pPr>
        <w:pStyle w:val="Heading3"/>
      </w:pPr>
      <w:r w:rsidRPr="00BF2045">
        <w:t>Objective 3: Improved infrastructure quality, quantity and access</w:t>
      </w:r>
    </w:p>
    <w:tbl>
      <w:tblPr>
        <w:tblStyle w:val="APPR"/>
        <w:tblW w:w="5000" w:type="pct"/>
        <w:tblLook w:val="01E0" w:firstRow="1" w:lastRow="1" w:firstColumn="1" w:lastColumn="1" w:noHBand="0" w:noVBand="0"/>
      </w:tblPr>
      <w:tblGrid>
        <w:gridCol w:w="7031"/>
        <w:gridCol w:w="1746"/>
      </w:tblGrid>
      <w:tr w:rsidR="006F5125" w:rsidRPr="00BF2045" w:rsidTr="000B314C">
        <w:trPr>
          <w:cnfStyle w:val="100000000000" w:firstRow="1" w:lastRow="0" w:firstColumn="0" w:lastColumn="0" w:oddVBand="0" w:evenVBand="0" w:oddHBand="0" w:evenHBand="0" w:firstRowFirstColumn="0" w:firstRowLastColumn="0" w:lastRowFirstColumn="0" w:lastRowLastColumn="0"/>
        </w:trPr>
        <w:tc>
          <w:tcPr>
            <w:tcW w:w="3981" w:type="pct"/>
          </w:tcPr>
          <w:p w:rsidR="006F5125" w:rsidRPr="00A51634" w:rsidRDefault="00A51634" w:rsidP="006F5125">
            <w:pPr>
              <w:pStyle w:val="TableTextEntries"/>
              <w:rPr>
                <w:rFonts w:eastAsia="Calibri"/>
              </w:rPr>
            </w:pPr>
            <w:r w:rsidRPr="00A51634">
              <w:rPr>
                <w:rFonts w:eastAsia="Calibri"/>
              </w:rPr>
              <w:t>Development outcome:</w:t>
            </w:r>
            <w:r w:rsidR="006F5125" w:rsidRPr="00A51634">
              <w:rPr>
                <w:rFonts w:eastAsia="Calibri"/>
              </w:rPr>
              <w:t xml:space="preserve"> Improved transport and energy infrastructure</w:t>
            </w:r>
          </w:p>
        </w:tc>
        <w:tc>
          <w:tcPr>
            <w:tcW w:w="971" w:type="pct"/>
            <w:shd w:val="clear" w:color="auto" w:fill="F79646" w:themeFill="accent6"/>
          </w:tcPr>
          <w:p w:rsidR="006F5125" w:rsidRPr="00A51634" w:rsidRDefault="006742B3" w:rsidP="006742B3">
            <w:pPr>
              <w:pStyle w:val="TableTextEntries"/>
              <w:rPr>
                <w:rFonts w:eastAsia="Calibri"/>
              </w:rPr>
            </w:pPr>
            <w:r w:rsidRPr="00A51634">
              <w:rPr>
                <w:rFonts w:eastAsia="Calibri"/>
              </w:rPr>
              <w:t>Amber</w:t>
            </w:r>
          </w:p>
        </w:tc>
      </w:tr>
    </w:tbl>
    <w:p w:rsidR="00BE5038" w:rsidRPr="00180B19" w:rsidRDefault="00BE5038" w:rsidP="009F749F">
      <w:pPr>
        <w:pStyle w:val="Note"/>
        <w:ind w:left="0"/>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6F5125" w:rsidRPr="00745FE3" w:rsidRDefault="006F5125" w:rsidP="006F5125">
      <w:pPr>
        <w:pStyle w:val="Heading3"/>
      </w:pPr>
      <w:r>
        <w:t>Annual milestone targets 2013-14</w:t>
      </w:r>
    </w:p>
    <w:p w:rsidR="006F5125" w:rsidRDefault="006F5125" w:rsidP="006F5125">
      <w:pPr>
        <w:pStyle w:val="ListBullet"/>
        <w:tabs>
          <w:tab w:val="num" w:pos="284"/>
        </w:tabs>
        <w:spacing w:line="240" w:lineRule="auto"/>
        <w:ind w:left="284" w:hanging="284"/>
      </w:pPr>
      <w:r>
        <w:t>Contractors (on several completing projects) complete civil works (Almost achieved)</w:t>
      </w:r>
    </w:p>
    <w:p w:rsidR="006F5125" w:rsidRDefault="006F5125" w:rsidP="006F5125">
      <w:pPr>
        <w:pStyle w:val="ListBullet"/>
        <w:tabs>
          <w:tab w:val="num" w:pos="284"/>
        </w:tabs>
        <w:spacing w:line="240" w:lineRule="auto"/>
        <w:ind w:left="284" w:hanging="284"/>
      </w:pPr>
      <w:r>
        <w:t>One periodic and routine maintenance contract let through a competitive bidding process (Fully achieved)</w:t>
      </w:r>
    </w:p>
    <w:p w:rsidR="006F5125" w:rsidRDefault="006F5125" w:rsidP="006F5125">
      <w:pPr>
        <w:pStyle w:val="ListBullet"/>
        <w:tabs>
          <w:tab w:val="num" w:pos="284"/>
        </w:tabs>
        <w:spacing w:line="240" w:lineRule="auto"/>
        <w:ind w:left="284" w:hanging="284"/>
      </w:pPr>
      <w:r>
        <w:t>100 resettlement cases resolved (Not Achieved: Decision to resettle postponed due to civil works priority resetting)</w:t>
      </w:r>
    </w:p>
    <w:p w:rsidR="006F5125" w:rsidRDefault="006F5125" w:rsidP="006F5125">
      <w:pPr>
        <w:pStyle w:val="ListBullet"/>
        <w:tabs>
          <w:tab w:val="num" w:pos="284"/>
        </w:tabs>
        <w:spacing w:line="240" w:lineRule="auto"/>
        <w:ind w:left="284" w:hanging="284"/>
      </w:pPr>
      <w:r>
        <w:t>500 affected households accessing low income loan and safety net grant (Fully achieved)</w:t>
      </w:r>
    </w:p>
    <w:p w:rsidR="006F5125" w:rsidRDefault="006F5125" w:rsidP="006F5125">
      <w:pPr>
        <w:pStyle w:val="ListBullet"/>
        <w:tabs>
          <w:tab w:val="num" w:pos="284"/>
        </w:tabs>
        <w:spacing w:line="240" w:lineRule="auto"/>
        <w:ind w:left="284" w:hanging="284"/>
      </w:pPr>
      <w:r>
        <w:t xml:space="preserve"> Undertook </w:t>
      </w:r>
      <w:r w:rsidR="008126CA">
        <w:t>r</w:t>
      </w:r>
      <w:r>
        <w:t>oad safety awareness program (Fully Achieved)</w:t>
      </w:r>
    </w:p>
    <w:p w:rsidR="006F5125" w:rsidRDefault="006F5125" w:rsidP="006F5125">
      <w:pPr>
        <w:pStyle w:val="ListBullet"/>
        <w:tabs>
          <w:tab w:val="num" w:pos="284"/>
        </w:tabs>
        <w:spacing w:line="240" w:lineRule="auto"/>
        <w:ind w:left="284" w:hanging="284"/>
      </w:pPr>
      <w:r>
        <w:t>Established market rate for maintenance activities in Cambodia (Not achieved)</w:t>
      </w:r>
    </w:p>
    <w:p w:rsidR="006F5125" w:rsidRPr="00DC4E89" w:rsidRDefault="006F5125" w:rsidP="006F5125">
      <w:pPr>
        <w:pStyle w:val="ListBullet"/>
        <w:numPr>
          <w:ilvl w:val="0"/>
          <w:numId w:val="0"/>
        </w:numPr>
      </w:pPr>
      <w:r>
        <w:t>Despite</w:t>
      </w:r>
      <w:r w:rsidR="000A0236">
        <w:t xml:space="preserve"> impressive</w:t>
      </w:r>
      <w:r>
        <w:t xml:space="preserve"> increas</w:t>
      </w:r>
      <w:r w:rsidR="000A0236">
        <w:t xml:space="preserve">ed </w:t>
      </w:r>
      <w:r>
        <w:t>coverage of transport and energy infrastructure in Cambodia, the</w:t>
      </w:r>
      <w:r w:rsidR="000A0236">
        <w:t xml:space="preserve">se gains are from </w:t>
      </w:r>
      <w:r>
        <w:t>a low base</w:t>
      </w:r>
      <w:r w:rsidR="000A0236">
        <w:t>,</w:t>
      </w:r>
      <w:r>
        <w:t xml:space="preserve"> and needs remain high.  Infrastructure constraints remain a hindrance to economic growth and undermine other advantages, </w:t>
      </w:r>
      <w:r w:rsidR="00057CA8">
        <w:t xml:space="preserve">in </w:t>
      </w:r>
      <w:r>
        <w:t xml:space="preserve">particular Cambodia’s location in the heart of a growing </w:t>
      </w:r>
      <w:r w:rsidRPr="00DC4E89">
        <w:t xml:space="preserve">region.  </w:t>
      </w:r>
    </w:p>
    <w:p w:rsidR="00BB037F" w:rsidRPr="00490EFB" w:rsidRDefault="00BB037F" w:rsidP="006F5125">
      <w:pPr>
        <w:pStyle w:val="ListBullet"/>
        <w:numPr>
          <w:ilvl w:val="0"/>
          <w:numId w:val="0"/>
        </w:numPr>
      </w:pPr>
      <w:r w:rsidRPr="00490EFB">
        <w:t xml:space="preserve">In what is overall a strongly performing portfolio, this </w:t>
      </w:r>
      <w:r w:rsidR="000C0C1C" w:rsidRPr="00490EFB">
        <w:t xml:space="preserve">objective </w:t>
      </w:r>
      <w:r w:rsidRPr="00490EFB">
        <w:t xml:space="preserve">is </w:t>
      </w:r>
      <w:r w:rsidR="000C0C1C" w:rsidRPr="00490EFB">
        <w:t>rated amber due</w:t>
      </w:r>
      <w:r w:rsidR="009179DD">
        <w:t xml:space="preserve"> to issues relating to </w:t>
      </w:r>
      <w:r w:rsidR="000C0C1C" w:rsidRPr="00490EFB">
        <w:t>resettlement</w:t>
      </w:r>
      <w:r w:rsidRPr="00490EFB">
        <w:t xml:space="preserve">, particularly concerning the Rehabilitation of the Railway Project. While Australia has </w:t>
      </w:r>
      <w:r w:rsidR="006F5125" w:rsidRPr="00490EFB">
        <w:t>fully met its financial commitments to the Project</w:t>
      </w:r>
      <w:r w:rsidRPr="00490EFB">
        <w:t>,</w:t>
      </w:r>
      <w:r w:rsidR="00A903D5" w:rsidRPr="00490EFB">
        <w:t xml:space="preserve"> </w:t>
      </w:r>
      <w:r w:rsidRPr="00490EFB">
        <w:t xml:space="preserve">not enough has changed in the past 12 months to alter the amber rating.  There is enough evidence however to expect improvements </w:t>
      </w:r>
      <w:r w:rsidR="00A903D5" w:rsidRPr="00490EFB">
        <w:t>b</w:t>
      </w:r>
      <w:r w:rsidR="008126CA" w:rsidRPr="00490EFB">
        <w:t>y</w:t>
      </w:r>
      <w:r w:rsidR="00A903D5" w:rsidRPr="00490EFB">
        <w:t xml:space="preserve"> June 2015. </w:t>
      </w:r>
      <w:r w:rsidR="00540B79" w:rsidRPr="00490EFB">
        <w:t xml:space="preserve"> </w:t>
      </w:r>
    </w:p>
    <w:p w:rsidR="005D25B0" w:rsidRPr="00BF2045" w:rsidRDefault="005D25B0" w:rsidP="005D25B0">
      <w:pPr>
        <w:pStyle w:val="ListBullet"/>
        <w:numPr>
          <w:ilvl w:val="0"/>
          <w:numId w:val="0"/>
        </w:numPr>
      </w:pPr>
      <w:r w:rsidRPr="00490EFB">
        <w:t xml:space="preserve">Other donors, notably China, have outstripped </w:t>
      </w:r>
      <w:r w:rsidR="005F70CF">
        <w:t>Australia as</w:t>
      </w:r>
      <w:r w:rsidRPr="00490EFB">
        <w:t xml:space="preserve"> investor</w:t>
      </w:r>
      <w:r w:rsidR="005F70CF">
        <w:t>s</w:t>
      </w:r>
      <w:r w:rsidRPr="00490EFB">
        <w:t xml:space="preserve"> in national level infrastructure. </w:t>
      </w:r>
      <w:r w:rsidR="00BB037F" w:rsidRPr="00490EFB">
        <w:t xml:space="preserve">At the same time </w:t>
      </w:r>
      <w:r w:rsidRPr="00490EFB">
        <w:t xml:space="preserve">investment in </w:t>
      </w:r>
      <w:r w:rsidR="00BB037F" w:rsidRPr="00490EFB">
        <w:t>local level infrastructure</w:t>
      </w:r>
      <w:r w:rsidRPr="00490EFB">
        <w:t xml:space="preserve"> </w:t>
      </w:r>
      <w:r w:rsidR="008126CA" w:rsidRPr="00490EFB">
        <w:t xml:space="preserve">to </w:t>
      </w:r>
      <w:r w:rsidRPr="00490EFB">
        <w:t xml:space="preserve">link communities to markets </w:t>
      </w:r>
      <w:r w:rsidR="008126CA" w:rsidRPr="00490EFB">
        <w:t>and</w:t>
      </w:r>
      <w:r w:rsidRPr="00490EFB">
        <w:t xml:space="preserve"> unlock economic activity remains low. As flagged in the 2013-14 APPR, Australia has begun th</w:t>
      </w:r>
      <w:r w:rsidR="005F70CF">
        <w:t>e process of mov</w:t>
      </w:r>
      <w:r w:rsidRPr="00490EFB">
        <w:t>ing our infrastructure portfolio away from large-scale infrastructure projects. We have commenced the design process for a new project on small-scale infrastructure working directly with the private sector.</w:t>
      </w:r>
      <w:r>
        <w:t xml:space="preserve"> </w:t>
      </w:r>
    </w:p>
    <w:p w:rsidR="006F5125" w:rsidRDefault="00540B79" w:rsidP="006F5125">
      <w:pPr>
        <w:pStyle w:val="ListBullet"/>
        <w:numPr>
          <w:ilvl w:val="0"/>
          <w:numId w:val="0"/>
        </w:numPr>
      </w:pPr>
      <w:r>
        <w:t>Regular</w:t>
      </w:r>
      <w:r w:rsidR="008E3A76">
        <w:t xml:space="preserve"> rail</w:t>
      </w:r>
      <w:r>
        <w:t xml:space="preserve"> freight services (average of at least two per day) now operate between Sihanoukville and Phnom Penh.</w:t>
      </w:r>
      <w:r w:rsidR="006F5125">
        <w:t xml:space="preserve">  In recognition of the challenges with resettlement, Australia agreed that implementation of the Expanded Income Restoration Program under the Project be allowed to continue until at least the end of 2014.  </w:t>
      </w:r>
    </w:p>
    <w:p w:rsidR="006F5125" w:rsidRDefault="006F5125" w:rsidP="006F5125">
      <w:pPr>
        <w:pStyle w:val="ListBullet"/>
        <w:numPr>
          <w:ilvl w:val="0"/>
          <w:numId w:val="0"/>
        </w:numPr>
      </w:pPr>
      <w:r>
        <w:t>In early 2014, the Asian Development Bank’s Compliance Review Panel released its report on complaint</w:t>
      </w:r>
      <w:r w:rsidR="005F70CF">
        <w:t>s regarding the project’s compliance</w:t>
      </w:r>
      <w:r>
        <w:t xml:space="preserve"> with </w:t>
      </w:r>
      <w:r w:rsidR="000622B9">
        <w:t xml:space="preserve">the </w:t>
      </w:r>
      <w:r>
        <w:t xml:space="preserve">ADB safeguards policy. The Report was critical of </w:t>
      </w:r>
      <w:r w:rsidRPr="00C855FF">
        <w:t xml:space="preserve">ADB’s management of </w:t>
      </w:r>
      <w:r>
        <w:t xml:space="preserve">resettlement and the Board directed ADB to develop a remediation plan. </w:t>
      </w:r>
    </w:p>
    <w:p w:rsidR="006F5125" w:rsidRDefault="000622B9" w:rsidP="006F5125">
      <w:pPr>
        <w:pStyle w:val="ListBullet"/>
        <w:numPr>
          <w:ilvl w:val="0"/>
          <w:numId w:val="0"/>
        </w:numPr>
      </w:pPr>
      <w:r>
        <w:t>The report noted that</w:t>
      </w:r>
      <w:r w:rsidRPr="00C855FF">
        <w:t xml:space="preserve"> measures undertaken by the Australian Government </w:t>
      </w:r>
      <w:r>
        <w:t xml:space="preserve">to address resettlement issues had </w:t>
      </w:r>
      <w:r w:rsidR="008126CA">
        <w:t>impacted</w:t>
      </w:r>
      <w:r>
        <w:t xml:space="preserve"> positive</w:t>
      </w:r>
      <w:r w:rsidR="008126CA">
        <w:t>ly</w:t>
      </w:r>
      <w:r>
        <w:t xml:space="preserve"> on resettlement efforts.  </w:t>
      </w:r>
      <w:r w:rsidR="00057CA8">
        <w:t xml:space="preserve">These measures included </w:t>
      </w:r>
      <w:r w:rsidR="006F5125">
        <w:t>the Expanded Income Restoration Program</w:t>
      </w:r>
      <w:r w:rsidR="00057CA8">
        <w:t>, under which</w:t>
      </w:r>
      <w:r w:rsidR="006F5125">
        <w:t xml:space="preserve"> 14 self-help groups have been established covering 469 households.  Of these, 298 have borrowed from their community loan </w:t>
      </w:r>
      <w:r w:rsidR="006F5125">
        <w:lastRenderedPageBreak/>
        <w:t>schemes to fund small income-generating activities, to a total value of almost $225,000.  In addition, community centres have been built at each of the five resettlement sites and all sites have received infrastructure upgrades.  Training has been provided to 376 households to enable greater financial literacy.</w:t>
      </w:r>
    </w:p>
    <w:p w:rsidR="006F5125" w:rsidRPr="00095DB4" w:rsidRDefault="00057CA8" w:rsidP="00057CA8">
      <w:pPr>
        <w:pStyle w:val="BodyText"/>
      </w:pPr>
      <w:r>
        <w:t xml:space="preserve">Many of these income restoration activities are home-based, providing opportunities for women and especially women who head their household.  Observations made </w:t>
      </w:r>
      <w:r w:rsidR="004C7556">
        <w:t>during more than</w:t>
      </w:r>
      <w:r>
        <w:t xml:space="preserve"> </w:t>
      </w:r>
      <w:r w:rsidR="006F5125" w:rsidRPr="00095DB4">
        <w:t>30 site visits by DFAT</w:t>
      </w:r>
      <w:r>
        <w:t xml:space="preserve"> staff</w:t>
      </w:r>
      <w:r w:rsidR="006F5125" w:rsidRPr="00095DB4">
        <w:t xml:space="preserve">, </w:t>
      </w:r>
      <w:r>
        <w:t>confirm</w:t>
      </w:r>
      <w:r w:rsidR="004C7556">
        <w:t>ed</w:t>
      </w:r>
      <w:r>
        <w:t xml:space="preserve"> </w:t>
      </w:r>
      <w:r w:rsidR="006F5125" w:rsidRPr="00095DB4">
        <w:t xml:space="preserve">that women are the predominant </w:t>
      </w:r>
      <w:r w:rsidR="004C7556">
        <w:t>beneficiaries</w:t>
      </w:r>
      <w:r w:rsidR="006F5125" w:rsidRPr="00095DB4">
        <w:t xml:space="preserve">. </w:t>
      </w:r>
      <w:r>
        <w:t xml:space="preserve">The inclusion of women is also supported by data from the </w:t>
      </w:r>
      <w:r w:rsidRPr="00095DB4">
        <w:t>financial literacy training</w:t>
      </w:r>
      <w:r>
        <w:t xml:space="preserve">, which shows that of </w:t>
      </w:r>
      <w:r w:rsidRPr="00095DB4">
        <w:t xml:space="preserve">3,425 </w:t>
      </w:r>
      <w:r>
        <w:t>‘attendances’</w:t>
      </w:r>
      <w:r w:rsidRPr="00095DB4">
        <w:t xml:space="preserve">, 2,227 </w:t>
      </w:r>
      <w:r>
        <w:t xml:space="preserve">were by </w:t>
      </w:r>
      <w:r w:rsidRPr="00095DB4">
        <w:t>women</w:t>
      </w:r>
      <w:r>
        <w:t>.</w:t>
      </w:r>
    </w:p>
    <w:p w:rsidR="006F5125" w:rsidRDefault="006F5125" w:rsidP="006F5125">
      <w:pPr>
        <w:pStyle w:val="ListBullet"/>
        <w:numPr>
          <w:ilvl w:val="0"/>
          <w:numId w:val="0"/>
        </w:numPr>
      </w:pPr>
      <w:r>
        <w:t>The Southern Coastal Corridor Project has completed construction on the new 15 kilometre road and agreed road maintenance contracts. The works at the cross-border facility are over 50</w:t>
      </w:r>
      <w:r w:rsidR="00540B79">
        <w:t xml:space="preserve"> </w:t>
      </w:r>
      <w:r>
        <w:t>per cent complete, with most of the major structures at more than 80</w:t>
      </w:r>
      <w:r w:rsidR="00540B79">
        <w:t xml:space="preserve"> </w:t>
      </w:r>
      <w:r>
        <w:t>per cent complete.  The HIV and Trafficking Awareness and Prevention Program has been fully met, with 800 people (70</w:t>
      </w:r>
      <w:r w:rsidR="00540B79">
        <w:t xml:space="preserve"> </w:t>
      </w:r>
      <w:r>
        <w:t>per cent were women) reached.  The project is on</w:t>
      </w:r>
      <w:r w:rsidR="00466BCA">
        <w:t xml:space="preserve"> </w:t>
      </w:r>
      <w:r>
        <w:t>track for December 2014 completion.</w:t>
      </w:r>
    </w:p>
    <w:p w:rsidR="006F5125" w:rsidRDefault="006F5125" w:rsidP="006F5125">
      <w:pPr>
        <w:pStyle w:val="ListBullet"/>
        <w:numPr>
          <w:ilvl w:val="0"/>
          <w:numId w:val="0"/>
        </w:numPr>
      </w:pPr>
      <w:r>
        <w:t>The Road Asset Management Project recalculated its targets to 950 kilometres</w:t>
      </w:r>
      <w:r w:rsidR="004C7556">
        <w:t xml:space="preserve"> of </w:t>
      </w:r>
      <w:r w:rsidR="007244BE">
        <w:t>roads</w:t>
      </w:r>
      <w:r w:rsidR="004C7556">
        <w:t xml:space="preserve">, which is now substantially (92%) complete </w:t>
      </w:r>
      <w:r>
        <w:t>and on track for 2014 completion.</w:t>
      </w:r>
    </w:p>
    <w:p w:rsidR="006F5125" w:rsidRDefault="006F5125" w:rsidP="006F5125">
      <w:pPr>
        <w:pStyle w:val="ListBullet"/>
        <w:numPr>
          <w:ilvl w:val="0"/>
          <w:numId w:val="0"/>
        </w:numPr>
      </w:pPr>
      <w:r>
        <w:t>The revised Rural Energy Project was approved by the ADB Board in early 2013, but staff shortages (including deployment of ADB Manila staff to the Typhoon Hainan response) slowed the finalisation of formalities.  The project was deemed formally ‘effective’</w:t>
      </w:r>
      <w:r w:rsidR="00466BCA">
        <w:t>,</w:t>
      </w:r>
      <w:r>
        <w:t xml:space="preserve"> and bid documents are now under preparation, with civil works due to start following the monsoon season </w:t>
      </w:r>
      <w:r w:rsidR="000A0236">
        <w:t>in</w:t>
      </w:r>
      <w:r>
        <w:t xml:space="preserve"> </w:t>
      </w:r>
      <w:r w:rsidR="00046798">
        <w:t xml:space="preserve">late </w:t>
      </w:r>
      <w:r>
        <w:t>2014.</w:t>
      </w:r>
    </w:p>
    <w:p w:rsidR="006F5125" w:rsidRDefault="006F5125" w:rsidP="006F5125">
      <w:pPr>
        <w:pStyle w:val="ListBullet"/>
        <w:numPr>
          <w:ilvl w:val="0"/>
          <w:numId w:val="0"/>
        </w:numPr>
      </w:pPr>
      <w:r>
        <w:t xml:space="preserve">Support to the Cambodian Flood Damage Emergency Rehabilitation Project continued to be effective. </w:t>
      </w:r>
      <w:r w:rsidR="00540B79">
        <w:t>T</w:t>
      </w:r>
      <w:r>
        <w:t>he Project has completed one major dyke rehabilitation, constructed four bridges, rehabilitated four kilometres of provincial and 382 kilometres of rural roads</w:t>
      </w:r>
      <w:r w:rsidR="00466BCA">
        <w:t>,</w:t>
      </w:r>
      <w:r>
        <w:t xml:space="preserve"> </w:t>
      </w:r>
      <w:r w:rsidR="007244BE">
        <w:t>as well as</w:t>
      </w:r>
      <w:r>
        <w:t xml:space="preserve"> 10 irrigation schemes.  The irrigation outputs are expected to achieve around 150</w:t>
      </w:r>
      <w:r w:rsidR="009F6A74">
        <w:t xml:space="preserve"> </w:t>
      </w:r>
      <w:r>
        <w:t xml:space="preserve">per cent against the original plan.  There was again serious flooding in late 2013, primarily affecting different regions to the 2011 floods.  Due to the continuing level of need and good project performance to date, Australia </w:t>
      </w:r>
      <w:r w:rsidR="007244BE">
        <w:t xml:space="preserve">has </w:t>
      </w:r>
      <w:r>
        <w:t>agreed to enter into a second phase of this project</w:t>
      </w:r>
      <w:r w:rsidR="007244BE">
        <w:t xml:space="preserve"> in 2014-15</w:t>
      </w:r>
      <w:r w:rsidR="000A0236">
        <w:t>.</w:t>
      </w:r>
    </w:p>
    <w:p w:rsidR="006F5125" w:rsidRPr="00661ADA" w:rsidRDefault="006F5125" w:rsidP="009F749F">
      <w:pPr>
        <w:pStyle w:val="Heading3"/>
        <w:rPr>
          <w:i/>
        </w:rPr>
      </w:pPr>
      <w:r w:rsidRPr="00BF2045">
        <w:t>Objective 4: Women, youth and children are safer and communities have less crime, a more effective non-custodial sentencing system, strengthened evidence-based performance management</w:t>
      </w:r>
    </w:p>
    <w:tbl>
      <w:tblPr>
        <w:tblStyle w:val="APPR"/>
        <w:tblW w:w="5000" w:type="pct"/>
        <w:tblLook w:val="01E0" w:firstRow="1" w:lastRow="1" w:firstColumn="1" w:lastColumn="1" w:noHBand="0" w:noVBand="0"/>
      </w:tblPr>
      <w:tblGrid>
        <w:gridCol w:w="7031"/>
        <w:gridCol w:w="1746"/>
      </w:tblGrid>
      <w:tr w:rsidR="006F5125" w:rsidRPr="00BF2045" w:rsidTr="000B314C">
        <w:trPr>
          <w:cnfStyle w:val="100000000000" w:firstRow="1" w:lastRow="0" w:firstColumn="0" w:lastColumn="0" w:oddVBand="0" w:evenVBand="0" w:oddHBand="0" w:evenHBand="0" w:firstRowFirstColumn="0" w:firstRowLastColumn="0" w:lastRowFirstColumn="0" w:lastRowLastColumn="0"/>
        </w:trPr>
        <w:tc>
          <w:tcPr>
            <w:tcW w:w="3981" w:type="pct"/>
          </w:tcPr>
          <w:p w:rsidR="006F5125" w:rsidRPr="00A51634" w:rsidRDefault="00A51634" w:rsidP="006F5125">
            <w:pPr>
              <w:pStyle w:val="TableTextEntries"/>
              <w:rPr>
                <w:rFonts w:eastAsia="Calibri"/>
              </w:rPr>
            </w:pPr>
            <w:r w:rsidRPr="00A51634">
              <w:rPr>
                <w:rFonts w:eastAsia="Calibri"/>
              </w:rPr>
              <w:t>Development outcome:</w:t>
            </w:r>
            <w:r w:rsidR="006F5125" w:rsidRPr="00A51634">
              <w:rPr>
                <w:rFonts w:eastAsia="Calibri"/>
              </w:rPr>
              <w:t xml:space="preserve"> Women, youth and children are safer and communities have less crime, a more effective non-custodial sentencing system, strengthened evidence-based performance management</w:t>
            </w:r>
          </w:p>
        </w:tc>
        <w:tc>
          <w:tcPr>
            <w:tcW w:w="971" w:type="pct"/>
            <w:shd w:val="clear" w:color="auto" w:fill="F79646" w:themeFill="accent6"/>
          </w:tcPr>
          <w:p w:rsidR="006F5125" w:rsidRPr="00A51634" w:rsidRDefault="006F5125" w:rsidP="006F5125">
            <w:pPr>
              <w:pStyle w:val="TableTextEntries"/>
              <w:jc w:val="center"/>
              <w:rPr>
                <w:rFonts w:eastAsia="Calibri"/>
              </w:rPr>
            </w:pPr>
            <w:r w:rsidRPr="00A51634">
              <w:rPr>
                <w:rFonts w:eastAsia="Calibri"/>
              </w:rPr>
              <w:t>Amber</w:t>
            </w:r>
          </w:p>
        </w:tc>
      </w:tr>
    </w:tbl>
    <w:p w:rsidR="00045C5A" w:rsidRPr="00180B19" w:rsidRDefault="00045C5A" w:rsidP="009F749F">
      <w:pPr>
        <w:pStyle w:val="Note"/>
        <w:ind w:left="0"/>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6F5125" w:rsidRPr="00745FE3" w:rsidRDefault="006F5125" w:rsidP="006F5125">
      <w:pPr>
        <w:pStyle w:val="Heading3"/>
      </w:pPr>
      <w:r>
        <w:t>Annual milestone targets 2013-14</w:t>
      </w:r>
    </w:p>
    <w:p w:rsidR="008C3111" w:rsidRPr="008C3111" w:rsidRDefault="008C3111" w:rsidP="008C3111">
      <w:pPr>
        <w:pStyle w:val="ListBullet"/>
        <w:tabs>
          <w:tab w:val="num" w:pos="284"/>
        </w:tabs>
        <w:spacing w:after="0" w:line="240" w:lineRule="auto"/>
        <w:ind w:left="284" w:hanging="284"/>
        <w:rPr>
          <w:szCs w:val="22"/>
        </w:rPr>
      </w:pPr>
      <w:r>
        <w:rPr>
          <w:szCs w:val="22"/>
        </w:rPr>
        <w:t xml:space="preserve">Community </w:t>
      </w:r>
      <w:r>
        <w:t>security mechanisms better function in targeted districts to improve crime prevention (partially achieved)</w:t>
      </w:r>
    </w:p>
    <w:p w:rsidR="00C67075" w:rsidRPr="008C3111" w:rsidRDefault="00C67075" w:rsidP="008C3111">
      <w:pPr>
        <w:pStyle w:val="ListBullet"/>
        <w:spacing w:after="0"/>
      </w:pPr>
      <w:r w:rsidRPr="008C3111">
        <w:t xml:space="preserve">Police crime data upgraded/redesigned to serve management and decision making </w:t>
      </w:r>
      <w:r w:rsidR="008C3111">
        <w:t>(partially achieved)</w:t>
      </w:r>
      <w:r w:rsidRPr="008C3111">
        <w:t xml:space="preserve">. </w:t>
      </w:r>
    </w:p>
    <w:p w:rsidR="00C67075" w:rsidRPr="008C3111" w:rsidRDefault="00C67075" w:rsidP="008C3111">
      <w:pPr>
        <w:pStyle w:val="ListBullet"/>
        <w:spacing w:after="0"/>
      </w:pPr>
      <w:r w:rsidRPr="008C3111">
        <w:t>Alternative and non-custodial sentencing piloted in two of project targeted provinces</w:t>
      </w:r>
      <w:r w:rsidR="008C3111">
        <w:t xml:space="preserve"> (not achieved)</w:t>
      </w:r>
      <w:r w:rsidRPr="008C3111">
        <w:t xml:space="preserve"> </w:t>
      </w:r>
    </w:p>
    <w:p w:rsidR="00C67075" w:rsidRDefault="00C67075" w:rsidP="008C3111">
      <w:pPr>
        <w:pStyle w:val="ListBullet"/>
        <w:spacing w:after="0"/>
      </w:pPr>
      <w:r>
        <w:t>Appeal court databases upgraded to serve management and decision making</w:t>
      </w:r>
      <w:r w:rsidR="00045C5A">
        <w:t xml:space="preserve"> </w:t>
      </w:r>
      <w:r w:rsidR="008C3111">
        <w:t>(not achieved)</w:t>
      </w:r>
    </w:p>
    <w:p w:rsidR="00C67075" w:rsidRDefault="00C67075" w:rsidP="008C3111">
      <w:pPr>
        <w:pStyle w:val="ListBullet"/>
        <w:spacing w:after="0"/>
      </w:pPr>
      <w:r>
        <w:t>Prison databases upgraded to serve management and decision making</w:t>
      </w:r>
      <w:r w:rsidR="001472A4">
        <w:t xml:space="preserve"> </w:t>
      </w:r>
      <w:r w:rsidR="008C3111">
        <w:t>(not achieved)</w:t>
      </w:r>
    </w:p>
    <w:p w:rsidR="00C67075" w:rsidRPr="00C67075" w:rsidRDefault="00C67075" w:rsidP="00C0704F">
      <w:pPr>
        <w:pStyle w:val="ListBullet"/>
        <w:spacing w:after="0" w:line="240" w:lineRule="auto"/>
        <w:ind w:left="357" w:hanging="357"/>
        <w:rPr>
          <w:szCs w:val="22"/>
        </w:rPr>
      </w:pPr>
      <w:r>
        <w:t>Court register databases established and piloted</w:t>
      </w:r>
      <w:r w:rsidR="008C3111">
        <w:t xml:space="preserve"> (partially achieved)</w:t>
      </w:r>
    </w:p>
    <w:p w:rsidR="00184BA7" w:rsidRDefault="00376E80" w:rsidP="00C0704F">
      <w:pPr>
        <w:pStyle w:val="BodyText"/>
        <w:spacing w:before="120"/>
      </w:pPr>
      <w:r>
        <w:lastRenderedPageBreak/>
        <w:t>In this sector</w:t>
      </w:r>
      <w:r w:rsidR="00466BCA">
        <w:t>,</w:t>
      </w:r>
      <w:r>
        <w:t xml:space="preserve"> </w:t>
      </w:r>
      <w:r w:rsidR="006F5125">
        <w:t>Australia’s assistance is channelled through the Cambodia Community Justice Assistance Partnership</w:t>
      </w:r>
      <w:r w:rsidR="00712500">
        <w:t xml:space="preserve"> (CCJAP)</w:t>
      </w:r>
      <w:r w:rsidR="006F5125">
        <w:t xml:space="preserve">, support for legal aid </w:t>
      </w:r>
      <w:r w:rsidR="004A01D5">
        <w:t>through two NGOs</w:t>
      </w:r>
      <w:r w:rsidR="008A65F1">
        <w:t>,</w:t>
      </w:r>
      <w:r w:rsidR="004A01D5">
        <w:t xml:space="preserve"> </w:t>
      </w:r>
      <w:r w:rsidR="006F5125">
        <w:t>and anti-corruption</w:t>
      </w:r>
      <w:r w:rsidR="004A01D5">
        <w:t xml:space="preserve"> through </w:t>
      </w:r>
      <w:r w:rsidR="008A65F1">
        <w:t>Transparency International</w:t>
      </w:r>
      <w:r w:rsidR="006F5125">
        <w:t>. In accordance with the recommendations of a 2012 evaluation</w:t>
      </w:r>
      <w:r>
        <w:t>,</w:t>
      </w:r>
      <w:r w:rsidR="006F5125">
        <w:t xml:space="preserve"> Australia’s 16 years of assistance to the sector </w:t>
      </w:r>
      <w:r w:rsidR="00072E84">
        <w:t xml:space="preserve">will be phased out by </w:t>
      </w:r>
      <w:r w:rsidR="006F5125">
        <w:t xml:space="preserve">mid-2016.  </w:t>
      </w:r>
      <w:r w:rsidR="006F5125" w:rsidRPr="00FA7B34">
        <w:t>Th</w:t>
      </w:r>
      <w:r w:rsidR="007244BE">
        <w:t>e</w:t>
      </w:r>
      <w:r w:rsidR="006F5125">
        <w:t xml:space="preserve"> final phase of </w:t>
      </w:r>
      <w:r>
        <w:t xml:space="preserve">CCJAP </w:t>
      </w:r>
      <w:r w:rsidR="00184BA7">
        <w:t xml:space="preserve">is linked to the strategic agenda </w:t>
      </w:r>
      <w:r>
        <w:t xml:space="preserve">of </w:t>
      </w:r>
      <w:r w:rsidR="00184BA7">
        <w:t xml:space="preserve">our </w:t>
      </w:r>
      <w:r w:rsidR="00EC624F">
        <w:t>three</w:t>
      </w:r>
      <w:r w:rsidR="00184BA7">
        <w:t xml:space="preserve"> government </w:t>
      </w:r>
      <w:r w:rsidR="00EC624F">
        <w:t xml:space="preserve">counterpart ministries </w:t>
      </w:r>
      <w:r w:rsidR="00184BA7">
        <w:t xml:space="preserve">(the National Police, General Department of Prisons, Ministry of Justice). </w:t>
      </w:r>
    </w:p>
    <w:p w:rsidR="00376E80" w:rsidRDefault="006F5125" w:rsidP="00376E80">
      <w:pPr>
        <w:pStyle w:val="BodyText"/>
      </w:pPr>
      <w:r>
        <w:t xml:space="preserve">This objective </w:t>
      </w:r>
      <w:r w:rsidR="00184BA7">
        <w:t>is</w:t>
      </w:r>
      <w:r>
        <w:t xml:space="preserve"> rated amber</w:t>
      </w:r>
      <w:r w:rsidR="00466BCA">
        <w:t>,</w:t>
      </w:r>
      <w:r>
        <w:t xml:space="preserve"> due to the slow pace of reform and </w:t>
      </w:r>
      <w:r w:rsidR="005F70CF">
        <w:t xml:space="preserve">insufficient </w:t>
      </w:r>
      <w:r>
        <w:t xml:space="preserve">progress on the </w:t>
      </w:r>
      <w:r w:rsidR="00184BA7" w:rsidRPr="00E35869">
        <w:t xml:space="preserve">development of </w:t>
      </w:r>
      <w:r w:rsidR="00184BA7" w:rsidRPr="00F85C47">
        <w:rPr>
          <w:rFonts w:eastAsia="Calibri"/>
        </w:rPr>
        <w:t xml:space="preserve">a more effective non-custodial sentencing system and </w:t>
      </w:r>
      <w:r w:rsidR="00466BCA">
        <w:rPr>
          <w:rFonts w:eastAsia="Calibri"/>
        </w:rPr>
        <w:t xml:space="preserve">on </w:t>
      </w:r>
      <w:r w:rsidR="00184BA7" w:rsidRPr="00F85C47">
        <w:rPr>
          <w:rFonts w:eastAsia="Calibri"/>
        </w:rPr>
        <w:t>strengthened evidence-based performance management</w:t>
      </w:r>
      <w:r w:rsidR="00466BCA">
        <w:rPr>
          <w:rFonts w:eastAsia="Calibri"/>
        </w:rPr>
        <w:t>,</w:t>
      </w:r>
      <w:r w:rsidR="008C3111">
        <w:rPr>
          <w:rFonts w:eastAsia="Calibri"/>
        </w:rPr>
        <w:t xml:space="preserve"> particularly in the prisons and courts</w:t>
      </w:r>
      <w:r w:rsidR="00184BA7" w:rsidRPr="00E35869">
        <w:t>.</w:t>
      </w:r>
      <w:r w:rsidR="00376E80">
        <w:t xml:space="preserve">  </w:t>
      </w:r>
    </w:p>
    <w:p w:rsidR="00376E80" w:rsidRPr="00FA7B34" w:rsidRDefault="00376E80" w:rsidP="00376E80">
      <w:pPr>
        <w:pStyle w:val="BodyText"/>
      </w:pPr>
      <w:r>
        <w:t>Throughout 2013-14</w:t>
      </w:r>
      <w:r w:rsidR="00466BCA">
        <w:t>,</w:t>
      </w:r>
      <w:r>
        <w:t xml:space="preserve"> it has become clear that there is more appetite and scope for reform at sub-national level, which is increasingly where the project will focus in its final phase – specifically </w:t>
      </w:r>
      <w:r w:rsidR="008C3111">
        <w:t xml:space="preserve">on </w:t>
      </w:r>
      <w:r>
        <w:t>community crime prevention and community safety.</w:t>
      </w:r>
      <w:r w:rsidRPr="00FA7B34">
        <w:t xml:space="preserve"> </w:t>
      </w:r>
      <w:r w:rsidR="008C3111">
        <w:t>During 2013-14</w:t>
      </w:r>
      <w:r w:rsidR="00466BCA">
        <w:t>,</w:t>
      </w:r>
      <w:r w:rsidR="008C3111">
        <w:t xml:space="preserve"> o</w:t>
      </w:r>
      <w:r w:rsidRPr="00FA7B34">
        <w:t xml:space="preserve">ver 14,000 villagers in </w:t>
      </w:r>
      <w:r w:rsidR="00045C5A">
        <w:t>nine</w:t>
      </w:r>
      <w:r w:rsidRPr="00FA7B34">
        <w:t xml:space="preserve"> provinces took part in forums on community safety issues</w:t>
      </w:r>
      <w:r>
        <w:t>, including</w:t>
      </w:r>
      <w:r w:rsidRPr="00FA7B34">
        <w:t xml:space="preserve"> 6,893 women (46</w:t>
      </w:r>
      <w:r w:rsidR="00045C5A">
        <w:t xml:space="preserve"> </w:t>
      </w:r>
      <w:r>
        <w:t>per cent</w:t>
      </w:r>
      <w:r w:rsidRPr="00FA7B34">
        <w:t xml:space="preserve"> of total attendees) and 2,067 juveniles (14</w:t>
      </w:r>
      <w:r w:rsidR="00045C5A">
        <w:t xml:space="preserve"> </w:t>
      </w:r>
      <w:r>
        <w:t>per cent</w:t>
      </w:r>
      <w:r w:rsidRPr="00FA7B34">
        <w:t xml:space="preserve">). </w:t>
      </w:r>
      <w:r w:rsidR="00045C5A">
        <w:t>In many cases t</w:t>
      </w:r>
      <w:r w:rsidRPr="00FA7B34">
        <w:t>hese act</w:t>
      </w:r>
      <w:r>
        <w:t>ivities provided</w:t>
      </w:r>
      <w:r w:rsidR="00045C5A">
        <w:t xml:space="preserve"> </w:t>
      </w:r>
      <w:r w:rsidRPr="00FA7B34">
        <w:t>the first opportunity for communities to ques</w:t>
      </w:r>
      <w:r>
        <w:t>tion law enforcement aut</w:t>
      </w:r>
      <w:r w:rsidR="00DA2DE9">
        <w:t>horities about crime prevention and</w:t>
      </w:r>
      <w:r w:rsidRPr="00FA7B34">
        <w:t xml:space="preserve"> community safety. </w:t>
      </w:r>
    </w:p>
    <w:p w:rsidR="006F5125" w:rsidRPr="00FA7B34" w:rsidRDefault="00376E80" w:rsidP="006F5125">
      <w:pPr>
        <w:pStyle w:val="BodyText"/>
      </w:pPr>
      <w:r>
        <w:t xml:space="preserve">Other factors impacting performance </w:t>
      </w:r>
      <w:r w:rsidR="008C3111">
        <w:t xml:space="preserve">of CCJAP </w:t>
      </w:r>
      <w:r>
        <w:t>are attributed to</w:t>
      </w:r>
      <w:r w:rsidR="006F5125" w:rsidRPr="00FA7B34">
        <w:t xml:space="preserve"> star</w:t>
      </w:r>
      <w:r>
        <w:t xml:space="preserve">t-up delays of the </w:t>
      </w:r>
      <w:r w:rsidR="008C3111">
        <w:t xml:space="preserve">final phase </w:t>
      </w:r>
      <w:r w:rsidR="006F5125" w:rsidRPr="00FA7B34">
        <w:t xml:space="preserve">and the extended </w:t>
      </w:r>
      <w:r w:rsidR="006F5125">
        <w:t xml:space="preserve">unavailability of key counterparts during the uncertainty of </w:t>
      </w:r>
      <w:r w:rsidR="006F5125" w:rsidRPr="00FA7B34">
        <w:t xml:space="preserve">the post-election period in Cambodia. </w:t>
      </w:r>
      <w:r w:rsidR="00EC2535">
        <w:t>This has been overcome in 2014.</w:t>
      </w:r>
    </w:p>
    <w:p w:rsidR="006F5125" w:rsidRDefault="006F5125" w:rsidP="006F5125">
      <w:pPr>
        <w:pStyle w:val="BodyText"/>
      </w:pPr>
      <w:r w:rsidRPr="00FA7B34">
        <w:t xml:space="preserve">In 2013-14, </w:t>
      </w:r>
      <w:r w:rsidR="008C3111">
        <w:t xml:space="preserve">Australian funding enabled International </w:t>
      </w:r>
      <w:r w:rsidR="00712500">
        <w:t xml:space="preserve">Bridges to Justice (IBJ) </w:t>
      </w:r>
      <w:r w:rsidR="00DA2DE9">
        <w:t>a</w:t>
      </w:r>
      <w:r w:rsidR="004D28C2">
        <w:t xml:space="preserve">nd Legal Aid Cambodia </w:t>
      </w:r>
      <w:r w:rsidR="00184BA7">
        <w:t>to</w:t>
      </w:r>
      <w:r>
        <w:t xml:space="preserve"> extend legal aid </w:t>
      </w:r>
      <w:r w:rsidR="00712500">
        <w:t xml:space="preserve">coverage </w:t>
      </w:r>
      <w:r w:rsidR="008C3111">
        <w:rPr>
          <w:bCs/>
          <w:iCs/>
          <w:szCs w:val="22"/>
        </w:rPr>
        <w:t>to</w:t>
      </w:r>
      <w:r w:rsidR="008C3111" w:rsidRPr="003C47AF">
        <w:rPr>
          <w:bCs/>
          <w:iCs/>
          <w:szCs w:val="22"/>
        </w:rPr>
        <w:t xml:space="preserve"> 84</w:t>
      </w:r>
      <w:r w:rsidR="008C3111">
        <w:rPr>
          <w:bCs/>
          <w:iCs/>
          <w:szCs w:val="22"/>
        </w:rPr>
        <w:t xml:space="preserve"> per cent</w:t>
      </w:r>
      <w:r w:rsidR="008C3111" w:rsidRPr="003C47AF">
        <w:rPr>
          <w:bCs/>
          <w:iCs/>
          <w:szCs w:val="22"/>
        </w:rPr>
        <w:t xml:space="preserve"> of the total courts in Cambodia (21 Courts).</w:t>
      </w:r>
      <w:r w:rsidRPr="00FA7B34">
        <w:t xml:space="preserve"> IBJ handled 572 new cases, representing 755 new clients (including 93 women). IBJ lawyers closed 382 cases</w:t>
      </w:r>
      <w:r w:rsidR="001A6A7D">
        <w:t>,</w:t>
      </w:r>
      <w:r w:rsidRPr="00FA7B34">
        <w:t xml:space="preserve"> representing 436 clients with 47</w:t>
      </w:r>
      <w:r w:rsidR="000748E7">
        <w:t xml:space="preserve"> </w:t>
      </w:r>
      <w:r>
        <w:t>per cent</w:t>
      </w:r>
      <w:r w:rsidRPr="00FA7B34">
        <w:t xml:space="preserve"> of cases dropped, dismissed, acquitted or proportionate sentences</w:t>
      </w:r>
      <w:r w:rsidR="00BB305D">
        <w:t xml:space="preserve"> handed down</w:t>
      </w:r>
      <w:r w:rsidRPr="00FA7B34">
        <w:t xml:space="preserve">. </w:t>
      </w:r>
      <w:r w:rsidR="00712500">
        <w:t xml:space="preserve">This </w:t>
      </w:r>
      <w:r w:rsidR="00BB305D">
        <w:t xml:space="preserve">helps </w:t>
      </w:r>
      <w:r w:rsidRPr="00FA7B34">
        <w:t xml:space="preserve">reduce </w:t>
      </w:r>
      <w:r w:rsidR="00BB305D">
        <w:t>prison overcrowding</w:t>
      </w:r>
      <w:r w:rsidRPr="00FA7B34">
        <w:t xml:space="preserve"> and</w:t>
      </w:r>
      <w:r>
        <w:t xml:space="preserve"> strengthen</w:t>
      </w:r>
      <w:r w:rsidR="00BB305D">
        <w:t>s</w:t>
      </w:r>
      <w:r>
        <w:t xml:space="preserve"> the argument for Cambodian government funded legal aid. </w:t>
      </w:r>
      <w:r w:rsidR="004D28C2">
        <w:t xml:space="preserve">Australian support enabled </w:t>
      </w:r>
      <w:r w:rsidR="00712500">
        <w:t xml:space="preserve">Legal Aid Cambodia to assist 45 survivors of domestic violence and sexual abuse </w:t>
      </w:r>
      <w:r w:rsidR="00184BA7">
        <w:t xml:space="preserve">take action through </w:t>
      </w:r>
      <w:r w:rsidR="00712500">
        <w:t>the formal judicial system</w:t>
      </w:r>
      <w:r w:rsidR="00E12A50">
        <w:t xml:space="preserve">, challenging the culture of impunity. </w:t>
      </w:r>
    </w:p>
    <w:p w:rsidR="005758FF" w:rsidRDefault="005758FF" w:rsidP="005758FF">
      <w:pPr>
        <w:pStyle w:val="BodyText"/>
      </w:pPr>
      <w:r>
        <w:t>In February 2013</w:t>
      </w:r>
      <w:r w:rsidR="001A6A7D">
        <w:t>,</w:t>
      </w:r>
      <w:r>
        <w:t xml:space="preserve"> the Australian </w:t>
      </w:r>
      <w:r w:rsidR="001A6A7D">
        <w:t>G</w:t>
      </w:r>
      <w:r>
        <w:t>overnment announced a major commitment to ending violence against women in Cambodia. During 2013-14</w:t>
      </w:r>
      <w:r w:rsidR="001A6A7D">
        <w:t>,</w:t>
      </w:r>
      <w:r>
        <w:t xml:space="preserve"> the </w:t>
      </w:r>
      <w:r w:rsidR="001A6A7D">
        <w:t>E</w:t>
      </w:r>
      <w:r w:rsidRPr="00FA7B34">
        <w:t xml:space="preserve">nding </w:t>
      </w:r>
      <w:r w:rsidR="001A6A7D">
        <w:t>V</w:t>
      </w:r>
      <w:r w:rsidRPr="00FA7B34">
        <w:t xml:space="preserve">iolence </w:t>
      </w:r>
      <w:r w:rsidR="001A6A7D">
        <w:t>A</w:t>
      </w:r>
      <w:r w:rsidRPr="00FA7B34">
        <w:t xml:space="preserve">gainst </w:t>
      </w:r>
      <w:r w:rsidR="001A6A7D">
        <w:t>W</w:t>
      </w:r>
      <w:r w:rsidRPr="00FA7B34">
        <w:t xml:space="preserve">omen program (EVAW) completed </w:t>
      </w:r>
      <w:r>
        <w:t xml:space="preserve">its </w:t>
      </w:r>
      <w:r w:rsidRPr="00FA7B34">
        <w:t>foundation phase</w:t>
      </w:r>
      <w:r w:rsidR="001A6A7D">
        <w:t>,</w:t>
      </w:r>
      <w:r w:rsidRPr="00FA7B34">
        <w:t xml:space="preserve"> and</w:t>
      </w:r>
      <w:r>
        <w:t xml:space="preserve"> in 2014 has been consolidating its approach. During this period</w:t>
      </w:r>
      <w:r w:rsidR="001A6A7D">
        <w:t>,</w:t>
      </w:r>
      <w:r>
        <w:t xml:space="preserve"> Australian funding enabled the formulation of the Second National Action Plan on Violence Against Women</w:t>
      </w:r>
      <w:r w:rsidR="001A6A7D">
        <w:t>;</w:t>
      </w:r>
      <w:r>
        <w:t xml:space="preserve"> the inclusion of violence against women and disability modules in the 4</w:t>
      </w:r>
      <w:r w:rsidRPr="00E57580">
        <w:t>th</w:t>
      </w:r>
      <w:r>
        <w:t xml:space="preserve"> Cambodian Demographic Health Survey</w:t>
      </w:r>
      <w:r w:rsidR="001A6A7D">
        <w:t>;</w:t>
      </w:r>
      <w:r>
        <w:t xml:space="preserve"> and the commencement of the first nationwide study into the prevalence of violence against women in Cambodia. 497</w:t>
      </w:r>
      <w:r w:rsidRPr="00E57580">
        <w:t xml:space="preserve"> women and girls experiencing violence were supported to access counselling, legal aid, medical services and shelter as well as reintegration with their families and </w:t>
      </w:r>
      <w:r w:rsidRPr="00DC4E89">
        <w:t xml:space="preserve">communities. </w:t>
      </w:r>
      <w:r w:rsidR="005D25B0" w:rsidRPr="00490EFB">
        <w:t xml:space="preserve">These activities have helped us build strong relationships within MOWA and with development partners. Results from the studies will provide evidence on which to design our future investments in </w:t>
      </w:r>
      <w:r w:rsidR="00EC2535" w:rsidRPr="00490EFB">
        <w:t>EVAW</w:t>
      </w:r>
      <w:r w:rsidR="005D25B0" w:rsidRPr="00490EFB">
        <w:t>.</w:t>
      </w:r>
    </w:p>
    <w:p w:rsidR="006F5125" w:rsidRDefault="00DA2DE9" w:rsidP="006F5125">
      <w:pPr>
        <w:pStyle w:val="BodyText"/>
      </w:pPr>
      <w:r>
        <w:t>The aid program’s a</w:t>
      </w:r>
      <w:r w:rsidR="006F5125">
        <w:t>nti-c</w:t>
      </w:r>
      <w:r w:rsidR="006F5125" w:rsidRPr="00D10764">
        <w:t xml:space="preserve">orruption efforts are being </w:t>
      </w:r>
      <w:r>
        <w:t xml:space="preserve">implemented </w:t>
      </w:r>
      <w:r w:rsidR="006F5125" w:rsidRPr="00D10764">
        <w:t>through an agreement with Transparency International Cambodia (TIC)</w:t>
      </w:r>
      <w:r w:rsidR="006F5125">
        <w:t xml:space="preserve"> in </w:t>
      </w:r>
      <w:r w:rsidR="006F5125" w:rsidRPr="00D10764">
        <w:t xml:space="preserve">cooperation with </w:t>
      </w:r>
      <w:r w:rsidR="006F5125">
        <w:t xml:space="preserve">the Swedish International Development Cooperation Agency (SIDA). </w:t>
      </w:r>
      <w:r w:rsidR="006F5125" w:rsidRPr="00D10764">
        <w:t>Australia support</w:t>
      </w:r>
      <w:r w:rsidR="00712500">
        <w:t>s</w:t>
      </w:r>
      <w:r w:rsidR="006F5125" w:rsidRPr="00D10764">
        <w:t xml:space="preserve"> the initial three</w:t>
      </w:r>
      <w:r w:rsidR="001A6A7D">
        <w:t>-</w:t>
      </w:r>
      <w:r w:rsidR="006F5125" w:rsidRPr="00D10764">
        <w:t>year workplan of TIC</w:t>
      </w:r>
      <w:r w:rsidR="006F5125">
        <w:t xml:space="preserve">: </w:t>
      </w:r>
      <w:r w:rsidR="006F5125" w:rsidRPr="00D10764">
        <w:t xml:space="preserve">research and advocacy; partnership and coalition building; </w:t>
      </w:r>
      <w:r w:rsidR="006F5125">
        <w:t xml:space="preserve">and </w:t>
      </w:r>
      <w:r w:rsidR="006F5125" w:rsidRPr="00D10764">
        <w:t xml:space="preserve">citizen and youth engagement. </w:t>
      </w:r>
      <w:r w:rsidR="006F5125">
        <w:t xml:space="preserve">In 2013-14, TIC engaged government, media, private and community sectors to </w:t>
      </w:r>
      <w:r w:rsidR="001472A4" w:rsidRPr="000753FD">
        <w:t>evaluat</w:t>
      </w:r>
      <w:r w:rsidR="001472A4">
        <w:t>e</w:t>
      </w:r>
      <w:r w:rsidR="001472A4" w:rsidRPr="000753FD">
        <w:t xml:space="preserve"> key </w:t>
      </w:r>
      <w:r w:rsidR="001472A4">
        <w:t xml:space="preserve">governance </w:t>
      </w:r>
      <w:r w:rsidR="001472A4" w:rsidRPr="000753FD">
        <w:rPr>
          <w:rFonts w:hint="eastAsia"/>
        </w:rPr>
        <w:t>‘</w:t>
      </w:r>
      <w:r w:rsidR="001472A4" w:rsidRPr="000753FD">
        <w:t>pillars</w:t>
      </w:r>
      <w:r w:rsidR="001472A4" w:rsidRPr="000753FD">
        <w:rPr>
          <w:rFonts w:hint="eastAsia"/>
        </w:rPr>
        <w:t>’</w:t>
      </w:r>
      <w:r w:rsidR="001472A4">
        <w:t xml:space="preserve"> and </w:t>
      </w:r>
      <w:r w:rsidR="006F5125">
        <w:t>compile a National Integrity System Assessment (NISA)</w:t>
      </w:r>
      <w:r w:rsidR="001472A4">
        <w:t xml:space="preserve">. It </w:t>
      </w:r>
      <w:r w:rsidR="005758FF">
        <w:t xml:space="preserve">will </w:t>
      </w:r>
      <w:r w:rsidR="006F5125">
        <w:t>be released September 2014.</w:t>
      </w:r>
    </w:p>
    <w:p w:rsidR="006F5125" w:rsidRPr="000753FD" w:rsidRDefault="006F5125" w:rsidP="006F5125">
      <w:pPr>
        <w:pStyle w:val="BodyText"/>
      </w:pPr>
      <w:r>
        <w:t xml:space="preserve">In 2013-14 Australia </w:t>
      </w:r>
      <w:r w:rsidRPr="00772044">
        <w:t xml:space="preserve">provided </w:t>
      </w:r>
      <w:r w:rsidR="000748E7">
        <w:t>$</w:t>
      </w:r>
      <w:r w:rsidR="00772044" w:rsidRPr="00772044">
        <w:t>3</w:t>
      </w:r>
      <w:r w:rsidR="00712500" w:rsidRPr="00772044">
        <w:t>.25</w:t>
      </w:r>
      <w:r w:rsidRPr="00772044">
        <w:t xml:space="preserve"> million to</w:t>
      </w:r>
      <w:r>
        <w:t xml:space="preserve"> the Khmer Rouge Tribunal (the Extraordinary Chambers of the Courts of Cambodia). </w:t>
      </w:r>
      <w:r w:rsidR="004D28C2">
        <w:t xml:space="preserve">A guilty verdict in case 2a against the second and third </w:t>
      </w:r>
      <w:r w:rsidR="004D28C2">
        <w:lastRenderedPageBreak/>
        <w:t xml:space="preserve">defendants was handed down on </w:t>
      </w:r>
      <w:r w:rsidR="00BB305D">
        <w:t xml:space="preserve">the </w:t>
      </w:r>
      <w:r w:rsidR="001A6A7D">
        <w:t>6</w:t>
      </w:r>
      <w:r w:rsidR="008A65F1" w:rsidRPr="008A65F1">
        <w:rPr>
          <w:vertAlign w:val="superscript"/>
        </w:rPr>
        <w:t>th</w:t>
      </w:r>
      <w:r w:rsidR="008A65F1">
        <w:t xml:space="preserve"> of</w:t>
      </w:r>
      <w:r w:rsidR="00BB305D">
        <w:t xml:space="preserve"> August. </w:t>
      </w:r>
      <w:r w:rsidR="00DA2DE9">
        <w:t>Availability of</w:t>
      </w:r>
      <w:r w:rsidR="00712500">
        <w:t xml:space="preserve"> Cambodian Government </w:t>
      </w:r>
      <w:r>
        <w:t>funding</w:t>
      </w:r>
      <w:r w:rsidR="00BB305D">
        <w:t xml:space="preserve"> to the national side of the courts</w:t>
      </w:r>
      <w:r w:rsidR="005F70CF">
        <w:t xml:space="preserve"> remains an issue</w:t>
      </w:r>
      <w:r w:rsidR="001A6A7D">
        <w:t>, although the Cambodian Government has shown a greater willingness to contribute in 2014.</w:t>
      </w:r>
      <w:r>
        <w:t xml:space="preserve"> </w:t>
      </w:r>
    </w:p>
    <w:p w:rsidR="006F5125" w:rsidRDefault="006F5125" w:rsidP="006F5125">
      <w:pPr>
        <w:pStyle w:val="BodyText"/>
      </w:pPr>
      <w:r w:rsidRPr="00FA7B34">
        <w:t>Australia contribute</w:t>
      </w:r>
      <w:r w:rsidR="004D28C2">
        <w:t>s</w:t>
      </w:r>
      <w:r w:rsidRPr="00FA7B34">
        <w:t xml:space="preserve"> to the Public Financial Management Reform Program (PFM) through a World Bank Multi-Donor Trust Fund. </w:t>
      </w:r>
      <w:r w:rsidR="00DE393F">
        <w:t>The</w:t>
      </w:r>
      <w:r w:rsidRPr="00FA7B34">
        <w:t xml:space="preserve"> PFM is a key Government reform program that has high level and far-reaching government involvement and a broad range of support from development partners</w:t>
      </w:r>
      <w:r w:rsidR="00DE393F">
        <w:t xml:space="preserve"> despite slow progress</w:t>
      </w:r>
      <w:r w:rsidRPr="00FA7B34">
        <w:t xml:space="preserve">. </w:t>
      </w:r>
      <w:r w:rsidR="00DE393F">
        <w:t>Australian</w:t>
      </w:r>
      <w:r>
        <w:t xml:space="preserve"> support provides access to high</w:t>
      </w:r>
      <w:r w:rsidR="001A6A7D">
        <w:t>-</w:t>
      </w:r>
      <w:r>
        <w:t>level policy dialogue with the Ministry of Economy and Finance</w:t>
      </w:r>
      <w:r w:rsidR="001A6A7D">
        <w:t>,</w:t>
      </w:r>
      <w:r>
        <w:t xml:space="preserve"> as well as development partners. </w:t>
      </w:r>
    </w:p>
    <w:p w:rsidR="006F5125" w:rsidRPr="00745FE3" w:rsidRDefault="006F5125" w:rsidP="006F5125">
      <w:pPr>
        <w:pStyle w:val="Heading3"/>
      </w:pPr>
      <w:r w:rsidRPr="00745FE3">
        <w:t>Australia Awards</w:t>
      </w:r>
    </w:p>
    <w:p w:rsidR="006F5125" w:rsidRDefault="006F5125" w:rsidP="006F5125">
      <w:pPr>
        <w:pStyle w:val="BodyText"/>
      </w:pPr>
      <w:r w:rsidRPr="000F7C8A">
        <w:t xml:space="preserve">Since 1994, over 500 </w:t>
      </w:r>
      <w:r w:rsidR="003B788D">
        <w:t xml:space="preserve">postgraduate Australian </w:t>
      </w:r>
      <w:r w:rsidRPr="000F7C8A">
        <w:t>scholarships have been provided for Cambodians, with a 94</w:t>
      </w:r>
      <w:r w:rsidR="000748E7">
        <w:t xml:space="preserve"> </w:t>
      </w:r>
      <w:r>
        <w:t>per cent</w:t>
      </w:r>
      <w:r w:rsidRPr="000F7C8A">
        <w:t xml:space="preserve"> successful completion rate.</w:t>
      </w:r>
      <w:r w:rsidR="00EC2535">
        <w:t xml:space="preserve"> </w:t>
      </w:r>
      <w:r w:rsidRPr="000F7C8A">
        <w:t xml:space="preserve">In 2013-14, 55 scholarships were awarded for the 2014 intake (19 for females), 20 for the public sector and 30 for the open category. </w:t>
      </w:r>
      <w:r w:rsidR="005D25B0">
        <w:t>Five</w:t>
      </w:r>
      <w:r w:rsidR="005D25B0" w:rsidRPr="000F7C8A">
        <w:t xml:space="preserve"> </w:t>
      </w:r>
      <w:r w:rsidR="000748E7">
        <w:t>awardees are</w:t>
      </w:r>
      <w:r w:rsidRPr="000F7C8A">
        <w:t xml:space="preserve"> also Australia Awards Leadership Program</w:t>
      </w:r>
      <w:r w:rsidR="000748E7">
        <w:t xml:space="preserve"> participants</w:t>
      </w:r>
      <w:r w:rsidRPr="000F7C8A">
        <w:t xml:space="preserve">. </w:t>
      </w:r>
    </w:p>
    <w:p w:rsidR="006F5125" w:rsidRPr="00095DB4" w:rsidRDefault="001A6A7D" w:rsidP="006F5125">
      <w:pPr>
        <w:pStyle w:val="BodyText"/>
      </w:pPr>
      <w:r>
        <w:t>Achieving</w:t>
      </w:r>
      <w:r w:rsidR="006F5125" w:rsidRPr="00095DB4">
        <w:t xml:space="preserve"> 50</w:t>
      </w:r>
      <w:r>
        <w:t xml:space="preserve"> </w:t>
      </w:r>
      <w:r w:rsidR="006F5125">
        <w:t>per cent</w:t>
      </w:r>
      <w:r w:rsidR="006F5125" w:rsidRPr="00095DB4">
        <w:t xml:space="preserve"> female awardees continues to be a challenge. Three of the priority sectors for scholarships (agriculture, infrastructure, law &amp; justice) are not traditionally areas that attract high numbers of female applicants. However, the larger barrier is the lower female completion rates of secondary and tertiary education and the cultural barriers </w:t>
      </w:r>
      <w:r>
        <w:t>for women</w:t>
      </w:r>
      <w:r w:rsidR="006F5125" w:rsidRPr="00095DB4">
        <w:t xml:space="preserve"> leaving extended family to pursue education abroad.</w:t>
      </w:r>
      <w:r w:rsidR="00DA2DE9">
        <w:t xml:space="preserve"> </w:t>
      </w:r>
    </w:p>
    <w:p w:rsidR="006F5125" w:rsidRPr="00BF2045" w:rsidRDefault="006F5125" w:rsidP="006F5125">
      <w:pPr>
        <w:pStyle w:val="BodyText"/>
      </w:pPr>
      <w:r w:rsidRPr="000F7C8A">
        <w:t xml:space="preserve">The Australia Awards Alumni Association is a productive and supportive partner of the Australia Awards Scholarships with a large and growing membership. </w:t>
      </w:r>
      <w:r>
        <w:t>In 2013-14, w</w:t>
      </w:r>
      <w:r w:rsidRPr="000F7C8A">
        <w:t>ith the support of the Australian aid program, the Association h</w:t>
      </w:r>
      <w:r w:rsidR="000748E7">
        <w:t>eld</w:t>
      </w:r>
      <w:r w:rsidRPr="000F7C8A">
        <w:t xml:space="preserve"> a range of professional development and networking activities aimed at enhancing the people-to-people, organisation and institutional linkages created through the scholarships program. </w:t>
      </w:r>
    </w:p>
    <w:p w:rsidR="006F5125" w:rsidRPr="008509B8" w:rsidRDefault="006F5125" w:rsidP="006F5125">
      <w:pPr>
        <w:pStyle w:val="Heading3"/>
      </w:pPr>
      <w:r w:rsidRPr="00745FE3">
        <w:t>Disability inclusive development</w:t>
      </w:r>
    </w:p>
    <w:p w:rsidR="006F5125" w:rsidRPr="00366A9B" w:rsidRDefault="006F5125" w:rsidP="006F5125">
      <w:pPr>
        <w:pStyle w:val="BodyText"/>
      </w:pPr>
      <w:r w:rsidRPr="00366A9B">
        <w:t xml:space="preserve">In 2013, Australia consolidated its disability programs and developed a new single, larger, longer-term program – the Disability Rights Initiative Cambodia (DRIC) – in partnership with UNDP, UNICEF and WHO.  </w:t>
      </w:r>
      <w:r w:rsidR="00DA2DE9" w:rsidRPr="00DC4E89">
        <w:t xml:space="preserve">This </w:t>
      </w:r>
      <w:r w:rsidR="000748E7" w:rsidRPr="00DC4E89">
        <w:t xml:space="preserve">five </w:t>
      </w:r>
      <w:r w:rsidR="00DA2DE9" w:rsidRPr="00DC4E89">
        <w:t xml:space="preserve">year program’s </w:t>
      </w:r>
      <w:r w:rsidR="00DA15F0" w:rsidRPr="00DC4E89">
        <w:t xml:space="preserve">objective is ‘to improve quality of life for people with disability in Cambodia.’ </w:t>
      </w:r>
      <w:r w:rsidRPr="00DC4E89">
        <w:t xml:space="preserve">This investment is Australia’s largest ODA funded disability program </w:t>
      </w:r>
      <w:r w:rsidR="003B788D" w:rsidRPr="00DC4E89">
        <w:t>globally</w:t>
      </w:r>
      <w:r w:rsidR="00DA15F0" w:rsidRPr="00DC4E89">
        <w:t>.</w:t>
      </w:r>
      <w:r w:rsidR="005D25B0" w:rsidRPr="00DC4E89">
        <w:t xml:space="preserve"> </w:t>
      </w:r>
      <w:r w:rsidR="005D25B0" w:rsidRPr="00490EFB">
        <w:t xml:space="preserve">The program maintains its support to </w:t>
      </w:r>
      <w:r w:rsidRPr="00490EFB">
        <w:t>the Cambodian Disabled People’s Organisation (CDPO) and the Disability Action Council (DAC)</w:t>
      </w:r>
      <w:r w:rsidR="003B788D" w:rsidRPr="00490EFB">
        <w:t xml:space="preserve"> and was</w:t>
      </w:r>
      <w:r w:rsidR="00295E98" w:rsidRPr="00490EFB">
        <w:t xml:space="preserve"> crucial to enhancing the participation of people with disabilities in the 2013 national elections.</w:t>
      </w:r>
      <w:r w:rsidR="00295E98">
        <w:t xml:space="preserve"> </w:t>
      </w:r>
    </w:p>
    <w:p w:rsidR="000D733F" w:rsidRPr="006F5125" w:rsidRDefault="000D733F" w:rsidP="000D733F">
      <w:pPr>
        <w:pStyle w:val="Heading3"/>
        <w:rPr>
          <w:color w:val="007FAD"/>
          <w:sz w:val="28"/>
          <w:szCs w:val="28"/>
          <w:lang w:eastAsia="en-AU"/>
        </w:rPr>
      </w:pPr>
      <w:r w:rsidRPr="009E38C1">
        <w:rPr>
          <w:b w:val="0"/>
          <w:color w:val="007FAD"/>
          <w:sz w:val="28"/>
          <w:szCs w:val="28"/>
          <w:lang w:eastAsia="en-AU"/>
        </w:rPr>
        <w:t>Mutual Obligations</w:t>
      </w:r>
    </w:p>
    <w:p w:rsidR="00A24CE0" w:rsidRPr="00A24CE0" w:rsidRDefault="00A24CE0" w:rsidP="00A24CE0">
      <w:pPr>
        <w:pStyle w:val="BodyText"/>
      </w:pPr>
      <w:r>
        <w:t xml:space="preserve">The </w:t>
      </w:r>
      <w:r w:rsidR="001A6A7D">
        <w:t xml:space="preserve">Cambodian </w:t>
      </w:r>
      <w:r w:rsidRPr="00A24CE0">
        <w:t>G</w:t>
      </w:r>
      <w:r>
        <w:t xml:space="preserve">overnment </w:t>
      </w:r>
      <w:r w:rsidR="00A01913">
        <w:t>has</w:t>
      </w:r>
      <w:r w:rsidR="00FB7924">
        <w:t xml:space="preserve"> recently published its new National Strategic Development Plan. </w:t>
      </w:r>
      <w:r w:rsidR="001A6A7D">
        <w:t xml:space="preserve">For </w:t>
      </w:r>
      <w:r w:rsidR="00FB7924">
        <w:t>2013</w:t>
      </w:r>
      <w:r w:rsidR="001A6A7D">
        <w:t>-</w:t>
      </w:r>
      <w:r w:rsidR="00FB7924">
        <w:t>14</w:t>
      </w:r>
      <w:r w:rsidR="003B788D">
        <w:t xml:space="preserve"> </w:t>
      </w:r>
      <w:r w:rsidR="00FB7924">
        <w:t>we have assessed performance against the</w:t>
      </w:r>
      <w:r w:rsidR="00A01913">
        <w:t xml:space="preserve"> four</w:t>
      </w:r>
      <w:r w:rsidR="00FB7924">
        <w:t xml:space="preserve"> former</w:t>
      </w:r>
      <w:r w:rsidR="00A01913">
        <w:t xml:space="preserve"> </w:t>
      </w:r>
      <w:r w:rsidR="00FB7924">
        <w:t xml:space="preserve">priority </w:t>
      </w:r>
      <w:r w:rsidR="00A01913">
        <w:t>areas of reform - d</w:t>
      </w:r>
      <w:r>
        <w:t>ecentr</w:t>
      </w:r>
      <w:r w:rsidR="00A01913">
        <w:t>alisation and deconcentration, l</w:t>
      </w:r>
      <w:r>
        <w:t xml:space="preserve">egal and </w:t>
      </w:r>
      <w:r w:rsidR="00A01913">
        <w:t>j</w:t>
      </w:r>
      <w:r>
        <w:t>udicial</w:t>
      </w:r>
      <w:r w:rsidR="00A01913">
        <w:t xml:space="preserve"> reform</w:t>
      </w:r>
      <w:r>
        <w:t xml:space="preserve">, </w:t>
      </w:r>
      <w:r w:rsidR="00A01913">
        <w:t>p</w:t>
      </w:r>
      <w:r>
        <w:t xml:space="preserve">ublic </w:t>
      </w:r>
      <w:r w:rsidR="00A01913">
        <w:t>f</w:t>
      </w:r>
      <w:r>
        <w:t xml:space="preserve">inancial management and </w:t>
      </w:r>
      <w:r w:rsidR="00A01913">
        <w:t>p</w:t>
      </w:r>
      <w:r>
        <w:t xml:space="preserve">ublic </w:t>
      </w:r>
      <w:r w:rsidR="00A01913">
        <w:t>a</w:t>
      </w:r>
      <w:r>
        <w:t>dministration reforms.</w:t>
      </w:r>
      <w:r w:rsidR="00FB7924">
        <w:t xml:space="preserve">  Next year’s APPR will </w:t>
      </w:r>
      <w:r w:rsidR="00DE393F">
        <w:t>a</w:t>
      </w:r>
      <w:r w:rsidR="0020436A">
        <w:t>s</w:t>
      </w:r>
      <w:r w:rsidR="00DE393F">
        <w:t xml:space="preserve">sess </w:t>
      </w:r>
      <w:r w:rsidR="00FB7924">
        <w:t xml:space="preserve">government against its new reform agenda. </w:t>
      </w:r>
    </w:p>
    <w:p w:rsidR="00A12DFF" w:rsidRDefault="00DE393F" w:rsidP="006F5125">
      <w:pPr>
        <w:pStyle w:val="BodyText"/>
      </w:pPr>
      <w:r>
        <w:t>Reform in each of these core cross</w:t>
      </w:r>
      <w:r w:rsidR="001A6A7D">
        <w:t>-</w:t>
      </w:r>
      <w:r>
        <w:t xml:space="preserve">cutting areas has been slower than expected. There are a number of reasons including entrenched interests across national and sub-national institutions and the size and scale of the reforms being attempted. </w:t>
      </w:r>
      <w:r w:rsidR="0020436A">
        <w:t>Nevertheless, the limited progress has had</w:t>
      </w:r>
      <w:r>
        <w:t xml:space="preserve"> a positive effect on Australia’s aid program.</w:t>
      </w:r>
      <w:r w:rsidR="0020436A">
        <w:t xml:space="preserve"> </w:t>
      </w:r>
      <w:r w:rsidR="001A6A7D">
        <w:t xml:space="preserve">The </w:t>
      </w:r>
      <w:r w:rsidR="006F5125" w:rsidRPr="00A12DFF">
        <w:t xml:space="preserve">Cambodian government </w:t>
      </w:r>
      <w:r w:rsidR="001A6A7D">
        <w:t>has</w:t>
      </w:r>
      <w:r w:rsidR="00A12DFF" w:rsidRPr="00A12DFF">
        <w:t>:</w:t>
      </w:r>
    </w:p>
    <w:p w:rsidR="00605AFF" w:rsidRDefault="00A12DFF" w:rsidP="003B788D">
      <w:pPr>
        <w:pStyle w:val="ListBullet"/>
        <w:tabs>
          <w:tab w:val="num" w:pos="284"/>
        </w:tabs>
        <w:spacing w:line="240" w:lineRule="auto"/>
        <w:ind w:left="284" w:hanging="284"/>
      </w:pPr>
      <w:r w:rsidRPr="00605AFF">
        <w:t>Establis</w:t>
      </w:r>
      <w:r w:rsidR="001A6A7D">
        <w:t>hed</w:t>
      </w:r>
      <w:r w:rsidR="00A01913">
        <w:t xml:space="preserve"> </w:t>
      </w:r>
      <w:r w:rsidRPr="00605AFF">
        <w:t xml:space="preserve">sub-national administrative structures </w:t>
      </w:r>
      <w:r w:rsidR="00A01913">
        <w:t>with</w:t>
      </w:r>
      <w:r w:rsidRPr="00605AFF">
        <w:t xml:space="preserve"> nearly 10,000 civil servants inte</w:t>
      </w:r>
      <w:r w:rsidR="00605AFF">
        <w:t>grated into the new structures.</w:t>
      </w:r>
    </w:p>
    <w:p w:rsidR="00605AFF" w:rsidRDefault="001A6A7D" w:rsidP="003B788D">
      <w:pPr>
        <w:pStyle w:val="ListBullet"/>
        <w:tabs>
          <w:tab w:val="num" w:pos="284"/>
        </w:tabs>
        <w:spacing w:line="240" w:lineRule="auto"/>
        <w:ind w:left="284" w:hanging="284"/>
      </w:pPr>
      <w:r>
        <w:t>L</w:t>
      </w:r>
      <w:r w:rsidRPr="00605AFF">
        <w:t>argely completed</w:t>
      </w:r>
      <w:r>
        <w:t xml:space="preserve"> the d</w:t>
      </w:r>
      <w:r w:rsidR="00A12DFF" w:rsidRPr="00605AFF">
        <w:t xml:space="preserve">esign of </w:t>
      </w:r>
      <w:r w:rsidR="003B788D">
        <w:t>s</w:t>
      </w:r>
      <w:r w:rsidR="00A12DFF" w:rsidRPr="00605AFF">
        <w:t xml:space="preserve">ub-national </w:t>
      </w:r>
      <w:r w:rsidR="003B788D">
        <w:t>a</w:t>
      </w:r>
      <w:r w:rsidR="00A12DFF" w:rsidRPr="00605AFF">
        <w:t xml:space="preserve">dministration systems. </w:t>
      </w:r>
    </w:p>
    <w:p w:rsidR="00605AFF" w:rsidRDefault="00A12DFF" w:rsidP="003B788D">
      <w:pPr>
        <w:pStyle w:val="ListBullet"/>
        <w:tabs>
          <w:tab w:val="num" w:pos="284"/>
        </w:tabs>
        <w:spacing w:line="240" w:lineRule="auto"/>
        <w:ind w:left="284" w:hanging="284"/>
      </w:pPr>
      <w:r w:rsidRPr="00605AFF">
        <w:lastRenderedPageBreak/>
        <w:t>Establish</w:t>
      </w:r>
      <w:r w:rsidR="001A6A7D">
        <w:t xml:space="preserve">ed </w:t>
      </w:r>
      <w:r w:rsidR="00A01913">
        <w:t xml:space="preserve">the </w:t>
      </w:r>
      <w:r w:rsidRPr="00605AFF">
        <w:t>District/Municipality Fund, created by a transfer 0.8% of the national recurrent revenues to sub-national levels. These funds support an extensive and active capacity development program, including organizational development, training, and coaching and mentoring of councillors</w:t>
      </w:r>
      <w:r w:rsidR="00605AFF">
        <w:t>.</w:t>
      </w:r>
      <w:r w:rsidRPr="00605AFF">
        <w:t xml:space="preserve"> </w:t>
      </w:r>
    </w:p>
    <w:p w:rsidR="00605AFF" w:rsidRDefault="001A6A7D" w:rsidP="003B788D">
      <w:pPr>
        <w:pStyle w:val="ListBullet"/>
        <w:tabs>
          <w:tab w:val="num" w:pos="284"/>
        </w:tabs>
        <w:spacing w:line="240" w:lineRule="auto"/>
        <w:ind w:left="284" w:hanging="284"/>
      </w:pPr>
      <w:r>
        <w:t xml:space="preserve">Adopted </w:t>
      </w:r>
      <w:r w:rsidR="00A12DFF" w:rsidRPr="00605AFF">
        <w:t xml:space="preserve">three fundamental laws </w:t>
      </w:r>
      <w:r w:rsidR="00DE393F">
        <w:t xml:space="preserve">governing the judiciary - </w:t>
      </w:r>
      <w:r w:rsidR="00A12DFF" w:rsidRPr="00605AFF">
        <w:t xml:space="preserve">Law on the statute of Judges and Prosecutors, Law on the Organization and Functioning of Courts and Law on </w:t>
      </w:r>
      <w:r w:rsidR="00DE393F">
        <w:t xml:space="preserve">the </w:t>
      </w:r>
      <w:r w:rsidR="00A12DFF" w:rsidRPr="00605AFF">
        <w:t xml:space="preserve">Supreme Council of the Magistracy. </w:t>
      </w:r>
    </w:p>
    <w:p w:rsidR="000D733F" w:rsidRPr="006F5125" w:rsidRDefault="000D733F" w:rsidP="006F5125">
      <w:pPr>
        <w:pStyle w:val="Heading3"/>
        <w:rPr>
          <w:b w:val="0"/>
          <w:color w:val="007FAD"/>
          <w:sz w:val="28"/>
          <w:szCs w:val="28"/>
          <w:lang w:eastAsia="en-AU"/>
        </w:rPr>
      </w:pPr>
      <w:r w:rsidRPr="009E38C1">
        <w:rPr>
          <w:b w:val="0"/>
          <w:color w:val="007FAD"/>
          <w:sz w:val="28"/>
          <w:szCs w:val="28"/>
          <w:lang w:eastAsia="en-AU"/>
        </w:rPr>
        <w:t>Program Quality and Management</w:t>
      </w:r>
      <w:r w:rsidRPr="006F5125">
        <w:rPr>
          <w:b w:val="0"/>
          <w:color w:val="007FAD"/>
          <w:sz w:val="28"/>
          <w:szCs w:val="28"/>
          <w:lang w:eastAsia="en-AU"/>
        </w:rPr>
        <w:t xml:space="preserve"> </w:t>
      </w:r>
      <w:r w:rsidRPr="006F5125">
        <w:rPr>
          <w:b w:val="0"/>
          <w:color w:val="007FAD"/>
          <w:sz w:val="28"/>
          <w:szCs w:val="28"/>
          <w:lang w:eastAsia="en-AU"/>
        </w:rPr>
        <w:tab/>
      </w:r>
      <w:r w:rsidRPr="006F5125">
        <w:rPr>
          <w:b w:val="0"/>
          <w:color w:val="007FAD"/>
          <w:sz w:val="28"/>
          <w:szCs w:val="28"/>
          <w:lang w:eastAsia="en-AU"/>
        </w:rPr>
        <w:tab/>
      </w:r>
    </w:p>
    <w:p w:rsidR="006F5125" w:rsidRDefault="007F1B76" w:rsidP="006F5125">
      <w:pPr>
        <w:pStyle w:val="BodyText"/>
      </w:pPr>
      <w:r>
        <w:t xml:space="preserve">Annex E contains an </w:t>
      </w:r>
      <w:r w:rsidR="008C5505">
        <w:t xml:space="preserve">assessment of </w:t>
      </w:r>
      <w:r>
        <w:t>progress</w:t>
      </w:r>
      <w:r w:rsidR="008C5505">
        <w:t xml:space="preserve"> against the </w:t>
      </w:r>
      <w:r>
        <w:t xml:space="preserve">Cambodia Program </w:t>
      </w:r>
      <w:r w:rsidR="008C5505">
        <w:t>P</w:t>
      </w:r>
      <w:r>
        <w:t xml:space="preserve">erformance Assessment Framework. </w:t>
      </w:r>
      <w:r w:rsidR="006F5125">
        <w:t xml:space="preserve">Annex C provides details of the evaluations completed in 2013-14. </w:t>
      </w:r>
      <w:r>
        <w:t xml:space="preserve">The forward pipeline is strong with mix of continuing, concluding and future investments. Progress towards consolidation of investments is encouraging with four initiatives out of 28 </w:t>
      </w:r>
      <w:r w:rsidR="001B0781">
        <w:t xml:space="preserve">to be closed over the next </w:t>
      </w:r>
      <w:r>
        <w:t>year.</w:t>
      </w:r>
      <w:r w:rsidR="001B0781">
        <w:t xml:space="preserve"> </w:t>
      </w:r>
      <w:r w:rsidR="00A368E6">
        <w:t>Nevertheless, w</w:t>
      </w:r>
      <w:r w:rsidR="001B0781">
        <w:t xml:space="preserve">ith </w:t>
      </w:r>
      <w:r w:rsidR="00A368E6">
        <w:t xml:space="preserve">the requirement for increased </w:t>
      </w:r>
      <w:r w:rsidR="001B0781">
        <w:t>ef</w:t>
      </w:r>
      <w:r w:rsidR="00A368E6">
        <w:t xml:space="preserve">ficiency combined with </w:t>
      </w:r>
      <w:r w:rsidR="001B0781">
        <w:t xml:space="preserve">a range of potential new </w:t>
      </w:r>
      <w:r w:rsidR="00A368E6">
        <w:t>programs, continued effort to consolidate the program</w:t>
      </w:r>
      <w:r w:rsidR="001B0781">
        <w:t xml:space="preserve"> is required.</w:t>
      </w:r>
    </w:p>
    <w:p w:rsidR="006F5125" w:rsidRDefault="006F5125" w:rsidP="006F5125">
      <w:pPr>
        <w:pStyle w:val="Heading3"/>
      </w:pPr>
      <w:r>
        <w:t>Analysis of Quality at Implementation Ratings</w:t>
      </w:r>
    </w:p>
    <w:p w:rsidR="006F5125" w:rsidRDefault="006F5125" w:rsidP="006F5125">
      <w:pPr>
        <w:pStyle w:val="BodyText"/>
      </w:pPr>
      <w:r>
        <w:t xml:space="preserve">Ratings for most indicators remained steady across 2012-13 and 2013-14. The 2013-14 QAI process found that almost all initiatives in the Cambodia program are highly relevant. They also rated well on M&amp;E, sustainability, gender equality and effectiveness. The key areas for improvement are in the </w:t>
      </w:r>
      <w:r w:rsidR="00FD53F4">
        <w:t>Rehabilitation of the Railway in Cambodia Project</w:t>
      </w:r>
      <w:r>
        <w:t xml:space="preserve"> which rated ‘less than adequate’ on effectiveness and efficiency; the Cambodia Community Justice Assistance Partnership which rated as ‘less than adequate’ in effectiveness and sustainability; and </w:t>
      </w:r>
      <w:r w:rsidRPr="009F0113">
        <w:t>Ending Violence Against Women in Cambodia</w:t>
      </w:r>
      <w:r>
        <w:t xml:space="preserve"> which rated ‘less than adequate’ in efficiency.   </w:t>
      </w:r>
    </w:p>
    <w:p w:rsidR="006F5125" w:rsidRDefault="006F5125" w:rsidP="006F5125">
      <w:pPr>
        <w:pStyle w:val="BodyText"/>
      </w:pPr>
      <w:r>
        <w:t xml:space="preserve">Management responses, especially for the initiatives with ‘less than adequate’ rating </w:t>
      </w:r>
      <w:r w:rsidR="00CA55F9">
        <w:t>are</w:t>
      </w:r>
      <w:r>
        <w:t xml:space="preserve"> detailed below. Annex A reports on progress of management responses outlined in the 2013 APPR.  </w:t>
      </w:r>
    </w:p>
    <w:p w:rsidR="006F5125" w:rsidRDefault="006F5125" w:rsidP="006F5125">
      <w:pPr>
        <w:pStyle w:val="BodyText"/>
      </w:pPr>
      <w:r>
        <w:t xml:space="preserve">Four initiatives, including </w:t>
      </w:r>
      <w:r w:rsidRPr="001B2BDE">
        <w:t>Support to Khmer Rouge Tribunal</w:t>
      </w:r>
      <w:r>
        <w:t xml:space="preserve">, </w:t>
      </w:r>
      <w:r w:rsidRPr="001B2BDE">
        <w:t>Rural Electrification and Transmission Project</w:t>
      </w:r>
      <w:r>
        <w:t xml:space="preserve">, </w:t>
      </w:r>
      <w:r w:rsidRPr="001B2BDE">
        <w:t>Smallholder Agriculture and Social Protection</w:t>
      </w:r>
      <w:r>
        <w:t xml:space="preserve">, and </w:t>
      </w:r>
      <w:r w:rsidRPr="001B2BDE">
        <w:t>Cambodia Communication Assistance Project</w:t>
      </w:r>
      <w:r>
        <w:t xml:space="preserve"> were exempted from quality reporting.</w:t>
      </w:r>
    </w:p>
    <w:p w:rsidR="000D733F" w:rsidRDefault="000D733F" w:rsidP="000D733F">
      <w:pPr>
        <w:pStyle w:val="Heading3"/>
      </w:pPr>
      <w:r>
        <w:t xml:space="preserve">Performance </w:t>
      </w:r>
      <w:r w:rsidR="004F4630">
        <w:t>of key delivery partners</w:t>
      </w:r>
    </w:p>
    <w:p w:rsidR="009446E5" w:rsidRDefault="009446E5" w:rsidP="009446E5">
      <w:pPr>
        <w:pStyle w:val="BodyText"/>
      </w:pPr>
      <w:r>
        <w:t>Ca</w:t>
      </w:r>
      <w:r w:rsidR="001B0781">
        <w:t>mbodia has been recognized as a</w:t>
      </w:r>
      <w:r>
        <w:t xml:space="preserve"> leading partner country in implementing the “</w:t>
      </w:r>
      <w:r>
        <w:rPr>
          <w:i/>
          <w:iCs/>
        </w:rPr>
        <w:t>Paris Declaration</w:t>
      </w:r>
      <w:r>
        <w:t>” and “</w:t>
      </w:r>
      <w:r>
        <w:rPr>
          <w:i/>
          <w:iCs/>
        </w:rPr>
        <w:t>Accra Agenda for Actions on Enhancing the Effectiveness of Cooperation Financing</w:t>
      </w:r>
      <w:r>
        <w:t xml:space="preserve">” in the Asia-Pacific region. </w:t>
      </w:r>
      <w:r w:rsidR="001A6A7D">
        <w:t>T</w:t>
      </w:r>
      <w:r>
        <w:t>here is much more to be done</w:t>
      </w:r>
      <w:r w:rsidR="001A6A7D">
        <w:t xml:space="preserve">, however, </w:t>
      </w:r>
      <w:r>
        <w:t xml:space="preserve">in achieving the effectiveness of cooperation financing. </w:t>
      </w:r>
      <w:r w:rsidR="001B0781">
        <w:t>G</w:t>
      </w:r>
      <w:r>
        <w:t xml:space="preserve">overnment and stakeholders have committed </w:t>
      </w:r>
      <w:r w:rsidR="001B0781">
        <w:t>to</w:t>
      </w:r>
      <w:r>
        <w:t xml:space="preserve">: </w:t>
      </w:r>
    </w:p>
    <w:p w:rsidR="009446E5" w:rsidRDefault="009446E5" w:rsidP="001B0781">
      <w:pPr>
        <w:pStyle w:val="ListBullet2"/>
        <w:spacing w:after="0"/>
        <w:ind w:left="568" w:hanging="284"/>
      </w:pPr>
      <w:r>
        <w:t xml:space="preserve">Ensuring the alignment of external assistance with national priorities. </w:t>
      </w:r>
    </w:p>
    <w:p w:rsidR="009446E5" w:rsidRDefault="009446E5" w:rsidP="001B0781">
      <w:pPr>
        <w:pStyle w:val="ListBullet2"/>
        <w:spacing w:after="0"/>
        <w:ind w:left="568" w:hanging="284"/>
      </w:pPr>
      <w:r>
        <w:t xml:space="preserve">Harmonizing processes for managing external flows. </w:t>
      </w:r>
    </w:p>
    <w:p w:rsidR="009446E5" w:rsidRDefault="009446E5" w:rsidP="001B0781">
      <w:pPr>
        <w:pStyle w:val="ListBullet2"/>
        <w:spacing w:after="0"/>
        <w:ind w:left="568" w:hanging="284"/>
      </w:pPr>
      <w:r>
        <w:t xml:space="preserve">Building capacities for improved public sector management. </w:t>
      </w:r>
    </w:p>
    <w:p w:rsidR="000753FD" w:rsidRPr="00A874FE" w:rsidRDefault="000753FD" w:rsidP="001B0781">
      <w:pPr>
        <w:pStyle w:val="BodyText"/>
        <w:spacing w:before="120"/>
      </w:pPr>
      <w:r w:rsidRPr="00A874FE">
        <w:t>Multilateral agencies continue to maintain a significant presence in Cam</w:t>
      </w:r>
      <w:r w:rsidR="005F70CF">
        <w:t>bodia</w:t>
      </w:r>
      <w:r w:rsidRPr="00A874FE">
        <w:t>. The Cambodian Government</w:t>
      </w:r>
      <w:r w:rsidR="001A6A7D">
        <w:t>’s</w:t>
      </w:r>
      <w:r w:rsidRPr="00A874FE">
        <w:t xml:space="preserve"> reengagement with the World Bank is progressing slowly. This will have implications for </w:t>
      </w:r>
      <w:r w:rsidR="00090326">
        <w:t>Australia’s aid</w:t>
      </w:r>
      <w:r w:rsidRPr="00A874FE">
        <w:t xml:space="preserve"> strategy going forward, particularly in the health </w:t>
      </w:r>
      <w:r w:rsidRPr="000252D7">
        <w:t>sector</w:t>
      </w:r>
      <w:r w:rsidR="000252D7" w:rsidRPr="000252D7">
        <w:t>. The</w:t>
      </w:r>
      <w:r w:rsidR="000252D7" w:rsidRPr="00A874FE">
        <w:t xml:space="preserve"> Asian Development Bank’s portfolio in Cambodia has grown significantly. Between 2006 and 2011 the bank signed agreements for US</w:t>
      </w:r>
      <w:r w:rsidR="003B788D">
        <w:t>$</w:t>
      </w:r>
      <w:r w:rsidR="000252D7" w:rsidRPr="00A874FE">
        <w:t>377 million in new Asian Development Fund loans and US</w:t>
      </w:r>
      <w:r w:rsidR="003B788D">
        <w:t>$</w:t>
      </w:r>
      <w:r w:rsidR="000252D7" w:rsidRPr="00A874FE">
        <w:t xml:space="preserve">211 million in new Asian Development Fund grants. </w:t>
      </w:r>
    </w:p>
    <w:p w:rsidR="000753FD" w:rsidRDefault="000753FD" w:rsidP="000753FD">
      <w:pPr>
        <w:pStyle w:val="BodyText"/>
      </w:pPr>
      <w:r w:rsidRPr="00A874FE">
        <w:t>28</w:t>
      </w:r>
      <w:r>
        <w:t xml:space="preserve"> </w:t>
      </w:r>
      <w:r w:rsidRPr="00A874FE">
        <w:t>United Nations agencies maintain a presence in Cambodia and, while this number has diminished, the UN remains an important part of the aid landscape. In particular</w:t>
      </w:r>
      <w:r w:rsidR="001A6A7D">
        <w:t>,</w:t>
      </w:r>
      <w:r w:rsidRPr="00A874FE">
        <w:t xml:space="preserve"> DFAT works with the Food and Agriculture Organization, the World Food Programme, UN Women, United </w:t>
      </w:r>
      <w:r w:rsidRPr="00A874FE">
        <w:lastRenderedPageBreak/>
        <w:t xml:space="preserve">Nations Population Fund, United Nations Development Programme, World Health Organization and United Nations Children’s </w:t>
      </w:r>
      <w:r w:rsidRPr="00DC4E89">
        <w:t xml:space="preserve">Fund. </w:t>
      </w:r>
      <w:r w:rsidR="000252D7" w:rsidRPr="00490EFB">
        <w:t>Multilaterals represent an efficient model for delivery of aid in Cambodia and allow us to leverage the aid dollar by combining with larger programs. However multilateral bodies also represent some of our poorer performing partners</w:t>
      </w:r>
      <w:r w:rsidR="000252D7" w:rsidRPr="00DC4E89">
        <w:t>.</w:t>
      </w:r>
    </w:p>
    <w:p w:rsidR="000D733F" w:rsidRDefault="000D733F" w:rsidP="000D733F">
      <w:pPr>
        <w:pStyle w:val="Heading3"/>
      </w:pPr>
      <w:r>
        <w:t>Risks</w:t>
      </w:r>
    </w:p>
    <w:p w:rsidR="000D733F" w:rsidRDefault="000D733F" w:rsidP="000D733F">
      <w:pPr>
        <w:pStyle w:val="Caption"/>
      </w:pPr>
      <w:r>
        <w:t>Table 3 Management of key risks to achieving objectives</w:t>
      </w:r>
    </w:p>
    <w:tbl>
      <w:tblPr>
        <w:tblStyle w:val="APPR"/>
        <w:tblW w:w="0" w:type="auto"/>
        <w:tblLook w:val="0600" w:firstRow="0" w:lastRow="0" w:firstColumn="0" w:lastColumn="0" w:noHBand="1" w:noVBand="1"/>
      </w:tblPr>
      <w:tblGrid>
        <w:gridCol w:w="2971"/>
        <w:gridCol w:w="3402"/>
        <w:gridCol w:w="2404"/>
      </w:tblGrid>
      <w:tr w:rsidR="006F5125" w:rsidRPr="00745FE3" w:rsidTr="002E136C">
        <w:trPr>
          <w:cantSplit/>
        </w:trPr>
        <w:tc>
          <w:tcPr>
            <w:tcW w:w="2929" w:type="dxa"/>
            <w:hideMark/>
          </w:tcPr>
          <w:p w:rsidR="006F5125" w:rsidRPr="00BF2045" w:rsidRDefault="006F5125" w:rsidP="006F5125">
            <w:pPr>
              <w:pStyle w:val="TableTextColumnHeading"/>
            </w:pPr>
            <w:r>
              <w:t>Key Risks</w:t>
            </w:r>
          </w:p>
        </w:tc>
        <w:tc>
          <w:tcPr>
            <w:tcW w:w="3374" w:type="dxa"/>
          </w:tcPr>
          <w:p w:rsidR="006F5125" w:rsidRPr="00BF2045" w:rsidRDefault="006F5125" w:rsidP="006F5125">
            <w:pPr>
              <w:pStyle w:val="TableTextColumnHeading"/>
            </w:pPr>
            <w:r>
              <w:t>What actions were taken to manage the risks over the past year?</w:t>
            </w:r>
            <w:r w:rsidRPr="00BF2045">
              <w:t xml:space="preserve"> </w:t>
            </w:r>
          </w:p>
        </w:tc>
        <w:tc>
          <w:tcPr>
            <w:tcW w:w="2362" w:type="dxa"/>
          </w:tcPr>
          <w:p w:rsidR="006F5125" w:rsidRPr="00BF2045" w:rsidRDefault="006F5125" w:rsidP="006F5125">
            <w:pPr>
              <w:pStyle w:val="TableTextColumnHeading"/>
            </w:pPr>
            <w:r>
              <w:t>What further actions will be taken to manage the risks in the coming year?</w:t>
            </w:r>
          </w:p>
        </w:tc>
      </w:tr>
      <w:tr w:rsidR="008B3FF6" w:rsidRPr="00745FE3" w:rsidTr="002E136C">
        <w:trPr>
          <w:cantSplit/>
        </w:trPr>
        <w:tc>
          <w:tcPr>
            <w:tcW w:w="2929" w:type="dxa"/>
          </w:tcPr>
          <w:p w:rsidR="008B3FF6" w:rsidRPr="00490EFB" w:rsidRDefault="008B3FF6" w:rsidP="008B3FF6">
            <w:pPr>
              <w:pStyle w:val="TableTextEntries"/>
            </w:pPr>
            <w:r w:rsidRPr="00490EFB">
              <w:rPr>
                <w:b/>
              </w:rPr>
              <w:t>Agriculture and rural development</w:t>
            </w:r>
          </w:p>
          <w:p w:rsidR="008B3FF6" w:rsidRPr="00490EFB" w:rsidRDefault="008B3FF6" w:rsidP="008B3FF6">
            <w:pPr>
              <w:pStyle w:val="TableTextEntries"/>
              <w:numPr>
                <w:ilvl w:val="0"/>
                <w:numId w:val="32"/>
              </w:numPr>
              <w:ind w:left="142" w:hanging="142"/>
            </w:pPr>
            <w:r w:rsidRPr="00490EFB">
              <w:t xml:space="preserve">Difficulties with relationship between </w:t>
            </w:r>
            <w:r w:rsidR="00FD53F4">
              <w:t>CAVAC</w:t>
            </w:r>
            <w:r w:rsidRPr="00490EFB">
              <w:t xml:space="preserve"> and key government counterparts prevents or delays program implementation.</w:t>
            </w:r>
          </w:p>
          <w:p w:rsidR="008B3FF6" w:rsidRPr="00490EFB" w:rsidRDefault="008B3FF6" w:rsidP="008B3FF6">
            <w:pPr>
              <w:pStyle w:val="TableTextEntries"/>
              <w:numPr>
                <w:ilvl w:val="0"/>
                <w:numId w:val="32"/>
              </w:numPr>
              <w:ind w:left="142" w:hanging="142"/>
            </w:pPr>
            <w:r w:rsidRPr="00490EFB">
              <w:t xml:space="preserve">No successor program for CAVAC upon its completion in December 2015.  </w:t>
            </w:r>
          </w:p>
        </w:tc>
        <w:tc>
          <w:tcPr>
            <w:tcW w:w="3374" w:type="dxa"/>
          </w:tcPr>
          <w:p w:rsidR="008B3FF6" w:rsidRDefault="008B3FF6" w:rsidP="008B3FF6">
            <w:pPr>
              <w:pStyle w:val="TableTextEntries"/>
            </w:pPr>
            <w:r w:rsidRPr="00EE7AF3">
              <w:t>Post and</w:t>
            </w:r>
            <w:r w:rsidR="00FD53F4">
              <w:t xml:space="preserve"> CAVAC</w:t>
            </w:r>
            <w:r w:rsidRPr="00EE7AF3">
              <w:t xml:space="preserve"> organise</w:t>
            </w:r>
            <w:r w:rsidR="00F91BC1">
              <w:t>d</w:t>
            </w:r>
            <w:r w:rsidRPr="00EE7AF3">
              <w:t xml:space="preserve"> quarterly meetings with government counterparts to resolve issues related to irrigation activities. </w:t>
            </w:r>
          </w:p>
          <w:p w:rsidR="008B3FF6" w:rsidRDefault="008B3FF6" w:rsidP="008B3FF6">
            <w:pPr>
              <w:pStyle w:val="TableTextEntries"/>
            </w:pPr>
          </w:p>
          <w:p w:rsidR="008B3FF6" w:rsidRPr="00BF2045" w:rsidRDefault="00950D62" w:rsidP="008B3FF6">
            <w:pPr>
              <w:pStyle w:val="TableTextEntries"/>
            </w:pPr>
            <w:r>
              <w:t>W</w:t>
            </w:r>
            <w:r w:rsidR="008B3FF6">
              <w:t xml:space="preserve">ork </w:t>
            </w:r>
            <w:r w:rsidR="00F91BC1">
              <w:t xml:space="preserve">was commenced </w:t>
            </w:r>
            <w:r w:rsidR="008B3FF6">
              <w:t>on CAVAC Phase 2 design including discussion</w:t>
            </w:r>
            <w:r>
              <w:t>s</w:t>
            </w:r>
            <w:r w:rsidR="008B3FF6">
              <w:t xml:space="preserve"> with </w:t>
            </w:r>
            <w:r w:rsidR="00F91BC1">
              <w:t xml:space="preserve">the </w:t>
            </w:r>
            <w:r w:rsidR="00140E35">
              <w:t xml:space="preserve">Cambodian Government </w:t>
            </w:r>
            <w:r w:rsidR="008B3FF6">
              <w:t>and development partner counterparts</w:t>
            </w:r>
          </w:p>
        </w:tc>
        <w:tc>
          <w:tcPr>
            <w:tcW w:w="2362" w:type="dxa"/>
          </w:tcPr>
          <w:p w:rsidR="008B3FF6" w:rsidRPr="00490EFB" w:rsidRDefault="008B3FF6" w:rsidP="008B3FF6">
            <w:pPr>
              <w:pStyle w:val="TableTextEntries"/>
            </w:pPr>
            <w:r w:rsidRPr="00490EFB">
              <w:t>Post to engage counterparts early on CAVAC Phase 2 design.</w:t>
            </w:r>
          </w:p>
          <w:p w:rsidR="008B3FF6" w:rsidRPr="00490EFB" w:rsidRDefault="008B3FF6" w:rsidP="008B3FF6">
            <w:pPr>
              <w:pStyle w:val="TableTextEntries"/>
            </w:pPr>
          </w:p>
          <w:p w:rsidR="008B3FF6" w:rsidRPr="008B3FF6" w:rsidRDefault="008B3FF6" w:rsidP="008B3FF6">
            <w:pPr>
              <w:pStyle w:val="TableTextEntries"/>
              <w:rPr>
                <w:highlight w:val="yellow"/>
              </w:rPr>
            </w:pPr>
            <w:r w:rsidRPr="00490EFB">
              <w:t>CAVAC Phase 2 design process completed by end March 2015</w:t>
            </w:r>
          </w:p>
        </w:tc>
      </w:tr>
      <w:tr w:rsidR="008B3FF6" w:rsidRPr="00745FE3" w:rsidTr="002E136C">
        <w:trPr>
          <w:cantSplit/>
        </w:trPr>
        <w:tc>
          <w:tcPr>
            <w:tcW w:w="2929" w:type="dxa"/>
            <w:hideMark/>
          </w:tcPr>
          <w:p w:rsidR="008B3FF6" w:rsidRPr="00490EFB" w:rsidRDefault="008B3FF6" w:rsidP="008B3FF6">
            <w:pPr>
              <w:pStyle w:val="TableTextEntries"/>
            </w:pPr>
            <w:r w:rsidRPr="00490EFB">
              <w:rPr>
                <w:b/>
              </w:rPr>
              <w:t>Health</w:t>
            </w:r>
            <w:r w:rsidRPr="00490EFB">
              <w:t xml:space="preserve"> </w:t>
            </w:r>
          </w:p>
          <w:p w:rsidR="008B3FF6" w:rsidRPr="00490EFB" w:rsidRDefault="008B3FF6" w:rsidP="008B3FF6">
            <w:pPr>
              <w:pStyle w:val="TableTextEntries"/>
            </w:pPr>
            <w:r w:rsidRPr="00490EFB">
              <w:t xml:space="preserve">No successor program for HSSP 2 upon its completion in December 2015.  </w:t>
            </w:r>
          </w:p>
        </w:tc>
        <w:tc>
          <w:tcPr>
            <w:tcW w:w="3374" w:type="dxa"/>
          </w:tcPr>
          <w:p w:rsidR="008B3FF6" w:rsidRPr="00BF2045" w:rsidRDefault="008B3FF6" w:rsidP="008B3FF6">
            <w:pPr>
              <w:pStyle w:val="TableTextEntries"/>
            </w:pPr>
            <w:r>
              <w:t>I</w:t>
            </w:r>
            <w:r w:rsidRPr="00090326">
              <w:t>nitial discussions</w:t>
            </w:r>
            <w:r w:rsidR="00F91BC1">
              <w:t xml:space="preserve"> were held</w:t>
            </w:r>
            <w:r w:rsidRPr="00090326">
              <w:t xml:space="preserve"> with the </w:t>
            </w:r>
            <w:r w:rsidR="00140E35">
              <w:t>Cambodian Government</w:t>
            </w:r>
            <w:r w:rsidR="00140E35" w:rsidRPr="00090326">
              <w:t xml:space="preserve"> </w:t>
            </w:r>
            <w:r w:rsidRPr="00090326">
              <w:t>and development partners regarding the successor program.</w:t>
            </w:r>
          </w:p>
        </w:tc>
        <w:tc>
          <w:tcPr>
            <w:tcW w:w="2362" w:type="dxa"/>
          </w:tcPr>
          <w:p w:rsidR="008B3FF6" w:rsidRPr="00490EFB" w:rsidRDefault="008B3FF6" w:rsidP="008B3FF6">
            <w:pPr>
              <w:pStyle w:val="TableTextEntries"/>
            </w:pPr>
            <w:r w:rsidRPr="00490EFB">
              <w:t>Ongoing consultation with Ministries of Health and Finance</w:t>
            </w:r>
          </w:p>
          <w:p w:rsidR="008B3FF6" w:rsidRPr="00490EFB" w:rsidRDefault="008B3FF6" w:rsidP="008B3FF6">
            <w:pPr>
              <w:pStyle w:val="TableTextEntries"/>
            </w:pPr>
            <w:r w:rsidRPr="00490EFB">
              <w:t xml:space="preserve">Australian led design process with </w:t>
            </w:r>
            <w:r w:rsidR="00FD53F4">
              <w:t>development partners</w:t>
            </w:r>
            <w:r w:rsidRPr="00490EFB">
              <w:t xml:space="preserve"> and </w:t>
            </w:r>
            <w:r w:rsidR="00140E35" w:rsidRPr="00490EFB">
              <w:t xml:space="preserve">Cambodian Government </w:t>
            </w:r>
            <w:r w:rsidRPr="00490EFB">
              <w:t xml:space="preserve">to be finalised by June 2015  </w:t>
            </w:r>
          </w:p>
        </w:tc>
      </w:tr>
      <w:tr w:rsidR="008B3FF6" w:rsidRPr="00745FE3" w:rsidTr="002E136C">
        <w:trPr>
          <w:cantSplit/>
        </w:trPr>
        <w:tc>
          <w:tcPr>
            <w:tcW w:w="2929" w:type="dxa"/>
          </w:tcPr>
          <w:p w:rsidR="008B3FF6" w:rsidRDefault="008B3FF6" w:rsidP="006F5125">
            <w:pPr>
              <w:pStyle w:val="TableTextEntries"/>
            </w:pPr>
            <w:r w:rsidRPr="008B3FF6">
              <w:rPr>
                <w:b/>
              </w:rPr>
              <w:t>Infrastructure</w:t>
            </w:r>
          </w:p>
          <w:p w:rsidR="008B3FF6" w:rsidRPr="00E13B1D" w:rsidRDefault="008B3FF6" w:rsidP="006F5125">
            <w:pPr>
              <w:pStyle w:val="TableTextEntries"/>
            </w:pPr>
            <w:r>
              <w:t xml:space="preserve"> Resettlement remains the major risk until end 2014.</w:t>
            </w:r>
          </w:p>
          <w:p w:rsidR="008B3FF6" w:rsidRPr="00BF2045" w:rsidRDefault="008B3FF6" w:rsidP="00FB7924">
            <w:pPr>
              <w:pStyle w:val="TableTextEntries"/>
            </w:pPr>
          </w:p>
        </w:tc>
        <w:tc>
          <w:tcPr>
            <w:tcW w:w="3374" w:type="dxa"/>
          </w:tcPr>
          <w:p w:rsidR="008B3FF6" w:rsidRPr="00DC4E89" w:rsidRDefault="00F91BC1" w:rsidP="008B3FF6">
            <w:pPr>
              <w:pStyle w:val="TableTextEntries"/>
            </w:pPr>
            <w:r w:rsidRPr="00490EFB">
              <w:t xml:space="preserve">The </w:t>
            </w:r>
            <w:r w:rsidR="008B3FF6" w:rsidRPr="00490EFB">
              <w:t xml:space="preserve">Program </w:t>
            </w:r>
            <w:r w:rsidRPr="00490EFB">
              <w:t xml:space="preserve">was </w:t>
            </w:r>
            <w:r w:rsidR="008B3FF6" w:rsidRPr="00490EFB">
              <w:t>actively managed with significant management and staff resources devoted to resettlement and project implementation more broadly.</w:t>
            </w:r>
            <w:r w:rsidR="008B3FF6" w:rsidRPr="00DC4E89">
              <w:t xml:space="preserve">  </w:t>
            </w:r>
          </w:p>
        </w:tc>
        <w:tc>
          <w:tcPr>
            <w:tcW w:w="2362" w:type="dxa"/>
          </w:tcPr>
          <w:p w:rsidR="008B3FF6" w:rsidRPr="00DC4E89" w:rsidRDefault="008B3FF6" w:rsidP="008B3FF6">
            <w:pPr>
              <w:pStyle w:val="TableTextEntries"/>
              <w:rPr>
                <w:bCs/>
              </w:rPr>
            </w:pPr>
            <w:r w:rsidRPr="00490EFB">
              <w:rPr>
                <w:bCs/>
              </w:rPr>
              <w:t xml:space="preserve">Develop </w:t>
            </w:r>
            <w:r w:rsidR="00FD53F4">
              <w:rPr>
                <w:bCs/>
              </w:rPr>
              <w:t>e</w:t>
            </w:r>
            <w:r w:rsidRPr="00490EFB">
              <w:rPr>
                <w:bCs/>
              </w:rPr>
              <w:t>xit strategy for resettlement activities</w:t>
            </w:r>
          </w:p>
          <w:p w:rsidR="008B3FF6" w:rsidRPr="00DC4E89" w:rsidRDefault="008B3FF6" w:rsidP="008B3FF6">
            <w:pPr>
              <w:pStyle w:val="TableTextEntries"/>
              <w:rPr>
                <w:bCs/>
              </w:rPr>
            </w:pPr>
            <w:r w:rsidRPr="00DC4E89">
              <w:rPr>
                <w:bCs/>
              </w:rPr>
              <w:t xml:space="preserve">Continue engagement with all stakeholders as per the past year. </w:t>
            </w:r>
          </w:p>
        </w:tc>
      </w:tr>
      <w:tr w:rsidR="006F5125" w:rsidRPr="00745FE3" w:rsidTr="002E136C">
        <w:trPr>
          <w:cantSplit/>
        </w:trPr>
        <w:tc>
          <w:tcPr>
            <w:tcW w:w="2929" w:type="dxa"/>
          </w:tcPr>
          <w:p w:rsidR="00E01887" w:rsidRDefault="006F5125" w:rsidP="002E136C">
            <w:pPr>
              <w:pStyle w:val="TableTextEntries"/>
            </w:pPr>
            <w:r w:rsidRPr="008B3FF6">
              <w:rPr>
                <w:b/>
              </w:rPr>
              <w:t>Law and justice</w:t>
            </w:r>
          </w:p>
          <w:p w:rsidR="00E01887" w:rsidRPr="00490EFB" w:rsidRDefault="008B3FF6" w:rsidP="00E01887">
            <w:pPr>
              <w:pStyle w:val="TableTextEntries"/>
              <w:numPr>
                <w:ilvl w:val="0"/>
                <w:numId w:val="32"/>
              </w:numPr>
              <w:ind w:left="142" w:hanging="142"/>
            </w:pPr>
            <w:r w:rsidRPr="00490EFB">
              <w:t xml:space="preserve">Lack of political and bureaucratic support for key outcome areas </w:t>
            </w:r>
          </w:p>
          <w:p w:rsidR="00E01887" w:rsidRPr="00490EFB" w:rsidRDefault="00E01887" w:rsidP="00E01887">
            <w:pPr>
              <w:pStyle w:val="TableTextEntries"/>
              <w:numPr>
                <w:ilvl w:val="0"/>
                <w:numId w:val="32"/>
              </w:numPr>
              <w:ind w:left="142" w:hanging="142"/>
            </w:pPr>
            <w:r w:rsidRPr="00490EFB">
              <w:t>fiduciary risk</w:t>
            </w:r>
            <w:r w:rsidR="008B3FF6" w:rsidRPr="00490EFB">
              <w:t xml:space="preserve"> – small scale fraud</w:t>
            </w:r>
          </w:p>
          <w:p w:rsidR="00E01887" w:rsidRPr="00490EFB" w:rsidRDefault="00E01887" w:rsidP="00E01887">
            <w:pPr>
              <w:pStyle w:val="TableTextEntries"/>
              <w:numPr>
                <w:ilvl w:val="0"/>
                <w:numId w:val="32"/>
              </w:numPr>
              <w:ind w:left="142" w:hanging="142"/>
            </w:pPr>
            <w:r w:rsidRPr="00490EFB">
              <w:t>lack of strong linkages across portfolio particularly EVAW and CCJAP</w:t>
            </w:r>
          </w:p>
          <w:p w:rsidR="00F11423" w:rsidRPr="00490EFB" w:rsidRDefault="00F11423" w:rsidP="00E01887">
            <w:pPr>
              <w:pStyle w:val="TableTextEntries"/>
              <w:numPr>
                <w:ilvl w:val="0"/>
                <w:numId w:val="32"/>
              </w:numPr>
              <w:ind w:left="142" w:hanging="142"/>
            </w:pPr>
            <w:r w:rsidRPr="00490EFB">
              <w:t xml:space="preserve">expectation by </w:t>
            </w:r>
            <w:r w:rsidR="00140E35" w:rsidRPr="00490EFB">
              <w:t xml:space="preserve">Cambodian Government </w:t>
            </w:r>
            <w:r w:rsidRPr="00490EFB">
              <w:t>that CCJAP will continue</w:t>
            </w:r>
          </w:p>
          <w:p w:rsidR="006F5125" w:rsidRPr="00BF2045" w:rsidRDefault="006F5125" w:rsidP="00E01887">
            <w:pPr>
              <w:pStyle w:val="TableTextEntries"/>
            </w:pPr>
          </w:p>
        </w:tc>
        <w:tc>
          <w:tcPr>
            <w:tcW w:w="3374" w:type="dxa"/>
          </w:tcPr>
          <w:p w:rsidR="006F5125" w:rsidRPr="00DC4E89" w:rsidRDefault="00EC2535" w:rsidP="006F5125">
            <w:pPr>
              <w:pStyle w:val="TableTextEntries"/>
              <w:rPr>
                <w:bCs/>
              </w:rPr>
            </w:pPr>
            <w:r w:rsidRPr="00DC4E89">
              <w:rPr>
                <w:bCs/>
              </w:rPr>
              <w:t>Ongoing dialogue</w:t>
            </w:r>
            <w:r w:rsidR="00F91BC1" w:rsidRPr="00DC4E89">
              <w:rPr>
                <w:bCs/>
              </w:rPr>
              <w:t xml:space="preserve"> was held</w:t>
            </w:r>
            <w:r w:rsidRPr="00DC4E89">
              <w:rPr>
                <w:bCs/>
              </w:rPr>
              <w:t xml:space="preserve"> with counterparts in line m</w:t>
            </w:r>
            <w:r w:rsidR="006F5125" w:rsidRPr="00DC4E89">
              <w:rPr>
                <w:bCs/>
              </w:rPr>
              <w:t>inistries and provincial government</w:t>
            </w:r>
            <w:r w:rsidRPr="00DC4E89">
              <w:rPr>
                <w:bCs/>
              </w:rPr>
              <w:t>s</w:t>
            </w:r>
            <w:r w:rsidR="00E01887" w:rsidRPr="00DC4E89">
              <w:rPr>
                <w:bCs/>
              </w:rPr>
              <w:t xml:space="preserve"> to agree on program outputs</w:t>
            </w:r>
            <w:r w:rsidR="006F5125" w:rsidRPr="00DC4E89">
              <w:rPr>
                <w:bCs/>
              </w:rPr>
              <w:t xml:space="preserve">. </w:t>
            </w:r>
          </w:p>
          <w:p w:rsidR="006E6A1C" w:rsidRPr="00490EFB" w:rsidRDefault="006E6A1C" w:rsidP="006E6A1C">
            <w:pPr>
              <w:pStyle w:val="TableTextEntries"/>
              <w:rPr>
                <w:bCs/>
              </w:rPr>
            </w:pPr>
            <w:r w:rsidRPr="00490EFB">
              <w:rPr>
                <w:bCs/>
              </w:rPr>
              <w:t xml:space="preserve">Internal analysis and review commissioned on key issues – </w:t>
            </w:r>
            <w:r w:rsidR="00F11423" w:rsidRPr="00490EFB">
              <w:rPr>
                <w:bCs/>
              </w:rPr>
              <w:t>review</w:t>
            </w:r>
            <w:r w:rsidR="00F91BC1" w:rsidRPr="00490EFB">
              <w:rPr>
                <w:bCs/>
              </w:rPr>
              <w:t>ed</w:t>
            </w:r>
            <w:r w:rsidR="00F11423" w:rsidRPr="00490EFB">
              <w:rPr>
                <w:bCs/>
              </w:rPr>
              <w:t xml:space="preserve"> program objectives, </w:t>
            </w:r>
            <w:r w:rsidRPr="00490EFB">
              <w:rPr>
                <w:bCs/>
              </w:rPr>
              <w:t xml:space="preserve">police response to </w:t>
            </w:r>
            <w:r w:rsidR="00FD53F4">
              <w:rPr>
                <w:bCs/>
              </w:rPr>
              <w:t>violence against women</w:t>
            </w:r>
            <w:r w:rsidRPr="00490EFB">
              <w:rPr>
                <w:bCs/>
              </w:rPr>
              <w:t xml:space="preserve">, impact of police posts on community safety. </w:t>
            </w:r>
          </w:p>
          <w:p w:rsidR="006E6A1C" w:rsidRPr="00490EFB" w:rsidRDefault="006E6A1C" w:rsidP="006E6A1C">
            <w:pPr>
              <w:pStyle w:val="TableTextEntries"/>
              <w:rPr>
                <w:bCs/>
              </w:rPr>
            </w:pPr>
            <w:r w:rsidRPr="00490EFB">
              <w:rPr>
                <w:bCs/>
              </w:rPr>
              <w:t xml:space="preserve">Ongoing participation in Legal and Judicial Reform Technical Working Group. </w:t>
            </w:r>
          </w:p>
          <w:p w:rsidR="006E6A1C" w:rsidRPr="00DC4E89" w:rsidRDefault="006E6A1C" w:rsidP="00A903D5">
            <w:pPr>
              <w:pStyle w:val="TableTextEntries"/>
            </w:pPr>
            <w:r w:rsidRPr="00490EFB">
              <w:rPr>
                <w:bCs/>
              </w:rPr>
              <w:t>Procurement and internal financial management processes overhauled, outputs based contracts instituted for government counterpart focal points, GPS trackers installed on project vehicles.</w:t>
            </w:r>
          </w:p>
        </w:tc>
        <w:tc>
          <w:tcPr>
            <w:tcW w:w="2362" w:type="dxa"/>
          </w:tcPr>
          <w:p w:rsidR="00E01887" w:rsidRPr="00490EFB" w:rsidRDefault="00EC2535" w:rsidP="00EC2535">
            <w:pPr>
              <w:pStyle w:val="TableTextEntries"/>
              <w:rPr>
                <w:bCs/>
              </w:rPr>
            </w:pPr>
            <w:r w:rsidRPr="00490EFB">
              <w:rPr>
                <w:bCs/>
              </w:rPr>
              <w:t>Act on the internal review of CCJAP outcome areas where appropriate</w:t>
            </w:r>
          </w:p>
          <w:p w:rsidR="008B3FF6" w:rsidRPr="00490EFB" w:rsidRDefault="008B3FF6" w:rsidP="00EC2535">
            <w:pPr>
              <w:pStyle w:val="TableTextEntries"/>
              <w:rPr>
                <w:bCs/>
              </w:rPr>
            </w:pPr>
            <w:r w:rsidRPr="00490EFB">
              <w:rPr>
                <w:bCs/>
              </w:rPr>
              <w:t xml:space="preserve">Reinforce CCJAP </w:t>
            </w:r>
            <w:r w:rsidR="00FD53F4">
              <w:rPr>
                <w:bCs/>
              </w:rPr>
              <w:t>e</w:t>
            </w:r>
            <w:r w:rsidRPr="00490EFB">
              <w:rPr>
                <w:bCs/>
              </w:rPr>
              <w:t>nd date at 2014 HLCs</w:t>
            </w:r>
          </w:p>
          <w:p w:rsidR="00EC2535" w:rsidRPr="00490EFB" w:rsidRDefault="00E01887" w:rsidP="00EC2535">
            <w:pPr>
              <w:pStyle w:val="TableTextEntries"/>
              <w:rPr>
                <w:bCs/>
              </w:rPr>
            </w:pPr>
            <w:r w:rsidRPr="00490EFB">
              <w:rPr>
                <w:bCs/>
              </w:rPr>
              <w:t xml:space="preserve">Develop </w:t>
            </w:r>
            <w:r w:rsidR="00EC2535" w:rsidRPr="00490EFB">
              <w:rPr>
                <w:bCs/>
              </w:rPr>
              <w:t xml:space="preserve">CCJAP </w:t>
            </w:r>
            <w:r w:rsidR="00FD53F4">
              <w:rPr>
                <w:bCs/>
              </w:rPr>
              <w:t>e</w:t>
            </w:r>
            <w:r w:rsidR="00EC2535" w:rsidRPr="00490EFB">
              <w:rPr>
                <w:bCs/>
              </w:rPr>
              <w:t xml:space="preserve">xit </w:t>
            </w:r>
            <w:r w:rsidR="00FD53F4">
              <w:rPr>
                <w:bCs/>
              </w:rPr>
              <w:t>s</w:t>
            </w:r>
            <w:r w:rsidR="00EC2535" w:rsidRPr="00490EFB">
              <w:rPr>
                <w:bCs/>
              </w:rPr>
              <w:t>trategy</w:t>
            </w:r>
            <w:r w:rsidRPr="00490EFB">
              <w:rPr>
                <w:bCs/>
              </w:rPr>
              <w:t xml:space="preserve"> in consultation with </w:t>
            </w:r>
            <w:r w:rsidR="00FD53F4">
              <w:rPr>
                <w:bCs/>
              </w:rPr>
              <w:t>Ministry of Interior (MOI)</w:t>
            </w:r>
            <w:r w:rsidR="00EC2535" w:rsidRPr="00490EFB">
              <w:rPr>
                <w:bCs/>
              </w:rPr>
              <w:t xml:space="preserve"> </w:t>
            </w:r>
          </w:p>
          <w:p w:rsidR="006F5125" w:rsidRPr="00490EFB" w:rsidRDefault="00E01887" w:rsidP="006F5125">
            <w:pPr>
              <w:pStyle w:val="TableTextEntries"/>
              <w:rPr>
                <w:bCs/>
              </w:rPr>
            </w:pPr>
            <w:r w:rsidRPr="00490EFB">
              <w:rPr>
                <w:bCs/>
              </w:rPr>
              <w:t xml:space="preserve">Ongoing dialogue with </w:t>
            </w:r>
            <w:r w:rsidR="006F5125" w:rsidRPr="00490EFB">
              <w:rPr>
                <w:bCs/>
              </w:rPr>
              <w:t>key counterparts</w:t>
            </w:r>
          </w:p>
          <w:p w:rsidR="00F11423" w:rsidRPr="00490EFB" w:rsidRDefault="00A903D5" w:rsidP="00C0704F">
            <w:pPr>
              <w:pStyle w:val="TableTextEntries"/>
            </w:pPr>
            <w:r w:rsidRPr="00490EFB">
              <w:rPr>
                <w:bCs/>
              </w:rPr>
              <w:t>Recruit EVAW Coordinator to design CCJAP EVAW activities</w:t>
            </w:r>
            <w:r w:rsidR="00E01887" w:rsidRPr="00490EFB">
              <w:t xml:space="preserve"> </w:t>
            </w:r>
          </w:p>
          <w:p w:rsidR="00A903D5" w:rsidRPr="00DC4E89" w:rsidRDefault="00F11423" w:rsidP="00F11423">
            <w:pPr>
              <w:pStyle w:val="TableTextEntries"/>
              <w:rPr>
                <w:bCs/>
              </w:rPr>
            </w:pPr>
            <w:r w:rsidRPr="00490EFB">
              <w:t>Include CCJAP, Police and MOI in EVAW Steering Committee</w:t>
            </w:r>
            <w:r w:rsidR="00E01887" w:rsidRPr="00490EFB">
              <w:t>.</w:t>
            </w:r>
          </w:p>
        </w:tc>
      </w:tr>
      <w:tr w:rsidR="006F5125" w:rsidRPr="00745FE3" w:rsidTr="002E136C">
        <w:trPr>
          <w:cantSplit/>
        </w:trPr>
        <w:tc>
          <w:tcPr>
            <w:tcW w:w="2929" w:type="dxa"/>
          </w:tcPr>
          <w:p w:rsidR="006F5125" w:rsidRPr="00EE7AF3" w:rsidRDefault="006F5125" w:rsidP="006F5125">
            <w:pPr>
              <w:pStyle w:val="TableTextEntries"/>
            </w:pPr>
            <w:r w:rsidRPr="00EE7AF3">
              <w:t>Disability – Slow and/or difficult implementation of new program does not meet expectations of partners.</w:t>
            </w:r>
          </w:p>
          <w:p w:rsidR="006F5125" w:rsidRPr="00EE7AF3" w:rsidRDefault="006F5125" w:rsidP="006F5125">
            <w:pPr>
              <w:pStyle w:val="TableTextEntries"/>
            </w:pPr>
          </w:p>
        </w:tc>
        <w:tc>
          <w:tcPr>
            <w:tcW w:w="3374" w:type="dxa"/>
          </w:tcPr>
          <w:p w:rsidR="006F5125" w:rsidRPr="00EE7AF3" w:rsidRDefault="006F5125" w:rsidP="006F5125">
            <w:pPr>
              <w:pStyle w:val="TableTextEntries"/>
            </w:pPr>
            <w:r w:rsidRPr="00EE7AF3">
              <w:t>Monitor</w:t>
            </w:r>
            <w:r w:rsidR="00F91BC1">
              <w:t>ed</w:t>
            </w:r>
            <w:r w:rsidRPr="00EE7AF3">
              <w:t xml:space="preserve"> progress with key partnerships and activities and where applicable, advocate</w:t>
            </w:r>
            <w:r w:rsidR="00F91BC1">
              <w:t>d</w:t>
            </w:r>
            <w:r w:rsidRPr="00EE7AF3">
              <w:t xml:space="preserve"> for improvements through </w:t>
            </w:r>
            <w:r w:rsidR="00FD53F4">
              <w:t>b</w:t>
            </w:r>
            <w:r w:rsidRPr="00EE7AF3">
              <w:t xml:space="preserve">oard </w:t>
            </w:r>
            <w:r w:rsidR="00FD53F4">
              <w:t>m</w:t>
            </w:r>
            <w:r w:rsidRPr="00EE7AF3">
              <w:t>eetings and other governance structures.</w:t>
            </w:r>
          </w:p>
        </w:tc>
        <w:tc>
          <w:tcPr>
            <w:tcW w:w="2362" w:type="dxa"/>
          </w:tcPr>
          <w:p w:rsidR="006F5125" w:rsidRDefault="00EC2535" w:rsidP="00F11423">
            <w:pPr>
              <w:pStyle w:val="TableTextEntries"/>
            </w:pPr>
            <w:r>
              <w:t xml:space="preserve">Continued monitoring </w:t>
            </w:r>
            <w:r w:rsidR="00FA4A95">
              <w:t>for performance.  Where appropriate</w:t>
            </w:r>
            <w:r w:rsidR="00F11423">
              <w:t>,</w:t>
            </w:r>
            <w:r w:rsidR="00FA4A95">
              <w:t xml:space="preserve"> funding will be redirected to higher performing activities. </w:t>
            </w:r>
          </w:p>
          <w:p w:rsidR="00CA55F9" w:rsidRPr="00EE7AF3" w:rsidRDefault="00CA55F9" w:rsidP="00F11423">
            <w:pPr>
              <w:pStyle w:val="TableTextEntries"/>
            </w:pPr>
          </w:p>
        </w:tc>
      </w:tr>
    </w:tbl>
    <w:p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6F5125" w:rsidRDefault="006F5125" w:rsidP="006F5125">
      <w:pPr>
        <w:pStyle w:val="BodyText"/>
      </w:pPr>
      <w:r>
        <w:t>Strategic priorities for the Cambodia program during 2014-15</w:t>
      </w:r>
      <w:r w:rsidRPr="00BF2045">
        <w:t xml:space="preserve"> are:</w:t>
      </w:r>
    </w:p>
    <w:p w:rsidR="008F1546" w:rsidRDefault="008F1546" w:rsidP="008F1546">
      <w:pPr>
        <w:pStyle w:val="ListBullet"/>
        <w:spacing w:line="240" w:lineRule="auto"/>
        <w:ind w:left="357" w:hanging="357"/>
      </w:pPr>
      <w:r>
        <w:t xml:space="preserve">Through High-Level Consultations in September, seek agreement from the Cambodian Government on </w:t>
      </w:r>
      <w:r w:rsidRPr="00490EFB">
        <w:t>strategic direction</w:t>
      </w:r>
      <w:r>
        <w:t xml:space="preserve">, program consolidation, clear mutual obligations and enhanced performance benchmarks  </w:t>
      </w:r>
    </w:p>
    <w:p w:rsidR="00FA4A95" w:rsidRDefault="006F5125" w:rsidP="008F1546">
      <w:pPr>
        <w:pStyle w:val="ListBullet"/>
        <w:spacing w:line="240" w:lineRule="auto"/>
        <w:ind w:left="357" w:hanging="357"/>
      </w:pPr>
      <w:r>
        <w:lastRenderedPageBreak/>
        <w:t>Maintain dialo</w:t>
      </w:r>
      <w:r w:rsidR="00A368E6">
        <w:t xml:space="preserve">gue with </w:t>
      </w:r>
      <w:r w:rsidR="001A6A7D">
        <w:t xml:space="preserve">the Cambodian Government </w:t>
      </w:r>
      <w:r w:rsidR="00A368E6">
        <w:t>on key reform areas</w:t>
      </w:r>
    </w:p>
    <w:p w:rsidR="008B3FF6" w:rsidRDefault="00FA4A95" w:rsidP="008F1546">
      <w:pPr>
        <w:pStyle w:val="ListBullet"/>
        <w:spacing w:line="240" w:lineRule="auto"/>
        <w:ind w:left="357" w:hanging="357"/>
      </w:pPr>
      <w:r>
        <w:t xml:space="preserve">Continue to ensure programs are delivered through mechanisms that minimise fiduciary risk </w:t>
      </w:r>
    </w:p>
    <w:p w:rsidR="008B3FF6" w:rsidRPr="00490EFB" w:rsidRDefault="008B3FF6" w:rsidP="008B3FF6">
      <w:pPr>
        <w:pStyle w:val="ListBullet"/>
        <w:spacing w:line="240" w:lineRule="auto"/>
        <w:ind w:left="357" w:hanging="357"/>
      </w:pPr>
      <w:r w:rsidRPr="00490EFB">
        <w:t>Move out of programs where we are underperforming</w:t>
      </w:r>
    </w:p>
    <w:p w:rsidR="00295E98" w:rsidRPr="00DC4E89" w:rsidRDefault="00FA4A95" w:rsidP="008F1546">
      <w:pPr>
        <w:pStyle w:val="ListBullet"/>
        <w:spacing w:line="240" w:lineRule="auto"/>
        <w:ind w:left="357" w:hanging="357"/>
      </w:pPr>
      <w:r w:rsidRPr="00DC4E89">
        <w:t>Continue to ensure compliance of all program partners with child protection policies</w:t>
      </w:r>
    </w:p>
    <w:p w:rsidR="00A01913" w:rsidRPr="00490EFB" w:rsidRDefault="00295E98" w:rsidP="008F1546">
      <w:pPr>
        <w:pStyle w:val="ListBullet"/>
        <w:spacing w:line="240" w:lineRule="auto"/>
        <w:ind w:left="357" w:hanging="357"/>
      </w:pPr>
      <w:r w:rsidRPr="00490EFB">
        <w:t>Expand the collection and use of gender disaggregated data across all programs</w:t>
      </w:r>
      <w:r w:rsidR="00FA4A95" w:rsidRPr="00490EFB">
        <w:t>.</w:t>
      </w:r>
    </w:p>
    <w:p w:rsidR="006F5125" w:rsidRPr="007A0139" w:rsidRDefault="006F5125" w:rsidP="006F5125">
      <w:pPr>
        <w:pStyle w:val="Heading3"/>
      </w:pPr>
      <w:r w:rsidRPr="007A0139">
        <w:t xml:space="preserve">Sector </w:t>
      </w:r>
      <w:r>
        <w:t>specific</w:t>
      </w:r>
    </w:p>
    <w:p w:rsidR="00B10FF4" w:rsidRPr="007A0139" w:rsidRDefault="00B10FF4" w:rsidP="00B10FF4">
      <w:pPr>
        <w:pStyle w:val="ListBullet"/>
        <w:rPr>
          <w:color w:val="1F497D"/>
        </w:rPr>
      </w:pPr>
      <w:r w:rsidRPr="007A0139">
        <w:t xml:space="preserve">Agricultural and </w:t>
      </w:r>
      <w:r>
        <w:t>r</w:t>
      </w:r>
      <w:r w:rsidRPr="007A0139">
        <w:t xml:space="preserve">ural </w:t>
      </w:r>
      <w:r>
        <w:t>d</w:t>
      </w:r>
      <w:r w:rsidRPr="007A0139">
        <w:t xml:space="preserve">evelopment: </w:t>
      </w:r>
    </w:p>
    <w:p w:rsidR="008B3FF6" w:rsidRPr="00490EFB" w:rsidRDefault="008B3FF6" w:rsidP="008B3FF6">
      <w:pPr>
        <w:pStyle w:val="ListBullet2"/>
        <w:spacing w:line="240" w:lineRule="auto"/>
        <w:ind w:left="641" w:hanging="357"/>
      </w:pPr>
      <w:r w:rsidRPr="00490EFB">
        <w:t>Initiate an Investment Design for a second phase of CAVAC.</w:t>
      </w:r>
    </w:p>
    <w:p w:rsidR="008B3FF6" w:rsidRPr="00490EFB" w:rsidRDefault="008B3FF6" w:rsidP="008B3FF6">
      <w:pPr>
        <w:pStyle w:val="ListBullet2"/>
        <w:spacing w:line="240" w:lineRule="auto"/>
        <w:ind w:left="641" w:hanging="357"/>
      </w:pPr>
      <w:r w:rsidRPr="00490EFB">
        <w:t xml:space="preserve">Develop improved outcome level reporting in CAVAC </w:t>
      </w:r>
    </w:p>
    <w:p w:rsidR="008B3FF6" w:rsidRPr="00490EFB" w:rsidRDefault="008B3FF6" w:rsidP="008B3FF6">
      <w:pPr>
        <w:pStyle w:val="ListBullet2"/>
        <w:spacing w:line="240" w:lineRule="auto"/>
        <w:ind w:left="641" w:hanging="357"/>
      </w:pPr>
      <w:r w:rsidRPr="00490EFB">
        <w:t>Link sector reporting to DFAT Aid for Trade and private sector development objectives</w:t>
      </w:r>
    </w:p>
    <w:p w:rsidR="006F5125" w:rsidRPr="00DC4E89" w:rsidRDefault="006F5125" w:rsidP="006F5125">
      <w:pPr>
        <w:pStyle w:val="ListBullet"/>
      </w:pPr>
      <w:r w:rsidRPr="00DC4E89">
        <w:t xml:space="preserve">Health: </w:t>
      </w:r>
    </w:p>
    <w:p w:rsidR="006F5125" w:rsidRDefault="006F5125" w:rsidP="008F1546">
      <w:pPr>
        <w:pStyle w:val="ListBullet2"/>
        <w:spacing w:line="240" w:lineRule="auto"/>
        <w:ind w:left="641" w:hanging="357"/>
      </w:pPr>
      <w:r w:rsidRPr="00DC4E89">
        <w:t xml:space="preserve">Work with key donors and technical agencies to support the Cambodian Government </w:t>
      </w:r>
      <w:r w:rsidRPr="00490EFB">
        <w:t xml:space="preserve">develop a roadmap for </w:t>
      </w:r>
      <w:r w:rsidR="0091200C" w:rsidRPr="00490EFB">
        <w:t>a more sustainable health financing mechanism in line with the next health strategic plan particularly addressing the</w:t>
      </w:r>
      <w:r w:rsidR="0091200C" w:rsidRPr="00DC4E89">
        <w:t xml:space="preserve"> </w:t>
      </w:r>
      <w:r w:rsidRPr="00DC4E89">
        <w:t>‘near-poor’ and margin</w:t>
      </w:r>
      <w:r>
        <w:t>alised groups</w:t>
      </w:r>
    </w:p>
    <w:p w:rsidR="0091200C" w:rsidRDefault="006F5125" w:rsidP="008F1546">
      <w:pPr>
        <w:pStyle w:val="ListBullet2"/>
        <w:spacing w:line="240" w:lineRule="auto"/>
        <w:ind w:left="641" w:hanging="357"/>
      </w:pPr>
      <w:r>
        <w:t>Implement the exit strategy for HAARP</w:t>
      </w:r>
      <w:r w:rsidR="00B10FF4">
        <w:t xml:space="preserve"> Cambodia</w:t>
      </w:r>
    </w:p>
    <w:p w:rsidR="006F5125" w:rsidRPr="007A0139" w:rsidRDefault="006F5125" w:rsidP="006F5125">
      <w:pPr>
        <w:pStyle w:val="ListBullet"/>
      </w:pPr>
      <w:r w:rsidRPr="007A0139">
        <w:t xml:space="preserve">Infrastructure: </w:t>
      </w:r>
    </w:p>
    <w:p w:rsidR="000C2638" w:rsidRPr="00366A9B" w:rsidRDefault="000C2638" w:rsidP="008F1546">
      <w:pPr>
        <w:pStyle w:val="ListBullet2"/>
        <w:spacing w:line="240" w:lineRule="auto"/>
        <w:ind w:left="641" w:hanging="357"/>
      </w:pPr>
      <w:r>
        <w:t xml:space="preserve">Continue realignment towards small scale projects and </w:t>
      </w:r>
      <w:r w:rsidR="008F1546">
        <w:t xml:space="preserve">private sector </w:t>
      </w:r>
      <w:r>
        <w:t xml:space="preserve">partnerships </w:t>
      </w:r>
    </w:p>
    <w:p w:rsidR="006F5125" w:rsidRPr="00DC4E89" w:rsidRDefault="000252D7" w:rsidP="008F1546">
      <w:pPr>
        <w:pStyle w:val="ListBullet2"/>
        <w:spacing w:line="240" w:lineRule="auto"/>
        <w:ind w:left="641" w:hanging="357"/>
      </w:pPr>
      <w:r w:rsidRPr="00DC4E89">
        <w:t>E</w:t>
      </w:r>
      <w:r w:rsidR="006F5125" w:rsidRPr="00DC4E89">
        <w:t xml:space="preserve">nsure </w:t>
      </w:r>
      <w:r w:rsidRPr="00DC4E89">
        <w:t xml:space="preserve">documentation of </w:t>
      </w:r>
      <w:r w:rsidR="006F5125" w:rsidRPr="00DC4E89">
        <w:t>lessons learned from the Rehabilitation</w:t>
      </w:r>
      <w:r w:rsidR="00FD53F4">
        <w:t xml:space="preserve"> of the Railway in Cambodia</w:t>
      </w:r>
      <w:r w:rsidR="006F5125" w:rsidRPr="00DC4E89">
        <w:t xml:space="preserve"> Project </w:t>
      </w:r>
    </w:p>
    <w:p w:rsidR="006F5125" w:rsidRPr="00490EFB" w:rsidRDefault="008F1546" w:rsidP="008F1546">
      <w:pPr>
        <w:pStyle w:val="ListBullet2"/>
        <w:spacing w:line="240" w:lineRule="auto"/>
        <w:ind w:left="641" w:hanging="357"/>
      </w:pPr>
      <w:r w:rsidRPr="00490EFB">
        <w:t xml:space="preserve">Closely manage the completion of any resettlement activities </w:t>
      </w:r>
    </w:p>
    <w:p w:rsidR="006F5125" w:rsidRPr="00DC4E89" w:rsidRDefault="006F5125" w:rsidP="006F5125">
      <w:pPr>
        <w:pStyle w:val="ListBullet"/>
      </w:pPr>
      <w:r w:rsidRPr="00DC4E89">
        <w:t>Law and justice:</w:t>
      </w:r>
    </w:p>
    <w:p w:rsidR="006F5125" w:rsidRPr="00490EFB" w:rsidRDefault="000C2638" w:rsidP="008F1546">
      <w:pPr>
        <w:pStyle w:val="ListBullet2"/>
        <w:spacing w:line="240" w:lineRule="auto"/>
        <w:ind w:left="641" w:hanging="357"/>
      </w:pPr>
      <w:r w:rsidRPr="00490EFB">
        <w:t xml:space="preserve">Refocus CCJAP on those areas where there is progress </w:t>
      </w:r>
      <w:r w:rsidR="00DF7F15" w:rsidRPr="00490EFB">
        <w:t xml:space="preserve">and </w:t>
      </w:r>
      <w:r w:rsidR="00140E35" w:rsidRPr="00490EFB">
        <w:t xml:space="preserve">Cambodian Government </w:t>
      </w:r>
      <w:r w:rsidR="00DF7F15" w:rsidRPr="00490EFB">
        <w:t xml:space="preserve">support </w:t>
      </w:r>
      <w:r w:rsidRPr="00490EFB">
        <w:t xml:space="preserve">based on internal review and agreement with </w:t>
      </w:r>
      <w:r w:rsidR="00140E35" w:rsidRPr="00490EFB">
        <w:t>Cambodian Government</w:t>
      </w:r>
      <w:r w:rsidR="006F5125" w:rsidRPr="00490EFB">
        <w:t>.</w:t>
      </w:r>
    </w:p>
    <w:p w:rsidR="00A01913" w:rsidRPr="00490EFB" w:rsidRDefault="005C7D81" w:rsidP="008F1546">
      <w:pPr>
        <w:pStyle w:val="ListBullet2"/>
        <w:spacing w:line="240" w:lineRule="auto"/>
        <w:ind w:left="641" w:hanging="357"/>
      </w:pPr>
      <w:r w:rsidRPr="00490EFB">
        <w:t xml:space="preserve">Link </w:t>
      </w:r>
      <w:r w:rsidR="000C2638" w:rsidRPr="00490EFB">
        <w:t xml:space="preserve">CCJAP </w:t>
      </w:r>
      <w:r w:rsidRPr="00490EFB">
        <w:t>and EVAW community policing and justice components</w:t>
      </w:r>
      <w:r w:rsidR="009D6995" w:rsidRPr="00490EFB">
        <w:t xml:space="preserve"> to </w:t>
      </w:r>
      <w:r w:rsidR="00DF7F15" w:rsidRPr="00490EFB">
        <w:t xml:space="preserve">maximise program synergies to </w:t>
      </w:r>
      <w:r w:rsidR="009D6995" w:rsidRPr="00490EFB">
        <w:t>improve police response an</w:t>
      </w:r>
      <w:r w:rsidR="00BF7339" w:rsidRPr="00490EFB">
        <w:t>d</w:t>
      </w:r>
      <w:r w:rsidR="009D6995" w:rsidRPr="00490EFB">
        <w:t xml:space="preserve"> </w:t>
      </w:r>
      <w:r w:rsidR="00B10FF4" w:rsidRPr="00490EFB">
        <w:t>access to</w:t>
      </w:r>
      <w:r w:rsidR="009D6995" w:rsidRPr="00490EFB">
        <w:t xml:space="preserve"> </w:t>
      </w:r>
      <w:r w:rsidR="006F5125" w:rsidRPr="00490EFB">
        <w:t xml:space="preserve">justice for women suffering violence. </w:t>
      </w:r>
    </w:p>
    <w:p w:rsidR="00B10FF4" w:rsidRPr="00490EFB" w:rsidRDefault="00B10FF4" w:rsidP="008F1546">
      <w:pPr>
        <w:pStyle w:val="ListBullet2"/>
        <w:spacing w:line="240" w:lineRule="auto"/>
        <w:ind w:left="641" w:hanging="357"/>
      </w:pPr>
      <w:r w:rsidRPr="00490EFB">
        <w:t xml:space="preserve">Develop </w:t>
      </w:r>
      <w:r w:rsidR="00FD53F4">
        <w:t>e</w:t>
      </w:r>
      <w:r w:rsidRPr="00490EFB">
        <w:t xml:space="preserve">xit </w:t>
      </w:r>
      <w:r w:rsidR="00FD53F4">
        <w:t>s</w:t>
      </w:r>
      <w:r w:rsidRPr="00490EFB">
        <w:t>trategy for CCJAP</w:t>
      </w:r>
    </w:p>
    <w:p w:rsidR="000252D7" w:rsidRPr="000252D7" w:rsidRDefault="006F5125" w:rsidP="008F1546">
      <w:pPr>
        <w:pStyle w:val="ListBullet2"/>
        <w:spacing w:line="240" w:lineRule="auto"/>
        <w:ind w:left="641" w:hanging="357"/>
      </w:pPr>
      <w:r>
        <w:t xml:space="preserve">Use surveys and research </w:t>
      </w:r>
      <w:r w:rsidR="009D6995" w:rsidRPr="000252D7">
        <w:t>in CCJAP and EVAW</w:t>
      </w:r>
      <w:r>
        <w:t xml:space="preserve"> to guide 2015 </w:t>
      </w:r>
      <w:r w:rsidR="000252D7">
        <w:t xml:space="preserve">EVAW </w:t>
      </w:r>
      <w:r>
        <w:t>programming</w:t>
      </w:r>
    </w:p>
    <w:p w:rsidR="00CA113C" w:rsidRPr="00A01913" w:rsidRDefault="00CA113C" w:rsidP="000252D7">
      <w:pPr>
        <w:pStyle w:val="ListBullet2"/>
        <w:numPr>
          <w:ilvl w:val="0"/>
          <w:numId w:val="0"/>
        </w:numPr>
        <w:ind w:left="284"/>
        <w:rPr>
          <w:rFonts w:ascii="Helvetica" w:hAnsi="Helvetica" w:cs="Arial"/>
          <w:color w:val="124486"/>
          <w:spacing w:val="-10"/>
          <w:kern w:val="28"/>
          <w:sz w:val="32"/>
          <w:szCs w:val="32"/>
        </w:rPr>
        <w:sectPr w:rsidR="00CA113C" w:rsidRPr="00A01913" w:rsidSect="00510D01">
          <w:headerReference w:type="default" r:id="rId17"/>
          <w:type w:val="continuous"/>
          <w:pgSz w:w="11907" w:h="16840" w:code="9"/>
          <w:pgMar w:top="1276" w:right="1701" w:bottom="907" w:left="1701" w:header="850" w:footer="567" w:gutter="0"/>
          <w:pgNumType w:start="1"/>
          <w:cols w:space="720"/>
          <w:docGrid w:linePitch="326"/>
        </w:sectPr>
      </w:pPr>
    </w:p>
    <w:bookmarkEnd w:id="2"/>
    <w:p w:rsidR="003C464A" w:rsidRPr="009E38C1" w:rsidRDefault="003C464A" w:rsidP="003C464A">
      <w:pPr>
        <w:pStyle w:val="Heading2"/>
        <w:rPr>
          <w:sz w:val="28"/>
        </w:rPr>
      </w:pPr>
      <w:r w:rsidRPr="009E38C1">
        <w:rPr>
          <w:sz w:val="28"/>
        </w:rPr>
        <w:lastRenderedPageBreak/>
        <w:t xml:space="preserve">Annex A </w:t>
      </w:r>
    </w:p>
    <w:p w:rsidR="003C464A" w:rsidRPr="009E38C1" w:rsidRDefault="003C464A" w:rsidP="003C464A">
      <w:pPr>
        <w:pStyle w:val="Heading2"/>
        <w:rPr>
          <w:sz w:val="28"/>
        </w:rPr>
      </w:pPr>
      <w:r w:rsidRPr="009E38C1">
        <w:rPr>
          <w:sz w:val="28"/>
        </w:rPr>
        <w:t>Progress in addressing 2012-13 management responses</w:t>
      </w:r>
    </w:p>
    <w:tbl>
      <w:tblPr>
        <w:tblStyle w:val="APPR"/>
        <w:tblW w:w="5000" w:type="pct"/>
        <w:tblInd w:w="136" w:type="dxa"/>
        <w:tblLayout w:type="fixed"/>
        <w:tblLook w:val="0000" w:firstRow="0" w:lastRow="0" w:firstColumn="0" w:lastColumn="0" w:noHBand="0" w:noVBand="0"/>
      </w:tblPr>
      <w:tblGrid>
        <w:gridCol w:w="6187"/>
        <w:gridCol w:w="1118"/>
        <w:gridCol w:w="6715"/>
      </w:tblGrid>
      <w:tr w:rsidR="003C464A" w:rsidRPr="00745FE3" w:rsidTr="006E6A1C">
        <w:trPr>
          <w:cnfStyle w:val="000000010000" w:firstRow="0" w:lastRow="0" w:firstColumn="0" w:lastColumn="0" w:oddVBand="0" w:evenVBand="0" w:oddHBand="0" w:evenHBand="1" w:firstRowFirstColumn="0" w:firstRowLastColumn="0" w:lastRowFirstColumn="0" w:lastRowLastColumn="0"/>
          <w:cantSplit/>
        </w:trPr>
        <w:tc>
          <w:tcPr>
            <w:tcW w:w="6145" w:type="dxa"/>
          </w:tcPr>
          <w:p w:rsidR="003C464A" w:rsidRPr="00745FE3" w:rsidRDefault="003C464A" w:rsidP="006E6A1C">
            <w:pPr>
              <w:pStyle w:val="TableTextColumnHeading"/>
            </w:pPr>
            <w:r w:rsidRPr="00745FE3">
              <w:t>Management</w:t>
            </w:r>
            <w:r>
              <w:t xml:space="preserve"> consequences identified in 2012</w:t>
            </w:r>
            <w:r w:rsidRPr="00745FE3">
              <w:t xml:space="preserve"> </w:t>
            </w:r>
            <w:r>
              <w:t>annual program performance report</w:t>
            </w:r>
            <w:r w:rsidRPr="00745FE3">
              <w:tab/>
            </w:r>
          </w:p>
        </w:tc>
        <w:tc>
          <w:tcPr>
            <w:tcW w:w="1090" w:type="dxa"/>
          </w:tcPr>
          <w:p w:rsidR="003C464A" w:rsidRPr="00745FE3" w:rsidRDefault="003C464A" w:rsidP="006E6A1C">
            <w:pPr>
              <w:pStyle w:val="TableTextColumnHeading"/>
            </w:pPr>
            <w:r w:rsidRPr="00745FE3">
              <w:t>Rating</w:t>
            </w:r>
          </w:p>
        </w:tc>
        <w:tc>
          <w:tcPr>
            <w:tcW w:w="6673" w:type="dxa"/>
          </w:tcPr>
          <w:p w:rsidR="003C464A" w:rsidRPr="00745FE3" w:rsidRDefault="003C464A" w:rsidP="006E6A1C">
            <w:pPr>
              <w:pStyle w:val="TableTextColumnHeading"/>
            </w:pPr>
            <w:r>
              <w:t>Progress made in 2013–14</w:t>
            </w:r>
          </w:p>
        </w:tc>
      </w:tr>
      <w:tr w:rsidR="003C464A" w:rsidRPr="00745FE3" w:rsidTr="006E6A1C">
        <w:trPr>
          <w:cantSplit/>
          <w:tblHeader w:val="0"/>
        </w:trPr>
        <w:tc>
          <w:tcPr>
            <w:tcW w:w="13964" w:type="dxa"/>
            <w:gridSpan w:val="3"/>
          </w:tcPr>
          <w:p w:rsidR="003C464A" w:rsidRPr="00044520" w:rsidRDefault="003C464A" w:rsidP="006E6A1C">
            <w:pPr>
              <w:pStyle w:val="TableHeading1"/>
              <w:rPr>
                <w:b w:val="0"/>
              </w:rPr>
            </w:pPr>
            <w:r w:rsidRPr="00044520">
              <w:t>Overall program</w:t>
            </w:r>
          </w:p>
        </w:tc>
      </w:tr>
      <w:tr w:rsidR="003C464A" w:rsidRPr="00745FE3" w:rsidTr="000B314C">
        <w:trPr>
          <w:cnfStyle w:val="000000010000" w:firstRow="0" w:lastRow="0" w:firstColumn="0" w:lastColumn="0" w:oddVBand="0" w:evenVBand="0" w:oddHBand="0" w:evenHBand="1" w:firstRowFirstColumn="0" w:firstRowLastColumn="0" w:lastRowFirstColumn="0" w:lastRowLastColumn="0"/>
          <w:cantSplit/>
        </w:trPr>
        <w:tc>
          <w:tcPr>
            <w:tcW w:w="6145" w:type="dxa"/>
          </w:tcPr>
          <w:p w:rsidR="003C464A" w:rsidRPr="00745FE3" w:rsidRDefault="003C464A" w:rsidP="006E6A1C">
            <w:pPr>
              <w:pStyle w:val="TableTextEntries"/>
            </w:pPr>
            <w:r w:rsidRPr="007A0139">
              <w:t xml:space="preserve">Given the </w:t>
            </w:r>
            <w:r>
              <w:t>rapid pace of change</w:t>
            </w:r>
            <w:r w:rsidRPr="007A0139">
              <w:t xml:space="preserve"> in Cambodia</w:t>
            </w:r>
            <w:r>
              <w:t>,</w:t>
            </w:r>
            <w:r w:rsidRPr="007A0139">
              <w:t xml:space="preserve"> </w:t>
            </w:r>
            <w:r>
              <w:t>Post</w:t>
            </w:r>
            <w:r w:rsidRPr="007A0139">
              <w:t xml:space="preserve"> will continue to closely monitor the development context and engage closely with key stakeholders over the coming year as we set our future strategic direction</w:t>
            </w:r>
            <w:r>
              <w:t xml:space="preserve">. </w:t>
            </w:r>
            <w:r w:rsidRPr="00D305A3">
              <w:t>This will involve early work on country and sector specific strategies that have a strong fo</w:t>
            </w:r>
            <w:r w:rsidRPr="00710C05">
              <w:t>cus on flexibility and adaption to changing circumstances.</w:t>
            </w:r>
          </w:p>
        </w:tc>
        <w:tc>
          <w:tcPr>
            <w:tcW w:w="1090" w:type="dxa"/>
            <w:shd w:val="clear" w:color="auto" w:fill="92D050"/>
          </w:tcPr>
          <w:p w:rsidR="003C464A" w:rsidRPr="00044520" w:rsidRDefault="000B314C" w:rsidP="006E6A1C">
            <w:pPr>
              <w:pStyle w:val="TableTextEntries"/>
            </w:pPr>
            <w:r>
              <w:t>Green</w:t>
            </w:r>
          </w:p>
        </w:tc>
        <w:tc>
          <w:tcPr>
            <w:tcW w:w="6673" w:type="dxa"/>
          </w:tcPr>
          <w:p w:rsidR="003C464A" w:rsidRPr="00745FE3" w:rsidRDefault="003C464A" w:rsidP="007F36F7">
            <w:pPr>
              <w:pStyle w:val="TableTextEntries"/>
            </w:pPr>
            <w:r w:rsidRPr="000836A4">
              <w:t xml:space="preserve">Strong progress made on </w:t>
            </w:r>
            <w:r w:rsidRPr="00941B74">
              <w:t>key analysis for future strategic direction over 2013-14 in line with m</w:t>
            </w:r>
            <w:r w:rsidRPr="00701D42">
              <w:t xml:space="preserve">ove to new strategy from 2015 onwards. </w:t>
            </w:r>
            <w:r>
              <w:t xml:space="preserve"> </w:t>
            </w:r>
          </w:p>
        </w:tc>
      </w:tr>
      <w:tr w:rsidR="003C464A" w:rsidRPr="00745FE3" w:rsidTr="006E6A1C">
        <w:trPr>
          <w:cantSplit/>
          <w:tblHeader w:val="0"/>
        </w:trPr>
        <w:tc>
          <w:tcPr>
            <w:tcW w:w="6145" w:type="dxa"/>
          </w:tcPr>
          <w:p w:rsidR="003C464A" w:rsidRPr="00745FE3" w:rsidRDefault="003C464A" w:rsidP="006E6A1C">
            <w:pPr>
              <w:pStyle w:val="TableTextEntries"/>
            </w:pPr>
            <w:r w:rsidRPr="007A0139">
              <w:t xml:space="preserve">To ensure adequate staff resourcing, </w:t>
            </w:r>
            <w:r>
              <w:t xml:space="preserve">Post will recruit </w:t>
            </w:r>
            <w:r w:rsidRPr="007A0139">
              <w:t>appropriate</w:t>
            </w:r>
            <w:r>
              <w:t xml:space="preserve">ly skilled people </w:t>
            </w:r>
            <w:r w:rsidRPr="007A0139">
              <w:t xml:space="preserve">and </w:t>
            </w:r>
            <w:r>
              <w:t xml:space="preserve">provide </w:t>
            </w:r>
            <w:r w:rsidRPr="007A0139">
              <w:t>ongoing staff development to enable Post to manage an expanding program that operates within an uncertain and rapidly changing environment.</w:t>
            </w:r>
          </w:p>
        </w:tc>
        <w:tc>
          <w:tcPr>
            <w:tcW w:w="1090" w:type="dxa"/>
            <w:tcBorders>
              <w:top w:val="nil"/>
              <w:bottom w:val="nil"/>
            </w:tcBorders>
            <w:shd w:val="clear" w:color="auto" w:fill="92D050"/>
          </w:tcPr>
          <w:p w:rsidR="000B314C" w:rsidRDefault="003C464A" w:rsidP="006E6A1C">
            <w:pPr>
              <w:pStyle w:val="TableTextEntries"/>
            </w:pPr>
            <w:r>
              <w:t>Green</w:t>
            </w:r>
          </w:p>
          <w:p w:rsidR="000B314C" w:rsidRDefault="000B314C" w:rsidP="000B314C">
            <w:pPr>
              <w:rPr>
                <w:lang w:eastAsia="en-US"/>
              </w:rPr>
            </w:pPr>
          </w:p>
          <w:p w:rsidR="003C464A" w:rsidRPr="000B314C" w:rsidRDefault="003C464A" w:rsidP="000B314C">
            <w:pPr>
              <w:rPr>
                <w:lang w:eastAsia="en-US"/>
              </w:rPr>
            </w:pPr>
          </w:p>
        </w:tc>
        <w:tc>
          <w:tcPr>
            <w:tcW w:w="6673" w:type="dxa"/>
          </w:tcPr>
          <w:p w:rsidR="003C464A" w:rsidRPr="00462132" w:rsidRDefault="003C464A" w:rsidP="0025040D">
            <w:pPr>
              <w:pStyle w:val="TableTextEntries"/>
            </w:pPr>
            <w:r>
              <w:t xml:space="preserve">The </w:t>
            </w:r>
            <w:r w:rsidR="0025040D">
              <w:t xml:space="preserve">AusAID-DFAT </w:t>
            </w:r>
            <w:r>
              <w:t xml:space="preserve">integration process </w:t>
            </w:r>
            <w:r w:rsidR="007F36F7">
              <w:t>necessarily led to some delays in recruitment</w:t>
            </w:r>
            <w:r>
              <w:t>. Alignment of conditions of service has also presented challenges for staff</w:t>
            </w:r>
            <w:r w:rsidR="007F36F7">
              <w:t>.</w:t>
            </w:r>
            <w:r>
              <w:t xml:space="preserve"> </w:t>
            </w:r>
            <w:r w:rsidR="007F36F7">
              <w:t>However</w:t>
            </w:r>
            <w:r w:rsidR="0025040D">
              <w:t>, new human resources and management structures have now been fully implemented and staffing levels and staff movement has stabilised.</w:t>
            </w:r>
          </w:p>
        </w:tc>
      </w:tr>
      <w:tr w:rsidR="003C464A" w:rsidRPr="00462132"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Pr="00745FE3" w:rsidRDefault="003C464A" w:rsidP="006E6A1C">
            <w:pPr>
              <w:pStyle w:val="TableTextEntries"/>
            </w:pPr>
            <w:r>
              <w:t>A</w:t>
            </w:r>
            <w:r w:rsidRPr="007A0139">
              <w:t xml:space="preserve"> range of due diligence assessments </w:t>
            </w:r>
            <w:r>
              <w:t>will be u</w:t>
            </w:r>
            <w:r w:rsidRPr="007A0139">
              <w:t>ndertake</w:t>
            </w:r>
            <w:r>
              <w:t>n</w:t>
            </w:r>
            <w:r w:rsidRPr="007A0139">
              <w:t xml:space="preserve"> </w:t>
            </w:r>
            <w:r>
              <w:t>to ensure compliance with DFAT</w:t>
            </w:r>
            <w:r w:rsidRPr="007A0139">
              <w:t xml:space="preserve">’s new due diligence framework </w:t>
            </w:r>
            <w:r>
              <w:t xml:space="preserve">and </w:t>
            </w:r>
            <w:r w:rsidRPr="007A0139">
              <w:t>to improve implementation of high risk programs.</w:t>
            </w:r>
          </w:p>
        </w:tc>
        <w:tc>
          <w:tcPr>
            <w:tcW w:w="1090" w:type="dxa"/>
            <w:shd w:val="clear" w:color="auto" w:fill="92D050"/>
          </w:tcPr>
          <w:p w:rsidR="003C464A" w:rsidRPr="00044520" w:rsidRDefault="003C464A" w:rsidP="006E6A1C">
            <w:pPr>
              <w:pStyle w:val="TableTextEntries"/>
            </w:pPr>
            <w:r>
              <w:t>Green</w:t>
            </w:r>
          </w:p>
        </w:tc>
        <w:tc>
          <w:tcPr>
            <w:tcW w:w="6673" w:type="dxa"/>
          </w:tcPr>
          <w:p w:rsidR="003C464A" w:rsidRPr="008049FE" w:rsidRDefault="003C464A" w:rsidP="006E6A1C">
            <w:pPr>
              <w:pStyle w:val="TableTextEntries"/>
            </w:pPr>
            <w:r w:rsidRPr="008049FE">
              <w:t xml:space="preserve">Achieved: Since January 2013, due diligence assessment was conducted on organisations prior to them receiving new funding.  </w:t>
            </w:r>
          </w:p>
        </w:tc>
      </w:tr>
      <w:tr w:rsidR="003C464A" w:rsidRPr="00462132" w:rsidTr="006E6A1C">
        <w:trPr>
          <w:cantSplit/>
          <w:tblHeader w:val="0"/>
        </w:trPr>
        <w:tc>
          <w:tcPr>
            <w:tcW w:w="6145" w:type="dxa"/>
          </w:tcPr>
          <w:p w:rsidR="003C464A" w:rsidRPr="00745FE3" w:rsidRDefault="003C464A" w:rsidP="006E6A1C">
            <w:pPr>
              <w:pStyle w:val="TableTextEntries"/>
            </w:pPr>
            <w:r>
              <w:t xml:space="preserve">Opportunities will be explored </w:t>
            </w:r>
            <w:r w:rsidRPr="007A0139">
              <w:t xml:space="preserve">to make greater use of outputs-based mechanisms with strong economic business case for the design and delivery of Australian investments. </w:t>
            </w:r>
          </w:p>
        </w:tc>
        <w:tc>
          <w:tcPr>
            <w:tcW w:w="1090" w:type="dxa"/>
            <w:tcBorders>
              <w:top w:val="nil"/>
              <w:bottom w:val="nil"/>
            </w:tcBorders>
            <w:shd w:val="clear" w:color="auto" w:fill="92D050"/>
          </w:tcPr>
          <w:p w:rsidR="003C464A" w:rsidRPr="00044520" w:rsidRDefault="003C464A" w:rsidP="006E6A1C">
            <w:pPr>
              <w:pStyle w:val="TableTextEntries"/>
            </w:pPr>
            <w:r>
              <w:t xml:space="preserve"> Green</w:t>
            </w:r>
          </w:p>
        </w:tc>
        <w:tc>
          <w:tcPr>
            <w:tcW w:w="6673" w:type="dxa"/>
          </w:tcPr>
          <w:p w:rsidR="003C464A" w:rsidRPr="008049FE" w:rsidRDefault="003C464A" w:rsidP="006E6A1C">
            <w:pPr>
              <w:pStyle w:val="TableTextEntries"/>
            </w:pPr>
            <w:r w:rsidRPr="008049FE">
              <w:t xml:space="preserve">Investing in Infrastructure (3i) design process commenced.  </w:t>
            </w:r>
          </w:p>
          <w:p w:rsidR="003C464A" w:rsidRPr="008049FE" w:rsidRDefault="003C464A" w:rsidP="006E6A1C">
            <w:pPr>
              <w:pStyle w:val="TableTextEntries"/>
            </w:pPr>
            <w:r w:rsidRPr="008049FE">
              <w:t>Health Equity Funds prioritised in health financing.</w:t>
            </w:r>
          </w:p>
          <w:p w:rsidR="003C464A" w:rsidRPr="008049FE" w:rsidRDefault="003C464A" w:rsidP="006E6A1C">
            <w:pPr>
              <w:pStyle w:val="TableTextEntries"/>
            </w:pPr>
            <w:r w:rsidRPr="008049FE">
              <w:t>CCJAP implemented outputs based contracts for government focal points</w:t>
            </w:r>
          </w:p>
          <w:p w:rsidR="003C464A" w:rsidRPr="008049FE" w:rsidRDefault="003C464A" w:rsidP="006E6A1C">
            <w:pPr>
              <w:pStyle w:val="TableTextEntries"/>
            </w:pPr>
            <w:r w:rsidRPr="008049FE">
              <w:t xml:space="preserve">CCAP incorporates outputs based contracts with Provincial counterparts for project deliverables. </w:t>
            </w:r>
          </w:p>
          <w:p w:rsidR="003C464A" w:rsidRPr="008049FE" w:rsidRDefault="003C464A" w:rsidP="006E6A1C">
            <w:pPr>
              <w:pStyle w:val="TableTextEntries"/>
            </w:pPr>
            <w:r w:rsidRPr="008049FE">
              <w:t xml:space="preserve">CAVAC continued implementation of outputs based contracts. </w:t>
            </w:r>
          </w:p>
        </w:tc>
      </w:tr>
      <w:tr w:rsidR="003C464A" w:rsidRPr="00462132" w:rsidTr="006E6A1C">
        <w:trPr>
          <w:cnfStyle w:val="000000010000" w:firstRow="0" w:lastRow="0" w:firstColumn="0" w:lastColumn="0" w:oddVBand="0" w:evenVBand="0" w:oddHBand="0" w:evenHBand="1" w:firstRowFirstColumn="0" w:firstRowLastColumn="0" w:lastRowFirstColumn="0" w:lastRowLastColumn="0"/>
          <w:cantSplit/>
        </w:trPr>
        <w:tc>
          <w:tcPr>
            <w:tcW w:w="6145" w:type="dxa"/>
          </w:tcPr>
          <w:p w:rsidR="003C464A" w:rsidRPr="00745FE3" w:rsidRDefault="003C464A" w:rsidP="005F70CF">
            <w:pPr>
              <w:pStyle w:val="TableTextEntries"/>
            </w:pPr>
            <w:r>
              <w:t>P</w:t>
            </w:r>
            <w:r w:rsidRPr="007A0139">
              <w:t>olicy options</w:t>
            </w:r>
            <w:r>
              <w:t xml:space="preserve"> will be developed</w:t>
            </w:r>
            <w:r w:rsidRPr="007A0139">
              <w:t xml:space="preserve"> to address the increasingly complex and sensitive issue of salary supplementation to </w:t>
            </w:r>
            <w:r>
              <w:t>g</w:t>
            </w:r>
            <w:r w:rsidRPr="007A0139">
              <w:t xml:space="preserve">overnment counterparts seconded to work on </w:t>
            </w:r>
            <w:r>
              <w:t>Australian</w:t>
            </w:r>
            <w:r w:rsidRPr="007A0139">
              <w:t xml:space="preserve"> funded projects</w:t>
            </w:r>
          </w:p>
        </w:tc>
        <w:tc>
          <w:tcPr>
            <w:tcW w:w="1090" w:type="dxa"/>
            <w:shd w:val="clear" w:color="auto" w:fill="F79646" w:themeFill="accent6"/>
          </w:tcPr>
          <w:p w:rsidR="003C464A" w:rsidRPr="00044520" w:rsidRDefault="003C464A" w:rsidP="006E6A1C">
            <w:pPr>
              <w:pStyle w:val="TableTextEntries"/>
            </w:pPr>
            <w:r>
              <w:t>Amber</w:t>
            </w:r>
          </w:p>
        </w:tc>
        <w:tc>
          <w:tcPr>
            <w:tcW w:w="6673" w:type="dxa"/>
          </w:tcPr>
          <w:p w:rsidR="003C464A" w:rsidRPr="00462132" w:rsidRDefault="003C464A" w:rsidP="006E6A1C">
            <w:pPr>
              <w:pStyle w:val="TableTextEntries"/>
            </w:pPr>
            <w:r>
              <w:t xml:space="preserve">Australia has participated in development partner dialogue and research on this issue in an attempt to forge a consensus position. An internal research paper has been written for discussion within the Embassy which will feed into discussion around development partner recommendations and </w:t>
            </w:r>
            <w:r w:rsidR="00140E35">
              <w:t xml:space="preserve">Cambodian Government </w:t>
            </w:r>
            <w:r>
              <w:t xml:space="preserve">policy directions on subsistence allowance continuing through 2014. CCJAP and EVAW programs using outputs based contracts as an alternative approach. </w:t>
            </w:r>
          </w:p>
        </w:tc>
      </w:tr>
      <w:tr w:rsidR="003C464A" w:rsidRPr="00745FE3" w:rsidTr="006E6A1C">
        <w:trPr>
          <w:cantSplit/>
          <w:tblHeader w:val="0"/>
        </w:trPr>
        <w:tc>
          <w:tcPr>
            <w:tcW w:w="13964" w:type="dxa"/>
            <w:gridSpan w:val="3"/>
          </w:tcPr>
          <w:p w:rsidR="003C464A" w:rsidRPr="00044520" w:rsidRDefault="003C464A" w:rsidP="006E6A1C">
            <w:pPr>
              <w:pStyle w:val="TableHeading1"/>
              <w:rPr>
                <w:b w:val="0"/>
              </w:rPr>
            </w:pPr>
            <w:r w:rsidRPr="00044520">
              <w:rPr>
                <w:rFonts w:eastAsiaTheme="minorHAnsi"/>
              </w:rPr>
              <w:t>Objective 1a, 1b: Increased value of agricultural production and smallholder income in targeted provinces</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Pr="00F46A67" w:rsidRDefault="003C464A" w:rsidP="006E6A1C">
            <w:pPr>
              <w:pStyle w:val="TableTextEntries"/>
            </w:pPr>
            <w:r w:rsidRPr="00F46A67">
              <w:t>Prepare a rural development delivery strategy by the end of 2013</w:t>
            </w:r>
          </w:p>
          <w:p w:rsidR="003C464A" w:rsidRPr="00F46A67" w:rsidRDefault="003C464A" w:rsidP="006E6A1C">
            <w:pPr>
              <w:pStyle w:val="TableTextEntries"/>
            </w:pPr>
          </w:p>
        </w:tc>
        <w:tc>
          <w:tcPr>
            <w:tcW w:w="1090" w:type="dxa"/>
            <w:shd w:val="clear" w:color="auto" w:fill="92D050"/>
          </w:tcPr>
          <w:p w:rsidR="003C464A" w:rsidRPr="00F46A67" w:rsidRDefault="003C464A" w:rsidP="006E6A1C">
            <w:pPr>
              <w:pStyle w:val="TableTextEntries"/>
            </w:pPr>
          </w:p>
        </w:tc>
        <w:tc>
          <w:tcPr>
            <w:tcW w:w="6673" w:type="dxa"/>
          </w:tcPr>
          <w:p w:rsidR="003C464A" w:rsidRPr="00F46A67" w:rsidRDefault="003C464A" w:rsidP="006E6A1C">
            <w:pPr>
              <w:pStyle w:val="TableTextEntries"/>
            </w:pPr>
            <w:r w:rsidRPr="00F46A67">
              <w:t>Due to changes in the Australian Aid Program architecture this will no longer be completed.</w:t>
            </w:r>
          </w:p>
          <w:p w:rsidR="003C464A" w:rsidRPr="00F46A67" w:rsidRDefault="003C464A" w:rsidP="006E6A1C">
            <w:pPr>
              <w:pStyle w:val="TableTextEntries"/>
            </w:pPr>
          </w:p>
        </w:tc>
      </w:tr>
      <w:tr w:rsidR="003C464A" w:rsidRPr="00745FE3" w:rsidTr="006E6A1C">
        <w:trPr>
          <w:cantSplit/>
          <w:tblHeader w:val="0"/>
        </w:trPr>
        <w:tc>
          <w:tcPr>
            <w:tcW w:w="6145" w:type="dxa"/>
          </w:tcPr>
          <w:p w:rsidR="003C464A" w:rsidRPr="00F46A67" w:rsidRDefault="003C464A" w:rsidP="006E6A1C">
            <w:pPr>
              <w:pStyle w:val="TableTextEntries"/>
            </w:pPr>
            <w:r w:rsidRPr="00F46A67">
              <w:lastRenderedPageBreak/>
              <w:t>Liaise frequently with the World Bank and government representatives to help progress implementation of the cash transfer pilot through the Smallholder Agriculture and Social Protection Trust Fund</w:t>
            </w:r>
          </w:p>
        </w:tc>
        <w:tc>
          <w:tcPr>
            <w:tcW w:w="1090" w:type="dxa"/>
            <w:tcBorders>
              <w:top w:val="nil"/>
              <w:bottom w:val="nil"/>
            </w:tcBorders>
            <w:shd w:val="clear" w:color="auto" w:fill="92D050"/>
          </w:tcPr>
          <w:p w:rsidR="003C464A" w:rsidRPr="00F46A67" w:rsidRDefault="003C464A" w:rsidP="006E6A1C">
            <w:pPr>
              <w:pStyle w:val="TableTextEntries"/>
            </w:pPr>
          </w:p>
        </w:tc>
        <w:tc>
          <w:tcPr>
            <w:tcW w:w="6673" w:type="dxa"/>
          </w:tcPr>
          <w:p w:rsidR="003C464A" w:rsidRPr="00F46A67" w:rsidRDefault="003C464A" w:rsidP="006E6A1C">
            <w:pPr>
              <w:pStyle w:val="TableTextEntries"/>
            </w:pPr>
            <w:r w:rsidRPr="00F46A67">
              <w:t xml:space="preserve">Progress has been slow but steady. The World Bank has advised that the pilot design should be completed imminently. </w:t>
            </w:r>
          </w:p>
          <w:p w:rsidR="003C464A" w:rsidRPr="00F46A67" w:rsidRDefault="003C464A" w:rsidP="006E6A1C">
            <w:pPr>
              <w:pStyle w:val="TableTextEntries"/>
            </w:pP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Pr="00F46A67" w:rsidRDefault="003C464A" w:rsidP="006E6A1C">
            <w:pPr>
              <w:pStyle w:val="TableTextEntries"/>
            </w:pPr>
            <w:r w:rsidRPr="00F46A67">
              <w:t>Work with and encourage the Cambodian Mine Action and Victim Assistance Authority and United Nations Development Programme to implement key recommendations of the mid-term review and bidding review of the Clearing for Results (Phase II) program</w:t>
            </w:r>
          </w:p>
          <w:p w:rsidR="003C464A" w:rsidRPr="00F46A67" w:rsidRDefault="003C464A" w:rsidP="006E6A1C">
            <w:pPr>
              <w:pStyle w:val="TableTextEntries"/>
            </w:pPr>
          </w:p>
        </w:tc>
        <w:tc>
          <w:tcPr>
            <w:tcW w:w="1090" w:type="dxa"/>
            <w:shd w:val="clear" w:color="auto" w:fill="92D050"/>
          </w:tcPr>
          <w:p w:rsidR="003C464A" w:rsidRPr="00F46A67" w:rsidRDefault="003C464A" w:rsidP="006E6A1C">
            <w:pPr>
              <w:pStyle w:val="TableTextEntries"/>
            </w:pPr>
          </w:p>
        </w:tc>
        <w:tc>
          <w:tcPr>
            <w:tcW w:w="6673" w:type="dxa"/>
          </w:tcPr>
          <w:p w:rsidR="003C464A" w:rsidRPr="00F46A67" w:rsidRDefault="003C464A" w:rsidP="006E6A1C">
            <w:pPr>
              <w:pStyle w:val="TableTextEntries"/>
            </w:pPr>
            <w:r w:rsidRPr="00F46A67">
              <w:t>Several recommendations have been followed, though some slowly or not at all. Post will continue to follow up on these.</w:t>
            </w:r>
          </w:p>
          <w:p w:rsidR="003C464A" w:rsidRPr="00F46A67" w:rsidRDefault="003C464A" w:rsidP="006E6A1C">
            <w:pPr>
              <w:pStyle w:val="TableTextEntries"/>
            </w:pPr>
          </w:p>
        </w:tc>
      </w:tr>
      <w:tr w:rsidR="003C464A" w:rsidRPr="00745FE3" w:rsidTr="006E6A1C">
        <w:trPr>
          <w:cantSplit/>
          <w:tblHeader w:val="0"/>
        </w:trPr>
        <w:tc>
          <w:tcPr>
            <w:tcW w:w="6145" w:type="dxa"/>
          </w:tcPr>
          <w:p w:rsidR="003C464A" w:rsidRPr="00F46A67" w:rsidRDefault="003C464A" w:rsidP="006E6A1C">
            <w:pPr>
              <w:pStyle w:val="TableTextEntries"/>
            </w:pPr>
            <w:r w:rsidRPr="00F46A67">
              <w:t>Finalise Development for All design and commence implementation.</w:t>
            </w:r>
          </w:p>
        </w:tc>
        <w:tc>
          <w:tcPr>
            <w:tcW w:w="1090" w:type="dxa"/>
            <w:shd w:val="clear" w:color="auto" w:fill="auto"/>
          </w:tcPr>
          <w:p w:rsidR="003C464A" w:rsidRPr="00F46A67" w:rsidRDefault="003C464A" w:rsidP="006E6A1C">
            <w:pPr>
              <w:pStyle w:val="TableTextEntries"/>
            </w:pPr>
          </w:p>
        </w:tc>
        <w:tc>
          <w:tcPr>
            <w:tcW w:w="6673" w:type="dxa"/>
          </w:tcPr>
          <w:p w:rsidR="003C464A" w:rsidRPr="00F46A67" w:rsidRDefault="003C464A" w:rsidP="006E6A1C">
            <w:pPr>
              <w:pStyle w:val="TableTextEntries"/>
            </w:pPr>
            <w:r w:rsidRPr="00F46A67">
              <w:t>Completed. Program implementation has begun.</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13964" w:type="dxa"/>
            <w:gridSpan w:val="3"/>
          </w:tcPr>
          <w:p w:rsidR="003C464A" w:rsidRPr="00044520" w:rsidRDefault="003C464A" w:rsidP="006E6A1C">
            <w:pPr>
              <w:pStyle w:val="TableHeading1"/>
              <w:rPr>
                <w:b w:val="0"/>
              </w:rPr>
            </w:pPr>
            <w:r w:rsidRPr="00044520">
              <w:t>Objective 2: Increased access to quality health services through improved health management</w:t>
            </w:r>
          </w:p>
        </w:tc>
      </w:tr>
      <w:tr w:rsidR="003C464A" w:rsidRPr="00A86971" w:rsidTr="006E6A1C">
        <w:trPr>
          <w:cantSplit/>
          <w:tblHeader w:val="0"/>
        </w:trPr>
        <w:tc>
          <w:tcPr>
            <w:tcW w:w="6145" w:type="dxa"/>
          </w:tcPr>
          <w:p w:rsidR="003C464A" w:rsidRPr="007A0139" w:rsidRDefault="003C464A" w:rsidP="006E6A1C">
            <w:pPr>
              <w:pStyle w:val="TableTextEntries"/>
            </w:pPr>
            <w:r>
              <w:t xml:space="preserve">Produce </w:t>
            </w:r>
            <w:r w:rsidRPr="007A0139">
              <w:t>a new delivery strategy for the health sector in 2013</w:t>
            </w:r>
            <w:r>
              <w:t>–</w:t>
            </w:r>
            <w:r w:rsidRPr="007A0139">
              <w:t>14</w:t>
            </w:r>
          </w:p>
          <w:p w:rsidR="003C464A" w:rsidRPr="00745FE3" w:rsidRDefault="003C464A" w:rsidP="006E6A1C">
            <w:pPr>
              <w:pStyle w:val="TableTextEntries"/>
            </w:pPr>
          </w:p>
        </w:tc>
        <w:tc>
          <w:tcPr>
            <w:tcW w:w="1090" w:type="dxa"/>
            <w:tcBorders>
              <w:top w:val="nil"/>
              <w:bottom w:val="nil"/>
            </w:tcBorders>
            <w:shd w:val="clear" w:color="auto" w:fill="F79646" w:themeFill="accent6"/>
          </w:tcPr>
          <w:p w:rsidR="003C464A" w:rsidRPr="00044520" w:rsidRDefault="003C464A" w:rsidP="006E6A1C">
            <w:pPr>
              <w:pStyle w:val="TableTextEntries"/>
            </w:pPr>
          </w:p>
        </w:tc>
        <w:tc>
          <w:tcPr>
            <w:tcW w:w="6673" w:type="dxa"/>
          </w:tcPr>
          <w:p w:rsidR="003C464A" w:rsidRDefault="003C464A" w:rsidP="006E6A1C">
            <w:pPr>
              <w:pStyle w:val="TableTextEntries"/>
            </w:pPr>
            <w:r w:rsidRPr="00D90171">
              <w:t>The delivery strategy was drafted, but not finalised due to changes to the aid program’s internal process.</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Pr="007A0139" w:rsidRDefault="003C464A" w:rsidP="006E6A1C">
            <w:pPr>
              <w:pStyle w:val="TableTextEntries"/>
            </w:pPr>
            <w:r w:rsidRPr="007A0139">
              <w:t xml:space="preserve">Recommence and enhance policy dialogue with </w:t>
            </w:r>
            <w:r>
              <w:t>the Cambodian Government</w:t>
            </w:r>
            <w:r w:rsidRPr="007A0139">
              <w:t xml:space="preserve"> over key reforms in the health sector</w:t>
            </w:r>
            <w:r>
              <w:t>. This includes</w:t>
            </w:r>
            <w:r w:rsidRPr="007A0139">
              <w:t xml:space="preserve"> budget transparency and counterpart funding to health equity funds and contraceptive commodities</w:t>
            </w:r>
          </w:p>
          <w:p w:rsidR="003C464A" w:rsidRPr="00745FE3" w:rsidRDefault="003C464A" w:rsidP="006E6A1C">
            <w:pPr>
              <w:pStyle w:val="TableTextEntries"/>
            </w:pPr>
          </w:p>
        </w:tc>
        <w:tc>
          <w:tcPr>
            <w:tcW w:w="1090" w:type="dxa"/>
            <w:shd w:val="clear" w:color="auto" w:fill="F79646" w:themeFill="accent6"/>
          </w:tcPr>
          <w:p w:rsidR="003C464A" w:rsidRPr="00044520" w:rsidRDefault="003C464A" w:rsidP="006E6A1C">
            <w:pPr>
              <w:pStyle w:val="TableTextEntries"/>
            </w:pPr>
          </w:p>
        </w:tc>
        <w:tc>
          <w:tcPr>
            <w:tcW w:w="6673" w:type="dxa"/>
          </w:tcPr>
          <w:p w:rsidR="003C464A" w:rsidRDefault="003C464A" w:rsidP="006E6A1C">
            <w:pPr>
              <w:pStyle w:val="TableTextEntries"/>
            </w:pPr>
            <w:r w:rsidRPr="00D90171">
              <w:t xml:space="preserve">Australia has held good policy discussions with the Cambodian Government.  A key success has been gaining the agreement of the Cambodian Government to increase its funding to contraceptive commodities through the national budget.  We also held robust discussions regarding expanding access to subsidised health care for the near-poor and other vulnerable groups. </w:t>
            </w:r>
          </w:p>
        </w:tc>
      </w:tr>
      <w:tr w:rsidR="003C464A" w:rsidRPr="00745FE3" w:rsidTr="006E6A1C">
        <w:trPr>
          <w:cantSplit/>
          <w:tblHeader w:val="0"/>
        </w:trPr>
        <w:tc>
          <w:tcPr>
            <w:tcW w:w="6145" w:type="dxa"/>
          </w:tcPr>
          <w:p w:rsidR="003C464A" w:rsidRPr="007A0139" w:rsidRDefault="003C464A" w:rsidP="006E6A1C">
            <w:pPr>
              <w:pStyle w:val="TableTextEntries"/>
            </w:pPr>
            <w:r>
              <w:t>N</w:t>
            </w:r>
            <w:r w:rsidRPr="007A0139">
              <w:t xml:space="preserve">egotiate the extension of the second Health Sector </w:t>
            </w:r>
            <w:r>
              <w:t>Support</w:t>
            </w:r>
            <w:r w:rsidRPr="007A0139">
              <w:t xml:space="preserve"> Program </w:t>
            </w:r>
          </w:p>
          <w:p w:rsidR="003C464A" w:rsidRPr="00745FE3" w:rsidRDefault="003C464A" w:rsidP="006E6A1C">
            <w:pPr>
              <w:pStyle w:val="TableTextEntries"/>
            </w:pPr>
          </w:p>
        </w:tc>
        <w:tc>
          <w:tcPr>
            <w:tcW w:w="1090" w:type="dxa"/>
            <w:tcBorders>
              <w:top w:val="nil"/>
              <w:bottom w:val="nil"/>
            </w:tcBorders>
            <w:shd w:val="clear" w:color="auto" w:fill="92D050"/>
          </w:tcPr>
          <w:p w:rsidR="003C464A" w:rsidRPr="00044520" w:rsidRDefault="003C464A" w:rsidP="006E6A1C">
            <w:pPr>
              <w:pStyle w:val="TableTextEntries"/>
            </w:pPr>
          </w:p>
        </w:tc>
        <w:tc>
          <w:tcPr>
            <w:tcW w:w="6673" w:type="dxa"/>
          </w:tcPr>
          <w:p w:rsidR="003C464A" w:rsidRDefault="003C464A" w:rsidP="006E6A1C">
            <w:pPr>
              <w:pStyle w:val="TableTextEntries"/>
            </w:pPr>
            <w:r w:rsidRPr="00D90171">
              <w:t>The Second Health Sector Support Program has been extended until December 2015</w:t>
            </w:r>
          </w:p>
        </w:tc>
      </w:tr>
      <w:tr w:rsidR="003C464A" w:rsidRPr="00A86971"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Pr="007A0139" w:rsidRDefault="003C464A" w:rsidP="006E6A1C">
            <w:pPr>
              <w:pStyle w:val="TableTextEntries"/>
            </w:pPr>
            <w:r>
              <w:t>Start designing</w:t>
            </w:r>
            <w:r w:rsidRPr="007A0139">
              <w:t xml:space="preserve"> </w:t>
            </w:r>
            <w:r>
              <w:t>a</w:t>
            </w:r>
            <w:r w:rsidRPr="007A0139">
              <w:t xml:space="preserve"> successor program to the second Health Sector </w:t>
            </w:r>
            <w:r>
              <w:t>Support</w:t>
            </w:r>
            <w:r w:rsidRPr="007A0139">
              <w:t xml:space="preserve"> Program</w:t>
            </w:r>
          </w:p>
          <w:p w:rsidR="003C464A" w:rsidRPr="00745FE3" w:rsidRDefault="003C464A" w:rsidP="006E6A1C">
            <w:pPr>
              <w:pStyle w:val="TableTextEntries"/>
            </w:pPr>
          </w:p>
        </w:tc>
        <w:tc>
          <w:tcPr>
            <w:tcW w:w="1090" w:type="dxa"/>
            <w:shd w:val="clear" w:color="auto" w:fill="92D050"/>
          </w:tcPr>
          <w:p w:rsidR="003C464A" w:rsidRPr="00044520" w:rsidRDefault="003C464A" w:rsidP="006E6A1C">
            <w:pPr>
              <w:pStyle w:val="TableTextEntries"/>
            </w:pPr>
          </w:p>
        </w:tc>
        <w:tc>
          <w:tcPr>
            <w:tcW w:w="6673" w:type="dxa"/>
          </w:tcPr>
          <w:p w:rsidR="003C464A" w:rsidRDefault="003C464A" w:rsidP="006E6A1C">
            <w:pPr>
              <w:pStyle w:val="TableTextEntries"/>
            </w:pPr>
            <w:r w:rsidRPr="00D90171">
              <w:t xml:space="preserve">A successor program to HSSP2 is being developed, in collaboration with other development partners and the </w:t>
            </w:r>
            <w:r w:rsidR="00140E35">
              <w:t>Cambodian Government</w:t>
            </w:r>
          </w:p>
        </w:tc>
      </w:tr>
      <w:tr w:rsidR="003C464A" w:rsidRPr="00A86971" w:rsidTr="006E6A1C">
        <w:trPr>
          <w:cantSplit/>
          <w:tblHeader w:val="0"/>
        </w:trPr>
        <w:tc>
          <w:tcPr>
            <w:tcW w:w="6145" w:type="dxa"/>
          </w:tcPr>
          <w:p w:rsidR="003C464A" w:rsidRPr="007A0139" w:rsidRDefault="003C464A" w:rsidP="006E6A1C">
            <w:pPr>
              <w:pStyle w:val="TableTextEntries"/>
            </w:pPr>
            <w:r>
              <w:t>Begin</w:t>
            </w:r>
            <w:r w:rsidRPr="007A0139">
              <w:t xml:space="preserve"> implement</w:t>
            </w:r>
            <w:r>
              <w:t xml:space="preserve">ing </w:t>
            </w:r>
            <w:r w:rsidRPr="007A0139">
              <w:t>the</w:t>
            </w:r>
            <w:r>
              <w:t xml:space="preserve"> Partnering to Save Lives program</w:t>
            </w:r>
          </w:p>
          <w:p w:rsidR="003C464A" w:rsidRPr="00745FE3" w:rsidRDefault="003C464A" w:rsidP="006E6A1C">
            <w:pPr>
              <w:pStyle w:val="TableTextEntries"/>
            </w:pPr>
          </w:p>
        </w:tc>
        <w:tc>
          <w:tcPr>
            <w:tcW w:w="1090" w:type="dxa"/>
            <w:shd w:val="clear" w:color="auto" w:fill="92D050"/>
          </w:tcPr>
          <w:p w:rsidR="003C464A" w:rsidRPr="00044520" w:rsidRDefault="003C464A" w:rsidP="006E6A1C">
            <w:pPr>
              <w:pStyle w:val="TableTextEntries"/>
            </w:pPr>
          </w:p>
        </w:tc>
        <w:tc>
          <w:tcPr>
            <w:tcW w:w="6673" w:type="dxa"/>
          </w:tcPr>
          <w:p w:rsidR="003C464A" w:rsidRPr="00745FE3" w:rsidRDefault="003C464A" w:rsidP="006E6A1C">
            <w:pPr>
              <w:pStyle w:val="TableTextEntries"/>
            </w:pPr>
            <w:r>
              <w:t>Achieved</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13964" w:type="dxa"/>
            <w:gridSpan w:val="3"/>
          </w:tcPr>
          <w:p w:rsidR="003C464A" w:rsidRPr="00044520" w:rsidRDefault="003C464A" w:rsidP="006E6A1C">
            <w:pPr>
              <w:pStyle w:val="TableHeading1"/>
              <w:rPr>
                <w:b w:val="0"/>
              </w:rPr>
            </w:pPr>
            <w:r w:rsidRPr="00044520">
              <w:rPr>
                <w:rFonts w:eastAsiaTheme="minorHAnsi"/>
              </w:rPr>
              <w:t>Objective 3: Improved infrastructure quality, quantity and access</w:t>
            </w:r>
          </w:p>
        </w:tc>
      </w:tr>
      <w:tr w:rsidR="003C464A" w:rsidRPr="00745FE3" w:rsidTr="006E6A1C">
        <w:trPr>
          <w:cantSplit/>
          <w:tblHeader w:val="0"/>
        </w:trPr>
        <w:tc>
          <w:tcPr>
            <w:tcW w:w="6145" w:type="dxa"/>
          </w:tcPr>
          <w:p w:rsidR="003C464A" w:rsidRPr="00745FE3" w:rsidRDefault="003C464A" w:rsidP="006E6A1C">
            <w:pPr>
              <w:pStyle w:val="TableTextEntries"/>
            </w:pPr>
            <w:r>
              <w:t>Develop delivery strategy for infrastructure, noting the move towards alignment with other key sectors of the country strategy, particularly agricultural productivity and rural development</w:t>
            </w:r>
          </w:p>
        </w:tc>
        <w:tc>
          <w:tcPr>
            <w:tcW w:w="1090" w:type="dxa"/>
            <w:shd w:val="clear" w:color="auto" w:fill="92D050"/>
          </w:tcPr>
          <w:p w:rsidR="003C464A" w:rsidRPr="00044520" w:rsidRDefault="003C464A" w:rsidP="006E6A1C">
            <w:pPr>
              <w:pStyle w:val="TableTextEntries"/>
            </w:pPr>
          </w:p>
        </w:tc>
        <w:tc>
          <w:tcPr>
            <w:tcW w:w="6673" w:type="dxa"/>
          </w:tcPr>
          <w:p w:rsidR="003C464A" w:rsidRPr="00745FE3" w:rsidRDefault="003C464A" w:rsidP="006E6A1C">
            <w:pPr>
              <w:pStyle w:val="TableTextEntries"/>
            </w:pPr>
            <w:r>
              <w:t xml:space="preserve">Delivery Strategy no longer required under revised Aid Programming Guide. Concept note for future infrastructure investments being developed for discussion at High Level Consultations in September 2014. 3i design process commenced. </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rHeight w:val="576"/>
          <w:tblHeader w:val="0"/>
        </w:trPr>
        <w:tc>
          <w:tcPr>
            <w:tcW w:w="6145" w:type="dxa"/>
          </w:tcPr>
          <w:p w:rsidR="003C464A" w:rsidRDefault="003C464A" w:rsidP="006E6A1C">
            <w:pPr>
              <w:pStyle w:val="TableTextEntries"/>
            </w:pPr>
            <w:r>
              <w:t>Select interim infrastructure investments on the basis of their alignment with the emerging strategy, as outlined above</w:t>
            </w:r>
          </w:p>
          <w:p w:rsidR="003C464A" w:rsidRPr="00745FE3" w:rsidRDefault="003C464A" w:rsidP="006E6A1C">
            <w:pPr>
              <w:pStyle w:val="TableTextEntries"/>
            </w:pPr>
          </w:p>
        </w:tc>
        <w:tc>
          <w:tcPr>
            <w:tcW w:w="1090" w:type="dxa"/>
            <w:shd w:val="clear" w:color="auto" w:fill="92D050"/>
          </w:tcPr>
          <w:p w:rsidR="003C464A" w:rsidRPr="00044520" w:rsidRDefault="003C464A" w:rsidP="006E6A1C">
            <w:pPr>
              <w:pStyle w:val="TableTextEntries"/>
            </w:pPr>
          </w:p>
        </w:tc>
        <w:tc>
          <w:tcPr>
            <w:tcW w:w="6673" w:type="dxa"/>
          </w:tcPr>
          <w:p w:rsidR="003C464A" w:rsidRPr="00745FE3" w:rsidRDefault="003C464A" w:rsidP="006E6A1C">
            <w:pPr>
              <w:pStyle w:val="TableTextEntries"/>
            </w:pPr>
            <w:r>
              <w:t xml:space="preserve">Internal policy approval to invest in Phase 2 of the ADB Rural Roads Improvement Project approved in 2014.Project expected to commence 2014-15.  </w:t>
            </w:r>
          </w:p>
        </w:tc>
      </w:tr>
      <w:tr w:rsidR="003C464A" w:rsidRPr="00745FE3" w:rsidTr="006E6A1C">
        <w:trPr>
          <w:cantSplit/>
          <w:tblHeader w:val="0"/>
        </w:trPr>
        <w:tc>
          <w:tcPr>
            <w:tcW w:w="6145" w:type="dxa"/>
          </w:tcPr>
          <w:p w:rsidR="003C464A" w:rsidRDefault="003C464A" w:rsidP="006E6A1C">
            <w:pPr>
              <w:pStyle w:val="TableTextEntries"/>
            </w:pPr>
            <w:r>
              <w:lastRenderedPageBreak/>
              <w:t>Continue to move towards an end date of December 2013 for engagement in civil works component of the Cambodia Railway Rehabilitation Project</w:t>
            </w:r>
          </w:p>
          <w:p w:rsidR="003C464A" w:rsidRDefault="003C464A" w:rsidP="006E6A1C">
            <w:pPr>
              <w:pStyle w:val="ListBullet2"/>
              <w:numPr>
                <w:ilvl w:val="0"/>
                <w:numId w:val="0"/>
              </w:numPr>
            </w:pPr>
          </w:p>
        </w:tc>
        <w:tc>
          <w:tcPr>
            <w:tcW w:w="1090" w:type="dxa"/>
            <w:tcBorders>
              <w:top w:val="nil"/>
              <w:bottom w:val="nil"/>
            </w:tcBorders>
            <w:shd w:val="clear" w:color="auto" w:fill="92D050"/>
          </w:tcPr>
          <w:p w:rsidR="003C464A" w:rsidRPr="00044520" w:rsidRDefault="003C464A" w:rsidP="006E6A1C">
            <w:pPr>
              <w:pStyle w:val="TableTextEntries"/>
            </w:pPr>
          </w:p>
        </w:tc>
        <w:tc>
          <w:tcPr>
            <w:tcW w:w="6673" w:type="dxa"/>
          </w:tcPr>
          <w:p w:rsidR="003C464A" w:rsidRPr="00745FE3" w:rsidRDefault="003C464A" w:rsidP="006E6A1C">
            <w:pPr>
              <w:pStyle w:val="TableTextEntries"/>
            </w:pPr>
            <w:r>
              <w:t>Achieved</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Default="003C464A" w:rsidP="006E6A1C">
            <w:pPr>
              <w:pStyle w:val="TableTextEntries"/>
            </w:pPr>
            <w:r>
              <w:t>Closely monitor the implementation of relocations––including the final 100 households which are due to relocate in 2013––and continue seeking improved conditions at resettlement sites</w:t>
            </w:r>
          </w:p>
          <w:p w:rsidR="003C464A" w:rsidRDefault="003C464A" w:rsidP="006E6A1C">
            <w:pPr>
              <w:pStyle w:val="ListBullet2"/>
              <w:numPr>
                <w:ilvl w:val="0"/>
                <w:numId w:val="0"/>
              </w:numPr>
              <w:ind w:left="568"/>
            </w:pPr>
          </w:p>
        </w:tc>
        <w:tc>
          <w:tcPr>
            <w:tcW w:w="1090" w:type="dxa"/>
            <w:shd w:val="clear" w:color="auto" w:fill="92D050"/>
          </w:tcPr>
          <w:p w:rsidR="003C464A" w:rsidRPr="00044520" w:rsidRDefault="003C464A" w:rsidP="006E6A1C">
            <w:pPr>
              <w:pStyle w:val="TableTextEntries"/>
            </w:pPr>
          </w:p>
        </w:tc>
        <w:tc>
          <w:tcPr>
            <w:tcW w:w="6673" w:type="dxa"/>
          </w:tcPr>
          <w:p w:rsidR="003C464A" w:rsidRDefault="003C464A" w:rsidP="006E6A1C">
            <w:pPr>
              <w:pStyle w:val="TableTextEntries"/>
            </w:pPr>
            <w:r>
              <w:t xml:space="preserve">Achieved. Policy dialogue ongoing with Cambodian Government. Field visits to relocation sites occurred throughout 2013-14. Infrastructure upgrades completed at every project resettlement site. Financial literacy training delivered to each family relocated under the Railway project. </w:t>
            </w:r>
          </w:p>
          <w:p w:rsidR="003C464A" w:rsidRPr="00745FE3" w:rsidRDefault="003C464A" w:rsidP="006E6A1C">
            <w:pPr>
              <w:pStyle w:val="TableTextEntries"/>
            </w:pPr>
            <w:r>
              <w:t>Resettlement of the final 100 households on hold until the Cambodian Government agrees to continue works on the relevant section of line: this decision has not yet been confirmed.</w:t>
            </w:r>
          </w:p>
        </w:tc>
      </w:tr>
      <w:tr w:rsidR="003C464A" w:rsidRPr="00745FE3" w:rsidTr="006E6A1C">
        <w:trPr>
          <w:cantSplit/>
          <w:tblHeader w:val="0"/>
        </w:trPr>
        <w:tc>
          <w:tcPr>
            <w:tcW w:w="6145" w:type="dxa"/>
          </w:tcPr>
          <w:p w:rsidR="003C464A" w:rsidRDefault="003C464A" w:rsidP="006E6A1C">
            <w:pPr>
              <w:pStyle w:val="TableTextEntries"/>
            </w:pPr>
            <w:r>
              <w:t>Ensure rural electrification project commences implementation.</w:t>
            </w:r>
          </w:p>
          <w:p w:rsidR="003C464A" w:rsidRDefault="003C464A" w:rsidP="006E6A1C">
            <w:pPr>
              <w:pStyle w:val="ListBullet2"/>
              <w:numPr>
                <w:ilvl w:val="0"/>
                <w:numId w:val="0"/>
              </w:numPr>
              <w:ind w:left="568"/>
            </w:pPr>
          </w:p>
        </w:tc>
        <w:tc>
          <w:tcPr>
            <w:tcW w:w="1090" w:type="dxa"/>
            <w:tcBorders>
              <w:top w:val="nil"/>
              <w:bottom w:val="nil"/>
            </w:tcBorders>
            <w:shd w:val="clear" w:color="auto" w:fill="92D050"/>
          </w:tcPr>
          <w:p w:rsidR="003C464A" w:rsidRPr="00044520" w:rsidRDefault="003C464A" w:rsidP="006E6A1C">
            <w:pPr>
              <w:pStyle w:val="TableTextEntries"/>
            </w:pPr>
          </w:p>
        </w:tc>
        <w:tc>
          <w:tcPr>
            <w:tcW w:w="6673" w:type="dxa"/>
          </w:tcPr>
          <w:p w:rsidR="003C464A" w:rsidRPr="00745FE3" w:rsidRDefault="003C464A" w:rsidP="006E6A1C">
            <w:pPr>
              <w:pStyle w:val="TableTextEntries"/>
            </w:pPr>
            <w:r>
              <w:t>Achieved: some delays experienced but in inception phase</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13964" w:type="dxa"/>
            <w:gridSpan w:val="3"/>
          </w:tcPr>
          <w:p w:rsidR="003C464A" w:rsidRPr="00044520" w:rsidRDefault="003C464A" w:rsidP="006E6A1C">
            <w:pPr>
              <w:pStyle w:val="TableHeading1"/>
              <w:rPr>
                <w:rFonts w:eastAsiaTheme="minorHAnsi"/>
                <w:b w:val="0"/>
              </w:rPr>
            </w:pPr>
            <w:r w:rsidRPr="00EE7AF3">
              <w:rPr>
                <w:rFonts w:eastAsiaTheme="minorHAnsi"/>
              </w:rPr>
              <w:t>Objective 4: Women, youth and children are safer and communities have less crime, a more effective non-custodial sentencing system, strengthened evidence-based performance management</w:t>
            </w:r>
          </w:p>
        </w:tc>
      </w:tr>
      <w:tr w:rsidR="003C464A" w:rsidRPr="00745FE3" w:rsidTr="006E6A1C">
        <w:trPr>
          <w:cantSplit/>
          <w:tblHeader w:val="0"/>
        </w:trPr>
        <w:tc>
          <w:tcPr>
            <w:tcW w:w="6145" w:type="dxa"/>
          </w:tcPr>
          <w:p w:rsidR="003C464A" w:rsidRPr="00745FE3" w:rsidRDefault="003C464A" w:rsidP="006E6A1C">
            <w:pPr>
              <w:pStyle w:val="TableTextEntries"/>
            </w:pPr>
            <w:r>
              <w:t>E</w:t>
            </w:r>
            <w:r w:rsidRPr="007A0139">
              <w:t xml:space="preserve">nsure effective transition to, and implementation of, </w:t>
            </w:r>
            <w:r>
              <w:t xml:space="preserve">the </w:t>
            </w:r>
            <w:r w:rsidRPr="00450D01">
              <w:t>Cambodia Community Justice Assistance Partnership</w:t>
            </w:r>
            <w:r w:rsidRPr="00450D01" w:rsidDel="00BD1F6D">
              <w:t xml:space="preserve"> </w:t>
            </w:r>
            <w:r w:rsidRPr="00450D01">
              <w:t>(CCJAP Phase 4)</w:t>
            </w:r>
            <w:r>
              <w:t>. This includes</w:t>
            </w:r>
            <w:r w:rsidRPr="007A0139">
              <w:t xml:space="preserve"> closely monitoring the change in focus to ensure that a well-established program is able to effectively transition to its new strategic focus</w:t>
            </w:r>
            <w:r>
              <w:t>.</w:t>
            </w:r>
          </w:p>
        </w:tc>
        <w:tc>
          <w:tcPr>
            <w:tcW w:w="1090" w:type="dxa"/>
            <w:tcBorders>
              <w:top w:val="nil"/>
              <w:bottom w:val="nil"/>
            </w:tcBorders>
            <w:shd w:val="clear" w:color="auto" w:fill="92D050"/>
          </w:tcPr>
          <w:p w:rsidR="003C464A" w:rsidRPr="00044520" w:rsidRDefault="003C464A" w:rsidP="006E6A1C">
            <w:pPr>
              <w:pStyle w:val="TableTextEntries"/>
            </w:pPr>
          </w:p>
        </w:tc>
        <w:tc>
          <w:tcPr>
            <w:tcW w:w="6673" w:type="dxa"/>
          </w:tcPr>
          <w:p w:rsidR="003C464A" w:rsidRPr="00745FE3" w:rsidRDefault="003C464A" w:rsidP="006E6A1C">
            <w:pPr>
              <w:pStyle w:val="TableTextEntries"/>
            </w:pPr>
            <w:r>
              <w:t>Achieved</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Pr="00745FE3" w:rsidRDefault="003C464A" w:rsidP="006E6A1C">
            <w:pPr>
              <w:pStyle w:val="TableTextEntries"/>
            </w:pPr>
            <w:r>
              <w:t>E</w:t>
            </w:r>
            <w:r w:rsidRPr="007A0139">
              <w:t xml:space="preserve">stablish an alternative sentencing pilot in two provinces </w:t>
            </w:r>
            <w:r>
              <w:t>with</w:t>
            </w:r>
            <w:r w:rsidRPr="007A0139">
              <w:t xml:space="preserve"> </w:t>
            </w:r>
            <w:r w:rsidRPr="00450D01">
              <w:t>Cambodia Community Justice Assistance Project (</w:t>
            </w:r>
            <w:r>
              <w:t xml:space="preserve">CCJAP Phase 3) </w:t>
            </w:r>
            <w:r w:rsidRPr="007A0139">
              <w:t>support</w:t>
            </w:r>
          </w:p>
        </w:tc>
        <w:tc>
          <w:tcPr>
            <w:tcW w:w="1090" w:type="dxa"/>
            <w:shd w:val="clear" w:color="auto" w:fill="FF0000"/>
          </w:tcPr>
          <w:p w:rsidR="003C464A" w:rsidRPr="00044520" w:rsidRDefault="003C464A" w:rsidP="006E6A1C">
            <w:pPr>
              <w:pStyle w:val="TableTextEntries"/>
            </w:pPr>
          </w:p>
        </w:tc>
        <w:tc>
          <w:tcPr>
            <w:tcW w:w="6673" w:type="dxa"/>
          </w:tcPr>
          <w:p w:rsidR="003C464A" w:rsidRPr="00745FE3" w:rsidRDefault="003C464A" w:rsidP="006E6A1C">
            <w:pPr>
              <w:pStyle w:val="TableTextEntries"/>
            </w:pPr>
            <w:r>
              <w:t>Not achieved: MOJ released three circulars to guide judges and prosecutors, but these do not provide much further guidance to stakeholders and there seems little appetite in Ministry of Justice to pursue this issue.</w:t>
            </w:r>
          </w:p>
        </w:tc>
      </w:tr>
      <w:tr w:rsidR="003C464A" w:rsidRPr="00745FE3" w:rsidTr="006E6A1C">
        <w:trPr>
          <w:cantSplit/>
          <w:tblHeader w:val="0"/>
        </w:trPr>
        <w:tc>
          <w:tcPr>
            <w:tcW w:w="6145" w:type="dxa"/>
          </w:tcPr>
          <w:p w:rsidR="003C464A" w:rsidRPr="00745FE3" w:rsidRDefault="003C464A" w:rsidP="006E6A1C">
            <w:pPr>
              <w:pStyle w:val="TableTextEntries"/>
            </w:pPr>
            <w:r>
              <w:t>Continue p</w:t>
            </w:r>
            <w:r w:rsidRPr="007A0139">
              <w:t>olicy dialogue with the Ministry of the Interior and Ministry of Justice to support technical assistance for alternative sentencing</w:t>
            </w:r>
            <w:r>
              <w:t>,</w:t>
            </w:r>
            <w:r w:rsidRPr="007A0139">
              <w:t xml:space="preserve"> </w:t>
            </w:r>
            <w:r>
              <w:t>as well as</w:t>
            </w:r>
            <w:r w:rsidRPr="007A0139">
              <w:t xml:space="preserve"> small scale infrastructure </w:t>
            </w:r>
            <w:r>
              <w:t>to</w:t>
            </w:r>
            <w:r w:rsidRPr="007A0139">
              <w:t xml:space="preserve"> alleviat</w:t>
            </w:r>
            <w:r>
              <w:t xml:space="preserve">e </w:t>
            </w:r>
            <w:r w:rsidRPr="007A0139">
              <w:t>prison overcrowding.</w:t>
            </w:r>
            <w:r>
              <w:t xml:space="preserve"> </w:t>
            </w:r>
          </w:p>
        </w:tc>
        <w:tc>
          <w:tcPr>
            <w:tcW w:w="1090" w:type="dxa"/>
            <w:shd w:val="clear" w:color="auto" w:fill="F79646" w:themeFill="accent6"/>
          </w:tcPr>
          <w:p w:rsidR="003C464A" w:rsidRPr="00044520" w:rsidRDefault="003C464A" w:rsidP="006E6A1C">
            <w:pPr>
              <w:pStyle w:val="TableTextEntries"/>
            </w:pPr>
          </w:p>
        </w:tc>
        <w:tc>
          <w:tcPr>
            <w:tcW w:w="6673" w:type="dxa"/>
          </w:tcPr>
          <w:p w:rsidR="003C464A" w:rsidRPr="00745FE3" w:rsidRDefault="003C464A" w:rsidP="006E6A1C">
            <w:pPr>
              <w:pStyle w:val="TableTextEntries"/>
            </w:pPr>
            <w:r>
              <w:t xml:space="preserve">Partly achieved: Alternative sentencing not satisfactory as per above comment. However small scale infrastructure in prisons has helped improve prison conditions. </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cantSplit/>
          <w:tblHeader w:val="0"/>
        </w:trPr>
        <w:tc>
          <w:tcPr>
            <w:tcW w:w="6145" w:type="dxa"/>
          </w:tcPr>
          <w:p w:rsidR="003C464A" w:rsidRDefault="003C464A" w:rsidP="006E6A1C">
            <w:pPr>
              <w:pStyle w:val="TableTextEntries"/>
            </w:pPr>
            <w:r w:rsidRPr="00A348F8">
              <w:t>Start implementing the Ending Violence Against Women</w:t>
            </w:r>
            <w:r w:rsidRPr="00A348F8" w:rsidDel="00033AAC">
              <w:t xml:space="preserve"> </w:t>
            </w:r>
            <w:r w:rsidRPr="00A348F8">
              <w:t>program, including establishing a joint steering committee, a memorandum of understanding with the Ministry of Women’s Affairs, and agreements with the four implementing partners.</w:t>
            </w:r>
          </w:p>
        </w:tc>
        <w:tc>
          <w:tcPr>
            <w:tcW w:w="1090" w:type="dxa"/>
            <w:shd w:val="clear" w:color="auto" w:fill="92D050"/>
          </w:tcPr>
          <w:p w:rsidR="003C464A" w:rsidRPr="00044520" w:rsidRDefault="003C464A" w:rsidP="006E6A1C">
            <w:pPr>
              <w:pStyle w:val="TableTextEntries"/>
            </w:pPr>
          </w:p>
        </w:tc>
        <w:tc>
          <w:tcPr>
            <w:tcW w:w="6673" w:type="dxa"/>
          </w:tcPr>
          <w:p w:rsidR="003C464A" w:rsidRDefault="003C464A" w:rsidP="00A169DA">
            <w:pPr>
              <w:pStyle w:val="TableTextEntries"/>
            </w:pPr>
            <w:r>
              <w:t xml:space="preserve">Achieved. Joint Steering Committee established. Memorandum of Subsidiary Arrangements signed. Agreements with major implementing partners signed.  </w:t>
            </w:r>
          </w:p>
        </w:tc>
      </w:tr>
    </w:tbl>
    <w:p w:rsidR="003C464A" w:rsidRPr="00FE4491" w:rsidRDefault="003C464A" w:rsidP="00782500">
      <w:pPr>
        <w:pStyle w:val="Note"/>
      </w:pPr>
      <w:r w:rsidRPr="00FE4491">
        <w:t xml:space="preserve">Note: </w:t>
      </w:r>
    </w:p>
    <w:p w:rsidR="003C464A" w:rsidRPr="00671434" w:rsidRDefault="003C464A" w:rsidP="00782500">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3C464A" w:rsidRPr="00EA3BAD" w:rsidRDefault="003C464A" w:rsidP="00782500">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3C464A" w:rsidRDefault="003C464A" w:rsidP="00782500">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3C464A" w:rsidRDefault="003C464A" w:rsidP="003C464A">
      <w:pPr>
        <w:pStyle w:val="BodyText"/>
      </w:pPr>
    </w:p>
    <w:p w:rsidR="003C464A" w:rsidRDefault="003C464A" w:rsidP="003C464A">
      <w:pPr>
        <w:spacing w:after="200" w:line="276" w:lineRule="auto"/>
        <w:rPr>
          <w:rFonts w:ascii="Franklin Gothic Book" w:hAnsi="Franklin Gothic Book"/>
          <w:sz w:val="21"/>
        </w:rPr>
      </w:pPr>
      <w:r>
        <w:br w:type="page"/>
      </w:r>
    </w:p>
    <w:p w:rsidR="003C464A" w:rsidRPr="009E38C1" w:rsidRDefault="003C464A" w:rsidP="003C464A">
      <w:pPr>
        <w:pStyle w:val="Heading2"/>
        <w:tabs>
          <w:tab w:val="left" w:pos="1560"/>
        </w:tabs>
        <w:rPr>
          <w:sz w:val="28"/>
        </w:rPr>
      </w:pPr>
      <w:r w:rsidRPr="009E38C1">
        <w:rPr>
          <w:sz w:val="28"/>
        </w:rPr>
        <w:lastRenderedPageBreak/>
        <w:t xml:space="preserve">Annex B </w:t>
      </w:r>
      <w:r w:rsidRPr="009E38C1">
        <w:rPr>
          <w:sz w:val="28"/>
        </w:rPr>
        <w:tab/>
      </w:r>
    </w:p>
    <w:p w:rsidR="003C464A" w:rsidRDefault="003C464A" w:rsidP="003C464A">
      <w:pPr>
        <w:pStyle w:val="Heading2"/>
        <w:rPr>
          <w:sz w:val="28"/>
        </w:rPr>
      </w:pPr>
      <w:r w:rsidRPr="009E38C1">
        <w:rPr>
          <w:sz w:val="28"/>
        </w:rPr>
        <w:t xml:space="preserve">Quality at Implementation </w:t>
      </w:r>
      <w:r w:rsidR="00F11423">
        <w:rPr>
          <w:sz w:val="28"/>
        </w:rPr>
        <w:t>(QAI)</w:t>
      </w:r>
      <w:r w:rsidRPr="009E38C1">
        <w:rPr>
          <w:sz w:val="28"/>
        </w:rPr>
        <w:t>ratings</w:t>
      </w:r>
    </w:p>
    <w:tbl>
      <w:tblPr>
        <w:tblStyle w:val="APPR"/>
        <w:tblW w:w="5000" w:type="pct"/>
        <w:tblLayout w:type="fixed"/>
        <w:tblLook w:val="0000" w:firstRow="0" w:lastRow="0" w:firstColumn="0" w:lastColumn="0" w:noHBand="0" w:noVBand="0"/>
      </w:tblPr>
      <w:tblGrid>
        <w:gridCol w:w="4144"/>
        <w:gridCol w:w="1640"/>
        <w:gridCol w:w="1387"/>
        <w:gridCol w:w="976"/>
        <w:gridCol w:w="976"/>
        <w:gridCol w:w="976"/>
        <w:gridCol w:w="976"/>
        <w:gridCol w:w="977"/>
        <w:gridCol w:w="977"/>
        <w:gridCol w:w="991"/>
      </w:tblGrid>
      <w:tr w:rsidR="003C464A" w:rsidRPr="00745FE3" w:rsidTr="006E6A1C">
        <w:trPr>
          <w:cnfStyle w:val="000000010000" w:firstRow="0" w:lastRow="0" w:firstColumn="0" w:lastColumn="0" w:oddVBand="0" w:evenVBand="0" w:oddHBand="0" w:evenHBand="1" w:firstRowFirstColumn="0" w:firstRowLastColumn="0" w:lastRowFirstColumn="0" w:lastRowLastColumn="0"/>
          <w:trHeight w:val="1588"/>
        </w:trPr>
        <w:tc>
          <w:tcPr>
            <w:tcW w:w="1442" w:type="pct"/>
          </w:tcPr>
          <w:p w:rsidR="003C464A" w:rsidRPr="00745FE3" w:rsidRDefault="003C464A" w:rsidP="006E6A1C">
            <w:pPr>
              <w:pStyle w:val="TableTextColumnHeading"/>
            </w:pPr>
            <w:r w:rsidRPr="00745FE3">
              <w:rPr>
                <w:noProof/>
                <w:lang w:eastAsia="en-AU"/>
              </w:rPr>
              <w:drawing>
                <wp:anchor distT="0" distB="0" distL="114300" distR="114300" simplePos="0" relativeHeight="251673600" behindDoc="0" locked="0" layoutInCell="1" allowOverlap="1" wp14:anchorId="5C790F32" wp14:editId="2B48C8FB">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FE3">
              <w:t>Initiative name</w:t>
            </w:r>
          </w:p>
        </w:tc>
        <w:tc>
          <w:tcPr>
            <w:tcW w:w="567" w:type="pct"/>
            <w:textDirection w:val="btLr"/>
          </w:tcPr>
          <w:p w:rsidR="003C464A" w:rsidRPr="00745FE3" w:rsidRDefault="003C464A" w:rsidP="006E6A1C">
            <w:pPr>
              <w:pStyle w:val="TableTextColumnHeading"/>
            </w:pPr>
            <w:r w:rsidRPr="00745FE3">
              <w:t>Approved budget and duration</w:t>
            </w:r>
          </w:p>
        </w:tc>
        <w:tc>
          <w:tcPr>
            <w:tcW w:w="478" w:type="pct"/>
            <w:textDirection w:val="btLr"/>
          </w:tcPr>
          <w:p w:rsidR="003C464A" w:rsidRPr="00745FE3" w:rsidRDefault="00F11423" w:rsidP="006E6A1C">
            <w:pPr>
              <w:pStyle w:val="TableTextColumnHeading"/>
            </w:pPr>
            <w:r>
              <w:t>QAI</w:t>
            </w:r>
            <w:r w:rsidR="003C464A" w:rsidRPr="00745FE3">
              <w:t xml:space="preserve"> year</w:t>
            </w:r>
          </w:p>
        </w:tc>
        <w:tc>
          <w:tcPr>
            <w:tcW w:w="333" w:type="pct"/>
            <w:textDirection w:val="btLr"/>
          </w:tcPr>
          <w:p w:rsidR="003C464A" w:rsidRPr="00745FE3" w:rsidRDefault="003C464A" w:rsidP="006E6A1C">
            <w:pPr>
              <w:pStyle w:val="TableTextColumnHeading"/>
            </w:pPr>
            <w:r w:rsidRPr="00745FE3">
              <w:t>Relevance</w:t>
            </w:r>
          </w:p>
        </w:tc>
        <w:tc>
          <w:tcPr>
            <w:tcW w:w="333" w:type="pct"/>
            <w:textDirection w:val="btLr"/>
          </w:tcPr>
          <w:p w:rsidR="003C464A" w:rsidRPr="00745FE3" w:rsidRDefault="003C464A" w:rsidP="006E6A1C">
            <w:pPr>
              <w:pStyle w:val="TableTextColumnHeading"/>
            </w:pPr>
            <w:r w:rsidRPr="00745FE3">
              <w:t>Effectiveness</w:t>
            </w:r>
          </w:p>
        </w:tc>
        <w:tc>
          <w:tcPr>
            <w:tcW w:w="333" w:type="pct"/>
            <w:textDirection w:val="btLr"/>
          </w:tcPr>
          <w:p w:rsidR="003C464A" w:rsidRPr="00745FE3" w:rsidRDefault="003C464A" w:rsidP="006E6A1C">
            <w:pPr>
              <w:pStyle w:val="TableTextColumnHeading"/>
            </w:pPr>
            <w:r w:rsidRPr="00745FE3">
              <w:t>Efficiency</w:t>
            </w:r>
          </w:p>
        </w:tc>
        <w:tc>
          <w:tcPr>
            <w:tcW w:w="333" w:type="pct"/>
            <w:textDirection w:val="btLr"/>
          </w:tcPr>
          <w:p w:rsidR="003C464A" w:rsidRPr="00745FE3" w:rsidRDefault="003C464A" w:rsidP="006E6A1C">
            <w:pPr>
              <w:pStyle w:val="TableTextColumnHeading"/>
            </w:pPr>
            <w:r w:rsidRPr="00745FE3">
              <w:t xml:space="preserve">Monitoring and </w:t>
            </w:r>
            <w:r>
              <w:t>e</w:t>
            </w:r>
            <w:r w:rsidRPr="00745FE3">
              <w:t>valuation</w:t>
            </w:r>
          </w:p>
        </w:tc>
        <w:tc>
          <w:tcPr>
            <w:tcW w:w="333" w:type="pct"/>
            <w:textDirection w:val="btLr"/>
          </w:tcPr>
          <w:p w:rsidR="003C464A" w:rsidRPr="00745FE3" w:rsidRDefault="003C464A" w:rsidP="006E6A1C">
            <w:pPr>
              <w:pStyle w:val="TableTextColumnHeading"/>
            </w:pPr>
            <w:r w:rsidRPr="00745FE3">
              <w:t>Sustainability</w:t>
            </w:r>
          </w:p>
        </w:tc>
        <w:tc>
          <w:tcPr>
            <w:tcW w:w="333" w:type="pct"/>
            <w:textDirection w:val="btLr"/>
          </w:tcPr>
          <w:p w:rsidR="003C464A" w:rsidRPr="00745FE3" w:rsidRDefault="003C464A" w:rsidP="006E6A1C">
            <w:pPr>
              <w:pStyle w:val="TableTextColumnHeading"/>
            </w:pPr>
            <w:r w:rsidRPr="00745FE3">
              <w:t>Gender equality</w:t>
            </w:r>
          </w:p>
        </w:tc>
        <w:tc>
          <w:tcPr>
            <w:tcW w:w="333" w:type="pct"/>
            <w:textDirection w:val="btLr"/>
          </w:tcPr>
          <w:p w:rsidR="003C464A" w:rsidRPr="00745FE3" w:rsidRDefault="003C464A" w:rsidP="006E6A1C">
            <w:pPr>
              <w:pStyle w:val="TableTextColumnHeading"/>
            </w:pPr>
            <w:r w:rsidRPr="00745FE3">
              <w:t xml:space="preserve">Risk </w:t>
            </w:r>
            <w:r>
              <w:t>m</w:t>
            </w:r>
            <w:r w:rsidRPr="00745FE3">
              <w:t>anagement</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Agricultural Value Chain Program</w:t>
            </w:r>
          </w:p>
        </w:tc>
        <w:tc>
          <w:tcPr>
            <w:tcW w:w="567" w:type="pct"/>
            <w:vMerge w:val="restart"/>
          </w:tcPr>
          <w:p w:rsidR="003C464A" w:rsidRPr="00745FE3" w:rsidRDefault="003C464A" w:rsidP="006E6A1C">
            <w:pPr>
              <w:pStyle w:val="TableTextEntries"/>
            </w:pPr>
            <w:r>
              <w:t>$61m</w:t>
            </w:r>
            <w:r>
              <w:br/>
            </w:r>
            <w:r w:rsidRPr="00745FE3">
              <w:t>6.5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679E2A"/>
            <w:vAlign w:val="center"/>
          </w:tcPr>
          <w:p w:rsidR="003C464A" w:rsidRDefault="003C464A" w:rsidP="006E6A1C">
            <w:pPr>
              <w:jc w:val="center"/>
              <w:rPr>
                <w:rFonts w:ascii="Arial" w:hAnsi="Arial" w:cs="Arial"/>
                <w:sz w:val="16"/>
                <w:szCs w:val="16"/>
              </w:rPr>
            </w:pPr>
            <w:r>
              <w:rPr>
                <w:rFonts w:ascii="Arial" w:hAnsi="Arial" w:cs="Arial"/>
                <w:sz w:val="16"/>
                <w:szCs w:val="16"/>
              </w:rPr>
              <w:t>6</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679E2A"/>
            <w:vAlign w:val="center"/>
          </w:tcPr>
          <w:p w:rsidR="003C464A" w:rsidRDefault="003C464A" w:rsidP="006E6A1C">
            <w:pPr>
              <w:jc w:val="center"/>
              <w:rPr>
                <w:rFonts w:ascii="Arial" w:hAnsi="Arial" w:cs="Arial"/>
                <w:sz w:val="16"/>
                <w:szCs w:val="16"/>
              </w:rPr>
            </w:pPr>
            <w:r>
              <w:rPr>
                <w:rFonts w:ascii="Arial" w:hAnsi="Arial" w:cs="Arial"/>
                <w:sz w:val="16"/>
                <w:szCs w:val="16"/>
              </w:rPr>
              <w:t>6</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Smallholder Agriculture and Social Protection</w:t>
            </w:r>
          </w:p>
        </w:tc>
        <w:tc>
          <w:tcPr>
            <w:tcW w:w="567" w:type="pct"/>
            <w:vMerge w:val="restart"/>
          </w:tcPr>
          <w:p w:rsidR="003C464A" w:rsidRPr="00745FE3" w:rsidRDefault="003C464A" w:rsidP="006E6A1C">
            <w:pPr>
              <w:pStyle w:val="TableTextEntries"/>
            </w:pPr>
            <w:r>
              <w:t>$</w:t>
            </w:r>
            <w:r w:rsidRPr="00745FE3">
              <w:t>4.3</w:t>
            </w:r>
            <w:r>
              <w:t>m</w:t>
            </w:r>
            <w:r>
              <w:br/>
              <w:t>three</w:t>
            </w:r>
            <w:r w:rsidRPr="00745FE3">
              <w:t xml:space="preserve">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FFFFCC"/>
            <w:vAlign w:val="center"/>
          </w:tcPr>
          <w:p w:rsidR="003C464A" w:rsidRPr="0027166E" w:rsidRDefault="003C464A" w:rsidP="006E6A1C">
            <w:pPr>
              <w:pStyle w:val="TableTextEntries"/>
              <w:jc w:val="center"/>
            </w:pPr>
            <w:r w:rsidRPr="0027166E">
              <w:t>E</w:t>
            </w:r>
          </w:p>
        </w:tc>
        <w:tc>
          <w:tcPr>
            <w:tcW w:w="333" w:type="pct"/>
            <w:shd w:val="clear" w:color="auto" w:fill="FFFFCC"/>
            <w:vAlign w:val="center"/>
          </w:tcPr>
          <w:p w:rsidR="003C464A" w:rsidRPr="0027166E" w:rsidRDefault="003C464A" w:rsidP="006E6A1C">
            <w:pPr>
              <w:pStyle w:val="TableTextEntries"/>
              <w:jc w:val="center"/>
            </w:pPr>
            <w:r w:rsidRPr="0027166E">
              <w:t>E</w:t>
            </w:r>
          </w:p>
        </w:tc>
        <w:tc>
          <w:tcPr>
            <w:tcW w:w="333" w:type="pct"/>
            <w:shd w:val="clear" w:color="auto" w:fill="FFFFCC"/>
            <w:vAlign w:val="center"/>
          </w:tcPr>
          <w:p w:rsidR="003C464A" w:rsidRPr="0027166E" w:rsidRDefault="003C464A" w:rsidP="006E6A1C">
            <w:pPr>
              <w:pStyle w:val="TableTextEntries"/>
              <w:jc w:val="center"/>
            </w:pPr>
            <w:r w:rsidRPr="0027166E">
              <w:t>E</w:t>
            </w:r>
          </w:p>
        </w:tc>
        <w:tc>
          <w:tcPr>
            <w:tcW w:w="333" w:type="pct"/>
            <w:shd w:val="clear" w:color="auto" w:fill="FFFFCC"/>
            <w:vAlign w:val="center"/>
          </w:tcPr>
          <w:p w:rsidR="003C464A" w:rsidRPr="0027166E" w:rsidRDefault="003C464A" w:rsidP="006E6A1C">
            <w:pPr>
              <w:pStyle w:val="TableTextEntries"/>
              <w:jc w:val="center"/>
            </w:pPr>
            <w:r w:rsidRPr="0027166E">
              <w:t>E</w:t>
            </w:r>
          </w:p>
        </w:tc>
        <w:tc>
          <w:tcPr>
            <w:tcW w:w="333" w:type="pct"/>
            <w:shd w:val="clear" w:color="auto" w:fill="FFFFCC"/>
            <w:vAlign w:val="center"/>
          </w:tcPr>
          <w:p w:rsidR="003C464A" w:rsidRPr="0027166E" w:rsidRDefault="003C464A" w:rsidP="006E6A1C">
            <w:pPr>
              <w:pStyle w:val="TableTextEntries"/>
              <w:jc w:val="center"/>
            </w:pPr>
            <w:r w:rsidRPr="0027166E">
              <w:t>E</w:t>
            </w:r>
          </w:p>
        </w:tc>
        <w:tc>
          <w:tcPr>
            <w:tcW w:w="333" w:type="pct"/>
            <w:shd w:val="clear" w:color="auto" w:fill="FFFFCC"/>
            <w:vAlign w:val="center"/>
          </w:tcPr>
          <w:p w:rsidR="003C464A" w:rsidRPr="0027166E" w:rsidRDefault="003C464A" w:rsidP="006E6A1C">
            <w:pPr>
              <w:pStyle w:val="TableTextEntries"/>
              <w:jc w:val="center"/>
            </w:pPr>
            <w:r w:rsidRPr="0027166E">
              <w:t>E</w:t>
            </w:r>
          </w:p>
        </w:tc>
        <w:tc>
          <w:tcPr>
            <w:tcW w:w="333" w:type="pct"/>
            <w:shd w:val="clear" w:color="auto" w:fill="FFFFCC"/>
          </w:tcPr>
          <w:p w:rsidR="003C464A" w:rsidRPr="00745FE3" w:rsidRDefault="003C464A" w:rsidP="006E6A1C">
            <w:pPr>
              <w:pStyle w:val="TableTextEntries"/>
              <w:jc w:val="center"/>
            </w:pPr>
            <w:r>
              <w:t>E</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Clearing for Results Phase II</w:t>
            </w:r>
          </w:p>
        </w:tc>
        <w:tc>
          <w:tcPr>
            <w:tcW w:w="567" w:type="pct"/>
            <w:vMerge w:val="restart"/>
          </w:tcPr>
          <w:p w:rsidR="003C464A" w:rsidRPr="00745FE3" w:rsidRDefault="003C464A" w:rsidP="006E6A1C">
            <w:pPr>
              <w:pStyle w:val="TableTextEntries"/>
            </w:pPr>
            <w:r>
              <w:t>$</w:t>
            </w:r>
            <w:r w:rsidRPr="00745FE3">
              <w:t>6.3</w:t>
            </w:r>
            <w:r>
              <w:t>m</w:t>
            </w:r>
            <w:r w:rsidRPr="00745FE3">
              <w:t xml:space="preserve"> </w:t>
            </w:r>
            <w:r>
              <w:br/>
              <w:t>three</w:t>
            </w:r>
            <w:r w:rsidRPr="00745FE3">
              <w:t xml:space="preserve">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679E2A"/>
            <w:vAlign w:val="center"/>
          </w:tcPr>
          <w:p w:rsidR="003C464A" w:rsidRDefault="003C464A" w:rsidP="006E6A1C">
            <w:pPr>
              <w:jc w:val="center"/>
              <w:rPr>
                <w:rFonts w:ascii="Arial" w:hAnsi="Arial" w:cs="Arial"/>
                <w:sz w:val="16"/>
                <w:szCs w:val="16"/>
              </w:rPr>
            </w:pPr>
            <w:r>
              <w:rPr>
                <w:rFonts w:ascii="Arial" w:hAnsi="Arial" w:cs="Arial"/>
                <w:sz w:val="16"/>
                <w:szCs w:val="16"/>
              </w:rPr>
              <w:t>6</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tcPr>
          <w:p w:rsidR="003C464A" w:rsidRPr="00745FE3" w:rsidRDefault="003C464A" w:rsidP="006E6A1C">
            <w:pPr>
              <w:pStyle w:val="TableTextEntries"/>
              <w:jc w:val="center"/>
            </w:pPr>
            <w:r>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Delivering Better Health</w:t>
            </w:r>
          </w:p>
        </w:tc>
        <w:tc>
          <w:tcPr>
            <w:tcW w:w="567" w:type="pct"/>
            <w:vMerge w:val="restart"/>
          </w:tcPr>
          <w:p w:rsidR="003C464A" w:rsidRPr="00745FE3" w:rsidRDefault="003C464A" w:rsidP="006E6A1C">
            <w:pPr>
              <w:pStyle w:val="TableTextEntries"/>
            </w:pPr>
            <w:r>
              <w:t>$</w:t>
            </w:r>
            <w:r w:rsidRPr="00745FE3">
              <w:t>74.8</w:t>
            </w:r>
            <w:r>
              <w:t>m</w:t>
            </w:r>
            <w:r>
              <w:br/>
            </w:r>
            <w:r w:rsidRPr="00745FE3">
              <w:t>8.5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tcPr>
          <w:p w:rsidR="003C464A" w:rsidRPr="00745FE3" w:rsidRDefault="003C464A" w:rsidP="006E6A1C">
            <w:pPr>
              <w:pStyle w:val="TableTextEntries"/>
              <w:jc w:val="center"/>
            </w:pPr>
            <w:r>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 xml:space="preserve">Cambodia Railway Rehabilitation Project </w:t>
            </w:r>
          </w:p>
        </w:tc>
        <w:tc>
          <w:tcPr>
            <w:tcW w:w="567" w:type="pct"/>
            <w:vMerge w:val="restart"/>
          </w:tcPr>
          <w:p w:rsidR="003C464A" w:rsidRPr="00745FE3" w:rsidRDefault="003C464A" w:rsidP="006E6A1C">
            <w:pPr>
              <w:pStyle w:val="TableTextEntries"/>
            </w:pPr>
            <w:r>
              <w:t>$</w:t>
            </w:r>
            <w:r w:rsidRPr="00745FE3">
              <w:t>27.7</w:t>
            </w:r>
            <w:r>
              <w:t>m</w:t>
            </w:r>
            <w:r>
              <w:br/>
            </w:r>
            <w:r w:rsidRPr="00745FE3">
              <w:t>4.5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679E2A"/>
          </w:tcPr>
          <w:p w:rsidR="003C464A" w:rsidRPr="00745FE3" w:rsidRDefault="003C464A" w:rsidP="006E6A1C">
            <w:pPr>
              <w:pStyle w:val="TableTextEntries"/>
              <w:jc w:val="center"/>
            </w:pPr>
            <w:r w:rsidRPr="00745FE3">
              <w:t>6</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0000"/>
          </w:tcPr>
          <w:p w:rsidR="003C464A" w:rsidRPr="00745FE3" w:rsidRDefault="003C464A" w:rsidP="006E6A1C">
            <w:pPr>
              <w:pStyle w:val="TableTextEntries"/>
              <w:jc w:val="center"/>
            </w:pPr>
            <w:r w:rsidRPr="00745FE3">
              <w:t>2</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I</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679E2A"/>
            <w:vAlign w:val="center"/>
          </w:tcPr>
          <w:p w:rsidR="003C464A" w:rsidRDefault="003C464A" w:rsidP="006E6A1C">
            <w:pPr>
              <w:jc w:val="center"/>
              <w:rPr>
                <w:rFonts w:ascii="Arial" w:hAnsi="Arial" w:cs="Arial"/>
                <w:sz w:val="16"/>
                <w:szCs w:val="16"/>
              </w:rPr>
            </w:pPr>
            <w:r>
              <w:rPr>
                <w:rFonts w:ascii="Arial" w:hAnsi="Arial" w:cs="Arial"/>
                <w:sz w:val="16"/>
                <w:szCs w:val="16"/>
              </w:rPr>
              <w:t>6</w:t>
            </w:r>
          </w:p>
        </w:tc>
        <w:tc>
          <w:tcPr>
            <w:tcW w:w="333" w:type="pct"/>
            <w:shd w:val="clear" w:color="auto" w:fill="F79646" w:themeFill="accent6"/>
            <w:vAlign w:val="center"/>
          </w:tcPr>
          <w:p w:rsidR="003C464A" w:rsidRDefault="003C464A" w:rsidP="006E6A1C">
            <w:pPr>
              <w:jc w:val="center"/>
              <w:rPr>
                <w:rFonts w:ascii="Arial" w:hAnsi="Arial" w:cs="Arial"/>
                <w:sz w:val="16"/>
                <w:szCs w:val="16"/>
              </w:rPr>
            </w:pPr>
            <w:r>
              <w:rPr>
                <w:rFonts w:ascii="Arial" w:hAnsi="Arial" w:cs="Arial"/>
                <w:sz w:val="16"/>
                <w:szCs w:val="16"/>
              </w:rPr>
              <w:t>3</w:t>
            </w:r>
          </w:p>
        </w:tc>
        <w:tc>
          <w:tcPr>
            <w:tcW w:w="333" w:type="pct"/>
            <w:shd w:val="clear" w:color="auto" w:fill="F79646" w:themeFill="accent6"/>
            <w:vAlign w:val="center"/>
          </w:tcPr>
          <w:p w:rsidR="003C464A" w:rsidRDefault="003C464A" w:rsidP="006E6A1C">
            <w:pPr>
              <w:jc w:val="center"/>
              <w:rPr>
                <w:rFonts w:ascii="Arial" w:hAnsi="Arial" w:cs="Arial"/>
                <w:sz w:val="16"/>
                <w:szCs w:val="16"/>
              </w:rPr>
            </w:pPr>
            <w:r>
              <w:rPr>
                <w:rFonts w:ascii="Arial" w:hAnsi="Arial" w:cs="Arial"/>
                <w:sz w:val="16"/>
                <w:szCs w:val="16"/>
              </w:rPr>
              <w:t>3</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79646" w:themeFill="accent6"/>
          </w:tcPr>
          <w:p w:rsidR="003C464A" w:rsidRPr="00745FE3" w:rsidRDefault="003C464A" w:rsidP="006E6A1C">
            <w:pPr>
              <w:pStyle w:val="TableTextEntries"/>
              <w:jc w:val="center"/>
            </w:pPr>
            <w:r>
              <w:t>I</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Southern Coastal Corridor Cambodia</w:t>
            </w:r>
          </w:p>
        </w:tc>
        <w:tc>
          <w:tcPr>
            <w:tcW w:w="567" w:type="pct"/>
            <w:vMerge w:val="restart"/>
          </w:tcPr>
          <w:p w:rsidR="003C464A" w:rsidRPr="00745FE3" w:rsidRDefault="003C464A" w:rsidP="006E6A1C">
            <w:pPr>
              <w:pStyle w:val="TableTextEntries"/>
            </w:pPr>
            <w:r>
              <w:t>$</w:t>
            </w:r>
            <w:r w:rsidRPr="00745FE3">
              <w:t>10.3</w:t>
            </w:r>
            <w:r>
              <w:t>m</w:t>
            </w:r>
            <w:r>
              <w:br/>
            </w:r>
            <w:r w:rsidRPr="00745FE3">
              <w:t>7.5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tcPr>
          <w:p w:rsidR="003C464A" w:rsidRPr="00745FE3" w:rsidRDefault="003C464A" w:rsidP="006E6A1C">
            <w:pPr>
              <w:pStyle w:val="TableTextEntries"/>
              <w:jc w:val="center"/>
            </w:pPr>
            <w:r>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Road Asset Maintenance Project</w:t>
            </w:r>
          </w:p>
        </w:tc>
        <w:tc>
          <w:tcPr>
            <w:tcW w:w="567" w:type="pct"/>
            <w:vMerge w:val="restart"/>
          </w:tcPr>
          <w:p w:rsidR="003C464A" w:rsidRPr="00745FE3" w:rsidRDefault="003C464A" w:rsidP="006E6A1C">
            <w:pPr>
              <w:pStyle w:val="TableTextEntries"/>
            </w:pPr>
            <w:r>
              <w:t>$</w:t>
            </w:r>
            <w:r w:rsidRPr="00745FE3">
              <w:t>6.0</w:t>
            </w:r>
            <w:r>
              <w:t>m</w:t>
            </w:r>
            <w:r>
              <w:br/>
              <w:t>six</w:t>
            </w:r>
            <w:r w:rsidRPr="00745FE3">
              <w:t xml:space="preserve">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tcPr>
          <w:p w:rsidR="003C464A" w:rsidRPr="00745FE3" w:rsidRDefault="003C464A" w:rsidP="006E6A1C">
            <w:pPr>
              <w:pStyle w:val="TableTextEntries"/>
              <w:jc w:val="center"/>
            </w:pPr>
            <w:r>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Emergency Flood Rehabilitation Project</w:t>
            </w:r>
          </w:p>
        </w:tc>
        <w:tc>
          <w:tcPr>
            <w:tcW w:w="567" w:type="pct"/>
            <w:vMerge w:val="restart"/>
          </w:tcPr>
          <w:p w:rsidR="003C464A" w:rsidRPr="00745FE3" w:rsidRDefault="003C464A" w:rsidP="006E6A1C">
            <w:pPr>
              <w:pStyle w:val="TableTextEntries"/>
            </w:pPr>
            <w:r>
              <w:t>$</w:t>
            </w:r>
            <w:r w:rsidRPr="00745FE3">
              <w:t>5.0</w:t>
            </w:r>
            <w:r>
              <w:t>m</w:t>
            </w:r>
            <w:r>
              <w:br/>
              <w:t xml:space="preserve">three </w:t>
            </w:r>
            <w:r w:rsidRPr="00745FE3">
              <w:t>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92D050"/>
          </w:tcPr>
          <w:p w:rsidR="003C464A" w:rsidRPr="00745FE3" w:rsidRDefault="003C464A" w:rsidP="006E6A1C">
            <w:pPr>
              <w:pStyle w:val="TableTextEntries"/>
              <w:jc w:val="center"/>
            </w:pPr>
            <w:r w:rsidRPr="00745FE3">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Rural Electrification and Transmission Project</w:t>
            </w:r>
          </w:p>
        </w:tc>
        <w:tc>
          <w:tcPr>
            <w:tcW w:w="567" w:type="pct"/>
            <w:vMerge w:val="restart"/>
          </w:tcPr>
          <w:p w:rsidR="003C464A" w:rsidRPr="00745FE3" w:rsidRDefault="003C464A" w:rsidP="006E6A1C">
            <w:pPr>
              <w:pStyle w:val="TableTextEntries"/>
            </w:pPr>
            <w:r>
              <w:t>$</w:t>
            </w:r>
            <w:r w:rsidRPr="00745FE3">
              <w:t>7.7</w:t>
            </w:r>
            <w:r>
              <w:t>m</w:t>
            </w:r>
            <w:r>
              <w:br/>
              <w:t>six</w:t>
            </w:r>
            <w:r w:rsidRPr="00745FE3">
              <w:t xml:space="preserve">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t>E</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t>E</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Law and Justice Sector Support</w:t>
            </w:r>
          </w:p>
        </w:tc>
        <w:tc>
          <w:tcPr>
            <w:tcW w:w="567" w:type="pct"/>
            <w:vMerge w:val="restart"/>
          </w:tcPr>
          <w:p w:rsidR="003C464A" w:rsidRPr="00745FE3" w:rsidRDefault="003C464A" w:rsidP="006E6A1C">
            <w:pPr>
              <w:pStyle w:val="TableTextEntries"/>
            </w:pPr>
            <w:r>
              <w:t>$</w:t>
            </w:r>
            <w:r w:rsidRPr="00745FE3">
              <w:t>15.0</w:t>
            </w:r>
            <w:r>
              <w:t>m</w:t>
            </w:r>
            <w:r>
              <w:br/>
            </w:r>
            <w:r w:rsidRPr="00745FE3">
              <w:t>3.5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Pr>
          <w:p w:rsidR="003C464A" w:rsidRPr="00745FE3" w:rsidRDefault="003C464A" w:rsidP="006E6A1C">
            <w:pPr>
              <w:pStyle w:val="TableTextEntries"/>
              <w:jc w:val="center"/>
            </w:pPr>
            <w:r w:rsidRPr="00745FE3">
              <w:t>n/a</w:t>
            </w:r>
          </w:p>
        </w:tc>
        <w:tc>
          <w:tcPr>
            <w:tcW w:w="333" w:type="pct"/>
          </w:tcPr>
          <w:p w:rsidR="003C464A" w:rsidRPr="00745FE3" w:rsidRDefault="003C464A" w:rsidP="006E6A1C">
            <w:pPr>
              <w:pStyle w:val="TableTextEntries"/>
              <w:jc w:val="center"/>
            </w:pPr>
            <w:r w:rsidRPr="00745FE3">
              <w:t>n/a</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79646" w:themeFill="accent6"/>
            <w:vAlign w:val="center"/>
          </w:tcPr>
          <w:p w:rsidR="003C464A" w:rsidRDefault="003C464A" w:rsidP="006E6A1C">
            <w:pPr>
              <w:jc w:val="center"/>
              <w:rPr>
                <w:rFonts w:ascii="Arial" w:hAnsi="Arial" w:cs="Arial"/>
                <w:sz w:val="16"/>
                <w:szCs w:val="16"/>
              </w:rPr>
            </w:pPr>
            <w:r>
              <w:rPr>
                <w:rFonts w:ascii="Arial" w:hAnsi="Arial" w:cs="Arial"/>
                <w:sz w:val="16"/>
                <w:szCs w:val="16"/>
              </w:rPr>
              <w:t>3</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79646" w:themeFill="accent6"/>
            <w:vAlign w:val="center"/>
          </w:tcPr>
          <w:p w:rsidR="003C464A" w:rsidRDefault="003C464A" w:rsidP="006E6A1C">
            <w:pPr>
              <w:jc w:val="center"/>
              <w:rPr>
                <w:rFonts w:ascii="Arial" w:hAnsi="Arial" w:cs="Arial"/>
                <w:sz w:val="16"/>
                <w:szCs w:val="16"/>
              </w:rPr>
            </w:pPr>
            <w:r>
              <w:rPr>
                <w:rFonts w:ascii="Arial" w:hAnsi="Arial" w:cs="Arial"/>
                <w:sz w:val="16"/>
                <w:szCs w:val="16"/>
              </w:rPr>
              <w:t>3</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tcPr>
          <w:p w:rsidR="003C464A" w:rsidRPr="00745FE3" w:rsidRDefault="003C464A" w:rsidP="006E6A1C">
            <w:pPr>
              <w:pStyle w:val="TableTextEntries"/>
              <w:jc w:val="center"/>
            </w:pPr>
            <w:r>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lastRenderedPageBreak/>
              <w:t>Community Development Fund</w:t>
            </w:r>
          </w:p>
        </w:tc>
        <w:tc>
          <w:tcPr>
            <w:tcW w:w="567" w:type="pct"/>
            <w:vMerge w:val="restart"/>
          </w:tcPr>
          <w:p w:rsidR="003C464A" w:rsidRPr="00745FE3" w:rsidRDefault="003C464A" w:rsidP="006E6A1C">
            <w:pPr>
              <w:pStyle w:val="TableTextEntries"/>
            </w:pPr>
            <w:r>
              <w:t>$4</w:t>
            </w:r>
            <w:r w:rsidRPr="00745FE3">
              <w:t>.3</w:t>
            </w:r>
            <w:r>
              <w:t>m</w:t>
            </w:r>
            <w:r>
              <w:br/>
              <w:t>four</w:t>
            </w:r>
            <w:r w:rsidRPr="00745FE3">
              <w:t xml:space="preserve">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I</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vAlign w:val="center"/>
          </w:tcPr>
          <w:p w:rsidR="003C464A" w:rsidRDefault="003C464A" w:rsidP="006E6A1C">
            <w:pPr>
              <w:jc w:val="center"/>
              <w:rPr>
                <w:rFonts w:ascii="Arial" w:hAnsi="Arial" w:cs="Arial"/>
                <w:sz w:val="16"/>
                <w:szCs w:val="16"/>
              </w:rPr>
            </w:pPr>
            <w:r>
              <w:rPr>
                <w:rFonts w:ascii="Arial" w:hAnsi="Arial" w:cs="Arial"/>
                <w:sz w:val="16"/>
                <w:szCs w:val="16"/>
              </w:rPr>
              <w:t>5</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shd w:val="clear" w:color="auto" w:fill="92D050"/>
          </w:tcPr>
          <w:p w:rsidR="003C464A" w:rsidRPr="00745FE3" w:rsidRDefault="003C464A" w:rsidP="006E6A1C">
            <w:pPr>
              <w:pStyle w:val="TableTextEntries"/>
              <w:jc w:val="center"/>
            </w:pPr>
            <w:r>
              <w:t>M</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Support to Khmer Rouge Tribunal</w:t>
            </w:r>
          </w:p>
        </w:tc>
        <w:tc>
          <w:tcPr>
            <w:tcW w:w="567" w:type="pct"/>
            <w:vMerge w:val="restart"/>
          </w:tcPr>
          <w:p w:rsidR="003C464A" w:rsidRPr="00745FE3" w:rsidRDefault="003C464A" w:rsidP="006E6A1C">
            <w:pPr>
              <w:pStyle w:val="TableTextEntries"/>
            </w:pPr>
            <w:r>
              <w:t>$</w:t>
            </w:r>
            <w:r w:rsidRPr="00745FE3">
              <w:t>16.9</w:t>
            </w:r>
            <w:r>
              <w:t>m</w:t>
            </w:r>
            <w:r>
              <w:br/>
            </w:r>
            <w:r w:rsidRPr="00745FE3">
              <w:t>11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rsidRPr="00745FE3">
              <w:t>E</w:t>
            </w:r>
          </w:p>
        </w:tc>
        <w:tc>
          <w:tcPr>
            <w:tcW w:w="333" w:type="pct"/>
            <w:tcBorders>
              <w:top w:val="nil"/>
              <w:bottom w:val="nil"/>
            </w:tcBorders>
            <w:shd w:val="clear" w:color="auto" w:fill="FFFFCC"/>
          </w:tcPr>
          <w:p w:rsidR="003C464A" w:rsidRPr="00745FE3" w:rsidRDefault="003C464A" w:rsidP="006E6A1C">
            <w:pPr>
              <w:pStyle w:val="TableTextEntries"/>
              <w:jc w:val="center"/>
            </w:pPr>
            <w:r>
              <w:t>E</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t>E</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Communication Assistance Project</w:t>
            </w:r>
          </w:p>
        </w:tc>
        <w:tc>
          <w:tcPr>
            <w:tcW w:w="567" w:type="pct"/>
            <w:vMerge w:val="restart"/>
          </w:tcPr>
          <w:p w:rsidR="003C464A" w:rsidRPr="00745FE3" w:rsidRDefault="003C464A" w:rsidP="006E6A1C">
            <w:pPr>
              <w:pStyle w:val="TableTextEntries"/>
            </w:pPr>
            <w:r>
              <w:t>$</w:t>
            </w:r>
            <w:r w:rsidRPr="00745FE3">
              <w:t>2.</w:t>
            </w:r>
            <w:r>
              <w:t>0m</w:t>
            </w:r>
            <w:r>
              <w:br/>
              <w:t>two</w:t>
            </w:r>
            <w:r w:rsidRPr="00745FE3">
              <w:t xml:space="preserve">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5</w:t>
            </w:r>
          </w:p>
        </w:tc>
        <w:tc>
          <w:tcPr>
            <w:tcW w:w="333" w:type="pct"/>
            <w:tcBorders>
              <w:top w:val="nil"/>
              <w:bottom w:val="nil"/>
            </w:tcBorders>
            <w:shd w:val="clear" w:color="auto" w:fill="92D050"/>
          </w:tcPr>
          <w:p w:rsidR="003C464A" w:rsidRPr="00745FE3" w:rsidRDefault="003C464A" w:rsidP="006E6A1C">
            <w:pPr>
              <w:pStyle w:val="TableTextEntries"/>
              <w:jc w:val="center"/>
            </w:pPr>
            <w:r w:rsidRPr="00745FE3">
              <w:t>M</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rsidRPr="00745FE3">
              <w:t>E</w:t>
            </w:r>
          </w:p>
        </w:tc>
        <w:tc>
          <w:tcPr>
            <w:tcW w:w="333" w:type="pct"/>
            <w:shd w:val="clear" w:color="auto" w:fill="FFFFCC"/>
          </w:tcPr>
          <w:p w:rsidR="003C464A" w:rsidRPr="00745FE3" w:rsidRDefault="003C464A" w:rsidP="006E6A1C">
            <w:pPr>
              <w:pStyle w:val="TableTextEntries"/>
              <w:jc w:val="center"/>
            </w:pPr>
            <w:r>
              <w:t>E</w:t>
            </w:r>
          </w:p>
        </w:tc>
      </w:tr>
      <w:tr w:rsidR="003C464A" w:rsidRPr="00745FE3" w:rsidTr="006E6A1C">
        <w:trPr>
          <w:tblHeader w:val="0"/>
        </w:trPr>
        <w:tc>
          <w:tcPr>
            <w:tcW w:w="1442" w:type="pct"/>
            <w:vMerge w:val="restart"/>
          </w:tcPr>
          <w:p w:rsidR="003C464A" w:rsidRPr="00745FE3" w:rsidRDefault="003C464A" w:rsidP="006E6A1C">
            <w:pPr>
              <w:pStyle w:val="TableTextEntries"/>
            </w:pPr>
            <w:r w:rsidRPr="00745FE3">
              <w:t>Cambodia Public Financial Management</w:t>
            </w:r>
          </w:p>
        </w:tc>
        <w:tc>
          <w:tcPr>
            <w:tcW w:w="567" w:type="pct"/>
            <w:vMerge w:val="restart"/>
          </w:tcPr>
          <w:p w:rsidR="003C464A" w:rsidRPr="00745FE3" w:rsidRDefault="003C464A" w:rsidP="006E6A1C">
            <w:pPr>
              <w:pStyle w:val="TableTextEntries"/>
            </w:pPr>
            <w:r>
              <w:t>$</w:t>
            </w:r>
            <w:r w:rsidRPr="00745FE3">
              <w:t>3.3</w:t>
            </w:r>
            <w:r>
              <w:t>m</w:t>
            </w:r>
            <w:r>
              <w:br/>
            </w:r>
            <w:r w:rsidRPr="00745FE3">
              <w:t>10 years</w:t>
            </w:r>
          </w:p>
        </w:tc>
        <w:tc>
          <w:tcPr>
            <w:tcW w:w="478" w:type="pct"/>
          </w:tcPr>
          <w:p w:rsidR="003C464A" w:rsidRPr="00745FE3" w:rsidRDefault="003C464A" w:rsidP="006E6A1C">
            <w:pPr>
              <w:pStyle w:val="TableTextEntries"/>
            </w:pPr>
            <w:r w:rsidRPr="00745FE3">
              <w:t>2012</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FF00"/>
          </w:tcPr>
          <w:p w:rsidR="003C464A" w:rsidRPr="00745FE3" w:rsidRDefault="003C464A" w:rsidP="006E6A1C">
            <w:pPr>
              <w:pStyle w:val="TableTextEntries"/>
              <w:jc w:val="center"/>
            </w:pPr>
            <w:r w:rsidRPr="00745FE3">
              <w:t>4</w:t>
            </w:r>
          </w:p>
        </w:tc>
        <w:tc>
          <w:tcPr>
            <w:tcW w:w="333" w:type="pct"/>
            <w:tcBorders>
              <w:top w:val="nil"/>
              <w:bottom w:val="nil"/>
            </w:tcBorders>
            <w:shd w:val="clear" w:color="auto" w:fill="F79646" w:themeFill="accent6"/>
          </w:tcPr>
          <w:p w:rsidR="003C464A" w:rsidRPr="00745FE3" w:rsidRDefault="003C464A" w:rsidP="006E6A1C">
            <w:pPr>
              <w:pStyle w:val="TableTextEntries"/>
              <w:jc w:val="center"/>
            </w:pPr>
            <w:r w:rsidRPr="00745FE3">
              <w:t>3</w:t>
            </w:r>
          </w:p>
        </w:tc>
        <w:tc>
          <w:tcPr>
            <w:tcW w:w="333" w:type="pct"/>
            <w:tcBorders>
              <w:top w:val="nil"/>
              <w:bottom w:val="nil"/>
            </w:tcBorders>
            <w:shd w:val="clear" w:color="auto" w:fill="FF0000"/>
          </w:tcPr>
          <w:p w:rsidR="003C464A" w:rsidRPr="00745FE3" w:rsidRDefault="003C464A" w:rsidP="006E6A1C">
            <w:pPr>
              <w:pStyle w:val="TableTextEntries"/>
              <w:jc w:val="center"/>
            </w:pPr>
            <w:r w:rsidRPr="00745FE3">
              <w:t>2</w:t>
            </w:r>
          </w:p>
        </w:tc>
        <w:tc>
          <w:tcPr>
            <w:tcW w:w="333" w:type="pct"/>
            <w:tcBorders>
              <w:top w:val="nil"/>
              <w:bottom w:val="nil"/>
            </w:tcBorders>
            <w:shd w:val="clear" w:color="auto" w:fill="FF0000"/>
          </w:tcPr>
          <w:p w:rsidR="003C464A" w:rsidRPr="00745FE3" w:rsidRDefault="003C464A" w:rsidP="006E6A1C">
            <w:pPr>
              <w:pStyle w:val="TableTextEntries"/>
              <w:jc w:val="center"/>
            </w:pPr>
            <w:r w:rsidRPr="00745FE3">
              <w:t>B</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1442" w:type="pct"/>
            <w:vMerge/>
          </w:tcPr>
          <w:p w:rsidR="003C464A" w:rsidRPr="00745FE3" w:rsidRDefault="003C464A" w:rsidP="006E6A1C">
            <w:pPr>
              <w:pStyle w:val="TableTextEntries"/>
            </w:pPr>
          </w:p>
        </w:tc>
        <w:tc>
          <w:tcPr>
            <w:tcW w:w="567" w:type="pct"/>
            <w:vMerge/>
          </w:tcPr>
          <w:p w:rsidR="003C464A" w:rsidRPr="00745FE3" w:rsidRDefault="003C464A" w:rsidP="006E6A1C">
            <w:pPr>
              <w:pStyle w:val="TableTextEntries"/>
            </w:pPr>
          </w:p>
        </w:tc>
        <w:tc>
          <w:tcPr>
            <w:tcW w:w="478" w:type="pct"/>
          </w:tcPr>
          <w:p w:rsidR="003C464A" w:rsidRPr="00745FE3" w:rsidRDefault="003C464A" w:rsidP="006E6A1C">
            <w:pPr>
              <w:pStyle w:val="TableTextEntries"/>
            </w:pPr>
            <w:r w:rsidRPr="00745FE3">
              <w:t>201</w:t>
            </w:r>
            <w:r>
              <w:t>3</w:t>
            </w:r>
          </w:p>
        </w:tc>
        <w:tc>
          <w:tcPr>
            <w:tcW w:w="333" w:type="pct"/>
            <w:tcBorders>
              <w:bottom w:val="single" w:sz="12" w:space="0" w:color="000000" w:themeColor="text1"/>
            </w:tcBorders>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tcBorders>
              <w:bottom w:val="single" w:sz="12" w:space="0" w:color="000000" w:themeColor="text1"/>
            </w:tcBorders>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tcBorders>
              <w:bottom w:val="single" w:sz="12" w:space="0" w:color="000000" w:themeColor="text1"/>
            </w:tcBorders>
            <w:shd w:val="clear" w:color="auto" w:fill="F79646" w:themeFill="accent6"/>
            <w:vAlign w:val="center"/>
          </w:tcPr>
          <w:p w:rsidR="003C464A" w:rsidRDefault="003C464A" w:rsidP="006E6A1C">
            <w:pPr>
              <w:jc w:val="center"/>
              <w:rPr>
                <w:rFonts w:ascii="Arial" w:hAnsi="Arial" w:cs="Arial"/>
                <w:sz w:val="16"/>
                <w:szCs w:val="16"/>
              </w:rPr>
            </w:pPr>
            <w:r>
              <w:rPr>
                <w:rFonts w:ascii="Arial" w:hAnsi="Arial" w:cs="Arial"/>
                <w:sz w:val="16"/>
                <w:szCs w:val="16"/>
              </w:rPr>
              <w:t>3</w:t>
            </w:r>
          </w:p>
        </w:tc>
        <w:tc>
          <w:tcPr>
            <w:tcW w:w="333" w:type="pct"/>
            <w:tcBorders>
              <w:bottom w:val="single" w:sz="12" w:space="0" w:color="000000" w:themeColor="text1"/>
            </w:tcBorders>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tcBorders>
              <w:bottom w:val="single" w:sz="12" w:space="0" w:color="000000" w:themeColor="text1"/>
            </w:tcBorders>
            <w:shd w:val="clear" w:color="auto" w:fill="FFFF00"/>
            <w:vAlign w:val="center"/>
          </w:tcPr>
          <w:p w:rsidR="003C464A" w:rsidRDefault="003C464A" w:rsidP="006E6A1C">
            <w:pPr>
              <w:jc w:val="center"/>
              <w:rPr>
                <w:rFonts w:ascii="Arial" w:hAnsi="Arial" w:cs="Arial"/>
                <w:sz w:val="16"/>
                <w:szCs w:val="16"/>
              </w:rPr>
            </w:pPr>
            <w:r>
              <w:rPr>
                <w:rFonts w:ascii="Arial" w:hAnsi="Arial" w:cs="Arial"/>
                <w:sz w:val="16"/>
                <w:szCs w:val="16"/>
              </w:rPr>
              <w:t>4</w:t>
            </w:r>
          </w:p>
        </w:tc>
        <w:tc>
          <w:tcPr>
            <w:tcW w:w="333" w:type="pct"/>
            <w:tcBorders>
              <w:bottom w:val="single" w:sz="12" w:space="0" w:color="000000" w:themeColor="text1"/>
            </w:tcBorders>
            <w:shd w:val="clear" w:color="auto" w:fill="F79646" w:themeFill="accent6"/>
            <w:vAlign w:val="center"/>
          </w:tcPr>
          <w:p w:rsidR="003C464A" w:rsidRDefault="003C464A" w:rsidP="006E6A1C">
            <w:pPr>
              <w:jc w:val="center"/>
              <w:rPr>
                <w:rFonts w:ascii="Arial" w:hAnsi="Arial" w:cs="Arial"/>
                <w:sz w:val="16"/>
                <w:szCs w:val="16"/>
              </w:rPr>
            </w:pPr>
            <w:r>
              <w:rPr>
                <w:rFonts w:ascii="Arial" w:hAnsi="Arial" w:cs="Arial"/>
                <w:sz w:val="16"/>
                <w:szCs w:val="16"/>
              </w:rPr>
              <w:t>3</w:t>
            </w:r>
          </w:p>
        </w:tc>
        <w:tc>
          <w:tcPr>
            <w:tcW w:w="333" w:type="pct"/>
            <w:tcBorders>
              <w:bottom w:val="single" w:sz="12" w:space="0" w:color="000000" w:themeColor="text1"/>
            </w:tcBorders>
            <w:shd w:val="clear" w:color="auto" w:fill="FF0000"/>
          </w:tcPr>
          <w:p w:rsidR="003C464A" w:rsidRPr="00745FE3" w:rsidRDefault="003C464A" w:rsidP="006E6A1C">
            <w:pPr>
              <w:pStyle w:val="TableTextEntries"/>
              <w:jc w:val="center"/>
            </w:pPr>
            <w:r>
              <w:t>B</w:t>
            </w:r>
          </w:p>
        </w:tc>
      </w:tr>
    </w:tbl>
    <w:p w:rsidR="003C464A" w:rsidRPr="00F429F1" w:rsidRDefault="003C464A" w:rsidP="003C464A">
      <w:pPr>
        <w:pStyle w:val="BodyText"/>
      </w:pPr>
    </w:p>
    <w:p w:rsidR="003C464A" w:rsidRDefault="003C464A" w:rsidP="00782500">
      <w:pPr>
        <w:pStyle w:val="Note"/>
      </w:pPr>
      <w:r>
        <w:t>Definitions of rating scale:</w:t>
      </w:r>
      <w:r>
        <w:tab/>
      </w:r>
    </w:p>
    <w:p w:rsidR="003C464A" w:rsidRDefault="003C464A" w:rsidP="00782500">
      <w:pPr>
        <w:pStyle w:val="Note"/>
      </w:pPr>
      <w:r>
        <w:t>Satisfactory (4, 5 and 6)</w:t>
      </w:r>
    </w:p>
    <w:p w:rsidR="003C464A" w:rsidRDefault="003C464A" w:rsidP="00782500">
      <w:pPr>
        <w:pStyle w:val="Note"/>
      </w:pPr>
      <w:r w:rsidRPr="00593946">
        <w:rPr>
          <w:color w:val="72AF2F"/>
        </w:rPr>
        <w:sym w:font="Webdings" w:char="F067"/>
      </w:r>
      <w:r>
        <w:t xml:space="preserve"> = 6 = Very high quality</w:t>
      </w:r>
    </w:p>
    <w:p w:rsidR="003C464A" w:rsidRDefault="003C464A" w:rsidP="00782500">
      <w:pPr>
        <w:pStyle w:val="Note"/>
      </w:pPr>
      <w:r w:rsidRPr="00593946">
        <w:rPr>
          <w:color w:val="72AF2F"/>
        </w:rPr>
        <w:sym w:font="Webdings" w:char="F067"/>
      </w:r>
      <w:r>
        <w:t xml:space="preserve"> = 5 = Good quality</w:t>
      </w:r>
    </w:p>
    <w:p w:rsidR="003C464A" w:rsidRDefault="003C464A" w:rsidP="00782500">
      <w:pPr>
        <w:pStyle w:val="Note"/>
      </w:pPr>
      <w:r w:rsidRPr="000774FD">
        <w:rPr>
          <w:color w:val="FFFF00"/>
        </w:rPr>
        <w:sym w:font="Webdings" w:char="F067"/>
      </w:r>
      <w:r>
        <w:t xml:space="preserve"> = 4 = Adequate quality, needs some work</w:t>
      </w:r>
    </w:p>
    <w:p w:rsidR="003C464A" w:rsidRDefault="003C464A" w:rsidP="00782500">
      <w:pPr>
        <w:pStyle w:val="Note"/>
      </w:pPr>
      <w:r>
        <w:t>Less than satisfactory (1, 2 and 3)</w:t>
      </w:r>
    </w:p>
    <w:p w:rsidR="003C464A" w:rsidRDefault="003C464A" w:rsidP="00782500">
      <w:pPr>
        <w:pStyle w:val="Note"/>
      </w:pPr>
      <w:r w:rsidRPr="00593946">
        <w:rPr>
          <w:color w:val="E36C0A"/>
        </w:rPr>
        <w:sym w:font="Webdings" w:char="F067"/>
      </w:r>
      <w:r w:rsidRPr="00593946">
        <w:rPr>
          <w:color w:val="E36C0A"/>
        </w:rPr>
        <w:t xml:space="preserve"> </w:t>
      </w:r>
      <w:r>
        <w:t>= 3 = Less than adequate quality; needs significant work</w:t>
      </w:r>
    </w:p>
    <w:p w:rsidR="003C464A" w:rsidRDefault="003C464A" w:rsidP="00782500">
      <w:pPr>
        <w:pStyle w:val="Note"/>
      </w:pPr>
      <w:r w:rsidRPr="000774FD">
        <w:rPr>
          <w:color w:val="FF0000"/>
        </w:rPr>
        <w:sym w:font="Webdings" w:char="F067"/>
      </w:r>
      <w:r>
        <w:t xml:space="preserve"> = 2 = Poor quality; needs major work to improve</w:t>
      </w:r>
    </w:p>
    <w:p w:rsidR="003C464A" w:rsidRDefault="003C464A" w:rsidP="00782500">
      <w:pPr>
        <w:pStyle w:val="Note"/>
      </w:pPr>
      <w:r w:rsidRPr="000774FD">
        <w:rPr>
          <w:color w:val="FF0000"/>
        </w:rPr>
        <w:sym w:font="Webdings" w:char="F067"/>
      </w:r>
      <w:r>
        <w:t xml:space="preserve"> = 1 = Very poor quality; needs major overhaul</w:t>
      </w:r>
    </w:p>
    <w:p w:rsidR="00782500" w:rsidRPr="00490EFB" w:rsidRDefault="00782500" w:rsidP="00782500">
      <w:pPr>
        <w:pStyle w:val="Note"/>
      </w:pPr>
      <w:r w:rsidRPr="00490EFB">
        <w:t>Risk Management scale 2012:</w:t>
      </w:r>
    </w:p>
    <w:p w:rsidR="00782500" w:rsidRPr="00490EFB" w:rsidRDefault="00782500" w:rsidP="00782500">
      <w:pPr>
        <w:pStyle w:val="Note"/>
      </w:pPr>
      <w:r w:rsidRPr="00490EFB">
        <w:rPr>
          <w:color w:val="92D050"/>
        </w:rPr>
        <w:sym w:font="Webdings" w:char="F067"/>
      </w:r>
      <w:r w:rsidRPr="00490EFB">
        <w:t xml:space="preserve"> Mature (M). Indicates the initiative manager conducts risk discussions on at least a monthly basis with all stakeholders and updates the risk registry quarterly. </w:t>
      </w:r>
    </w:p>
    <w:p w:rsidR="00782500" w:rsidRPr="00490EFB" w:rsidRDefault="00782500" w:rsidP="00782500">
      <w:pPr>
        <w:pStyle w:val="Note"/>
      </w:pPr>
      <w:r w:rsidRPr="00490EFB">
        <w:rPr>
          <w:color w:val="F79646"/>
        </w:rPr>
        <w:sym w:font="Webdings" w:char="F067"/>
      </w:r>
      <w:r w:rsidRPr="00490EFB">
        <w:t xml:space="preserve"> Intermediate (I). Indicates the initiative manager conducts ad-hoc risk discussion and updates the risk register occasionally. </w:t>
      </w:r>
    </w:p>
    <w:p w:rsidR="00782500" w:rsidRPr="00490EFB" w:rsidRDefault="00782500" w:rsidP="00782500">
      <w:pPr>
        <w:pStyle w:val="Note"/>
      </w:pPr>
      <w:r w:rsidRPr="00490EFB">
        <w:rPr>
          <w:color w:val="FF0000"/>
        </w:rPr>
        <w:sym w:font="Webdings" w:char="F067"/>
      </w:r>
      <w:r w:rsidRPr="00490EFB">
        <w:t xml:space="preserve"> Basic (B). Indicates there are limited or few risk discussions and the risk register has not been updated in the past 12 months.</w:t>
      </w:r>
    </w:p>
    <w:p w:rsidR="00782500" w:rsidRPr="00490EFB" w:rsidRDefault="00782500" w:rsidP="00782500">
      <w:pPr>
        <w:pStyle w:val="Note"/>
      </w:pPr>
      <w:r w:rsidRPr="00490EFB">
        <w:t>E – Exemption from QAI</w:t>
      </w:r>
    </w:p>
    <w:p w:rsidR="00782500" w:rsidRPr="00490EFB" w:rsidRDefault="00782500" w:rsidP="00782500">
      <w:pPr>
        <w:pStyle w:val="Note"/>
      </w:pPr>
      <w:r w:rsidRPr="00490EFB">
        <w:t>n/a – not available</w:t>
      </w:r>
    </w:p>
    <w:p w:rsidR="003C464A" w:rsidRDefault="003C464A" w:rsidP="00782500">
      <w:pPr>
        <w:pStyle w:val="Note"/>
      </w:pPr>
    </w:p>
    <w:p w:rsidR="003C464A" w:rsidRDefault="003C464A" w:rsidP="003C464A">
      <w:pPr>
        <w:spacing w:after="200" w:line="276" w:lineRule="auto"/>
        <w:rPr>
          <w:rFonts w:ascii="Franklin Gothic Demi" w:hAnsi="Franklin Gothic Demi" w:cs="Arial"/>
          <w:color w:val="AD495D"/>
          <w:kern w:val="28"/>
          <w:sz w:val="28"/>
          <w:szCs w:val="28"/>
        </w:rPr>
      </w:pPr>
      <w:r>
        <w:br w:type="page"/>
      </w:r>
    </w:p>
    <w:p w:rsidR="003C464A" w:rsidRPr="009E38C1" w:rsidRDefault="003C464A" w:rsidP="003C464A">
      <w:pPr>
        <w:pStyle w:val="Heading2"/>
        <w:rPr>
          <w:sz w:val="28"/>
        </w:rPr>
      </w:pPr>
      <w:r w:rsidRPr="009E38C1">
        <w:rPr>
          <w:sz w:val="28"/>
        </w:rPr>
        <w:lastRenderedPageBreak/>
        <w:t>Annex C</w:t>
      </w:r>
    </w:p>
    <w:p w:rsidR="003C464A" w:rsidRDefault="003C464A" w:rsidP="003C464A">
      <w:pPr>
        <w:pStyle w:val="Heading2"/>
        <w:rPr>
          <w:sz w:val="28"/>
        </w:rPr>
      </w:pPr>
      <w:r w:rsidRPr="009E38C1">
        <w:rPr>
          <w:sz w:val="28"/>
        </w:rPr>
        <w:t>Evaluation and Review Pipeline Planning</w:t>
      </w:r>
    </w:p>
    <w:p w:rsidR="003C464A" w:rsidRPr="00745FE3" w:rsidRDefault="003C464A" w:rsidP="003C464A">
      <w:pPr>
        <w:pStyle w:val="Caption"/>
      </w:pPr>
      <w:r w:rsidRPr="00745FE3">
        <w:t xml:space="preserve">List of </w:t>
      </w:r>
      <w:r>
        <w:t>e</w:t>
      </w:r>
      <w:r w:rsidRPr="00745FE3">
        <w:t>valuations completed</w:t>
      </w:r>
      <w:r w:rsidRPr="000203BD">
        <w:t xml:space="preserve"> </w:t>
      </w:r>
      <w:r w:rsidRPr="00745FE3">
        <w:t xml:space="preserve">in the reporting period </w:t>
      </w:r>
    </w:p>
    <w:p w:rsidR="003C464A" w:rsidRDefault="003C464A" w:rsidP="003C464A">
      <w:pPr>
        <w:rPr>
          <w:b/>
        </w:rPr>
      </w:pPr>
    </w:p>
    <w:tbl>
      <w:tblPr>
        <w:tblStyle w:val="APPR"/>
        <w:tblW w:w="5000" w:type="pct"/>
        <w:tblLook w:val="04A0" w:firstRow="1" w:lastRow="0" w:firstColumn="1" w:lastColumn="0" w:noHBand="0" w:noVBand="1"/>
      </w:tblPr>
      <w:tblGrid>
        <w:gridCol w:w="2429"/>
        <w:gridCol w:w="1653"/>
        <w:gridCol w:w="2199"/>
        <w:gridCol w:w="2089"/>
        <w:gridCol w:w="2070"/>
        <w:gridCol w:w="1918"/>
        <w:gridCol w:w="1662"/>
      </w:tblGrid>
      <w:tr w:rsidR="003C464A" w:rsidRPr="00745FE3" w:rsidTr="006E6A1C">
        <w:trPr>
          <w:cnfStyle w:val="100000000000" w:firstRow="1" w:lastRow="0" w:firstColumn="0" w:lastColumn="0" w:oddVBand="0" w:evenVBand="0" w:oddHBand="0" w:evenHBand="0" w:firstRowFirstColumn="0" w:firstRowLastColumn="0" w:lastRowFirstColumn="0" w:lastRowLastColumn="0"/>
        </w:trPr>
        <w:tc>
          <w:tcPr>
            <w:tcW w:w="851" w:type="pct"/>
          </w:tcPr>
          <w:p w:rsidR="003C464A" w:rsidRPr="00745FE3" w:rsidRDefault="003C464A" w:rsidP="006E6A1C">
            <w:pPr>
              <w:pStyle w:val="TableTextColumnHeading"/>
              <w:rPr>
                <w:b/>
              </w:rPr>
            </w:pPr>
            <w:r w:rsidRPr="00F429F1">
              <w:rPr>
                <w:b/>
              </w:rPr>
              <w:t>Name of initiative</w:t>
            </w:r>
          </w:p>
        </w:tc>
        <w:tc>
          <w:tcPr>
            <w:tcW w:w="580" w:type="pct"/>
          </w:tcPr>
          <w:p w:rsidR="003C464A" w:rsidRPr="00745FE3" w:rsidRDefault="003C464A" w:rsidP="006E6A1C">
            <w:pPr>
              <w:pStyle w:val="TableTextColumnHeading"/>
              <w:rPr>
                <w:b/>
              </w:rPr>
            </w:pPr>
            <w:r>
              <w:rPr>
                <w:b/>
              </w:rPr>
              <w:t>AidW</w:t>
            </w:r>
            <w:r w:rsidRPr="00F429F1">
              <w:rPr>
                <w:b/>
              </w:rPr>
              <w:t>orks number</w:t>
            </w:r>
          </w:p>
        </w:tc>
        <w:tc>
          <w:tcPr>
            <w:tcW w:w="774" w:type="pct"/>
          </w:tcPr>
          <w:p w:rsidR="003C464A" w:rsidRPr="00745FE3" w:rsidRDefault="003C464A" w:rsidP="006E6A1C">
            <w:pPr>
              <w:pStyle w:val="TableTextColumnHeading"/>
              <w:rPr>
                <w:b/>
              </w:rPr>
            </w:pPr>
            <w:r w:rsidRPr="00F429F1">
              <w:rPr>
                <w:b/>
              </w:rPr>
              <w:t>Name of evaluation</w:t>
            </w:r>
          </w:p>
        </w:tc>
        <w:tc>
          <w:tcPr>
            <w:tcW w:w="735" w:type="pct"/>
          </w:tcPr>
          <w:p w:rsidR="003C464A" w:rsidRPr="00745FE3" w:rsidRDefault="003C464A" w:rsidP="006E6A1C">
            <w:pPr>
              <w:pStyle w:val="TableTextColumnHeading"/>
              <w:rPr>
                <w:b/>
              </w:rPr>
            </w:pPr>
            <w:r w:rsidRPr="00071B95">
              <w:rPr>
                <w:b/>
              </w:rPr>
              <w:t xml:space="preserve">Date </w:t>
            </w:r>
            <w:r>
              <w:rPr>
                <w:b/>
              </w:rPr>
              <w:t>finalised</w:t>
            </w:r>
          </w:p>
        </w:tc>
        <w:tc>
          <w:tcPr>
            <w:tcW w:w="728" w:type="pct"/>
          </w:tcPr>
          <w:p w:rsidR="003C464A" w:rsidRPr="00745FE3" w:rsidRDefault="003C464A" w:rsidP="006E6A1C">
            <w:pPr>
              <w:pStyle w:val="TableTextColumnHeading"/>
              <w:rPr>
                <w:b/>
              </w:rPr>
            </w:pPr>
            <w:r w:rsidRPr="00F429F1">
              <w:rPr>
                <w:b/>
              </w:rPr>
              <w:t>Date Eval</w:t>
            </w:r>
            <w:r>
              <w:rPr>
                <w:b/>
              </w:rPr>
              <w:t>uation report uploaded into AidW</w:t>
            </w:r>
            <w:r w:rsidRPr="00F429F1">
              <w:rPr>
                <w:b/>
              </w:rPr>
              <w:t>orks</w:t>
            </w:r>
          </w:p>
        </w:tc>
        <w:tc>
          <w:tcPr>
            <w:tcW w:w="674" w:type="pct"/>
          </w:tcPr>
          <w:p w:rsidR="003C464A" w:rsidRPr="00745FE3" w:rsidRDefault="003C464A" w:rsidP="006E6A1C">
            <w:pPr>
              <w:pStyle w:val="TableTextColumnHeading"/>
              <w:rPr>
                <w:b/>
              </w:rPr>
            </w:pPr>
            <w:r w:rsidRPr="00F429F1">
              <w:rPr>
                <w:b/>
              </w:rPr>
              <w:t>Date manage</w:t>
            </w:r>
            <w:r>
              <w:rPr>
                <w:b/>
              </w:rPr>
              <w:t>ment response uploaded into AidW</w:t>
            </w:r>
            <w:r w:rsidRPr="00F429F1">
              <w:rPr>
                <w:b/>
              </w:rPr>
              <w:t>orks</w:t>
            </w:r>
          </w:p>
        </w:tc>
        <w:tc>
          <w:tcPr>
            <w:tcW w:w="578" w:type="pct"/>
          </w:tcPr>
          <w:p w:rsidR="003C464A" w:rsidRPr="00745FE3" w:rsidRDefault="003C464A" w:rsidP="006E6A1C">
            <w:pPr>
              <w:pStyle w:val="TableTextColumnHeading"/>
              <w:rPr>
                <w:b/>
              </w:rPr>
            </w:pPr>
            <w:r w:rsidRPr="00F429F1">
              <w:rPr>
                <w:b/>
              </w:rPr>
              <w:t>Published on website</w:t>
            </w:r>
          </w:p>
        </w:tc>
      </w:tr>
      <w:tr w:rsidR="003C464A" w:rsidRPr="00DE622C" w:rsidTr="006E6A1C">
        <w:trPr>
          <w:cnfStyle w:val="100000000000" w:firstRow="1" w:lastRow="0" w:firstColumn="0" w:lastColumn="0" w:oddVBand="0" w:evenVBand="0" w:oddHBand="0" w:evenHBand="0" w:firstRowFirstColumn="0" w:firstRowLastColumn="0" w:lastRowFirstColumn="0" w:lastRowLastColumn="0"/>
        </w:trPr>
        <w:tc>
          <w:tcPr>
            <w:tcW w:w="851" w:type="pct"/>
          </w:tcPr>
          <w:p w:rsidR="003C464A" w:rsidRPr="00DE622C" w:rsidRDefault="003C464A" w:rsidP="006E6A1C">
            <w:pPr>
              <w:pStyle w:val="TableTextEntries"/>
              <w:rPr>
                <w:b w:val="0"/>
              </w:rPr>
            </w:pPr>
            <w:r w:rsidRPr="00DE622C">
              <w:rPr>
                <w:b w:val="0"/>
              </w:rPr>
              <w:t>Law and Justice Support Sector</w:t>
            </w:r>
          </w:p>
          <w:p w:rsidR="003C464A" w:rsidRPr="00DE622C" w:rsidRDefault="003C464A" w:rsidP="006E6A1C">
            <w:pPr>
              <w:pStyle w:val="TableTextEntries"/>
              <w:rPr>
                <w:b w:val="0"/>
              </w:rPr>
            </w:pPr>
          </w:p>
        </w:tc>
        <w:tc>
          <w:tcPr>
            <w:tcW w:w="580" w:type="pct"/>
          </w:tcPr>
          <w:p w:rsidR="003C464A" w:rsidRPr="00DE622C" w:rsidRDefault="003C464A" w:rsidP="006E6A1C">
            <w:pPr>
              <w:pStyle w:val="TableTextEntries"/>
              <w:rPr>
                <w:b w:val="0"/>
              </w:rPr>
            </w:pPr>
            <w:r w:rsidRPr="00DE622C">
              <w:rPr>
                <w:b w:val="0"/>
              </w:rPr>
              <w:t>INK523</w:t>
            </w:r>
          </w:p>
        </w:tc>
        <w:tc>
          <w:tcPr>
            <w:tcW w:w="774" w:type="pct"/>
          </w:tcPr>
          <w:p w:rsidR="003C464A" w:rsidRPr="00DE622C" w:rsidRDefault="003C464A" w:rsidP="006E6A1C">
            <w:pPr>
              <w:pStyle w:val="TableTextEntries"/>
              <w:rPr>
                <w:b w:val="0"/>
              </w:rPr>
            </w:pPr>
            <w:r w:rsidRPr="00DE622C">
              <w:rPr>
                <w:b w:val="0"/>
              </w:rPr>
              <w:t>The Impact of Police Posts on Crime and</w:t>
            </w:r>
            <w:r w:rsidR="00A169DA">
              <w:rPr>
                <w:b w:val="0"/>
              </w:rPr>
              <w:t xml:space="preserve"> </w:t>
            </w:r>
            <w:r w:rsidRPr="00DE622C">
              <w:rPr>
                <w:b w:val="0"/>
              </w:rPr>
              <w:t>Safety in Cambodian Communes:</w:t>
            </w:r>
          </w:p>
          <w:p w:rsidR="003C464A" w:rsidRPr="00DE622C" w:rsidRDefault="003C464A" w:rsidP="006E6A1C">
            <w:pPr>
              <w:pStyle w:val="TableTextEntries"/>
              <w:rPr>
                <w:b w:val="0"/>
              </w:rPr>
            </w:pPr>
            <w:r w:rsidRPr="00DE622C">
              <w:rPr>
                <w:b w:val="0"/>
              </w:rPr>
              <w:t>An assessment of commune police post</w:t>
            </w:r>
          </w:p>
          <w:p w:rsidR="003C464A" w:rsidRPr="00DE622C" w:rsidRDefault="003C464A" w:rsidP="006E6A1C">
            <w:pPr>
              <w:pStyle w:val="TableTextEntries"/>
              <w:rPr>
                <w:b w:val="0"/>
              </w:rPr>
            </w:pPr>
            <w:r w:rsidRPr="00DE622C">
              <w:rPr>
                <w:b w:val="0"/>
              </w:rPr>
              <w:t>construction 2011-2013</w:t>
            </w:r>
          </w:p>
        </w:tc>
        <w:tc>
          <w:tcPr>
            <w:tcW w:w="735" w:type="pct"/>
          </w:tcPr>
          <w:p w:rsidR="003C464A" w:rsidRDefault="003C464A" w:rsidP="006E6A1C">
            <w:pPr>
              <w:pStyle w:val="TableTextEntries"/>
              <w:rPr>
                <w:b w:val="0"/>
              </w:rPr>
            </w:pPr>
            <w:r w:rsidRPr="00DE622C">
              <w:rPr>
                <w:b w:val="0"/>
              </w:rPr>
              <w:t>20 May 2014</w:t>
            </w:r>
          </w:p>
          <w:p w:rsidR="00A169DA" w:rsidRDefault="00A169DA" w:rsidP="006E6A1C">
            <w:pPr>
              <w:pStyle w:val="TableTextEntries"/>
              <w:rPr>
                <w:b w:val="0"/>
              </w:rPr>
            </w:pPr>
          </w:p>
          <w:p w:rsidR="00A169DA" w:rsidRDefault="00A169DA" w:rsidP="006E6A1C">
            <w:pPr>
              <w:pStyle w:val="TableTextEntries"/>
              <w:rPr>
                <w:b w:val="0"/>
              </w:rPr>
            </w:pPr>
          </w:p>
          <w:p w:rsidR="00A169DA" w:rsidRPr="00DE622C" w:rsidRDefault="00A169DA" w:rsidP="006E6A1C">
            <w:pPr>
              <w:pStyle w:val="TableTextEntries"/>
              <w:rPr>
                <w:b w:val="0"/>
              </w:rPr>
            </w:pPr>
          </w:p>
        </w:tc>
        <w:tc>
          <w:tcPr>
            <w:tcW w:w="728" w:type="pct"/>
          </w:tcPr>
          <w:p w:rsidR="003C464A" w:rsidRPr="00DE622C" w:rsidRDefault="003C464A" w:rsidP="006E6A1C">
            <w:pPr>
              <w:pStyle w:val="TableTextEntries"/>
              <w:rPr>
                <w:b w:val="0"/>
              </w:rPr>
            </w:pPr>
            <w:r w:rsidRPr="00DE622C">
              <w:rPr>
                <w:b w:val="0"/>
              </w:rPr>
              <w:t>22 May 2014</w:t>
            </w:r>
          </w:p>
        </w:tc>
        <w:tc>
          <w:tcPr>
            <w:tcW w:w="674" w:type="pct"/>
          </w:tcPr>
          <w:p w:rsidR="003C464A" w:rsidRPr="00DE622C" w:rsidRDefault="003C464A" w:rsidP="006E6A1C">
            <w:pPr>
              <w:pStyle w:val="TableTextEntries"/>
              <w:rPr>
                <w:b w:val="0"/>
              </w:rPr>
            </w:pPr>
            <w:r w:rsidRPr="00DE622C">
              <w:rPr>
                <w:b w:val="0"/>
              </w:rPr>
              <w:t>N/A</w:t>
            </w:r>
          </w:p>
        </w:tc>
        <w:tc>
          <w:tcPr>
            <w:tcW w:w="578" w:type="pct"/>
          </w:tcPr>
          <w:p w:rsidR="003C464A" w:rsidRPr="00DC4E89" w:rsidRDefault="00A169DA" w:rsidP="007F0087">
            <w:pPr>
              <w:pStyle w:val="TableTextEntries"/>
              <w:rPr>
                <w:b w:val="0"/>
              </w:rPr>
            </w:pPr>
            <w:r w:rsidRPr="00490EFB">
              <w:rPr>
                <w:b w:val="0"/>
              </w:rPr>
              <w:t>N</w:t>
            </w:r>
            <w:r w:rsidR="003C464A" w:rsidRPr="00490EFB">
              <w:rPr>
                <w:b w:val="0"/>
              </w:rPr>
              <w:t>o</w:t>
            </w:r>
            <w:r w:rsidRPr="00490EFB">
              <w:rPr>
                <w:b w:val="0"/>
              </w:rPr>
              <w:t xml:space="preserve">. An internal management document that is being used to assist in planning. </w:t>
            </w:r>
          </w:p>
        </w:tc>
      </w:tr>
      <w:tr w:rsidR="003C464A" w:rsidRPr="00DE622C" w:rsidTr="006E6A1C">
        <w:trPr>
          <w:cnfStyle w:val="100000000000" w:firstRow="1" w:lastRow="0" w:firstColumn="0" w:lastColumn="0" w:oddVBand="0" w:evenVBand="0" w:oddHBand="0" w:evenHBand="0" w:firstRowFirstColumn="0" w:firstRowLastColumn="0" w:lastRowFirstColumn="0" w:lastRowLastColumn="0"/>
        </w:trPr>
        <w:tc>
          <w:tcPr>
            <w:tcW w:w="851" w:type="pct"/>
          </w:tcPr>
          <w:p w:rsidR="003C464A" w:rsidRPr="00DE622C" w:rsidRDefault="003C464A" w:rsidP="006E6A1C">
            <w:pPr>
              <w:pStyle w:val="TableTextEntries"/>
              <w:rPr>
                <w:b w:val="0"/>
              </w:rPr>
            </w:pPr>
            <w:r w:rsidRPr="00DE622C">
              <w:rPr>
                <w:b w:val="0"/>
              </w:rPr>
              <w:t>Law and Justice Support Sector</w:t>
            </w:r>
          </w:p>
        </w:tc>
        <w:tc>
          <w:tcPr>
            <w:tcW w:w="580" w:type="pct"/>
          </w:tcPr>
          <w:p w:rsidR="003C464A" w:rsidRPr="00DE622C" w:rsidRDefault="003C464A" w:rsidP="006E6A1C">
            <w:pPr>
              <w:pStyle w:val="TableTextEntries"/>
              <w:rPr>
                <w:b w:val="0"/>
              </w:rPr>
            </w:pPr>
            <w:r w:rsidRPr="00DE622C">
              <w:rPr>
                <w:b w:val="0"/>
              </w:rPr>
              <w:t>INK523</w:t>
            </w:r>
          </w:p>
        </w:tc>
        <w:tc>
          <w:tcPr>
            <w:tcW w:w="774" w:type="pct"/>
          </w:tcPr>
          <w:p w:rsidR="003C464A" w:rsidRPr="00DE622C" w:rsidRDefault="003C464A" w:rsidP="006E6A1C">
            <w:pPr>
              <w:pStyle w:val="TableTextEntries"/>
              <w:rPr>
                <w:b w:val="0"/>
              </w:rPr>
            </w:pPr>
            <w:r w:rsidRPr="00DE622C">
              <w:rPr>
                <w:b w:val="0"/>
              </w:rPr>
              <w:t>Crime Prevention and Community Safety Project Results Survey</w:t>
            </w:r>
          </w:p>
        </w:tc>
        <w:tc>
          <w:tcPr>
            <w:tcW w:w="735" w:type="pct"/>
          </w:tcPr>
          <w:p w:rsidR="003C464A" w:rsidRPr="00DE622C" w:rsidRDefault="003C464A" w:rsidP="006E6A1C">
            <w:pPr>
              <w:pStyle w:val="TableTextEntries"/>
              <w:rPr>
                <w:b w:val="0"/>
              </w:rPr>
            </w:pPr>
            <w:r w:rsidRPr="00DE622C">
              <w:rPr>
                <w:b w:val="0"/>
              </w:rPr>
              <w:t>20 May 2014</w:t>
            </w:r>
          </w:p>
        </w:tc>
        <w:tc>
          <w:tcPr>
            <w:tcW w:w="728" w:type="pct"/>
          </w:tcPr>
          <w:p w:rsidR="003C464A" w:rsidRPr="00DE622C" w:rsidRDefault="003C464A" w:rsidP="006E6A1C">
            <w:pPr>
              <w:pStyle w:val="TableTextEntries"/>
              <w:rPr>
                <w:b w:val="0"/>
              </w:rPr>
            </w:pPr>
            <w:r w:rsidRPr="00DE622C">
              <w:rPr>
                <w:b w:val="0"/>
              </w:rPr>
              <w:t>22 May 2014</w:t>
            </w:r>
          </w:p>
        </w:tc>
        <w:tc>
          <w:tcPr>
            <w:tcW w:w="674" w:type="pct"/>
          </w:tcPr>
          <w:p w:rsidR="003C464A" w:rsidRPr="00DE622C" w:rsidRDefault="003C464A" w:rsidP="006E6A1C">
            <w:pPr>
              <w:pStyle w:val="TableTextEntries"/>
              <w:rPr>
                <w:b w:val="0"/>
              </w:rPr>
            </w:pPr>
            <w:r w:rsidRPr="00DE622C">
              <w:rPr>
                <w:b w:val="0"/>
              </w:rPr>
              <w:t>N/A</w:t>
            </w:r>
          </w:p>
        </w:tc>
        <w:tc>
          <w:tcPr>
            <w:tcW w:w="578" w:type="pct"/>
          </w:tcPr>
          <w:p w:rsidR="003C464A" w:rsidRPr="00DC4E89" w:rsidRDefault="00A169DA" w:rsidP="00FF54BA">
            <w:pPr>
              <w:pStyle w:val="TableTextEntries"/>
              <w:rPr>
                <w:b w:val="0"/>
              </w:rPr>
            </w:pPr>
            <w:r w:rsidRPr="00490EFB">
              <w:rPr>
                <w:b w:val="0"/>
              </w:rPr>
              <w:t>N</w:t>
            </w:r>
            <w:r w:rsidR="003C464A" w:rsidRPr="00490EFB">
              <w:rPr>
                <w:b w:val="0"/>
              </w:rPr>
              <w:t>o</w:t>
            </w:r>
            <w:r w:rsidRPr="00490EFB">
              <w:rPr>
                <w:b w:val="0"/>
              </w:rPr>
              <w:t xml:space="preserve">t yet. </w:t>
            </w:r>
            <w:r w:rsidR="00FF54BA" w:rsidRPr="00490EFB">
              <w:rPr>
                <w:b w:val="0"/>
              </w:rPr>
              <w:t xml:space="preserve">Permission will be sought from </w:t>
            </w:r>
            <w:r w:rsidRPr="00490EFB">
              <w:rPr>
                <w:b w:val="0"/>
              </w:rPr>
              <w:t>National Management Board of CCJAP</w:t>
            </w:r>
            <w:r w:rsidRPr="00DC4E89">
              <w:rPr>
                <w:b w:val="0"/>
              </w:rPr>
              <w:t>.</w:t>
            </w:r>
          </w:p>
        </w:tc>
      </w:tr>
      <w:tr w:rsidR="003C464A" w:rsidRPr="00DE622C" w:rsidTr="006E6A1C">
        <w:trPr>
          <w:cnfStyle w:val="100000000000" w:firstRow="1" w:lastRow="0" w:firstColumn="0" w:lastColumn="0" w:oddVBand="0" w:evenVBand="0" w:oddHBand="0" w:evenHBand="0" w:firstRowFirstColumn="0" w:firstRowLastColumn="0" w:lastRowFirstColumn="0" w:lastRowLastColumn="0"/>
        </w:trPr>
        <w:tc>
          <w:tcPr>
            <w:tcW w:w="851" w:type="pct"/>
          </w:tcPr>
          <w:p w:rsidR="003C464A" w:rsidRPr="00DE622C" w:rsidRDefault="003C464A" w:rsidP="006E6A1C">
            <w:pPr>
              <w:pStyle w:val="TableTextEntries"/>
              <w:rPr>
                <w:b w:val="0"/>
              </w:rPr>
            </w:pPr>
          </w:p>
        </w:tc>
        <w:tc>
          <w:tcPr>
            <w:tcW w:w="580" w:type="pct"/>
          </w:tcPr>
          <w:p w:rsidR="003C464A" w:rsidRPr="00DE622C" w:rsidRDefault="003C464A" w:rsidP="006E6A1C">
            <w:pPr>
              <w:pStyle w:val="TableTextEntries"/>
              <w:rPr>
                <w:b w:val="0"/>
              </w:rPr>
            </w:pPr>
          </w:p>
        </w:tc>
        <w:tc>
          <w:tcPr>
            <w:tcW w:w="774" w:type="pct"/>
          </w:tcPr>
          <w:p w:rsidR="003C464A" w:rsidRPr="00DE622C" w:rsidRDefault="003C464A" w:rsidP="006E6A1C">
            <w:pPr>
              <w:pStyle w:val="TableTextEntries"/>
              <w:rPr>
                <w:b w:val="0"/>
              </w:rPr>
            </w:pPr>
          </w:p>
        </w:tc>
        <w:tc>
          <w:tcPr>
            <w:tcW w:w="735" w:type="pct"/>
          </w:tcPr>
          <w:p w:rsidR="003C464A" w:rsidRPr="00DE622C" w:rsidRDefault="003C464A" w:rsidP="006E6A1C">
            <w:pPr>
              <w:pStyle w:val="TableTextEntries"/>
              <w:rPr>
                <w:b w:val="0"/>
              </w:rPr>
            </w:pPr>
          </w:p>
        </w:tc>
        <w:tc>
          <w:tcPr>
            <w:tcW w:w="728" w:type="pct"/>
          </w:tcPr>
          <w:p w:rsidR="003C464A" w:rsidRPr="00DE622C" w:rsidRDefault="003C464A" w:rsidP="006E6A1C">
            <w:pPr>
              <w:pStyle w:val="TableTextEntries"/>
              <w:rPr>
                <w:b w:val="0"/>
              </w:rPr>
            </w:pPr>
          </w:p>
        </w:tc>
        <w:tc>
          <w:tcPr>
            <w:tcW w:w="674" w:type="pct"/>
          </w:tcPr>
          <w:p w:rsidR="003C464A" w:rsidRPr="00DE622C" w:rsidRDefault="003C464A" w:rsidP="006E6A1C">
            <w:pPr>
              <w:pStyle w:val="TableTextEntries"/>
              <w:rPr>
                <w:b w:val="0"/>
              </w:rPr>
            </w:pPr>
          </w:p>
        </w:tc>
        <w:tc>
          <w:tcPr>
            <w:tcW w:w="578" w:type="pct"/>
          </w:tcPr>
          <w:p w:rsidR="003C464A" w:rsidRPr="00DC4E89" w:rsidRDefault="003C464A" w:rsidP="00A169DA">
            <w:pPr>
              <w:pStyle w:val="TableTextEntries"/>
              <w:rPr>
                <w:b w:val="0"/>
              </w:rPr>
            </w:pPr>
          </w:p>
        </w:tc>
      </w:tr>
      <w:tr w:rsidR="003C464A" w:rsidRPr="00A169DA" w:rsidTr="006E6A1C">
        <w:trPr>
          <w:cnfStyle w:val="100000000000" w:firstRow="1" w:lastRow="0" w:firstColumn="0" w:lastColumn="0" w:oddVBand="0" w:evenVBand="0" w:oddHBand="0" w:evenHBand="0" w:firstRowFirstColumn="0" w:firstRowLastColumn="0" w:lastRowFirstColumn="0" w:lastRowLastColumn="0"/>
        </w:trPr>
        <w:tc>
          <w:tcPr>
            <w:tcW w:w="851" w:type="pct"/>
          </w:tcPr>
          <w:p w:rsidR="003C464A" w:rsidRPr="00A169DA" w:rsidRDefault="003C464A" w:rsidP="006E6A1C">
            <w:pPr>
              <w:pStyle w:val="TableTextEntries"/>
              <w:rPr>
                <w:b w:val="0"/>
              </w:rPr>
            </w:pPr>
            <w:r w:rsidRPr="00A169DA">
              <w:rPr>
                <w:b w:val="0"/>
              </w:rPr>
              <w:t>Assessment of National (PFM) Systems</w:t>
            </w:r>
          </w:p>
        </w:tc>
        <w:tc>
          <w:tcPr>
            <w:tcW w:w="580" w:type="pct"/>
          </w:tcPr>
          <w:p w:rsidR="003C464A" w:rsidRPr="00A169DA" w:rsidRDefault="003C464A" w:rsidP="006E6A1C">
            <w:pPr>
              <w:pStyle w:val="TableTextEntries"/>
              <w:rPr>
                <w:b w:val="0"/>
              </w:rPr>
            </w:pPr>
            <w:r w:rsidRPr="00A169DA">
              <w:rPr>
                <w:b w:val="0"/>
              </w:rPr>
              <w:t>N/A</w:t>
            </w:r>
          </w:p>
        </w:tc>
        <w:tc>
          <w:tcPr>
            <w:tcW w:w="774" w:type="pct"/>
          </w:tcPr>
          <w:p w:rsidR="003C464A" w:rsidRPr="00A169DA" w:rsidRDefault="003C464A" w:rsidP="006E6A1C">
            <w:pPr>
              <w:pStyle w:val="TableTextEntries"/>
              <w:rPr>
                <w:b w:val="0"/>
              </w:rPr>
            </w:pPr>
            <w:r w:rsidRPr="00A169DA">
              <w:rPr>
                <w:b w:val="0"/>
              </w:rPr>
              <w:t xml:space="preserve"> Assessment of National Systems Cambodia</w:t>
            </w:r>
          </w:p>
        </w:tc>
        <w:tc>
          <w:tcPr>
            <w:tcW w:w="735" w:type="pct"/>
          </w:tcPr>
          <w:p w:rsidR="003C464A" w:rsidRPr="00A169DA" w:rsidRDefault="003C464A" w:rsidP="00A169DA">
            <w:pPr>
              <w:pStyle w:val="TableTextEntries"/>
              <w:rPr>
                <w:b w:val="0"/>
              </w:rPr>
            </w:pPr>
            <w:r w:rsidRPr="00A169DA">
              <w:rPr>
                <w:b w:val="0"/>
              </w:rPr>
              <w:t xml:space="preserve"> </w:t>
            </w:r>
            <w:r w:rsidR="00A169DA" w:rsidRPr="00A169DA">
              <w:rPr>
                <w:b w:val="0"/>
              </w:rPr>
              <w:t>Not yet finalised</w:t>
            </w:r>
          </w:p>
        </w:tc>
        <w:tc>
          <w:tcPr>
            <w:tcW w:w="728" w:type="pct"/>
          </w:tcPr>
          <w:p w:rsidR="003C464A" w:rsidRPr="00A169DA" w:rsidRDefault="003C464A" w:rsidP="006E6A1C">
            <w:pPr>
              <w:pStyle w:val="TableTextEntries"/>
              <w:rPr>
                <w:b w:val="0"/>
              </w:rPr>
            </w:pPr>
            <w:r w:rsidRPr="00A169DA">
              <w:rPr>
                <w:b w:val="0"/>
              </w:rPr>
              <w:t>N/A</w:t>
            </w:r>
          </w:p>
        </w:tc>
        <w:tc>
          <w:tcPr>
            <w:tcW w:w="674" w:type="pct"/>
          </w:tcPr>
          <w:p w:rsidR="003C464A" w:rsidRPr="00A169DA" w:rsidRDefault="003C464A" w:rsidP="006E6A1C">
            <w:pPr>
              <w:pStyle w:val="TableTextEntries"/>
              <w:rPr>
                <w:b w:val="0"/>
              </w:rPr>
            </w:pPr>
            <w:r w:rsidRPr="00A169DA">
              <w:rPr>
                <w:b w:val="0"/>
              </w:rPr>
              <w:t>N/A</w:t>
            </w:r>
          </w:p>
        </w:tc>
        <w:tc>
          <w:tcPr>
            <w:tcW w:w="578" w:type="pct"/>
          </w:tcPr>
          <w:p w:rsidR="003C464A" w:rsidRPr="00DC4E89" w:rsidRDefault="00A169DA" w:rsidP="006E6A1C">
            <w:pPr>
              <w:pStyle w:val="TableTextEntries"/>
              <w:rPr>
                <w:b w:val="0"/>
              </w:rPr>
            </w:pPr>
            <w:r w:rsidRPr="00490EFB">
              <w:rPr>
                <w:b w:val="0"/>
              </w:rPr>
              <w:t>Yet to be approved</w:t>
            </w:r>
            <w:r w:rsidRPr="00DC4E89">
              <w:rPr>
                <w:b w:val="0"/>
              </w:rPr>
              <w:t>.</w:t>
            </w:r>
            <w:r w:rsidR="003C464A" w:rsidRPr="00DC4E89">
              <w:rPr>
                <w:b w:val="0"/>
              </w:rPr>
              <w:t xml:space="preserve"> </w:t>
            </w:r>
          </w:p>
        </w:tc>
      </w:tr>
    </w:tbl>
    <w:p w:rsidR="003C464A" w:rsidRPr="00071B95" w:rsidRDefault="003C464A" w:rsidP="003C464A">
      <w:pPr>
        <w:rPr>
          <w:b/>
        </w:rPr>
      </w:pPr>
    </w:p>
    <w:p w:rsidR="003C464A" w:rsidRPr="00071B95" w:rsidRDefault="003C464A" w:rsidP="003C464A">
      <w:pPr>
        <w:pStyle w:val="Caption"/>
      </w:pPr>
      <w:r w:rsidRPr="00071B95">
        <w:t xml:space="preserve">List of evaluations planned in the next 12 months </w:t>
      </w:r>
    </w:p>
    <w:p w:rsidR="003C464A" w:rsidRDefault="003C464A" w:rsidP="003C464A">
      <w:pPr>
        <w:pStyle w:val="Caption"/>
        <w:sectPr w:rsidR="003C464A" w:rsidSect="006F5125">
          <w:headerReference w:type="even" r:id="rId18"/>
          <w:footerReference w:type="first" r:id="rId19"/>
          <w:pgSz w:w="16838" w:h="11906" w:orient="landscape" w:code="9"/>
          <w:pgMar w:top="1814" w:right="1814" w:bottom="851" w:left="1276" w:header="709" w:footer="425" w:gutter="0"/>
          <w:cols w:space="708"/>
          <w:docGrid w:linePitch="360"/>
        </w:sectPr>
      </w:pPr>
    </w:p>
    <w:tbl>
      <w:tblPr>
        <w:tblStyle w:val="APPR"/>
        <w:tblW w:w="0" w:type="auto"/>
        <w:tblInd w:w="420" w:type="dxa"/>
        <w:tblLook w:val="0600" w:firstRow="0" w:lastRow="0" w:firstColumn="0" w:lastColumn="0" w:noHBand="1" w:noVBand="1"/>
      </w:tblPr>
      <w:tblGrid>
        <w:gridCol w:w="2643"/>
        <w:gridCol w:w="2558"/>
        <w:gridCol w:w="2640"/>
        <w:gridCol w:w="2640"/>
        <w:gridCol w:w="2659"/>
      </w:tblGrid>
      <w:tr w:rsidR="003C464A" w:rsidRPr="00071B95" w:rsidTr="006E6A1C">
        <w:tc>
          <w:tcPr>
            <w:tcW w:w="2601" w:type="dxa"/>
          </w:tcPr>
          <w:p w:rsidR="003C464A" w:rsidRPr="00071B95" w:rsidRDefault="003C464A" w:rsidP="006E6A1C">
            <w:pPr>
              <w:pStyle w:val="TableTextColumnHeading"/>
            </w:pPr>
            <w:r w:rsidRPr="00071B95">
              <w:lastRenderedPageBreak/>
              <w:t xml:space="preserve">Name of </w:t>
            </w:r>
            <w:r>
              <w:t>Investment</w:t>
            </w:r>
          </w:p>
        </w:tc>
        <w:tc>
          <w:tcPr>
            <w:tcW w:w="2530" w:type="dxa"/>
          </w:tcPr>
          <w:p w:rsidR="003C464A" w:rsidRPr="00071B95" w:rsidRDefault="003C464A" w:rsidP="006E6A1C">
            <w:pPr>
              <w:pStyle w:val="TableTextColumnHeading"/>
            </w:pPr>
            <w:r>
              <w:t>AidW</w:t>
            </w:r>
            <w:r w:rsidRPr="00071B95">
              <w:t>orks number</w:t>
            </w:r>
          </w:p>
        </w:tc>
        <w:tc>
          <w:tcPr>
            <w:tcW w:w="2612" w:type="dxa"/>
          </w:tcPr>
          <w:p w:rsidR="003C464A" w:rsidRPr="00071B95" w:rsidRDefault="003C464A" w:rsidP="006E6A1C">
            <w:pPr>
              <w:pStyle w:val="TableTextColumnHeading"/>
            </w:pPr>
            <w:r w:rsidRPr="00071B95">
              <w:t>Type of evaluation</w:t>
            </w:r>
          </w:p>
        </w:tc>
        <w:tc>
          <w:tcPr>
            <w:tcW w:w="2612" w:type="dxa"/>
          </w:tcPr>
          <w:p w:rsidR="003C464A" w:rsidRDefault="003C464A" w:rsidP="006E6A1C">
            <w:pPr>
              <w:pStyle w:val="TableTextColumnHeading"/>
            </w:pPr>
            <w:r w:rsidRPr="00071B95">
              <w:t>Purpose of evaluation</w:t>
            </w:r>
          </w:p>
          <w:p w:rsidR="003C464A" w:rsidRPr="00071B95" w:rsidRDefault="003C464A" w:rsidP="006E6A1C">
            <w:pPr>
              <w:pStyle w:val="TableTextColumnHeading"/>
            </w:pPr>
          </w:p>
        </w:tc>
        <w:tc>
          <w:tcPr>
            <w:tcW w:w="2617" w:type="dxa"/>
          </w:tcPr>
          <w:p w:rsidR="003C464A" w:rsidRPr="00071B95" w:rsidRDefault="003C464A" w:rsidP="006E6A1C">
            <w:pPr>
              <w:pStyle w:val="TableTextColumnHeading"/>
            </w:pPr>
            <w:r w:rsidRPr="00071B95">
              <w:t>Expected completion date</w:t>
            </w:r>
          </w:p>
        </w:tc>
      </w:tr>
      <w:tr w:rsidR="003C464A" w:rsidRPr="00071B95" w:rsidTr="006E6A1C">
        <w:tc>
          <w:tcPr>
            <w:tcW w:w="2601" w:type="dxa"/>
          </w:tcPr>
          <w:p w:rsidR="003C464A" w:rsidRPr="003275D0" w:rsidRDefault="003C464A" w:rsidP="006E6A1C">
            <w:pPr>
              <w:pStyle w:val="TableTextEntries"/>
            </w:pPr>
            <w:r w:rsidRPr="00FF323D">
              <w:t>Rehabilitation of Railway in Cambodia Project</w:t>
            </w:r>
          </w:p>
        </w:tc>
        <w:tc>
          <w:tcPr>
            <w:tcW w:w="2530" w:type="dxa"/>
          </w:tcPr>
          <w:p w:rsidR="003C464A" w:rsidRPr="003275D0" w:rsidRDefault="003C464A" w:rsidP="006E6A1C">
            <w:pPr>
              <w:pStyle w:val="TableTextEntries"/>
            </w:pPr>
            <w:r w:rsidRPr="00FF323D">
              <w:t>INI552</w:t>
            </w:r>
          </w:p>
        </w:tc>
        <w:tc>
          <w:tcPr>
            <w:tcW w:w="2612" w:type="dxa"/>
          </w:tcPr>
          <w:p w:rsidR="003C464A" w:rsidRPr="003275D0" w:rsidRDefault="003C464A" w:rsidP="006E6A1C">
            <w:pPr>
              <w:pStyle w:val="TableTextEntries"/>
            </w:pPr>
            <w:r w:rsidRPr="00FF323D">
              <w:t>Independent Evaluation</w:t>
            </w:r>
          </w:p>
        </w:tc>
        <w:tc>
          <w:tcPr>
            <w:tcW w:w="2612" w:type="dxa"/>
          </w:tcPr>
          <w:p w:rsidR="003C464A" w:rsidRPr="00DE622C" w:rsidRDefault="003C464A" w:rsidP="006E6A1C">
            <w:pPr>
              <w:pStyle w:val="TableTextEntries"/>
            </w:pPr>
            <w:r w:rsidRPr="00FF323D">
              <w:t>to verify program outcomes</w:t>
            </w:r>
          </w:p>
        </w:tc>
        <w:tc>
          <w:tcPr>
            <w:tcW w:w="2617" w:type="dxa"/>
          </w:tcPr>
          <w:p w:rsidR="003C464A" w:rsidRPr="003275D0" w:rsidRDefault="003C464A" w:rsidP="006E6A1C">
            <w:pPr>
              <w:pStyle w:val="TableTextEntries"/>
            </w:pPr>
            <w:r>
              <w:t>December 2015</w:t>
            </w:r>
          </w:p>
        </w:tc>
      </w:tr>
      <w:tr w:rsidR="003C464A" w:rsidRPr="00071B95" w:rsidTr="006E6A1C">
        <w:tc>
          <w:tcPr>
            <w:tcW w:w="2601" w:type="dxa"/>
          </w:tcPr>
          <w:p w:rsidR="003C464A" w:rsidRPr="00FF323D" w:rsidRDefault="003C464A" w:rsidP="006E6A1C">
            <w:pPr>
              <w:pStyle w:val="TableTextEntries"/>
            </w:pPr>
            <w:r w:rsidRPr="00FF323D">
              <w:t>Cambodia Emergency Flood Rehabilitation Project</w:t>
            </w:r>
          </w:p>
        </w:tc>
        <w:tc>
          <w:tcPr>
            <w:tcW w:w="2530" w:type="dxa"/>
          </w:tcPr>
          <w:p w:rsidR="003C464A" w:rsidRPr="00FF323D" w:rsidRDefault="003C464A" w:rsidP="006E6A1C">
            <w:pPr>
              <w:pStyle w:val="TableTextEntries"/>
            </w:pPr>
            <w:r w:rsidRPr="00FF323D">
              <w:t>INK456</w:t>
            </w:r>
          </w:p>
        </w:tc>
        <w:tc>
          <w:tcPr>
            <w:tcW w:w="2612" w:type="dxa"/>
          </w:tcPr>
          <w:p w:rsidR="003C464A" w:rsidRPr="00FF323D" w:rsidRDefault="003C464A" w:rsidP="006E6A1C">
            <w:pPr>
              <w:pStyle w:val="TableTextEntries"/>
            </w:pPr>
            <w:r w:rsidRPr="00DE622C">
              <w:t>Independent Evaluation</w:t>
            </w:r>
          </w:p>
        </w:tc>
        <w:tc>
          <w:tcPr>
            <w:tcW w:w="2612" w:type="dxa"/>
          </w:tcPr>
          <w:p w:rsidR="003C464A" w:rsidRPr="00DE622C" w:rsidRDefault="003C464A" w:rsidP="006E6A1C">
            <w:pPr>
              <w:pStyle w:val="TableTextEntries"/>
            </w:pPr>
            <w:r w:rsidRPr="00FF323D">
              <w:t>to verify program outcomes</w:t>
            </w:r>
          </w:p>
        </w:tc>
        <w:tc>
          <w:tcPr>
            <w:tcW w:w="2617" w:type="dxa"/>
          </w:tcPr>
          <w:p w:rsidR="003C464A" w:rsidRDefault="003C464A" w:rsidP="006E6A1C">
            <w:pPr>
              <w:pStyle w:val="TableTextEntries"/>
            </w:pPr>
            <w:r>
              <w:t>December 2015</w:t>
            </w:r>
          </w:p>
        </w:tc>
      </w:tr>
      <w:tr w:rsidR="003C464A" w:rsidRPr="00071B95" w:rsidTr="006E6A1C">
        <w:tc>
          <w:tcPr>
            <w:tcW w:w="2601" w:type="dxa"/>
          </w:tcPr>
          <w:p w:rsidR="003C464A" w:rsidRPr="00FF323D" w:rsidRDefault="003C464A" w:rsidP="006E6A1C">
            <w:pPr>
              <w:pStyle w:val="TableTextEntries"/>
            </w:pPr>
            <w:r w:rsidRPr="00FF323D">
              <w:t>Southern Coastal Corridor Cambodia</w:t>
            </w:r>
          </w:p>
        </w:tc>
        <w:tc>
          <w:tcPr>
            <w:tcW w:w="2530" w:type="dxa"/>
          </w:tcPr>
          <w:p w:rsidR="003C464A" w:rsidRPr="00FF323D" w:rsidRDefault="003C464A" w:rsidP="006E6A1C">
            <w:pPr>
              <w:pStyle w:val="TableTextEntries"/>
            </w:pPr>
            <w:r w:rsidRPr="00FF323D">
              <w:t>INH666</w:t>
            </w:r>
          </w:p>
        </w:tc>
        <w:tc>
          <w:tcPr>
            <w:tcW w:w="2612" w:type="dxa"/>
          </w:tcPr>
          <w:p w:rsidR="003C464A" w:rsidRPr="00FF323D" w:rsidRDefault="003C464A" w:rsidP="006E6A1C">
            <w:pPr>
              <w:pStyle w:val="TableTextEntries"/>
            </w:pPr>
            <w:r w:rsidRPr="00DE622C">
              <w:t>Independent Evaluation</w:t>
            </w:r>
          </w:p>
        </w:tc>
        <w:tc>
          <w:tcPr>
            <w:tcW w:w="2612" w:type="dxa"/>
          </w:tcPr>
          <w:p w:rsidR="003C464A" w:rsidRPr="00DE622C" w:rsidRDefault="003C464A" w:rsidP="006E6A1C">
            <w:pPr>
              <w:pStyle w:val="TableTextEntries"/>
            </w:pPr>
            <w:r w:rsidRPr="00FF323D">
              <w:t>to verify program outcomes</w:t>
            </w:r>
          </w:p>
        </w:tc>
        <w:tc>
          <w:tcPr>
            <w:tcW w:w="2617" w:type="dxa"/>
          </w:tcPr>
          <w:p w:rsidR="003C464A" w:rsidRDefault="003C464A" w:rsidP="006E6A1C">
            <w:pPr>
              <w:pStyle w:val="TableTextEntries"/>
            </w:pPr>
            <w:r>
              <w:t>December 2015</w:t>
            </w:r>
          </w:p>
        </w:tc>
      </w:tr>
      <w:tr w:rsidR="003C464A" w:rsidRPr="00071B95" w:rsidTr="006E6A1C">
        <w:tc>
          <w:tcPr>
            <w:tcW w:w="2601" w:type="dxa"/>
          </w:tcPr>
          <w:p w:rsidR="003C464A" w:rsidRPr="00FF323D" w:rsidRDefault="003C464A" w:rsidP="006E6A1C">
            <w:pPr>
              <w:pStyle w:val="TableTextEntries"/>
            </w:pPr>
            <w:r w:rsidRPr="00FF323D">
              <w:lastRenderedPageBreak/>
              <w:t>Cambodia Law and Justice Sector Support</w:t>
            </w:r>
          </w:p>
        </w:tc>
        <w:tc>
          <w:tcPr>
            <w:tcW w:w="2530" w:type="dxa"/>
          </w:tcPr>
          <w:p w:rsidR="003C464A" w:rsidRPr="00FF323D" w:rsidRDefault="003C464A" w:rsidP="006E6A1C">
            <w:pPr>
              <w:pStyle w:val="TableTextEntries"/>
            </w:pPr>
            <w:r>
              <w:t>INK523</w:t>
            </w:r>
          </w:p>
        </w:tc>
        <w:tc>
          <w:tcPr>
            <w:tcW w:w="2612" w:type="dxa"/>
          </w:tcPr>
          <w:p w:rsidR="003C464A" w:rsidRPr="00FF323D" w:rsidRDefault="003C464A" w:rsidP="006E6A1C">
            <w:pPr>
              <w:pStyle w:val="TableTextEntries"/>
            </w:pPr>
            <w:r>
              <w:t>Progress review</w:t>
            </w:r>
          </w:p>
        </w:tc>
        <w:tc>
          <w:tcPr>
            <w:tcW w:w="2612" w:type="dxa"/>
          </w:tcPr>
          <w:p w:rsidR="003C464A" w:rsidRPr="00DE622C" w:rsidRDefault="003C464A" w:rsidP="006E6A1C">
            <w:pPr>
              <w:pStyle w:val="TableTextEntries"/>
            </w:pPr>
            <w:r w:rsidRPr="00FF323D">
              <w:t xml:space="preserve">to </w:t>
            </w:r>
            <w:r>
              <w:t xml:space="preserve">assess progress in cooperation with Cambodian National Police on addressing violence against women </w:t>
            </w:r>
          </w:p>
        </w:tc>
        <w:tc>
          <w:tcPr>
            <w:tcW w:w="2617" w:type="dxa"/>
          </w:tcPr>
          <w:p w:rsidR="003C464A" w:rsidRDefault="00A169DA" w:rsidP="006E6A1C">
            <w:pPr>
              <w:pStyle w:val="TableTextEntries"/>
            </w:pPr>
            <w:r>
              <w:t xml:space="preserve">December </w:t>
            </w:r>
            <w:r w:rsidR="003C464A">
              <w:t>2015</w:t>
            </w:r>
          </w:p>
        </w:tc>
      </w:tr>
      <w:tr w:rsidR="003C464A" w:rsidRPr="00071B95" w:rsidTr="006E6A1C">
        <w:tc>
          <w:tcPr>
            <w:tcW w:w="2601" w:type="dxa"/>
          </w:tcPr>
          <w:p w:rsidR="003C464A" w:rsidRPr="00FF323D" w:rsidRDefault="003C464A" w:rsidP="006E6A1C">
            <w:pPr>
              <w:pStyle w:val="TableTextEntries"/>
            </w:pPr>
            <w:r w:rsidRPr="00FF323D">
              <w:t>Australian Development Scholarships</w:t>
            </w:r>
          </w:p>
        </w:tc>
        <w:tc>
          <w:tcPr>
            <w:tcW w:w="2530" w:type="dxa"/>
          </w:tcPr>
          <w:p w:rsidR="003C464A" w:rsidRPr="00FF323D" w:rsidRDefault="003C464A" w:rsidP="006E6A1C">
            <w:pPr>
              <w:pStyle w:val="TableTextEntries"/>
            </w:pPr>
            <w:r w:rsidRPr="00FF323D">
              <w:t>INJ293, INJ676, INK662</w:t>
            </w:r>
          </w:p>
        </w:tc>
        <w:tc>
          <w:tcPr>
            <w:tcW w:w="2612" w:type="dxa"/>
          </w:tcPr>
          <w:p w:rsidR="003C464A" w:rsidRPr="00FF323D" w:rsidRDefault="003C464A" w:rsidP="006E6A1C">
            <w:pPr>
              <w:pStyle w:val="TableTextEntries"/>
            </w:pPr>
            <w:r w:rsidRPr="00DE622C">
              <w:t>Independent Evaluation</w:t>
            </w:r>
          </w:p>
        </w:tc>
        <w:tc>
          <w:tcPr>
            <w:tcW w:w="2612" w:type="dxa"/>
          </w:tcPr>
          <w:p w:rsidR="003C464A" w:rsidRPr="00DE622C" w:rsidRDefault="003C464A" w:rsidP="006E6A1C">
            <w:pPr>
              <w:pStyle w:val="TableTextEntries"/>
            </w:pPr>
            <w:r w:rsidRPr="00DE622C">
              <w:t>Verify program outcomes</w:t>
            </w:r>
          </w:p>
        </w:tc>
        <w:tc>
          <w:tcPr>
            <w:tcW w:w="2617" w:type="dxa"/>
          </w:tcPr>
          <w:p w:rsidR="003C464A" w:rsidRDefault="003C464A" w:rsidP="006E6A1C">
            <w:pPr>
              <w:pStyle w:val="TableTextEntries"/>
            </w:pPr>
            <w:r>
              <w:t>March 2015</w:t>
            </w:r>
          </w:p>
        </w:tc>
      </w:tr>
      <w:tr w:rsidR="003C464A" w:rsidRPr="00071B95" w:rsidTr="006E6A1C">
        <w:tc>
          <w:tcPr>
            <w:tcW w:w="2601" w:type="dxa"/>
          </w:tcPr>
          <w:p w:rsidR="003C464A" w:rsidRPr="00FF323D" w:rsidRDefault="003C464A" w:rsidP="006E6A1C">
            <w:pPr>
              <w:pStyle w:val="TableTextEntries"/>
            </w:pPr>
            <w:r w:rsidRPr="000203BD">
              <w:t>Cambodia: Delivering Better Health</w:t>
            </w:r>
          </w:p>
        </w:tc>
        <w:tc>
          <w:tcPr>
            <w:tcW w:w="2530" w:type="dxa"/>
          </w:tcPr>
          <w:p w:rsidR="003C464A" w:rsidRPr="00FF323D" w:rsidRDefault="003C464A" w:rsidP="006E6A1C">
            <w:pPr>
              <w:pStyle w:val="TableTextEntries"/>
            </w:pPr>
            <w:r w:rsidRPr="000203BD">
              <w:t>ING741</w:t>
            </w:r>
          </w:p>
        </w:tc>
        <w:tc>
          <w:tcPr>
            <w:tcW w:w="2612" w:type="dxa"/>
          </w:tcPr>
          <w:p w:rsidR="003C464A" w:rsidRPr="00FF323D" w:rsidRDefault="003C464A" w:rsidP="006E6A1C">
            <w:pPr>
              <w:pStyle w:val="TableTextEntries"/>
            </w:pPr>
            <w:r w:rsidRPr="00DE622C">
              <w:t>Independent Evaluation</w:t>
            </w:r>
          </w:p>
        </w:tc>
        <w:tc>
          <w:tcPr>
            <w:tcW w:w="2612" w:type="dxa"/>
          </w:tcPr>
          <w:p w:rsidR="003C464A" w:rsidRPr="00DE622C" w:rsidRDefault="003C464A" w:rsidP="006E6A1C">
            <w:pPr>
              <w:pStyle w:val="TableTextEntries"/>
            </w:pPr>
            <w:r w:rsidRPr="00DE622C">
              <w:t>Verify program outcomes</w:t>
            </w:r>
          </w:p>
        </w:tc>
        <w:tc>
          <w:tcPr>
            <w:tcW w:w="2617" w:type="dxa"/>
          </w:tcPr>
          <w:p w:rsidR="003C464A" w:rsidRDefault="003C464A" w:rsidP="006E6A1C">
            <w:pPr>
              <w:pStyle w:val="TableTextEntries"/>
            </w:pPr>
            <w:r>
              <w:t>December 2015</w:t>
            </w:r>
          </w:p>
        </w:tc>
      </w:tr>
      <w:tr w:rsidR="003C464A" w:rsidRPr="00071B95" w:rsidTr="006E6A1C">
        <w:tc>
          <w:tcPr>
            <w:tcW w:w="2601" w:type="dxa"/>
          </w:tcPr>
          <w:p w:rsidR="003C464A" w:rsidRPr="000203BD" w:rsidRDefault="003C464A" w:rsidP="006E6A1C">
            <w:pPr>
              <w:pStyle w:val="TableTextEntries"/>
            </w:pPr>
            <w:r>
              <w:t>Cambodia Communications Assistance Project</w:t>
            </w:r>
          </w:p>
        </w:tc>
        <w:tc>
          <w:tcPr>
            <w:tcW w:w="2530" w:type="dxa"/>
          </w:tcPr>
          <w:p w:rsidR="003C464A" w:rsidRPr="000203BD" w:rsidRDefault="003C464A" w:rsidP="006E6A1C">
            <w:pPr>
              <w:pStyle w:val="TableTextEntries"/>
            </w:pPr>
            <w:r>
              <w:t>INK481</w:t>
            </w:r>
          </w:p>
        </w:tc>
        <w:tc>
          <w:tcPr>
            <w:tcW w:w="2612" w:type="dxa"/>
          </w:tcPr>
          <w:p w:rsidR="003C464A" w:rsidRPr="00DE622C" w:rsidRDefault="003C464A" w:rsidP="006E6A1C">
            <w:pPr>
              <w:pStyle w:val="TableTextEntries"/>
            </w:pPr>
            <w:r>
              <w:t>Progress Review</w:t>
            </w:r>
          </w:p>
        </w:tc>
        <w:tc>
          <w:tcPr>
            <w:tcW w:w="2612" w:type="dxa"/>
          </w:tcPr>
          <w:p w:rsidR="003C464A" w:rsidRPr="00DE622C" w:rsidRDefault="003C464A" w:rsidP="006E6A1C">
            <w:pPr>
              <w:pStyle w:val="TableTextEntries"/>
            </w:pPr>
            <w:r>
              <w:t>To assess and verify program outcomes</w:t>
            </w:r>
          </w:p>
        </w:tc>
        <w:tc>
          <w:tcPr>
            <w:tcW w:w="2617" w:type="dxa"/>
          </w:tcPr>
          <w:p w:rsidR="003C464A" w:rsidRDefault="003C464A" w:rsidP="006E6A1C">
            <w:pPr>
              <w:pStyle w:val="TableTextEntries"/>
            </w:pPr>
            <w:r>
              <w:t>September 2014</w:t>
            </w:r>
          </w:p>
        </w:tc>
      </w:tr>
    </w:tbl>
    <w:p w:rsidR="003C464A" w:rsidRDefault="003C464A" w:rsidP="003C464A">
      <w:pPr>
        <w:rPr>
          <w:b/>
        </w:rPr>
        <w:sectPr w:rsidR="003C464A"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3C464A" w:rsidRPr="009E38C1" w:rsidRDefault="003C464A" w:rsidP="003C464A">
      <w:pPr>
        <w:pStyle w:val="Heading2"/>
        <w:rPr>
          <w:sz w:val="28"/>
        </w:rPr>
      </w:pPr>
      <w:r w:rsidRPr="009E38C1">
        <w:rPr>
          <w:sz w:val="28"/>
        </w:rPr>
        <w:lastRenderedPageBreak/>
        <w:t>Annex D</w:t>
      </w:r>
    </w:p>
    <w:p w:rsidR="003C464A" w:rsidRPr="009E38C1" w:rsidRDefault="003C464A" w:rsidP="003C464A">
      <w:pPr>
        <w:pStyle w:val="Heading2"/>
        <w:rPr>
          <w:sz w:val="28"/>
        </w:rPr>
      </w:pPr>
      <w:r w:rsidRPr="009E38C1">
        <w:rPr>
          <w:sz w:val="28"/>
        </w:rPr>
        <w:t>Performance Benchmarks 2014 -15</w:t>
      </w:r>
    </w:p>
    <w:p w:rsidR="003C464A" w:rsidRDefault="003C464A" w:rsidP="003C464A">
      <w:pPr>
        <w:pStyle w:val="BodyText"/>
      </w:pPr>
      <w:r w:rsidRPr="007C1EF5">
        <w:t>Identify a small set of performance benchmarks to be used to assess the performance of the country or regional program in 2014-15. Performance benchmarks can reflect intended results (e.g. 250 scholarships provided), milestones (e.g. construction started</w:t>
      </w:r>
      <w:r>
        <w:t>/completed</w:t>
      </w:r>
      <w:r w:rsidRPr="007C1EF5">
        <w:t xml:space="preserve"> on an infrastructure project) or measures of increased effectiveness and efficiency (e.g. better investment quality ratings). </w:t>
      </w:r>
    </w:p>
    <w:tbl>
      <w:tblPr>
        <w:tblStyle w:val="DFATTable"/>
        <w:tblW w:w="5000" w:type="pct"/>
        <w:tblInd w:w="108" w:type="dxa"/>
        <w:tblLook w:val="04A0" w:firstRow="1" w:lastRow="0" w:firstColumn="1" w:lastColumn="0" w:noHBand="0" w:noVBand="1"/>
      </w:tblPr>
      <w:tblGrid>
        <w:gridCol w:w="3301"/>
        <w:gridCol w:w="3301"/>
        <w:gridCol w:w="7279"/>
      </w:tblGrid>
      <w:tr w:rsidR="003C464A" w:rsidRPr="004F7D80" w:rsidTr="006E6A1C">
        <w:trPr>
          <w:tblHeader/>
        </w:trPr>
        <w:tc>
          <w:tcPr>
            <w:tcW w:w="1189" w:type="pct"/>
            <w:tcMar>
              <w:top w:w="57" w:type="dxa"/>
              <w:bottom w:w="57" w:type="dxa"/>
            </w:tcMar>
          </w:tcPr>
          <w:p w:rsidR="003C464A" w:rsidRPr="002749B6" w:rsidRDefault="003C464A" w:rsidP="006E6A1C">
            <w:pPr>
              <w:pStyle w:val="TableHeading1"/>
            </w:pPr>
            <w:r>
              <w:t>Aid</w:t>
            </w:r>
            <w:r w:rsidRPr="002749B6">
              <w:t xml:space="preserve"> objective</w:t>
            </w:r>
          </w:p>
        </w:tc>
        <w:tc>
          <w:tcPr>
            <w:tcW w:w="1189" w:type="pct"/>
          </w:tcPr>
          <w:p w:rsidR="003C464A" w:rsidRPr="002749B6" w:rsidRDefault="003C464A" w:rsidP="006E6A1C">
            <w:pPr>
              <w:pStyle w:val="TableHeading1"/>
            </w:pPr>
            <w:r w:rsidRPr="002749B6">
              <w:t xml:space="preserve">2014-15 benchmark </w:t>
            </w:r>
          </w:p>
        </w:tc>
        <w:tc>
          <w:tcPr>
            <w:tcW w:w="2622" w:type="pct"/>
          </w:tcPr>
          <w:p w:rsidR="003C464A" w:rsidRPr="002749B6" w:rsidRDefault="003C464A" w:rsidP="006E6A1C">
            <w:pPr>
              <w:pStyle w:val="TableHeading1"/>
            </w:pPr>
            <w:r w:rsidRPr="002749B6">
              <w:t>Rationale for selecting this performance benchmark</w:t>
            </w:r>
          </w:p>
        </w:tc>
      </w:tr>
      <w:tr w:rsidR="003C464A" w:rsidRPr="005E42BC" w:rsidTr="006E6A1C">
        <w:tc>
          <w:tcPr>
            <w:tcW w:w="1189" w:type="pct"/>
            <w:tcMar>
              <w:top w:w="57" w:type="dxa"/>
              <w:bottom w:w="57" w:type="dxa"/>
            </w:tcMar>
          </w:tcPr>
          <w:p w:rsidR="003C464A" w:rsidRPr="005E42BC" w:rsidRDefault="003C464A" w:rsidP="006E6A1C">
            <w:pPr>
              <w:pStyle w:val="TableTextEntries"/>
              <w:rPr>
                <w:i/>
                <w:iCs w:val="0"/>
                <w:color w:val="FF0000"/>
              </w:rPr>
            </w:pPr>
            <w:r w:rsidRPr="005E42BC">
              <w:rPr>
                <w:i/>
                <w:iCs w:val="0"/>
                <w:color w:val="FF0000"/>
              </w:rPr>
              <w:t>Describe the objective of the program that the performance benchmark will measure progress towards, as per the relevant Country Program Strategy or AIP.</w:t>
            </w:r>
          </w:p>
        </w:tc>
        <w:tc>
          <w:tcPr>
            <w:tcW w:w="1189" w:type="pct"/>
          </w:tcPr>
          <w:p w:rsidR="003C464A" w:rsidRPr="005E42BC" w:rsidRDefault="003C464A" w:rsidP="006E6A1C">
            <w:pPr>
              <w:pStyle w:val="TableTextEntries"/>
              <w:rPr>
                <w:i/>
                <w:iCs w:val="0"/>
                <w:color w:val="FF0000"/>
              </w:rPr>
            </w:pPr>
            <w:r w:rsidRPr="005E42BC">
              <w:rPr>
                <w:i/>
                <w:iCs w:val="0"/>
                <w:color w:val="FF0000"/>
              </w:rPr>
              <w:t xml:space="preserve">Describe the performance benchmark.  </w:t>
            </w:r>
          </w:p>
        </w:tc>
        <w:tc>
          <w:tcPr>
            <w:tcW w:w="2622" w:type="pct"/>
          </w:tcPr>
          <w:p w:rsidR="003C464A" w:rsidRPr="005E42BC" w:rsidRDefault="003C464A" w:rsidP="006E6A1C">
            <w:pPr>
              <w:pStyle w:val="TableTextEntries"/>
              <w:rPr>
                <w:i/>
                <w:iCs w:val="0"/>
                <w:color w:val="FF0000"/>
              </w:rPr>
            </w:pPr>
            <w:r w:rsidRPr="005E42BC">
              <w:rPr>
                <w:i/>
                <w:iCs w:val="0"/>
                <w:color w:val="FF0000"/>
              </w:rPr>
              <w:t>Provide a brief description of the reasons for selecting this performance benchmark with respect to the criteria outlined in the Good Practice Note (section 4, page 3).</w:t>
            </w:r>
          </w:p>
        </w:tc>
      </w:tr>
      <w:tr w:rsidR="003C464A" w:rsidRPr="004F7D80" w:rsidTr="006E6A1C">
        <w:tc>
          <w:tcPr>
            <w:tcW w:w="5000" w:type="pct"/>
            <w:gridSpan w:val="3"/>
            <w:tcMar>
              <w:top w:w="57" w:type="dxa"/>
              <w:bottom w:w="57" w:type="dxa"/>
            </w:tcMar>
          </w:tcPr>
          <w:p w:rsidR="003C464A" w:rsidRPr="002749B6" w:rsidRDefault="003C464A" w:rsidP="006E6A1C">
            <w:pPr>
              <w:pStyle w:val="TableHeading2"/>
            </w:pPr>
            <w:r>
              <w:t xml:space="preserve">Objective </w:t>
            </w:r>
            <w:r w:rsidRPr="002749B6">
              <w:t xml:space="preserve">1:  </w:t>
            </w:r>
            <w:r w:rsidRPr="00F96CB2">
              <w:t>Rural poverty reduction through agricultural development</w:t>
            </w:r>
          </w:p>
        </w:tc>
      </w:tr>
      <w:tr w:rsidR="003C464A" w:rsidRPr="004F7D80" w:rsidTr="006E6A1C">
        <w:tc>
          <w:tcPr>
            <w:tcW w:w="1189" w:type="pct"/>
            <w:tcMar>
              <w:top w:w="57" w:type="dxa"/>
              <w:bottom w:w="57" w:type="dxa"/>
            </w:tcMar>
          </w:tcPr>
          <w:p w:rsidR="003C464A" w:rsidRPr="002749B6" w:rsidRDefault="003C464A" w:rsidP="006E6A1C">
            <w:pPr>
              <w:pStyle w:val="TableListBullet"/>
              <w:numPr>
                <w:ilvl w:val="0"/>
                <w:numId w:val="0"/>
              </w:numPr>
            </w:pPr>
            <w:r w:rsidRPr="00745FE3">
              <w:t>Increased value of agricultural production and smallholder income in targeted provinces</w:t>
            </w:r>
          </w:p>
        </w:tc>
        <w:tc>
          <w:tcPr>
            <w:tcW w:w="1189" w:type="pct"/>
          </w:tcPr>
          <w:p w:rsidR="003C464A" w:rsidRPr="00E6161A" w:rsidRDefault="003C464A" w:rsidP="006E6A1C">
            <w:pPr>
              <w:pStyle w:val="TableListBullet"/>
              <w:numPr>
                <w:ilvl w:val="0"/>
                <w:numId w:val="0"/>
              </w:numPr>
            </w:pPr>
            <w:r w:rsidRPr="00E6161A">
              <w:t>Rehabilitation or construction of six irrigation infrastructure schemes, allowing irrigation for up to an additional 3,950 h</w:t>
            </w:r>
            <w:r w:rsidR="001472A4">
              <w:t>a</w:t>
            </w:r>
            <w:r w:rsidRPr="00E6161A">
              <w:t xml:space="preserve"> of land , allowing 3,950 farmer households to plant additional crops each year</w:t>
            </w:r>
          </w:p>
          <w:p w:rsidR="003C464A" w:rsidRPr="002749B6" w:rsidRDefault="003C464A" w:rsidP="006E6A1C">
            <w:pPr>
              <w:pStyle w:val="TableListBullet"/>
              <w:numPr>
                <w:ilvl w:val="0"/>
                <w:numId w:val="0"/>
              </w:numPr>
            </w:pPr>
          </w:p>
        </w:tc>
        <w:tc>
          <w:tcPr>
            <w:tcW w:w="2622" w:type="pct"/>
          </w:tcPr>
          <w:p w:rsidR="003C464A" w:rsidRPr="002749B6" w:rsidRDefault="003C464A" w:rsidP="006E6A1C">
            <w:pPr>
              <w:pStyle w:val="TableListBullet"/>
              <w:numPr>
                <w:ilvl w:val="0"/>
                <w:numId w:val="0"/>
              </w:numPr>
            </w:pPr>
            <w:r>
              <w:t xml:space="preserve">The largest activity conducted by the Cambodia Agricultural Value Chain program (CAVAC) each year is the design and construction of irrigation infrastructure in three provinces. This makes it an ideal performance benchmark. DFAT asked CAVAC to increase the quantity of infrastructure supported in this, the final year for major construction works. Construction occurs in cycles based on the rainy season, so progress can be matched to a 12 month period. Existing program monitoring can provide this data. </w:t>
            </w:r>
          </w:p>
        </w:tc>
      </w:tr>
      <w:tr w:rsidR="003C464A" w:rsidRPr="004F7D80" w:rsidTr="006E6A1C">
        <w:tc>
          <w:tcPr>
            <w:tcW w:w="1189" w:type="pct"/>
            <w:tcMar>
              <w:top w:w="57" w:type="dxa"/>
              <w:bottom w:w="57" w:type="dxa"/>
            </w:tcMar>
          </w:tcPr>
          <w:p w:rsidR="003C464A" w:rsidRPr="00745FE3" w:rsidRDefault="003C464A" w:rsidP="006E6A1C">
            <w:pPr>
              <w:pStyle w:val="TableListBullet"/>
              <w:numPr>
                <w:ilvl w:val="0"/>
                <w:numId w:val="0"/>
              </w:numPr>
            </w:pPr>
            <w:r w:rsidRPr="00745FE3">
              <w:t>Poor and vulnerable Cambodians will be increasingly protected against chronic poverty and hunger, shocks, destitution and social exclusion</w:t>
            </w:r>
            <w:r>
              <w:t>,</w:t>
            </w:r>
            <w:r w:rsidRPr="00745FE3">
              <w:t xml:space="preserve"> and benefit from investments in their human capital</w:t>
            </w:r>
          </w:p>
        </w:tc>
        <w:tc>
          <w:tcPr>
            <w:tcW w:w="1189" w:type="pct"/>
          </w:tcPr>
          <w:p w:rsidR="003C464A" w:rsidRPr="00096EFE" w:rsidRDefault="003C464A" w:rsidP="006E6A1C">
            <w:pPr>
              <w:pStyle w:val="TableListBullet"/>
              <w:numPr>
                <w:ilvl w:val="0"/>
                <w:numId w:val="0"/>
              </w:numPr>
            </w:pPr>
            <w:r w:rsidRPr="00F46A67">
              <w:t>At least 25.7 square kilometres of land contaminated by landmines and other ERW released for productive use</w:t>
            </w:r>
          </w:p>
          <w:p w:rsidR="003C464A" w:rsidRPr="00E6161A" w:rsidRDefault="003C464A" w:rsidP="006E6A1C">
            <w:pPr>
              <w:pStyle w:val="TableListBullet"/>
              <w:numPr>
                <w:ilvl w:val="0"/>
                <w:numId w:val="0"/>
              </w:numPr>
            </w:pPr>
          </w:p>
        </w:tc>
        <w:tc>
          <w:tcPr>
            <w:tcW w:w="2622" w:type="pct"/>
          </w:tcPr>
          <w:p w:rsidR="003C464A" w:rsidRPr="002749B6" w:rsidRDefault="003C464A" w:rsidP="006E6A1C">
            <w:pPr>
              <w:pStyle w:val="TableListBullet"/>
              <w:numPr>
                <w:ilvl w:val="0"/>
                <w:numId w:val="0"/>
              </w:numPr>
            </w:pPr>
            <w:r>
              <w:t>Over 80 per cent of project funds are allocated for land clearance and release activities so this is the most useful activity for a performance benchmark. Through its competitive bidding process the project has already achieved substantial increases in cost-efficiency. Contracts for land release are set for 12 month periods and verification is confirmed through regular program monitoring.</w:t>
            </w:r>
          </w:p>
        </w:tc>
      </w:tr>
    </w:tbl>
    <w:p w:rsidR="003C464A" w:rsidRDefault="003C464A" w:rsidP="003C464A">
      <w:r>
        <w:rPr>
          <w:b/>
          <w:i/>
          <w:iCs/>
        </w:rPr>
        <w:br w:type="page"/>
      </w:r>
    </w:p>
    <w:tbl>
      <w:tblPr>
        <w:tblStyle w:val="DFATTable"/>
        <w:tblW w:w="5000" w:type="pct"/>
        <w:tblInd w:w="108" w:type="dxa"/>
        <w:tblLook w:val="04A0" w:firstRow="1" w:lastRow="0" w:firstColumn="1" w:lastColumn="0" w:noHBand="0" w:noVBand="1"/>
      </w:tblPr>
      <w:tblGrid>
        <w:gridCol w:w="3301"/>
        <w:gridCol w:w="3301"/>
        <w:gridCol w:w="7279"/>
      </w:tblGrid>
      <w:tr w:rsidR="003C464A" w:rsidRPr="00096EFE" w:rsidTr="006E6A1C">
        <w:tc>
          <w:tcPr>
            <w:tcW w:w="5000" w:type="pct"/>
            <w:gridSpan w:val="3"/>
            <w:tcMar>
              <w:top w:w="57" w:type="dxa"/>
              <w:bottom w:w="57" w:type="dxa"/>
            </w:tcMar>
          </w:tcPr>
          <w:p w:rsidR="003C464A" w:rsidRPr="002749B6" w:rsidRDefault="003C464A" w:rsidP="006E6A1C">
            <w:pPr>
              <w:pStyle w:val="TableHeading2"/>
            </w:pPr>
            <w:r>
              <w:lastRenderedPageBreak/>
              <w:t>Objective 2</w:t>
            </w:r>
            <w:r w:rsidRPr="002749B6">
              <w:t xml:space="preserve">:  </w:t>
            </w:r>
            <w:r w:rsidRPr="00745FE3">
              <w:t>Increased access to quality health services for the poor, women and children, progressing</w:t>
            </w:r>
            <w:r>
              <w:t xml:space="preserve"> </w:t>
            </w:r>
            <w:r w:rsidRPr="00745FE3">
              <w:t>towards the health MDGs.</w:t>
            </w:r>
          </w:p>
        </w:tc>
      </w:tr>
      <w:tr w:rsidR="003C464A" w:rsidRPr="004F7D80" w:rsidTr="006E6A1C">
        <w:tc>
          <w:tcPr>
            <w:tcW w:w="1189" w:type="pct"/>
            <w:tcMar>
              <w:top w:w="57" w:type="dxa"/>
              <w:bottom w:w="57" w:type="dxa"/>
            </w:tcMar>
          </w:tcPr>
          <w:p w:rsidR="003C464A" w:rsidRPr="00745FE3" w:rsidRDefault="003C464A" w:rsidP="006E6A1C">
            <w:pPr>
              <w:pStyle w:val="TableTextEntries"/>
            </w:pPr>
            <w:r w:rsidRPr="00F96CB2">
              <w:t>Increased access to quality health services through improved health management</w:t>
            </w:r>
          </w:p>
        </w:tc>
        <w:tc>
          <w:tcPr>
            <w:tcW w:w="1189" w:type="pct"/>
          </w:tcPr>
          <w:p w:rsidR="003C464A" w:rsidRPr="00997A8F" w:rsidRDefault="003C464A" w:rsidP="006E6A1C">
            <w:pPr>
              <w:pStyle w:val="TableListBullet"/>
              <w:numPr>
                <w:ilvl w:val="0"/>
                <w:numId w:val="0"/>
              </w:numPr>
              <w:tabs>
                <w:tab w:val="num" w:pos="227"/>
              </w:tabs>
              <w:rPr>
                <w:rFonts w:ascii="Franklin Gothic Book" w:hAnsi="Franklin Gothic Book"/>
              </w:rPr>
            </w:pPr>
            <w:r w:rsidRPr="00997A8F">
              <w:rPr>
                <w:rFonts w:ascii="Franklin Gothic Book" w:hAnsi="Franklin Gothic Book"/>
              </w:rPr>
              <w:t>84% births attended by trained health staff (Australian contribution: 287,662 x 12/328.048 = 11,118 births).</w:t>
            </w:r>
          </w:p>
          <w:p w:rsidR="003C464A" w:rsidRPr="00E6161A" w:rsidRDefault="003C464A" w:rsidP="006E6A1C">
            <w:pPr>
              <w:pStyle w:val="TableTextEntries"/>
            </w:pPr>
          </w:p>
        </w:tc>
        <w:tc>
          <w:tcPr>
            <w:tcW w:w="2622" w:type="pct"/>
          </w:tcPr>
          <w:p w:rsidR="003C464A" w:rsidRPr="00490EFB" w:rsidRDefault="001E321E" w:rsidP="001E321E">
            <w:pPr>
              <w:pStyle w:val="TableListBullet"/>
              <w:numPr>
                <w:ilvl w:val="0"/>
                <w:numId w:val="0"/>
              </w:numPr>
              <w:tabs>
                <w:tab w:val="num" w:pos="227"/>
              </w:tabs>
              <w:rPr>
                <w:rFonts w:ascii="Franklin Gothic Book" w:hAnsi="Franklin Gothic Book"/>
              </w:rPr>
            </w:pPr>
            <w:r w:rsidRPr="00490EFB">
              <w:rPr>
                <w:rFonts w:ascii="Franklin Gothic Book" w:hAnsi="Franklin Gothic Book"/>
              </w:rPr>
              <w:t xml:space="preserve">Skilled birth attendance is essential to reduce maternal mortality and also acts as a proxy indicator for the strength of the health system. </w:t>
            </w:r>
          </w:p>
        </w:tc>
      </w:tr>
      <w:tr w:rsidR="003C464A" w:rsidRPr="004F7D80" w:rsidTr="006E6A1C">
        <w:tc>
          <w:tcPr>
            <w:tcW w:w="1189" w:type="pct"/>
            <w:tcMar>
              <w:top w:w="57" w:type="dxa"/>
              <w:bottom w:w="57" w:type="dxa"/>
            </w:tcMar>
          </w:tcPr>
          <w:p w:rsidR="003C464A" w:rsidRPr="00F96CB2" w:rsidRDefault="003C464A" w:rsidP="006E6A1C">
            <w:pPr>
              <w:pStyle w:val="TableTextEntries"/>
            </w:pPr>
          </w:p>
        </w:tc>
        <w:tc>
          <w:tcPr>
            <w:tcW w:w="1189" w:type="pct"/>
          </w:tcPr>
          <w:p w:rsidR="003C464A" w:rsidRPr="00997A8F" w:rsidRDefault="003C464A" w:rsidP="006E6A1C">
            <w:pPr>
              <w:pStyle w:val="TableListBullet"/>
              <w:numPr>
                <w:ilvl w:val="0"/>
                <w:numId w:val="0"/>
              </w:numPr>
              <w:tabs>
                <w:tab w:val="num" w:pos="227"/>
              </w:tabs>
              <w:rPr>
                <w:rFonts w:ascii="Franklin Gothic Book" w:hAnsi="Franklin Gothic Book"/>
              </w:rPr>
            </w:pPr>
            <w:r w:rsidRPr="00997A8F">
              <w:rPr>
                <w:rFonts w:ascii="Franklin Gothic Book" w:hAnsi="Franklin Gothic Book"/>
              </w:rPr>
              <w:t>93% of poor people now able to access health care through the health equity funds.</w:t>
            </w:r>
          </w:p>
          <w:p w:rsidR="003C464A" w:rsidRPr="00997A8F" w:rsidRDefault="003C464A" w:rsidP="006E6A1C">
            <w:pPr>
              <w:pStyle w:val="TableListBullet"/>
              <w:numPr>
                <w:ilvl w:val="0"/>
                <w:numId w:val="0"/>
              </w:numPr>
              <w:tabs>
                <w:tab w:val="num" w:pos="227"/>
              </w:tabs>
              <w:rPr>
                <w:rFonts w:ascii="Franklin Gothic Book" w:hAnsi="Franklin Gothic Book"/>
              </w:rPr>
            </w:pPr>
          </w:p>
        </w:tc>
        <w:tc>
          <w:tcPr>
            <w:tcW w:w="2622" w:type="pct"/>
          </w:tcPr>
          <w:p w:rsidR="003C464A" w:rsidRPr="00490EFB" w:rsidRDefault="001E321E" w:rsidP="001E321E">
            <w:pPr>
              <w:pStyle w:val="TableListBullet"/>
              <w:numPr>
                <w:ilvl w:val="0"/>
                <w:numId w:val="0"/>
              </w:numPr>
              <w:tabs>
                <w:tab w:val="num" w:pos="227"/>
              </w:tabs>
              <w:rPr>
                <w:rFonts w:ascii="Franklin Gothic Book" w:hAnsi="Franklin Gothic Book"/>
              </w:rPr>
            </w:pPr>
            <w:r w:rsidRPr="00490EFB">
              <w:rPr>
                <w:rFonts w:ascii="Franklin Gothic Book" w:hAnsi="Franklin Gothic Book"/>
              </w:rPr>
              <w:t xml:space="preserve">Out-of-pocket expenditure on healthcare is a major driver of impoverishment in Cambodia and also inhibits use of available health services.  Providing financial protection through the health equity funds encourages use of health care and reduces impoverishment from catastrophic health costs </w:t>
            </w:r>
          </w:p>
        </w:tc>
      </w:tr>
      <w:tr w:rsidR="003C464A" w:rsidRPr="00096EFE" w:rsidTr="006E6A1C">
        <w:tc>
          <w:tcPr>
            <w:tcW w:w="5000" w:type="pct"/>
            <w:gridSpan w:val="3"/>
            <w:tcMar>
              <w:top w:w="57" w:type="dxa"/>
              <w:bottom w:w="57" w:type="dxa"/>
            </w:tcMar>
          </w:tcPr>
          <w:p w:rsidR="003C464A" w:rsidRPr="00096EFE" w:rsidRDefault="003C464A" w:rsidP="006E6A1C">
            <w:pPr>
              <w:pStyle w:val="TableHeading2"/>
            </w:pPr>
            <w:r w:rsidRPr="00096EFE">
              <w:t>Objective 3:  Improved transport and energy infrastructure</w:t>
            </w:r>
          </w:p>
        </w:tc>
      </w:tr>
      <w:tr w:rsidR="003C464A" w:rsidRPr="004F7D80" w:rsidTr="006E6A1C">
        <w:tc>
          <w:tcPr>
            <w:tcW w:w="1189" w:type="pct"/>
            <w:tcMar>
              <w:top w:w="57" w:type="dxa"/>
              <w:bottom w:w="57" w:type="dxa"/>
            </w:tcMar>
          </w:tcPr>
          <w:p w:rsidR="003C464A" w:rsidRPr="00745FE3" w:rsidRDefault="003C464A" w:rsidP="006E6A1C">
            <w:pPr>
              <w:pStyle w:val="TableTextEntries"/>
            </w:pPr>
            <w:r w:rsidRPr="002749B6">
              <w:t>Improved transport infrastructure to support increased economic activity.</w:t>
            </w:r>
          </w:p>
        </w:tc>
        <w:tc>
          <w:tcPr>
            <w:tcW w:w="1189" w:type="pct"/>
          </w:tcPr>
          <w:p w:rsidR="003C464A" w:rsidRDefault="003C464A" w:rsidP="006E6A1C">
            <w:pPr>
              <w:pStyle w:val="TableListBullet"/>
              <w:numPr>
                <w:ilvl w:val="0"/>
                <w:numId w:val="0"/>
              </w:numPr>
              <w:tabs>
                <w:tab w:val="num" w:pos="227"/>
              </w:tabs>
            </w:pPr>
            <w:r w:rsidRPr="0082493C">
              <w:rPr>
                <w:rFonts w:ascii="Franklin Gothic Book" w:hAnsi="Franklin Gothic Book"/>
              </w:rPr>
              <w:t>80% of physical completion of national, provincial and rural roads under Flood Damage Emergency Reconstruction Project</w:t>
            </w:r>
            <w:r>
              <w:t xml:space="preserve"> I</w:t>
            </w:r>
          </w:p>
          <w:p w:rsidR="003C464A" w:rsidRPr="00E6161A" w:rsidRDefault="003C464A" w:rsidP="006E6A1C">
            <w:pPr>
              <w:pStyle w:val="TableTextEntries"/>
            </w:pPr>
          </w:p>
        </w:tc>
        <w:tc>
          <w:tcPr>
            <w:tcW w:w="2622" w:type="pct"/>
          </w:tcPr>
          <w:p w:rsidR="003C464A" w:rsidRPr="002749B6" w:rsidRDefault="003C464A" w:rsidP="006E6A1C">
            <w:pPr>
              <w:pStyle w:val="TableTextEntries"/>
            </w:pPr>
            <w:r>
              <w:t>Repairs to flood damaged roads will have significant impact on economic recovery and development in flood damaged areas.</w:t>
            </w:r>
          </w:p>
        </w:tc>
      </w:tr>
      <w:tr w:rsidR="003C464A" w:rsidRPr="00096EFE" w:rsidTr="006E6A1C">
        <w:tc>
          <w:tcPr>
            <w:tcW w:w="5000" w:type="pct"/>
            <w:gridSpan w:val="3"/>
            <w:tcMar>
              <w:top w:w="57" w:type="dxa"/>
              <w:bottom w:w="57" w:type="dxa"/>
            </w:tcMar>
          </w:tcPr>
          <w:p w:rsidR="003C464A" w:rsidRPr="00096EFE" w:rsidRDefault="003C464A" w:rsidP="006E6A1C">
            <w:pPr>
              <w:pStyle w:val="TableHeading2"/>
            </w:pPr>
            <w:r w:rsidRPr="00096EFE">
              <w:t xml:space="preserve">Objective 4:  </w:t>
            </w:r>
            <w:r w:rsidRPr="00745FE3">
              <w:t>Prosperous, safe and secure communities in Cambodia</w:t>
            </w:r>
          </w:p>
        </w:tc>
      </w:tr>
      <w:tr w:rsidR="003C464A" w:rsidRPr="004F7D80" w:rsidTr="006E6A1C">
        <w:tc>
          <w:tcPr>
            <w:tcW w:w="1189" w:type="pct"/>
            <w:tcMar>
              <w:top w:w="57" w:type="dxa"/>
              <w:bottom w:w="57" w:type="dxa"/>
            </w:tcMar>
          </w:tcPr>
          <w:p w:rsidR="00BB3840" w:rsidRDefault="003C464A" w:rsidP="006E6A1C">
            <w:pPr>
              <w:pStyle w:val="TableTextEntries"/>
            </w:pPr>
            <w:r w:rsidRPr="00096EFE">
              <w:t>Women, youth and children are safer and communities have less crime</w:t>
            </w:r>
            <w:r w:rsidR="00BB3840">
              <w:t>.</w:t>
            </w:r>
            <w:r>
              <w:t xml:space="preserve"> </w:t>
            </w:r>
          </w:p>
          <w:p w:rsidR="003C464A" w:rsidRPr="00745FE3" w:rsidRDefault="003C464A" w:rsidP="006E6A1C">
            <w:pPr>
              <w:pStyle w:val="TableTextEntries"/>
            </w:pPr>
          </w:p>
        </w:tc>
        <w:tc>
          <w:tcPr>
            <w:tcW w:w="1189" w:type="pct"/>
          </w:tcPr>
          <w:p w:rsidR="003C464A" w:rsidRPr="00E6161A" w:rsidRDefault="003C464A" w:rsidP="006E6A1C">
            <w:pPr>
              <w:pStyle w:val="TableTextEntries"/>
            </w:pPr>
            <w:r>
              <w:t xml:space="preserve">Agreement with Ministry of Women’s Affairs on 2015-2017 Australian funded EVAW activities. </w:t>
            </w:r>
          </w:p>
        </w:tc>
        <w:tc>
          <w:tcPr>
            <w:tcW w:w="2622" w:type="pct"/>
          </w:tcPr>
          <w:p w:rsidR="003C464A" w:rsidRDefault="003C464A" w:rsidP="006E6A1C">
            <w:pPr>
              <w:pStyle w:val="TableTextEntries"/>
            </w:pPr>
            <w:r>
              <w:t>Will provide certai</w:t>
            </w:r>
            <w:r w:rsidR="00A169DA">
              <w:t xml:space="preserve">nty and clarity to EVAW program over next 4 financial years. Any agreement </w:t>
            </w:r>
            <w:r>
              <w:t xml:space="preserve">based on three milestones to be reached by the end of 2014. </w:t>
            </w:r>
          </w:p>
          <w:p w:rsidR="003C464A" w:rsidRDefault="003C464A" w:rsidP="006E6A1C">
            <w:pPr>
              <w:pStyle w:val="TableTextEntries"/>
            </w:pPr>
            <w:r>
              <w:t>1.  Approval by the Cambodian Government of the National Action Plan on Violence Against Women will provide the platform on which to structure a coordinated EVAW program.</w:t>
            </w:r>
          </w:p>
          <w:p w:rsidR="003C464A" w:rsidRDefault="003C464A" w:rsidP="006E6A1C">
            <w:pPr>
              <w:pStyle w:val="TableTextEntries"/>
            </w:pPr>
            <w:r>
              <w:t xml:space="preserve">2.  Foundation activities funded by Australia over 2013-14 will provide the evidence and lessons learned on which a 3 year program can be built. </w:t>
            </w:r>
          </w:p>
          <w:p w:rsidR="003C464A" w:rsidRPr="002749B6" w:rsidRDefault="003C464A" w:rsidP="006E6A1C">
            <w:pPr>
              <w:pStyle w:val="TableTextEntries"/>
            </w:pPr>
            <w:r>
              <w:t xml:space="preserve">3.  The signing of the Memorandum of Subsidiary Arrangements in August 2014 provides the formal basis on which to negotiate a future program with the Cambodian Government. </w:t>
            </w:r>
          </w:p>
        </w:tc>
      </w:tr>
      <w:tr w:rsidR="003C464A" w:rsidRPr="004F7D80" w:rsidTr="006E6A1C">
        <w:tc>
          <w:tcPr>
            <w:tcW w:w="1189" w:type="pct"/>
            <w:tcMar>
              <w:top w:w="57" w:type="dxa"/>
              <w:bottom w:w="57" w:type="dxa"/>
            </w:tcMar>
          </w:tcPr>
          <w:p w:rsidR="003C464A" w:rsidRPr="00745FE3" w:rsidRDefault="003C464A" w:rsidP="006E6A1C">
            <w:pPr>
              <w:pStyle w:val="TableTextEntries"/>
            </w:pPr>
          </w:p>
        </w:tc>
        <w:tc>
          <w:tcPr>
            <w:tcW w:w="1189" w:type="pct"/>
          </w:tcPr>
          <w:p w:rsidR="003C464A" w:rsidRPr="00E6161A" w:rsidRDefault="003C464A" w:rsidP="006E6A1C">
            <w:pPr>
              <w:pStyle w:val="TableTextEntries"/>
            </w:pPr>
          </w:p>
        </w:tc>
        <w:tc>
          <w:tcPr>
            <w:tcW w:w="2622" w:type="pct"/>
          </w:tcPr>
          <w:p w:rsidR="003C464A" w:rsidRPr="002749B6" w:rsidRDefault="003C464A" w:rsidP="006E6A1C">
            <w:pPr>
              <w:pStyle w:val="TableTextEntries"/>
            </w:pPr>
          </w:p>
        </w:tc>
      </w:tr>
    </w:tbl>
    <w:p w:rsidR="003C464A" w:rsidRPr="001F1D9C" w:rsidRDefault="003C464A" w:rsidP="003C464A">
      <w:pPr>
        <w:pStyle w:val="Heading1"/>
      </w:pPr>
      <w:r w:rsidRPr="001F1D9C">
        <w:lastRenderedPageBreak/>
        <w:t>Annex E</w:t>
      </w:r>
    </w:p>
    <w:p w:rsidR="003C464A" w:rsidRPr="001F1D9C" w:rsidRDefault="003C464A" w:rsidP="003C464A">
      <w:pPr>
        <w:pStyle w:val="Heading2"/>
      </w:pPr>
      <w:r w:rsidRPr="001F1D9C">
        <w:t>Australia–Cambodia Joint Aid Program Strategy 2010–2015 performance assessment framework</w:t>
      </w:r>
    </w:p>
    <w:tbl>
      <w:tblPr>
        <w:tblStyle w:val="APPR"/>
        <w:tblW w:w="5003" w:type="pct"/>
        <w:tblLayout w:type="fixed"/>
        <w:tblLook w:val="01E0" w:firstRow="1" w:lastRow="1" w:firstColumn="1" w:lastColumn="1" w:noHBand="0" w:noVBand="0"/>
      </w:tblPr>
      <w:tblGrid>
        <w:gridCol w:w="1860"/>
        <w:gridCol w:w="1564"/>
        <w:gridCol w:w="1632"/>
        <w:gridCol w:w="1801"/>
        <w:gridCol w:w="1878"/>
        <w:gridCol w:w="1782"/>
        <w:gridCol w:w="3428"/>
      </w:tblGrid>
      <w:tr w:rsidR="003C464A" w:rsidRPr="0006067F" w:rsidTr="004E2103">
        <w:trPr>
          <w:cnfStyle w:val="100000000000" w:firstRow="1" w:lastRow="0" w:firstColumn="0" w:lastColumn="0" w:oddVBand="0" w:evenVBand="0" w:oddHBand="0" w:evenHBand="0" w:firstRowFirstColumn="0" w:firstRowLastColumn="0" w:lastRowFirstColumn="0" w:lastRowLastColumn="0"/>
        </w:trPr>
        <w:tc>
          <w:tcPr>
            <w:tcW w:w="660" w:type="pct"/>
          </w:tcPr>
          <w:p w:rsidR="003C464A" w:rsidRPr="0006067F" w:rsidRDefault="003C464A" w:rsidP="006E6A1C">
            <w:pPr>
              <w:pStyle w:val="TableTextColumnHeading"/>
              <w:rPr>
                <w:b/>
                <w:bCs/>
              </w:rPr>
            </w:pPr>
            <w:r w:rsidRPr="0006067F">
              <w:rPr>
                <w:b/>
                <w:bCs/>
              </w:rPr>
              <w:t xml:space="preserve">Cambodian Government development outcomes 2015 </w:t>
            </w:r>
          </w:p>
        </w:tc>
        <w:tc>
          <w:tcPr>
            <w:tcW w:w="558" w:type="pct"/>
          </w:tcPr>
          <w:p w:rsidR="003C464A" w:rsidRPr="0006067F" w:rsidRDefault="003C464A" w:rsidP="006E6A1C">
            <w:pPr>
              <w:pStyle w:val="TableTextColumnHeading"/>
              <w:rPr>
                <w:b/>
                <w:bCs/>
              </w:rPr>
            </w:pPr>
            <w:r w:rsidRPr="0006067F">
              <w:rPr>
                <w:b/>
                <w:bCs/>
              </w:rPr>
              <w:t>Australian Government country strategy objectives 2015</w:t>
            </w:r>
          </w:p>
        </w:tc>
        <w:tc>
          <w:tcPr>
            <w:tcW w:w="583" w:type="pct"/>
          </w:tcPr>
          <w:p w:rsidR="003C464A" w:rsidRPr="0006067F" w:rsidRDefault="003C464A" w:rsidP="006E6A1C">
            <w:pPr>
              <w:pStyle w:val="TableTextColumnHeading"/>
              <w:rPr>
                <w:b/>
                <w:bCs/>
              </w:rPr>
            </w:pPr>
            <w:r w:rsidRPr="0006067F">
              <w:rPr>
                <w:b/>
                <w:bCs/>
              </w:rPr>
              <w:t>Strategy objective indicators</w:t>
            </w:r>
          </w:p>
        </w:tc>
        <w:tc>
          <w:tcPr>
            <w:tcW w:w="643" w:type="pct"/>
          </w:tcPr>
          <w:p w:rsidR="003C464A" w:rsidRPr="0006067F" w:rsidRDefault="003C464A" w:rsidP="006E6A1C">
            <w:pPr>
              <w:pStyle w:val="TableTextColumnHeading"/>
              <w:rPr>
                <w:b/>
                <w:bCs/>
              </w:rPr>
            </w:pPr>
            <w:r w:rsidRPr="0006067F">
              <w:rPr>
                <w:b/>
                <w:bCs/>
              </w:rPr>
              <w:t>2012 milestones</w:t>
            </w:r>
          </w:p>
        </w:tc>
        <w:tc>
          <w:tcPr>
            <w:tcW w:w="671" w:type="pct"/>
          </w:tcPr>
          <w:p w:rsidR="003C464A" w:rsidRPr="0006067F" w:rsidRDefault="003C464A" w:rsidP="006E6A1C">
            <w:pPr>
              <w:pStyle w:val="TableTextColumnHeading"/>
              <w:rPr>
                <w:b/>
                <w:bCs/>
              </w:rPr>
            </w:pPr>
            <w:r w:rsidRPr="0006067F">
              <w:rPr>
                <w:b/>
                <w:bCs/>
              </w:rPr>
              <w:t>2013 milestones</w:t>
            </w:r>
          </w:p>
        </w:tc>
        <w:tc>
          <w:tcPr>
            <w:tcW w:w="636" w:type="pct"/>
          </w:tcPr>
          <w:p w:rsidR="003C464A" w:rsidRPr="0006067F" w:rsidRDefault="003C464A" w:rsidP="006E6A1C">
            <w:pPr>
              <w:pStyle w:val="TableTextColumnHeading"/>
              <w:rPr>
                <w:b/>
                <w:bCs/>
              </w:rPr>
            </w:pPr>
            <w:r w:rsidRPr="0006067F">
              <w:rPr>
                <w:b/>
                <w:bCs/>
              </w:rPr>
              <w:t>2014 milestones</w:t>
            </w:r>
          </w:p>
        </w:tc>
        <w:tc>
          <w:tcPr>
            <w:tcW w:w="1169" w:type="pct"/>
          </w:tcPr>
          <w:p w:rsidR="003C464A" w:rsidRPr="0006067F" w:rsidRDefault="003C464A" w:rsidP="006E6A1C">
            <w:pPr>
              <w:pStyle w:val="TableTextColumnHeading"/>
              <w:rPr>
                <w:b/>
                <w:bCs/>
              </w:rPr>
            </w:pPr>
            <w:r w:rsidRPr="0006067F">
              <w:rPr>
                <w:b/>
                <w:bCs/>
              </w:rPr>
              <w:t>Australian Government assistance</w:t>
            </w:r>
          </w:p>
        </w:tc>
      </w:tr>
      <w:tr w:rsidR="003C464A" w:rsidRPr="00745FE3" w:rsidTr="006E6A1C">
        <w:trPr>
          <w:tblHeader w:val="0"/>
        </w:trPr>
        <w:tc>
          <w:tcPr>
            <w:tcW w:w="4980" w:type="pct"/>
            <w:gridSpan w:val="7"/>
          </w:tcPr>
          <w:p w:rsidR="003C464A" w:rsidRPr="00745FE3" w:rsidRDefault="003C464A" w:rsidP="006E6A1C">
            <w:pPr>
              <w:pStyle w:val="TableListBullet"/>
              <w:numPr>
                <w:ilvl w:val="0"/>
                <w:numId w:val="0"/>
              </w:numPr>
            </w:pPr>
            <w:r w:rsidRPr="00F96CB2">
              <w:rPr>
                <w:b/>
              </w:rPr>
              <w:t>1</w:t>
            </w:r>
            <w:r>
              <w:rPr>
                <w:b/>
              </w:rPr>
              <w:t xml:space="preserve">. </w:t>
            </w:r>
            <w:r w:rsidRPr="00F96CB2">
              <w:rPr>
                <w:b/>
              </w:rPr>
              <w:t>Rural poverty reduction through agricultural development</w:t>
            </w:r>
          </w:p>
        </w:tc>
      </w:tr>
      <w:tr w:rsidR="008B3FF6" w:rsidRPr="00745FE3" w:rsidTr="004E2103">
        <w:trPr>
          <w:cnfStyle w:val="000000010000" w:firstRow="0" w:lastRow="0" w:firstColumn="0" w:lastColumn="0" w:oddVBand="0" w:evenVBand="0" w:oddHBand="0" w:evenHBand="1" w:firstRowFirstColumn="0" w:firstRowLastColumn="0" w:lastRowFirstColumn="0" w:lastRowLastColumn="0"/>
          <w:tblHeader w:val="0"/>
        </w:trPr>
        <w:tc>
          <w:tcPr>
            <w:tcW w:w="660" w:type="pct"/>
          </w:tcPr>
          <w:p w:rsidR="008B3FF6" w:rsidRPr="00745FE3" w:rsidRDefault="008B3FF6" w:rsidP="006E6A1C">
            <w:pPr>
              <w:pStyle w:val="TableTextEntries"/>
            </w:pPr>
            <w:r w:rsidRPr="00745FE3">
              <w:t>Accelerated growth in the value of national agricultural production</w:t>
            </w:r>
          </w:p>
          <w:p w:rsidR="008B3FF6" w:rsidRPr="00745FE3" w:rsidRDefault="008B3FF6" w:rsidP="006E6A1C">
            <w:pPr>
              <w:autoSpaceDE w:val="0"/>
              <w:autoSpaceDN w:val="0"/>
              <w:adjustRightInd w:val="0"/>
              <w:rPr>
                <w:rFonts w:ascii="Calibri" w:hAnsi="Calibri" w:cs="Arial"/>
                <w:sz w:val="18"/>
                <w:szCs w:val="18"/>
                <w:u w:val="single"/>
              </w:rPr>
            </w:pPr>
          </w:p>
        </w:tc>
        <w:tc>
          <w:tcPr>
            <w:tcW w:w="558" w:type="pct"/>
          </w:tcPr>
          <w:p w:rsidR="008B3FF6" w:rsidRPr="00745FE3" w:rsidRDefault="008B3FF6" w:rsidP="006E6A1C">
            <w:pPr>
              <w:pStyle w:val="TableTextEntries"/>
            </w:pPr>
            <w:r w:rsidRPr="00745FE3">
              <w:t>1a. Increased value of agricultural production and smallholder income in targeted provinces</w:t>
            </w:r>
          </w:p>
          <w:p w:rsidR="008B3FF6" w:rsidRPr="00745FE3" w:rsidRDefault="008B3FF6" w:rsidP="006E6A1C">
            <w:pPr>
              <w:spacing w:before="60" w:after="60"/>
              <w:rPr>
                <w:rFonts w:ascii="Calibri" w:hAnsi="Calibri" w:cs="Arial"/>
                <w:b/>
                <w:sz w:val="18"/>
                <w:szCs w:val="18"/>
              </w:rPr>
            </w:pPr>
          </w:p>
        </w:tc>
        <w:tc>
          <w:tcPr>
            <w:tcW w:w="583" w:type="pct"/>
          </w:tcPr>
          <w:p w:rsidR="008B3FF6" w:rsidRPr="00745FE3" w:rsidRDefault="008B3FF6" w:rsidP="008B3FF6">
            <w:pPr>
              <w:pStyle w:val="TableListBullet"/>
              <w:ind w:left="105" w:hanging="105"/>
            </w:pPr>
            <w:r w:rsidRPr="00745FE3">
              <w:t>120</w:t>
            </w:r>
            <w:r>
              <w:t xml:space="preserve"> </w:t>
            </w:r>
            <w:r w:rsidRPr="00745FE3">
              <w:t xml:space="preserve">000 poor men and women farmers reporting rice and vegetable yields increased by </w:t>
            </w:r>
            <w:r>
              <w:t>seven per cent.</w:t>
            </w:r>
          </w:p>
          <w:p w:rsidR="008B3FF6" w:rsidRPr="00745FE3" w:rsidRDefault="008B3FF6" w:rsidP="008B3FF6">
            <w:pPr>
              <w:pStyle w:val="TableListBullet"/>
              <w:ind w:left="105" w:hanging="105"/>
            </w:pPr>
            <w:r w:rsidRPr="00745FE3">
              <w:t>30</w:t>
            </w:r>
            <w:r>
              <w:t xml:space="preserve"> </w:t>
            </w:r>
            <w:r w:rsidRPr="00745FE3">
              <w:t xml:space="preserve">000 </w:t>
            </w:r>
            <w:r w:rsidR="001472A4">
              <w:t>ha</w:t>
            </w:r>
            <w:r w:rsidRPr="00745FE3">
              <w:t xml:space="preserve"> of land under improved water management and irrigation</w:t>
            </w:r>
            <w:r>
              <w:t>.</w:t>
            </w:r>
          </w:p>
          <w:p w:rsidR="008B3FF6" w:rsidRPr="00745FE3" w:rsidRDefault="008B3FF6" w:rsidP="008B3FF6">
            <w:pPr>
              <w:pStyle w:val="TableListBullet"/>
              <w:ind w:left="105" w:hanging="105"/>
            </w:pPr>
            <w:r>
              <w:t>Cambodian Government</w:t>
            </w:r>
            <w:r w:rsidRPr="00745FE3">
              <w:t xml:space="preserve"> and development partners implementing the </w:t>
            </w:r>
            <w:r>
              <w:t>g</w:t>
            </w:r>
            <w:r w:rsidRPr="00745FE3">
              <w:t xml:space="preserve">overnment’s </w:t>
            </w:r>
            <w:r>
              <w:t>s</w:t>
            </w:r>
            <w:r w:rsidRPr="00745FE3">
              <w:t xml:space="preserve">trategy for </w:t>
            </w:r>
            <w:r>
              <w:t>a</w:t>
            </w:r>
            <w:r w:rsidRPr="00745FE3">
              <w:t xml:space="preserve">griculture and </w:t>
            </w:r>
            <w:r>
              <w:t>w</w:t>
            </w:r>
            <w:r w:rsidRPr="00745FE3">
              <w:t>ater in a harmonised and aligned manner</w:t>
            </w:r>
          </w:p>
        </w:tc>
        <w:tc>
          <w:tcPr>
            <w:tcW w:w="643" w:type="pct"/>
          </w:tcPr>
          <w:p w:rsidR="008B3FF6" w:rsidRPr="00745FE3" w:rsidRDefault="008B3FF6" w:rsidP="008B3FF6">
            <w:pPr>
              <w:pStyle w:val="TableListBullet"/>
              <w:ind w:left="105" w:hanging="105"/>
            </w:pPr>
            <w:r w:rsidRPr="00745FE3">
              <w:t xml:space="preserve">Partnerships </w:t>
            </w:r>
            <w:r>
              <w:t xml:space="preserve">in place </w:t>
            </w:r>
            <w:r w:rsidRPr="00745FE3">
              <w:t xml:space="preserve">with 15 companies and associations </w:t>
            </w:r>
            <w:r>
              <w:t xml:space="preserve">to </w:t>
            </w:r>
            <w:r w:rsidRPr="00745FE3">
              <w:t>improve the availability of quality inputs and information for farmers</w:t>
            </w:r>
            <w:r>
              <w:t>,</w:t>
            </w:r>
            <w:r w:rsidRPr="00745FE3">
              <w:t xml:space="preserve"> as well as access to processing and final markets.</w:t>
            </w:r>
          </w:p>
          <w:p w:rsidR="008B3FF6" w:rsidRPr="00745FE3" w:rsidRDefault="008B3FF6" w:rsidP="008B3FF6">
            <w:pPr>
              <w:pStyle w:val="TableListBullet"/>
              <w:ind w:left="105" w:hanging="105"/>
            </w:pPr>
            <w:r>
              <w:t>Six</w:t>
            </w:r>
            <w:r w:rsidRPr="00745FE3">
              <w:t xml:space="preserve"> irrigation infrastructure improvements completed, giving up to 8600 </w:t>
            </w:r>
            <w:r w:rsidR="001472A4">
              <w:t>ha</w:t>
            </w:r>
            <w:r w:rsidRPr="00745FE3">
              <w:t xml:space="preserve"> of land access to irrigation and allowing up to 6600 farming households to grow additional crops during the dry season.</w:t>
            </w:r>
          </w:p>
          <w:p w:rsidR="008B3FF6" w:rsidRPr="00745FE3" w:rsidRDefault="008B3FF6" w:rsidP="008B3FF6">
            <w:pPr>
              <w:pStyle w:val="TableListBullet"/>
              <w:ind w:left="105" w:hanging="105"/>
            </w:pPr>
            <w:r w:rsidRPr="00745FE3">
              <w:t xml:space="preserve">More than 6000 model farmer </w:t>
            </w:r>
            <w:r w:rsidRPr="00745FE3">
              <w:lastRenderedPageBreak/>
              <w:t>households trained and sharing their knowledge with an estimated 60</w:t>
            </w:r>
            <w:r>
              <w:t xml:space="preserve"> </w:t>
            </w:r>
            <w:r w:rsidRPr="00745FE3">
              <w:t>000 other farming households.</w:t>
            </w:r>
          </w:p>
          <w:p w:rsidR="008B3FF6" w:rsidRPr="00745FE3" w:rsidRDefault="008B3FF6" w:rsidP="008B3FF6">
            <w:pPr>
              <w:pStyle w:val="TableListBullet"/>
              <w:ind w:left="105" w:hanging="105"/>
            </w:pPr>
            <w:r w:rsidRPr="00745FE3">
              <w:t xml:space="preserve">Roadmap completed for implementation of the </w:t>
            </w:r>
            <w:r>
              <w:t>g</w:t>
            </w:r>
            <w:r w:rsidRPr="00745FE3">
              <w:t>overnment's strategy for agriculture and water.</w:t>
            </w:r>
          </w:p>
        </w:tc>
        <w:tc>
          <w:tcPr>
            <w:tcW w:w="671" w:type="pct"/>
          </w:tcPr>
          <w:p w:rsidR="008B3FF6" w:rsidRPr="00F46A67" w:rsidRDefault="008B3FF6" w:rsidP="008B3FF6">
            <w:pPr>
              <w:pStyle w:val="TableListBullet"/>
              <w:ind w:left="105" w:hanging="105"/>
            </w:pPr>
            <w:r w:rsidRPr="00F46A67">
              <w:lastRenderedPageBreak/>
              <w:t>Partnerships with 22 companies, counterpart ministries and associations to improve the availability of quality inputs and information for farmers, as well as access to processing and final markets.</w:t>
            </w:r>
          </w:p>
          <w:p w:rsidR="008B3FF6" w:rsidRPr="00F46A67" w:rsidRDefault="008B3FF6" w:rsidP="008B3FF6">
            <w:pPr>
              <w:pStyle w:val="TableListBullet"/>
              <w:ind w:left="105" w:hanging="105"/>
            </w:pPr>
            <w:r w:rsidRPr="00F46A67">
              <w:t xml:space="preserve">Seven irrigation infrastructure improvements completed, giving up to 2,562 </w:t>
            </w:r>
            <w:r w:rsidR="001472A4">
              <w:t>ha</w:t>
            </w:r>
            <w:r w:rsidRPr="00F46A67">
              <w:t xml:space="preserve"> of land access to irrigation and allowing up to 4036 farmer households to plant additional crops each year.</w:t>
            </w:r>
          </w:p>
          <w:p w:rsidR="008B3FF6" w:rsidRPr="00F46A67" w:rsidRDefault="008B3FF6" w:rsidP="008B3FF6">
            <w:pPr>
              <w:pStyle w:val="TableListBullet"/>
              <w:ind w:left="105" w:hanging="105"/>
            </w:pPr>
            <w:r w:rsidRPr="00F46A67">
              <w:t xml:space="preserve">5700 model farmer households trained and sharing their </w:t>
            </w:r>
            <w:r w:rsidRPr="00F46A67">
              <w:lastRenderedPageBreak/>
              <w:t>knowledge with an estimated 51,300 other farming households.</w:t>
            </w:r>
          </w:p>
        </w:tc>
        <w:tc>
          <w:tcPr>
            <w:tcW w:w="636" w:type="pct"/>
          </w:tcPr>
          <w:p w:rsidR="008B3FF6" w:rsidRPr="00490EFB" w:rsidRDefault="008B3FF6" w:rsidP="008B3FF6">
            <w:pPr>
              <w:pStyle w:val="TableListBullet"/>
              <w:ind w:left="105" w:hanging="105"/>
            </w:pPr>
            <w:r w:rsidRPr="00490EFB">
              <w:lastRenderedPageBreak/>
              <w:t>Major irrigation infrastructure works completed on all 21 schemes constructed through CAVAC</w:t>
            </w:r>
          </w:p>
          <w:p w:rsidR="008B3FF6" w:rsidRPr="00490EFB" w:rsidRDefault="008B3FF6" w:rsidP="008B3FF6">
            <w:pPr>
              <w:pStyle w:val="TableListBullet"/>
              <w:ind w:left="105" w:hanging="105"/>
            </w:pPr>
            <w:r w:rsidRPr="00490EFB">
              <w:t>The majority of CAVAC irrigation schemes have been handed over to local stakeholders</w:t>
            </w:r>
          </w:p>
          <w:p w:rsidR="008B3FF6" w:rsidRPr="00490EFB" w:rsidRDefault="008B3FF6" w:rsidP="008B3FF6">
            <w:pPr>
              <w:pStyle w:val="TableListBullet"/>
              <w:ind w:left="105" w:hanging="105"/>
            </w:pPr>
            <w:r w:rsidRPr="00490EFB">
              <w:t xml:space="preserve">22,600 </w:t>
            </w:r>
            <w:r w:rsidR="001472A4" w:rsidRPr="00490EFB">
              <w:t>ha</w:t>
            </w:r>
            <w:r w:rsidRPr="00490EFB">
              <w:t xml:space="preserve"> of land able to be irrigated as a result of construction by CAVAC </w:t>
            </w:r>
          </w:p>
          <w:p w:rsidR="008B3FF6" w:rsidRPr="00490EFB" w:rsidRDefault="008B3FF6" w:rsidP="008B3FF6">
            <w:pPr>
              <w:pStyle w:val="TableListBullet"/>
              <w:ind w:left="105" w:hanging="105"/>
            </w:pPr>
            <w:r w:rsidRPr="00490EFB">
              <w:t>Outcome-level impacts (outreach, yield, production volume and income) of CAVAC projected for end of 2015 and end of 2017.</w:t>
            </w:r>
          </w:p>
          <w:p w:rsidR="008B3FF6" w:rsidRPr="00F46A67" w:rsidRDefault="008B3FF6" w:rsidP="008B3FF6">
            <w:pPr>
              <w:pStyle w:val="TableListBullet"/>
              <w:ind w:left="105" w:hanging="105"/>
            </w:pPr>
            <w:r w:rsidRPr="00490EFB">
              <w:t xml:space="preserve">Program Strategy Objective 1 met by </w:t>
            </w:r>
            <w:r w:rsidRPr="00490EFB">
              <w:lastRenderedPageBreak/>
              <w:t>mid-2015.</w:t>
            </w:r>
          </w:p>
        </w:tc>
        <w:tc>
          <w:tcPr>
            <w:tcW w:w="1169" w:type="pct"/>
          </w:tcPr>
          <w:p w:rsidR="008B3FF6" w:rsidRPr="00745FE3" w:rsidRDefault="008B3FF6" w:rsidP="004F2586">
            <w:pPr>
              <w:pStyle w:val="TableListBullet"/>
              <w:tabs>
                <w:tab w:val="num" w:pos="227"/>
              </w:tabs>
              <w:ind w:left="227" w:hanging="227"/>
            </w:pPr>
            <w:r w:rsidRPr="00745FE3">
              <w:lastRenderedPageBreak/>
              <w:t>Implementation of the Cambodia Agricultural Value Chain Program</w:t>
            </w:r>
            <w:r>
              <w:t>––</w:t>
            </w:r>
            <w:r w:rsidRPr="00745FE3">
              <w:t>Australia’s flagship agricultural development program</w:t>
            </w:r>
            <w:r>
              <w:t>––</w:t>
            </w:r>
            <w:r w:rsidRPr="00745FE3">
              <w:t>in Kampong Thom, Takeo and Kampot.</w:t>
            </w:r>
          </w:p>
          <w:p w:rsidR="008B3FF6" w:rsidRPr="00745FE3" w:rsidRDefault="008B3FF6" w:rsidP="00490EFB">
            <w:pPr>
              <w:pStyle w:val="TableListBullet"/>
              <w:tabs>
                <w:tab w:val="num" w:pos="227"/>
              </w:tabs>
              <w:ind w:left="227" w:hanging="227"/>
              <w:jc w:val="center"/>
            </w:pPr>
            <w:r w:rsidRPr="00745FE3">
              <w:t xml:space="preserve">Analytical support </w:t>
            </w:r>
            <w:r>
              <w:t>to</w:t>
            </w:r>
            <w:r w:rsidRPr="00745FE3">
              <w:t xml:space="preserve"> implement</w:t>
            </w:r>
            <w:r>
              <w:t xml:space="preserve"> </w:t>
            </w:r>
            <w:r w:rsidRPr="00745FE3">
              <w:t>policy and institutional reforms and design and evaluat</w:t>
            </w:r>
            <w:r>
              <w:t xml:space="preserve">e </w:t>
            </w:r>
            <w:r w:rsidRPr="00745FE3">
              <w:t>pilot activities addressing priority constraints in smallholder agriculture through the World Bank.</w:t>
            </w:r>
          </w:p>
        </w:tc>
      </w:tr>
      <w:tr w:rsidR="008B3FF6" w:rsidRPr="00745FE3" w:rsidTr="004E2103">
        <w:trPr>
          <w:tblHeader w:val="0"/>
        </w:trPr>
        <w:tc>
          <w:tcPr>
            <w:tcW w:w="660" w:type="pct"/>
          </w:tcPr>
          <w:p w:rsidR="008B3FF6" w:rsidRPr="00745FE3" w:rsidRDefault="008B3FF6" w:rsidP="006E6A1C">
            <w:pPr>
              <w:pStyle w:val="TableTextEntries"/>
            </w:pPr>
            <w:r w:rsidRPr="00745FE3">
              <w:lastRenderedPageBreak/>
              <w:t>Poor and vulnerable Cambodians will be increasingly protected against chronic poverty and hunger, shocks, destitution and social exclusion</w:t>
            </w:r>
            <w:r>
              <w:t>,</w:t>
            </w:r>
            <w:r w:rsidRPr="00745FE3">
              <w:t xml:space="preserve"> and benefit from investments in their human capital</w:t>
            </w:r>
          </w:p>
        </w:tc>
        <w:tc>
          <w:tcPr>
            <w:tcW w:w="558" w:type="pct"/>
          </w:tcPr>
          <w:p w:rsidR="008B3FF6" w:rsidRPr="00F96CB2" w:rsidRDefault="008B3FF6" w:rsidP="006E6A1C">
            <w:pPr>
              <w:pStyle w:val="TableTextEntries"/>
            </w:pPr>
            <w:r w:rsidRPr="00F96CB2">
              <w:t>1b. Increased food and livelihood security for the rural poor through social protection and landmine clearance</w:t>
            </w:r>
          </w:p>
        </w:tc>
        <w:tc>
          <w:tcPr>
            <w:tcW w:w="583" w:type="pct"/>
          </w:tcPr>
          <w:p w:rsidR="008B3FF6" w:rsidRPr="00745FE3" w:rsidRDefault="008B3FF6" w:rsidP="008B3FF6">
            <w:pPr>
              <w:pStyle w:val="TableListBullet"/>
              <w:ind w:left="105" w:hanging="105"/>
            </w:pPr>
            <w:r w:rsidRPr="00745FE3">
              <w:t>Social protection systems strengthened through improved targeting and safety net support for the poor.</w:t>
            </w:r>
            <w:r>
              <w:t xml:space="preserve"> </w:t>
            </w:r>
          </w:p>
          <w:p w:rsidR="008B3FF6" w:rsidRPr="00745FE3" w:rsidRDefault="008B3FF6" w:rsidP="008B3FF6">
            <w:pPr>
              <w:pStyle w:val="TableListBullet"/>
              <w:ind w:left="105" w:hanging="105"/>
            </w:pPr>
            <w:r w:rsidRPr="00745FE3">
              <w:t xml:space="preserve">Increased food security of vulnerable households through targeted food assistance and livelihood interventions. </w:t>
            </w:r>
          </w:p>
          <w:p w:rsidR="008B3FF6" w:rsidRPr="00745FE3" w:rsidRDefault="008B3FF6" w:rsidP="008B3FF6">
            <w:pPr>
              <w:pStyle w:val="TableListBullet"/>
              <w:ind w:left="105" w:hanging="105"/>
            </w:pPr>
            <w:r w:rsidRPr="00745FE3">
              <w:t>Substantial progress on clearance of land mines</w:t>
            </w:r>
            <w:r>
              <w:t xml:space="preserve"> and </w:t>
            </w:r>
            <w:r>
              <w:lastRenderedPageBreak/>
              <w:t>unexploded ordnance</w:t>
            </w:r>
            <w:r w:rsidRPr="00745FE3">
              <w:t xml:space="preserve"> in priority areas, releasing at least 35 square kilometres of land to poor communities for livelihood purposes</w:t>
            </w:r>
            <w:r>
              <w:t>.</w:t>
            </w:r>
          </w:p>
        </w:tc>
        <w:tc>
          <w:tcPr>
            <w:tcW w:w="643" w:type="pct"/>
          </w:tcPr>
          <w:p w:rsidR="008B3FF6" w:rsidRPr="00745FE3" w:rsidRDefault="008B3FF6" w:rsidP="008B3FF6">
            <w:pPr>
              <w:pStyle w:val="TableListBullet"/>
              <w:ind w:left="105" w:hanging="105"/>
            </w:pPr>
            <w:r w:rsidRPr="00745FE3">
              <w:lastRenderedPageBreak/>
              <w:t xml:space="preserve">Support provided to implement Cambodia’s National Social Protection Strategy, including: </w:t>
            </w:r>
          </w:p>
          <w:p w:rsidR="008B3FF6" w:rsidRPr="00745FE3" w:rsidRDefault="008B3FF6" w:rsidP="008B3FF6">
            <w:pPr>
              <w:pStyle w:val="TableListBullet2"/>
              <w:tabs>
                <w:tab w:val="num" w:pos="454"/>
              </w:tabs>
              <w:ind w:left="105" w:hanging="105"/>
            </w:pPr>
            <w:r w:rsidRPr="00745FE3">
              <w:t>implement</w:t>
            </w:r>
            <w:r>
              <w:t xml:space="preserve">ing </w:t>
            </w:r>
            <w:r w:rsidRPr="00745FE3">
              <w:t xml:space="preserve">recommendations to improve the </w:t>
            </w:r>
            <w:r>
              <w:t>i</w:t>
            </w:r>
            <w:r w:rsidRPr="00745FE3">
              <w:t xml:space="preserve">dentification of the </w:t>
            </w:r>
            <w:r>
              <w:t>p</w:t>
            </w:r>
            <w:r w:rsidRPr="00745FE3">
              <w:t xml:space="preserve">oor </w:t>
            </w:r>
            <w:r>
              <w:t>h</w:t>
            </w:r>
            <w:r w:rsidRPr="00745FE3">
              <w:t>ouseholds targeting mechanism</w:t>
            </w:r>
          </w:p>
          <w:p w:rsidR="008B3FF6" w:rsidRPr="00745FE3" w:rsidRDefault="008B3FF6" w:rsidP="008B3FF6">
            <w:pPr>
              <w:pStyle w:val="TableListBullet2"/>
              <w:tabs>
                <w:tab w:val="num" w:pos="454"/>
              </w:tabs>
              <w:ind w:left="105" w:hanging="105"/>
            </w:pPr>
            <w:r w:rsidRPr="00745FE3">
              <w:t>piloting the integration of social protection programs</w:t>
            </w:r>
          </w:p>
          <w:p w:rsidR="008B3FF6" w:rsidRPr="00745FE3" w:rsidRDefault="008B3FF6" w:rsidP="008B3FF6">
            <w:pPr>
              <w:pStyle w:val="TableListBullet2"/>
              <w:tabs>
                <w:tab w:val="num" w:pos="454"/>
              </w:tabs>
              <w:ind w:left="105" w:hanging="105"/>
            </w:pPr>
            <w:r w:rsidRPr="00745FE3">
              <w:t>assess</w:t>
            </w:r>
            <w:r>
              <w:t xml:space="preserve">ing </w:t>
            </w:r>
            <w:r w:rsidRPr="00745FE3">
              <w:t xml:space="preserve">effectiveness and efficiency of cash versus food </w:t>
            </w:r>
            <w:r w:rsidRPr="00745FE3">
              <w:lastRenderedPageBreak/>
              <w:t>transfers</w:t>
            </w:r>
          </w:p>
          <w:p w:rsidR="008B3FF6" w:rsidRPr="00745FE3" w:rsidRDefault="008B3FF6" w:rsidP="008B3FF6">
            <w:pPr>
              <w:pStyle w:val="TableListBullet2"/>
              <w:tabs>
                <w:tab w:val="num" w:pos="454"/>
              </w:tabs>
              <w:ind w:left="105" w:hanging="105"/>
            </w:pPr>
            <w:r w:rsidRPr="00745FE3">
              <w:t>design</w:t>
            </w:r>
            <w:r>
              <w:t xml:space="preserve">ing </w:t>
            </w:r>
            <w:r w:rsidRPr="00745FE3">
              <w:t xml:space="preserve">a pilot of cash transfers </w:t>
            </w:r>
            <w:r>
              <w:t>to</w:t>
            </w:r>
            <w:r w:rsidRPr="00745FE3">
              <w:t xml:space="preserve"> support maternal health and child nutrition. </w:t>
            </w:r>
          </w:p>
          <w:p w:rsidR="008B3FF6" w:rsidRPr="00745FE3" w:rsidRDefault="008B3FF6" w:rsidP="008B3FF6">
            <w:pPr>
              <w:pStyle w:val="TableListBullet"/>
              <w:ind w:left="105" w:hanging="105"/>
            </w:pPr>
            <w:r w:rsidRPr="00745FE3">
              <w:t>At least 12 square kilometres of high priority land released through clearance or technical survey in support of local development priorities.</w:t>
            </w:r>
          </w:p>
        </w:tc>
        <w:tc>
          <w:tcPr>
            <w:tcW w:w="671" w:type="pct"/>
          </w:tcPr>
          <w:p w:rsidR="008B3FF6" w:rsidRPr="00745FE3" w:rsidRDefault="008B3FF6" w:rsidP="008B3FF6">
            <w:pPr>
              <w:pStyle w:val="TableListBullet"/>
              <w:ind w:left="105" w:hanging="105"/>
              <w:rPr>
                <w:rFonts w:cs="Calibri"/>
              </w:rPr>
            </w:pPr>
            <w:r w:rsidRPr="00745FE3">
              <w:lastRenderedPageBreak/>
              <w:t>At least 15 square kilometres of high priority land released through clearance or technical survey in support of local development priorities.</w:t>
            </w:r>
          </w:p>
          <w:p w:rsidR="008B3FF6" w:rsidRPr="00745FE3" w:rsidRDefault="008B3FF6" w:rsidP="008B3FF6">
            <w:pPr>
              <w:pStyle w:val="TableListBullet"/>
              <w:ind w:left="105" w:hanging="105"/>
              <w:rPr>
                <w:rFonts w:cs="Calibri"/>
              </w:rPr>
            </w:pPr>
            <w:r w:rsidRPr="00745FE3">
              <w:rPr>
                <w:rFonts w:cs="Calibri"/>
              </w:rPr>
              <w:t>11</w:t>
            </w:r>
            <w:r>
              <w:rPr>
                <w:rFonts w:cs="Calibri"/>
              </w:rPr>
              <w:t xml:space="preserve"> </w:t>
            </w:r>
            <w:r w:rsidRPr="00745FE3">
              <w:rPr>
                <w:rFonts w:cs="Calibri"/>
              </w:rPr>
              <w:t>250 targeted beneficiaries received food or cash scholarships under the cash-food scholarship pilot</w:t>
            </w:r>
            <w:r>
              <w:rPr>
                <w:rFonts w:cs="Calibri"/>
              </w:rPr>
              <w:t>.</w:t>
            </w:r>
          </w:p>
          <w:p w:rsidR="008B3FF6" w:rsidRPr="00745FE3" w:rsidRDefault="008B3FF6" w:rsidP="00C04191">
            <w:pPr>
              <w:pStyle w:val="TableListBullet"/>
              <w:ind w:left="105" w:hanging="105"/>
            </w:pPr>
            <w:r w:rsidRPr="00181239">
              <w:rPr>
                <w:rFonts w:cs="Calibri"/>
                <w:lang w:val="en-US"/>
              </w:rPr>
              <w:t>Public Assets and Livelihood Support program</w:t>
            </w:r>
            <w:r>
              <w:rPr>
                <w:rFonts w:cs="Calibri"/>
                <w:lang w:val="en-US"/>
              </w:rPr>
              <w:t xml:space="preserve"> </w:t>
            </w:r>
            <w:r w:rsidRPr="00745FE3">
              <w:rPr>
                <w:rFonts w:cs="Calibri"/>
              </w:rPr>
              <w:t>pilot and operational guidelines designed</w:t>
            </w:r>
            <w:r w:rsidR="00C04191">
              <w:rPr>
                <w:rFonts w:cs="Calibri"/>
              </w:rPr>
              <w:t xml:space="preserve">. </w:t>
            </w:r>
            <w:r>
              <w:rPr>
                <w:rFonts w:cs="Calibri"/>
              </w:rPr>
              <w:t xml:space="preserve"> </w:t>
            </w:r>
            <w:r w:rsidR="00C04191">
              <w:rPr>
                <w:rFonts w:cs="Calibri"/>
              </w:rPr>
              <w:t xml:space="preserve">Program </w:t>
            </w:r>
            <w:r w:rsidR="00C04191">
              <w:rPr>
                <w:rFonts w:cs="Calibri"/>
              </w:rPr>
              <w:lastRenderedPageBreak/>
              <w:t>reforms providing beneficiaries with cash transfers instead of physical rice were achieved.</w:t>
            </w:r>
          </w:p>
        </w:tc>
        <w:tc>
          <w:tcPr>
            <w:tcW w:w="636" w:type="pct"/>
          </w:tcPr>
          <w:p w:rsidR="008B3FF6" w:rsidRPr="00F46A67" w:rsidRDefault="008B3FF6" w:rsidP="008B3FF6">
            <w:pPr>
              <w:pStyle w:val="TableListBullet"/>
              <w:ind w:left="105" w:hanging="105"/>
              <w:rPr>
                <w:rFonts w:cs="Calibri"/>
              </w:rPr>
            </w:pPr>
            <w:r w:rsidRPr="00F46A67">
              <w:lastRenderedPageBreak/>
              <w:t>At least 25.7 square kilometres of land contaminated by landmines and other ERW released for productive use</w:t>
            </w:r>
          </w:p>
          <w:p w:rsidR="008B3FF6" w:rsidRPr="00F46A67" w:rsidRDefault="008B3FF6" w:rsidP="008B3FF6">
            <w:pPr>
              <w:pStyle w:val="TableListBullet"/>
              <w:ind w:left="105" w:hanging="105"/>
            </w:pPr>
            <w:r w:rsidRPr="00F46A67">
              <w:t>Maternal and child nutrition cash transfer pilot begins operation</w:t>
            </w:r>
          </w:p>
        </w:tc>
        <w:tc>
          <w:tcPr>
            <w:tcW w:w="1169" w:type="pct"/>
          </w:tcPr>
          <w:p w:rsidR="008B3FF6" w:rsidRPr="00F46A67" w:rsidRDefault="008B3FF6" w:rsidP="008B3FF6">
            <w:pPr>
              <w:pStyle w:val="TableListBullet"/>
              <w:ind w:left="157" w:hanging="157"/>
            </w:pPr>
            <w:r w:rsidRPr="00F46A67">
              <w:t>Clearing for Results (Phase II) program supporting mine/unexploded ordnance clearance and support to the Cambodian Mine Action and Victim Assistance Authority through the United Nations Development Programme.</w:t>
            </w:r>
          </w:p>
          <w:p w:rsidR="008B3FF6" w:rsidRPr="00F46A67" w:rsidRDefault="008B3FF6" w:rsidP="008B3FF6">
            <w:pPr>
              <w:pStyle w:val="TableListBullet"/>
              <w:ind w:left="157" w:hanging="157"/>
            </w:pPr>
            <w:r w:rsidRPr="00F46A67">
              <w:t>Analytical support provided to implement policy and institutional reforms, pilot activities designed and evaluated to address priority constraints in social protection, through the World Bank.</w:t>
            </w:r>
          </w:p>
          <w:p w:rsidR="008B3FF6" w:rsidRPr="00F46A67" w:rsidRDefault="008B3FF6" w:rsidP="008B3FF6">
            <w:pPr>
              <w:pStyle w:val="TableListBullet"/>
              <w:ind w:left="157" w:hanging="157"/>
            </w:pPr>
            <w:r w:rsidRPr="00F46A67">
              <w:t>Non-government organisation partnerships, which are improving the livelihood security of poor communities.</w:t>
            </w:r>
          </w:p>
          <w:p w:rsidR="008B3FF6" w:rsidRPr="00F46A67" w:rsidRDefault="008B3FF6" w:rsidP="006E6A1C">
            <w:pPr>
              <w:pStyle w:val="TableListBullet"/>
              <w:numPr>
                <w:ilvl w:val="0"/>
                <w:numId w:val="0"/>
              </w:numPr>
              <w:ind w:left="227"/>
            </w:pP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4980" w:type="pct"/>
            <w:gridSpan w:val="7"/>
          </w:tcPr>
          <w:p w:rsidR="003C464A" w:rsidRPr="00745FE3" w:rsidRDefault="003C464A" w:rsidP="006E6A1C">
            <w:pPr>
              <w:pStyle w:val="TableListBullet"/>
              <w:numPr>
                <w:ilvl w:val="0"/>
                <w:numId w:val="0"/>
              </w:numPr>
              <w:ind w:left="227" w:hanging="227"/>
            </w:pPr>
            <w:r w:rsidRPr="00F96CB2">
              <w:rPr>
                <w:b/>
              </w:rPr>
              <w:lastRenderedPageBreak/>
              <w:t>2. Health Service Delivery</w:t>
            </w:r>
          </w:p>
        </w:tc>
      </w:tr>
      <w:tr w:rsidR="004E2103" w:rsidRPr="00745FE3" w:rsidTr="004E2103">
        <w:trPr>
          <w:tblHeader w:val="0"/>
        </w:trPr>
        <w:tc>
          <w:tcPr>
            <w:tcW w:w="660" w:type="pct"/>
          </w:tcPr>
          <w:p w:rsidR="004E2103" w:rsidRPr="00745FE3" w:rsidRDefault="004E2103" w:rsidP="006E6A1C">
            <w:pPr>
              <w:pStyle w:val="TableTextEntries"/>
            </w:pPr>
            <w:r w:rsidRPr="00745FE3">
              <w:t>Increased access to quality health services for the poor, women and children, progressing</w:t>
            </w:r>
            <w:r>
              <w:t xml:space="preserve"> </w:t>
            </w:r>
            <w:r w:rsidRPr="00745FE3">
              <w:t>towards the health MDGs.</w:t>
            </w:r>
          </w:p>
        </w:tc>
        <w:tc>
          <w:tcPr>
            <w:tcW w:w="558" w:type="pct"/>
          </w:tcPr>
          <w:p w:rsidR="004E2103" w:rsidRPr="00F96CB2" w:rsidRDefault="004E2103" w:rsidP="006E6A1C">
            <w:pPr>
              <w:pStyle w:val="TableTextEntries"/>
            </w:pPr>
            <w:r w:rsidRPr="00F96CB2">
              <w:t xml:space="preserve">2. Increased access to quality health services through improved health management </w:t>
            </w:r>
          </w:p>
        </w:tc>
        <w:tc>
          <w:tcPr>
            <w:tcW w:w="583" w:type="pct"/>
          </w:tcPr>
          <w:p w:rsidR="004E2103" w:rsidRPr="00745FE3" w:rsidRDefault="004E2103" w:rsidP="00E50CCC">
            <w:pPr>
              <w:pStyle w:val="TableListBullet"/>
              <w:ind w:left="105" w:hanging="105"/>
            </w:pPr>
            <w:r>
              <w:t>N</w:t>
            </w:r>
            <w:r w:rsidRPr="00745FE3">
              <w:t>umber of births attended by trained health staff</w:t>
            </w:r>
            <w:r>
              <w:t>.</w:t>
            </w:r>
          </w:p>
          <w:p w:rsidR="004E2103" w:rsidRPr="00745FE3" w:rsidRDefault="004E2103" w:rsidP="00E50CCC">
            <w:pPr>
              <w:pStyle w:val="TableListBullet"/>
              <w:ind w:left="105" w:hanging="105"/>
            </w:pPr>
            <w:r>
              <w:t>C</w:t>
            </w:r>
            <w:r w:rsidRPr="00745FE3">
              <w:t>overage of Health Equity Funds and Community Based Health Insurance</w:t>
            </w:r>
            <w:r>
              <w:t>.</w:t>
            </w:r>
          </w:p>
          <w:p w:rsidR="004E2103" w:rsidRPr="00745FE3" w:rsidRDefault="004E2103" w:rsidP="00E50CCC">
            <w:pPr>
              <w:pStyle w:val="TableListBullet"/>
              <w:ind w:left="105" w:hanging="105"/>
            </w:pPr>
            <w:r>
              <w:t>N</w:t>
            </w:r>
            <w:r w:rsidRPr="00745FE3">
              <w:t>umber of sites offering harm reduction services</w:t>
            </w:r>
            <w:r>
              <w:t>.</w:t>
            </w:r>
          </w:p>
        </w:tc>
        <w:tc>
          <w:tcPr>
            <w:tcW w:w="643" w:type="pct"/>
          </w:tcPr>
          <w:p w:rsidR="004E2103" w:rsidRPr="00745FE3" w:rsidRDefault="004E2103" w:rsidP="00E50CCC">
            <w:pPr>
              <w:pStyle w:val="TableListBullet"/>
              <w:ind w:left="105" w:hanging="105"/>
            </w:pPr>
            <w:r w:rsidRPr="00745FE3">
              <w:t>281</w:t>
            </w:r>
            <w:r>
              <w:t xml:space="preserve"> </w:t>
            </w:r>
            <w:r w:rsidRPr="00745FE3">
              <w:t>822 births attended by trained health staff (AusAID contribution: 17</w:t>
            </w:r>
            <w:r>
              <w:t xml:space="preserve"> </w:t>
            </w:r>
            <w:r w:rsidRPr="00745FE3">
              <w:t>502)</w:t>
            </w:r>
            <w:r>
              <w:t>.</w:t>
            </w:r>
          </w:p>
          <w:p w:rsidR="004E2103" w:rsidRPr="00745FE3" w:rsidRDefault="004E2103" w:rsidP="00E50CCC">
            <w:pPr>
              <w:pStyle w:val="TableListBullet"/>
              <w:ind w:left="105" w:hanging="105"/>
            </w:pPr>
            <w:r w:rsidRPr="00745FE3">
              <w:t>78% of poor people now able to access health care through the health equity funds</w:t>
            </w:r>
            <w:r>
              <w:t>.</w:t>
            </w:r>
          </w:p>
          <w:p w:rsidR="004E2103" w:rsidRPr="00745FE3" w:rsidRDefault="004E2103" w:rsidP="00E50CCC">
            <w:pPr>
              <w:pStyle w:val="TableListBullet"/>
              <w:ind w:left="105" w:hanging="105"/>
            </w:pPr>
            <w:r>
              <w:t>Four</w:t>
            </w:r>
            <w:r w:rsidRPr="00745FE3">
              <w:t xml:space="preserve"> sites (</w:t>
            </w:r>
            <w:r>
              <w:t>three</w:t>
            </w:r>
            <w:r w:rsidRPr="00745FE3">
              <w:t xml:space="preserve"> needle and syringe program and </w:t>
            </w:r>
            <w:r>
              <w:t>one</w:t>
            </w:r>
            <w:r w:rsidRPr="00745FE3">
              <w:t xml:space="preserve"> methadone maintenance therapy) providing </w:t>
            </w:r>
            <w:r w:rsidRPr="00745FE3">
              <w:lastRenderedPageBreak/>
              <w:t>harm reduction services for people who inject drugs</w:t>
            </w:r>
            <w:r>
              <w:t>.</w:t>
            </w:r>
          </w:p>
          <w:p w:rsidR="004E2103" w:rsidRPr="00745FE3" w:rsidRDefault="004E2103" w:rsidP="00E50CCC">
            <w:pPr>
              <w:pStyle w:val="TableListBullet"/>
              <w:ind w:left="105" w:hanging="105"/>
            </w:pPr>
            <w:r>
              <w:t>Q</w:t>
            </w:r>
            <w:r w:rsidRPr="00745FE3">
              <w:t xml:space="preserve">uality </w:t>
            </w:r>
            <w:r>
              <w:t xml:space="preserve">of </w:t>
            </w:r>
            <w:r w:rsidRPr="00745FE3">
              <w:t xml:space="preserve">health care </w:t>
            </w:r>
            <w:r>
              <w:t xml:space="preserve">improved by </w:t>
            </w:r>
            <w:r w:rsidRPr="00745FE3">
              <w:t xml:space="preserve">supporting pre-service training for midwives through </w:t>
            </w:r>
            <w:r>
              <w:t>seven</w:t>
            </w:r>
            <w:r w:rsidRPr="00745FE3">
              <w:t xml:space="preserve"> Australian volunteer midwives</w:t>
            </w:r>
            <w:r>
              <w:t>,</w:t>
            </w:r>
            <w:r w:rsidRPr="00745FE3">
              <w:t xml:space="preserve"> and </w:t>
            </w:r>
            <w:r>
              <w:t xml:space="preserve">by </w:t>
            </w:r>
            <w:r w:rsidRPr="00745FE3">
              <w:t>supporting establishment of national medical examinations</w:t>
            </w:r>
            <w:r>
              <w:t>.</w:t>
            </w:r>
          </w:p>
          <w:p w:rsidR="004E2103" w:rsidRPr="00745FE3" w:rsidRDefault="004E2103" w:rsidP="00E50CCC">
            <w:pPr>
              <w:pStyle w:val="TableListBullet"/>
              <w:ind w:left="105" w:hanging="105"/>
            </w:pPr>
            <w:r>
              <w:t>V</w:t>
            </w:r>
            <w:r w:rsidRPr="00745FE3">
              <w:t xml:space="preserve">alue for money assessment of training funded through our program </w:t>
            </w:r>
            <w:r>
              <w:t>c</w:t>
            </w:r>
            <w:r w:rsidRPr="00745FE3">
              <w:t>onducted to improve efficiency</w:t>
            </w:r>
            <w:r>
              <w:t>.</w:t>
            </w:r>
          </w:p>
          <w:p w:rsidR="004E2103" w:rsidRPr="00745FE3" w:rsidRDefault="004E2103" w:rsidP="00E50CCC">
            <w:pPr>
              <w:pStyle w:val="TableListBullet"/>
              <w:ind w:left="105" w:hanging="105"/>
            </w:pPr>
            <w:r>
              <w:t>J</w:t>
            </w:r>
            <w:r w:rsidRPr="00745FE3">
              <w:t>oint</w:t>
            </w:r>
            <w:r>
              <w:t xml:space="preserve"> w</w:t>
            </w:r>
            <w:r w:rsidRPr="00745FE3">
              <w:t>ork</w:t>
            </w:r>
            <w:r>
              <w:t xml:space="preserve"> undertaken </w:t>
            </w:r>
            <w:r w:rsidRPr="00745FE3">
              <w:t xml:space="preserve">with other donors to improve budget efficiency in the </w:t>
            </w:r>
            <w:r>
              <w:t>Ministry of Health</w:t>
            </w:r>
            <w:r w:rsidRPr="00745FE3">
              <w:t xml:space="preserve"> through targeted discussions around the procurement budget</w:t>
            </w:r>
            <w:r>
              <w:t>.</w:t>
            </w:r>
          </w:p>
          <w:p w:rsidR="004E2103" w:rsidRPr="00745FE3" w:rsidRDefault="004E2103" w:rsidP="00E50CCC">
            <w:pPr>
              <w:pStyle w:val="TableListBullet"/>
              <w:ind w:left="105" w:hanging="105"/>
            </w:pPr>
            <w:r>
              <w:t>Q</w:t>
            </w:r>
            <w:r w:rsidRPr="00745FE3">
              <w:t xml:space="preserve">uality and </w:t>
            </w:r>
            <w:r w:rsidRPr="00745FE3">
              <w:lastRenderedPageBreak/>
              <w:t xml:space="preserve">accessibility of care </w:t>
            </w:r>
            <w:r>
              <w:t xml:space="preserve">improved </w:t>
            </w:r>
            <w:r w:rsidRPr="00745FE3">
              <w:t>by supporting the decentralisation of health services through the government’s decentralisation and de</w:t>
            </w:r>
            <w:r>
              <w:t xml:space="preserve"> </w:t>
            </w:r>
            <w:r w:rsidRPr="00745FE3">
              <w:t>concentration process</w:t>
            </w:r>
            <w:r>
              <w:t>.</w:t>
            </w:r>
          </w:p>
          <w:p w:rsidR="004E2103" w:rsidRPr="00745FE3" w:rsidRDefault="004E2103" w:rsidP="00E50CCC">
            <w:pPr>
              <w:pStyle w:val="TableListBullet"/>
              <w:ind w:left="105" w:hanging="105"/>
            </w:pPr>
            <w:r>
              <w:t>E</w:t>
            </w:r>
            <w:r w:rsidRPr="00745FE3">
              <w:t xml:space="preserve">quitable access to quality services </w:t>
            </w:r>
            <w:r>
              <w:t>s</w:t>
            </w:r>
            <w:r w:rsidRPr="00745FE3">
              <w:t>upport</w:t>
            </w:r>
            <w:r>
              <w:t xml:space="preserve">ed </w:t>
            </w:r>
            <w:r w:rsidRPr="00745FE3">
              <w:t xml:space="preserve">by funding </w:t>
            </w:r>
            <w:r>
              <w:t>non-government organisations</w:t>
            </w:r>
            <w:r w:rsidRPr="00745FE3">
              <w:t xml:space="preserve"> to provide maternal and neonatal care and eye care in hard to reach areas</w:t>
            </w:r>
            <w:r>
              <w:t>.</w:t>
            </w:r>
          </w:p>
        </w:tc>
        <w:tc>
          <w:tcPr>
            <w:tcW w:w="671" w:type="pct"/>
          </w:tcPr>
          <w:p w:rsidR="004E2103" w:rsidRPr="001B19E4" w:rsidRDefault="004E2103" w:rsidP="00E50CCC">
            <w:pPr>
              <w:pStyle w:val="TableListBullet"/>
              <w:ind w:left="105" w:hanging="105"/>
            </w:pPr>
            <w:r w:rsidRPr="00745FE3">
              <w:lastRenderedPageBreak/>
              <w:t>369</w:t>
            </w:r>
            <w:r>
              <w:t xml:space="preserve"> </w:t>
            </w:r>
            <w:r w:rsidRPr="00745FE3">
              <w:t xml:space="preserve">690 births attended by trained health staff </w:t>
            </w:r>
            <w:r w:rsidRPr="001B19E4">
              <w:t>(AusAID contribution: 369 690 x 18/371 = 17</w:t>
            </w:r>
            <w:r>
              <w:t xml:space="preserve"> </w:t>
            </w:r>
            <w:r w:rsidRPr="001B19E4">
              <w:t>936)</w:t>
            </w:r>
            <w:r>
              <w:t>.</w:t>
            </w:r>
          </w:p>
          <w:p w:rsidR="004E2103" w:rsidRPr="00745FE3" w:rsidRDefault="004E2103" w:rsidP="00E50CCC">
            <w:pPr>
              <w:pStyle w:val="TableListBullet"/>
              <w:ind w:left="105" w:hanging="105"/>
            </w:pPr>
            <w:r>
              <w:t>78%</w:t>
            </w:r>
            <w:r w:rsidRPr="00745FE3">
              <w:t xml:space="preserve"> of poor people now able to access health care through the health equity funds</w:t>
            </w:r>
            <w:r>
              <w:t>.</w:t>
            </w:r>
          </w:p>
          <w:p w:rsidR="004E2103" w:rsidRPr="00745FE3" w:rsidRDefault="004E2103" w:rsidP="00E50CCC">
            <w:pPr>
              <w:pStyle w:val="TableListBullet"/>
              <w:ind w:left="105" w:hanging="105"/>
            </w:pPr>
            <w:r>
              <w:t>Five</w:t>
            </w:r>
            <w:r w:rsidRPr="00745FE3">
              <w:t xml:space="preserve"> sites (</w:t>
            </w:r>
            <w:r>
              <w:t>four</w:t>
            </w:r>
            <w:r w:rsidRPr="00745FE3">
              <w:t xml:space="preserve"> needle and syringe program and </w:t>
            </w:r>
            <w:r>
              <w:t>one</w:t>
            </w:r>
            <w:r w:rsidRPr="00745FE3">
              <w:t xml:space="preserve"> methadone maintenance therapy) providing </w:t>
            </w:r>
            <w:r w:rsidRPr="00745FE3">
              <w:lastRenderedPageBreak/>
              <w:t>harm reduction services for people who inject drugs</w:t>
            </w:r>
            <w:r>
              <w:t>.</w:t>
            </w:r>
          </w:p>
        </w:tc>
        <w:tc>
          <w:tcPr>
            <w:tcW w:w="636" w:type="pct"/>
          </w:tcPr>
          <w:p w:rsidR="004E2103" w:rsidRPr="001B19E4" w:rsidRDefault="004E2103" w:rsidP="00E50CCC">
            <w:pPr>
              <w:pStyle w:val="TableListBullet"/>
              <w:ind w:left="105" w:hanging="105"/>
            </w:pPr>
            <w:r>
              <w:lastRenderedPageBreak/>
              <w:t>84%</w:t>
            </w:r>
            <w:r w:rsidRPr="00745FE3">
              <w:t xml:space="preserve"> births attended by trained health staff </w:t>
            </w:r>
            <w:r>
              <w:t>(Australian</w:t>
            </w:r>
            <w:r w:rsidRPr="001B19E4">
              <w:t xml:space="preserve"> contribution: </w:t>
            </w:r>
            <w:r>
              <w:rPr>
                <w:i/>
              </w:rPr>
              <w:t xml:space="preserve">287,662 x 12/328.048 = </w:t>
            </w:r>
            <w:r w:rsidRPr="00CF0544">
              <w:rPr>
                <w:bCs/>
                <w:i/>
              </w:rPr>
              <w:t>11,118 births</w:t>
            </w:r>
            <w:r w:rsidRPr="001B19E4">
              <w:t>)</w:t>
            </w:r>
            <w:r>
              <w:t>.</w:t>
            </w:r>
          </w:p>
          <w:p w:rsidR="004E2103" w:rsidRPr="00745FE3" w:rsidRDefault="004E2103" w:rsidP="00E50CCC">
            <w:pPr>
              <w:pStyle w:val="TableListBullet"/>
              <w:ind w:left="105" w:hanging="105"/>
            </w:pPr>
            <w:r>
              <w:t>93%</w:t>
            </w:r>
            <w:r w:rsidRPr="00745FE3">
              <w:t xml:space="preserve"> of poor people now able to access health care through the health equity funds</w:t>
            </w:r>
            <w:r>
              <w:t>.</w:t>
            </w:r>
          </w:p>
          <w:p w:rsidR="004E2103" w:rsidRPr="00745FE3" w:rsidRDefault="004E2103" w:rsidP="00E50CCC">
            <w:pPr>
              <w:pStyle w:val="TableListBullet"/>
              <w:ind w:left="105" w:hanging="105"/>
            </w:pPr>
            <w:r>
              <w:t>Five</w:t>
            </w:r>
            <w:r w:rsidRPr="00745FE3">
              <w:t xml:space="preserve"> sites (</w:t>
            </w:r>
            <w:r>
              <w:t>four</w:t>
            </w:r>
            <w:r w:rsidRPr="00745FE3">
              <w:t xml:space="preserve"> needle and syringe program and </w:t>
            </w:r>
            <w:r>
              <w:t>one</w:t>
            </w:r>
            <w:r w:rsidRPr="00745FE3">
              <w:t xml:space="preserve"> </w:t>
            </w:r>
            <w:r w:rsidRPr="00745FE3">
              <w:lastRenderedPageBreak/>
              <w:t>methadone maintenance therapy) providing harm reduction services for people who inject drugs</w:t>
            </w:r>
            <w:r>
              <w:t>.</w:t>
            </w:r>
          </w:p>
        </w:tc>
        <w:tc>
          <w:tcPr>
            <w:tcW w:w="1169" w:type="pct"/>
          </w:tcPr>
          <w:p w:rsidR="004E2103" w:rsidRPr="00745FE3" w:rsidRDefault="004E2103" w:rsidP="00E50CCC">
            <w:pPr>
              <w:pStyle w:val="TableListBullet"/>
              <w:ind w:left="105" w:hanging="105"/>
            </w:pPr>
            <w:r w:rsidRPr="00745FE3">
              <w:lastRenderedPageBreak/>
              <w:t>Harmonise with other donor partners in the Second Health Sector Support Program through the Joint Partnership Interface Group.</w:t>
            </w:r>
          </w:p>
          <w:p w:rsidR="004E2103" w:rsidRPr="00745FE3" w:rsidRDefault="004E2103" w:rsidP="00E50CCC">
            <w:pPr>
              <w:pStyle w:val="TableListBullet"/>
              <w:ind w:left="105" w:hanging="105"/>
            </w:pPr>
            <w:r w:rsidRPr="00745FE3">
              <w:t xml:space="preserve">Align with </w:t>
            </w:r>
            <w:r>
              <w:t>Cambodian Government’s</w:t>
            </w:r>
            <w:r w:rsidRPr="00745FE3">
              <w:t xml:space="preserve"> National Strategic Plan for Health 2008</w:t>
            </w:r>
            <w:r>
              <w:t>–</w:t>
            </w:r>
            <w:r w:rsidRPr="00745FE3">
              <w:t>2015 and National Strategic Plan for Illicit Drug Related HIV 2008</w:t>
            </w:r>
            <w:r>
              <w:t>–</w:t>
            </w:r>
            <w:r w:rsidRPr="00745FE3">
              <w:t>2010, and support linkages to the national Public Financial Management and Administrative Reform program</w:t>
            </w:r>
            <w:r>
              <w:t>.</w:t>
            </w:r>
          </w:p>
          <w:p w:rsidR="004E2103" w:rsidRPr="00745FE3" w:rsidRDefault="004E2103" w:rsidP="00E50CCC">
            <w:pPr>
              <w:pStyle w:val="TableListBullet"/>
              <w:ind w:left="105" w:hanging="105"/>
            </w:pPr>
            <w:r w:rsidRPr="00745FE3">
              <w:t xml:space="preserve">Support complementary activities with multilateral and bilateral agencies, </w:t>
            </w:r>
            <w:r>
              <w:t>non-government organisations</w:t>
            </w:r>
            <w:r w:rsidRPr="00745FE3">
              <w:t xml:space="preserve"> and universities that provide evidence or pilot new methods for inclusion in Second Health Sector Support Program </w:t>
            </w:r>
            <w:r w:rsidRPr="00745FE3">
              <w:lastRenderedPageBreak/>
              <w:t>and harm reduction activities.</w:t>
            </w:r>
          </w:p>
          <w:p w:rsidR="004E2103" w:rsidRPr="00745FE3" w:rsidRDefault="004E2103" w:rsidP="00E50CCC">
            <w:pPr>
              <w:pStyle w:val="TableListBullet"/>
              <w:ind w:left="105" w:hanging="105"/>
            </w:pPr>
            <w:r w:rsidRPr="00745FE3">
              <w:t xml:space="preserve">Policy, advocacy and technical engagement in the joint </w:t>
            </w:r>
            <w:r>
              <w:t>Cambodian Government–</w:t>
            </w:r>
            <w:r w:rsidRPr="00745FE3">
              <w:t>donor Health Technical Working Group.</w:t>
            </w:r>
          </w:p>
        </w:tc>
      </w:tr>
    </w:tbl>
    <w:p w:rsidR="003C464A" w:rsidRDefault="003C464A" w:rsidP="003C464A">
      <w:r>
        <w:rPr>
          <w:iCs/>
        </w:rPr>
        <w:lastRenderedPageBreak/>
        <w:br w:type="page"/>
      </w:r>
    </w:p>
    <w:tbl>
      <w:tblPr>
        <w:tblStyle w:val="APPR"/>
        <w:tblW w:w="5003" w:type="pct"/>
        <w:tblLayout w:type="fixed"/>
        <w:tblLook w:val="01E0" w:firstRow="1" w:lastRow="1" w:firstColumn="1" w:lastColumn="1" w:noHBand="0" w:noVBand="0"/>
      </w:tblPr>
      <w:tblGrid>
        <w:gridCol w:w="1882"/>
        <w:gridCol w:w="1583"/>
        <w:gridCol w:w="1655"/>
        <w:gridCol w:w="1820"/>
        <w:gridCol w:w="1900"/>
        <w:gridCol w:w="1803"/>
        <w:gridCol w:w="3302"/>
      </w:tblGrid>
      <w:tr w:rsidR="003C464A" w:rsidRPr="00745FE3" w:rsidTr="006E6A1C">
        <w:trPr>
          <w:cnfStyle w:val="100000000000" w:firstRow="1" w:lastRow="0" w:firstColumn="0" w:lastColumn="0" w:oddVBand="0" w:evenVBand="0" w:oddHBand="0" w:evenHBand="0" w:firstRowFirstColumn="0" w:firstRowLastColumn="0" w:lastRowFirstColumn="0" w:lastRowLastColumn="0"/>
          <w:tblHeader w:val="0"/>
        </w:trPr>
        <w:tc>
          <w:tcPr>
            <w:tcW w:w="4980" w:type="pct"/>
            <w:gridSpan w:val="7"/>
          </w:tcPr>
          <w:p w:rsidR="003C464A" w:rsidRPr="00745FE3" w:rsidRDefault="003C464A" w:rsidP="006E6A1C">
            <w:pPr>
              <w:pStyle w:val="TableListBullet"/>
              <w:numPr>
                <w:ilvl w:val="0"/>
                <w:numId w:val="0"/>
              </w:numPr>
              <w:ind w:left="227" w:hanging="227"/>
            </w:pPr>
            <w:r w:rsidRPr="00F96CB2">
              <w:rPr>
                <w:b w:val="0"/>
              </w:rPr>
              <w:lastRenderedPageBreak/>
              <w:t>3. Infrastructure</w:t>
            </w:r>
          </w:p>
        </w:tc>
      </w:tr>
      <w:tr w:rsidR="004E2103" w:rsidRPr="00745FE3" w:rsidTr="004E2103">
        <w:trPr>
          <w:tblHeader w:val="0"/>
        </w:trPr>
        <w:tc>
          <w:tcPr>
            <w:tcW w:w="668" w:type="pct"/>
          </w:tcPr>
          <w:p w:rsidR="004E2103" w:rsidRPr="00745FE3" w:rsidRDefault="004E2103" w:rsidP="006E6A1C">
            <w:pPr>
              <w:pStyle w:val="TableTextEntries"/>
            </w:pPr>
            <w:r w:rsidRPr="00745FE3">
              <w:t>Increase economic activity in targeted areas</w:t>
            </w:r>
          </w:p>
        </w:tc>
        <w:tc>
          <w:tcPr>
            <w:tcW w:w="565" w:type="pct"/>
          </w:tcPr>
          <w:p w:rsidR="004E2103" w:rsidRPr="00F96CB2" w:rsidRDefault="004E2103" w:rsidP="006E6A1C">
            <w:pPr>
              <w:pStyle w:val="TableTextEntries"/>
            </w:pPr>
            <w:r w:rsidRPr="00F96CB2">
              <w:t>3. Improved transport and energy infrastructure</w:t>
            </w:r>
          </w:p>
        </w:tc>
        <w:tc>
          <w:tcPr>
            <w:tcW w:w="591" w:type="pct"/>
          </w:tcPr>
          <w:p w:rsidR="004E2103" w:rsidRPr="00745FE3" w:rsidRDefault="004E2103" w:rsidP="00E50CCC">
            <w:pPr>
              <w:pStyle w:val="TableListBullet"/>
              <w:ind w:left="105" w:hanging="105"/>
            </w:pPr>
            <w:r w:rsidRPr="00745FE3">
              <w:t>Higher traffic volume on improved rural roads</w:t>
            </w:r>
            <w:r>
              <w:t>.</w:t>
            </w:r>
          </w:p>
          <w:p w:rsidR="004E2103" w:rsidRPr="00745FE3" w:rsidRDefault="004E2103" w:rsidP="00E50CCC">
            <w:pPr>
              <w:pStyle w:val="TableListBullet"/>
              <w:ind w:left="105" w:hanging="105"/>
            </w:pPr>
            <w:r w:rsidRPr="00745FE3">
              <w:t>Lower passenger and freight vehicle operating costs</w:t>
            </w:r>
            <w:r>
              <w:t xml:space="preserve"> and</w:t>
            </w:r>
            <w:r w:rsidRPr="00745FE3">
              <w:t xml:space="preserve"> travel times on improved rural roads</w:t>
            </w:r>
            <w:r>
              <w:t>.</w:t>
            </w:r>
          </w:p>
          <w:p w:rsidR="004E2103" w:rsidRPr="00745FE3" w:rsidRDefault="004E2103" w:rsidP="00E50CCC">
            <w:pPr>
              <w:pStyle w:val="TableListBullet"/>
              <w:ind w:left="105" w:hanging="105"/>
            </w:pPr>
            <w:r>
              <w:t>More</w:t>
            </w:r>
            <w:r w:rsidRPr="00745FE3">
              <w:t xml:space="preserve"> rural households benefiting from electricity provision</w:t>
            </w:r>
            <w:r>
              <w:t>.</w:t>
            </w:r>
          </w:p>
          <w:p w:rsidR="004E2103" w:rsidRPr="00745FE3" w:rsidRDefault="004E2103" w:rsidP="00E50CCC">
            <w:pPr>
              <w:pStyle w:val="TableListBullet"/>
              <w:ind w:left="105" w:hanging="105"/>
            </w:pPr>
            <w:r w:rsidRPr="00745FE3">
              <w:t>Improved arrangements for infrastructure operations and maintenance</w:t>
            </w:r>
            <w:r>
              <w:t>.</w:t>
            </w:r>
          </w:p>
          <w:p w:rsidR="004E2103" w:rsidRPr="00745FE3" w:rsidRDefault="004E2103" w:rsidP="00E50CCC">
            <w:pPr>
              <w:pStyle w:val="TableListBullet"/>
              <w:ind w:left="105" w:hanging="105"/>
            </w:pPr>
            <w:r w:rsidRPr="00745FE3">
              <w:t xml:space="preserve">National railway for freight is operational </w:t>
            </w:r>
            <w:r>
              <w:t xml:space="preserve">and </w:t>
            </w:r>
            <w:r w:rsidRPr="00745FE3">
              <w:t>competitive with national road transports</w:t>
            </w:r>
            <w:r>
              <w:t>.</w:t>
            </w:r>
          </w:p>
        </w:tc>
        <w:tc>
          <w:tcPr>
            <w:tcW w:w="650" w:type="pct"/>
          </w:tcPr>
          <w:p w:rsidR="004E2103" w:rsidRPr="00745FE3" w:rsidRDefault="004E2103" w:rsidP="00E50CCC">
            <w:pPr>
              <w:pStyle w:val="TableListBullet"/>
              <w:ind w:left="105" w:hanging="105"/>
            </w:pPr>
            <w:r w:rsidRPr="00745FE3">
              <w:t>Expanded income restoration program commence</w:t>
            </w:r>
            <w:r>
              <w:t>d</w:t>
            </w:r>
            <w:r w:rsidRPr="00745FE3">
              <w:t xml:space="preserve"> (rail project)</w:t>
            </w:r>
            <w:r>
              <w:t>.</w:t>
            </w:r>
          </w:p>
          <w:p w:rsidR="004E2103" w:rsidRPr="00745FE3" w:rsidRDefault="004E2103" w:rsidP="00E50CCC">
            <w:pPr>
              <w:pStyle w:val="TableListBullet"/>
              <w:ind w:left="105" w:hanging="105"/>
            </w:pPr>
            <w:r w:rsidRPr="00745FE3">
              <w:t>Clea</w:t>
            </w:r>
            <w:r>
              <w:t>r</w:t>
            </w:r>
            <w:r w:rsidRPr="00745FE3">
              <w:t xml:space="preserve"> </w:t>
            </w:r>
            <w:r>
              <w:t>unexploded ordnance</w:t>
            </w:r>
            <w:r w:rsidRPr="00745FE3">
              <w:t xml:space="preserve"> to start civil works (completed)</w:t>
            </w:r>
            <w:r>
              <w:t>.</w:t>
            </w:r>
          </w:p>
          <w:p w:rsidR="004E2103" w:rsidRPr="00745FE3" w:rsidRDefault="004E2103" w:rsidP="00E50CCC">
            <w:pPr>
              <w:pStyle w:val="TableListBullet"/>
              <w:ind w:left="105" w:hanging="105"/>
            </w:pPr>
            <w:r w:rsidRPr="00745FE3">
              <w:t>Award civil work contracts (done)</w:t>
            </w:r>
            <w:r>
              <w:t>.</w:t>
            </w:r>
          </w:p>
          <w:p w:rsidR="004E2103" w:rsidRPr="00745FE3" w:rsidRDefault="004E2103" w:rsidP="00E50CCC">
            <w:pPr>
              <w:pStyle w:val="TableListBullet"/>
              <w:ind w:left="105" w:hanging="105"/>
            </w:pPr>
            <w:r w:rsidRPr="00745FE3">
              <w:t>Upgrad</w:t>
            </w:r>
            <w:r>
              <w:t>e</w:t>
            </w:r>
            <w:r w:rsidRPr="00745FE3">
              <w:t xml:space="preserve"> and maintain roads in the project target areas (partially completed)</w:t>
            </w:r>
            <w:r>
              <w:t>.</w:t>
            </w:r>
          </w:p>
          <w:p w:rsidR="004E2103" w:rsidRPr="00745FE3" w:rsidRDefault="004E2103" w:rsidP="00E50CCC">
            <w:pPr>
              <w:pStyle w:val="TableListBullet"/>
              <w:ind w:left="105" w:hanging="105"/>
            </w:pPr>
            <w:r>
              <w:t>Construct</w:t>
            </w:r>
            <w:r w:rsidRPr="00745FE3">
              <w:t xml:space="preserve"> a </w:t>
            </w:r>
            <w:r>
              <w:t>cross border facility</w:t>
            </w:r>
            <w:r w:rsidRPr="00745FE3">
              <w:t xml:space="preserve"> to facilitate cross border movement (ongoing)</w:t>
            </w:r>
            <w:r>
              <w:t>.</w:t>
            </w:r>
          </w:p>
          <w:p w:rsidR="004E2103" w:rsidRPr="00745FE3" w:rsidRDefault="004E2103" w:rsidP="00E50CCC">
            <w:pPr>
              <w:pStyle w:val="TableListBullet"/>
              <w:ind w:left="105" w:hanging="105"/>
            </w:pPr>
            <w:r w:rsidRPr="00745FE3">
              <w:t>Implement resettlement plans (ongoing)</w:t>
            </w:r>
          </w:p>
          <w:p w:rsidR="004E2103" w:rsidRPr="00745FE3" w:rsidRDefault="004E2103" w:rsidP="00E50CCC">
            <w:pPr>
              <w:pStyle w:val="TableListBullet"/>
              <w:ind w:left="105" w:hanging="105"/>
            </w:pPr>
            <w:r w:rsidRPr="00745FE3">
              <w:t>Implement environment management plan</w:t>
            </w:r>
            <w:r>
              <w:t>.</w:t>
            </w:r>
          </w:p>
          <w:p w:rsidR="004E2103" w:rsidRPr="00745FE3" w:rsidRDefault="004E2103" w:rsidP="00E50CCC">
            <w:pPr>
              <w:pStyle w:val="TableListBullet"/>
              <w:ind w:left="105" w:hanging="105"/>
            </w:pPr>
            <w:r w:rsidRPr="00745FE3">
              <w:t xml:space="preserve">Approve and </w:t>
            </w:r>
            <w:r>
              <w:t>i</w:t>
            </w:r>
            <w:r w:rsidRPr="00745FE3">
              <w:t>mplement income restoration program at resettlement sites</w:t>
            </w:r>
            <w:r>
              <w:t>.</w:t>
            </w:r>
          </w:p>
          <w:p w:rsidR="004E2103" w:rsidRPr="00745FE3" w:rsidRDefault="004E2103" w:rsidP="00E50CCC">
            <w:pPr>
              <w:pStyle w:val="TableListBullet"/>
              <w:ind w:left="105" w:hanging="105"/>
            </w:pPr>
            <w:r w:rsidRPr="00745FE3">
              <w:t xml:space="preserve">Approve and implement HIV/AIDS, Trafficking </w:t>
            </w:r>
            <w:r w:rsidRPr="00745FE3">
              <w:lastRenderedPageBreak/>
              <w:t>Awareness and Prevention Program (ongoing)</w:t>
            </w:r>
            <w:r>
              <w:t>.</w:t>
            </w:r>
          </w:p>
          <w:p w:rsidR="004E2103" w:rsidRPr="00745FE3" w:rsidRDefault="004E2103" w:rsidP="00E50CCC">
            <w:pPr>
              <w:pStyle w:val="TableListBullet"/>
              <w:ind w:left="105" w:hanging="105"/>
            </w:pPr>
            <w:r w:rsidRPr="00745FE3">
              <w:t>Establish project-specific website (done)</w:t>
            </w:r>
            <w:r>
              <w:t>.</w:t>
            </w:r>
          </w:p>
          <w:p w:rsidR="004E2103" w:rsidRPr="00745FE3" w:rsidRDefault="004E2103" w:rsidP="00E50CCC">
            <w:pPr>
              <w:pStyle w:val="TableListBullet"/>
              <w:ind w:left="105" w:hanging="105"/>
            </w:pPr>
            <w:r w:rsidRPr="00745FE3">
              <w:t>Complet</w:t>
            </w:r>
            <w:r>
              <w:t>e road maintenance program for Y</w:t>
            </w:r>
            <w:r w:rsidRPr="00745FE3">
              <w:t xml:space="preserve">ear 2 and </w:t>
            </w:r>
            <w:r>
              <w:t>start</w:t>
            </w:r>
            <w:r w:rsidRPr="00745FE3">
              <w:t xml:space="preserve"> road maintenance program for </w:t>
            </w:r>
            <w:r>
              <w:t>Y</w:t>
            </w:r>
            <w:r w:rsidRPr="00745FE3">
              <w:t>ear 3</w:t>
            </w:r>
            <w:r>
              <w:t>.</w:t>
            </w:r>
          </w:p>
          <w:p w:rsidR="004E2103" w:rsidRPr="00745FE3" w:rsidRDefault="004E2103" w:rsidP="00E50CCC">
            <w:pPr>
              <w:pStyle w:val="TableListBullet"/>
              <w:ind w:left="105" w:hanging="105"/>
            </w:pPr>
            <w:r>
              <w:t>Commence</w:t>
            </w:r>
            <w:r w:rsidRPr="00745FE3">
              <w:t xml:space="preserve"> rural electrification civil works</w:t>
            </w:r>
            <w:r>
              <w:t>.</w:t>
            </w:r>
          </w:p>
        </w:tc>
        <w:tc>
          <w:tcPr>
            <w:tcW w:w="679" w:type="pct"/>
          </w:tcPr>
          <w:p w:rsidR="004E2103" w:rsidRPr="00745FE3" w:rsidRDefault="004E2103" w:rsidP="00E50CCC">
            <w:pPr>
              <w:pStyle w:val="TableListBullet"/>
              <w:ind w:left="105" w:hanging="105"/>
            </w:pPr>
            <w:r w:rsidRPr="00745FE3">
              <w:lastRenderedPageBreak/>
              <w:t>Completed the civ</w:t>
            </w:r>
            <w:r>
              <w:t>il works by the contractors as per</w:t>
            </w:r>
            <w:r w:rsidRPr="00745FE3">
              <w:t xml:space="preserve"> revised plan</w:t>
            </w:r>
            <w:r>
              <w:t xml:space="preserve"> (Almost complete).</w:t>
            </w:r>
          </w:p>
          <w:p w:rsidR="004E2103" w:rsidRPr="00745FE3" w:rsidRDefault="004E2103" w:rsidP="00E50CCC">
            <w:pPr>
              <w:pStyle w:val="TableListBullet"/>
              <w:ind w:left="105" w:hanging="105"/>
            </w:pPr>
            <w:r>
              <w:t xml:space="preserve">One </w:t>
            </w:r>
            <w:r w:rsidRPr="00745FE3">
              <w:t>periodic a</w:t>
            </w:r>
            <w:r>
              <w:t>nd routine maintenance contract</w:t>
            </w:r>
            <w:r w:rsidRPr="00745FE3">
              <w:t xml:space="preserve"> awarded through a competitive bidding process</w:t>
            </w:r>
            <w:r>
              <w:t xml:space="preserve"> (Fully achieved).</w:t>
            </w:r>
          </w:p>
          <w:p w:rsidR="004E2103" w:rsidRPr="00AB5DD2" w:rsidRDefault="004E2103" w:rsidP="00E50CCC">
            <w:pPr>
              <w:pStyle w:val="TableListBullet"/>
              <w:ind w:left="105" w:hanging="105"/>
            </w:pPr>
            <w:r w:rsidRPr="00AB5DD2">
              <w:t>100 resettlement cases resolved (95 cases resolved, 19 rejected and 2 deferred due to changes in project scope).</w:t>
            </w:r>
          </w:p>
          <w:p w:rsidR="004E2103" w:rsidRPr="000A2BC3" w:rsidRDefault="004E2103" w:rsidP="00E50CCC">
            <w:pPr>
              <w:pStyle w:val="TableListBullet"/>
              <w:ind w:left="105" w:hanging="105"/>
            </w:pPr>
            <w:r>
              <w:t xml:space="preserve">500 </w:t>
            </w:r>
            <w:r w:rsidRPr="00745FE3">
              <w:t xml:space="preserve">affected households </w:t>
            </w:r>
            <w:r>
              <w:t>accessing low income loan and safety net grant (Fully achieved).</w:t>
            </w:r>
          </w:p>
          <w:p w:rsidR="004E2103" w:rsidRPr="00745FE3" w:rsidRDefault="004E2103" w:rsidP="00E50CCC">
            <w:pPr>
              <w:pStyle w:val="TableListBullet"/>
              <w:ind w:left="105" w:hanging="105"/>
            </w:pPr>
            <w:r>
              <w:t>Implementation of</w:t>
            </w:r>
            <w:r w:rsidRPr="00745FE3">
              <w:t xml:space="preserve"> </w:t>
            </w:r>
            <w:r>
              <w:t>road safety awareness program (Fully achieved).</w:t>
            </w:r>
          </w:p>
          <w:p w:rsidR="004E2103" w:rsidRPr="00745FE3" w:rsidRDefault="004E2103" w:rsidP="00E50CCC">
            <w:pPr>
              <w:pStyle w:val="TableListBullet"/>
              <w:ind w:left="105" w:hanging="105"/>
            </w:pPr>
            <w:r w:rsidRPr="00745FE3">
              <w:t>Established market rate for maintenance activities in Cambodia</w:t>
            </w:r>
            <w:r>
              <w:t xml:space="preserve"> (not achieved).</w:t>
            </w:r>
          </w:p>
          <w:p w:rsidR="004E2103" w:rsidRPr="00745FE3" w:rsidRDefault="004E2103" w:rsidP="00E50CCC">
            <w:pPr>
              <w:pStyle w:val="TableListBullet"/>
              <w:numPr>
                <w:ilvl w:val="0"/>
                <w:numId w:val="0"/>
              </w:numPr>
              <w:ind w:left="105" w:hanging="105"/>
            </w:pPr>
          </w:p>
        </w:tc>
        <w:tc>
          <w:tcPr>
            <w:tcW w:w="644" w:type="pct"/>
          </w:tcPr>
          <w:p w:rsidR="004E2103" w:rsidRDefault="004E2103" w:rsidP="00E50CCC">
            <w:pPr>
              <w:pStyle w:val="TableListBullet"/>
              <w:ind w:left="105" w:hanging="105"/>
            </w:pPr>
            <w:r>
              <w:t xml:space="preserve">Southern Coastal Corridor Project complete, with all works contracts in compliance with contract conditions Road Asset Management Project complete, with all works contracts in compliance with contract conditions </w:t>
            </w:r>
          </w:p>
          <w:p w:rsidR="004E2103" w:rsidRDefault="004E2103" w:rsidP="00E50CCC">
            <w:pPr>
              <w:pStyle w:val="TableListBullet"/>
              <w:ind w:left="105" w:hanging="105"/>
            </w:pPr>
            <w:r>
              <w:t>Cross Border Facility at VN Border operational</w:t>
            </w:r>
          </w:p>
          <w:p w:rsidR="004E2103" w:rsidRDefault="004E2103" w:rsidP="00E50CCC">
            <w:pPr>
              <w:pStyle w:val="TableListBullet"/>
              <w:ind w:left="105" w:hanging="105"/>
            </w:pPr>
            <w:r>
              <w:t>Road Data Collection Management Unit in MPWT starts generating the annual roads maintenance planning prioritization</w:t>
            </w:r>
          </w:p>
          <w:p w:rsidR="004E2103" w:rsidRDefault="004E2103" w:rsidP="00E50CCC">
            <w:pPr>
              <w:pStyle w:val="TableListBullet"/>
              <w:ind w:left="105" w:hanging="105"/>
            </w:pPr>
            <w:r>
              <w:t>Commencement of medium voltage distribution works on the ground</w:t>
            </w:r>
          </w:p>
          <w:p w:rsidR="004E2103" w:rsidRDefault="004E2103" w:rsidP="00E50CCC">
            <w:pPr>
              <w:pStyle w:val="TableListBullet"/>
              <w:ind w:left="105" w:hanging="105"/>
            </w:pPr>
            <w:r>
              <w:t xml:space="preserve">80% of physical completion of national, provincial and rural roads under Flood Damage Emergency Reconstruction </w:t>
            </w:r>
            <w:r>
              <w:lastRenderedPageBreak/>
              <w:t>Project I</w:t>
            </w:r>
          </w:p>
          <w:p w:rsidR="004E2103" w:rsidRDefault="004E2103" w:rsidP="00E50CCC">
            <w:pPr>
              <w:pStyle w:val="TableListBullet"/>
              <w:ind w:left="105" w:hanging="105"/>
            </w:pPr>
            <w:r>
              <w:t>Commencement of civil works of Additional Financing Flood Damage Emergency Reconstruction Project</w:t>
            </w:r>
          </w:p>
          <w:p w:rsidR="004E2103" w:rsidRDefault="004E2103" w:rsidP="00E50CCC">
            <w:pPr>
              <w:pStyle w:val="TableListBullet"/>
              <w:ind w:left="105" w:hanging="105"/>
            </w:pPr>
            <w:r>
              <w:t>First contracts awarded under Rural Roads Improvement Project</w:t>
            </w:r>
          </w:p>
          <w:p w:rsidR="004E2103" w:rsidRPr="00745FE3" w:rsidRDefault="004E2103" w:rsidP="00E50CCC">
            <w:pPr>
              <w:pStyle w:val="TableListBullet"/>
              <w:ind w:left="105" w:hanging="105"/>
            </w:pPr>
            <w:r>
              <w:t>Additional Australian supported projects for Household Affected by Railway Rehabilitation complete.</w:t>
            </w:r>
          </w:p>
        </w:tc>
        <w:tc>
          <w:tcPr>
            <w:tcW w:w="1123" w:type="pct"/>
          </w:tcPr>
          <w:p w:rsidR="004E2103" w:rsidRPr="00745FE3" w:rsidRDefault="004E2103" w:rsidP="00E50CCC">
            <w:pPr>
              <w:pStyle w:val="TableListBullet"/>
              <w:ind w:left="105" w:hanging="105"/>
            </w:pPr>
            <w:r w:rsidRPr="00745FE3">
              <w:lastRenderedPageBreak/>
              <w:t>Southern Coastal Corridor Project (A</w:t>
            </w:r>
            <w:r>
              <w:t xml:space="preserve">sian </w:t>
            </w:r>
            <w:r w:rsidRPr="00745FE3">
              <w:t>D</w:t>
            </w:r>
            <w:r>
              <w:t xml:space="preserve">evelopment </w:t>
            </w:r>
            <w:r w:rsidRPr="00745FE3">
              <w:t>B</w:t>
            </w:r>
            <w:r>
              <w:t>ank</w:t>
            </w:r>
            <w:r w:rsidRPr="00745FE3">
              <w:t>)</w:t>
            </w:r>
            <w:r>
              <w:t>.</w:t>
            </w:r>
          </w:p>
          <w:p w:rsidR="004E2103" w:rsidRPr="00745FE3" w:rsidRDefault="004E2103" w:rsidP="00E50CCC">
            <w:pPr>
              <w:pStyle w:val="TableListBullet"/>
              <w:ind w:left="105" w:hanging="105"/>
            </w:pPr>
            <w:r w:rsidRPr="00745FE3">
              <w:t>Road Asset Management Project (A</w:t>
            </w:r>
            <w:r>
              <w:t xml:space="preserve">sian </w:t>
            </w:r>
            <w:r w:rsidRPr="00745FE3">
              <w:t>D</w:t>
            </w:r>
            <w:r>
              <w:t xml:space="preserve">evelopment </w:t>
            </w:r>
            <w:r w:rsidRPr="00745FE3">
              <w:t>B</w:t>
            </w:r>
            <w:r>
              <w:t>ank</w:t>
            </w:r>
            <w:r w:rsidRPr="00745FE3">
              <w:t>)</w:t>
            </w:r>
            <w:r>
              <w:t>.</w:t>
            </w:r>
          </w:p>
          <w:p w:rsidR="004E2103" w:rsidRPr="00745FE3" w:rsidRDefault="004E2103" w:rsidP="00E50CCC">
            <w:pPr>
              <w:pStyle w:val="TableListBullet"/>
              <w:ind w:left="105" w:hanging="105"/>
            </w:pPr>
            <w:r w:rsidRPr="00745FE3">
              <w:t>Rural Electrification and Transmission project (A</w:t>
            </w:r>
            <w:r>
              <w:t xml:space="preserve">sian </w:t>
            </w:r>
            <w:r w:rsidRPr="00745FE3">
              <w:t>D</w:t>
            </w:r>
            <w:r>
              <w:t xml:space="preserve">evelopment </w:t>
            </w:r>
            <w:r w:rsidRPr="00745FE3">
              <w:t>B</w:t>
            </w:r>
            <w:r>
              <w:t>ank</w:t>
            </w:r>
            <w:r w:rsidRPr="00745FE3">
              <w:t>)</w:t>
            </w:r>
            <w:r>
              <w:t>.</w:t>
            </w:r>
          </w:p>
          <w:p w:rsidR="004E2103" w:rsidRDefault="004E2103" w:rsidP="00E50CCC">
            <w:pPr>
              <w:pStyle w:val="TableListBullet"/>
              <w:ind w:left="105" w:hanging="105"/>
            </w:pPr>
            <w:r w:rsidRPr="00745FE3">
              <w:t>Cambodia Railway Rehabilitation Project (A</w:t>
            </w:r>
            <w:r>
              <w:t xml:space="preserve">sian </w:t>
            </w:r>
            <w:r w:rsidRPr="00745FE3">
              <w:t>D</w:t>
            </w:r>
            <w:r>
              <w:t xml:space="preserve">evelopment </w:t>
            </w:r>
            <w:r w:rsidRPr="00745FE3">
              <w:t>B</w:t>
            </w:r>
            <w:r>
              <w:t>ank</w:t>
            </w:r>
            <w:r w:rsidRPr="00745FE3">
              <w:t>)</w:t>
            </w:r>
            <w:r>
              <w:t>.</w:t>
            </w:r>
          </w:p>
          <w:p w:rsidR="004E2103" w:rsidRDefault="004E2103" w:rsidP="00E50CCC">
            <w:pPr>
              <w:pStyle w:val="TableListBullet"/>
              <w:ind w:left="105" w:hanging="105"/>
            </w:pPr>
            <w:r>
              <w:t>Flood Damage Emergency and Rehabilitation Project I (Asian Development Bank).</w:t>
            </w:r>
          </w:p>
          <w:p w:rsidR="004E2103" w:rsidRDefault="004E2103" w:rsidP="00E50CCC">
            <w:pPr>
              <w:pStyle w:val="TableListBullet"/>
              <w:ind w:left="105" w:hanging="105"/>
            </w:pPr>
            <w:r>
              <w:t>Flood Damage Emergency and Rehabilitation Project II (Asian Development Bank).</w:t>
            </w:r>
          </w:p>
          <w:p w:rsidR="004E2103" w:rsidRPr="00745FE3" w:rsidRDefault="004E2103" w:rsidP="00E50CCC">
            <w:pPr>
              <w:pStyle w:val="TableListBullet"/>
              <w:ind w:left="105" w:hanging="105"/>
            </w:pPr>
            <w:r>
              <w:t xml:space="preserve">Rural Roads Improvement Project (Asian Development Bank). </w:t>
            </w:r>
          </w:p>
        </w:tc>
      </w:tr>
      <w:tr w:rsidR="003C464A" w:rsidRPr="00745FE3" w:rsidTr="006E6A1C">
        <w:trPr>
          <w:cnfStyle w:val="000000010000" w:firstRow="0" w:lastRow="0" w:firstColumn="0" w:lastColumn="0" w:oddVBand="0" w:evenVBand="0" w:oddHBand="0" w:evenHBand="1" w:firstRowFirstColumn="0" w:firstRowLastColumn="0" w:lastRowFirstColumn="0" w:lastRowLastColumn="0"/>
          <w:tblHeader w:val="0"/>
        </w:trPr>
        <w:tc>
          <w:tcPr>
            <w:tcW w:w="4980" w:type="pct"/>
            <w:gridSpan w:val="7"/>
          </w:tcPr>
          <w:p w:rsidR="003C464A" w:rsidRPr="00745FE3" w:rsidRDefault="003C464A" w:rsidP="006E6A1C">
            <w:pPr>
              <w:pStyle w:val="TableListBullet"/>
              <w:numPr>
                <w:ilvl w:val="0"/>
                <w:numId w:val="0"/>
              </w:numPr>
              <w:ind w:left="227" w:hanging="227"/>
            </w:pPr>
            <w:r w:rsidRPr="00F96CB2">
              <w:rPr>
                <w:b/>
              </w:rPr>
              <w:lastRenderedPageBreak/>
              <w:t>4. Law and justice</w:t>
            </w:r>
          </w:p>
        </w:tc>
      </w:tr>
      <w:tr w:rsidR="004E2103" w:rsidRPr="00745FE3" w:rsidTr="004E2103">
        <w:trPr>
          <w:tblHeader w:val="0"/>
        </w:trPr>
        <w:tc>
          <w:tcPr>
            <w:tcW w:w="668" w:type="pct"/>
          </w:tcPr>
          <w:p w:rsidR="004E2103" w:rsidRPr="00745FE3" w:rsidRDefault="004E2103" w:rsidP="006E6A1C">
            <w:pPr>
              <w:pStyle w:val="TableTextEntries"/>
            </w:pPr>
            <w:r w:rsidRPr="00745FE3">
              <w:t>Prosperous, safe and secure communities in Cambodia</w:t>
            </w:r>
          </w:p>
          <w:p w:rsidR="004E2103" w:rsidRPr="00745FE3" w:rsidRDefault="004E2103" w:rsidP="006E6A1C">
            <w:pPr>
              <w:pStyle w:val="TableTextEntries"/>
            </w:pPr>
          </w:p>
        </w:tc>
        <w:tc>
          <w:tcPr>
            <w:tcW w:w="565" w:type="pct"/>
          </w:tcPr>
          <w:p w:rsidR="004E2103" w:rsidRPr="00F96CB2" w:rsidRDefault="004E2103" w:rsidP="006E6A1C">
            <w:pPr>
              <w:pStyle w:val="TableTextEntries"/>
            </w:pPr>
            <w:r w:rsidRPr="00F96CB2">
              <w:rPr>
                <w:rFonts w:eastAsia="SimSun"/>
              </w:rPr>
              <w:t>4. Women, youth and children are safer and communities have less crime.</w:t>
            </w:r>
            <w:r w:rsidRPr="00F96CB2">
              <w:t xml:space="preserve"> More effective </w:t>
            </w:r>
            <w:r w:rsidRPr="00F96CB2">
              <w:br/>
              <w:t xml:space="preserve">non-custodial sentencing system. </w:t>
            </w:r>
            <w:r w:rsidRPr="00F96CB2">
              <w:rPr>
                <w:bCs/>
              </w:rPr>
              <w:t>Strengthened evidence-based performance</w:t>
            </w:r>
            <w:r w:rsidRPr="00F96CB2">
              <w:t xml:space="preserve"> management.</w:t>
            </w:r>
          </w:p>
          <w:p w:rsidR="004E2103" w:rsidRPr="00745FE3" w:rsidRDefault="004E2103" w:rsidP="006E6A1C">
            <w:pPr>
              <w:pStyle w:val="TableTextEntries"/>
              <w:rPr>
                <w:b/>
              </w:rPr>
            </w:pPr>
          </w:p>
        </w:tc>
        <w:tc>
          <w:tcPr>
            <w:tcW w:w="591" w:type="pct"/>
          </w:tcPr>
          <w:p w:rsidR="004E2103" w:rsidRPr="00745FE3" w:rsidRDefault="004E2103" w:rsidP="00E50CCC">
            <w:pPr>
              <w:pStyle w:val="TableListBullet"/>
              <w:ind w:left="105" w:hanging="105"/>
            </w:pPr>
            <w:r w:rsidRPr="00745FE3">
              <w:t>Australian support will help commune and police posts to prevent crime and assist the formal justice institutions to deal justly with juvenile</w:t>
            </w:r>
            <w:r>
              <w:t>s</w:t>
            </w:r>
            <w:r w:rsidRPr="00745FE3">
              <w:t>, women and other vulnerable groups.</w:t>
            </w:r>
          </w:p>
        </w:tc>
        <w:tc>
          <w:tcPr>
            <w:tcW w:w="650" w:type="pct"/>
          </w:tcPr>
          <w:p w:rsidR="004E2103" w:rsidRPr="00745FE3" w:rsidRDefault="004E2103" w:rsidP="00E50CCC">
            <w:pPr>
              <w:pStyle w:val="TableListBullet"/>
              <w:tabs>
                <w:tab w:val="num" w:pos="227"/>
              </w:tabs>
              <w:ind w:left="105" w:hanging="105"/>
            </w:pPr>
            <w:r w:rsidRPr="00745FE3">
              <w:t>Improved community safety in targeted districts</w:t>
            </w:r>
            <w:r>
              <w:t>.</w:t>
            </w:r>
          </w:p>
          <w:p w:rsidR="004E2103" w:rsidRPr="00745FE3" w:rsidRDefault="004E2103" w:rsidP="00E50CCC">
            <w:pPr>
              <w:pStyle w:val="TableListBullet"/>
              <w:numPr>
                <w:ilvl w:val="0"/>
                <w:numId w:val="0"/>
              </w:numPr>
              <w:ind w:left="105" w:hanging="105"/>
            </w:pPr>
          </w:p>
        </w:tc>
        <w:tc>
          <w:tcPr>
            <w:tcW w:w="679" w:type="pct"/>
          </w:tcPr>
          <w:p w:rsidR="004E2103" w:rsidRPr="00745FE3" w:rsidRDefault="004E2103" w:rsidP="00E50CCC">
            <w:pPr>
              <w:pStyle w:val="TableListBullet"/>
              <w:tabs>
                <w:tab w:val="num" w:pos="227"/>
              </w:tabs>
              <w:ind w:left="105" w:hanging="105"/>
            </w:pPr>
            <w:r>
              <w:t>Community of safety in targeted province improved as there was a higher rate of reported crime to police per 100,000 people decreased from 14 in 2012 to 11 in 2013 (The national figure decreased from 19 to 18 during the same period)</w:t>
            </w:r>
          </w:p>
        </w:tc>
        <w:tc>
          <w:tcPr>
            <w:tcW w:w="644" w:type="pct"/>
          </w:tcPr>
          <w:p w:rsidR="004E2103" w:rsidRPr="00490EFB" w:rsidRDefault="004E2103" w:rsidP="00E50CCC">
            <w:pPr>
              <w:pStyle w:val="TableListBullet"/>
              <w:tabs>
                <w:tab w:val="num" w:pos="227"/>
              </w:tabs>
              <w:ind w:left="105" w:hanging="105"/>
            </w:pPr>
            <w:r w:rsidRPr="00490EFB">
              <w:t>C</w:t>
            </w:r>
            <w:r w:rsidR="006A0A2C">
              <w:t>ambodia National Police</w:t>
            </w:r>
            <w:r w:rsidRPr="00490EFB">
              <w:t xml:space="preserve"> focus on gender based violence </w:t>
            </w:r>
            <w:r w:rsidR="00832DA3">
              <w:t xml:space="preserve">(GBV) </w:t>
            </w:r>
            <w:r w:rsidRPr="00490EFB">
              <w:t>response and prevention increases at national and subnational level</w:t>
            </w:r>
          </w:p>
          <w:p w:rsidR="004E2103" w:rsidRPr="00490EFB" w:rsidRDefault="004E2103" w:rsidP="00E50CCC">
            <w:pPr>
              <w:pStyle w:val="TableListBullet"/>
              <w:tabs>
                <w:tab w:val="num" w:pos="227"/>
              </w:tabs>
              <w:ind w:left="105" w:hanging="105"/>
            </w:pPr>
            <w:r w:rsidRPr="00490EFB">
              <w:t>C</w:t>
            </w:r>
            <w:r w:rsidR="006A0A2C">
              <w:t xml:space="preserve">rime Prevention and Community Safety </w:t>
            </w:r>
            <w:r w:rsidR="00832DA3">
              <w:t xml:space="preserve">(CPCS) </w:t>
            </w:r>
            <w:r w:rsidR="006A0A2C">
              <w:t xml:space="preserve">related </w:t>
            </w:r>
            <w:r w:rsidRPr="00490EFB">
              <w:t xml:space="preserve">requests for CCJAP support at commune level </w:t>
            </w:r>
            <w:r w:rsidRPr="00490EFB">
              <w:lastRenderedPageBreak/>
              <w:t xml:space="preserve">for </w:t>
            </w:r>
            <w:r w:rsidR="006A0A2C">
              <w:t xml:space="preserve">gender based violence </w:t>
            </w:r>
            <w:r w:rsidRPr="00490EFB">
              <w:t xml:space="preserve">activities increase as a percentage of total CPCS related activities. </w:t>
            </w:r>
          </w:p>
          <w:p w:rsidR="004E2103" w:rsidRPr="00490EFB" w:rsidRDefault="004E2103" w:rsidP="00E50CCC">
            <w:pPr>
              <w:pStyle w:val="TableListBullet"/>
              <w:tabs>
                <w:tab w:val="num" w:pos="227"/>
              </w:tabs>
              <w:ind w:left="105" w:hanging="105"/>
            </w:pPr>
            <w:r w:rsidRPr="00490EFB">
              <w:t>M</w:t>
            </w:r>
            <w:r w:rsidR="006A0A2C">
              <w:t>inistry of Interior</w:t>
            </w:r>
            <w:r w:rsidRPr="00490EFB">
              <w:t xml:space="preserve"> agree on role of M</w:t>
            </w:r>
            <w:r w:rsidR="006A0A2C">
              <w:t>inistry of Women’s A</w:t>
            </w:r>
            <w:r w:rsidR="00826609">
              <w:t>f</w:t>
            </w:r>
            <w:r w:rsidR="006A0A2C">
              <w:t>fairs and Ministry of Social Affairs,</w:t>
            </w:r>
            <w:r w:rsidR="00832DA3">
              <w:t xml:space="preserve"> Veteran and Youth Rehabilitation</w:t>
            </w:r>
            <w:r w:rsidRPr="00490EFB">
              <w:t xml:space="preserve"> in GBV CPCS activities </w:t>
            </w:r>
          </w:p>
          <w:p w:rsidR="004E2103" w:rsidRPr="00490EFB" w:rsidRDefault="004E2103" w:rsidP="00E50CCC">
            <w:pPr>
              <w:pStyle w:val="TableListBullet"/>
              <w:tabs>
                <w:tab w:val="num" w:pos="227"/>
              </w:tabs>
              <w:ind w:left="105" w:hanging="105"/>
            </w:pPr>
            <w:r w:rsidRPr="00490EFB">
              <w:t>Rescoped EVAW design agreed</w:t>
            </w:r>
          </w:p>
          <w:p w:rsidR="004E2103" w:rsidRPr="00490EFB" w:rsidRDefault="004E2103" w:rsidP="00E50CCC">
            <w:pPr>
              <w:pStyle w:val="TableListBullet"/>
              <w:tabs>
                <w:tab w:val="num" w:pos="227"/>
              </w:tabs>
              <w:ind w:left="105" w:hanging="105"/>
            </w:pPr>
            <w:r w:rsidRPr="00490EFB">
              <w:t>Cambodia Demographic Health Survey finalised</w:t>
            </w:r>
          </w:p>
          <w:p w:rsidR="004E2103" w:rsidRPr="00490EFB" w:rsidRDefault="004E2103" w:rsidP="00E50CCC">
            <w:pPr>
              <w:pStyle w:val="TableListBullet"/>
              <w:tabs>
                <w:tab w:val="num" w:pos="227"/>
              </w:tabs>
              <w:ind w:left="105" w:hanging="105"/>
            </w:pPr>
            <w:r w:rsidRPr="00490EFB">
              <w:t>Violence Against Women Prevalence Study field work commences</w:t>
            </w:r>
          </w:p>
          <w:p w:rsidR="004E2103" w:rsidRPr="00490EFB" w:rsidRDefault="004E2103" w:rsidP="00E50CCC">
            <w:pPr>
              <w:pStyle w:val="TableListBullet"/>
              <w:tabs>
                <w:tab w:val="num" w:pos="227"/>
              </w:tabs>
              <w:ind w:left="105" w:hanging="105"/>
            </w:pPr>
            <w:r w:rsidRPr="00490EFB">
              <w:t>Cambodia Gender Assessment Violence Against Women Chapter published</w:t>
            </w:r>
          </w:p>
        </w:tc>
        <w:tc>
          <w:tcPr>
            <w:tcW w:w="1123" w:type="pct"/>
            <w:vMerge w:val="restart"/>
          </w:tcPr>
          <w:p w:rsidR="004E2103" w:rsidRPr="00745FE3" w:rsidRDefault="004E2103" w:rsidP="00E50CCC">
            <w:pPr>
              <w:pStyle w:val="TableListBullet"/>
              <w:tabs>
                <w:tab w:val="num" w:pos="227"/>
              </w:tabs>
              <w:ind w:left="105" w:hanging="105"/>
            </w:pPr>
            <w:r>
              <w:lastRenderedPageBreak/>
              <w:t>T</w:t>
            </w:r>
            <w:r w:rsidRPr="00745FE3">
              <w:t xml:space="preserve">hrough </w:t>
            </w:r>
            <w:r>
              <w:t xml:space="preserve">the </w:t>
            </w:r>
            <w:r w:rsidRPr="00100EFA">
              <w:rPr>
                <w:lang w:val="en-US"/>
              </w:rPr>
              <w:t xml:space="preserve">Cambodia </w:t>
            </w:r>
            <w:r>
              <w:rPr>
                <w:lang w:val="en-US"/>
              </w:rPr>
              <w:t xml:space="preserve">Community Justice </w:t>
            </w:r>
            <w:r w:rsidRPr="00100EFA">
              <w:rPr>
                <w:lang w:val="en-US"/>
              </w:rPr>
              <w:t xml:space="preserve">Assistance </w:t>
            </w:r>
            <w:r>
              <w:t xml:space="preserve">Partnership </w:t>
            </w:r>
            <w:r w:rsidRPr="00100EFA">
              <w:t xml:space="preserve">(CCJAP Phase </w:t>
            </w:r>
            <w:r>
              <w:t>4</w:t>
            </w:r>
            <w:r w:rsidRPr="00100EFA">
              <w:t xml:space="preserve">) </w:t>
            </w:r>
            <w:r w:rsidRPr="00745FE3">
              <w:t>to June 2016</w:t>
            </w:r>
            <w:r>
              <w:t>, s</w:t>
            </w:r>
            <w:r w:rsidRPr="00745FE3">
              <w:t xml:space="preserve">upport courts, police, prisons, provincial authorities and </w:t>
            </w:r>
            <w:r>
              <w:t>non-government organisations</w:t>
            </w:r>
            <w:r w:rsidRPr="00745FE3">
              <w:t xml:space="preserve"> to improve community</w:t>
            </w:r>
            <w:r>
              <w:t>-</w:t>
            </w:r>
            <w:r w:rsidRPr="00745FE3">
              <w:t>based justice with a focus on the needs of juveniles and women.</w:t>
            </w:r>
          </w:p>
          <w:p w:rsidR="004E2103" w:rsidRPr="00745FE3" w:rsidRDefault="004E2103" w:rsidP="00E50CCC">
            <w:pPr>
              <w:pStyle w:val="TableListBullet"/>
              <w:tabs>
                <w:tab w:val="num" w:pos="227"/>
              </w:tabs>
              <w:ind w:left="105" w:hanging="105"/>
            </w:pPr>
            <w:r w:rsidRPr="00100EFA">
              <w:t xml:space="preserve">Through the </w:t>
            </w:r>
            <w:r w:rsidRPr="00100EFA">
              <w:rPr>
                <w:lang w:val="en-US"/>
              </w:rPr>
              <w:t xml:space="preserve">Cambodia </w:t>
            </w:r>
            <w:r>
              <w:rPr>
                <w:lang w:val="en-US"/>
              </w:rPr>
              <w:t>Community</w:t>
            </w:r>
            <w:r w:rsidRPr="00100EFA">
              <w:rPr>
                <w:lang w:val="en-US"/>
              </w:rPr>
              <w:t xml:space="preserve"> Justice Assistance </w:t>
            </w:r>
            <w:r>
              <w:rPr>
                <w:lang w:val="en-US"/>
              </w:rPr>
              <w:t>Partnership</w:t>
            </w:r>
            <w:r w:rsidRPr="00100EFA">
              <w:rPr>
                <w:lang w:val="en-US"/>
              </w:rPr>
              <w:t>,</w:t>
            </w:r>
            <w:r w:rsidRPr="00745FE3">
              <w:t xml:space="preserve"> </w:t>
            </w:r>
            <w:r>
              <w:t>h</w:t>
            </w:r>
            <w:r w:rsidRPr="00745FE3">
              <w:t xml:space="preserve">armonise with other donors </w:t>
            </w:r>
            <w:r>
              <w:t xml:space="preserve">including UN </w:t>
            </w:r>
            <w:r w:rsidRPr="00745FE3">
              <w:t>W</w:t>
            </w:r>
            <w:r>
              <w:t>omen and</w:t>
            </w:r>
            <w:r w:rsidRPr="00745FE3">
              <w:t xml:space="preserve"> GIZ, to strengthen the capacity of law enforcement to address violence against women.</w:t>
            </w:r>
          </w:p>
          <w:p w:rsidR="004E2103" w:rsidRPr="00745FE3" w:rsidRDefault="004E2103" w:rsidP="00E50CCC">
            <w:pPr>
              <w:pStyle w:val="TableListBullet"/>
              <w:tabs>
                <w:tab w:val="num" w:pos="227"/>
              </w:tabs>
              <w:ind w:left="105" w:hanging="105"/>
            </w:pPr>
            <w:r w:rsidRPr="00745FE3">
              <w:lastRenderedPageBreak/>
              <w:t xml:space="preserve">Engage </w:t>
            </w:r>
            <w:r>
              <w:t>International Bridges to Justice</w:t>
            </w:r>
            <w:r w:rsidRPr="00745FE3">
              <w:t xml:space="preserve"> to provide legal aid support in all Cambodia courts.</w:t>
            </w:r>
          </w:p>
          <w:p w:rsidR="004E2103" w:rsidRDefault="004E2103" w:rsidP="00E50CCC">
            <w:pPr>
              <w:pStyle w:val="TableListBullet"/>
              <w:tabs>
                <w:tab w:val="num" w:pos="227"/>
              </w:tabs>
              <w:ind w:left="105" w:hanging="105"/>
            </w:pPr>
            <w:r w:rsidRPr="00745FE3">
              <w:t xml:space="preserve">Work in partnership with </w:t>
            </w:r>
            <w:r>
              <w:t xml:space="preserve">Swedish International Development Agency </w:t>
            </w:r>
            <w:r w:rsidRPr="00745FE3">
              <w:t xml:space="preserve">through </w:t>
            </w:r>
            <w:r>
              <w:t>Transparency International Cambodia</w:t>
            </w:r>
            <w:r w:rsidRPr="00745FE3">
              <w:t xml:space="preserve"> to support </w:t>
            </w:r>
            <w:r>
              <w:t xml:space="preserve">anti-corruption efforts </w:t>
            </w:r>
          </w:p>
          <w:p w:rsidR="004E2103" w:rsidRDefault="004E2103" w:rsidP="00E50CCC">
            <w:pPr>
              <w:pStyle w:val="TableListBullet"/>
              <w:tabs>
                <w:tab w:val="num" w:pos="227"/>
              </w:tabs>
              <w:ind w:left="105" w:hanging="105"/>
            </w:pPr>
            <w:r w:rsidRPr="00745FE3">
              <w:t>P</w:t>
            </w:r>
            <w:r>
              <w:t>rovide p</w:t>
            </w:r>
            <w:r w:rsidRPr="00745FE3">
              <w:t>olicy and technical engagement in the Legal and Judicial Reform Technical Working Group.</w:t>
            </w:r>
          </w:p>
          <w:p w:rsidR="004E2103" w:rsidRPr="00745FE3" w:rsidRDefault="004E2103" w:rsidP="00E50CCC">
            <w:pPr>
              <w:pStyle w:val="TableListBullet"/>
              <w:tabs>
                <w:tab w:val="num" w:pos="227"/>
              </w:tabs>
              <w:ind w:left="105" w:hanging="105"/>
            </w:pPr>
            <w:r>
              <w:t xml:space="preserve">Through the EVAW program support the </w:t>
            </w:r>
            <w:r w:rsidR="00140E35">
              <w:t xml:space="preserve">Cambodian Government </w:t>
            </w:r>
            <w:r>
              <w:t>to implement the National Action Plan on Ending Violence Against Women</w:t>
            </w:r>
          </w:p>
        </w:tc>
      </w:tr>
      <w:tr w:rsidR="004E2103" w:rsidRPr="00745FE3" w:rsidTr="004E2103">
        <w:trPr>
          <w:cnfStyle w:val="000000010000" w:firstRow="0" w:lastRow="0" w:firstColumn="0" w:lastColumn="0" w:oddVBand="0" w:evenVBand="0" w:oddHBand="0" w:evenHBand="1" w:firstRowFirstColumn="0" w:firstRowLastColumn="0" w:lastRowFirstColumn="0" w:lastRowLastColumn="0"/>
          <w:tblHeader w:val="0"/>
        </w:trPr>
        <w:tc>
          <w:tcPr>
            <w:tcW w:w="668" w:type="pct"/>
          </w:tcPr>
          <w:p w:rsidR="004E2103" w:rsidRPr="00745FE3" w:rsidRDefault="004E2103" w:rsidP="006E6A1C">
            <w:pPr>
              <w:pStyle w:val="TableTextEntries"/>
            </w:pPr>
          </w:p>
        </w:tc>
        <w:tc>
          <w:tcPr>
            <w:tcW w:w="565" w:type="pct"/>
          </w:tcPr>
          <w:p w:rsidR="004E2103" w:rsidRPr="00F96CB2" w:rsidRDefault="004E2103" w:rsidP="006E6A1C">
            <w:pPr>
              <w:pStyle w:val="TableTextEntries"/>
            </w:pPr>
          </w:p>
        </w:tc>
        <w:tc>
          <w:tcPr>
            <w:tcW w:w="591" w:type="pct"/>
          </w:tcPr>
          <w:p w:rsidR="004E2103" w:rsidRPr="00745FE3" w:rsidRDefault="004E2103" w:rsidP="00E50CCC">
            <w:pPr>
              <w:pStyle w:val="TableListBullet"/>
              <w:ind w:left="105" w:hanging="105"/>
            </w:pPr>
            <w:r w:rsidRPr="00745FE3">
              <w:t xml:space="preserve">By 2015, Australia aims to help reduce the number of people in pre-trial detention </w:t>
            </w:r>
            <w:r w:rsidRPr="00745FE3">
              <w:lastRenderedPageBreak/>
              <w:t>from 36% of the prison population to 25%</w:t>
            </w:r>
            <w:r>
              <w:t>,</w:t>
            </w:r>
            <w:r w:rsidRPr="00745FE3">
              <w:t xml:space="preserve"> and increase non-custodial sentencing for petty crime convictions from </w:t>
            </w:r>
            <w:r>
              <w:t>zero</w:t>
            </w:r>
            <w:r w:rsidRPr="00745FE3">
              <w:t xml:space="preserve"> to 25%.</w:t>
            </w:r>
          </w:p>
        </w:tc>
        <w:tc>
          <w:tcPr>
            <w:tcW w:w="650" w:type="pct"/>
          </w:tcPr>
          <w:p w:rsidR="004E2103" w:rsidRPr="00745FE3" w:rsidRDefault="004E2103" w:rsidP="00E50CCC">
            <w:pPr>
              <w:pStyle w:val="TableListBullet"/>
              <w:tabs>
                <w:tab w:val="num" w:pos="227"/>
              </w:tabs>
              <w:ind w:left="105" w:hanging="105"/>
            </w:pPr>
            <w:r w:rsidRPr="00745FE3">
              <w:lastRenderedPageBreak/>
              <w:t xml:space="preserve">Guideline for piloting </w:t>
            </w:r>
            <w:r>
              <w:t>a</w:t>
            </w:r>
            <w:r w:rsidRPr="00745FE3">
              <w:t xml:space="preserve">lternative sentencing established and endorsed by </w:t>
            </w:r>
            <w:r>
              <w:t>Ministry of Justice</w:t>
            </w:r>
            <w:r w:rsidRPr="00745FE3">
              <w:t xml:space="preserve"> </w:t>
            </w:r>
            <w:r w:rsidRPr="00745FE3">
              <w:lastRenderedPageBreak/>
              <w:t>to address overcrowding</w:t>
            </w:r>
            <w:r>
              <w:t>.</w:t>
            </w:r>
            <w:r w:rsidRPr="00745FE3">
              <w:t xml:space="preserve"> </w:t>
            </w:r>
          </w:p>
          <w:p w:rsidR="004E2103" w:rsidRPr="00745FE3" w:rsidRDefault="004E2103" w:rsidP="00E50CCC">
            <w:pPr>
              <w:pStyle w:val="TableListBullet"/>
              <w:tabs>
                <w:tab w:val="num" w:pos="227"/>
              </w:tabs>
              <w:ind w:left="105" w:hanging="105"/>
            </w:pPr>
            <w:r w:rsidRPr="00745FE3">
              <w:t>Draft prison law approved and enacted.</w:t>
            </w:r>
          </w:p>
        </w:tc>
        <w:tc>
          <w:tcPr>
            <w:tcW w:w="679" w:type="pct"/>
          </w:tcPr>
          <w:p w:rsidR="004E2103" w:rsidRPr="00745FE3" w:rsidRDefault="004E2103" w:rsidP="00E50CCC">
            <w:pPr>
              <w:pStyle w:val="TableListBullet"/>
              <w:tabs>
                <w:tab w:val="num" w:pos="227"/>
              </w:tabs>
              <w:ind w:left="105" w:hanging="105"/>
            </w:pPr>
            <w:r w:rsidRPr="00EF4F23">
              <w:lastRenderedPageBreak/>
              <w:t xml:space="preserve">Three alternative sentencing circulars include judicial supervision, suspended sentence with </w:t>
            </w:r>
            <w:r w:rsidRPr="00EF4F23">
              <w:lastRenderedPageBreak/>
              <w:t>probation and community service approved by M</w:t>
            </w:r>
            <w:r w:rsidR="008631EE">
              <w:t xml:space="preserve">inistry </w:t>
            </w:r>
            <w:r w:rsidRPr="00EF4F23">
              <w:t>o</w:t>
            </w:r>
            <w:r w:rsidR="008631EE">
              <w:t xml:space="preserve">f </w:t>
            </w:r>
            <w:r w:rsidRPr="00EF4F23">
              <w:t>J</w:t>
            </w:r>
            <w:r w:rsidR="008631EE">
              <w:t>ustice</w:t>
            </w:r>
            <w:r w:rsidRPr="00EF4F23">
              <w:t>.</w:t>
            </w:r>
          </w:p>
        </w:tc>
        <w:tc>
          <w:tcPr>
            <w:tcW w:w="644" w:type="pct"/>
          </w:tcPr>
          <w:p w:rsidR="004E2103" w:rsidRPr="00490EFB" w:rsidRDefault="004E2103" w:rsidP="00E50CCC">
            <w:pPr>
              <w:pStyle w:val="TableListBullet"/>
              <w:tabs>
                <w:tab w:val="num" w:pos="227"/>
              </w:tabs>
              <w:ind w:left="105" w:hanging="105"/>
            </w:pPr>
            <w:r w:rsidRPr="00490EFB">
              <w:lastRenderedPageBreak/>
              <w:t xml:space="preserve">Alternative Sentencing Strategy initiated by Ministry of Justice </w:t>
            </w:r>
          </w:p>
        </w:tc>
        <w:tc>
          <w:tcPr>
            <w:tcW w:w="1123" w:type="pct"/>
            <w:vMerge/>
          </w:tcPr>
          <w:p w:rsidR="004E2103" w:rsidRPr="00745FE3" w:rsidRDefault="004E2103" w:rsidP="006E6A1C">
            <w:pPr>
              <w:pStyle w:val="TableListBullet"/>
              <w:tabs>
                <w:tab w:val="num" w:pos="227"/>
              </w:tabs>
              <w:ind w:left="227" w:hanging="227"/>
            </w:pPr>
          </w:p>
        </w:tc>
      </w:tr>
      <w:tr w:rsidR="004E2103" w:rsidRPr="00745FE3" w:rsidTr="004E2103">
        <w:trPr>
          <w:tblHeader w:val="0"/>
        </w:trPr>
        <w:tc>
          <w:tcPr>
            <w:tcW w:w="668" w:type="pct"/>
          </w:tcPr>
          <w:p w:rsidR="004E2103" w:rsidRPr="00745FE3" w:rsidRDefault="004E2103" w:rsidP="006E6A1C">
            <w:pPr>
              <w:pStyle w:val="TableTextEntries"/>
            </w:pPr>
          </w:p>
        </w:tc>
        <w:tc>
          <w:tcPr>
            <w:tcW w:w="565" w:type="pct"/>
          </w:tcPr>
          <w:p w:rsidR="004E2103" w:rsidRPr="00F96CB2" w:rsidRDefault="004E2103" w:rsidP="006E6A1C">
            <w:pPr>
              <w:pStyle w:val="TableTextEntries"/>
            </w:pPr>
          </w:p>
        </w:tc>
        <w:tc>
          <w:tcPr>
            <w:tcW w:w="591" w:type="pct"/>
          </w:tcPr>
          <w:p w:rsidR="004E2103" w:rsidRPr="00745FE3" w:rsidRDefault="004E2103" w:rsidP="00E50CCC">
            <w:pPr>
              <w:pStyle w:val="TableListBullet"/>
              <w:ind w:left="105" w:hanging="105"/>
            </w:pPr>
            <w:r w:rsidRPr="00745FE3">
              <w:t xml:space="preserve">Between 2012 and 2015, </w:t>
            </w:r>
            <w:r>
              <w:t>help</w:t>
            </w:r>
            <w:r w:rsidRPr="00745FE3">
              <w:t xml:space="preserve"> Cambodia implement a national crime database, prison data</w:t>
            </w:r>
            <w:r>
              <w:t>base</w:t>
            </w:r>
            <w:r w:rsidRPr="00745FE3">
              <w:t xml:space="preserve"> and court register to strengthen the administration of law and justice</w:t>
            </w:r>
            <w:r>
              <w:t>.</w:t>
            </w:r>
          </w:p>
        </w:tc>
        <w:tc>
          <w:tcPr>
            <w:tcW w:w="650" w:type="pct"/>
          </w:tcPr>
          <w:p w:rsidR="004E2103" w:rsidRPr="00745FE3" w:rsidRDefault="004E2103" w:rsidP="00E50CCC">
            <w:pPr>
              <w:pStyle w:val="TableListBullet"/>
              <w:ind w:left="105" w:hanging="105"/>
            </w:pPr>
            <w:r w:rsidRPr="00745FE3">
              <w:t>Government structures to manage crime data of the police, database of court register, criminal case management of Appeal Court and the database of the prison established and strengthened.</w:t>
            </w:r>
          </w:p>
        </w:tc>
        <w:tc>
          <w:tcPr>
            <w:tcW w:w="679" w:type="pct"/>
          </w:tcPr>
          <w:p w:rsidR="004E2103" w:rsidRPr="00EF4F23" w:rsidRDefault="004E2103" w:rsidP="00E50CCC">
            <w:pPr>
              <w:pStyle w:val="TableListBullet"/>
              <w:tabs>
                <w:tab w:val="num" w:pos="227"/>
              </w:tabs>
              <w:ind w:left="105" w:hanging="105"/>
            </w:pPr>
            <w:r>
              <w:t>Cambodian National Police has capacity to operate and maintain the crime database with less support from CCJAP.</w:t>
            </w:r>
          </w:p>
          <w:p w:rsidR="004E2103" w:rsidRPr="00745FE3" w:rsidRDefault="004E2103" w:rsidP="00E50CCC">
            <w:pPr>
              <w:pStyle w:val="TableListBullet"/>
              <w:tabs>
                <w:tab w:val="num" w:pos="227"/>
              </w:tabs>
              <w:ind w:left="105" w:hanging="105"/>
            </w:pPr>
            <w:r>
              <w:t>Data entry was done with prison database.</w:t>
            </w:r>
          </w:p>
        </w:tc>
        <w:tc>
          <w:tcPr>
            <w:tcW w:w="644" w:type="pct"/>
          </w:tcPr>
          <w:p w:rsidR="004E2103" w:rsidRPr="00490EFB" w:rsidRDefault="004E2103" w:rsidP="00E50CCC">
            <w:pPr>
              <w:pStyle w:val="TableListBullet"/>
              <w:ind w:left="105" w:hanging="105"/>
            </w:pPr>
            <w:r w:rsidRPr="00490EFB">
              <w:t>G</w:t>
            </w:r>
            <w:r w:rsidR="00BB3840">
              <w:t xml:space="preserve">eneral </w:t>
            </w:r>
            <w:r w:rsidRPr="00490EFB">
              <w:t>D</w:t>
            </w:r>
            <w:r w:rsidR="00BB3840">
              <w:t xml:space="preserve">epartment of </w:t>
            </w:r>
            <w:r w:rsidRPr="00490EFB">
              <w:t>P</w:t>
            </w:r>
            <w:r w:rsidR="00BB3840">
              <w:t>risons</w:t>
            </w:r>
            <w:r w:rsidRPr="00490EFB">
              <w:t xml:space="preserve"> reports improvement in accuracy of time served in prison due to CCJAP data management support</w:t>
            </w:r>
          </w:p>
          <w:p w:rsidR="004E2103" w:rsidRPr="00490EFB" w:rsidRDefault="004E2103" w:rsidP="00E50CCC">
            <w:pPr>
              <w:pStyle w:val="TableListBullet"/>
              <w:numPr>
                <w:ilvl w:val="0"/>
                <w:numId w:val="0"/>
              </w:numPr>
              <w:ind w:left="105" w:hanging="105"/>
            </w:pPr>
          </w:p>
        </w:tc>
        <w:tc>
          <w:tcPr>
            <w:tcW w:w="1123" w:type="pct"/>
            <w:vMerge/>
          </w:tcPr>
          <w:p w:rsidR="004E2103" w:rsidRPr="00745FE3" w:rsidRDefault="004E2103" w:rsidP="006E6A1C">
            <w:pPr>
              <w:pStyle w:val="TableListBullet"/>
              <w:tabs>
                <w:tab w:val="num" w:pos="227"/>
              </w:tabs>
              <w:ind w:left="227" w:hanging="227"/>
            </w:pPr>
          </w:p>
        </w:tc>
      </w:tr>
    </w:tbl>
    <w:p w:rsidR="003C464A" w:rsidRPr="006C382A" w:rsidRDefault="003C464A" w:rsidP="003C464A">
      <w:pPr>
        <w:rPr>
          <w:b/>
        </w:rPr>
      </w:pPr>
    </w:p>
    <w:p w:rsidR="000D733F" w:rsidRDefault="000D733F" w:rsidP="0095656B">
      <w:pPr>
        <w:spacing w:after="200" w:line="276" w:lineRule="auto"/>
      </w:pPr>
    </w:p>
    <w:sectPr w:rsidR="000D733F" w:rsidSect="001C745A">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99" w:rsidRDefault="00BF2E99" w:rsidP="0050529F">
      <w:r>
        <w:separator/>
      </w:r>
    </w:p>
    <w:p w:rsidR="00BF2E99" w:rsidRDefault="00BF2E99"/>
    <w:p w:rsidR="00BF2E99" w:rsidRDefault="00BF2E99"/>
    <w:p w:rsidR="00BF2E99" w:rsidRDefault="00BF2E99"/>
    <w:p w:rsidR="00BF2E99" w:rsidRDefault="00BF2E99"/>
    <w:p w:rsidR="00BF2E99" w:rsidRDefault="00BF2E99"/>
    <w:p w:rsidR="00BF2E99" w:rsidRDefault="00BF2E99"/>
  </w:endnote>
  <w:endnote w:type="continuationSeparator" w:id="0">
    <w:p w:rsidR="00BF2E99" w:rsidRDefault="00BF2E99" w:rsidP="0050529F">
      <w:r>
        <w:continuationSeparator/>
      </w:r>
    </w:p>
    <w:p w:rsidR="00BF2E99" w:rsidRDefault="00BF2E99"/>
    <w:p w:rsidR="00BF2E99" w:rsidRDefault="00BF2E99"/>
    <w:p w:rsidR="00BF2E99" w:rsidRDefault="00BF2E99"/>
    <w:p w:rsidR="00BF2E99" w:rsidRDefault="00BF2E99"/>
    <w:p w:rsidR="00BF2E99" w:rsidRDefault="00BF2E99"/>
    <w:p w:rsidR="00BF2E99" w:rsidRDefault="00BF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6B" w:rsidRPr="0091071F" w:rsidRDefault="0095656B" w:rsidP="000D733F">
    <w:pPr>
      <w:pStyle w:val="Footer"/>
    </w:pPr>
    <w:r w:rsidRPr="0091071F">
      <w:fldChar w:fldCharType="begin"/>
    </w:r>
    <w:r w:rsidRPr="0091071F">
      <w:instrText xml:space="preserve"> PAGE </w:instrText>
    </w:r>
    <w:r w:rsidRPr="0091071F">
      <w:fldChar w:fldCharType="separate"/>
    </w:r>
    <w:r>
      <w:rPr>
        <w:noProof/>
      </w:rPr>
      <w:t>37</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6B" w:rsidRPr="0091071F" w:rsidRDefault="0095656B" w:rsidP="000D733F">
    <w:pPr>
      <w:pStyle w:val="Footer"/>
    </w:pPr>
    <w:r>
      <w:tab/>
    </w:r>
    <w:r>
      <w:tab/>
    </w:r>
    <w:r w:rsidR="008704D1">
      <w:fldChar w:fldCharType="begin"/>
    </w:r>
    <w:r w:rsidR="008704D1">
      <w:instrText xml:space="preserve"> STYLEREF Title \* MERGEFORMAT </w:instrText>
    </w:r>
    <w:r w:rsidR="008704D1">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A7646B">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6B" w:rsidRDefault="00A76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6B" w:rsidRPr="004C4A3E" w:rsidRDefault="0095656B"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5338DE38" wp14:editId="47B1F56B">
              <wp:simplePos x="0" y="0"/>
              <wp:positionH relativeFrom="page">
                <wp:posOffset>0</wp:posOffset>
              </wp:positionH>
              <wp:positionV relativeFrom="page">
                <wp:posOffset>8533130</wp:posOffset>
              </wp:positionV>
              <wp:extent cx="7380000" cy="2181600"/>
              <wp:effectExtent l="0" t="0" r="0" b="9525"/>
              <wp:wrapNone/>
              <wp:docPr id="2" name="Rectangle 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gV2K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TIFdi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8704D1">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37</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334B8BA1" wp14:editId="74387727">
              <wp:simplePos x="0" y="0"/>
              <wp:positionH relativeFrom="column">
                <wp:posOffset>0</wp:posOffset>
              </wp:positionH>
              <wp:positionV relativeFrom="paragraph">
                <wp:posOffset>8498840</wp:posOffset>
              </wp:positionV>
              <wp:extent cx="7379970" cy="2181860"/>
              <wp:effectExtent l="0" t="2540" r="1905" b="0"/>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xQKW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k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lsUCl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354000F0" wp14:editId="7370D512">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99" w:rsidRDefault="00BF2E99" w:rsidP="0050529F">
      <w:r>
        <w:separator/>
      </w:r>
    </w:p>
    <w:p w:rsidR="00BF2E99" w:rsidRDefault="00BF2E99"/>
  </w:footnote>
  <w:footnote w:type="continuationSeparator" w:id="0">
    <w:p w:rsidR="00BF2E99" w:rsidRDefault="00BF2E99" w:rsidP="0050529F">
      <w:r>
        <w:continuationSeparator/>
      </w:r>
    </w:p>
    <w:p w:rsidR="00BF2E99" w:rsidRDefault="00BF2E99"/>
    <w:p w:rsidR="00BF2E99" w:rsidRDefault="00BF2E99"/>
    <w:p w:rsidR="00BF2E99" w:rsidRDefault="00BF2E99"/>
    <w:p w:rsidR="00BF2E99" w:rsidRDefault="00BF2E99"/>
    <w:p w:rsidR="00BF2E99" w:rsidRDefault="00BF2E99"/>
    <w:p w:rsidR="00BF2E99" w:rsidRDefault="00BF2E99"/>
  </w:footnote>
  <w:footnote w:id="1">
    <w:p w:rsidR="0095656B" w:rsidRDefault="0095656B" w:rsidP="009F749F">
      <w:pPr>
        <w:pStyle w:val="FootnoteText"/>
        <w:spacing w:line="240" w:lineRule="auto"/>
      </w:pPr>
      <w:r>
        <w:rPr>
          <w:rStyle w:val="FootnoteReference"/>
        </w:rPr>
        <w:footnoteRef/>
      </w:r>
      <w:r>
        <w:t xml:space="preserve"> International Monetary Fund (2014), </w:t>
      </w:r>
      <w:r>
        <w:rPr>
          <w:i/>
          <w:iCs/>
        </w:rPr>
        <w:t>Cambodia: 2013 Article 4 Consultation</w:t>
      </w:r>
      <w:r>
        <w:t>.</w:t>
      </w:r>
    </w:p>
  </w:footnote>
  <w:footnote w:id="2">
    <w:p w:rsidR="0095656B" w:rsidRDefault="0095656B" w:rsidP="009F749F">
      <w:pPr>
        <w:pStyle w:val="FootnoteText"/>
        <w:spacing w:line="240" w:lineRule="auto"/>
      </w:pPr>
      <w:r>
        <w:rPr>
          <w:rStyle w:val="FootnoteReference"/>
        </w:rPr>
        <w:footnoteRef/>
      </w:r>
      <w:r>
        <w:t xml:space="preserve"> International Monetary Fund (2013), </w:t>
      </w:r>
      <w:r>
        <w:rPr>
          <w:i/>
          <w:iCs/>
        </w:rPr>
        <w:t>Cambodia: 2012 Article 4 Consultation</w:t>
      </w:r>
      <w:r>
        <w:t>. International Monetary Fund Country Report No. 13/2, p.18.</w:t>
      </w:r>
    </w:p>
  </w:footnote>
  <w:footnote w:id="3">
    <w:p w:rsidR="0095656B" w:rsidRDefault="0095656B" w:rsidP="009F749F">
      <w:pPr>
        <w:pStyle w:val="FootnoteText"/>
        <w:spacing w:line="240" w:lineRule="auto"/>
      </w:pPr>
      <w:r>
        <w:rPr>
          <w:rStyle w:val="FootnoteReference"/>
        </w:rPr>
        <w:footnoteRef/>
      </w:r>
      <w:r>
        <w:t xml:space="preserve"> 40 per cent of Cambodian children are stunted.  </w:t>
      </w:r>
      <w:r>
        <w:rPr>
          <w:i/>
          <w:iCs/>
        </w:rPr>
        <w:t>Cambodia Demographic and Health Survey, 2010</w:t>
      </w:r>
      <w:r>
        <w:t>.</w:t>
      </w:r>
    </w:p>
  </w:footnote>
  <w:footnote w:id="4">
    <w:p w:rsidR="0095656B" w:rsidRDefault="0095656B" w:rsidP="009F749F">
      <w:pPr>
        <w:pStyle w:val="FootnoteText"/>
        <w:spacing w:line="240" w:lineRule="auto"/>
      </w:pPr>
      <w:r>
        <w:rPr>
          <w:rStyle w:val="FootnoteReference"/>
        </w:rPr>
        <w:footnoteRef/>
      </w:r>
      <w:r>
        <w:t xml:space="preserve"> </w:t>
      </w:r>
      <w:r>
        <w:rPr>
          <w:i/>
          <w:iCs/>
        </w:rPr>
        <w:t>Migration in Cambodia: report of the Cambodian Rural Urban Migration project</w:t>
      </w:r>
      <w:r>
        <w:t>, Ministry of Planning 2012.</w:t>
      </w:r>
    </w:p>
  </w:footnote>
  <w:footnote w:id="5">
    <w:p w:rsidR="0095656B" w:rsidRDefault="0095656B" w:rsidP="009F749F">
      <w:pPr>
        <w:pStyle w:val="FootnoteText"/>
        <w:spacing w:line="240" w:lineRule="auto"/>
      </w:pPr>
      <w:r>
        <w:rPr>
          <w:rStyle w:val="FootnoteReference"/>
        </w:rPr>
        <w:footnoteRef/>
      </w:r>
      <w:r>
        <w:t xml:space="preserve"> Based on a population of 14.31 million from 2011 World Bank data (http://data.worldbank.org/country/cambodia).</w:t>
      </w:r>
    </w:p>
  </w:footnote>
  <w:footnote w:id="6">
    <w:p w:rsidR="0095656B" w:rsidRDefault="0095656B" w:rsidP="009F749F">
      <w:pPr>
        <w:pStyle w:val="FootnoteText"/>
        <w:spacing w:line="240" w:lineRule="auto"/>
      </w:pPr>
      <w:r>
        <w:rPr>
          <w:rStyle w:val="FootnoteReference"/>
        </w:rPr>
        <w:footnoteRef/>
      </w:r>
      <w:r>
        <w:t xml:space="preserve"> World Health Organization, World Bank, 2011, </w:t>
      </w:r>
      <w:r>
        <w:rPr>
          <w:i/>
          <w:iCs/>
        </w:rPr>
        <w:t>World report on disability</w:t>
      </w:r>
      <w:r>
        <w:t>.</w:t>
      </w:r>
    </w:p>
  </w:footnote>
  <w:footnote w:id="7">
    <w:p w:rsidR="0095656B" w:rsidRDefault="0095656B" w:rsidP="009F749F">
      <w:pPr>
        <w:pStyle w:val="FootnoteText"/>
        <w:spacing w:line="240" w:lineRule="auto"/>
      </w:pPr>
      <w:r>
        <w:rPr>
          <w:rStyle w:val="FootnoteReference"/>
        </w:rPr>
        <w:footnoteRef/>
      </w:r>
      <w:r>
        <w:t xml:space="preserve"> </w:t>
      </w:r>
      <w:r>
        <w:rPr>
          <w:rStyle w:val="st"/>
        </w:rPr>
        <w:t xml:space="preserve">Cambodian Government </w:t>
      </w:r>
      <w:r>
        <w:t xml:space="preserve">gender assessment 2009, </w:t>
      </w:r>
      <w:r>
        <w:rPr>
          <w:i/>
          <w:iCs/>
        </w:rPr>
        <w:t>Partners for prevention</w:t>
      </w:r>
      <w:r>
        <w:t>.</w:t>
      </w:r>
    </w:p>
  </w:footnote>
  <w:footnote w:id="8">
    <w:p w:rsidR="0095656B" w:rsidRDefault="0095656B" w:rsidP="009F749F">
      <w:pPr>
        <w:pStyle w:val="FootnoteText"/>
        <w:spacing w:line="240" w:lineRule="auto"/>
      </w:pPr>
      <w:r>
        <w:rPr>
          <w:rStyle w:val="FootnoteReference"/>
        </w:rPr>
        <w:footnoteRef/>
      </w:r>
      <w:r>
        <w:t xml:space="preserve"> Neary Rattanak 4 (MOWA Strategic Plan), National Action Plan on Violence Against Women</w:t>
      </w:r>
    </w:p>
  </w:footnote>
  <w:footnote w:id="9">
    <w:p w:rsidR="0095656B" w:rsidRDefault="0095656B" w:rsidP="009F749F">
      <w:pPr>
        <w:pStyle w:val="FootnoteText"/>
        <w:spacing w:line="240" w:lineRule="auto"/>
      </w:pPr>
      <w:r>
        <w:rPr>
          <w:rStyle w:val="FootnoteReference"/>
        </w:rPr>
        <w:footnoteRef/>
      </w:r>
      <w:r>
        <w:t xml:space="preserve"> In August 2014, as this document was being finalised, the opposition CNRP had joined the National Assembly, after negotiating a number of reforms including to the national election commission.</w:t>
      </w:r>
    </w:p>
  </w:footnote>
  <w:footnote w:id="10">
    <w:p w:rsidR="0095656B" w:rsidRDefault="0095656B" w:rsidP="009F749F">
      <w:pPr>
        <w:pStyle w:val="FootnoteText"/>
        <w:spacing w:line="240" w:lineRule="auto"/>
      </w:pPr>
      <w:r>
        <w:rPr>
          <w:rStyle w:val="FootnoteReference"/>
        </w:rPr>
        <w:footnoteRef/>
      </w:r>
      <w:r>
        <w:t xml:space="preserve"> Council for the Development of Cambodia, Development Cooperation Trends in Cambodia: Using Evidence to Promote Partnerships and Development Effectiveness, July 2014</w:t>
      </w:r>
    </w:p>
  </w:footnote>
  <w:footnote w:id="11">
    <w:p w:rsidR="0095656B" w:rsidRDefault="0095656B" w:rsidP="009F749F">
      <w:pPr>
        <w:pStyle w:val="FootnoteText"/>
        <w:spacing w:line="240" w:lineRule="auto"/>
      </w:pPr>
      <w:r>
        <w:rPr>
          <w:rStyle w:val="FootnoteReference"/>
        </w:rPr>
        <w:footnoteRef/>
      </w:r>
      <w:r>
        <w:t xml:space="preserve"> More information on multilaterals is in the Performance of Key Delivery Partners section on page 1</w:t>
      </w:r>
      <w:r w:rsidR="004464E6">
        <w:t>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6B" w:rsidRDefault="00A76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6B" w:rsidRDefault="00A76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6B" w:rsidRDefault="00A764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6B" w:rsidRDefault="0095656B"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6B" w:rsidRDefault="00956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DD28DD"/>
    <w:multiLevelType w:val="hybridMultilevel"/>
    <w:tmpl w:val="DCD46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8">
    <w:nsid w:val="210B4F99"/>
    <w:multiLevelType w:val="hybridMultilevel"/>
    <w:tmpl w:val="919EC400"/>
    <w:lvl w:ilvl="0" w:tplc="513030E0">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2AC50FC1"/>
    <w:multiLevelType w:val="hybridMultilevel"/>
    <w:tmpl w:val="3A3EEBEE"/>
    <w:lvl w:ilvl="0" w:tplc="804C83B2">
      <w:start w:val="2013"/>
      <w:numFmt w:val="bullet"/>
      <w:lvlText w:val="-"/>
      <w:lvlJc w:val="left"/>
      <w:pPr>
        <w:ind w:left="767" w:hanging="360"/>
      </w:pPr>
      <w:rPr>
        <w:rFonts w:ascii="Franklin Gothic Book" w:eastAsia="Times New Roman" w:hAnsi="Franklin Gothic Book" w:cs="Times New Roman"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3">
    <w:nsid w:val="365F29AF"/>
    <w:multiLevelType w:val="hybridMultilevel"/>
    <w:tmpl w:val="D2328622"/>
    <w:lvl w:ilvl="0" w:tplc="804C83B2">
      <w:start w:val="2013"/>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99F2788"/>
    <w:multiLevelType w:val="hybridMultilevel"/>
    <w:tmpl w:val="F972133E"/>
    <w:lvl w:ilvl="0" w:tplc="861072F0">
      <w:start w:val="10"/>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5"/>
  </w:num>
  <w:num w:numId="4">
    <w:abstractNumId w:val="16"/>
  </w:num>
  <w:num w:numId="5">
    <w:abstractNumId w:val="15"/>
  </w:num>
  <w:num w:numId="6">
    <w:abstractNumId w:val="14"/>
  </w:num>
  <w:num w:numId="7">
    <w:abstractNumId w:val="20"/>
  </w:num>
  <w:num w:numId="8">
    <w:abstractNumId w:val="4"/>
  </w:num>
  <w:num w:numId="9">
    <w:abstractNumId w:val="7"/>
  </w:num>
  <w:num w:numId="10">
    <w:abstractNumId w:val="22"/>
  </w:num>
  <w:num w:numId="11">
    <w:abstractNumId w:val="23"/>
  </w:num>
  <w:num w:numId="12">
    <w:abstractNumId w:val="0"/>
  </w:num>
  <w:num w:numId="13">
    <w:abstractNumId w:val="3"/>
  </w:num>
  <w:num w:numId="14">
    <w:abstractNumId w:val="19"/>
  </w:num>
  <w:num w:numId="15">
    <w:abstractNumId w:val="1"/>
  </w:num>
  <w:num w:numId="16">
    <w:abstractNumId w:val="11"/>
  </w:num>
  <w:num w:numId="17">
    <w:abstractNumId w:val="9"/>
  </w:num>
  <w:num w:numId="18">
    <w:abstractNumId w:val="6"/>
  </w:num>
  <w:num w:numId="19">
    <w:abstractNumId w:val="20"/>
  </w:num>
  <w:num w:numId="20">
    <w:abstractNumId w:val="7"/>
  </w:num>
  <w:num w:numId="21">
    <w:abstractNumId w:val="21"/>
  </w:num>
  <w:num w:numId="22">
    <w:abstractNumId w:val="20"/>
  </w:num>
  <w:num w:numId="23">
    <w:abstractNumId w:val="23"/>
  </w:num>
  <w:num w:numId="24">
    <w:abstractNumId w:val="20"/>
  </w:num>
  <w:num w:numId="25">
    <w:abstractNumId w:val="23"/>
  </w:num>
  <w:num w:numId="26">
    <w:abstractNumId w:val="2"/>
  </w:num>
  <w:num w:numId="27">
    <w:abstractNumId w:val="8"/>
  </w:num>
  <w:num w:numId="28">
    <w:abstractNumId w:val="7"/>
  </w:num>
  <w:num w:numId="29">
    <w:abstractNumId w:val="7"/>
  </w:num>
  <w:num w:numId="30">
    <w:abstractNumId w:val="7"/>
  </w:num>
  <w:num w:numId="31">
    <w:abstractNumId w:val="13"/>
  </w:num>
  <w:num w:numId="32">
    <w:abstractNumId w:val="12"/>
  </w:num>
  <w:num w:numId="33">
    <w:abstractNumId w:val="7"/>
  </w:num>
  <w:num w:numId="34">
    <w:abstractNumId w:val="7"/>
  </w:num>
  <w:num w:numId="35">
    <w:abstractNumId w:val="7"/>
  </w:num>
  <w:num w:numId="36">
    <w:abstractNumId w:val="7"/>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42A2"/>
    <w:rsid w:val="000143D9"/>
    <w:rsid w:val="00020121"/>
    <w:rsid w:val="000203BD"/>
    <w:rsid w:val="00021A9E"/>
    <w:rsid w:val="000252D7"/>
    <w:rsid w:val="00027629"/>
    <w:rsid w:val="00030111"/>
    <w:rsid w:val="00031100"/>
    <w:rsid w:val="00031EB5"/>
    <w:rsid w:val="0003231A"/>
    <w:rsid w:val="00040AF6"/>
    <w:rsid w:val="000426DF"/>
    <w:rsid w:val="00045C5A"/>
    <w:rsid w:val="00046798"/>
    <w:rsid w:val="000506AC"/>
    <w:rsid w:val="000529AD"/>
    <w:rsid w:val="00054549"/>
    <w:rsid w:val="0005506B"/>
    <w:rsid w:val="000550B0"/>
    <w:rsid w:val="00055E78"/>
    <w:rsid w:val="00057589"/>
    <w:rsid w:val="00057CA8"/>
    <w:rsid w:val="00057D09"/>
    <w:rsid w:val="000622B9"/>
    <w:rsid w:val="00071B95"/>
    <w:rsid w:val="00072059"/>
    <w:rsid w:val="00072E84"/>
    <w:rsid w:val="0007395B"/>
    <w:rsid w:val="000745E2"/>
    <w:rsid w:val="000748E7"/>
    <w:rsid w:val="000753FD"/>
    <w:rsid w:val="0007703B"/>
    <w:rsid w:val="000774FD"/>
    <w:rsid w:val="000818C0"/>
    <w:rsid w:val="00081F4E"/>
    <w:rsid w:val="00090326"/>
    <w:rsid w:val="000905A8"/>
    <w:rsid w:val="00091878"/>
    <w:rsid w:val="000957FC"/>
    <w:rsid w:val="00095CF5"/>
    <w:rsid w:val="00096EFE"/>
    <w:rsid w:val="000972AA"/>
    <w:rsid w:val="000979A0"/>
    <w:rsid w:val="00097B02"/>
    <w:rsid w:val="000A0236"/>
    <w:rsid w:val="000A1618"/>
    <w:rsid w:val="000A4247"/>
    <w:rsid w:val="000A7CB7"/>
    <w:rsid w:val="000B012A"/>
    <w:rsid w:val="000B05B1"/>
    <w:rsid w:val="000B3121"/>
    <w:rsid w:val="000B314C"/>
    <w:rsid w:val="000B68F6"/>
    <w:rsid w:val="000B6BE5"/>
    <w:rsid w:val="000B6FEA"/>
    <w:rsid w:val="000B75E8"/>
    <w:rsid w:val="000C0C1C"/>
    <w:rsid w:val="000C258A"/>
    <w:rsid w:val="000C2638"/>
    <w:rsid w:val="000C29BF"/>
    <w:rsid w:val="000C4850"/>
    <w:rsid w:val="000C4A7A"/>
    <w:rsid w:val="000C6080"/>
    <w:rsid w:val="000C60A8"/>
    <w:rsid w:val="000D0CEC"/>
    <w:rsid w:val="000D151B"/>
    <w:rsid w:val="000D1993"/>
    <w:rsid w:val="000D733F"/>
    <w:rsid w:val="000D7952"/>
    <w:rsid w:val="000E4573"/>
    <w:rsid w:val="000E7297"/>
    <w:rsid w:val="000E7A8D"/>
    <w:rsid w:val="000F165B"/>
    <w:rsid w:val="000F1A70"/>
    <w:rsid w:val="000F2D94"/>
    <w:rsid w:val="00100485"/>
    <w:rsid w:val="00100AA2"/>
    <w:rsid w:val="00106185"/>
    <w:rsid w:val="00106BDC"/>
    <w:rsid w:val="0010729C"/>
    <w:rsid w:val="00112E97"/>
    <w:rsid w:val="001139DE"/>
    <w:rsid w:val="00114751"/>
    <w:rsid w:val="001154CA"/>
    <w:rsid w:val="001171DE"/>
    <w:rsid w:val="00120FC7"/>
    <w:rsid w:val="00122038"/>
    <w:rsid w:val="001227C3"/>
    <w:rsid w:val="0012429A"/>
    <w:rsid w:val="001258C6"/>
    <w:rsid w:val="0012793C"/>
    <w:rsid w:val="00131FF0"/>
    <w:rsid w:val="00132003"/>
    <w:rsid w:val="00133AAD"/>
    <w:rsid w:val="00134787"/>
    <w:rsid w:val="00135806"/>
    <w:rsid w:val="001366B4"/>
    <w:rsid w:val="001375E3"/>
    <w:rsid w:val="00140E35"/>
    <w:rsid w:val="00141A30"/>
    <w:rsid w:val="00143053"/>
    <w:rsid w:val="0014411B"/>
    <w:rsid w:val="001448E7"/>
    <w:rsid w:val="001472A4"/>
    <w:rsid w:val="00147846"/>
    <w:rsid w:val="0015043E"/>
    <w:rsid w:val="00152DFD"/>
    <w:rsid w:val="00154EF9"/>
    <w:rsid w:val="00156733"/>
    <w:rsid w:val="00157858"/>
    <w:rsid w:val="001612CE"/>
    <w:rsid w:val="0016172B"/>
    <w:rsid w:val="001624FB"/>
    <w:rsid w:val="0016544D"/>
    <w:rsid w:val="001657F1"/>
    <w:rsid w:val="00167331"/>
    <w:rsid w:val="0016740F"/>
    <w:rsid w:val="00171BB2"/>
    <w:rsid w:val="00173C6E"/>
    <w:rsid w:val="00175957"/>
    <w:rsid w:val="00175E4C"/>
    <w:rsid w:val="00180B19"/>
    <w:rsid w:val="0018196F"/>
    <w:rsid w:val="001829BB"/>
    <w:rsid w:val="0018305E"/>
    <w:rsid w:val="0018353A"/>
    <w:rsid w:val="00184BA7"/>
    <w:rsid w:val="00190D6C"/>
    <w:rsid w:val="00192498"/>
    <w:rsid w:val="00192A67"/>
    <w:rsid w:val="001943B6"/>
    <w:rsid w:val="00194806"/>
    <w:rsid w:val="0019718B"/>
    <w:rsid w:val="001A2953"/>
    <w:rsid w:val="001A374B"/>
    <w:rsid w:val="001A4DC4"/>
    <w:rsid w:val="001A5DBB"/>
    <w:rsid w:val="001A6A7D"/>
    <w:rsid w:val="001B0781"/>
    <w:rsid w:val="001B1A0C"/>
    <w:rsid w:val="001B2948"/>
    <w:rsid w:val="001B41CD"/>
    <w:rsid w:val="001B714C"/>
    <w:rsid w:val="001C1EA0"/>
    <w:rsid w:val="001C31B9"/>
    <w:rsid w:val="001C507E"/>
    <w:rsid w:val="001C700E"/>
    <w:rsid w:val="001C7117"/>
    <w:rsid w:val="001C745A"/>
    <w:rsid w:val="001C7DDD"/>
    <w:rsid w:val="001D20FC"/>
    <w:rsid w:val="001D210A"/>
    <w:rsid w:val="001D6059"/>
    <w:rsid w:val="001D7E98"/>
    <w:rsid w:val="001E321E"/>
    <w:rsid w:val="001E48CF"/>
    <w:rsid w:val="001E4BDE"/>
    <w:rsid w:val="001E6635"/>
    <w:rsid w:val="001F12A2"/>
    <w:rsid w:val="001F34D6"/>
    <w:rsid w:val="001F5CB1"/>
    <w:rsid w:val="001F61A8"/>
    <w:rsid w:val="001F7480"/>
    <w:rsid w:val="00201174"/>
    <w:rsid w:val="00202880"/>
    <w:rsid w:val="00202E4E"/>
    <w:rsid w:val="00203BCC"/>
    <w:rsid w:val="0020436A"/>
    <w:rsid w:val="00205E0B"/>
    <w:rsid w:val="00205F2B"/>
    <w:rsid w:val="002115BD"/>
    <w:rsid w:val="002126BA"/>
    <w:rsid w:val="00212B27"/>
    <w:rsid w:val="0021515C"/>
    <w:rsid w:val="002227A9"/>
    <w:rsid w:val="00226DEE"/>
    <w:rsid w:val="00231D45"/>
    <w:rsid w:val="002335A9"/>
    <w:rsid w:val="002343CF"/>
    <w:rsid w:val="00235082"/>
    <w:rsid w:val="00235D29"/>
    <w:rsid w:val="002363D9"/>
    <w:rsid w:val="00236B8C"/>
    <w:rsid w:val="00237C4B"/>
    <w:rsid w:val="00240D59"/>
    <w:rsid w:val="002441D5"/>
    <w:rsid w:val="00246E5F"/>
    <w:rsid w:val="0025040D"/>
    <w:rsid w:val="00252D83"/>
    <w:rsid w:val="00261E78"/>
    <w:rsid w:val="00263F5F"/>
    <w:rsid w:val="00270898"/>
    <w:rsid w:val="00272AF0"/>
    <w:rsid w:val="00273C6F"/>
    <w:rsid w:val="00274EE2"/>
    <w:rsid w:val="00275C42"/>
    <w:rsid w:val="002849B4"/>
    <w:rsid w:val="00286200"/>
    <w:rsid w:val="002911A4"/>
    <w:rsid w:val="00291F1C"/>
    <w:rsid w:val="00291F41"/>
    <w:rsid w:val="002940C5"/>
    <w:rsid w:val="00294BC5"/>
    <w:rsid w:val="00295E98"/>
    <w:rsid w:val="00297FA7"/>
    <w:rsid w:val="002A15F4"/>
    <w:rsid w:val="002A1935"/>
    <w:rsid w:val="002A1A79"/>
    <w:rsid w:val="002A21D1"/>
    <w:rsid w:val="002A22F7"/>
    <w:rsid w:val="002A4D70"/>
    <w:rsid w:val="002B1CB1"/>
    <w:rsid w:val="002B1F66"/>
    <w:rsid w:val="002B31B3"/>
    <w:rsid w:val="002B433A"/>
    <w:rsid w:val="002B5EFB"/>
    <w:rsid w:val="002B61A8"/>
    <w:rsid w:val="002B6EBE"/>
    <w:rsid w:val="002B79D4"/>
    <w:rsid w:val="002C1E00"/>
    <w:rsid w:val="002C639B"/>
    <w:rsid w:val="002C687D"/>
    <w:rsid w:val="002C7846"/>
    <w:rsid w:val="002D1328"/>
    <w:rsid w:val="002D53AB"/>
    <w:rsid w:val="002D5D7B"/>
    <w:rsid w:val="002D6914"/>
    <w:rsid w:val="002D6DF0"/>
    <w:rsid w:val="002D7FFA"/>
    <w:rsid w:val="002E136C"/>
    <w:rsid w:val="002E55EA"/>
    <w:rsid w:val="002E5604"/>
    <w:rsid w:val="002F479A"/>
    <w:rsid w:val="002F54F3"/>
    <w:rsid w:val="002F5A14"/>
    <w:rsid w:val="00303038"/>
    <w:rsid w:val="0030318A"/>
    <w:rsid w:val="003037AD"/>
    <w:rsid w:val="00303F4A"/>
    <w:rsid w:val="00306734"/>
    <w:rsid w:val="00310426"/>
    <w:rsid w:val="00310974"/>
    <w:rsid w:val="0031431B"/>
    <w:rsid w:val="00315135"/>
    <w:rsid w:val="00315D13"/>
    <w:rsid w:val="003167E5"/>
    <w:rsid w:val="00320FCE"/>
    <w:rsid w:val="003223F8"/>
    <w:rsid w:val="0032292A"/>
    <w:rsid w:val="00322D92"/>
    <w:rsid w:val="0032486D"/>
    <w:rsid w:val="00325873"/>
    <w:rsid w:val="003260C0"/>
    <w:rsid w:val="003266E1"/>
    <w:rsid w:val="00326B5A"/>
    <w:rsid w:val="003275D0"/>
    <w:rsid w:val="003279FD"/>
    <w:rsid w:val="003305E3"/>
    <w:rsid w:val="003326BE"/>
    <w:rsid w:val="003327F8"/>
    <w:rsid w:val="00335F19"/>
    <w:rsid w:val="003363C7"/>
    <w:rsid w:val="00341177"/>
    <w:rsid w:val="00341311"/>
    <w:rsid w:val="00342BF7"/>
    <w:rsid w:val="00343B25"/>
    <w:rsid w:val="00345B8E"/>
    <w:rsid w:val="0034706E"/>
    <w:rsid w:val="00351ACA"/>
    <w:rsid w:val="00352AE5"/>
    <w:rsid w:val="00357648"/>
    <w:rsid w:val="00357AF7"/>
    <w:rsid w:val="00360662"/>
    <w:rsid w:val="0036698F"/>
    <w:rsid w:val="00371F53"/>
    <w:rsid w:val="00372E1B"/>
    <w:rsid w:val="003743C8"/>
    <w:rsid w:val="00376E80"/>
    <w:rsid w:val="00380098"/>
    <w:rsid w:val="00383294"/>
    <w:rsid w:val="00383F3F"/>
    <w:rsid w:val="00384342"/>
    <w:rsid w:val="003849ED"/>
    <w:rsid w:val="00385A4C"/>
    <w:rsid w:val="00392981"/>
    <w:rsid w:val="00395CFA"/>
    <w:rsid w:val="003A27D2"/>
    <w:rsid w:val="003A2D7B"/>
    <w:rsid w:val="003A344F"/>
    <w:rsid w:val="003A74BF"/>
    <w:rsid w:val="003B122C"/>
    <w:rsid w:val="003B2756"/>
    <w:rsid w:val="003B5F7E"/>
    <w:rsid w:val="003B788D"/>
    <w:rsid w:val="003C1D9C"/>
    <w:rsid w:val="003C288C"/>
    <w:rsid w:val="003C31EE"/>
    <w:rsid w:val="003C464A"/>
    <w:rsid w:val="003C7721"/>
    <w:rsid w:val="003D081D"/>
    <w:rsid w:val="003D2E2F"/>
    <w:rsid w:val="003D44F4"/>
    <w:rsid w:val="003E0E66"/>
    <w:rsid w:val="003E4982"/>
    <w:rsid w:val="003E63B3"/>
    <w:rsid w:val="003E7AA9"/>
    <w:rsid w:val="00403152"/>
    <w:rsid w:val="00403AAA"/>
    <w:rsid w:val="00406000"/>
    <w:rsid w:val="00412707"/>
    <w:rsid w:val="00413539"/>
    <w:rsid w:val="0041396D"/>
    <w:rsid w:val="00415A92"/>
    <w:rsid w:val="0041730D"/>
    <w:rsid w:val="00420E02"/>
    <w:rsid w:val="004228CD"/>
    <w:rsid w:val="0042527A"/>
    <w:rsid w:val="00426354"/>
    <w:rsid w:val="00426DCF"/>
    <w:rsid w:val="004309E9"/>
    <w:rsid w:val="00437C95"/>
    <w:rsid w:val="00441E77"/>
    <w:rsid w:val="00443639"/>
    <w:rsid w:val="004450BD"/>
    <w:rsid w:val="004453CE"/>
    <w:rsid w:val="00445A3B"/>
    <w:rsid w:val="00445C4E"/>
    <w:rsid w:val="004464E6"/>
    <w:rsid w:val="00446742"/>
    <w:rsid w:val="00450AE5"/>
    <w:rsid w:val="0045475F"/>
    <w:rsid w:val="00462000"/>
    <w:rsid w:val="0046311F"/>
    <w:rsid w:val="00466BCA"/>
    <w:rsid w:val="00466C98"/>
    <w:rsid w:val="00467C3F"/>
    <w:rsid w:val="00467CE4"/>
    <w:rsid w:val="0047710F"/>
    <w:rsid w:val="00480CA2"/>
    <w:rsid w:val="00481777"/>
    <w:rsid w:val="00487277"/>
    <w:rsid w:val="00490BDE"/>
    <w:rsid w:val="00490EFB"/>
    <w:rsid w:val="00494504"/>
    <w:rsid w:val="004957EC"/>
    <w:rsid w:val="00496F8D"/>
    <w:rsid w:val="004A01D5"/>
    <w:rsid w:val="004A2EC3"/>
    <w:rsid w:val="004A568F"/>
    <w:rsid w:val="004A5FCA"/>
    <w:rsid w:val="004A7400"/>
    <w:rsid w:val="004B201A"/>
    <w:rsid w:val="004B41B9"/>
    <w:rsid w:val="004B4A44"/>
    <w:rsid w:val="004B64F3"/>
    <w:rsid w:val="004C33EA"/>
    <w:rsid w:val="004C36CF"/>
    <w:rsid w:val="004C4A3E"/>
    <w:rsid w:val="004C59EA"/>
    <w:rsid w:val="004C65C6"/>
    <w:rsid w:val="004C660D"/>
    <w:rsid w:val="004C7556"/>
    <w:rsid w:val="004C7E92"/>
    <w:rsid w:val="004D0699"/>
    <w:rsid w:val="004D1529"/>
    <w:rsid w:val="004D19CE"/>
    <w:rsid w:val="004D23F6"/>
    <w:rsid w:val="004D28C2"/>
    <w:rsid w:val="004D2ED0"/>
    <w:rsid w:val="004D4522"/>
    <w:rsid w:val="004E01E9"/>
    <w:rsid w:val="004E2103"/>
    <w:rsid w:val="004E3E40"/>
    <w:rsid w:val="004E570D"/>
    <w:rsid w:val="004E6400"/>
    <w:rsid w:val="004E642E"/>
    <w:rsid w:val="004E6924"/>
    <w:rsid w:val="004E6A61"/>
    <w:rsid w:val="004E6E33"/>
    <w:rsid w:val="004E702A"/>
    <w:rsid w:val="004F0C2D"/>
    <w:rsid w:val="004F2586"/>
    <w:rsid w:val="004F2CC5"/>
    <w:rsid w:val="004F3D7E"/>
    <w:rsid w:val="004F4630"/>
    <w:rsid w:val="004F521E"/>
    <w:rsid w:val="004F6FEE"/>
    <w:rsid w:val="00500EB4"/>
    <w:rsid w:val="00501CD2"/>
    <w:rsid w:val="00503974"/>
    <w:rsid w:val="0050439B"/>
    <w:rsid w:val="0050529F"/>
    <w:rsid w:val="00506A51"/>
    <w:rsid w:val="00510D01"/>
    <w:rsid w:val="005110C3"/>
    <w:rsid w:val="005129F5"/>
    <w:rsid w:val="005138D8"/>
    <w:rsid w:val="00514B5E"/>
    <w:rsid w:val="005157C1"/>
    <w:rsid w:val="00515954"/>
    <w:rsid w:val="00515E3D"/>
    <w:rsid w:val="005208AC"/>
    <w:rsid w:val="0052286C"/>
    <w:rsid w:val="00522AB9"/>
    <w:rsid w:val="0052509F"/>
    <w:rsid w:val="005265B9"/>
    <w:rsid w:val="005307E8"/>
    <w:rsid w:val="0053175E"/>
    <w:rsid w:val="00533533"/>
    <w:rsid w:val="00534CCB"/>
    <w:rsid w:val="00535C99"/>
    <w:rsid w:val="00535E24"/>
    <w:rsid w:val="00537E02"/>
    <w:rsid w:val="00540B79"/>
    <w:rsid w:val="00542718"/>
    <w:rsid w:val="00543224"/>
    <w:rsid w:val="005440F6"/>
    <w:rsid w:val="00544CCD"/>
    <w:rsid w:val="0054557A"/>
    <w:rsid w:val="00546DD6"/>
    <w:rsid w:val="0055172C"/>
    <w:rsid w:val="0055771D"/>
    <w:rsid w:val="00565055"/>
    <w:rsid w:val="00565635"/>
    <w:rsid w:val="00567FCF"/>
    <w:rsid w:val="00570765"/>
    <w:rsid w:val="00571521"/>
    <w:rsid w:val="005732BD"/>
    <w:rsid w:val="005733F9"/>
    <w:rsid w:val="00573E59"/>
    <w:rsid w:val="00575295"/>
    <w:rsid w:val="005758FF"/>
    <w:rsid w:val="00581C01"/>
    <w:rsid w:val="0058242D"/>
    <w:rsid w:val="005845CB"/>
    <w:rsid w:val="0058498A"/>
    <w:rsid w:val="00586350"/>
    <w:rsid w:val="0059461A"/>
    <w:rsid w:val="00597520"/>
    <w:rsid w:val="005A18C5"/>
    <w:rsid w:val="005A3ED5"/>
    <w:rsid w:val="005A511C"/>
    <w:rsid w:val="005A7CF6"/>
    <w:rsid w:val="005B42EE"/>
    <w:rsid w:val="005B4F7A"/>
    <w:rsid w:val="005B537E"/>
    <w:rsid w:val="005B7C71"/>
    <w:rsid w:val="005C4A6B"/>
    <w:rsid w:val="005C661F"/>
    <w:rsid w:val="005C77AF"/>
    <w:rsid w:val="005C7D81"/>
    <w:rsid w:val="005D0A8E"/>
    <w:rsid w:val="005D25B0"/>
    <w:rsid w:val="005D2A59"/>
    <w:rsid w:val="005E42BC"/>
    <w:rsid w:val="005F0C00"/>
    <w:rsid w:val="005F15ED"/>
    <w:rsid w:val="005F33F2"/>
    <w:rsid w:val="005F460C"/>
    <w:rsid w:val="005F51F6"/>
    <w:rsid w:val="005F70CF"/>
    <w:rsid w:val="005F74D0"/>
    <w:rsid w:val="00600404"/>
    <w:rsid w:val="0060117A"/>
    <w:rsid w:val="0060240E"/>
    <w:rsid w:val="00605AFF"/>
    <w:rsid w:val="00612E14"/>
    <w:rsid w:val="00617A8E"/>
    <w:rsid w:val="00617F30"/>
    <w:rsid w:val="00622258"/>
    <w:rsid w:val="006231CF"/>
    <w:rsid w:val="0062598A"/>
    <w:rsid w:val="00625A52"/>
    <w:rsid w:val="0062686B"/>
    <w:rsid w:val="00633A74"/>
    <w:rsid w:val="00637549"/>
    <w:rsid w:val="00642A6F"/>
    <w:rsid w:val="00642E50"/>
    <w:rsid w:val="00646049"/>
    <w:rsid w:val="00646164"/>
    <w:rsid w:val="00647FBA"/>
    <w:rsid w:val="0065268F"/>
    <w:rsid w:val="00652778"/>
    <w:rsid w:val="0065391A"/>
    <w:rsid w:val="0065550D"/>
    <w:rsid w:val="0065679C"/>
    <w:rsid w:val="00657108"/>
    <w:rsid w:val="00663306"/>
    <w:rsid w:val="00663909"/>
    <w:rsid w:val="00663E95"/>
    <w:rsid w:val="006659FF"/>
    <w:rsid w:val="006671BC"/>
    <w:rsid w:val="0067299B"/>
    <w:rsid w:val="00673287"/>
    <w:rsid w:val="006742B3"/>
    <w:rsid w:val="006764C6"/>
    <w:rsid w:val="00680679"/>
    <w:rsid w:val="0068146D"/>
    <w:rsid w:val="00682DB1"/>
    <w:rsid w:val="00683FFB"/>
    <w:rsid w:val="0068768A"/>
    <w:rsid w:val="00690BEA"/>
    <w:rsid w:val="006945D8"/>
    <w:rsid w:val="00695279"/>
    <w:rsid w:val="00697C69"/>
    <w:rsid w:val="006A0A2C"/>
    <w:rsid w:val="006B0F12"/>
    <w:rsid w:val="006B33A7"/>
    <w:rsid w:val="006B4709"/>
    <w:rsid w:val="006C1260"/>
    <w:rsid w:val="006C2232"/>
    <w:rsid w:val="006C4C07"/>
    <w:rsid w:val="006C6800"/>
    <w:rsid w:val="006D0BC5"/>
    <w:rsid w:val="006D18E6"/>
    <w:rsid w:val="006D2CF2"/>
    <w:rsid w:val="006D2E37"/>
    <w:rsid w:val="006D34C3"/>
    <w:rsid w:val="006D4177"/>
    <w:rsid w:val="006E1B72"/>
    <w:rsid w:val="006E327C"/>
    <w:rsid w:val="006E6A1C"/>
    <w:rsid w:val="006E7795"/>
    <w:rsid w:val="006E7E9F"/>
    <w:rsid w:val="006E7FA8"/>
    <w:rsid w:val="006F00DB"/>
    <w:rsid w:val="006F4623"/>
    <w:rsid w:val="006F46D5"/>
    <w:rsid w:val="006F4B40"/>
    <w:rsid w:val="006F5125"/>
    <w:rsid w:val="00701FEA"/>
    <w:rsid w:val="007040D1"/>
    <w:rsid w:val="00704C4D"/>
    <w:rsid w:val="00705A00"/>
    <w:rsid w:val="007069F7"/>
    <w:rsid w:val="00706DE1"/>
    <w:rsid w:val="00710059"/>
    <w:rsid w:val="00710337"/>
    <w:rsid w:val="007110C9"/>
    <w:rsid w:val="00712349"/>
    <w:rsid w:val="00712500"/>
    <w:rsid w:val="00712FCE"/>
    <w:rsid w:val="007131CA"/>
    <w:rsid w:val="00714BA3"/>
    <w:rsid w:val="00715180"/>
    <w:rsid w:val="0071537B"/>
    <w:rsid w:val="007167AE"/>
    <w:rsid w:val="00721098"/>
    <w:rsid w:val="007244BE"/>
    <w:rsid w:val="0072495B"/>
    <w:rsid w:val="007311E0"/>
    <w:rsid w:val="007360D3"/>
    <w:rsid w:val="0073644C"/>
    <w:rsid w:val="00736D2D"/>
    <w:rsid w:val="00737641"/>
    <w:rsid w:val="00737C72"/>
    <w:rsid w:val="007452F9"/>
    <w:rsid w:val="0074660C"/>
    <w:rsid w:val="00747B69"/>
    <w:rsid w:val="00750E77"/>
    <w:rsid w:val="00751449"/>
    <w:rsid w:val="00755D95"/>
    <w:rsid w:val="00756B0E"/>
    <w:rsid w:val="00757BAA"/>
    <w:rsid w:val="00762B9C"/>
    <w:rsid w:val="00766491"/>
    <w:rsid w:val="00766BCF"/>
    <w:rsid w:val="00766FC2"/>
    <w:rsid w:val="00767F39"/>
    <w:rsid w:val="007705BC"/>
    <w:rsid w:val="00772044"/>
    <w:rsid w:val="007726E1"/>
    <w:rsid w:val="00774F4B"/>
    <w:rsid w:val="007819C7"/>
    <w:rsid w:val="00782500"/>
    <w:rsid w:val="00782760"/>
    <w:rsid w:val="007911F2"/>
    <w:rsid w:val="0079256F"/>
    <w:rsid w:val="0079307B"/>
    <w:rsid w:val="007941CF"/>
    <w:rsid w:val="00796F48"/>
    <w:rsid w:val="007A2A5E"/>
    <w:rsid w:val="007A3C6A"/>
    <w:rsid w:val="007A5821"/>
    <w:rsid w:val="007A6B87"/>
    <w:rsid w:val="007B0EBF"/>
    <w:rsid w:val="007B12EF"/>
    <w:rsid w:val="007B51E2"/>
    <w:rsid w:val="007B6F81"/>
    <w:rsid w:val="007C08B4"/>
    <w:rsid w:val="007D0A64"/>
    <w:rsid w:val="007D5D8D"/>
    <w:rsid w:val="007D608D"/>
    <w:rsid w:val="007E10A5"/>
    <w:rsid w:val="007E2A95"/>
    <w:rsid w:val="007E3D71"/>
    <w:rsid w:val="007F0036"/>
    <w:rsid w:val="007F0087"/>
    <w:rsid w:val="007F1B76"/>
    <w:rsid w:val="007F2841"/>
    <w:rsid w:val="007F3230"/>
    <w:rsid w:val="007F36F7"/>
    <w:rsid w:val="007F3E30"/>
    <w:rsid w:val="0080096B"/>
    <w:rsid w:val="00800B90"/>
    <w:rsid w:val="00800CC0"/>
    <w:rsid w:val="00802A66"/>
    <w:rsid w:val="00805ADD"/>
    <w:rsid w:val="008103A0"/>
    <w:rsid w:val="00810DE3"/>
    <w:rsid w:val="008126CA"/>
    <w:rsid w:val="00817B5F"/>
    <w:rsid w:val="00821541"/>
    <w:rsid w:val="00821A06"/>
    <w:rsid w:val="008220F3"/>
    <w:rsid w:val="00822273"/>
    <w:rsid w:val="008235DB"/>
    <w:rsid w:val="00826609"/>
    <w:rsid w:val="00826FE4"/>
    <w:rsid w:val="00827776"/>
    <w:rsid w:val="00830638"/>
    <w:rsid w:val="00830647"/>
    <w:rsid w:val="00830E80"/>
    <w:rsid w:val="00832911"/>
    <w:rsid w:val="00832DA3"/>
    <w:rsid w:val="00833071"/>
    <w:rsid w:val="00833EB7"/>
    <w:rsid w:val="0084092F"/>
    <w:rsid w:val="00844C87"/>
    <w:rsid w:val="00850A87"/>
    <w:rsid w:val="008532FB"/>
    <w:rsid w:val="008540F0"/>
    <w:rsid w:val="008568C0"/>
    <w:rsid w:val="0085759D"/>
    <w:rsid w:val="0086083F"/>
    <w:rsid w:val="00861B96"/>
    <w:rsid w:val="008631EE"/>
    <w:rsid w:val="00864874"/>
    <w:rsid w:val="008704D1"/>
    <w:rsid w:val="00871CA1"/>
    <w:rsid w:val="00874F47"/>
    <w:rsid w:val="00877D87"/>
    <w:rsid w:val="00877F92"/>
    <w:rsid w:val="00880255"/>
    <w:rsid w:val="008810FA"/>
    <w:rsid w:val="00884878"/>
    <w:rsid w:val="00885B9C"/>
    <w:rsid w:val="00886D18"/>
    <w:rsid w:val="00892303"/>
    <w:rsid w:val="00896927"/>
    <w:rsid w:val="00897E16"/>
    <w:rsid w:val="008A144E"/>
    <w:rsid w:val="008A310A"/>
    <w:rsid w:val="008A46B3"/>
    <w:rsid w:val="008A65F1"/>
    <w:rsid w:val="008A6603"/>
    <w:rsid w:val="008B3FF6"/>
    <w:rsid w:val="008B5F65"/>
    <w:rsid w:val="008C0FBD"/>
    <w:rsid w:val="008C3111"/>
    <w:rsid w:val="008C4903"/>
    <w:rsid w:val="008C5505"/>
    <w:rsid w:val="008C5617"/>
    <w:rsid w:val="008C6687"/>
    <w:rsid w:val="008C70BD"/>
    <w:rsid w:val="008C79C7"/>
    <w:rsid w:val="008C7AC8"/>
    <w:rsid w:val="008D0242"/>
    <w:rsid w:val="008D27EF"/>
    <w:rsid w:val="008D28DF"/>
    <w:rsid w:val="008D2DC8"/>
    <w:rsid w:val="008D34F9"/>
    <w:rsid w:val="008D3D46"/>
    <w:rsid w:val="008D745E"/>
    <w:rsid w:val="008E29AB"/>
    <w:rsid w:val="008E3A76"/>
    <w:rsid w:val="008E44A5"/>
    <w:rsid w:val="008E4EF2"/>
    <w:rsid w:val="008F06F2"/>
    <w:rsid w:val="008F09FF"/>
    <w:rsid w:val="008F1546"/>
    <w:rsid w:val="008F1E28"/>
    <w:rsid w:val="008F4C4B"/>
    <w:rsid w:val="008F5D80"/>
    <w:rsid w:val="008F6934"/>
    <w:rsid w:val="008F7B8C"/>
    <w:rsid w:val="009006D2"/>
    <w:rsid w:val="00905097"/>
    <w:rsid w:val="009103F3"/>
    <w:rsid w:val="0091200C"/>
    <w:rsid w:val="009126A4"/>
    <w:rsid w:val="009163AF"/>
    <w:rsid w:val="00916D52"/>
    <w:rsid w:val="009179DD"/>
    <w:rsid w:val="00923D3D"/>
    <w:rsid w:val="00924CCB"/>
    <w:rsid w:val="0092520A"/>
    <w:rsid w:val="00927978"/>
    <w:rsid w:val="00932FAD"/>
    <w:rsid w:val="00936ECF"/>
    <w:rsid w:val="00937307"/>
    <w:rsid w:val="009445BA"/>
    <w:rsid w:val="009446E5"/>
    <w:rsid w:val="00945130"/>
    <w:rsid w:val="00945B0A"/>
    <w:rsid w:val="00946F68"/>
    <w:rsid w:val="009475F3"/>
    <w:rsid w:val="00950D62"/>
    <w:rsid w:val="00951562"/>
    <w:rsid w:val="00951651"/>
    <w:rsid w:val="00953CAB"/>
    <w:rsid w:val="00954EF3"/>
    <w:rsid w:val="0095603B"/>
    <w:rsid w:val="0095656B"/>
    <w:rsid w:val="00957948"/>
    <w:rsid w:val="009668EF"/>
    <w:rsid w:val="009713CF"/>
    <w:rsid w:val="009729A9"/>
    <w:rsid w:val="009761F8"/>
    <w:rsid w:val="00976AF1"/>
    <w:rsid w:val="00976FB3"/>
    <w:rsid w:val="0098030D"/>
    <w:rsid w:val="00981B13"/>
    <w:rsid w:val="00981E62"/>
    <w:rsid w:val="009928E1"/>
    <w:rsid w:val="0099488A"/>
    <w:rsid w:val="00994D57"/>
    <w:rsid w:val="00996460"/>
    <w:rsid w:val="0099677B"/>
    <w:rsid w:val="009A1E07"/>
    <w:rsid w:val="009A25EB"/>
    <w:rsid w:val="009A290D"/>
    <w:rsid w:val="009B5190"/>
    <w:rsid w:val="009B5381"/>
    <w:rsid w:val="009B654F"/>
    <w:rsid w:val="009C0C1D"/>
    <w:rsid w:val="009C16DF"/>
    <w:rsid w:val="009C1FDC"/>
    <w:rsid w:val="009C4804"/>
    <w:rsid w:val="009D104E"/>
    <w:rsid w:val="009D1FDF"/>
    <w:rsid w:val="009D3524"/>
    <w:rsid w:val="009D5236"/>
    <w:rsid w:val="009D6995"/>
    <w:rsid w:val="009E1667"/>
    <w:rsid w:val="009E1C31"/>
    <w:rsid w:val="009E1CA8"/>
    <w:rsid w:val="009E28E1"/>
    <w:rsid w:val="009E38C1"/>
    <w:rsid w:val="009E6780"/>
    <w:rsid w:val="009E754E"/>
    <w:rsid w:val="009E79EC"/>
    <w:rsid w:val="009F4D99"/>
    <w:rsid w:val="009F50F0"/>
    <w:rsid w:val="009F6A74"/>
    <w:rsid w:val="009F749F"/>
    <w:rsid w:val="00A01327"/>
    <w:rsid w:val="00A018E7"/>
    <w:rsid w:val="00A01913"/>
    <w:rsid w:val="00A035C0"/>
    <w:rsid w:val="00A03911"/>
    <w:rsid w:val="00A03CF8"/>
    <w:rsid w:val="00A05140"/>
    <w:rsid w:val="00A06FC9"/>
    <w:rsid w:val="00A10DE1"/>
    <w:rsid w:val="00A11092"/>
    <w:rsid w:val="00A11D59"/>
    <w:rsid w:val="00A123C7"/>
    <w:rsid w:val="00A12DFF"/>
    <w:rsid w:val="00A13029"/>
    <w:rsid w:val="00A14E44"/>
    <w:rsid w:val="00A14E66"/>
    <w:rsid w:val="00A169DA"/>
    <w:rsid w:val="00A20730"/>
    <w:rsid w:val="00A22538"/>
    <w:rsid w:val="00A23A22"/>
    <w:rsid w:val="00A24CE0"/>
    <w:rsid w:val="00A27E2B"/>
    <w:rsid w:val="00A33B7B"/>
    <w:rsid w:val="00A34039"/>
    <w:rsid w:val="00A3552E"/>
    <w:rsid w:val="00A35E94"/>
    <w:rsid w:val="00A36449"/>
    <w:rsid w:val="00A368E6"/>
    <w:rsid w:val="00A417FA"/>
    <w:rsid w:val="00A42760"/>
    <w:rsid w:val="00A428F6"/>
    <w:rsid w:val="00A443C7"/>
    <w:rsid w:val="00A458B3"/>
    <w:rsid w:val="00A45B60"/>
    <w:rsid w:val="00A45E73"/>
    <w:rsid w:val="00A51634"/>
    <w:rsid w:val="00A5551F"/>
    <w:rsid w:val="00A56AF2"/>
    <w:rsid w:val="00A61B0C"/>
    <w:rsid w:val="00A62E17"/>
    <w:rsid w:val="00A65CAA"/>
    <w:rsid w:val="00A662CF"/>
    <w:rsid w:val="00A7646B"/>
    <w:rsid w:val="00A766FD"/>
    <w:rsid w:val="00A80353"/>
    <w:rsid w:val="00A820E7"/>
    <w:rsid w:val="00A82D47"/>
    <w:rsid w:val="00A82DF8"/>
    <w:rsid w:val="00A874FE"/>
    <w:rsid w:val="00A903D5"/>
    <w:rsid w:val="00A92425"/>
    <w:rsid w:val="00A9333E"/>
    <w:rsid w:val="00A94EC5"/>
    <w:rsid w:val="00A9554E"/>
    <w:rsid w:val="00AA31F2"/>
    <w:rsid w:val="00AA406C"/>
    <w:rsid w:val="00AA4DC1"/>
    <w:rsid w:val="00AA4F9F"/>
    <w:rsid w:val="00AA5E1B"/>
    <w:rsid w:val="00AA7256"/>
    <w:rsid w:val="00AB0987"/>
    <w:rsid w:val="00AB3900"/>
    <w:rsid w:val="00AB7215"/>
    <w:rsid w:val="00AC005D"/>
    <w:rsid w:val="00AC14DE"/>
    <w:rsid w:val="00AC56C2"/>
    <w:rsid w:val="00AC5E19"/>
    <w:rsid w:val="00AC6F49"/>
    <w:rsid w:val="00AD2723"/>
    <w:rsid w:val="00AD445D"/>
    <w:rsid w:val="00AD6F47"/>
    <w:rsid w:val="00AE2781"/>
    <w:rsid w:val="00AE5C52"/>
    <w:rsid w:val="00AE6D76"/>
    <w:rsid w:val="00AE6E0A"/>
    <w:rsid w:val="00AF045F"/>
    <w:rsid w:val="00AF0FA2"/>
    <w:rsid w:val="00AF0FDD"/>
    <w:rsid w:val="00AF1613"/>
    <w:rsid w:val="00AF5A70"/>
    <w:rsid w:val="00AF5C5C"/>
    <w:rsid w:val="00B03FB1"/>
    <w:rsid w:val="00B10FF4"/>
    <w:rsid w:val="00B15829"/>
    <w:rsid w:val="00B16BCA"/>
    <w:rsid w:val="00B17A9D"/>
    <w:rsid w:val="00B206FA"/>
    <w:rsid w:val="00B21C2F"/>
    <w:rsid w:val="00B249B7"/>
    <w:rsid w:val="00B2764E"/>
    <w:rsid w:val="00B30E77"/>
    <w:rsid w:val="00B33F27"/>
    <w:rsid w:val="00B34B88"/>
    <w:rsid w:val="00B37A25"/>
    <w:rsid w:val="00B44032"/>
    <w:rsid w:val="00B456CC"/>
    <w:rsid w:val="00B478EF"/>
    <w:rsid w:val="00B51BAD"/>
    <w:rsid w:val="00B55BE4"/>
    <w:rsid w:val="00B564A3"/>
    <w:rsid w:val="00B56514"/>
    <w:rsid w:val="00B56551"/>
    <w:rsid w:val="00B57AE9"/>
    <w:rsid w:val="00B57CA2"/>
    <w:rsid w:val="00B638BD"/>
    <w:rsid w:val="00B65EB5"/>
    <w:rsid w:val="00B66555"/>
    <w:rsid w:val="00B71672"/>
    <w:rsid w:val="00B725EB"/>
    <w:rsid w:val="00B72CEC"/>
    <w:rsid w:val="00B73156"/>
    <w:rsid w:val="00B7338A"/>
    <w:rsid w:val="00B74929"/>
    <w:rsid w:val="00B7716B"/>
    <w:rsid w:val="00B777E6"/>
    <w:rsid w:val="00B80134"/>
    <w:rsid w:val="00B80707"/>
    <w:rsid w:val="00B85CA3"/>
    <w:rsid w:val="00B861D4"/>
    <w:rsid w:val="00B8737A"/>
    <w:rsid w:val="00B87675"/>
    <w:rsid w:val="00B910DF"/>
    <w:rsid w:val="00B922B9"/>
    <w:rsid w:val="00B95043"/>
    <w:rsid w:val="00B9749F"/>
    <w:rsid w:val="00BA3026"/>
    <w:rsid w:val="00BA3EFF"/>
    <w:rsid w:val="00BA4972"/>
    <w:rsid w:val="00BA5FE7"/>
    <w:rsid w:val="00BB037F"/>
    <w:rsid w:val="00BB1C24"/>
    <w:rsid w:val="00BB2580"/>
    <w:rsid w:val="00BB27EC"/>
    <w:rsid w:val="00BB305D"/>
    <w:rsid w:val="00BB37EE"/>
    <w:rsid w:val="00BB3840"/>
    <w:rsid w:val="00BB530B"/>
    <w:rsid w:val="00BB58D3"/>
    <w:rsid w:val="00BC179B"/>
    <w:rsid w:val="00BC432E"/>
    <w:rsid w:val="00BC6774"/>
    <w:rsid w:val="00BC6C8B"/>
    <w:rsid w:val="00BC6EEF"/>
    <w:rsid w:val="00BC7980"/>
    <w:rsid w:val="00BD28C5"/>
    <w:rsid w:val="00BD2FEE"/>
    <w:rsid w:val="00BD49A4"/>
    <w:rsid w:val="00BD4D43"/>
    <w:rsid w:val="00BD7695"/>
    <w:rsid w:val="00BE0D5C"/>
    <w:rsid w:val="00BE0EE1"/>
    <w:rsid w:val="00BE45A5"/>
    <w:rsid w:val="00BE4BDF"/>
    <w:rsid w:val="00BE5038"/>
    <w:rsid w:val="00BE5FED"/>
    <w:rsid w:val="00BE65E4"/>
    <w:rsid w:val="00BE7D81"/>
    <w:rsid w:val="00BF0AA7"/>
    <w:rsid w:val="00BF2E99"/>
    <w:rsid w:val="00BF2F97"/>
    <w:rsid w:val="00BF5F06"/>
    <w:rsid w:val="00BF7339"/>
    <w:rsid w:val="00C00765"/>
    <w:rsid w:val="00C00BA1"/>
    <w:rsid w:val="00C00E26"/>
    <w:rsid w:val="00C03A2E"/>
    <w:rsid w:val="00C04191"/>
    <w:rsid w:val="00C06287"/>
    <w:rsid w:val="00C0704F"/>
    <w:rsid w:val="00C12309"/>
    <w:rsid w:val="00C14A64"/>
    <w:rsid w:val="00C20D5E"/>
    <w:rsid w:val="00C23583"/>
    <w:rsid w:val="00C312CC"/>
    <w:rsid w:val="00C36C67"/>
    <w:rsid w:val="00C4066A"/>
    <w:rsid w:val="00C40D0E"/>
    <w:rsid w:val="00C418A6"/>
    <w:rsid w:val="00C469FC"/>
    <w:rsid w:val="00C5150D"/>
    <w:rsid w:val="00C51DF7"/>
    <w:rsid w:val="00C5255D"/>
    <w:rsid w:val="00C56BAB"/>
    <w:rsid w:val="00C57E14"/>
    <w:rsid w:val="00C602B7"/>
    <w:rsid w:val="00C60D92"/>
    <w:rsid w:val="00C65930"/>
    <w:rsid w:val="00C67075"/>
    <w:rsid w:val="00C70A8D"/>
    <w:rsid w:val="00C74E92"/>
    <w:rsid w:val="00C75AB0"/>
    <w:rsid w:val="00C76C38"/>
    <w:rsid w:val="00C82AA4"/>
    <w:rsid w:val="00C8305C"/>
    <w:rsid w:val="00C844D6"/>
    <w:rsid w:val="00C85FF6"/>
    <w:rsid w:val="00C918D6"/>
    <w:rsid w:val="00C9326B"/>
    <w:rsid w:val="00C95691"/>
    <w:rsid w:val="00C96A47"/>
    <w:rsid w:val="00C970CE"/>
    <w:rsid w:val="00CA113C"/>
    <w:rsid w:val="00CA1ECD"/>
    <w:rsid w:val="00CA4C7F"/>
    <w:rsid w:val="00CA55F9"/>
    <w:rsid w:val="00CB13B7"/>
    <w:rsid w:val="00CB7087"/>
    <w:rsid w:val="00CB723D"/>
    <w:rsid w:val="00CC41EE"/>
    <w:rsid w:val="00CD061B"/>
    <w:rsid w:val="00CD0BF5"/>
    <w:rsid w:val="00CD0FA4"/>
    <w:rsid w:val="00CD1089"/>
    <w:rsid w:val="00CD1BCD"/>
    <w:rsid w:val="00CD41F8"/>
    <w:rsid w:val="00CD4236"/>
    <w:rsid w:val="00CD6D61"/>
    <w:rsid w:val="00CD7D66"/>
    <w:rsid w:val="00CD7FFC"/>
    <w:rsid w:val="00CE2C6E"/>
    <w:rsid w:val="00CE2D75"/>
    <w:rsid w:val="00CE601B"/>
    <w:rsid w:val="00CE64F1"/>
    <w:rsid w:val="00CE6C66"/>
    <w:rsid w:val="00CE799B"/>
    <w:rsid w:val="00CF046A"/>
    <w:rsid w:val="00CF321C"/>
    <w:rsid w:val="00CF4D2E"/>
    <w:rsid w:val="00CF4FE6"/>
    <w:rsid w:val="00CF556F"/>
    <w:rsid w:val="00CF5974"/>
    <w:rsid w:val="00D0030F"/>
    <w:rsid w:val="00D0445F"/>
    <w:rsid w:val="00D0608D"/>
    <w:rsid w:val="00D061D5"/>
    <w:rsid w:val="00D06E87"/>
    <w:rsid w:val="00D06EFC"/>
    <w:rsid w:val="00D074BF"/>
    <w:rsid w:val="00D1197E"/>
    <w:rsid w:val="00D122E5"/>
    <w:rsid w:val="00D12DAA"/>
    <w:rsid w:val="00D1619E"/>
    <w:rsid w:val="00D206B3"/>
    <w:rsid w:val="00D219C1"/>
    <w:rsid w:val="00D22C33"/>
    <w:rsid w:val="00D27373"/>
    <w:rsid w:val="00D32833"/>
    <w:rsid w:val="00D33DA7"/>
    <w:rsid w:val="00D3507E"/>
    <w:rsid w:val="00D354D0"/>
    <w:rsid w:val="00D41D9A"/>
    <w:rsid w:val="00D451D6"/>
    <w:rsid w:val="00D461E5"/>
    <w:rsid w:val="00D472D8"/>
    <w:rsid w:val="00D5255B"/>
    <w:rsid w:val="00D538F6"/>
    <w:rsid w:val="00D53D88"/>
    <w:rsid w:val="00D5457D"/>
    <w:rsid w:val="00D54D8F"/>
    <w:rsid w:val="00D54EF5"/>
    <w:rsid w:val="00D56FF4"/>
    <w:rsid w:val="00D61E55"/>
    <w:rsid w:val="00D6213A"/>
    <w:rsid w:val="00D70223"/>
    <w:rsid w:val="00D73760"/>
    <w:rsid w:val="00D74036"/>
    <w:rsid w:val="00D802BD"/>
    <w:rsid w:val="00D808EE"/>
    <w:rsid w:val="00D80F57"/>
    <w:rsid w:val="00D87FE7"/>
    <w:rsid w:val="00D90171"/>
    <w:rsid w:val="00D91885"/>
    <w:rsid w:val="00D93663"/>
    <w:rsid w:val="00D94097"/>
    <w:rsid w:val="00D95DDC"/>
    <w:rsid w:val="00D96B2E"/>
    <w:rsid w:val="00D96B60"/>
    <w:rsid w:val="00D96F2A"/>
    <w:rsid w:val="00D97820"/>
    <w:rsid w:val="00DA0634"/>
    <w:rsid w:val="00DA15F0"/>
    <w:rsid w:val="00DA2DE9"/>
    <w:rsid w:val="00DA3E6F"/>
    <w:rsid w:val="00DA5ED1"/>
    <w:rsid w:val="00DA62C5"/>
    <w:rsid w:val="00DA7CB8"/>
    <w:rsid w:val="00DA7DA7"/>
    <w:rsid w:val="00DB0871"/>
    <w:rsid w:val="00DB0CB2"/>
    <w:rsid w:val="00DB16D3"/>
    <w:rsid w:val="00DB2217"/>
    <w:rsid w:val="00DC08BC"/>
    <w:rsid w:val="00DC16CF"/>
    <w:rsid w:val="00DC1F63"/>
    <w:rsid w:val="00DC4E89"/>
    <w:rsid w:val="00DC702D"/>
    <w:rsid w:val="00DD1011"/>
    <w:rsid w:val="00DE097F"/>
    <w:rsid w:val="00DE221F"/>
    <w:rsid w:val="00DE393F"/>
    <w:rsid w:val="00DE3A2A"/>
    <w:rsid w:val="00DE55E6"/>
    <w:rsid w:val="00DE5DBB"/>
    <w:rsid w:val="00DE622C"/>
    <w:rsid w:val="00DF169D"/>
    <w:rsid w:val="00DF22CB"/>
    <w:rsid w:val="00DF4719"/>
    <w:rsid w:val="00DF7AE1"/>
    <w:rsid w:val="00DF7F15"/>
    <w:rsid w:val="00E01887"/>
    <w:rsid w:val="00E0241F"/>
    <w:rsid w:val="00E04482"/>
    <w:rsid w:val="00E04D37"/>
    <w:rsid w:val="00E05840"/>
    <w:rsid w:val="00E07968"/>
    <w:rsid w:val="00E07BF6"/>
    <w:rsid w:val="00E10BA8"/>
    <w:rsid w:val="00E12448"/>
    <w:rsid w:val="00E12A50"/>
    <w:rsid w:val="00E14683"/>
    <w:rsid w:val="00E207DB"/>
    <w:rsid w:val="00E21EFB"/>
    <w:rsid w:val="00E2267F"/>
    <w:rsid w:val="00E235D4"/>
    <w:rsid w:val="00E25FBA"/>
    <w:rsid w:val="00E270B7"/>
    <w:rsid w:val="00E27C9F"/>
    <w:rsid w:val="00E34175"/>
    <w:rsid w:val="00E36A50"/>
    <w:rsid w:val="00E41B22"/>
    <w:rsid w:val="00E43C87"/>
    <w:rsid w:val="00E44BDB"/>
    <w:rsid w:val="00E50301"/>
    <w:rsid w:val="00E50CCC"/>
    <w:rsid w:val="00E528EB"/>
    <w:rsid w:val="00E5370B"/>
    <w:rsid w:val="00E56811"/>
    <w:rsid w:val="00E56A3E"/>
    <w:rsid w:val="00E57580"/>
    <w:rsid w:val="00E6139F"/>
    <w:rsid w:val="00E6161A"/>
    <w:rsid w:val="00E61E1E"/>
    <w:rsid w:val="00E62387"/>
    <w:rsid w:val="00E64B3B"/>
    <w:rsid w:val="00E65DC8"/>
    <w:rsid w:val="00E67D97"/>
    <w:rsid w:val="00E71A05"/>
    <w:rsid w:val="00E742BC"/>
    <w:rsid w:val="00E778B9"/>
    <w:rsid w:val="00E80AB0"/>
    <w:rsid w:val="00E8435E"/>
    <w:rsid w:val="00E90B9D"/>
    <w:rsid w:val="00E923F1"/>
    <w:rsid w:val="00E93762"/>
    <w:rsid w:val="00E96A6F"/>
    <w:rsid w:val="00EA1B79"/>
    <w:rsid w:val="00EA42B1"/>
    <w:rsid w:val="00EA4BDE"/>
    <w:rsid w:val="00EA5C09"/>
    <w:rsid w:val="00EA6D03"/>
    <w:rsid w:val="00EB15E4"/>
    <w:rsid w:val="00EB1D3D"/>
    <w:rsid w:val="00EB3D8A"/>
    <w:rsid w:val="00EB4AF9"/>
    <w:rsid w:val="00EB6139"/>
    <w:rsid w:val="00EB67AB"/>
    <w:rsid w:val="00EB711D"/>
    <w:rsid w:val="00EC0476"/>
    <w:rsid w:val="00EC2535"/>
    <w:rsid w:val="00EC624F"/>
    <w:rsid w:val="00EC71ED"/>
    <w:rsid w:val="00EC7486"/>
    <w:rsid w:val="00ED04F4"/>
    <w:rsid w:val="00ED08E1"/>
    <w:rsid w:val="00ED2536"/>
    <w:rsid w:val="00ED27A5"/>
    <w:rsid w:val="00ED7B38"/>
    <w:rsid w:val="00EE0057"/>
    <w:rsid w:val="00EE0E84"/>
    <w:rsid w:val="00EE120A"/>
    <w:rsid w:val="00EE208F"/>
    <w:rsid w:val="00EE308D"/>
    <w:rsid w:val="00EE44C9"/>
    <w:rsid w:val="00EE793E"/>
    <w:rsid w:val="00EE7ACE"/>
    <w:rsid w:val="00EF087C"/>
    <w:rsid w:val="00EF2769"/>
    <w:rsid w:val="00EF366A"/>
    <w:rsid w:val="00EF4DF3"/>
    <w:rsid w:val="00F02F28"/>
    <w:rsid w:val="00F0799D"/>
    <w:rsid w:val="00F07D50"/>
    <w:rsid w:val="00F11423"/>
    <w:rsid w:val="00F12744"/>
    <w:rsid w:val="00F13F24"/>
    <w:rsid w:val="00F1419E"/>
    <w:rsid w:val="00F1472A"/>
    <w:rsid w:val="00F209D8"/>
    <w:rsid w:val="00F27ED1"/>
    <w:rsid w:val="00F30CF8"/>
    <w:rsid w:val="00F31315"/>
    <w:rsid w:val="00F36436"/>
    <w:rsid w:val="00F40408"/>
    <w:rsid w:val="00F40F6D"/>
    <w:rsid w:val="00F42301"/>
    <w:rsid w:val="00F429F1"/>
    <w:rsid w:val="00F42F5E"/>
    <w:rsid w:val="00F43BA3"/>
    <w:rsid w:val="00F45C27"/>
    <w:rsid w:val="00F46297"/>
    <w:rsid w:val="00F46ABC"/>
    <w:rsid w:val="00F5172B"/>
    <w:rsid w:val="00F53655"/>
    <w:rsid w:val="00F53C1E"/>
    <w:rsid w:val="00F54E11"/>
    <w:rsid w:val="00F55290"/>
    <w:rsid w:val="00F55956"/>
    <w:rsid w:val="00F56CA9"/>
    <w:rsid w:val="00F6071E"/>
    <w:rsid w:val="00F614AD"/>
    <w:rsid w:val="00F616C5"/>
    <w:rsid w:val="00F62CFC"/>
    <w:rsid w:val="00F639E2"/>
    <w:rsid w:val="00F65284"/>
    <w:rsid w:val="00F70537"/>
    <w:rsid w:val="00F711FF"/>
    <w:rsid w:val="00F71512"/>
    <w:rsid w:val="00F74363"/>
    <w:rsid w:val="00F74FA5"/>
    <w:rsid w:val="00F7658C"/>
    <w:rsid w:val="00F769FF"/>
    <w:rsid w:val="00F77E6A"/>
    <w:rsid w:val="00F81D93"/>
    <w:rsid w:val="00F831FB"/>
    <w:rsid w:val="00F86C62"/>
    <w:rsid w:val="00F907B5"/>
    <w:rsid w:val="00F91BC1"/>
    <w:rsid w:val="00F93164"/>
    <w:rsid w:val="00F93332"/>
    <w:rsid w:val="00F940A3"/>
    <w:rsid w:val="00F9413F"/>
    <w:rsid w:val="00F94A2D"/>
    <w:rsid w:val="00F94D21"/>
    <w:rsid w:val="00F95009"/>
    <w:rsid w:val="00FA11D0"/>
    <w:rsid w:val="00FA14EB"/>
    <w:rsid w:val="00FA344A"/>
    <w:rsid w:val="00FA39DE"/>
    <w:rsid w:val="00FA406D"/>
    <w:rsid w:val="00FA44DE"/>
    <w:rsid w:val="00FA4570"/>
    <w:rsid w:val="00FA4A95"/>
    <w:rsid w:val="00FA4BF1"/>
    <w:rsid w:val="00FA690F"/>
    <w:rsid w:val="00FB1329"/>
    <w:rsid w:val="00FB3748"/>
    <w:rsid w:val="00FB5056"/>
    <w:rsid w:val="00FB7924"/>
    <w:rsid w:val="00FC015B"/>
    <w:rsid w:val="00FC019D"/>
    <w:rsid w:val="00FC0B80"/>
    <w:rsid w:val="00FC19A6"/>
    <w:rsid w:val="00FC3C87"/>
    <w:rsid w:val="00FC4B7E"/>
    <w:rsid w:val="00FD0CB0"/>
    <w:rsid w:val="00FD1315"/>
    <w:rsid w:val="00FD19F3"/>
    <w:rsid w:val="00FD53F4"/>
    <w:rsid w:val="00FD7BD8"/>
    <w:rsid w:val="00FE1536"/>
    <w:rsid w:val="00FE25EE"/>
    <w:rsid w:val="00FE4491"/>
    <w:rsid w:val="00FE5718"/>
    <w:rsid w:val="00FE68CD"/>
    <w:rsid w:val="00FF061A"/>
    <w:rsid w:val="00FF2137"/>
    <w:rsid w:val="00FF2D07"/>
    <w:rsid w:val="00FF323D"/>
    <w:rsid w:val="00FF3DA4"/>
    <w:rsid w:val="00FF54BA"/>
    <w:rsid w:val="00FF6A90"/>
    <w:rsid w:val="00FF6B6F"/>
    <w:rsid w:val="00FF72E1"/>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782500"/>
    <w:pPr>
      <w:keepNext/>
      <w:spacing w:before="20" w:after="20" w:line="180" w:lineRule="atLeast"/>
      <w:ind w:left="720"/>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782500"/>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uiPriority w:val="99"/>
    <w:rsid w:val="00235D29"/>
    <w:pPr>
      <w:numPr>
        <w:numId w:val="7"/>
      </w:numPr>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Fußnotenzeichen DISS,Superscript 6 Point + 11 pt"/>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
    <w:name w:val="st"/>
    <w:basedOn w:val="DefaultParagraphFont"/>
    <w:rsid w:val="00E57580"/>
  </w:style>
  <w:style w:type="paragraph" w:customStyle="1" w:styleId="Ratingbullet">
    <w:name w:val="Rating bullet"/>
    <w:basedOn w:val="TableTextEntries"/>
    <w:semiHidden/>
    <w:rsid w:val="006F5125"/>
    <w:pPr>
      <w:jc w:val="center"/>
    </w:pPr>
    <w:rPr>
      <w:iCs w:val="0"/>
      <w:sz w:val="22"/>
      <w:szCs w:val="22"/>
    </w:rPr>
  </w:style>
  <w:style w:type="paragraph" w:customStyle="1" w:styleId="Default">
    <w:name w:val="Default"/>
    <w:rsid w:val="00A24CE0"/>
    <w:pPr>
      <w:autoSpaceDE w:val="0"/>
      <w:autoSpaceDN w:val="0"/>
      <w:adjustRightInd w:val="0"/>
      <w:spacing w:after="0" w:line="240" w:lineRule="auto"/>
    </w:pPr>
    <w:rPr>
      <w:rFonts w:ascii="Arial" w:hAnsi="Arial" w:cs="Arial"/>
      <w:color w:val="000000"/>
      <w:sz w:val="24"/>
      <w:szCs w:val="24"/>
      <w:lang w:bidi="km-KH"/>
    </w:rPr>
  </w:style>
  <w:style w:type="character" w:customStyle="1" w:styleId="TableListBullet2CharChar">
    <w:name w:val="Table List Bullet 2 Char Char"/>
    <w:rsid w:val="002B5EFB"/>
    <w:rPr>
      <w:rFonts w:ascii="Franklin Gothic Book" w:eastAsia="Times New Roman" w:hAnsi="Franklin Gothic Book" w:cs="Times New Roman"/>
      <w:sz w:val="17"/>
      <w:szCs w:val="17"/>
      <w:lang w:eastAsia="en-US"/>
    </w:rPr>
  </w:style>
  <w:style w:type="character" w:styleId="SubtleEmphasis">
    <w:name w:val="Subtle Emphasis"/>
    <w:basedOn w:val="DefaultParagraphFont"/>
    <w:uiPriority w:val="19"/>
    <w:qFormat/>
    <w:rsid w:val="006F46D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782500"/>
    <w:pPr>
      <w:keepNext/>
      <w:spacing w:before="20" w:after="20" w:line="180" w:lineRule="atLeast"/>
      <w:ind w:left="720"/>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782500"/>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uiPriority w:val="99"/>
    <w:rsid w:val="00235D29"/>
    <w:pPr>
      <w:numPr>
        <w:numId w:val="7"/>
      </w:numPr>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Fußnotenzeichen DISS,Superscript 6 Point + 11 pt"/>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
    <w:name w:val="st"/>
    <w:basedOn w:val="DefaultParagraphFont"/>
    <w:rsid w:val="00E57580"/>
  </w:style>
  <w:style w:type="paragraph" w:customStyle="1" w:styleId="Ratingbullet">
    <w:name w:val="Rating bullet"/>
    <w:basedOn w:val="TableTextEntries"/>
    <w:semiHidden/>
    <w:rsid w:val="006F5125"/>
    <w:pPr>
      <w:jc w:val="center"/>
    </w:pPr>
    <w:rPr>
      <w:iCs w:val="0"/>
      <w:sz w:val="22"/>
      <w:szCs w:val="22"/>
    </w:rPr>
  </w:style>
  <w:style w:type="paragraph" w:customStyle="1" w:styleId="Default">
    <w:name w:val="Default"/>
    <w:rsid w:val="00A24CE0"/>
    <w:pPr>
      <w:autoSpaceDE w:val="0"/>
      <w:autoSpaceDN w:val="0"/>
      <w:adjustRightInd w:val="0"/>
      <w:spacing w:after="0" w:line="240" w:lineRule="auto"/>
    </w:pPr>
    <w:rPr>
      <w:rFonts w:ascii="Arial" w:hAnsi="Arial" w:cs="Arial"/>
      <w:color w:val="000000"/>
      <w:sz w:val="24"/>
      <w:szCs w:val="24"/>
      <w:lang w:bidi="km-KH"/>
    </w:rPr>
  </w:style>
  <w:style w:type="character" w:customStyle="1" w:styleId="TableListBullet2CharChar">
    <w:name w:val="Table List Bullet 2 Char Char"/>
    <w:rsid w:val="002B5EFB"/>
    <w:rPr>
      <w:rFonts w:ascii="Franklin Gothic Book" w:eastAsia="Times New Roman" w:hAnsi="Franklin Gothic Book" w:cs="Times New Roman"/>
      <w:sz w:val="17"/>
      <w:szCs w:val="17"/>
      <w:lang w:eastAsia="en-US"/>
    </w:rPr>
  </w:style>
  <w:style w:type="character" w:styleId="SubtleEmphasis">
    <w:name w:val="Subtle Emphasis"/>
    <w:basedOn w:val="DefaultParagraphFont"/>
    <w:uiPriority w:val="19"/>
    <w:qFormat/>
    <w:rsid w:val="006F46D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25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397821307">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43326020">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8349">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88912015">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27272332">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0450B-5688-4E11-82CF-11D18D927603}"/>
</file>

<file path=customXml/itemProps2.xml><?xml version="1.0" encoding="utf-8"?>
<ds:datastoreItem xmlns:ds="http://schemas.openxmlformats.org/officeDocument/2006/customXml" ds:itemID="{1368EF1B-AEA9-4A45-8939-6FEB696561AB}"/>
</file>

<file path=customXml/itemProps3.xml><?xml version="1.0" encoding="utf-8"?>
<ds:datastoreItem xmlns:ds="http://schemas.openxmlformats.org/officeDocument/2006/customXml" ds:itemID="{24D47D34-7974-4A8F-A6F9-138F245BF439}"/>
</file>

<file path=customXml/itemProps4.xml><?xml version="1.0" encoding="utf-8"?>
<ds:datastoreItem xmlns:ds="http://schemas.openxmlformats.org/officeDocument/2006/customXml" ds:itemID="{202642AF-9A35-466F-9315-AB516CA6D319}"/>
</file>

<file path=docProps/app.xml><?xml version="1.0" encoding="utf-8"?>
<Properties xmlns="http://schemas.openxmlformats.org/officeDocument/2006/extended-properties" xmlns:vt="http://schemas.openxmlformats.org/officeDocument/2006/docPropsVTypes">
  <Template>6ED21AC7</Template>
  <TotalTime>0</TotalTime>
  <Pages>34</Pages>
  <Words>12422</Words>
  <Characters>70807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2014-10-28T23:17:00Z</dcterms:created>
  <dcterms:modified xsi:type="dcterms:W3CDTF">2014-10-28T23:17:00Z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