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7.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54" w:rsidRPr="00745FE3" w:rsidRDefault="00A90743" w:rsidP="009C37E7">
      <w:pPr>
        <w:pStyle w:val="Title"/>
        <w:ind w:right="-312"/>
      </w:pPr>
      <w:r w:rsidRPr="007844C8">
        <w:t xml:space="preserve">Aid Program Performance Report 2012−13 </w:t>
      </w:r>
      <w:r w:rsidR="00D82E3E" w:rsidRPr="007844C8">
        <w:t>Cambodia</w:t>
      </w:r>
    </w:p>
    <w:p w:rsidR="007F2100" w:rsidRPr="00213346" w:rsidRDefault="004C2468" w:rsidP="00213346">
      <w:pPr>
        <w:pStyle w:val="Heading1"/>
      </w:pPr>
      <w:r w:rsidRPr="00213346">
        <w:t>Key m</w:t>
      </w:r>
      <w:r w:rsidR="007F2100" w:rsidRPr="00213346">
        <w:t>essages</w:t>
      </w:r>
    </w:p>
    <w:p w:rsidR="007F2100" w:rsidRPr="00F415F1" w:rsidRDefault="007F2100" w:rsidP="001F1D9C">
      <w:pPr>
        <w:pStyle w:val="BodyText"/>
      </w:pPr>
      <w:r w:rsidRPr="00F415F1">
        <w:t>This report summarises the</w:t>
      </w:r>
      <w:r w:rsidR="004C2468">
        <w:t xml:space="preserve"> aid program’s progress </w:t>
      </w:r>
      <w:r w:rsidR="004C2468" w:rsidRPr="00F415F1">
        <w:t>in Cambodia</w:t>
      </w:r>
      <w:r w:rsidR="004C2468">
        <w:t xml:space="preserve"> in 2012–</w:t>
      </w:r>
      <w:r w:rsidRPr="00F415F1">
        <w:t xml:space="preserve">13 </w:t>
      </w:r>
      <w:r w:rsidR="004C2468">
        <w:t>and covers</w:t>
      </w:r>
      <w:r w:rsidRPr="00F415F1">
        <w:t xml:space="preserve"> the period from January 2012 to June 2013.</w:t>
      </w:r>
    </w:p>
    <w:p w:rsidR="007F2100" w:rsidRPr="00F415F1" w:rsidRDefault="007F2100" w:rsidP="00213346">
      <w:pPr>
        <w:pStyle w:val="BodyText"/>
      </w:pPr>
      <w:r w:rsidRPr="00F415F1">
        <w:t xml:space="preserve">Australia remains the third largest bilateral donor to Cambodia. Australian </w:t>
      </w:r>
      <w:r w:rsidR="00B93271">
        <w:t>o</w:t>
      </w:r>
      <w:r w:rsidR="00B93271" w:rsidRPr="00F415F1">
        <w:t xml:space="preserve">fficial </w:t>
      </w:r>
      <w:r w:rsidR="00B93271">
        <w:t>d</w:t>
      </w:r>
      <w:r w:rsidR="00B93271" w:rsidRPr="00F415F1">
        <w:t xml:space="preserve">evelopment </w:t>
      </w:r>
      <w:r w:rsidR="00B93271">
        <w:t>a</w:t>
      </w:r>
      <w:r w:rsidR="00B93271" w:rsidRPr="00F415F1">
        <w:t>ssistance</w:t>
      </w:r>
      <w:r w:rsidR="00847E2B">
        <w:t xml:space="preserve"> </w:t>
      </w:r>
      <w:r w:rsidRPr="00F415F1">
        <w:t xml:space="preserve">in 2012–13 </w:t>
      </w:r>
      <w:r w:rsidR="00B93271">
        <w:t>was</w:t>
      </w:r>
      <w:r w:rsidR="00B93271" w:rsidRPr="00F415F1">
        <w:t xml:space="preserve"> </w:t>
      </w:r>
      <w:r w:rsidRPr="00F415F1">
        <w:t>estimated to be $</w:t>
      </w:r>
      <w:r w:rsidR="00B86360">
        <w:t xml:space="preserve">84 </w:t>
      </w:r>
      <w:r w:rsidRPr="00F415F1">
        <w:t xml:space="preserve">million. Bilateral programs are complemented by regional development assistance including </w:t>
      </w:r>
      <w:r w:rsidR="00D305A3">
        <w:t xml:space="preserve">those </w:t>
      </w:r>
      <w:r w:rsidR="00B93271">
        <w:t>delivered</w:t>
      </w:r>
      <w:r w:rsidR="00B93271" w:rsidRPr="00F415F1">
        <w:t xml:space="preserve"> </w:t>
      </w:r>
      <w:r w:rsidRPr="00F415F1">
        <w:t>through a range of Association of Southeast Asian Nations (ASEAN) and Mekong River Commission programs.</w:t>
      </w:r>
    </w:p>
    <w:p w:rsidR="00F415F1" w:rsidRPr="00F415F1" w:rsidRDefault="00F415F1" w:rsidP="00213346">
      <w:pPr>
        <w:pStyle w:val="BodyText"/>
      </w:pPr>
      <w:r w:rsidRPr="00F415F1">
        <w:t xml:space="preserve">A summary of key achievements </w:t>
      </w:r>
      <w:r w:rsidR="00CD6B2F">
        <w:t>for the reporting period</w:t>
      </w:r>
      <w:r w:rsidR="00CD6B2F" w:rsidRPr="00F415F1">
        <w:t xml:space="preserve"> </w:t>
      </w:r>
      <w:r w:rsidR="00B93271">
        <w:t>follows.</w:t>
      </w:r>
      <w:r w:rsidRPr="00F415F1">
        <w:t xml:space="preserve"> </w:t>
      </w:r>
    </w:p>
    <w:p w:rsidR="00231007" w:rsidRDefault="00F415F1" w:rsidP="001F1D9C">
      <w:pPr>
        <w:pStyle w:val="BodyText"/>
      </w:pPr>
      <w:r w:rsidRPr="00F415F1">
        <w:t xml:space="preserve">In 2012, </w:t>
      </w:r>
      <w:r w:rsidR="00B93271">
        <w:rPr>
          <w:lang w:val="en-US"/>
        </w:rPr>
        <w:t>t</w:t>
      </w:r>
      <w:r w:rsidR="00B93271" w:rsidRPr="00B93271">
        <w:rPr>
          <w:lang w:val="en-US"/>
        </w:rPr>
        <w:t xml:space="preserve">he Cambodia Agricultural Value Chain Program </w:t>
      </w:r>
      <w:r w:rsidRPr="00F415F1">
        <w:t xml:space="preserve">rehabilitated six irrigation schemes, allowing an estimated additional 8400 hectares of land to be irrigated, </w:t>
      </w:r>
      <w:r w:rsidR="00B93271">
        <w:t xml:space="preserve">and </w:t>
      </w:r>
      <w:r w:rsidRPr="00F415F1">
        <w:t xml:space="preserve">enabling 7600 families to grow additional crops during the dry season. Australian assistance supported mine and </w:t>
      </w:r>
      <w:r w:rsidR="00B93271">
        <w:t>unexploded ordnance</w:t>
      </w:r>
      <w:r w:rsidR="00B93271" w:rsidRPr="00F415F1">
        <w:t xml:space="preserve"> </w:t>
      </w:r>
      <w:r w:rsidRPr="00F415F1">
        <w:t xml:space="preserve">clearance, </w:t>
      </w:r>
      <w:r w:rsidR="00B93271">
        <w:t>freeing</w:t>
      </w:r>
      <w:r w:rsidR="00B93271" w:rsidRPr="00F415F1">
        <w:t xml:space="preserve"> </w:t>
      </w:r>
      <w:r w:rsidRPr="00F415F1">
        <w:t>land that farmers have been unable to use for decades.</w:t>
      </w:r>
      <w:r w:rsidR="00CD6B2F">
        <w:t xml:space="preserve"> </w:t>
      </w:r>
      <w:r w:rsidRPr="00F415F1">
        <w:t xml:space="preserve">During 2012 </w:t>
      </w:r>
      <w:r w:rsidR="00B93271">
        <w:t>about</w:t>
      </w:r>
      <w:r w:rsidR="00B93271" w:rsidRPr="00F415F1">
        <w:t xml:space="preserve"> </w:t>
      </w:r>
      <w:r w:rsidRPr="00F415F1">
        <w:t xml:space="preserve">13.8 square kilometres of land </w:t>
      </w:r>
      <w:r w:rsidR="00B93271">
        <w:t>was</w:t>
      </w:r>
      <w:r w:rsidR="00B93271" w:rsidRPr="00F415F1">
        <w:t xml:space="preserve"> </w:t>
      </w:r>
      <w:r w:rsidRPr="00F415F1">
        <w:t xml:space="preserve">cleared </w:t>
      </w:r>
      <w:r w:rsidR="00CD6B2F">
        <w:t>and</w:t>
      </w:r>
      <w:r w:rsidR="00CD6B2F" w:rsidRPr="00F415F1">
        <w:t xml:space="preserve"> </w:t>
      </w:r>
      <w:r w:rsidRPr="00F415F1">
        <w:t xml:space="preserve">4593 anti-personnel mines, 28 anti-tank mines and 1999 unexploded ordnances </w:t>
      </w:r>
      <w:r w:rsidR="00CD6B2F">
        <w:t xml:space="preserve">were </w:t>
      </w:r>
      <w:r w:rsidRPr="00F415F1">
        <w:t xml:space="preserve">found and destroyed. In the three provinces where the Clearing for Results project is being implemented, casualties from landmines and </w:t>
      </w:r>
      <w:r w:rsidR="00231007">
        <w:t>unexploded ordnance</w:t>
      </w:r>
      <w:r w:rsidR="003A3850">
        <w:t>s</w:t>
      </w:r>
      <w:r w:rsidR="00231007" w:rsidRPr="00F415F1">
        <w:t xml:space="preserve"> </w:t>
      </w:r>
      <w:r w:rsidRPr="00F415F1">
        <w:t xml:space="preserve">declined </w:t>
      </w:r>
      <w:r w:rsidR="00231007">
        <w:t xml:space="preserve">by </w:t>
      </w:r>
      <w:r w:rsidR="00231007" w:rsidRPr="00F415F1">
        <w:t xml:space="preserve">45 per </w:t>
      </w:r>
      <w:r w:rsidR="00231007" w:rsidRPr="000249ED">
        <w:t>cent</w:t>
      </w:r>
      <w:r w:rsidR="000249ED" w:rsidRPr="000249ED">
        <w:t>—</w:t>
      </w:r>
      <w:r w:rsidRPr="000249ED">
        <w:t>from</w:t>
      </w:r>
      <w:r w:rsidRPr="00F415F1">
        <w:t xml:space="preserve"> 100 in 2011 to 55 in 2012</w:t>
      </w:r>
      <w:r w:rsidR="00231007">
        <w:t>.</w:t>
      </w:r>
    </w:p>
    <w:p w:rsidR="00F415F1" w:rsidRPr="00FA1594" w:rsidRDefault="00F415F1" w:rsidP="00213346">
      <w:pPr>
        <w:pStyle w:val="BodyText"/>
      </w:pPr>
      <w:r w:rsidRPr="00745FE3">
        <w:t xml:space="preserve">In partnership with </w:t>
      </w:r>
      <w:r w:rsidR="00CD6B2F">
        <w:t>German aid agency</w:t>
      </w:r>
      <w:r w:rsidR="00231007">
        <w:t xml:space="preserve"> </w:t>
      </w:r>
      <w:r w:rsidRPr="00745FE3">
        <w:t xml:space="preserve">GIZ, </w:t>
      </w:r>
      <w:r w:rsidR="009E59CF">
        <w:t>Australia</w:t>
      </w:r>
      <w:r w:rsidRPr="00745FE3">
        <w:t xml:space="preserve"> support</w:t>
      </w:r>
      <w:r>
        <w:t>ed the</w:t>
      </w:r>
      <w:r w:rsidRPr="00745FE3">
        <w:t xml:space="preserve"> </w:t>
      </w:r>
      <w:proofErr w:type="spellStart"/>
      <w:r w:rsidRPr="00745FE3">
        <w:t>IDPoor</w:t>
      </w:r>
      <w:proofErr w:type="spellEnd"/>
      <w:r>
        <w:t xml:space="preserve"> program to enable </w:t>
      </w:r>
      <w:r w:rsidRPr="00745FE3">
        <w:t xml:space="preserve">social services to </w:t>
      </w:r>
      <w:r w:rsidR="00231007">
        <w:t xml:space="preserve">be targeted to </w:t>
      </w:r>
      <w:r w:rsidRPr="00745FE3">
        <w:t xml:space="preserve">poor and vulnerable households. </w:t>
      </w:r>
      <w:r>
        <w:t xml:space="preserve">Through this </w:t>
      </w:r>
      <w:r w:rsidR="00231007">
        <w:t xml:space="preserve">support, </w:t>
      </w:r>
      <w:r>
        <w:t xml:space="preserve">Australian funding to the health sector </w:t>
      </w:r>
      <w:r w:rsidRPr="00FA1594">
        <w:t xml:space="preserve">helped 78 per cent of people living under the poverty line access a range of free medical services. </w:t>
      </w:r>
      <w:r w:rsidR="009E59CF">
        <w:t>Australia</w:t>
      </w:r>
      <w:r w:rsidRPr="00FA1594">
        <w:t xml:space="preserve"> </w:t>
      </w:r>
      <w:r>
        <w:t xml:space="preserve">directly </w:t>
      </w:r>
      <w:r w:rsidRPr="00FA1594">
        <w:t>enabl</w:t>
      </w:r>
      <w:r w:rsidR="008C0122">
        <w:t>ed</w:t>
      </w:r>
      <w:r w:rsidRPr="00FA1594">
        <w:t xml:space="preserve"> </w:t>
      </w:r>
      <w:r w:rsidR="00231007">
        <w:t>about</w:t>
      </w:r>
      <w:r w:rsidR="00231007" w:rsidRPr="00FA1594">
        <w:t xml:space="preserve"> </w:t>
      </w:r>
      <w:r w:rsidRPr="00FA1594">
        <w:t>17</w:t>
      </w:r>
      <w:r w:rsidR="00231007">
        <w:t xml:space="preserve"> </w:t>
      </w:r>
      <w:r w:rsidRPr="00FA1594">
        <w:t xml:space="preserve">500 births </w:t>
      </w:r>
      <w:r w:rsidR="00CD6B2F">
        <w:t>to be</w:t>
      </w:r>
      <w:r w:rsidR="00231007" w:rsidRPr="00FA1594">
        <w:t xml:space="preserve"> </w:t>
      </w:r>
      <w:r w:rsidRPr="00FA1594">
        <w:t xml:space="preserve">attended by trained health staff and </w:t>
      </w:r>
      <w:r w:rsidR="00CD6B2F">
        <w:t xml:space="preserve">ensured that </w:t>
      </w:r>
      <w:r w:rsidR="00231007">
        <w:t>about</w:t>
      </w:r>
      <w:r w:rsidR="00231007" w:rsidRPr="00FA1594">
        <w:t xml:space="preserve"> </w:t>
      </w:r>
      <w:r w:rsidR="0084129E">
        <w:t>21</w:t>
      </w:r>
      <w:r w:rsidR="00231007">
        <w:t xml:space="preserve"> </w:t>
      </w:r>
      <w:r w:rsidR="0084129E">
        <w:t>000</w:t>
      </w:r>
      <w:r w:rsidRPr="00FA1594">
        <w:t xml:space="preserve"> </w:t>
      </w:r>
      <w:r w:rsidRPr="007D0B3E">
        <w:t xml:space="preserve">children </w:t>
      </w:r>
      <w:r w:rsidR="00231007">
        <w:t>were</w:t>
      </w:r>
      <w:r w:rsidRPr="007D0B3E">
        <w:t xml:space="preserve"> fully vaccinated</w:t>
      </w:r>
      <w:r w:rsidRPr="007D0B3E">
        <w:rPr>
          <w:vertAlign w:val="superscript"/>
        </w:rPr>
        <w:footnoteReference w:id="1"/>
      </w:r>
      <w:r w:rsidRPr="007D0B3E">
        <w:t xml:space="preserve"> </w:t>
      </w:r>
      <w:r w:rsidRPr="00FA1594">
        <w:t xml:space="preserve">in 2012. </w:t>
      </w:r>
    </w:p>
    <w:p w:rsidR="00F415F1" w:rsidRPr="000249ED" w:rsidRDefault="0084129E" w:rsidP="000249ED">
      <w:pPr>
        <w:pStyle w:val="BodyText"/>
      </w:pPr>
      <w:r w:rsidRPr="000249ED">
        <w:t>Despite ongoing challenges</w:t>
      </w:r>
      <w:r w:rsidR="00231007" w:rsidRPr="000249ED">
        <w:t>,</w:t>
      </w:r>
      <w:r w:rsidRPr="000249ED">
        <w:t xml:space="preserve"> </w:t>
      </w:r>
      <w:r w:rsidR="00021F54" w:rsidRPr="000249ED">
        <w:t>the Cambodia Railway R</w:t>
      </w:r>
      <w:r w:rsidR="00231007" w:rsidRPr="000249ED">
        <w:t xml:space="preserve">ehabilitation </w:t>
      </w:r>
      <w:r w:rsidR="00021F54" w:rsidRPr="000249ED">
        <w:t xml:space="preserve">Project </w:t>
      </w:r>
      <w:r w:rsidRPr="000249ED">
        <w:t xml:space="preserve">continues to progress </w:t>
      </w:r>
      <w:r w:rsidR="00000BA0" w:rsidRPr="000249ED">
        <w:t xml:space="preserve">and </w:t>
      </w:r>
      <w:r w:rsidR="00D305A3" w:rsidRPr="000249ED">
        <w:t xml:space="preserve">at least two </w:t>
      </w:r>
      <w:r w:rsidRPr="000249ED">
        <w:t>freight trains</w:t>
      </w:r>
      <w:r w:rsidR="00D305A3" w:rsidRPr="000249ED">
        <w:t xml:space="preserve"> a day </w:t>
      </w:r>
      <w:r w:rsidR="00000BA0" w:rsidRPr="000249ED">
        <w:t>now travel</w:t>
      </w:r>
      <w:r w:rsidR="00D305A3" w:rsidRPr="000249ED">
        <w:t xml:space="preserve"> between Phnom Penh and </w:t>
      </w:r>
      <w:proofErr w:type="spellStart"/>
      <w:r w:rsidR="00D305A3" w:rsidRPr="000249ED">
        <w:t>Sihanoukville</w:t>
      </w:r>
      <w:proofErr w:type="spellEnd"/>
      <w:r w:rsidR="00F415F1" w:rsidRPr="000249ED">
        <w:t>, carrying coal, cement, cassava and rice.</w:t>
      </w:r>
      <w:r w:rsidR="00CD6B2F" w:rsidRPr="000249ED">
        <w:t xml:space="preserve"> </w:t>
      </w:r>
      <w:r w:rsidR="008C0122" w:rsidRPr="000249ED">
        <w:t xml:space="preserve">Over time </w:t>
      </w:r>
      <w:r w:rsidR="00231007" w:rsidRPr="000249ED">
        <w:t xml:space="preserve">this </w:t>
      </w:r>
      <w:r w:rsidR="008C0122" w:rsidRPr="000249ED">
        <w:t>project will reduce dangerous traffic on Cambodia’s roads and make a major contribution to economic growth.</w:t>
      </w:r>
      <w:r w:rsidR="00CD6B2F" w:rsidRPr="000249ED">
        <w:t xml:space="preserve"> </w:t>
      </w:r>
      <w:r w:rsidR="009E59CF">
        <w:t xml:space="preserve">DFAT </w:t>
      </w:r>
      <w:r w:rsidR="00F415F1" w:rsidRPr="000249ED">
        <w:t xml:space="preserve">will continue to support the resettlement process until the projected project completion date in December 2014. </w:t>
      </w:r>
    </w:p>
    <w:p w:rsidR="00F415F1" w:rsidRPr="00745FE3" w:rsidRDefault="0084129E" w:rsidP="00213346">
      <w:pPr>
        <w:pStyle w:val="BodyText"/>
      </w:pPr>
      <w:r>
        <w:t>T</w:t>
      </w:r>
      <w:r w:rsidR="00F415F1" w:rsidRPr="00745FE3">
        <w:t xml:space="preserve">he Southern Coastal Corridor Project </w:t>
      </w:r>
      <w:r>
        <w:t>is on track with work nearing completion on a new 15</w:t>
      </w:r>
      <w:r w:rsidR="00B3307A">
        <w:t xml:space="preserve"> </w:t>
      </w:r>
      <w:r w:rsidR="00231007">
        <w:t xml:space="preserve">kilometre </w:t>
      </w:r>
      <w:r>
        <w:t xml:space="preserve">road link and a major </w:t>
      </w:r>
      <w:r w:rsidR="00F415F1" w:rsidRPr="00745FE3">
        <w:t>cross-border facility</w:t>
      </w:r>
      <w:r>
        <w:t xml:space="preserve"> to provide </w:t>
      </w:r>
      <w:r w:rsidR="00F415F1" w:rsidRPr="00745FE3">
        <w:t xml:space="preserve">a one-stop service at the </w:t>
      </w:r>
      <w:proofErr w:type="spellStart"/>
      <w:r w:rsidR="00F415F1" w:rsidRPr="00745FE3">
        <w:t>L</w:t>
      </w:r>
      <w:r>
        <w:t>ork</w:t>
      </w:r>
      <w:proofErr w:type="spellEnd"/>
      <w:r>
        <w:t xml:space="preserve">-Ha </w:t>
      </w:r>
      <w:proofErr w:type="spellStart"/>
      <w:r>
        <w:t>Tien</w:t>
      </w:r>
      <w:proofErr w:type="spellEnd"/>
      <w:r>
        <w:t xml:space="preserve"> crossing to Vietnam.</w:t>
      </w:r>
      <w:r w:rsidR="00CD6B2F">
        <w:t xml:space="preserve"> </w:t>
      </w:r>
      <w:r w:rsidR="009E59CF">
        <w:t xml:space="preserve">Australian </w:t>
      </w:r>
      <w:r>
        <w:t xml:space="preserve">funding to the Road Asset Management Project has exceeded targets and has improved </w:t>
      </w:r>
      <w:r w:rsidR="00F415F1" w:rsidRPr="00745FE3">
        <w:t>996</w:t>
      </w:r>
      <w:r w:rsidR="00847E2B">
        <w:t xml:space="preserve"> </w:t>
      </w:r>
      <w:r w:rsidR="00231007">
        <w:t>kilometres</w:t>
      </w:r>
      <w:r w:rsidR="00231007" w:rsidRPr="00745FE3">
        <w:t xml:space="preserve"> </w:t>
      </w:r>
      <w:r>
        <w:t>of</w:t>
      </w:r>
      <w:r w:rsidR="008C0122">
        <w:t xml:space="preserve"> Cambodia’s road network.</w:t>
      </w:r>
      <w:r w:rsidR="00CD6B2F">
        <w:t xml:space="preserve"> </w:t>
      </w:r>
      <w:r w:rsidR="008C0122">
        <w:t>The Flood Rehabilitation P</w:t>
      </w:r>
      <w:r>
        <w:t xml:space="preserve">roject has repaired </w:t>
      </w:r>
      <w:r w:rsidR="00F415F1" w:rsidRPr="00745FE3">
        <w:t>275</w:t>
      </w:r>
      <w:r w:rsidR="00847E2B">
        <w:t xml:space="preserve"> </w:t>
      </w:r>
      <w:r w:rsidR="00231007">
        <w:t>kilometres</w:t>
      </w:r>
      <w:r w:rsidR="00231007" w:rsidRPr="00745FE3">
        <w:t xml:space="preserve"> </w:t>
      </w:r>
      <w:r w:rsidR="00F415F1" w:rsidRPr="00745FE3">
        <w:t>of rural roads</w:t>
      </w:r>
      <w:r>
        <w:t>, three bridges</w:t>
      </w:r>
      <w:r w:rsidR="00F415F1" w:rsidRPr="00745FE3">
        <w:t>, two major dykes and eight irrigation schemes.</w:t>
      </w:r>
      <w:r w:rsidR="00CD6B2F">
        <w:t xml:space="preserve"> </w:t>
      </w:r>
    </w:p>
    <w:p w:rsidR="00F415F1" w:rsidRPr="00745FE3" w:rsidRDefault="009E59CF" w:rsidP="00213346">
      <w:pPr>
        <w:pStyle w:val="BodyText"/>
      </w:pPr>
      <w:r>
        <w:lastRenderedPageBreak/>
        <w:t xml:space="preserve">Australia provided </w:t>
      </w:r>
      <w:r w:rsidR="00F415F1" w:rsidRPr="00745FE3">
        <w:t>support</w:t>
      </w:r>
      <w:r>
        <w:t xml:space="preserve"> for</w:t>
      </w:r>
      <w:r w:rsidR="00F415F1" w:rsidRPr="00745FE3">
        <w:t xml:space="preserve"> the appropriate implementation of the </w:t>
      </w:r>
      <w:r w:rsidR="00CD6B2F" w:rsidRPr="001F1D9C">
        <w:t>Cambodian</w:t>
      </w:r>
      <w:r w:rsidR="00231007" w:rsidRPr="001F1D9C">
        <w:t xml:space="preserve"> Government</w:t>
      </w:r>
      <w:r w:rsidR="00CD6B2F" w:rsidRPr="001F1D9C">
        <w:t>’s</w:t>
      </w:r>
      <w:r w:rsidR="00231007" w:rsidRPr="001F1D9C">
        <w:t xml:space="preserve"> </w:t>
      </w:r>
      <w:r w:rsidR="00F415F1" w:rsidRPr="00745FE3">
        <w:t xml:space="preserve">Village and Commune Safety Policy across </w:t>
      </w:r>
      <w:r w:rsidR="00231007">
        <w:t>nine</w:t>
      </w:r>
      <w:r w:rsidR="00231007" w:rsidRPr="00745FE3">
        <w:t xml:space="preserve"> </w:t>
      </w:r>
      <w:r w:rsidR="00F415F1" w:rsidRPr="00745FE3">
        <w:t>provinces</w:t>
      </w:r>
      <w:r w:rsidR="0084129E">
        <w:t xml:space="preserve">, which shows that </w:t>
      </w:r>
      <w:r w:rsidR="00F415F1" w:rsidRPr="00745FE3">
        <w:t>most crime types in the project area decreased between 2011 and 2012.</w:t>
      </w:r>
      <w:r w:rsidR="00CD6B2F">
        <w:t xml:space="preserve"> </w:t>
      </w:r>
      <w:r w:rsidR="0084129E">
        <w:t>Australia continued to support international justice through its support for the</w:t>
      </w:r>
      <w:r w:rsidR="0084129E" w:rsidRPr="0084129E">
        <w:t xml:space="preserve"> </w:t>
      </w:r>
      <w:r w:rsidR="0084129E" w:rsidRPr="00745FE3">
        <w:t xml:space="preserve">Extraordinary Chambers </w:t>
      </w:r>
      <w:r w:rsidR="008C0122">
        <w:t>in the Courts of Cambodia.</w:t>
      </w:r>
      <w:r w:rsidR="00CD6B2F">
        <w:t xml:space="preserve"> </w:t>
      </w:r>
    </w:p>
    <w:p w:rsidR="008C0122" w:rsidRDefault="00F415F1" w:rsidP="00213346">
      <w:pPr>
        <w:pStyle w:val="BodyText"/>
      </w:pPr>
      <w:r w:rsidRPr="00745FE3">
        <w:t xml:space="preserve">As part of support for citizen voice and participation in 2012, Australia funded state radio to broadcast talkback and feature radio </w:t>
      </w:r>
      <w:r w:rsidR="00231007" w:rsidRPr="00745FE3">
        <w:t>stor</w:t>
      </w:r>
      <w:r w:rsidR="00231007">
        <w:t>ies</w:t>
      </w:r>
      <w:r w:rsidR="00231007" w:rsidRPr="00745FE3">
        <w:t xml:space="preserve"> </w:t>
      </w:r>
      <w:r w:rsidRPr="00745FE3">
        <w:t>on issues relevant to people’s daily life. This included topics like community safety, participation in local election</w:t>
      </w:r>
      <w:r w:rsidR="00231007">
        <w:t>s</w:t>
      </w:r>
      <w:r w:rsidRPr="00745FE3">
        <w:t>, violence against women</w:t>
      </w:r>
      <w:r w:rsidR="00231007">
        <w:t>,</w:t>
      </w:r>
      <w:r w:rsidRPr="00745FE3">
        <w:t xml:space="preserve"> and </w:t>
      </w:r>
      <w:r w:rsidR="00CD6B2F">
        <w:t xml:space="preserve">the </w:t>
      </w:r>
      <w:r w:rsidR="00CD6B2F" w:rsidRPr="00745FE3">
        <w:t xml:space="preserve">participation </w:t>
      </w:r>
      <w:r w:rsidR="00CD6B2F">
        <w:t xml:space="preserve">of </w:t>
      </w:r>
      <w:r w:rsidRPr="00745FE3">
        <w:t>you</w:t>
      </w:r>
      <w:r w:rsidR="00CD6B2F">
        <w:t xml:space="preserve">ng people </w:t>
      </w:r>
      <w:r w:rsidRPr="00745FE3">
        <w:t xml:space="preserve">in commune </w:t>
      </w:r>
      <w:r w:rsidR="00CD6B2F" w:rsidRPr="00745FE3">
        <w:t>decision</w:t>
      </w:r>
      <w:r w:rsidR="00CD6B2F">
        <w:t>-</w:t>
      </w:r>
      <w:r w:rsidRPr="00745FE3">
        <w:t>making.</w:t>
      </w:r>
      <w:r w:rsidR="00CD6B2F">
        <w:t xml:space="preserve"> </w:t>
      </w:r>
    </w:p>
    <w:p w:rsidR="00732B5A" w:rsidRDefault="008C0122" w:rsidP="00213346">
      <w:pPr>
        <w:pStyle w:val="BodyText"/>
      </w:pPr>
      <w:r>
        <w:t>In 2012,</w:t>
      </w:r>
      <w:r w:rsidR="00965830">
        <w:t xml:space="preserve"> 112</w:t>
      </w:r>
      <w:r w:rsidR="00F415F1" w:rsidRPr="00745FE3">
        <w:t xml:space="preserve"> Cambodians were selected to attend post-graduate studies (53 students) and short-term training</w:t>
      </w:r>
      <w:r w:rsidR="00617FF9">
        <w:t xml:space="preserve"> </w:t>
      </w:r>
      <w:r w:rsidR="00617FF9" w:rsidRPr="00745FE3">
        <w:t>(5</w:t>
      </w:r>
      <w:r w:rsidR="00617FF9">
        <w:t>9</w:t>
      </w:r>
      <w:r w:rsidR="00617FF9" w:rsidRPr="00745FE3">
        <w:t xml:space="preserve"> professionals)</w:t>
      </w:r>
      <w:r w:rsidR="00F415F1" w:rsidRPr="00745FE3">
        <w:t xml:space="preserve"> in Australia, </w:t>
      </w:r>
      <w:r w:rsidR="00617FF9">
        <w:t>of</w:t>
      </w:r>
      <w:r w:rsidR="00F415F1" w:rsidRPr="00745FE3">
        <w:t xml:space="preserve"> </w:t>
      </w:r>
      <w:r w:rsidR="00CD6B2F">
        <w:t>who</w:t>
      </w:r>
      <w:r w:rsidR="00CD6B2F" w:rsidRPr="00745FE3">
        <w:t xml:space="preserve"> </w:t>
      </w:r>
      <w:r w:rsidR="00965830">
        <w:t>30</w:t>
      </w:r>
      <w:r w:rsidR="00F415F1" w:rsidRPr="00745FE3">
        <w:t xml:space="preserve"> </w:t>
      </w:r>
      <w:r w:rsidR="00F415F1">
        <w:t xml:space="preserve">were </w:t>
      </w:r>
      <w:r w:rsidR="00231007">
        <w:t>women</w:t>
      </w:r>
      <w:r w:rsidR="00F415F1" w:rsidRPr="00745FE3">
        <w:t>.</w:t>
      </w:r>
      <w:r w:rsidR="00CD6B2F">
        <w:t xml:space="preserve"> </w:t>
      </w:r>
    </w:p>
    <w:p w:rsidR="00F415F1" w:rsidRDefault="009E59CF" w:rsidP="00213346">
      <w:pPr>
        <w:pStyle w:val="BodyText"/>
      </w:pPr>
      <w:r>
        <w:t>Australia’s</w:t>
      </w:r>
      <w:r w:rsidRPr="00745FE3">
        <w:t xml:space="preserve"> </w:t>
      </w:r>
      <w:r w:rsidR="00F415F1" w:rsidRPr="00745FE3">
        <w:t xml:space="preserve">disability program </w:t>
      </w:r>
      <w:r>
        <w:t xml:space="preserve">in Cambodia </w:t>
      </w:r>
      <w:r w:rsidR="00F415F1" w:rsidRPr="00745FE3">
        <w:t>has continued to promote and improve the participation of people with disability in their communities. The program support</w:t>
      </w:r>
      <w:r w:rsidR="008C0122">
        <w:t xml:space="preserve">ed the </w:t>
      </w:r>
      <w:r w:rsidR="00231007" w:rsidRPr="001F1D9C">
        <w:t xml:space="preserve">Royal Government of Cambodia </w:t>
      </w:r>
      <w:r w:rsidR="008C0122">
        <w:t xml:space="preserve">to </w:t>
      </w:r>
      <w:r w:rsidR="00F415F1" w:rsidRPr="00745FE3">
        <w:t>officially ratify the U</w:t>
      </w:r>
      <w:r w:rsidR="00231007">
        <w:t xml:space="preserve">nited </w:t>
      </w:r>
      <w:r w:rsidR="00F415F1" w:rsidRPr="00745FE3">
        <w:t>N</w:t>
      </w:r>
      <w:r w:rsidR="00231007">
        <w:t>ations</w:t>
      </w:r>
      <w:r w:rsidR="00F415F1" w:rsidRPr="00745FE3">
        <w:t xml:space="preserve"> Convention on the Rights of Persons with Disabilities in December 2012. </w:t>
      </w:r>
      <w:r w:rsidR="00231007">
        <w:t>S</w:t>
      </w:r>
      <w:r w:rsidR="00F415F1" w:rsidRPr="00745FE3">
        <w:t>upport through the Cambodia Initiative for Disability Inclusion</w:t>
      </w:r>
      <w:r w:rsidR="00CD6B2F">
        <w:t>, which is</w:t>
      </w:r>
      <w:r w:rsidR="00F415F1" w:rsidRPr="00745FE3">
        <w:t xml:space="preserve"> managed by the Australian Red Cross</w:t>
      </w:r>
      <w:r w:rsidR="00CD6B2F">
        <w:t>,</w:t>
      </w:r>
      <w:r w:rsidR="00CD6B2F" w:rsidRPr="00745FE3">
        <w:t xml:space="preserve"> </w:t>
      </w:r>
      <w:r w:rsidR="00F415F1" w:rsidRPr="00745FE3">
        <w:t>enabled 19</w:t>
      </w:r>
      <w:r w:rsidR="003E440C">
        <w:t> </w:t>
      </w:r>
      <w:r w:rsidR="00F415F1" w:rsidRPr="00745FE3">
        <w:t xml:space="preserve">066 people to access disability services, including prosthetics and orthotics, wheelchairs and other assistive devices, </w:t>
      </w:r>
      <w:r w:rsidR="00CD6B2F">
        <w:t>as well as</w:t>
      </w:r>
      <w:r w:rsidR="00CD6B2F" w:rsidRPr="00745FE3">
        <w:t xml:space="preserve"> </w:t>
      </w:r>
      <w:r w:rsidR="00F415F1" w:rsidRPr="00745FE3">
        <w:t xml:space="preserve">physical therapy. </w:t>
      </w:r>
    </w:p>
    <w:p w:rsidR="007F2100" w:rsidRPr="00213346" w:rsidRDefault="007F2100" w:rsidP="00213346">
      <w:pPr>
        <w:pStyle w:val="Heading1"/>
      </w:pPr>
      <w:r w:rsidRPr="00213346">
        <w:t xml:space="preserve">Context </w:t>
      </w:r>
    </w:p>
    <w:p w:rsidR="009F7712" w:rsidRPr="00745FE3" w:rsidRDefault="007F2100" w:rsidP="00213346">
      <w:pPr>
        <w:pStyle w:val="BodyText"/>
      </w:pPr>
      <w:r w:rsidRPr="00745FE3">
        <w:t xml:space="preserve">2012 was a busy year for Cambodia as it assumed the rotating chair of ASEAN, as well as staging </w:t>
      </w:r>
      <w:r w:rsidR="00231007">
        <w:t xml:space="preserve">a </w:t>
      </w:r>
      <w:r w:rsidRPr="00745FE3">
        <w:t>commune election. 2013 is also a busy year as the government prepares for the national election in July.</w:t>
      </w:r>
    </w:p>
    <w:p w:rsidR="007F2100" w:rsidRPr="00745FE3" w:rsidRDefault="009F7712" w:rsidP="00213346">
      <w:pPr>
        <w:pStyle w:val="BodyText"/>
      </w:pPr>
      <w:proofErr w:type="gramStart"/>
      <w:r w:rsidRPr="00D305A3">
        <w:rPr>
          <w:b/>
          <w:i/>
        </w:rPr>
        <w:t>Economic development and challenges</w:t>
      </w:r>
      <w:r w:rsidR="00513BD9">
        <w:t>.</w:t>
      </w:r>
      <w:proofErr w:type="gramEnd"/>
      <w:r w:rsidR="00513BD9">
        <w:t xml:space="preserve"> </w:t>
      </w:r>
      <w:r w:rsidR="007F2100" w:rsidRPr="00745FE3">
        <w:t>Despite strong global economic headwinds in 2012</w:t>
      </w:r>
      <w:r w:rsidR="00231007">
        <w:t>,</w:t>
      </w:r>
      <w:r w:rsidR="007F2100" w:rsidRPr="00745FE3">
        <w:t xml:space="preserve"> the Cambodian economy continued to grow strongly with real </w:t>
      </w:r>
      <w:r w:rsidR="00231007">
        <w:t>gross domestic product (</w:t>
      </w:r>
      <w:r w:rsidR="007F2100" w:rsidRPr="00745FE3">
        <w:t>GDP</w:t>
      </w:r>
      <w:r w:rsidR="00231007">
        <w:t>)</w:t>
      </w:r>
      <w:r w:rsidR="007F2100" w:rsidRPr="00745FE3">
        <w:t xml:space="preserve"> growth projected at 6.5 per cent in 2012.</w:t>
      </w:r>
      <w:r w:rsidR="007F2100" w:rsidRPr="008509B8">
        <w:rPr>
          <w:rStyle w:val="FootnoteReference"/>
          <w:szCs w:val="16"/>
        </w:rPr>
        <w:footnoteReference w:id="2"/>
      </w:r>
      <w:r w:rsidR="00CD6B2F">
        <w:t xml:space="preserve"> </w:t>
      </w:r>
      <w:r w:rsidR="007F2100" w:rsidRPr="008509B8">
        <w:t>Thi</w:t>
      </w:r>
      <w:r w:rsidR="007F2100" w:rsidRPr="00745FE3">
        <w:t>s reflects strong growth in construction and tourism, alongside more moderate growth in agriculture and garment manufacturing. It continues almost two decades of strong growth, albeit from a very low base, averaging 7.8 per cent since 1994.</w:t>
      </w:r>
      <w:r w:rsidR="007F2100" w:rsidRPr="008509B8">
        <w:rPr>
          <w:rStyle w:val="FootnoteReference"/>
          <w:szCs w:val="16"/>
        </w:rPr>
        <w:footnoteReference w:id="3"/>
      </w:r>
      <w:r w:rsidR="007F2100" w:rsidRPr="008509B8">
        <w:t xml:space="preserve"> </w:t>
      </w:r>
      <w:r w:rsidR="00E14F32" w:rsidRPr="00745FE3">
        <w:t>Growth is expected to</w:t>
      </w:r>
      <w:r w:rsidR="007833AE" w:rsidRPr="00745FE3">
        <w:t xml:space="preserve"> continue</w:t>
      </w:r>
      <w:r w:rsidR="00231007">
        <w:t xml:space="preserve"> and</w:t>
      </w:r>
      <w:r w:rsidR="00231007" w:rsidRPr="00745FE3">
        <w:t xml:space="preserve"> </w:t>
      </w:r>
      <w:r w:rsidR="007833AE" w:rsidRPr="00745FE3">
        <w:t>increas</w:t>
      </w:r>
      <w:r w:rsidR="00231007">
        <w:t>e</w:t>
      </w:r>
      <w:r w:rsidR="00E14F32" w:rsidRPr="00745FE3">
        <w:t xml:space="preserve"> steadily to 7.5 per cent </w:t>
      </w:r>
      <w:r w:rsidR="00231007">
        <w:t>a</w:t>
      </w:r>
      <w:r w:rsidR="00231007" w:rsidRPr="00745FE3">
        <w:t xml:space="preserve"> </w:t>
      </w:r>
      <w:r w:rsidR="00E14F32" w:rsidRPr="00745FE3">
        <w:t>year in 2017</w:t>
      </w:r>
      <w:r w:rsidR="007F2100" w:rsidRPr="00745FE3">
        <w:t>.</w:t>
      </w:r>
      <w:r w:rsidR="007F2100" w:rsidRPr="008509B8">
        <w:rPr>
          <w:rStyle w:val="FootnoteReference"/>
          <w:szCs w:val="16"/>
        </w:rPr>
        <w:footnoteReference w:id="4"/>
      </w:r>
      <w:r w:rsidR="007F2100" w:rsidRPr="008509B8">
        <w:t xml:space="preserve"> If </w:t>
      </w:r>
      <w:r w:rsidR="00E14F32" w:rsidRPr="00745FE3">
        <w:t>these forecasts are met</w:t>
      </w:r>
      <w:r w:rsidR="007F2100" w:rsidRPr="00745FE3">
        <w:t>, Cambodia could graduate to middle-income status within a decade.</w:t>
      </w:r>
      <w:r w:rsidR="007F2100" w:rsidRPr="008509B8">
        <w:rPr>
          <w:rStyle w:val="FootnoteReference"/>
          <w:szCs w:val="16"/>
        </w:rPr>
        <w:footnoteReference w:id="5"/>
      </w:r>
      <w:r w:rsidR="007F2100" w:rsidRPr="008509B8">
        <w:t xml:space="preserve"> </w:t>
      </w:r>
    </w:p>
    <w:p w:rsidR="007F2100" w:rsidRPr="00745FE3" w:rsidRDefault="007F2100" w:rsidP="00213346">
      <w:pPr>
        <w:pStyle w:val="BodyText"/>
      </w:pPr>
      <w:r w:rsidRPr="00745FE3">
        <w:t>This impressive result was supported by increased foreign direct investment, particularly from within the region, as businesses continue to take advantage of Cambodia’s relatively low labour cost</w:t>
      </w:r>
      <w:r w:rsidR="00D0648C" w:rsidRPr="00745FE3">
        <w:t>s</w:t>
      </w:r>
      <w:r w:rsidRPr="00745FE3">
        <w:t>, the country’s open door policy to foreign investors and its preferential tariff treatment by the E</w:t>
      </w:r>
      <w:r w:rsidR="009B142F" w:rsidRPr="00745FE3">
        <w:t xml:space="preserve">uropean </w:t>
      </w:r>
      <w:r w:rsidRPr="00745FE3">
        <w:t>U</w:t>
      </w:r>
      <w:r w:rsidR="009B142F" w:rsidRPr="00745FE3">
        <w:t>nion</w:t>
      </w:r>
      <w:r w:rsidRPr="00745FE3">
        <w:t xml:space="preserve"> and other major trading partners.</w:t>
      </w:r>
      <w:r w:rsidRPr="008509B8">
        <w:rPr>
          <w:rStyle w:val="FootnoteReference"/>
          <w:szCs w:val="16"/>
        </w:rPr>
        <w:footnoteReference w:id="6"/>
      </w:r>
    </w:p>
    <w:p w:rsidR="009F7712" w:rsidRDefault="007F2100" w:rsidP="00213346">
      <w:pPr>
        <w:pStyle w:val="BodyText"/>
      </w:pPr>
      <w:r w:rsidRPr="00745FE3">
        <w:t>This rapid economic growth has created employment opportunities which contributed to the decline in poverty from 34.7 per cent in 2004 to 20</w:t>
      </w:r>
      <w:r w:rsidR="00165B93" w:rsidRPr="00745FE3">
        <w:t>.5</w:t>
      </w:r>
      <w:r w:rsidRPr="00745FE3">
        <w:t xml:space="preserve"> per cent in 2011.</w:t>
      </w:r>
      <w:r w:rsidR="00655367" w:rsidRPr="008509B8">
        <w:rPr>
          <w:rStyle w:val="FootnoteReference"/>
        </w:rPr>
        <w:footnoteReference w:id="7"/>
      </w:r>
      <w:r w:rsidR="00CD6B2F">
        <w:t xml:space="preserve"> </w:t>
      </w:r>
      <w:r w:rsidRPr="00745FE3">
        <w:t>Cambodia’s progress in meeting the Millennium Development Goals (MDG</w:t>
      </w:r>
      <w:r w:rsidR="00513BD9">
        <w:t>s</w:t>
      </w:r>
      <w:r w:rsidRPr="00745FE3">
        <w:t>) is encouraging. Thanks to an expansion of maternal health and early childhood care, strong progress has been made</w:t>
      </w:r>
      <w:r w:rsidR="00EF045E">
        <w:t>,</w:t>
      </w:r>
      <w:r w:rsidRPr="00745FE3">
        <w:t xml:space="preserve"> particularly </w:t>
      </w:r>
      <w:r w:rsidR="00EF045E" w:rsidRPr="00745FE3">
        <w:t xml:space="preserve">in areas </w:t>
      </w:r>
      <w:r w:rsidR="00EF045E">
        <w:t>such as</w:t>
      </w:r>
      <w:r w:rsidR="00EF045E" w:rsidRPr="00745FE3">
        <w:t xml:space="preserve"> </w:t>
      </w:r>
      <w:r w:rsidRPr="00745FE3">
        <w:t xml:space="preserve">child mortality (the </w:t>
      </w:r>
      <w:r w:rsidR="006A723E" w:rsidRPr="00745FE3">
        <w:t>infant</w:t>
      </w:r>
      <w:r w:rsidRPr="00745FE3">
        <w:t xml:space="preserve"> mortality rate has decreased from 95 per 1000 live births in 2000</w:t>
      </w:r>
      <w:r w:rsidR="00513BD9">
        <w:t>,</w:t>
      </w:r>
      <w:r w:rsidRPr="00745FE3">
        <w:t xml:space="preserve"> to 66 in 2005 </w:t>
      </w:r>
      <w:r w:rsidR="00513BD9">
        <w:t>and</w:t>
      </w:r>
      <w:r w:rsidR="00513BD9" w:rsidRPr="00745FE3">
        <w:t xml:space="preserve"> </w:t>
      </w:r>
      <w:r w:rsidRPr="00745FE3">
        <w:t xml:space="preserve">45 in 2010) and maternal mortality (the </w:t>
      </w:r>
      <w:r w:rsidRPr="00745FE3">
        <w:lastRenderedPageBreak/>
        <w:t>number of deaths per 100</w:t>
      </w:r>
      <w:r w:rsidR="00513BD9">
        <w:t xml:space="preserve"> </w:t>
      </w:r>
      <w:r w:rsidRPr="00745FE3">
        <w:t>000 live births) decreased from 472 in 2005 to 147 in 2012.</w:t>
      </w:r>
      <w:r w:rsidR="00CD6B2F">
        <w:t xml:space="preserve"> </w:t>
      </w:r>
      <w:r w:rsidRPr="00745FE3">
        <w:t>Cambodia has also been successful in HIV/AIDS prevention and treatment. Since 2010, more than 90 per cent of people infected with HIV in Cambodia have</w:t>
      </w:r>
      <w:r w:rsidR="00D0648C" w:rsidRPr="00745FE3">
        <w:t xml:space="preserve"> had</w:t>
      </w:r>
      <w:r w:rsidRPr="00745FE3">
        <w:t xml:space="preserve"> access to antiretroviral treatment</w:t>
      </w:r>
      <w:r w:rsidR="00513BD9">
        <w:t>.</w:t>
      </w:r>
      <w:r w:rsidRPr="008509B8">
        <w:rPr>
          <w:rStyle w:val="FootnoteReference"/>
          <w:szCs w:val="16"/>
        </w:rPr>
        <w:footnoteReference w:id="8"/>
      </w:r>
    </w:p>
    <w:p w:rsidR="009F7712" w:rsidRDefault="009F7712" w:rsidP="00213346">
      <w:pPr>
        <w:pStyle w:val="BodyText"/>
      </w:pPr>
      <w:r>
        <w:t xml:space="preserve">But </w:t>
      </w:r>
      <w:r w:rsidRPr="00745FE3">
        <w:t>Cambodia remains vulnerable to economic shocks. The country’s narrow economic base—particularly its reliance on garment exports to the European Union and United States—makes it vulnerable to any major global economic slowdown.</w:t>
      </w:r>
      <w:r w:rsidR="00CD6B2F">
        <w:t xml:space="preserve"> </w:t>
      </w:r>
      <w:r w:rsidRPr="00745FE3">
        <w:t>Domestically, major risks to the economy include excessive risk taking by banks, labour market tensions in the garment industry and extreme weather conditions or natural disasters, which could affect agricultural production.</w:t>
      </w:r>
      <w:r w:rsidRPr="008509B8">
        <w:rPr>
          <w:rStyle w:val="FootnoteReference"/>
          <w:sz w:val="18"/>
          <w:szCs w:val="18"/>
        </w:rPr>
        <w:footnoteReference w:id="9"/>
      </w:r>
      <w:r w:rsidR="00CD6B2F">
        <w:rPr>
          <w:sz w:val="18"/>
          <w:szCs w:val="18"/>
        </w:rPr>
        <w:t xml:space="preserve"> </w:t>
      </w:r>
      <w:r w:rsidRPr="00745FE3">
        <w:t xml:space="preserve">Poor transport infrastructure, low </w:t>
      </w:r>
      <w:r w:rsidR="00EF045E">
        <w:t>but</w:t>
      </w:r>
      <w:r w:rsidR="00EF045E" w:rsidRPr="00745FE3">
        <w:t xml:space="preserve"> </w:t>
      </w:r>
      <w:r w:rsidRPr="00745FE3">
        <w:t xml:space="preserve">growing productivity in the agricultural sector, </w:t>
      </w:r>
      <w:r w:rsidRPr="00EE16BB">
        <w:t>widesp</w:t>
      </w:r>
      <w:r w:rsidR="00732B5A">
        <w:t>read institutional weakness and</w:t>
      </w:r>
      <w:r w:rsidRPr="00EE16BB">
        <w:t xml:space="preserve"> corruption</w:t>
      </w:r>
      <w:r w:rsidRPr="00745FE3">
        <w:t xml:space="preserve"> remain barriers to sustained economic development</w:t>
      </w:r>
      <w:r w:rsidR="00513BD9">
        <w:t>.</w:t>
      </w:r>
      <w:r w:rsidRPr="008509B8">
        <w:rPr>
          <w:rStyle w:val="FootnoteReference"/>
          <w:szCs w:val="16"/>
        </w:rPr>
        <w:footnoteReference w:id="10"/>
      </w:r>
    </w:p>
    <w:p w:rsidR="009F7712" w:rsidRPr="00745FE3" w:rsidRDefault="009F7712" w:rsidP="00213346">
      <w:pPr>
        <w:pStyle w:val="BodyText"/>
      </w:pPr>
      <w:r>
        <w:t>T</w:t>
      </w:r>
      <w:r w:rsidRPr="00745FE3">
        <w:t xml:space="preserve">he Cambodian Government is building its </w:t>
      </w:r>
      <w:r>
        <w:t xml:space="preserve">own </w:t>
      </w:r>
      <w:r w:rsidRPr="00745FE3">
        <w:t>revenue base</w:t>
      </w:r>
      <w:r>
        <w:t xml:space="preserve">, albeit slowly and from a low </w:t>
      </w:r>
      <w:r w:rsidR="00513BD9">
        <w:t>level</w:t>
      </w:r>
      <w:r w:rsidRPr="00745FE3">
        <w:t>.</w:t>
      </w:r>
      <w:r w:rsidRPr="00745FE3">
        <w:rPr>
          <w:b/>
        </w:rPr>
        <w:t xml:space="preserve"> </w:t>
      </w:r>
      <w:r w:rsidRPr="00745FE3">
        <w:t>The government has introduced a number of reforms</w:t>
      </w:r>
      <w:r w:rsidR="00513BD9" w:rsidRPr="00513BD9">
        <w:t xml:space="preserve"> </w:t>
      </w:r>
      <w:r w:rsidR="00513BD9" w:rsidRPr="00745FE3">
        <w:t>to help build revenues</w:t>
      </w:r>
      <w:r w:rsidRPr="00745FE3">
        <w:t>, including greater enforcement of property taxes and improving the customs system. Revenue collection increased by 29 per cent in the first half of 2012 over the same period in 2011.</w:t>
      </w:r>
      <w:r w:rsidRPr="008509B8">
        <w:rPr>
          <w:vertAlign w:val="superscript"/>
        </w:rPr>
        <w:footnoteReference w:id="11"/>
      </w:r>
      <w:r w:rsidR="00CD6B2F">
        <w:t xml:space="preserve"> </w:t>
      </w:r>
      <w:r w:rsidRPr="008509B8">
        <w:t>Neverthele</w:t>
      </w:r>
      <w:r w:rsidRPr="00745FE3">
        <w:t>ss, around 40 per cent of expenditure on public goods comes from donor expenditure, suggesting that there is a need for increased domestic revenue mobilisation to support increased expenditure on economic and social infrastructure, and service delivery.</w:t>
      </w:r>
    </w:p>
    <w:p w:rsidR="009F7712" w:rsidRDefault="009F7712" w:rsidP="00213346">
      <w:pPr>
        <w:pStyle w:val="BodyText"/>
      </w:pPr>
      <w:proofErr w:type="gramStart"/>
      <w:r w:rsidRPr="00FD5BA0">
        <w:rPr>
          <w:b/>
          <w:i/>
        </w:rPr>
        <w:t>Poverty, demography and other development challenges</w:t>
      </w:r>
      <w:r w:rsidR="00513BD9">
        <w:t>.</w:t>
      </w:r>
      <w:proofErr w:type="gramEnd"/>
      <w:r w:rsidR="00513BD9">
        <w:t xml:space="preserve"> </w:t>
      </w:r>
      <w:r w:rsidR="007F2100" w:rsidRPr="00745FE3">
        <w:t xml:space="preserve">Cambodia remains one of the poorest countries in the region. </w:t>
      </w:r>
      <w:r w:rsidR="00526076" w:rsidRPr="00745FE3">
        <w:t>M</w:t>
      </w:r>
      <w:r w:rsidR="007F2100" w:rsidRPr="00745FE3">
        <w:t>any of those who have moved above the poverty line have only barely done so</w:t>
      </w:r>
      <w:r w:rsidR="007833AE" w:rsidRPr="00745FE3">
        <w:t>.</w:t>
      </w:r>
      <w:r w:rsidR="007F2100" w:rsidRPr="008509B8">
        <w:t xml:space="preserve"> </w:t>
      </w:r>
      <w:r w:rsidR="00732B5A">
        <w:t>T</w:t>
      </w:r>
      <w:r w:rsidR="007F2100" w:rsidRPr="00745FE3">
        <w:t xml:space="preserve">hese people are vulnerable to falling back </w:t>
      </w:r>
      <w:r w:rsidR="00526076" w:rsidRPr="00745FE3">
        <w:t>into poverty</w:t>
      </w:r>
      <w:r w:rsidR="007F2100" w:rsidRPr="00745FE3">
        <w:t xml:space="preserve"> due to shocks, such as an illness or death in the family, lost employment, or natural disaster </w:t>
      </w:r>
      <w:r w:rsidR="00513BD9">
        <w:t>such as</w:t>
      </w:r>
      <w:r w:rsidR="007F2100" w:rsidRPr="00745FE3">
        <w:t xml:space="preserve"> flooding.</w:t>
      </w:r>
      <w:r w:rsidR="00022B8F" w:rsidRPr="00745FE3">
        <w:t xml:space="preserve"> The</w:t>
      </w:r>
      <w:r w:rsidR="006A723E" w:rsidRPr="00745FE3">
        <w:t xml:space="preserve"> </w:t>
      </w:r>
      <w:r w:rsidR="00022B8F" w:rsidRPr="00745FE3">
        <w:t>h</w:t>
      </w:r>
      <w:r w:rsidR="006A723E" w:rsidRPr="00745FE3">
        <w:t>igh rate of stunting</w:t>
      </w:r>
      <w:r w:rsidR="00513BD9">
        <w:t>––</w:t>
      </w:r>
      <w:r w:rsidR="00022B8F" w:rsidRPr="00745FE3">
        <w:t>a summary indicator of poverty caused by poor water and sanitation provision, poor health service provision, and lack of nutrition</w:t>
      </w:r>
      <w:r w:rsidR="00513BD9">
        <w:t>––</w:t>
      </w:r>
      <w:r w:rsidR="00022B8F" w:rsidRPr="00745FE3">
        <w:t>highlight</w:t>
      </w:r>
      <w:r w:rsidR="00513BD9">
        <w:t>s</w:t>
      </w:r>
      <w:r w:rsidR="00022B8F" w:rsidRPr="00745FE3">
        <w:t xml:space="preserve"> this vulnerability.</w:t>
      </w:r>
    </w:p>
    <w:p w:rsidR="00F65E36" w:rsidRPr="00745FE3" w:rsidRDefault="009F7712" w:rsidP="00213346">
      <w:pPr>
        <w:pStyle w:val="BodyText"/>
      </w:pPr>
      <w:r w:rsidRPr="00745FE3">
        <w:t xml:space="preserve">As is typical in post-crises periods, Cambodia’s fertility rate increased dramatically in the post war period, with </w:t>
      </w:r>
      <w:r w:rsidR="00513BD9">
        <w:t>about</w:t>
      </w:r>
      <w:r w:rsidR="00513BD9" w:rsidRPr="00745FE3">
        <w:t xml:space="preserve"> </w:t>
      </w:r>
      <w:r w:rsidRPr="00745FE3">
        <w:t>65 per cent of the population below the age of 30</w:t>
      </w:r>
      <w:r w:rsidR="00513BD9">
        <w:t>. W</w:t>
      </w:r>
      <w:r w:rsidR="000757A1">
        <w:t>ith population momentum projected to continue for at least another two decades</w:t>
      </w:r>
      <w:r w:rsidR="00513BD9">
        <w:t>,</w:t>
      </w:r>
      <w:r w:rsidR="000757A1" w:rsidRPr="008509B8">
        <w:rPr>
          <w:rStyle w:val="FootnoteReference"/>
        </w:rPr>
        <w:footnoteReference w:id="12"/>
      </w:r>
      <w:r w:rsidR="00513BD9">
        <w:t xml:space="preserve"> t</w:t>
      </w:r>
      <w:r w:rsidRPr="008509B8">
        <w:t>his presents both risk and opportunity.</w:t>
      </w:r>
      <w:r w:rsidR="00CD6B2F">
        <w:t xml:space="preserve"> </w:t>
      </w:r>
      <w:r w:rsidRPr="008509B8">
        <w:t xml:space="preserve">With careful management Cambodia will experience a demographic dividend as the ratio of working to non-working age people </w:t>
      </w:r>
      <w:r w:rsidRPr="00745FE3">
        <w:t>increases, sustaining and promoting economic growth.</w:t>
      </w:r>
      <w:r w:rsidR="00CD6B2F">
        <w:t xml:space="preserve"> </w:t>
      </w:r>
      <w:r w:rsidRPr="00745FE3">
        <w:t xml:space="preserve">However this demographic profile places significant strain on </w:t>
      </w:r>
      <w:r w:rsidR="00EE16BB">
        <w:t xml:space="preserve">low capacity </w:t>
      </w:r>
      <w:r w:rsidRPr="00745FE3">
        <w:t>health and education services.</w:t>
      </w:r>
      <w:r w:rsidR="00CD6B2F">
        <w:t xml:space="preserve"> </w:t>
      </w:r>
      <w:r w:rsidRPr="00745FE3">
        <w:t>This is particularly true for urban centres.</w:t>
      </w:r>
      <w:r w:rsidR="00CD6B2F">
        <w:t xml:space="preserve"> </w:t>
      </w:r>
      <w:r w:rsidRPr="00745FE3">
        <w:t xml:space="preserve">The push factor of poverty in rural areas where 90 per cent of the poor live combined with the pull factor of wage earning opportunities in urban centres is driving </w:t>
      </w:r>
      <w:r w:rsidR="00513BD9">
        <w:t>large-scale</w:t>
      </w:r>
      <w:r w:rsidRPr="00745FE3">
        <w:t xml:space="preserve"> migration within the country.</w:t>
      </w:r>
      <w:r w:rsidR="00CD6B2F">
        <w:t xml:space="preserve"> </w:t>
      </w:r>
      <w:r w:rsidRPr="00745FE3">
        <w:t xml:space="preserve">In 1998 one in </w:t>
      </w:r>
      <w:r w:rsidR="00513BD9">
        <w:t>20</w:t>
      </w:r>
      <w:r w:rsidR="00513BD9" w:rsidRPr="00745FE3">
        <w:t xml:space="preserve"> </w:t>
      </w:r>
      <w:r w:rsidRPr="00745FE3">
        <w:t>Cambodians lived in Phnom Penh.</w:t>
      </w:r>
      <w:r w:rsidR="00CD6B2F">
        <w:t xml:space="preserve"> </w:t>
      </w:r>
      <w:r w:rsidRPr="00745FE3">
        <w:t xml:space="preserve">In 2012 the figure was one in </w:t>
      </w:r>
      <w:r w:rsidR="00513BD9">
        <w:t>10</w:t>
      </w:r>
      <w:r w:rsidRPr="00745FE3">
        <w:t>.</w:t>
      </w:r>
      <w:r w:rsidRPr="008509B8">
        <w:rPr>
          <w:rStyle w:val="FootnoteReference"/>
        </w:rPr>
        <w:footnoteReference w:id="13"/>
      </w:r>
      <w:r w:rsidR="00CD6B2F">
        <w:t xml:space="preserve"> </w:t>
      </w:r>
    </w:p>
    <w:p w:rsidR="00526076" w:rsidRPr="00745FE3" w:rsidRDefault="00022B8F" w:rsidP="00213346">
      <w:pPr>
        <w:pStyle w:val="BodyText"/>
      </w:pPr>
      <w:r w:rsidRPr="00745FE3">
        <w:t xml:space="preserve">Disability and gender equality remain </w:t>
      </w:r>
      <w:r w:rsidR="004B68C0" w:rsidRPr="00745FE3">
        <w:t xml:space="preserve">strong concerns. </w:t>
      </w:r>
      <w:r w:rsidRPr="00745FE3">
        <w:t xml:space="preserve">Based on estimates by the </w:t>
      </w:r>
      <w:r w:rsidR="004667E2" w:rsidRPr="00745FE3">
        <w:t xml:space="preserve">World Health </w:t>
      </w:r>
      <w:r w:rsidR="00DE06B2" w:rsidRPr="00745FE3">
        <w:t>Organi</w:t>
      </w:r>
      <w:r w:rsidR="00DE06B2">
        <w:t>z</w:t>
      </w:r>
      <w:r w:rsidR="00DE06B2" w:rsidRPr="00745FE3">
        <w:t xml:space="preserve">ation </w:t>
      </w:r>
      <w:r w:rsidR="004667E2" w:rsidRPr="00745FE3">
        <w:t>and World Bank</w:t>
      </w:r>
      <w:r w:rsidRPr="008509B8">
        <w:rPr>
          <w:rStyle w:val="FootnoteReference"/>
        </w:rPr>
        <w:footnoteReference w:id="14"/>
      </w:r>
      <w:r w:rsidR="004667E2" w:rsidRPr="008509B8">
        <w:t xml:space="preserve"> </w:t>
      </w:r>
      <w:r w:rsidRPr="00745FE3">
        <w:t xml:space="preserve">there could more than </w:t>
      </w:r>
      <w:r w:rsidR="00DE06B2">
        <w:t>two</w:t>
      </w:r>
      <w:r w:rsidR="00DE06B2" w:rsidRPr="00745FE3">
        <w:t xml:space="preserve"> </w:t>
      </w:r>
      <w:r w:rsidRPr="00745FE3">
        <w:t>million people with disability</w:t>
      </w:r>
      <w:r w:rsidRPr="008509B8">
        <w:rPr>
          <w:rStyle w:val="FootnoteReference"/>
        </w:rPr>
        <w:footnoteReference w:id="15"/>
      </w:r>
      <w:r w:rsidRPr="008509B8">
        <w:t xml:space="preserve"> in Cambodia.</w:t>
      </w:r>
      <w:r w:rsidRPr="00745FE3">
        <w:t xml:space="preserve"> </w:t>
      </w:r>
      <w:r w:rsidR="004667E2" w:rsidRPr="00745FE3">
        <w:t xml:space="preserve">These are among the poorest and most marginalised, with recent research finding that 24 per cent of surveyed children with disability had never attended school, and 58 per cent had been denied access to the public school system within the </w:t>
      </w:r>
      <w:r w:rsidR="004667E2" w:rsidRPr="00745FE3">
        <w:lastRenderedPageBreak/>
        <w:t>previous two years</w:t>
      </w:r>
      <w:r w:rsidR="00DE06B2">
        <w:t>.</w:t>
      </w:r>
      <w:r w:rsidR="004667E2" w:rsidRPr="008509B8">
        <w:rPr>
          <w:rStyle w:val="FootnoteReference"/>
        </w:rPr>
        <w:footnoteReference w:id="16"/>
      </w:r>
      <w:r w:rsidR="00393152" w:rsidRPr="00745FE3">
        <w:t xml:space="preserve"> Significant gender disparities remain in all areas of life in Cambodia</w:t>
      </w:r>
      <w:r w:rsidR="004B68C0" w:rsidRPr="00745FE3">
        <w:t>. Recent U</w:t>
      </w:r>
      <w:r w:rsidR="00DE06B2">
        <w:t xml:space="preserve">nited </w:t>
      </w:r>
      <w:r w:rsidR="004B68C0" w:rsidRPr="00745FE3">
        <w:t>N</w:t>
      </w:r>
      <w:r w:rsidR="00DE06B2">
        <w:t>ations</w:t>
      </w:r>
      <w:r w:rsidR="004B68C0" w:rsidRPr="00745FE3">
        <w:t xml:space="preserve"> and </w:t>
      </w:r>
      <w:r w:rsidR="00DE06B2" w:rsidRPr="00DE06B2">
        <w:rPr>
          <w:lang w:val="en-US"/>
        </w:rPr>
        <w:t>Cambodia</w:t>
      </w:r>
      <w:r w:rsidR="00EF045E">
        <w:rPr>
          <w:lang w:val="en-US"/>
        </w:rPr>
        <w:t>n</w:t>
      </w:r>
      <w:r w:rsidR="00DE06B2" w:rsidRPr="00DE06B2">
        <w:rPr>
          <w:lang w:val="en-US"/>
        </w:rPr>
        <w:t xml:space="preserve"> </w:t>
      </w:r>
      <w:r w:rsidR="00EF045E" w:rsidRPr="00DE06B2">
        <w:rPr>
          <w:lang w:val="en-US"/>
        </w:rPr>
        <w:t xml:space="preserve">Government </w:t>
      </w:r>
      <w:r w:rsidR="004B68C0" w:rsidRPr="00745FE3">
        <w:t>studies have found that rates of violence against women are amongst the highest in the region</w:t>
      </w:r>
      <w:r w:rsidR="00DE06B2">
        <w:t>,</w:t>
      </w:r>
      <w:r w:rsidR="004B68C0" w:rsidRPr="00745FE3">
        <w:t xml:space="preserve"> which acts as a significant brake on productivity as well as having a large negative impact on family and community harmony</w:t>
      </w:r>
      <w:r w:rsidR="00DE06B2">
        <w:t>.</w:t>
      </w:r>
      <w:r w:rsidR="004B68C0" w:rsidRPr="008509B8">
        <w:rPr>
          <w:rStyle w:val="FootnoteReference"/>
        </w:rPr>
        <w:footnoteReference w:id="17"/>
      </w:r>
      <w:r w:rsidR="004B68C0" w:rsidRPr="008509B8">
        <w:t xml:space="preserve"> </w:t>
      </w:r>
    </w:p>
    <w:p w:rsidR="009F7712" w:rsidRDefault="007F2100" w:rsidP="00213346">
      <w:pPr>
        <w:pStyle w:val="BodyText"/>
      </w:pPr>
      <w:r w:rsidRPr="00745FE3">
        <w:t xml:space="preserve">Further risks related to climate change impacts such as </w:t>
      </w:r>
      <w:proofErr w:type="gramStart"/>
      <w:r w:rsidRPr="00745FE3">
        <w:t>drought,</w:t>
      </w:r>
      <w:proofErr w:type="gramEnd"/>
      <w:r w:rsidRPr="00745FE3">
        <w:t xml:space="preserve"> flooding and higher temperatures</w:t>
      </w:r>
      <w:r w:rsidR="00DE06B2">
        <w:t>––</w:t>
      </w:r>
      <w:r w:rsidRPr="00745FE3">
        <w:t>along with human-induced change due to development activities such as mass deforestation</w:t>
      </w:r>
      <w:r w:rsidR="00A96C3A">
        <w:t>, dam</w:t>
      </w:r>
      <w:r w:rsidR="00EE16BB">
        <w:t>s on the Mekong river system</w:t>
      </w:r>
      <w:r w:rsidRPr="00745FE3">
        <w:t xml:space="preserve"> and illegal fishing</w:t>
      </w:r>
      <w:r w:rsidR="00DE06B2">
        <w:t>––</w:t>
      </w:r>
      <w:r w:rsidRPr="00745FE3">
        <w:t xml:space="preserve">are putting the </w:t>
      </w:r>
      <w:r w:rsidR="00DE06B2" w:rsidRPr="00745FE3">
        <w:t>long</w:t>
      </w:r>
      <w:r w:rsidR="00DE06B2">
        <w:t>-</w:t>
      </w:r>
      <w:r w:rsidRPr="00745FE3">
        <w:t>term viability</w:t>
      </w:r>
      <w:r w:rsidR="00D0648C" w:rsidRPr="00745FE3">
        <w:t xml:space="preserve"> of</w:t>
      </w:r>
      <w:r w:rsidRPr="00745FE3">
        <w:t xml:space="preserve"> Cambodia’s remaining natural resources at risk. Water shortage</w:t>
      </w:r>
      <w:r w:rsidR="00D0648C" w:rsidRPr="00745FE3">
        <w:t xml:space="preserve"> and</w:t>
      </w:r>
      <w:r w:rsidRPr="00745FE3">
        <w:t xml:space="preserve"> food insecurity as a result of climate change will particularly affect the poor and vulnerable.</w:t>
      </w:r>
    </w:p>
    <w:p w:rsidR="00EE16BB" w:rsidRDefault="009F7712" w:rsidP="00213346">
      <w:pPr>
        <w:pStyle w:val="BodyText"/>
      </w:pPr>
      <w:r w:rsidRPr="00FD5BA0">
        <w:rPr>
          <w:b/>
          <w:i/>
        </w:rPr>
        <w:t xml:space="preserve">Political </w:t>
      </w:r>
      <w:r w:rsidR="00DE06B2" w:rsidRPr="00FD5BA0">
        <w:rPr>
          <w:b/>
          <w:i/>
        </w:rPr>
        <w:t>situation</w:t>
      </w:r>
      <w:r>
        <w:t xml:space="preserve">: </w:t>
      </w:r>
      <w:r w:rsidRPr="007504BA">
        <w:t>The Cambodian People’s Party</w:t>
      </w:r>
      <w:r>
        <w:t xml:space="preserve"> </w:t>
      </w:r>
      <w:r w:rsidRPr="007504BA">
        <w:t xml:space="preserve">has a strong grip on political power </w:t>
      </w:r>
      <w:r>
        <w:t xml:space="preserve">exerted at every level of government and within </w:t>
      </w:r>
      <w:r w:rsidR="00EE16BB">
        <w:t>most</w:t>
      </w:r>
      <w:r w:rsidR="00576A84">
        <w:t xml:space="preserve"> member-</w:t>
      </w:r>
      <w:r>
        <w:t>based organisations within the country</w:t>
      </w:r>
      <w:r w:rsidRPr="007504BA">
        <w:t xml:space="preserve">. </w:t>
      </w:r>
    </w:p>
    <w:p w:rsidR="00AA0FE5" w:rsidRPr="00745FE3" w:rsidRDefault="009F7712" w:rsidP="00213346">
      <w:pPr>
        <w:pStyle w:val="BodyText"/>
      </w:pPr>
      <w:r w:rsidRPr="00FD5BA0">
        <w:rPr>
          <w:b/>
          <w:i/>
        </w:rPr>
        <w:t xml:space="preserve">Official </w:t>
      </w:r>
      <w:r w:rsidR="00DE06B2" w:rsidRPr="00FD5BA0">
        <w:rPr>
          <w:b/>
          <w:i/>
        </w:rPr>
        <w:t>development assistance</w:t>
      </w:r>
      <w:r>
        <w:t xml:space="preserve">: </w:t>
      </w:r>
      <w:r w:rsidR="007F2100" w:rsidRPr="00745FE3">
        <w:t>Foreign aid to Cambodia has increased from just under US</w:t>
      </w:r>
      <w:r w:rsidR="00DE06B2">
        <w:t>D</w:t>
      </w:r>
      <w:r w:rsidR="007F2100" w:rsidRPr="00745FE3">
        <w:t>600 million in 2004 to almost US</w:t>
      </w:r>
      <w:r w:rsidR="00DE06B2">
        <w:t>D</w:t>
      </w:r>
      <w:r w:rsidR="007F2100" w:rsidRPr="00745FE3">
        <w:t>1.4 billion in 2012 (around 10 per cent of GDP).</w:t>
      </w:r>
      <w:r w:rsidR="007F2100" w:rsidRPr="008509B8">
        <w:rPr>
          <w:rStyle w:val="FootnoteReference"/>
          <w:szCs w:val="16"/>
        </w:rPr>
        <w:footnoteReference w:id="18"/>
      </w:r>
      <w:r w:rsidR="007F2100" w:rsidRPr="008509B8">
        <w:t xml:space="preserve"> </w:t>
      </w:r>
      <w:r w:rsidR="007F2100" w:rsidRPr="00745FE3">
        <w:t>In recent years there has also been a large increase in loan financing. This suggests that Cambodia is transitioning from grant aid and concessional multilateral resourcing to an external assistance profile more in line with lower-middle income status.</w:t>
      </w:r>
      <w:r w:rsidR="007F2100" w:rsidRPr="008509B8">
        <w:rPr>
          <w:rStyle w:val="FootnoteReference"/>
          <w:szCs w:val="16"/>
        </w:rPr>
        <w:footnoteReference w:id="19"/>
      </w:r>
      <w:r w:rsidR="00606B66" w:rsidRPr="008509B8">
        <w:t xml:space="preserve"> </w:t>
      </w:r>
    </w:p>
    <w:p w:rsidR="00213346" w:rsidRDefault="00E32F59" w:rsidP="00213346">
      <w:pPr>
        <w:pStyle w:val="BodyText"/>
      </w:pPr>
      <w:r w:rsidRPr="00FA1594">
        <w:t>The most recent figures</w:t>
      </w:r>
      <w:r w:rsidRPr="00847E2B">
        <w:rPr>
          <w:rStyle w:val="FootnoteReference"/>
          <w:szCs w:val="16"/>
        </w:rPr>
        <w:footnoteReference w:id="20"/>
      </w:r>
      <w:r w:rsidRPr="00FA1594">
        <w:t xml:space="preserve"> show that Australia remains the third largest bilateral donor to Cambodia after China and Japan.</w:t>
      </w:r>
      <w:r w:rsidR="00CD6B2F">
        <w:t xml:space="preserve"> </w:t>
      </w:r>
      <w:r w:rsidRPr="00FA1594">
        <w:t xml:space="preserve">In 2011, Australia’s </w:t>
      </w:r>
      <w:r w:rsidR="00EF045E">
        <w:t>official development assistance</w:t>
      </w:r>
      <w:r w:rsidR="00EF045E" w:rsidRPr="00FA1594">
        <w:t xml:space="preserve"> </w:t>
      </w:r>
      <w:r w:rsidRPr="00FA1594">
        <w:t xml:space="preserve">was </w:t>
      </w:r>
      <w:r w:rsidR="00EF045E">
        <w:t>$</w:t>
      </w:r>
      <w:r w:rsidRPr="00FA1594">
        <w:t xml:space="preserve">80.3 million </w:t>
      </w:r>
      <w:r w:rsidR="00AA0FE5">
        <w:t xml:space="preserve">which was </w:t>
      </w:r>
      <w:r w:rsidR="00AA0FE5" w:rsidRPr="007D0B3E">
        <w:t>5.8</w:t>
      </w:r>
      <w:r w:rsidR="00DE06B2">
        <w:t xml:space="preserve"> per cent</w:t>
      </w:r>
      <w:r w:rsidR="00DE06B2" w:rsidRPr="007D0B3E">
        <w:t xml:space="preserve"> </w:t>
      </w:r>
      <w:r w:rsidR="00AA0FE5" w:rsidRPr="007D0B3E">
        <w:t xml:space="preserve">of </w:t>
      </w:r>
      <w:r w:rsidR="00AA0FE5">
        <w:t xml:space="preserve">all </w:t>
      </w:r>
      <w:r w:rsidR="00AA0FE5" w:rsidRPr="007D0B3E">
        <w:t>bilateral</w:t>
      </w:r>
      <w:r w:rsidRPr="00FA1594">
        <w:t xml:space="preserve"> </w:t>
      </w:r>
      <w:r w:rsidR="00EF045E">
        <w:t>official development assistance</w:t>
      </w:r>
      <w:r w:rsidR="00EF045E" w:rsidRPr="00FA1594" w:rsidDel="00EF045E">
        <w:t xml:space="preserve"> </w:t>
      </w:r>
      <w:r w:rsidRPr="00FA1594">
        <w:t xml:space="preserve">(China: </w:t>
      </w:r>
      <w:r w:rsidR="00DE06B2">
        <w:t>$</w:t>
      </w:r>
      <w:r w:rsidRPr="00FA1594">
        <w:t xml:space="preserve">304.1 million, Japan: </w:t>
      </w:r>
      <w:r w:rsidR="00DE06B2">
        <w:t>$</w:t>
      </w:r>
      <w:r w:rsidRPr="00FA1594">
        <w:t>116.1 million).</w:t>
      </w:r>
      <w:r w:rsidR="00CD6B2F">
        <w:t xml:space="preserve"> </w:t>
      </w:r>
      <w:r w:rsidR="00AE3DCC" w:rsidRPr="00FA1594">
        <w:t>T</w:t>
      </w:r>
      <w:r w:rsidR="00606B66" w:rsidRPr="00FA1594">
        <w:t>raditional</w:t>
      </w:r>
      <w:r w:rsidR="00142942" w:rsidRPr="00FA1594">
        <w:t xml:space="preserve"> bilateral donors</w:t>
      </w:r>
      <w:r w:rsidR="00CD6B2F">
        <w:t xml:space="preserve"> </w:t>
      </w:r>
      <w:r w:rsidR="00606B66" w:rsidRPr="00FA1594">
        <w:t xml:space="preserve">are scaling back or exiting </w:t>
      </w:r>
      <w:r w:rsidR="00F65E36" w:rsidRPr="00FA1594">
        <w:t xml:space="preserve">Cambodia </w:t>
      </w:r>
      <w:r w:rsidR="00606B66" w:rsidRPr="00FA1594">
        <w:t>altogether</w:t>
      </w:r>
      <w:r w:rsidR="00142942" w:rsidRPr="00FA1594">
        <w:t xml:space="preserve"> while </w:t>
      </w:r>
      <w:r w:rsidR="00606B66" w:rsidRPr="00FA1594">
        <w:t xml:space="preserve">non-traditional donors such as China and Korea </w:t>
      </w:r>
      <w:r w:rsidR="00142942" w:rsidRPr="00FA1594">
        <w:t xml:space="preserve">are expanding. </w:t>
      </w:r>
      <w:r w:rsidR="00B066A8" w:rsidRPr="00FA1594">
        <w:t>The biggest increase in donor support to Cambodia in recent years has been from China, which has grown from around US</w:t>
      </w:r>
      <w:r w:rsidR="00DE06B2">
        <w:t>D</w:t>
      </w:r>
      <w:r w:rsidR="00B066A8" w:rsidRPr="00FA1594">
        <w:t>5 million in 2002, to US</w:t>
      </w:r>
      <w:r w:rsidR="00DE06B2">
        <w:t>D</w:t>
      </w:r>
      <w:r w:rsidR="00B066A8" w:rsidRPr="00FA1594">
        <w:t>350 million in 2012.</w:t>
      </w:r>
      <w:r w:rsidR="00B066A8" w:rsidRPr="007D0B3E">
        <w:rPr>
          <w:vertAlign w:val="superscript"/>
        </w:rPr>
        <w:footnoteReference w:id="21"/>
      </w:r>
      <w:r w:rsidR="00B066A8" w:rsidRPr="007D0B3E">
        <w:t xml:space="preserve"> </w:t>
      </w:r>
      <w:r w:rsidR="00642D98" w:rsidRPr="00FA1594">
        <w:t xml:space="preserve">The changing donor landscape is </w:t>
      </w:r>
      <w:r w:rsidR="00F65E36" w:rsidRPr="00FA1594">
        <w:t>affecting</w:t>
      </w:r>
      <w:r w:rsidR="00642D98" w:rsidRPr="00FA1594">
        <w:t xml:space="preserve"> the type of influence donors have and the types of dialogue possible around development issues.</w:t>
      </w:r>
    </w:p>
    <w:p w:rsidR="00835F44" w:rsidRDefault="000757A1" w:rsidP="00213346">
      <w:pPr>
        <w:pStyle w:val="BodyText"/>
      </w:pPr>
      <w:r w:rsidRPr="00710C05">
        <w:rPr>
          <w:b/>
          <w:i/>
        </w:rPr>
        <w:t xml:space="preserve">Multilateral </w:t>
      </w:r>
      <w:r w:rsidR="00BD386F" w:rsidRPr="00710C05">
        <w:rPr>
          <w:b/>
          <w:i/>
        </w:rPr>
        <w:t>agencies</w:t>
      </w:r>
      <w:r>
        <w:t xml:space="preserve">: </w:t>
      </w:r>
      <w:r w:rsidR="00BB2408" w:rsidRPr="00745FE3">
        <w:t>Multilatera</w:t>
      </w:r>
      <w:r>
        <w:t>ls</w:t>
      </w:r>
      <w:r w:rsidR="00BB2408" w:rsidRPr="00745FE3">
        <w:t xml:space="preserve"> maintain a significant presence</w:t>
      </w:r>
      <w:r w:rsidR="00E32F59">
        <w:t>, although their overall standing with government is variable</w:t>
      </w:r>
      <w:r w:rsidR="00BB2408" w:rsidRPr="00745FE3">
        <w:t>.</w:t>
      </w:r>
      <w:r w:rsidR="00CD6B2F">
        <w:t xml:space="preserve"> </w:t>
      </w:r>
      <w:r w:rsidR="00EF045E" w:rsidRPr="00BD386F">
        <w:rPr>
          <w:lang w:val="en-US"/>
        </w:rPr>
        <w:t>Cambodia</w:t>
      </w:r>
      <w:r w:rsidR="00EF045E">
        <w:rPr>
          <w:lang w:val="en-US"/>
        </w:rPr>
        <w:t>n</w:t>
      </w:r>
      <w:r w:rsidR="00EF045E" w:rsidRPr="00BD386F">
        <w:rPr>
          <w:lang w:val="en-US"/>
        </w:rPr>
        <w:t xml:space="preserve"> </w:t>
      </w:r>
      <w:r w:rsidR="00BD386F" w:rsidRPr="00BD386F">
        <w:rPr>
          <w:lang w:val="en-US"/>
        </w:rPr>
        <w:t xml:space="preserve">Government </w:t>
      </w:r>
      <w:r w:rsidR="00CD232A">
        <w:t>r</w:t>
      </w:r>
      <w:r w:rsidR="00AE3DCC">
        <w:t>eengagement with the World</w:t>
      </w:r>
      <w:r w:rsidR="00653807">
        <w:t xml:space="preserve"> Bank is progressing slowly</w:t>
      </w:r>
      <w:r w:rsidR="00AE3DCC" w:rsidRPr="00764322">
        <w:t>.</w:t>
      </w:r>
      <w:r w:rsidR="00CD6B2F">
        <w:t xml:space="preserve"> </w:t>
      </w:r>
      <w:r w:rsidR="00BD386F">
        <w:t>The government’s</w:t>
      </w:r>
      <w:r w:rsidR="00BD386F" w:rsidRPr="00764322">
        <w:t xml:space="preserve"> </w:t>
      </w:r>
      <w:r w:rsidR="00835F44" w:rsidRPr="00764322">
        <w:t>decision on how much it will loan from the World Bank</w:t>
      </w:r>
      <w:r w:rsidR="00653807" w:rsidRPr="00764322">
        <w:t>, and in which sectors, will be announced at some point after the national election in July.</w:t>
      </w:r>
      <w:r w:rsidR="00CD6B2F">
        <w:t xml:space="preserve"> </w:t>
      </w:r>
      <w:r w:rsidR="00653807" w:rsidRPr="00764322">
        <w:t>This decision w</w:t>
      </w:r>
      <w:r w:rsidR="00835F44" w:rsidRPr="00764322">
        <w:t xml:space="preserve">ill have major implications for </w:t>
      </w:r>
      <w:r w:rsidR="009E59CF">
        <w:t xml:space="preserve">the department’s </w:t>
      </w:r>
      <w:r w:rsidR="00835F44" w:rsidRPr="00764322">
        <w:t xml:space="preserve">strategy going forward, particularly in the health </w:t>
      </w:r>
      <w:r w:rsidR="00C230EE">
        <w:t>sector</w:t>
      </w:r>
      <w:r w:rsidR="00835F44" w:rsidRPr="00764322">
        <w:t>.</w:t>
      </w:r>
      <w:r w:rsidR="00CD6B2F">
        <w:t xml:space="preserve"> </w:t>
      </w:r>
    </w:p>
    <w:p w:rsidR="00642D98" w:rsidRPr="00745FE3" w:rsidRDefault="00BB2408" w:rsidP="00213346">
      <w:pPr>
        <w:pStyle w:val="BodyText"/>
      </w:pPr>
      <w:r w:rsidRPr="00745FE3">
        <w:t xml:space="preserve">On the other hand </w:t>
      </w:r>
      <w:r w:rsidR="00142942" w:rsidRPr="00745FE3">
        <w:t xml:space="preserve">the </w:t>
      </w:r>
      <w:r w:rsidR="00F65E36" w:rsidRPr="00745FE3">
        <w:t>Asian Development Bank</w:t>
      </w:r>
      <w:r w:rsidR="00CE15A0">
        <w:t>’s</w:t>
      </w:r>
      <w:r w:rsidR="00142942" w:rsidRPr="00745FE3">
        <w:t xml:space="preserve"> portfolio </w:t>
      </w:r>
      <w:r w:rsidR="00CE15A0">
        <w:t xml:space="preserve">in Cambodia </w:t>
      </w:r>
      <w:r w:rsidR="00E32F59">
        <w:t>has</w:t>
      </w:r>
      <w:r w:rsidR="00142942" w:rsidRPr="00745FE3">
        <w:t xml:space="preserve"> grow</w:t>
      </w:r>
      <w:r w:rsidR="00E32F59">
        <w:t>n</w:t>
      </w:r>
      <w:r w:rsidR="00142942" w:rsidRPr="00745FE3">
        <w:t xml:space="preserve"> significantly</w:t>
      </w:r>
      <w:r w:rsidR="00064CDA" w:rsidRPr="00745FE3">
        <w:t>.</w:t>
      </w:r>
      <w:r w:rsidR="00E21DB7">
        <w:t xml:space="preserve"> Between 2006 and 2011 the </w:t>
      </w:r>
      <w:r w:rsidR="00BD386F">
        <w:t xml:space="preserve">bank </w:t>
      </w:r>
      <w:r w:rsidR="00E21DB7">
        <w:t xml:space="preserve">signed agreements for </w:t>
      </w:r>
      <w:r w:rsidR="008D528B">
        <w:t>US</w:t>
      </w:r>
      <w:r w:rsidR="00BD386F">
        <w:t>D</w:t>
      </w:r>
      <w:r w:rsidR="00E21DB7">
        <w:t>377</w:t>
      </w:r>
      <w:r w:rsidR="00BD386F">
        <w:t xml:space="preserve"> </w:t>
      </w:r>
      <w:r w:rsidR="00E21DB7">
        <w:t>m</w:t>
      </w:r>
      <w:r w:rsidR="00BD386F">
        <w:t>illion</w:t>
      </w:r>
      <w:r w:rsidR="00E21DB7">
        <w:t xml:space="preserve"> in </w:t>
      </w:r>
      <w:r w:rsidR="008D528B">
        <w:t xml:space="preserve">new </w:t>
      </w:r>
      <w:r w:rsidR="00BD386F" w:rsidRPr="00710C05">
        <w:rPr>
          <w:iCs/>
          <w:lang w:val="en-US"/>
        </w:rPr>
        <w:t>Asian Development Fund</w:t>
      </w:r>
      <w:r w:rsidR="00BD386F" w:rsidRPr="00BD386F" w:rsidDel="00BD386F">
        <w:t xml:space="preserve"> </w:t>
      </w:r>
      <w:r w:rsidR="00E21DB7">
        <w:t xml:space="preserve">loans and </w:t>
      </w:r>
      <w:r w:rsidR="008D528B">
        <w:t>US</w:t>
      </w:r>
      <w:r w:rsidR="00BD386F">
        <w:t>D</w:t>
      </w:r>
      <w:r w:rsidR="00E21DB7">
        <w:t>211</w:t>
      </w:r>
      <w:r w:rsidR="00BD386F">
        <w:t xml:space="preserve"> </w:t>
      </w:r>
      <w:r w:rsidR="00E21DB7">
        <w:t>m</w:t>
      </w:r>
      <w:r w:rsidR="00BD386F">
        <w:t>illion</w:t>
      </w:r>
      <w:r w:rsidR="00E21DB7">
        <w:t xml:space="preserve"> in </w:t>
      </w:r>
      <w:r w:rsidR="008D528B">
        <w:t xml:space="preserve">new </w:t>
      </w:r>
      <w:r w:rsidR="00D72336" w:rsidRPr="00070146">
        <w:rPr>
          <w:iCs/>
          <w:lang w:val="en-US"/>
        </w:rPr>
        <w:t>Asian Development Fund</w:t>
      </w:r>
      <w:r w:rsidR="00D72336" w:rsidDel="00D72336">
        <w:t xml:space="preserve"> </w:t>
      </w:r>
      <w:r w:rsidR="00E21DB7">
        <w:t>grants.</w:t>
      </w:r>
      <w:r w:rsidR="00CD6B2F">
        <w:t xml:space="preserve"> </w:t>
      </w:r>
      <w:r w:rsidR="00D72336">
        <w:t>Twenty-</w:t>
      </w:r>
      <w:r w:rsidR="00E32F59">
        <w:t xml:space="preserve">eight </w:t>
      </w:r>
      <w:r w:rsidRPr="00745FE3">
        <w:t>U</w:t>
      </w:r>
      <w:r w:rsidR="00BD386F">
        <w:t xml:space="preserve">nited </w:t>
      </w:r>
      <w:r w:rsidRPr="00745FE3">
        <w:t>N</w:t>
      </w:r>
      <w:r w:rsidR="00BD386F">
        <w:t>ations</w:t>
      </w:r>
      <w:r w:rsidRPr="00745FE3">
        <w:t xml:space="preserve"> agencies</w:t>
      </w:r>
      <w:r w:rsidR="00E32F59">
        <w:t xml:space="preserve"> maintain a presence in Cambodia </w:t>
      </w:r>
      <w:r w:rsidRPr="00745FE3">
        <w:t>and</w:t>
      </w:r>
      <w:r w:rsidR="00E32F59">
        <w:t xml:space="preserve">, while diminishing in </w:t>
      </w:r>
      <w:r w:rsidR="003D5C41">
        <w:t>overall presence</w:t>
      </w:r>
      <w:r w:rsidR="00E32F59">
        <w:t>,</w:t>
      </w:r>
      <w:r w:rsidRPr="00745FE3">
        <w:t xml:space="preserve"> remain an important part of the aid landscape. In particular </w:t>
      </w:r>
      <w:r w:rsidR="009E59CF">
        <w:t>DFAT</w:t>
      </w:r>
      <w:r w:rsidRPr="00745FE3">
        <w:t xml:space="preserve"> works with </w:t>
      </w:r>
      <w:r w:rsidR="00D72336">
        <w:t xml:space="preserve">the </w:t>
      </w:r>
      <w:r w:rsidRPr="00745FE3">
        <w:t>F</w:t>
      </w:r>
      <w:r w:rsidR="00D72336">
        <w:t xml:space="preserve">ood and </w:t>
      </w:r>
      <w:r w:rsidRPr="00745FE3">
        <w:t>A</w:t>
      </w:r>
      <w:r w:rsidR="00D72336">
        <w:t xml:space="preserve">griculture </w:t>
      </w:r>
      <w:r w:rsidRPr="00745FE3">
        <w:t>O</w:t>
      </w:r>
      <w:r w:rsidR="00D72336">
        <w:t>rganization</w:t>
      </w:r>
      <w:r w:rsidRPr="00745FE3">
        <w:t xml:space="preserve">, </w:t>
      </w:r>
      <w:r w:rsidR="00D72336">
        <w:t xml:space="preserve">the </w:t>
      </w:r>
      <w:r w:rsidRPr="00745FE3">
        <w:t>W</w:t>
      </w:r>
      <w:r w:rsidR="00D72336">
        <w:t xml:space="preserve">orld </w:t>
      </w:r>
      <w:r w:rsidRPr="00745FE3">
        <w:t>F</w:t>
      </w:r>
      <w:r w:rsidR="00D72336">
        <w:t xml:space="preserve">ood </w:t>
      </w:r>
      <w:r w:rsidRPr="00745FE3">
        <w:t>P</w:t>
      </w:r>
      <w:r w:rsidR="00D72336">
        <w:t>rogramme</w:t>
      </w:r>
      <w:r w:rsidRPr="00745FE3">
        <w:t>, UN</w:t>
      </w:r>
      <w:r w:rsidR="00EF045E">
        <w:t xml:space="preserve"> </w:t>
      </w:r>
      <w:r w:rsidRPr="00745FE3">
        <w:t>W</w:t>
      </w:r>
      <w:r w:rsidR="009F7712">
        <w:t>omen</w:t>
      </w:r>
      <w:r w:rsidRPr="00745FE3">
        <w:t>, U</w:t>
      </w:r>
      <w:r w:rsidR="00D72336">
        <w:t xml:space="preserve">nited </w:t>
      </w:r>
      <w:r w:rsidRPr="00745FE3">
        <w:t>N</w:t>
      </w:r>
      <w:r w:rsidR="00D72336">
        <w:t xml:space="preserve">ations </w:t>
      </w:r>
      <w:r w:rsidRPr="00745FE3">
        <w:t>P</w:t>
      </w:r>
      <w:r w:rsidR="00D72336">
        <w:t>opulation Fund</w:t>
      </w:r>
      <w:r w:rsidRPr="00745FE3">
        <w:t>,</w:t>
      </w:r>
      <w:r w:rsidR="00E32F59">
        <w:t xml:space="preserve"> </w:t>
      </w:r>
      <w:r w:rsidR="00D72336" w:rsidRPr="00745FE3">
        <w:t>U</w:t>
      </w:r>
      <w:r w:rsidR="00D72336">
        <w:t xml:space="preserve">nited </w:t>
      </w:r>
      <w:r w:rsidR="00D72336" w:rsidRPr="00745FE3">
        <w:t>N</w:t>
      </w:r>
      <w:r w:rsidR="00D72336">
        <w:t xml:space="preserve">ations </w:t>
      </w:r>
      <w:r w:rsidR="00E32F59">
        <w:t>D</w:t>
      </w:r>
      <w:r w:rsidR="00D72336">
        <w:t xml:space="preserve">evelopment </w:t>
      </w:r>
      <w:r w:rsidR="00E32F59">
        <w:t>P</w:t>
      </w:r>
      <w:r w:rsidR="00D72336">
        <w:t>rogramme</w:t>
      </w:r>
      <w:r w:rsidR="00E32F59">
        <w:t>, W</w:t>
      </w:r>
      <w:r w:rsidR="00D72336">
        <w:t xml:space="preserve">orld </w:t>
      </w:r>
      <w:r w:rsidR="00E32F59">
        <w:t>H</w:t>
      </w:r>
      <w:r w:rsidR="00D72336">
        <w:t xml:space="preserve">ealth </w:t>
      </w:r>
      <w:r w:rsidR="00E32F59">
        <w:t>O</w:t>
      </w:r>
      <w:r w:rsidR="00D72336">
        <w:t>rganization</w:t>
      </w:r>
      <w:r w:rsidR="009F7712">
        <w:t xml:space="preserve"> and </w:t>
      </w:r>
      <w:r w:rsidR="00D72336" w:rsidRPr="00745FE3">
        <w:t>U</w:t>
      </w:r>
      <w:r w:rsidR="00D72336">
        <w:t xml:space="preserve">nited </w:t>
      </w:r>
      <w:r w:rsidR="00D72336" w:rsidRPr="00745FE3">
        <w:t>N</w:t>
      </w:r>
      <w:r w:rsidR="00D72336">
        <w:t>ations Children’s Fund</w:t>
      </w:r>
      <w:r w:rsidR="009F7712">
        <w:t>.</w:t>
      </w:r>
      <w:r w:rsidR="00CD6B2F">
        <w:t xml:space="preserve"> </w:t>
      </w:r>
    </w:p>
    <w:p w:rsidR="00AA0FE5" w:rsidRDefault="000757A1" w:rsidP="00213346">
      <w:pPr>
        <w:pStyle w:val="BodyText"/>
      </w:pPr>
      <w:r w:rsidRPr="00CE15A0">
        <w:rPr>
          <w:b/>
          <w:i/>
        </w:rPr>
        <w:t>Australia’s program</w:t>
      </w:r>
      <w:r>
        <w:t xml:space="preserve">: </w:t>
      </w:r>
      <w:r w:rsidR="00D0648C" w:rsidRPr="00745FE3">
        <w:t>The</w:t>
      </w:r>
      <w:r w:rsidR="00D0648C" w:rsidRPr="00745FE3">
        <w:rPr>
          <w:i/>
        </w:rPr>
        <w:t xml:space="preserve"> </w:t>
      </w:r>
      <w:r w:rsidR="00D0648C" w:rsidRPr="00CE15A0">
        <w:t>Australia</w:t>
      </w:r>
      <w:r w:rsidR="00D72336">
        <w:t>–</w:t>
      </w:r>
      <w:r w:rsidR="00D0648C" w:rsidRPr="00710C05">
        <w:t>Cambodia Joint Aid Program Strategy 2010</w:t>
      </w:r>
      <w:r w:rsidR="00D72336">
        <w:t>–</w:t>
      </w:r>
      <w:r w:rsidR="00D0648C" w:rsidRPr="00710C05">
        <w:t>2015</w:t>
      </w:r>
      <w:r w:rsidR="007F2100" w:rsidRPr="00745FE3">
        <w:t xml:space="preserve"> focuses on responding to this rapidly changing economic and social environment.</w:t>
      </w:r>
      <w:r w:rsidR="00CD6B2F">
        <w:t xml:space="preserve"> </w:t>
      </w:r>
      <w:r w:rsidR="007F2100" w:rsidRPr="00745FE3">
        <w:t xml:space="preserve">It is also </w:t>
      </w:r>
      <w:r w:rsidR="007F2100" w:rsidRPr="00745FE3">
        <w:lastRenderedPageBreak/>
        <w:t xml:space="preserve">targeted to areas in which Australia has experience, credibility and the potential to make the greatest impact. Priority sectors agreed with the </w:t>
      </w:r>
      <w:r w:rsidR="00EF045E" w:rsidRPr="00D72336">
        <w:rPr>
          <w:lang w:val="en-US"/>
        </w:rPr>
        <w:t>Cambodia</w:t>
      </w:r>
      <w:r w:rsidR="00EF045E">
        <w:rPr>
          <w:lang w:val="en-US"/>
        </w:rPr>
        <w:t>n</w:t>
      </w:r>
      <w:r w:rsidR="00EF045E" w:rsidRPr="00D72336">
        <w:rPr>
          <w:lang w:val="en-US"/>
        </w:rPr>
        <w:t xml:space="preserve"> </w:t>
      </w:r>
      <w:r w:rsidR="00D72336" w:rsidRPr="00D72336">
        <w:rPr>
          <w:lang w:val="en-US"/>
        </w:rPr>
        <w:t xml:space="preserve">Government </w:t>
      </w:r>
      <w:r w:rsidR="007F2100" w:rsidRPr="00745FE3">
        <w:t>are</w:t>
      </w:r>
      <w:r w:rsidR="00B066A8" w:rsidRPr="00745FE3">
        <w:t xml:space="preserve"> agricultural and rural development</w:t>
      </w:r>
      <w:r w:rsidR="007F2100" w:rsidRPr="00745FE3">
        <w:t>, health</w:t>
      </w:r>
      <w:r w:rsidR="00697E76">
        <w:t>,</w:t>
      </w:r>
      <w:r w:rsidR="007F2100" w:rsidRPr="00745FE3">
        <w:t xml:space="preserve"> infrastructure for growth and law and justice. Cambodia is also a focus for </w:t>
      </w:r>
      <w:r w:rsidR="009E59CF">
        <w:t xml:space="preserve">Australia’s </w:t>
      </w:r>
      <w:r w:rsidR="007F2100" w:rsidRPr="00745FE3">
        <w:t>disability inclusive development policy</w:t>
      </w:r>
      <w:r w:rsidR="002654CC" w:rsidRPr="00745FE3">
        <w:t xml:space="preserve"> and the ending violence against women initiative. There is a strong and growing </w:t>
      </w:r>
      <w:r w:rsidR="007F2100" w:rsidRPr="00745FE3">
        <w:t xml:space="preserve">scholarships program. Through our support for these sectors, we seek to balance sustainable strengthening of government systems with greater support for more immediate and practical service delivery. </w:t>
      </w:r>
    </w:p>
    <w:p w:rsidR="00AA0FE5" w:rsidRPr="00745FE3" w:rsidRDefault="00AA0FE5" w:rsidP="00213346">
      <w:pPr>
        <w:pStyle w:val="BodyText"/>
      </w:pPr>
      <w:r w:rsidRPr="00745FE3">
        <w:t>Between January 2012 and June 2013, more than half</w:t>
      </w:r>
      <w:r w:rsidR="00EF045E">
        <w:t>––</w:t>
      </w:r>
      <w:r w:rsidRPr="00745FE3">
        <w:t>58 per cent</w:t>
      </w:r>
      <w:r w:rsidR="00EF045E">
        <w:t>––</w:t>
      </w:r>
      <w:r w:rsidRPr="00745FE3">
        <w:t>of Australia’s aid program was delivered through agreements with multilaterals, with a further 35 per cent delivered by commercial suppliers. Seven per cent of the program was delivered through civil society (</w:t>
      </w:r>
      <w:r w:rsidR="00D72336">
        <w:t>six</w:t>
      </w:r>
      <w:r w:rsidR="00D72336" w:rsidRPr="00745FE3">
        <w:t xml:space="preserve"> </w:t>
      </w:r>
      <w:r w:rsidRPr="00745FE3">
        <w:t xml:space="preserve">per cent through non-government organisations and </w:t>
      </w:r>
      <w:r w:rsidR="00D72336">
        <w:t>one</w:t>
      </w:r>
      <w:r w:rsidR="00D72336" w:rsidRPr="00745FE3">
        <w:t xml:space="preserve"> </w:t>
      </w:r>
      <w:r w:rsidRPr="00745FE3">
        <w:t>per cent through academic institutions).</w:t>
      </w:r>
    </w:p>
    <w:p w:rsidR="007F2100" w:rsidRPr="00745FE3" w:rsidRDefault="009E59CF" w:rsidP="00213346">
      <w:pPr>
        <w:pStyle w:val="BodyText"/>
      </w:pPr>
      <w:r>
        <w:t xml:space="preserve">The department’s </w:t>
      </w:r>
      <w:r w:rsidR="00CD4F7F" w:rsidRPr="00745FE3">
        <w:t>b</w:t>
      </w:r>
      <w:r w:rsidR="007F2100" w:rsidRPr="00745FE3">
        <w:t xml:space="preserve">ilateral </w:t>
      </w:r>
      <w:r>
        <w:t xml:space="preserve">aid </w:t>
      </w:r>
      <w:r w:rsidR="007F2100" w:rsidRPr="00745FE3">
        <w:t xml:space="preserve">program </w:t>
      </w:r>
      <w:r w:rsidR="00CD4F7F" w:rsidRPr="00745FE3">
        <w:t>is</w:t>
      </w:r>
      <w:r w:rsidR="007F2100" w:rsidRPr="00745FE3">
        <w:t xml:space="preserve"> complemented by regional development assistance including through a range of ASEAN and Mekong River Commission programs. Regional programs support regional approaches to trade reform, people trafficking, HIV/AIDS and water resource management challenges across the Mekong Basin.</w:t>
      </w:r>
      <w:r w:rsidR="00B367D4" w:rsidRPr="00745FE3">
        <w:t xml:space="preserve"> </w:t>
      </w:r>
    </w:p>
    <w:p w:rsidR="00D11192" w:rsidRPr="00745FE3" w:rsidRDefault="007F2100" w:rsidP="00213346">
      <w:pPr>
        <w:pStyle w:val="BodyText"/>
      </w:pPr>
      <w:r w:rsidRPr="00745FE3">
        <w:t>Australia’s country strategy objectives remain relevant to Cambodia’s development needs and are aligned with Cambodia’s national strategic development plan</w:t>
      </w:r>
      <w:r w:rsidR="00697E76">
        <w:t xml:space="preserve"> and</w:t>
      </w:r>
      <w:r w:rsidRPr="00745FE3">
        <w:t xml:space="preserve"> relevant sector specific strategies. </w:t>
      </w:r>
    </w:p>
    <w:p w:rsidR="00952FDE" w:rsidRPr="00B21F27" w:rsidRDefault="00952FDE" w:rsidP="00B21F27">
      <w:pPr>
        <w:pStyle w:val="Heading1"/>
      </w:pPr>
      <w:r w:rsidRPr="00B21F27">
        <w:t>Expenditure</w:t>
      </w:r>
    </w:p>
    <w:p w:rsidR="00BE65E4" w:rsidRPr="00745FE3" w:rsidRDefault="00952FDE" w:rsidP="00866B6E">
      <w:pPr>
        <w:pStyle w:val="Caption"/>
      </w:pPr>
      <w:r w:rsidRPr="00745FE3">
        <w:t xml:space="preserve">Table </w:t>
      </w:r>
      <w:fldSimple w:instr=" SEQ Table \* ARABIC ">
        <w:r w:rsidR="00B84A7F">
          <w:rPr>
            <w:noProof/>
          </w:rPr>
          <w:t>1</w:t>
        </w:r>
      </w:fldSimple>
      <w:r w:rsidRPr="00745FE3">
        <w:t>A</w:t>
      </w:r>
      <w:r w:rsidR="00D72336">
        <w:t>:</w:t>
      </w:r>
      <w:r w:rsidRPr="00745FE3">
        <w:t xml:space="preserve"> Expenditure 1 Jan</w:t>
      </w:r>
      <w:r w:rsidR="00D72336">
        <w:t>uary</w:t>
      </w:r>
      <w:r w:rsidRPr="00745FE3">
        <w:t xml:space="preserve"> </w:t>
      </w:r>
      <w:r w:rsidR="00D72336">
        <w:t>to</w:t>
      </w:r>
      <w:r w:rsidRPr="00745FE3">
        <w:t xml:space="preserve"> 30 Jun</w:t>
      </w:r>
      <w:r w:rsidR="00D72336">
        <w:t>e</w:t>
      </w:r>
      <w:r w:rsidRPr="00745FE3">
        <w:t xml:space="preserve"> 2012</w:t>
      </w:r>
    </w:p>
    <w:tbl>
      <w:tblPr>
        <w:tblStyle w:val="APPR"/>
        <w:tblW w:w="5000" w:type="pct"/>
        <w:tblLayout w:type="fixed"/>
        <w:tblLook w:val="0000" w:firstRow="0" w:lastRow="0" w:firstColumn="0" w:lastColumn="0" w:noHBand="0" w:noVBand="0"/>
      </w:tblPr>
      <w:tblGrid>
        <w:gridCol w:w="6130"/>
        <w:gridCol w:w="999"/>
        <w:gridCol w:w="1478"/>
      </w:tblGrid>
      <w:tr w:rsidR="00180B19" w:rsidRPr="00D72336" w:rsidTr="00B21F27">
        <w:trPr>
          <w:cantSplit/>
          <w:tblHeader w:val="0"/>
        </w:trPr>
        <w:tc>
          <w:tcPr>
            <w:tcW w:w="6048" w:type="dxa"/>
          </w:tcPr>
          <w:p w:rsidR="00180B19" w:rsidRPr="00710C05" w:rsidRDefault="00180B19" w:rsidP="00B21F27">
            <w:pPr>
              <w:pStyle w:val="TableTextColumnHeading"/>
            </w:pPr>
            <w:r w:rsidRPr="00710C05">
              <w:t>Objective</w:t>
            </w:r>
          </w:p>
        </w:tc>
        <w:tc>
          <w:tcPr>
            <w:tcW w:w="964" w:type="dxa"/>
          </w:tcPr>
          <w:p w:rsidR="00180B19" w:rsidRPr="00710C05" w:rsidRDefault="00180B19" w:rsidP="00B21F27">
            <w:pPr>
              <w:pStyle w:val="TableTextColumnHeading"/>
            </w:pPr>
            <w:r w:rsidRPr="00710C05">
              <w:t>$ million</w:t>
            </w:r>
          </w:p>
        </w:tc>
        <w:tc>
          <w:tcPr>
            <w:tcW w:w="1426" w:type="dxa"/>
          </w:tcPr>
          <w:p w:rsidR="00180B19" w:rsidRPr="00710C05" w:rsidRDefault="00180B19" w:rsidP="00B21F27">
            <w:pPr>
              <w:pStyle w:val="TableTextColumnHeading"/>
            </w:pPr>
            <w:r w:rsidRPr="00710C05">
              <w:t>% of bilateral program</w:t>
            </w:r>
          </w:p>
        </w:tc>
      </w:tr>
      <w:tr w:rsidR="009813FB" w:rsidRPr="00745FE3" w:rsidTr="00B21F27">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rsidR="009813FB" w:rsidRPr="00B21F27" w:rsidRDefault="009813FB" w:rsidP="00B21F27">
            <w:pPr>
              <w:pStyle w:val="TableTextEntries"/>
            </w:pPr>
            <w:r w:rsidRPr="00B21F27">
              <w:t xml:space="preserve">Objective 1A: </w:t>
            </w:r>
            <w:r w:rsidRPr="00B21F27">
              <w:rPr>
                <w:rFonts w:eastAsia="Calibri"/>
              </w:rPr>
              <w:t>Increased value of agricultural production and smallholder income in targeted provinces</w:t>
            </w:r>
          </w:p>
        </w:tc>
        <w:tc>
          <w:tcPr>
            <w:tcW w:w="964" w:type="dxa"/>
          </w:tcPr>
          <w:p w:rsidR="009813FB" w:rsidRPr="00B21F27" w:rsidRDefault="002D1CC3" w:rsidP="00B21F27">
            <w:pPr>
              <w:pStyle w:val="TableTextEntries"/>
            </w:pPr>
            <w:r w:rsidRPr="00B21F27">
              <w:t>5.55</w:t>
            </w:r>
          </w:p>
        </w:tc>
        <w:tc>
          <w:tcPr>
            <w:tcW w:w="1426" w:type="dxa"/>
          </w:tcPr>
          <w:p w:rsidR="009813FB" w:rsidRPr="00B21F27" w:rsidRDefault="00A1157D" w:rsidP="00B21F27">
            <w:pPr>
              <w:pStyle w:val="TableTextEntries"/>
            </w:pPr>
            <w:r w:rsidRPr="00B21F27">
              <w:t>12</w:t>
            </w:r>
          </w:p>
        </w:tc>
      </w:tr>
      <w:tr w:rsidR="009813FB" w:rsidRPr="00745FE3" w:rsidTr="00B21F27">
        <w:trPr>
          <w:cantSplit/>
          <w:tblHeader w:val="0"/>
        </w:trPr>
        <w:tc>
          <w:tcPr>
            <w:tcW w:w="6048" w:type="dxa"/>
          </w:tcPr>
          <w:p w:rsidR="009813FB" w:rsidRPr="00B21F27" w:rsidRDefault="009813FB" w:rsidP="00B21F27">
            <w:pPr>
              <w:pStyle w:val="TableTextEntries"/>
            </w:pPr>
            <w:r w:rsidRPr="00B21F27">
              <w:t xml:space="preserve">Objective 1B: </w:t>
            </w:r>
            <w:r w:rsidRPr="00B21F27">
              <w:rPr>
                <w:rFonts w:eastAsia="Calibri"/>
              </w:rPr>
              <w:t>Increased food and livelihood security for the rural poor through social protection and landmine clearance</w:t>
            </w:r>
          </w:p>
        </w:tc>
        <w:tc>
          <w:tcPr>
            <w:tcW w:w="964" w:type="dxa"/>
          </w:tcPr>
          <w:p w:rsidR="009813FB" w:rsidRPr="00B21F27" w:rsidRDefault="002D1CC3" w:rsidP="00B21F27">
            <w:pPr>
              <w:pStyle w:val="TableTextEntries"/>
            </w:pPr>
            <w:r w:rsidRPr="00B21F27">
              <w:t>1.85</w:t>
            </w:r>
          </w:p>
        </w:tc>
        <w:tc>
          <w:tcPr>
            <w:tcW w:w="1426" w:type="dxa"/>
          </w:tcPr>
          <w:p w:rsidR="009813FB" w:rsidRPr="00B21F27" w:rsidRDefault="00A1157D" w:rsidP="00B21F27">
            <w:pPr>
              <w:pStyle w:val="TableTextEntries"/>
            </w:pPr>
            <w:r w:rsidRPr="00B21F27">
              <w:t>4</w:t>
            </w:r>
          </w:p>
        </w:tc>
      </w:tr>
      <w:tr w:rsidR="009813FB" w:rsidRPr="00745FE3" w:rsidTr="00B21F27">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rsidR="009813FB" w:rsidRPr="00B21F27" w:rsidRDefault="009813FB" w:rsidP="00B21F27">
            <w:pPr>
              <w:pStyle w:val="TableTextEntries"/>
            </w:pPr>
            <w:r w:rsidRPr="00B21F27">
              <w:t>Objective 2:</w:t>
            </w:r>
            <w:r w:rsidR="00366A28">
              <w:t xml:space="preserve"> </w:t>
            </w:r>
            <w:r w:rsidRPr="00B21F27">
              <w:rPr>
                <w:rFonts w:eastAsia="Calibri"/>
              </w:rPr>
              <w:t>Increased access to quality health services through improved health management</w:t>
            </w:r>
          </w:p>
        </w:tc>
        <w:tc>
          <w:tcPr>
            <w:tcW w:w="964" w:type="dxa"/>
          </w:tcPr>
          <w:p w:rsidR="009813FB" w:rsidRPr="00B21F27" w:rsidRDefault="002D1CC3" w:rsidP="00B21F27">
            <w:pPr>
              <w:pStyle w:val="TableTextEntries"/>
            </w:pPr>
            <w:r w:rsidRPr="00B21F27">
              <w:t>20.89</w:t>
            </w:r>
          </w:p>
        </w:tc>
        <w:tc>
          <w:tcPr>
            <w:tcW w:w="1426" w:type="dxa"/>
          </w:tcPr>
          <w:p w:rsidR="009813FB" w:rsidRPr="00B21F27" w:rsidRDefault="00A1157D" w:rsidP="00B21F27">
            <w:pPr>
              <w:pStyle w:val="TableTextEntries"/>
            </w:pPr>
            <w:r w:rsidRPr="00B21F27">
              <w:t>44</w:t>
            </w:r>
          </w:p>
        </w:tc>
      </w:tr>
      <w:tr w:rsidR="009813FB" w:rsidRPr="00745FE3" w:rsidTr="00B21F27">
        <w:trPr>
          <w:cantSplit/>
          <w:tblHeader w:val="0"/>
        </w:trPr>
        <w:tc>
          <w:tcPr>
            <w:tcW w:w="6048" w:type="dxa"/>
          </w:tcPr>
          <w:p w:rsidR="009813FB" w:rsidRPr="00B21F27" w:rsidRDefault="009813FB" w:rsidP="00B21F27">
            <w:pPr>
              <w:pStyle w:val="TableTextEntries"/>
            </w:pPr>
            <w:r w:rsidRPr="00B21F27">
              <w:t>Objective 3:</w:t>
            </w:r>
            <w:r w:rsidR="00366A28">
              <w:t xml:space="preserve"> </w:t>
            </w:r>
            <w:r w:rsidRPr="00B21F27">
              <w:rPr>
                <w:rFonts w:eastAsia="Calibri"/>
              </w:rPr>
              <w:t>Improved transport and energy infrastructure</w:t>
            </w:r>
          </w:p>
        </w:tc>
        <w:tc>
          <w:tcPr>
            <w:tcW w:w="964" w:type="dxa"/>
          </w:tcPr>
          <w:p w:rsidR="009813FB" w:rsidRPr="00B21F27" w:rsidRDefault="002D1CC3" w:rsidP="00B21F27">
            <w:pPr>
              <w:pStyle w:val="TableTextEntries"/>
            </w:pPr>
            <w:r w:rsidRPr="00B21F27">
              <w:t>10.75</w:t>
            </w:r>
          </w:p>
        </w:tc>
        <w:tc>
          <w:tcPr>
            <w:tcW w:w="1426" w:type="dxa"/>
          </w:tcPr>
          <w:p w:rsidR="009813FB" w:rsidRPr="00B21F27" w:rsidRDefault="00A1157D" w:rsidP="00B21F27">
            <w:pPr>
              <w:pStyle w:val="TableTextEntries"/>
            </w:pPr>
            <w:r w:rsidRPr="00B21F27">
              <w:t>23</w:t>
            </w:r>
          </w:p>
        </w:tc>
      </w:tr>
      <w:tr w:rsidR="009813FB" w:rsidRPr="00745FE3" w:rsidTr="00B21F27">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rsidR="009813FB" w:rsidRPr="00B21F27" w:rsidRDefault="009813FB" w:rsidP="00B21F27">
            <w:pPr>
              <w:pStyle w:val="TableTextEntries"/>
            </w:pPr>
            <w:r w:rsidRPr="00B21F27">
              <w:t>Objective 4:</w:t>
            </w:r>
            <w:r w:rsidR="00366A28">
              <w:t xml:space="preserve"> </w:t>
            </w:r>
            <w:r w:rsidR="00F45D79" w:rsidRPr="00B21F27">
              <w:rPr>
                <w:rFonts w:eastAsia="Calibri"/>
              </w:rPr>
              <w:t>Women, youth and children are safer and communities have less crime</w:t>
            </w:r>
            <w:r w:rsidR="00D72336" w:rsidRPr="00B21F27">
              <w:rPr>
                <w:rFonts w:eastAsia="Calibri"/>
              </w:rPr>
              <w:t xml:space="preserve">, </w:t>
            </w:r>
            <w:r w:rsidR="00F9111F" w:rsidRPr="00B21F27">
              <w:rPr>
                <w:rFonts w:eastAsia="Calibri"/>
              </w:rPr>
              <w:t xml:space="preserve">a </w:t>
            </w:r>
            <w:r w:rsidR="00F45D79" w:rsidRPr="00B21F27">
              <w:rPr>
                <w:rFonts w:eastAsia="Calibri"/>
              </w:rPr>
              <w:t>more effective non-custodial sentencing system</w:t>
            </w:r>
            <w:r w:rsidR="00D72336" w:rsidRPr="00B21F27">
              <w:rPr>
                <w:rFonts w:eastAsia="Calibri"/>
              </w:rPr>
              <w:t xml:space="preserve">, </w:t>
            </w:r>
            <w:r w:rsidR="00F45D79" w:rsidRPr="00B21F27">
              <w:rPr>
                <w:rFonts w:eastAsia="Calibri"/>
              </w:rPr>
              <w:t>strengthened evidence-based performance management</w:t>
            </w:r>
          </w:p>
        </w:tc>
        <w:tc>
          <w:tcPr>
            <w:tcW w:w="964" w:type="dxa"/>
          </w:tcPr>
          <w:p w:rsidR="009813FB" w:rsidRPr="00B21F27" w:rsidRDefault="002D1CC3" w:rsidP="00B21F27">
            <w:pPr>
              <w:pStyle w:val="TableTextEntries"/>
            </w:pPr>
            <w:r w:rsidRPr="00B21F27">
              <w:t>3.74</w:t>
            </w:r>
          </w:p>
        </w:tc>
        <w:tc>
          <w:tcPr>
            <w:tcW w:w="1426" w:type="dxa"/>
          </w:tcPr>
          <w:p w:rsidR="009813FB" w:rsidRPr="00B21F27" w:rsidRDefault="00A1157D" w:rsidP="00B21F27">
            <w:pPr>
              <w:pStyle w:val="TableTextEntries"/>
            </w:pPr>
            <w:r w:rsidRPr="00B21F27">
              <w:t>8</w:t>
            </w:r>
          </w:p>
        </w:tc>
      </w:tr>
      <w:tr w:rsidR="00ED4A62" w:rsidRPr="00745FE3" w:rsidTr="00B21F27">
        <w:trPr>
          <w:cantSplit/>
          <w:tblHeader w:val="0"/>
        </w:trPr>
        <w:tc>
          <w:tcPr>
            <w:tcW w:w="6048" w:type="dxa"/>
          </w:tcPr>
          <w:p w:rsidR="00ED4A62" w:rsidRPr="00B21F27" w:rsidRDefault="00ED4A62" w:rsidP="00B21F27">
            <w:pPr>
              <w:pStyle w:val="TableTextEntries"/>
            </w:pPr>
            <w:r w:rsidRPr="00B21F27">
              <w:t>Other (</w:t>
            </w:r>
            <w:r w:rsidR="00D72336" w:rsidRPr="00B21F27">
              <w:t>c</w:t>
            </w:r>
            <w:r w:rsidRPr="00B21F27">
              <w:t>ross-</w:t>
            </w:r>
            <w:r w:rsidR="00D72336" w:rsidRPr="00B21F27">
              <w:t>c</w:t>
            </w:r>
            <w:r w:rsidRPr="00B21F27">
              <w:t xml:space="preserve">utting </w:t>
            </w:r>
            <w:r w:rsidR="00D72336" w:rsidRPr="00B21F27">
              <w:t>t</w:t>
            </w:r>
            <w:r w:rsidRPr="00B21F27">
              <w:t>hemes)</w:t>
            </w:r>
          </w:p>
        </w:tc>
        <w:tc>
          <w:tcPr>
            <w:tcW w:w="964" w:type="dxa"/>
          </w:tcPr>
          <w:p w:rsidR="00ED4A62" w:rsidRPr="00B21F27" w:rsidRDefault="002D1CC3" w:rsidP="00B21F27">
            <w:pPr>
              <w:pStyle w:val="TableTextEntries"/>
            </w:pPr>
            <w:r w:rsidRPr="00B21F27">
              <w:t>4.83</w:t>
            </w:r>
          </w:p>
        </w:tc>
        <w:tc>
          <w:tcPr>
            <w:tcW w:w="1426" w:type="dxa"/>
          </w:tcPr>
          <w:p w:rsidR="00ED4A62" w:rsidRPr="00B21F27" w:rsidRDefault="00A1157D" w:rsidP="00B21F27">
            <w:pPr>
              <w:pStyle w:val="TableTextEntries"/>
            </w:pPr>
            <w:r w:rsidRPr="00B21F27">
              <w:t>9</w:t>
            </w:r>
          </w:p>
        </w:tc>
      </w:tr>
      <w:tr w:rsidR="00A43E8C" w:rsidRPr="00745FE3" w:rsidTr="00B21F27">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rsidR="00A43E8C" w:rsidRPr="00B21F27" w:rsidRDefault="00A43E8C" w:rsidP="00B21F27">
            <w:pPr>
              <w:pStyle w:val="TableTextColumnHeading"/>
            </w:pPr>
            <w:r w:rsidRPr="00B21F27">
              <w:t>Total</w:t>
            </w:r>
          </w:p>
        </w:tc>
        <w:tc>
          <w:tcPr>
            <w:tcW w:w="964" w:type="dxa"/>
          </w:tcPr>
          <w:p w:rsidR="00A43E8C" w:rsidRPr="00B21F27" w:rsidRDefault="00A43E8C" w:rsidP="00B21F27">
            <w:pPr>
              <w:pStyle w:val="TableTextColumnHeading"/>
            </w:pPr>
            <w:r w:rsidRPr="00B21F27">
              <w:t>47.61</w:t>
            </w:r>
          </w:p>
        </w:tc>
        <w:tc>
          <w:tcPr>
            <w:tcW w:w="1426" w:type="dxa"/>
          </w:tcPr>
          <w:p w:rsidR="00A43E8C" w:rsidRPr="00B21F27" w:rsidRDefault="00A43E8C" w:rsidP="00B21F27">
            <w:pPr>
              <w:pStyle w:val="TableTextColumnHeading"/>
            </w:pPr>
            <w:r w:rsidRPr="00B21F27">
              <w:t>100</w:t>
            </w:r>
          </w:p>
        </w:tc>
      </w:tr>
    </w:tbl>
    <w:p w:rsidR="00B21F27" w:rsidRDefault="00180B19" w:rsidP="00B21F27">
      <w:pPr>
        <w:pStyle w:val="Note"/>
      </w:pPr>
      <w:r w:rsidRPr="00B21F27">
        <w:t xml:space="preserve">Source: </w:t>
      </w:r>
      <w:proofErr w:type="spellStart"/>
      <w:r w:rsidR="00D72336" w:rsidRPr="00B21F27">
        <w:t>Aidworks</w:t>
      </w:r>
      <w:proofErr w:type="spellEnd"/>
      <w:r w:rsidR="00D72336" w:rsidRPr="00B21F27">
        <w:t xml:space="preserve"> </w:t>
      </w:r>
      <w:r w:rsidR="00EF045E" w:rsidRPr="00B21F27">
        <w:t>–</w:t>
      </w:r>
      <w:r w:rsidR="00000FAB" w:rsidRPr="00B21F27">
        <w:t>internal financial monitoring system</w:t>
      </w:r>
      <w:r w:rsidR="00C310F4">
        <w:t xml:space="preserve"> </w:t>
      </w:r>
      <w:r w:rsidR="00235BB0">
        <w:t>for</w:t>
      </w:r>
      <w:r w:rsidR="00C310F4">
        <w:t xml:space="preserve"> the aid program</w:t>
      </w:r>
      <w:r w:rsidR="00000FAB" w:rsidRPr="00B21F27">
        <w:t>.</w:t>
      </w:r>
    </w:p>
    <w:p w:rsidR="00B21F27" w:rsidRPr="00B21F27" w:rsidRDefault="00B21F27" w:rsidP="00B21F27">
      <w:pPr>
        <w:pStyle w:val="BodyText"/>
      </w:pPr>
    </w:p>
    <w:p w:rsidR="00661ADA" w:rsidRDefault="00661ADA" w:rsidP="000249ED">
      <w:pPr>
        <w:pStyle w:val="BodyText"/>
        <w:rPr>
          <w:rFonts w:ascii="Arial" w:hAnsi="Arial" w:cs="Arial"/>
          <w:color w:val="7E6D5F"/>
          <w:szCs w:val="19"/>
        </w:rPr>
      </w:pPr>
      <w:r>
        <w:br w:type="page"/>
      </w:r>
    </w:p>
    <w:p w:rsidR="00180B19" w:rsidRPr="00745FE3" w:rsidRDefault="00952FDE" w:rsidP="00866B6E">
      <w:pPr>
        <w:pStyle w:val="Caption"/>
      </w:pPr>
      <w:r w:rsidRPr="00745FE3">
        <w:lastRenderedPageBreak/>
        <w:t>Table 1B</w:t>
      </w:r>
      <w:r w:rsidR="00D72336">
        <w:t>:</w:t>
      </w:r>
      <w:r w:rsidRPr="00745FE3">
        <w:t xml:space="preserve"> Estimated expenditure in 2012</w:t>
      </w:r>
      <w:r w:rsidR="00D72336">
        <w:t>–</w:t>
      </w:r>
      <w:r w:rsidRPr="00745FE3">
        <w:t>13</w:t>
      </w:r>
    </w:p>
    <w:tbl>
      <w:tblPr>
        <w:tblStyle w:val="APPR"/>
        <w:tblW w:w="5000" w:type="pct"/>
        <w:tblLayout w:type="fixed"/>
        <w:tblLook w:val="0000" w:firstRow="0" w:lastRow="0" w:firstColumn="0" w:lastColumn="0" w:noHBand="0" w:noVBand="0"/>
      </w:tblPr>
      <w:tblGrid>
        <w:gridCol w:w="6108"/>
        <w:gridCol w:w="1011"/>
        <w:gridCol w:w="1488"/>
      </w:tblGrid>
      <w:tr w:rsidR="001401A3" w:rsidRPr="00745FE3" w:rsidTr="00B21F27">
        <w:trPr>
          <w:cnfStyle w:val="000000010000" w:firstRow="0" w:lastRow="0" w:firstColumn="0" w:lastColumn="0" w:oddVBand="0" w:evenVBand="0" w:oddHBand="0" w:evenHBand="1" w:firstRowFirstColumn="0" w:firstRowLastColumn="0" w:lastRowFirstColumn="0" w:lastRowLastColumn="0"/>
          <w:cantSplit/>
        </w:trPr>
        <w:tc>
          <w:tcPr>
            <w:tcW w:w="5638" w:type="dxa"/>
          </w:tcPr>
          <w:p w:rsidR="001401A3" w:rsidRPr="00B21F27" w:rsidRDefault="001401A3" w:rsidP="00B21F27">
            <w:pPr>
              <w:pStyle w:val="TableTextColumnHeading"/>
            </w:pPr>
            <w:r w:rsidRPr="00B21F27">
              <w:t>Objective</w:t>
            </w:r>
          </w:p>
        </w:tc>
        <w:tc>
          <w:tcPr>
            <w:tcW w:w="914" w:type="dxa"/>
          </w:tcPr>
          <w:p w:rsidR="001401A3" w:rsidRPr="00B21F27" w:rsidRDefault="001401A3" w:rsidP="00B21F27">
            <w:pPr>
              <w:pStyle w:val="TableTextColumnHeading"/>
            </w:pPr>
            <w:r w:rsidRPr="00B21F27">
              <w:t>$ million</w:t>
            </w:r>
          </w:p>
        </w:tc>
        <w:tc>
          <w:tcPr>
            <w:tcW w:w="1344" w:type="dxa"/>
          </w:tcPr>
          <w:p w:rsidR="001401A3" w:rsidRPr="00B21F27" w:rsidRDefault="001401A3" w:rsidP="00B21F27">
            <w:pPr>
              <w:pStyle w:val="TableTextColumnHeading"/>
            </w:pPr>
            <w:r w:rsidRPr="00B21F27">
              <w:t>% of bilateral program</w:t>
            </w:r>
          </w:p>
        </w:tc>
      </w:tr>
      <w:tr w:rsidR="001401A3" w:rsidRPr="00745FE3" w:rsidTr="00B21F27">
        <w:trPr>
          <w:cantSplit/>
          <w:tblHeader w:val="0"/>
        </w:trPr>
        <w:tc>
          <w:tcPr>
            <w:tcW w:w="5638" w:type="dxa"/>
          </w:tcPr>
          <w:p w:rsidR="001401A3" w:rsidRPr="00B21F27" w:rsidRDefault="001401A3" w:rsidP="00B21F27">
            <w:pPr>
              <w:pStyle w:val="TableTextEntries"/>
            </w:pPr>
            <w:r w:rsidRPr="00B21F27">
              <w:t xml:space="preserve">Objective 1A: </w:t>
            </w:r>
            <w:r w:rsidRPr="00B21F27">
              <w:rPr>
                <w:rFonts w:eastAsia="Calibri"/>
              </w:rPr>
              <w:t>Increased value of agricultural production and smallholder income in targeted provinces</w:t>
            </w:r>
          </w:p>
        </w:tc>
        <w:tc>
          <w:tcPr>
            <w:tcW w:w="914" w:type="dxa"/>
            <w:vAlign w:val="bottom"/>
          </w:tcPr>
          <w:p w:rsidR="001401A3" w:rsidRPr="00B21F27" w:rsidRDefault="001401A3" w:rsidP="00B21F27">
            <w:pPr>
              <w:pStyle w:val="TableTextEntries"/>
            </w:pPr>
            <w:r w:rsidRPr="00B21F27">
              <w:t>9.03</w:t>
            </w:r>
          </w:p>
        </w:tc>
        <w:tc>
          <w:tcPr>
            <w:tcW w:w="1344" w:type="dxa"/>
            <w:vAlign w:val="bottom"/>
          </w:tcPr>
          <w:p w:rsidR="001401A3" w:rsidRPr="00B21F27" w:rsidRDefault="001401A3" w:rsidP="00B21F27">
            <w:pPr>
              <w:pStyle w:val="TableTextEntries"/>
            </w:pPr>
            <w:r w:rsidRPr="00B21F27">
              <w:t>18</w:t>
            </w:r>
          </w:p>
        </w:tc>
      </w:tr>
      <w:tr w:rsidR="001401A3" w:rsidRPr="00745FE3" w:rsidTr="00B21F27">
        <w:trPr>
          <w:cnfStyle w:val="000000010000" w:firstRow="0" w:lastRow="0" w:firstColumn="0" w:lastColumn="0" w:oddVBand="0" w:evenVBand="0" w:oddHBand="0" w:evenHBand="1" w:firstRowFirstColumn="0" w:firstRowLastColumn="0" w:lastRowFirstColumn="0" w:lastRowLastColumn="0"/>
          <w:cantSplit/>
          <w:tblHeader w:val="0"/>
        </w:trPr>
        <w:tc>
          <w:tcPr>
            <w:tcW w:w="5638" w:type="dxa"/>
          </w:tcPr>
          <w:p w:rsidR="001401A3" w:rsidRPr="00B21F27" w:rsidRDefault="001401A3" w:rsidP="00B21F27">
            <w:pPr>
              <w:pStyle w:val="TableTextEntries"/>
            </w:pPr>
            <w:r w:rsidRPr="00B21F27">
              <w:t xml:space="preserve">Objective 1B: </w:t>
            </w:r>
            <w:r w:rsidRPr="00B21F27">
              <w:rPr>
                <w:rFonts w:eastAsia="Calibri"/>
              </w:rPr>
              <w:t>Increased food and livelihood security for the rural poor through social protection and landmine clearance</w:t>
            </w:r>
          </w:p>
        </w:tc>
        <w:tc>
          <w:tcPr>
            <w:tcW w:w="914" w:type="dxa"/>
            <w:vAlign w:val="bottom"/>
          </w:tcPr>
          <w:p w:rsidR="001401A3" w:rsidRPr="00B21F27" w:rsidRDefault="001401A3" w:rsidP="00B21F27">
            <w:pPr>
              <w:pStyle w:val="TableTextEntries"/>
            </w:pPr>
            <w:r w:rsidRPr="00B21F27">
              <w:t>2.05</w:t>
            </w:r>
          </w:p>
        </w:tc>
        <w:tc>
          <w:tcPr>
            <w:tcW w:w="1344" w:type="dxa"/>
            <w:vAlign w:val="bottom"/>
          </w:tcPr>
          <w:p w:rsidR="001401A3" w:rsidRPr="00B21F27" w:rsidRDefault="001401A3" w:rsidP="00B21F27">
            <w:pPr>
              <w:pStyle w:val="TableTextEntries"/>
            </w:pPr>
            <w:r w:rsidRPr="00B21F27">
              <w:t>4</w:t>
            </w:r>
          </w:p>
        </w:tc>
      </w:tr>
      <w:tr w:rsidR="001401A3" w:rsidRPr="00745FE3" w:rsidTr="00B21F27">
        <w:trPr>
          <w:cantSplit/>
          <w:tblHeader w:val="0"/>
        </w:trPr>
        <w:tc>
          <w:tcPr>
            <w:tcW w:w="5638" w:type="dxa"/>
          </w:tcPr>
          <w:p w:rsidR="001401A3" w:rsidRPr="00B21F27" w:rsidRDefault="001401A3" w:rsidP="00B21F27">
            <w:pPr>
              <w:pStyle w:val="TableTextEntries"/>
            </w:pPr>
            <w:r w:rsidRPr="00B21F27">
              <w:t>Objective 2:</w:t>
            </w:r>
            <w:r w:rsidR="00366A28">
              <w:t xml:space="preserve"> </w:t>
            </w:r>
            <w:r w:rsidRPr="00B21F27">
              <w:rPr>
                <w:rFonts w:eastAsia="Calibri"/>
              </w:rPr>
              <w:t>Increased access to quality health services through improved health management</w:t>
            </w:r>
          </w:p>
        </w:tc>
        <w:tc>
          <w:tcPr>
            <w:tcW w:w="914" w:type="dxa"/>
            <w:vAlign w:val="bottom"/>
          </w:tcPr>
          <w:p w:rsidR="001401A3" w:rsidRPr="00B21F27" w:rsidRDefault="001401A3" w:rsidP="00B21F27">
            <w:pPr>
              <w:pStyle w:val="TableTextEntries"/>
            </w:pPr>
            <w:r w:rsidRPr="00B21F27">
              <w:t>12.67</w:t>
            </w:r>
          </w:p>
        </w:tc>
        <w:tc>
          <w:tcPr>
            <w:tcW w:w="1344" w:type="dxa"/>
            <w:vAlign w:val="bottom"/>
          </w:tcPr>
          <w:p w:rsidR="001401A3" w:rsidRPr="00B21F27" w:rsidRDefault="001401A3" w:rsidP="00B21F27">
            <w:pPr>
              <w:pStyle w:val="TableTextEntries"/>
            </w:pPr>
            <w:r w:rsidRPr="00B21F27">
              <w:t>26</w:t>
            </w:r>
          </w:p>
        </w:tc>
      </w:tr>
      <w:tr w:rsidR="001401A3" w:rsidRPr="00745FE3" w:rsidTr="00B21F27">
        <w:trPr>
          <w:cnfStyle w:val="000000010000" w:firstRow="0" w:lastRow="0" w:firstColumn="0" w:lastColumn="0" w:oddVBand="0" w:evenVBand="0" w:oddHBand="0" w:evenHBand="1" w:firstRowFirstColumn="0" w:firstRowLastColumn="0" w:lastRowFirstColumn="0" w:lastRowLastColumn="0"/>
          <w:cantSplit/>
          <w:tblHeader w:val="0"/>
        </w:trPr>
        <w:tc>
          <w:tcPr>
            <w:tcW w:w="5638" w:type="dxa"/>
          </w:tcPr>
          <w:p w:rsidR="001401A3" w:rsidRPr="00B21F27" w:rsidRDefault="001401A3" w:rsidP="00B21F27">
            <w:pPr>
              <w:pStyle w:val="TableTextEntries"/>
            </w:pPr>
            <w:r w:rsidRPr="00B21F27">
              <w:t>Objective 3:</w:t>
            </w:r>
            <w:r w:rsidR="00366A28">
              <w:t xml:space="preserve"> </w:t>
            </w:r>
            <w:r w:rsidRPr="00B21F27">
              <w:rPr>
                <w:rFonts w:eastAsia="Calibri"/>
              </w:rPr>
              <w:t>Improved transport and energy infrastructure</w:t>
            </w:r>
          </w:p>
        </w:tc>
        <w:tc>
          <w:tcPr>
            <w:tcW w:w="914" w:type="dxa"/>
            <w:vAlign w:val="bottom"/>
          </w:tcPr>
          <w:p w:rsidR="001401A3" w:rsidRPr="00B21F27" w:rsidRDefault="001401A3" w:rsidP="00B21F27">
            <w:pPr>
              <w:pStyle w:val="TableTextEntries"/>
            </w:pPr>
            <w:r w:rsidRPr="00B21F27">
              <w:t>12.8</w:t>
            </w:r>
          </w:p>
        </w:tc>
        <w:tc>
          <w:tcPr>
            <w:tcW w:w="1344" w:type="dxa"/>
            <w:vAlign w:val="bottom"/>
          </w:tcPr>
          <w:p w:rsidR="001401A3" w:rsidRPr="00B21F27" w:rsidRDefault="001401A3" w:rsidP="00B21F27">
            <w:pPr>
              <w:pStyle w:val="TableTextEntries"/>
            </w:pPr>
            <w:r w:rsidRPr="00B21F27">
              <w:t>27</w:t>
            </w:r>
          </w:p>
        </w:tc>
      </w:tr>
      <w:tr w:rsidR="001401A3" w:rsidRPr="00745FE3" w:rsidTr="00B21F27">
        <w:trPr>
          <w:cantSplit/>
          <w:tblHeader w:val="0"/>
        </w:trPr>
        <w:tc>
          <w:tcPr>
            <w:tcW w:w="5638" w:type="dxa"/>
          </w:tcPr>
          <w:p w:rsidR="001401A3" w:rsidRPr="00B21F27" w:rsidRDefault="001401A3" w:rsidP="00B21F27">
            <w:pPr>
              <w:pStyle w:val="TableTextEntries"/>
            </w:pPr>
            <w:r w:rsidRPr="00B21F27">
              <w:t>Objective 4:</w:t>
            </w:r>
            <w:r w:rsidR="00366A28">
              <w:t xml:space="preserve"> </w:t>
            </w:r>
            <w:r w:rsidRPr="00B21F27">
              <w:rPr>
                <w:rFonts w:eastAsia="Calibri"/>
              </w:rPr>
              <w:t xml:space="preserve">Women, youth and children are safer and communities have less crime, </w:t>
            </w:r>
            <w:r w:rsidR="00F9111F" w:rsidRPr="00B21F27">
              <w:rPr>
                <w:rFonts w:eastAsia="Calibri"/>
              </w:rPr>
              <w:t xml:space="preserve">a </w:t>
            </w:r>
            <w:r w:rsidRPr="00B21F27">
              <w:rPr>
                <w:rFonts w:eastAsia="Calibri"/>
              </w:rPr>
              <w:t>more effective non-custodial sentencing system, strengthened evidence-based performance management</w:t>
            </w:r>
          </w:p>
        </w:tc>
        <w:tc>
          <w:tcPr>
            <w:tcW w:w="914" w:type="dxa"/>
            <w:vAlign w:val="bottom"/>
          </w:tcPr>
          <w:p w:rsidR="001401A3" w:rsidRPr="00B21F27" w:rsidRDefault="001401A3" w:rsidP="00B21F27">
            <w:pPr>
              <w:pStyle w:val="TableTextEntries"/>
            </w:pPr>
            <w:r w:rsidRPr="00B21F27">
              <w:t>5.97</w:t>
            </w:r>
          </w:p>
        </w:tc>
        <w:tc>
          <w:tcPr>
            <w:tcW w:w="1344" w:type="dxa"/>
            <w:vAlign w:val="bottom"/>
          </w:tcPr>
          <w:p w:rsidR="001401A3" w:rsidRPr="00B21F27" w:rsidRDefault="001401A3" w:rsidP="00B21F27">
            <w:pPr>
              <w:pStyle w:val="TableTextEntries"/>
            </w:pPr>
            <w:r w:rsidRPr="00B21F27">
              <w:t>12</w:t>
            </w:r>
          </w:p>
        </w:tc>
      </w:tr>
      <w:tr w:rsidR="001401A3" w:rsidRPr="00745FE3" w:rsidTr="00B21F27">
        <w:trPr>
          <w:cnfStyle w:val="000000010000" w:firstRow="0" w:lastRow="0" w:firstColumn="0" w:lastColumn="0" w:oddVBand="0" w:evenVBand="0" w:oddHBand="0" w:evenHBand="1" w:firstRowFirstColumn="0" w:firstRowLastColumn="0" w:lastRowFirstColumn="0" w:lastRowLastColumn="0"/>
          <w:cantSplit/>
          <w:tblHeader w:val="0"/>
        </w:trPr>
        <w:tc>
          <w:tcPr>
            <w:tcW w:w="5638" w:type="dxa"/>
          </w:tcPr>
          <w:p w:rsidR="001401A3" w:rsidRPr="00B21F27" w:rsidRDefault="001401A3" w:rsidP="00B21F27">
            <w:pPr>
              <w:pStyle w:val="TableTextEntries"/>
            </w:pPr>
            <w:r w:rsidRPr="00B21F27">
              <w:t>Other (cross-cutting themes)</w:t>
            </w:r>
          </w:p>
        </w:tc>
        <w:tc>
          <w:tcPr>
            <w:tcW w:w="914" w:type="dxa"/>
            <w:vAlign w:val="bottom"/>
          </w:tcPr>
          <w:p w:rsidR="001401A3" w:rsidRPr="00B21F27" w:rsidRDefault="001401A3" w:rsidP="00B21F27">
            <w:pPr>
              <w:pStyle w:val="TableTextEntries"/>
            </w:pPr>
            <w:r w:rsidRPr="00B21F27">
              <w:t>6.62</w:t>
            </w:r>
          </w:p>
        </w:tc>
        <w:tc>
          <w:tcPr>
            <w:tcW w:w="1344" w:type="dxa"/>
            <w:vAlign w:val="bottom"/>
          </w:tcPr>
          <w:p w:rsidR="001401A3" w:rsidRPr="00B21F27" w:rsidRDefault="001401A3" w:rsidP="00B21F27">
            <w:pPr>
              <w:pStyle w:val="TableTextEntries"/>
            </w:pPr>
            <w:r w:rsidRPr="00B21F27">
              <w:t>13</w:t>
            </w:r>
          </w:p>
        </w:tc>
      </w:tr>
      <w:tr w:rsidR="001401A3" w:rsidRPr="00745FE3" w:rsidTr="00B21F27">
        <w:trPr>
          <w:cantSplit/>
          <w:tblHeader w:val="0"/>
        </w:trPr>
        <w:tc>
          <w:tcPr>
            <w:tcW w:w="5638" w:type="dxa"/>
          </w:tcPr>
          <w:p w:rsidR="001401A3" w:rsidRPr="00B21F27" w:rsidRDefault="001401A3" w:rsidP="00B21F27">
            <w:pPr>
              <w:pStyle w:val="TableTextEntries"/>
              <w:tabs>
                <w:tab w:val="left" w:pos="1141"/>
              </w:tabs>
            </w:pPr>
            <w:r w:rsidRPr="00B21F27">
              <w:t>Total</w:t>
            </w:r>
            <w:r w:rsidR="00B21F27">
              <w:tab/>
            </w:r>
          </w:p>
        </w:tc>
        <w:tc>
          <w:tcPr>
            <w:tcW w:w="914" w:type="dxa"/>
            <w:vAlign w:val="bottom"/>
          </w:tcPr>
          <w:p w:rsidR="001401A3" w:rsidRPr="00B21F27" w:rsidRDefault="001401A3" w:rsidP="00B21F27">
            <w:pPr>
              <w:pStyle w:val="TableTextEntries"/>
            </w:pPr>
            <w:r w:rsidRPr="00B21F27">
              <w:t>49.14</w:t>
            </w:r>
          </w:p>
        </w:tc>
        <w:tc>
          <w:tcPr>
            <w:tcW w:w="1344" w:type="dxa"/>
          </w:tcPr>
          <w:p w:rsidR="001401A3" w:rsidRPr="00B21F27" w:rsidRDefault="001401A3" w:rsidP="00B21F27">
            <w:pPr>
              <w:pStyle w:val="TableTextEntries"/>
            </w:pPr>
            <w:r w:rsidRPr="00B21F27">
              <w:t>100</w:t>
            </w:r>
          </w:p>
        </w:tc>
      </w:tr>
    </w:tbl>
    <w:p w:rsidR="00952FDE" w:rsidRPr="00745FE3" w:rsidRDefault="00952FDE" w:rsidP="00B21F27">
      <w:pPr>
        <w:pStyle w:val="Note"/>
      </w:pPr>
      <w:r w:rsidRPr="00745FE3">
        <w:t xml:space="preserve">Source: </w:t>
      </w:r>
      <w:proofErr w:type="spellStart"/>
      <w:r w:rsidR="00D72336" w:rsidRPr="00745FE3">
        <w:t>Aid</w:t>
      </w:r>
      <w:r w:rsidR="00D72336">
        <w:t>w</w:t>
      </w:r>
      <w:r w:rsidR="00D72336" w:rsidRPr="00745FE3">
        <w:t>orks</w:t>
      </w:r>
      <w:proofErr w:type="spellEnd"/>
      <w:r w:rsidR="00D72336" w:rsidRPr="00745FE3">
        <w:t xml:space="preserve"> </w:t>
      </w:r>
      <w:r w:rsidRPr="00745FE3">
        <w:t>–internal financial monitoring system.</w:t>
      </w:r>
    </w:p>
    <w:p w:rsidR="00180B19" w:rsidRPr="00B21F27" w:rsidRDefault="00180B19" w:rsidP="00B21F27">
      <w:pPr>
        <w:pStyle w:val="Heading1"/>
      </w:pPr>
      <w:r w:rsidRPr="00B21F27">
        <w:t>Progress towards objectives</w:t>
      </w:r>
    </w:p>
    <w:p w:rsidR="0093065E" w:rsidRPr="00745FE3" w:rsidRDefault="0093065E">
      <w:pPr>
        <w:pStyle w:val="BodyText"/>
        <w:rPr>
          <w:szCs w:val="22"/>
        </w:rPr>
      </w:pPr>
      <w:r w:rsidRPr="00745FE3">
        <w:rPr>
          <w:szCs w:val="22"/>
        </w:rPr>
        <w:t>In 2012, progress in agriculture and rural development, health, and law and justice confirmed that country strategy objectives would be fully achieved by 2015</w:t>
      </w:r>
      <w:r w:rsidR="00D72336">
        <w:rPr>
          <w:szCs w:val="22"/>
        </w:rPr>
        <w:t>. T</w:t>
      </w:r>
      <w:r w:rsidRPr="00745FE3">
        <w:rPr>
          <w:szCs w:val="22"/>
        </w:rPr>
        <w:t xml:space="preserve">he fourth </w:t>
      </w:r>
      <w:r w:rsidR="00672677">
        <w:rPr>
          <w:szCs w:val="22"/>
        </w:rPr>
        <w:t>area––</w:t>
      </w:r>
      <w:r w:rsidRPr="00745FE3">
        <w:rPr>
          <w:szCs w:val="22"/>
        </w:rPr>
        <w:t>infrastructure</w:t>
      </w:r>
      <w:r w:rsidR="00672677">
        <w:rPr>
          <w:szCs w:val="22"/>
        </w:rPr>
        <w:t>––</w:t>
      </w:r>
      <w:r w:rsidRPr="00745FE3">
        <w:rPr>
          <w:szCs w:val="22"/>
        </w:rPr>
        <w:t>is expected to only partially meet the country strategy objective within the timeframe despite significant additional resources and proactive management over the past 12 months.</w:t>
      </w:r>
    </w:p>
    <w:p w:rsidR="00B21F27" w:rsidRDefault="000F50AE">
      <w:pPr>
        <w:pStyle w:val="BodyText"/>
        <w:rPr>
          <w:szCs w:val="22"/>
        </w:rPr>
      </w:pPr>
      <w:r w:rsidRPr="00745FE3">
        <w:rPr>
          <w:szCs w:val="22"/>
        </w:rPr>
        <w:t xml:space="preserve">The Cambodia program uses a </w:t>
      </w:r>
      <w:r w:rsidR="00D72336">
        <w:rPr>
          <w:szCs w:val="22"/>
        </w:rPr>
        <w:t>p</w:t>
      </w:r>
      <w:r w:rsidR="00D72336" w:rsidRPr="00745FE3">
        <w:rPr>
          <w:szCs w:val="22"/>
        </w:rPr>
        <w:t xml:space="preserve">erformance </w:t>
      </w:r>
      <w:r w:rsidR="00D72336">
        <w:rPr>
          <w:szCs w:val="22"/>
        </w:rPr>
        <w:t>a</w:t>
      </w:r>
      <w:r w:rsidR="00D72336" w:rsidRPr="00745FE3">
        <w:rPr>
          <w:szCs w:val="22"/>
        </w:rPr>
        <w:t xml:space="preserve">ssessment </w:t>
      </w:r>
      <w:r w:rsidR="00D72336">
        <w:rPr>
          <w:szCs w:val="22"/>
        </w:rPr>
        <w:t>f</w:t>
      </w:r>
      <w:r w:rsidR="00D72336" w:rsidRPr="00745FE3">
        <w:rPr>
          <w:szCs w:val="22"/>
        </w:rPr>
        <w:t xml:space="preserve">ramework </w:t>
      </w:r>
      <w:r w:rsidRPr="00745FE3">
        <w:rPr>
          <w:szCs w:val="22"/>
        </w:rPr>
        <w:t xml:space="preserve">that provides milestones against which performance is assessed each year. As well as promoting rigour in judging program implementation, the framework promotes strategic </w:t>
      </w:r>
      <w:r w:rsidR="00A25E03" w:rsidRPr="00745FE3">
        <w:rPr>
          <w:szCs w:val="22"/>
        </w:rPr>
        <w:t xml:space="preserve">alignment and </w:t>
      </w:r>
      <w:r w:rsidRPr="00745FE3">
        <w:rPr>
          <w:szCs w:val="22"/>
        </w:rPr>
        <w:t>focu</w:t>
      </w:r>
      <w:r w:rsidR="00A25E03" w:rsidRPr="00745FE3">
        <w:rPr>
          <w:szCs w:val="22"/>
        </w:rPr>
        <w:t>ses</w:t>
      </w:r>
      <w:r w:rsidR="00982937" w:rsidRPr="00745FE3">
        <w:rPr>
          <w:szCs w:val="22"/>
        </w:rPr>
        <w:t xml:space="preserve"> </w:t>
      </w:r>
      <w:r w:rsidRPr="00745FE3">
        <w:rPr>
          <w:szCs w:val="22"/>
        </w:rPr>
        <w:t xml:space="preserve">strategic dialogue with </w:t>
      </w:r>
      <w:r w:rsidR="00A25E03" w:rsidRPr="00745FE3">
        <w:rPr>
          <w:szCs w:val="22"/>
        </w:rPr>
        <w:t xml:space="preserve">government and </w:t>
      </w:r>
      <w:r w:rsidRPr="00745FE3">
        <w:rPr>
          <w:szCs w:val="22"/>
        </w:rPr>
        <w:t xml:space="preserve">aid program partners. The ratings presented in this section are a combination of progress against milestones in 2012 and future challenges and issues that could hinder progress. </w:t>
      </w:r>
    </w:p>
    <w:p w:rsidR="00BE65E4" w:rsidRPr="00745FE3" w:rsidRDefault="00BE65E4" w:rsidP="00866B6E">
      <w:pPr>
        <w:pStyle w:val="Caption"/>
      </w:pPr>
      <w:r w:rsidRPr="00745FE3">
        <w:t xml:space="preserve">Table </w:t>
      </w:r>
      <w:fldSimple w:instr=" SEQ Table \* ARABIC ">
        <w:r w:rsidR="00B84A7F">
          <w:rPr>
            <w:noProof/>
          </w:rPr>
          <w:t>2</w:t>
        </w:r>
      </w:fldSimple>
      <w:r w:rsidR="00D72336">
        <w:rPr>
          <w:noProof/>
        </w:rPr>
        <w:t>:</w:t>
      </w:r>
      <w:r w:rsidRPr="00745FE3">
        <w:t xml:space="preserve"> Rating of the program's progress towards the objectives</w:t>
      </w:r>
    </w:p>
    <w:tbl>
      <w:tblPr>
        <w:tblStyle w:val="APPR"/>
        <w:tblW w:w="5000" w:type="pct"/>
        <w:tblLook w:val="0000" w:firstRow="0" w:lastRow="0" w:firstColumn="0" w:lastColumn="0" w:noHBand="0" w:noVBand="0"/>
      </w:tblPr>
      <w:tblGrid>
        <w:gridCol w:w="6385"/>
        <w:gridCol w:w="1100"/>
        <w:gridCol w:w="1122"/>
      </w:tblGrid>
      <w:tr w:rsidR="00575C9E" w:rsidRPr="00745FE3" w:rsidTr="00B21F27">
        <w:trPr>
          <w:cantSplit/>
          <w:tblHeader w:val="0"/>
        </w:trPr>
        <w:tc>
          <w:tcPr>
            <w:tcW w:w="5999" w:type="dxa"/>
          </w:tcPr>
          <w:p w:rsidR="00575C9E" w:rsidRPr="00B21F27" w:rsidRDefault="00575C9E" w:rsidP="00B21F27">
            <w:pPr>
              <w:pStyle w:val="TableTextColumnHeading"/>
            </w:pPr>
            <w:r w:rsidRPr="00B21F27">
              <w:rPr>
                <w:noProof/>
                <w:lang w:eastAsia="en-AU"/>
              </w:rPr>
              <w:drawing>
                <wp:anchor distT="0" distB="0" distL="114300" distR="114300" simplePos="0" relativeHeight="251670528" behindDoc="0" locked="0" layoutInCell="1" allowOverlap="1" wp14:anchorId="6598CE4E" wp14:editId="322F71C9">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F27">
              <w:t>Objective</w:t>
            </w:r>
          </w:p>
        </w:tc>
        <w:tc>
          <w:tcPr>
            <w:tcW w:w="1014" w:type="dxa"/>
          </w:tcPr>
          <w:p w:rsidR="00575C9E" w:rsidRPr="00B21F27" w:rsidRDefault="00575C9E" w:rsidP="00B21F27">
            <w:pPr>
              <w:pStyle w:val="TableTextColumnHeading"/>
            </w:pPr>
            <w:r w:rsidRPr="00B21F27">
              <w:t xml:space="preserve">Current </w:t>
            </w:r>
            <w:r w:rsidR="00D72336" w:rsidRPr="00B21F27">
              <w:t>rating</w:t>
            </w:r>
          </w:p>
        </w:tc>
        <w:tc>
          <w:tcPr>
            <w:tcW w:w="1021" w:type="dxa"/>
          </w:tcPr>
          <w:p w:rsidR="00575C9E" w:rsidRPr="00B21F27" w:rsidRDefault="00575C9E" w:rsidP="00B21F27">
            <w:pPr>
              <w:pStyle w:val="TableTextColumnHeading"/>
            </w:pPr>
            <w:r w:rsidRPr="00B21F27">
              <w:t xml:space="preserve">Previous </w:t>
            </w:r>
            <w:r w:rsidR="00D72336" w:rsidRPr="00B21F27">
              <w:t>rating</w:t>
            </w:r>
          </w:p>
        </w:tc>
      </w:tr>
      <w:tr w:rsidR="00575C9E" w:rsidRPr="00745FE3" w:rsidTr="00B21F27">
        <w:trPr>
          <w:cnfStyle w:val="000000010000" w:firstRow="0" w:lastRow="0" w:firstColumn="0" w:lastColumn="0" w:oddVBand="0" w:evenVBand="0" w:oddHBand="0" w:evenHBand="1" w:firstRowFirstColumn="0" w:firstRowLastColumn="0" w:lastRowFirstColumn="0" w:lastRowLastColumn="0"/>
          <w:cantSplit/>
          <w:tblHeader w:val="0"/>
        </w:trPr>
        <w:tc>
          <w:tcPr>
            <w:tcW w:w="5999" w:type="dxa"/>
          </w:tcPr>
          <w:p w:rsidR="00575C9E" w:rsidRPr="00B21F27" w:rsidRDefault="00575C9E" w:rsidP="00B21F27">
            <w:pPr>
              <w:pStyle w:val="TableTextEntries"/>
            </w:pPr>
            <w:r w:rsidRPr="00B21F27">
              <w:t xml:space="preserve">Objective 1A: </w:t>
            </w:r>
            <w:r w:rsidRPr="00B21F27">
              <w:rPr>
                <w:rFonts w:eastAsia="Calibri"/>
              </w:rPr>
              <w:t>Increased value of agricultural production and smallholder income in targeted provinces</w:t>
            </w:r>
          </w:p>
        </w:tc>
        <w:tc>
          <w:tcPr>
            <w:tcW w:w="1014" w:type="dxa"/>
            <w:shd w:val="clear" w:color="auto" w:fill="92D050"/>
            <w:noWrap/>
          </w:tcPr>
          <w:p w:rsidR="00575C9E" w:rsidRPr="00B21F27" w:rsidRDefault="00575C9E" w:rsidP="00B21F27">
            <w:pPr>
              <w:pStyle w:val="TableTextEntries"/>
            </w:pPr>
            <w:r w:rsidRPr="00B21F27">
              <w:t>Green</w:t>
            </w:r>
          </w:p>
        </w:tc>
        <w:tc>
          <w:tcPr>
            <w:tcW w:w="1021" w:type="dxa"/>
            <w:shd w:val="clear" w:color="auto" w:fill="92D050"/>
            <w:noWrap/>
          </w:tcPr>
          <w:p w:rsidR="00575C9E" w:rsidRPr="00B21F27" w:rsidRDefault="00575C9E" w:rsidP="00B21F27">
            <w:pPr>
              <w:pStyle w:val="TableTextEntries"/>
            </w:pPr>
            <w:r w:rsidRPr="00B21F27">
              <w:t>Green</w:t>
            </w:r>
          </w:p>
        </w:tc>
      </w:tr>
      <w:tr w:rsidR="00575C9E" w:rsidRPr="00745FE3" w:rsidTr="00B21F27">
        <w:trPr>
          <w:cantSplit/>
          <w:tblHeader w:val="0"/>
        </w:trPr>
        <w:tc>
          <w:tcPr>
            <w:tcW w:w="5999" w:type="dxa"/>
          </w:tcPr>
          <w:p w:rsidR="00575C9E" w:rsidRPr="00B21F27" w:rsidRDefault="00575C9E" w:rsidP="00B21F27">
            <w:pPr>
              <w:pStyle w:val="TableTextEntries"/>
            </w:pPr>
            <w:r w:rsidRPr="00B21F27">
              <w:t xml:space="preserve">Objective 1B: </w:t>
            </w:r>
            <w:r w:rsidRPr="00B21F27">
              <w:rPr>
                <w:rFonts w:eastAsia="Calibri"/>
              </w:rPr>
              <w:t>Increased food and livelihood security for the rural poor through social protection and landmine clearance</w:t>
            </w:r>
          </w:p>
        </w:tc>
        <w:tc>
          <w:tcPr>
            <w:tcW w:w="1014" w:type="dxa"/>
            <w:tcBorders>
              <w:top w:val="nil"/>
              <w:bottom w:val="nil"/>
            </w:tcBorders>
            <w:shd w:val="clear" w:color="auto" w:fill="92D050"/>
            <w:noWrap/>
          </w:tcPr>
          <w:p w:rsidR="00575C9E" w:rsidRPr="00B21F27" w:rsidRDefault="00575C9E" w:rsidP="00B21F27">
            <w:pPr>
              <w:pStyle w:val="TableTextEntries"/>
            </w:pPr>
            <w:r w:rsidRPr="00B21F27">
              <w:t>Green</w:t>
            </w:r>
          </w:p>
        </w:tc>
        <w:tc>
          <w:tcPr>
            <w:tcW w:w="1021" w:type="dxa"/>
            <w:tcBorders>
              <w:top w:val="nil"/>
              <w:bottom w:val="nil"/>
            </w:tcBorders>
            <w:shd w:val="clear" w:color="auto" w:fill="92D050"/>
            <w:noWrap/>
          </w:tcPr>
          <w:p w:rsidR="00575C9E" w:rsidRPr="00B21F27" w:rsidRDefault="00575C9E" w:rsidP="00B21F27">
            <w:pPr>
              <w:pStyle w:val="TableTextEntries"/>
            </w:pPr>
            <w:r w:rsidRPr="00B21F27">
              <w:t>Green</w:t>
            </w:r>
          </w:p>
        </w:tc>
      </w:tr>
      <w:tr w:rsidR="00575C9E" w:rsidRPr="00745FE3" w:rsidTr="00B21F27">
        <w:trPr>
          <w:cnfStyle w:val="000000010000" w:firstRow="0" w:lastRow="0" w:firstColumn="0" w:lastColumn="0" w:oddVBand="0" w:evenVBand="0" w:oddHBand="0" w:evenHBand="1" w:firstRowFirstColumn="0" w:firstRowLastColumn="0" w:lastRowFirstColumn="0" w:lastRowLastColumn="0"/>
          <w:cantSplit/>
          <w:tblHeader w:val="0"/>
        </w:trPr>
        <w:tc>
          <w:tcPr>
            <w:tcW w:w="5999" w:type="dxa"/>
          </w:tcPr>
          <w:p w:rsidR="00575C9E" w:rsidRPr="00B21F27" w:rsidRDefault="00575C9E" w:rsidP="00B21F27">
            <w:pPr>
              <w:pStyle w:val="TableTextEntries"/>
            </w:pPr>
            <w:r w:rsidRPr="00B21F27">
              <w:t>Objective 2:</w:t>
            </w:r>
            <w:r w:rsidR="00366A28">
              <w:t xml:space="preserve"> </w:t>
            </w:r>
            <w:r w:rsidRPr="00B21F27">
              <w:rPr>
                <w:rFonts w:eastAsia="Calibri"/>
              </w:rPr>
              <w:t>Increased access to quality health services through improved health management</w:t>
            </w:r>
          </w:p>
        </w:tc>
        <w:tc>
          <w:tcPr>
            <w:tcW w:w="1014" w:type="dxa"/>
            <w:shd w:val="clear" w:color="auto" w:fill="92D050"/>
            <w:noWrap/>
          </w:tcPr>
          <w:p w:rsidR="00575C9E" w:rsidRPr="00B21F27" w:rsidRDefault="00575C9E" w:rsidP="00B21F27">
            <w:pPr>
              <w:pStyle w:val="TableTextEntries"/>
            </w:pPr>
            <w:r w:rsidRPr="00B21F27">
              <w:t>Green</w:t>
            </w:r>
          </w:p>
        </w:tc>
        <w:tc>
          <w:tcPr>
            <w:tcW w:w="1021" w:type="dxa"/>
            <w:shd w:val="clear" w:color="auto" w:fill="92D050"/>
            <w:noWrap/>
          </w:tcPr>
          <w:p w:rsidR="00575C9E" w:rsidRPr="00B21F27" w:rsidRDefault="00575C9E" w:rsidP="00B21F27">
            <w:pPr>
              <w:pStyle w:val="TableTextEntries"/>
            </w:pPr>
            <w:r w:rsidRPr="00B21F27">
              <w:t>Green</w:t>
            </w:r>
          </w:p>
        </w:tc>
      </w:tr>
      <w:tr w:rsidR="00575C9E" w:rsidRPr="00745FE3" w:rsidTr="00B21F27">
        <w:trPr>
          <w:cantSplit/>
          <w:tblHeader w:val="0"/>
        </w:trPr>
        <w:tc>
          <w:tcPr>
            <w:tcW w:w="5999" w:type="dxa"/>
          </w:tcPr>
          <w:p w:rsidR="00575C9E" w:rsidRPr="00B21F27" w:rsidRDefault="00575C9E" w:rsidP="00B21F27">
            <w:pPr>
              <w:pStyle w:val="TableTextEntries"/>
            </w:pPr>
            <w:r w:rsidRPr="00B21F27">
              <w:t>Objective 3:</w:t>
            </w:r>
            <w:r w:rsidR="00366A28">
              <w:t xml:space="preserve"> </w:t>
            </w:r>
            <w:r w:rsidRPr="00B21F27">
              <w:rPr>
                <w:rFonts w:eastAsia="Calibri"/>
              </w:rPr>
              <w:t>Improved transport and energy infrastructure</w:t>
            </w:r>
          </w:p>
        </w:tc>
        <w:tc>
          <w:tcPr>
            <w:tcW w:w="1014" w:type="dxa"/>
            <w:tcBorders>
              <w:top w:val="nil"/>
              <w:bottom w:val="nil"/>
            </w:tcBorders>
            <w:shd w:val="clear" w:color="auto" w:fill="F79646" w:themeFill="accent6"/>
            <w:noWrap/>
          </w:tcPr>
          <w:p w:rsidR="00575C9E" w:rsidRPr="00B21F27" w:rsidRDefault="002E30CB" w:rsidP="00B21F27">
            <w:pPr>
              <w:pStyle w:val="TableTextEntries"/>
            </w:pPr>
            <w:r w:rsidRPr="00B21F27">
              <w:t>Amber</w:t>
            </w:r>
          </w:p>
        </w:tc>
        <w:tc>
          <w:tcPr>
            <w:tcW w:w="1021" w:type="dxa"/>
            <w:tcBorders>
              <w:top w:val="nil"/>
              <w:bottom w:val="nil"/>
            </w:tcBorders>
            <w:shd w:val="clear" w:color="auto" w:fill="F79646" w:themeFill="accent6"/>
            <w:noWrap/>
          </w:tcPr>
          <w:p w:rsidR="00575C9E" w:rsidRPr="00B21F27" w:rsidRDefault="00575C9E" w:rsidP="00B21F27">
            <w:pPr>
              <w:pStyle w:val="TableTextEntries"/>
            </w:pPr>
            <w:r w:rsidRPr="00B21F27">
              <w:t>Amber</w:t>
            </w:r>
          </w:p>
        </w:tc>
      </w:tr>
      <w:tr w:rsidR="00575C9E" w:rsidRPr="00745FE3" w:rsidTr="00B21F27">
        <w:trPr>
          <w:cnfStyle w:val="000000010000" w:firstRow="0" w:lastRow="0" w:firstColumn="0" w:lastColumn="0" w:oddVBand="0" w:evenVBand="0" w:oddHBand="0" w:evenHBand="1" w:firstRowFirstColumn="0" w:firstRowLastColumn="0" w:lastRowFirstColumn="0" w:lastRowLastColumn="0"/>
          <w:cantSplit/>
          <w:tblHeader w:val="0"/>
        </w:trPr>
        <w:tc>
          <w:tcPr>
            <w:tcW w:w="5999" w:type="dxa"/>
          </w:tcPr>
          <w:p w:rsidR="00575C9E" w:rsidRPr="00B21F27" w:rsidRDefault="00575C9E" w:rsidP="00B21F27">
            <w:pPr>
              <w:pStyle w:val="TableTextEntries"/>
            </w:pPr>
            <w:r w:rsidRPr="00B21F27">
              <w:rPr>
                <w:rFonts w:eastAsia="Calibri"/>
              </w:rPr>
              <w:t>Objective 4:</w:t>
            </w:r>
            <w:r w:rsidR="00366A28">
              <w:rPr>
                <w:rFonts w:eastAsia="Calibri"/>
              </w:rPr>
              <w:t xml:space="preserve"> </w:t>
            </w:r>
            <w:r w:rsidR="00D55F1E" w:rsidRPr="00B21F27">
              <w:rPr>
                <w:rFonts w:eastAsia="Calibri"/>
              </w:rPr>
              <w:t>Women, youth and children are safer and communities have less crime</w:t>
            </w:r>
            <w:r w:rsidR="00D72336" w:rsidRPr="00B21F27">
              <w:rPr>
                <w:rFonts w:eastAsia="Calibri"/>
              </w:rPr>
              <w:t xml:space="preserve">, </w:t>
            </w:r>
            <w:r w:rsidR="00F9111F" w:rsidRPr="00B21F27">
              <w:rPr>
                <w:rFonts w:eastAsia="Calibri"/>
              </w:rPr>
              <w:t xml:space="preserve">a </w:t>
            </w:r>
            <w:r w:rsidR="00D55F1E" w:rsidRPr="00B21F27">
              <w:rPr>
                <w:rFonts w:eastAsia="Calibri"/>
              </w:rPr>
              <w:t>more effective non-custodial sentencing system</w:t>
            </w:r>
            <w:r w:rsidR="00D72336" w:rsidRPr="00B21F27">
              <w:rPr>
                <w:rFonts w:eastAsia="Calibri"/>
              </w:rPr>
              <w:t xml:space="preserve">, </w:t>
            </w:r>
            <w:r w:rsidR="00D55F1E" w:rsidRPr="00B21F27">
              <w:rPr>
                <w:rFonts w:eastAsia="Calibri"/>
              </w:rPr>
              <w:t>strengthened evidence-based performance management</w:t>
            </w:r>
          </w:p>
        </w:tc>
        <w:tc>
          <w:tcPr>
            <w:tcW w:w="1014" w:type="dxa"/>
            <w:shd w:val="clear" w:color="auto" w:fill="92D050"/>
            <w:noWrap/>
          </w:tcPr>
          <w:p w:rsidR="00575C9E" w:rsidRPr="00B21F27" w:rsidRDefault="00575C9E" w:rsidP="00B21F27">
            <w:pPr>
              <w:pStyle w:val="TableTextEntries"/>
            </w:pPr>
            <w:r w:rsidRPr="00B21F27">
              <w:t>Green</w:t>
            </w:r>
          </w:p>
        </w:tc>
        <w:tc>
          <w:tcPr>
            <w:tcW w:w="1021" w:type="dxa"/>
            <w:shd w:val="clear" w:color="auto" w:fill="92D050"/>
            <w:noWrap/>
          </w:tcPr>
          <w:p w:rsidR="00575C9E" w:rsidRPr="00B21F27" w:rsidRDefault="00575C9E" w:rsidP="00B21F27">
            <w:pPr>
              <w:pStyle w:val="TableTextEntries"/>
            </w:pPr>
            <w:r w:rsidRPr="00B21F27">
              <w:t>Green</w:t>
            </w:r>
          </w:p>
        </w:tc>
      </w:tr>
    </w:tbl>
    <w:p w:rsidR="00180B19" w:rsidRPr="00745FE3" w:rsidRDefault="00180B19" w:rsidP="00100AA2">
      <w:pPr>
        <w:pStyle w:val="Note"/>
      </w:pPr>
      <w:r w:rsidRPr="00745FE3">
        <w:lastRenderedPageBreak/>
        <w:t xml:space="preserve">Note: </w:t>
      </w:r>
    </w:p>
    <w:p w:rsidR="00180B19" w:rsidRPr="00745FE3" w:rsidRDefault="00180B19" w:rsidP="00100AA2">
      <w:pPr>
        <w:pStyle w:val="Note"/>
      </w:pPr>
      <w:r w:rsidRPr="00745FE3">
        <w:rPr>
          <w:color w:val="92D050"/>
        </w:rPr>
        <w:sym w:font="Webdings" w:char="F067"/>
      </w:r>
      <w:r w:rsidRPr="00745FE3">
        <w:t> </w:t>
      </w:r>
      <w:r w:rsidRPr="00745FE3">
        <w:t xml:space="preserve"> </w:t>
      </w:r>
      <w:proofErr w:type="gramStart"/>
      <w:r w:rsidR="00443639" w:rsidRPr="00745FE3">
        <w:t>Green.</w:t>
      </w:r>
      <w:proofErr w:type="gramEnd"/>
      <w:r w:rsidR="00443639" w:rsidRPr="00745FE3">
        <w:t xml:space="preserve"> </w:t>
      </w:r>
      <w:r w:rsidRPr="00745FE3">
        <w:t>Progress is as expected for this point in time and it is likely that the objective will be achieved. Standard program management practices are sufficient.</w:t>
      </w:r>
    </w:p>
    <w:p w:rsidR="00180B19" w:rsidRPr="00745FE3" w:rsidRDefault="00180B19" w:rsidP="00100AA2">
      <w:pPr>
        <w:pStyle w:val="Note"/>
      </w:pPr>
      <w:r w:rsidRPr="00745FE3">
        <w:rPr>
          <w:color w:val="F79646" w:themeColor="accent6"/>
        </w:rPr>
        <w:sym w:font="Webdings" w:char="F067"/>
      </w:r>
      <w:r w:rsidRPr="00745FE3">
        <w:t> </w:t>
      </w:r>
      <w:r w:rsidRPr="00745FE3">
        <w:t xml:space="preserve"> </w:t>
      </w:r>
      <w:r w:rsidR="00443639" w:rsidRPr="00745FE3">
        <w:t xml:space="preserve">Amber. </w:t>
      </w:r>
      <w:r w:rsidRPr="00745FE3">
        <w:t>Progress is somewhat less than expected for this point in time and restorative action will be necessary if the objective is to be achieved. Close performance monitoring is recommended.</w:t>
      </w:r>
    </w:p>
    <w:p w:rsidR="00180B19" w:rsidRPr="00745FE3" w:rsidRDefault="00180B19" w:rsidP="00020121">
      <w:pPr>
        <w:pStyle w:val="Note"/>
      </w:pPr>
      <w:r w:rsidRPr="00745FE3">
        <w:rPr>
          <w:color w:val="FF0000"/>
        </w:rPr>
        <w:sym w:font="Webdings" w:char="F067"/>
      </w:r>
      <w:r w:rsidRPr="00745FE3">
        <w:t> </w:t>
      </w:r>
      <w:r w:rsidRPr="00745FE3">
        <w:t xml:space="preserve"> </w:t>
      </w:r>
      <w:proofErr w:type="gramStart"/>
      <w:r w:rsidR="00443639" w:rsidRPr="00745FE3">
        <w:t>Red.</w:t>
      </w:r>
      <w:proofErr w:type="gramEnd"/>
      <w:r w:rsidR="00443639" w:rsidRPr="00745FE3">
        <w:t xml:space="preserve"> </w:t>
      </w:r>
      <w:r w:rsidRPr="00745FE3">
        <w:t xml:space="preserve">Progress is significantly less than expected for this point in time and the objective is not likely to be met given available resources and priorities. Recasting the objective may be required. </w:t>
      </w:r>
    </w:p>
    <w:p w:rsidR="00453805" w:rsidRPr="00BF2045" w:rsidRDefault="00453805" w:rsidP="00BF2045">
      <w:pPr>
        <w:pStyle w:val="Heading2"/>
      </w:pPr>
      <w:r w:rsidRPr="00BF2045">
        <w:t>Objective 1a: Increased value of agricultural production and smallholder income in targeted provinces</w:t>
      </w:r>
    </w:p>
    <w:p w:rsidR="00453805" w:rsidRPr="00661ADA" w:rsidRDefault="00453805" w:rsidP="00661ADA">
      <w:pPr>
        <w:pStyle w:val="BodyText"/>
        <w:rPr>
          <w:i/>
        </w:rPr>
      </w:pPr>
      <w:r w:rsidRPr="00661ADA">
        <w:rPr>
          <w:i/>
        </w:rPr>
        <w:t xml:space="preserve">Cambodia </w:t>
      </w:r>
      <w:r w:rsidR="00F9111F" w:rsidRPr="00661ADA">
        <w:rPr>
          <w:i/>
        </w:rPr>
        <w:t>d</w:t>
      </w:r>
      <w:r w:rsidRPr="00661ADA">
        <w:rPr>
          <w:i/>
        </w:rPr>
        <w:t xml:space="preserve">evelopment </w:t>
      </w:r>
      <w:r w:rsidR="00F9111F" w:rsidRPr="00661ADA">
        <w:rPr>
          <w:i/>
        </w:rPr>
        <w:t>g</w:t>
      </w:r>
      <w:r w:rsidRPr="00661ADA">
        <w:rPr>
          <w:i/>
        </w:rPr>
        <w:t>oal: Accelerated growth in the value of national agriculture production</w:t>
      </w:r>
    </w:p>
    <w:tbl>
      <w:tblPr>
        <w:tblStyle w:val="APPR"/>
        <w:tblW w:w="5000" w:type="pct"/>
        <w:tblLook w:val="01E0" w:firstRow="1" w:lastRow="1" w:firstColumn="1" w:lastColumn="1" w:noHBand="0" w:noVBand="0"/>
      </w:tblPr>
      <w:tblGrid>
        <w:gridCol w:w="6894"/>
        <w:gridCol w:w="1713"/>
      </w:tblGrid>
      <w:tr w:rsidR="00453805" w:rsidRPr="00745FE3" w:rsidTr="00BF2045">
        <w:trPr>
          <w:cnfStyle w:val="100000000000" w:firstRow="1" w:lastRow="0" w:firstColumn="0" w:lastColumn="0" w:oddVBand="0" w:evenVBand="0" w:oddHBand="0" w:evenHBand="0" w:firstRowFirstColumn="0" w:firstRowLastColumn="0" w:lastRowFirstColumn="0" w:lastRowLastColumn="0"/>
        </w:trPr>
        <w:tc>
          <w:tcPr>
            <w:tcW w:w="3973" w:type="pct"/>
          </w:tcPr>
          <w:p w:rsidR="00453805" w:rsidRPr="00BF2045" w:rsidRDefault="00453805" w:rsidP="00BF2045">
            <w:pPr>
              <w:pStyle w:val="TableTextColumnHeading"/>
              <w:rPr>
                <w:rFonts w:eastAsia="Calibri"/>
                <w:b/>
              </w:rPr>
            </w:pPr>
            <w:r w:rsidRPr="00BF2045">
              <w:rPr>
                <w:rFonts w:eastAsia="Calibri"/>
                <w:b/>
              </w:rPr>
              <w:t>Objective</w:t>
            </w:r>
          </w:p>
        </w:tc>
        <w:tc>
          <w:tcPr>
            <w:tcW w:w="968" w:type="pct"/>
          </w:tcPr>
          <w:p w:rsidR="00453805" w:rsidRPr="00BF2045" w:rsidRDefault="00453805" w:rsidP="00BF2045">
            <w:pPr>
              <w:pStyle w:val="TableTextColumnHeading"/>
              <w:rPr>
                <w:rFonts w:eastAsia="Calibri"/>
                <w:b/>
              </w:rPr>
            </w:pPr>
            <w:r w:rsidRPr="00BF2045">
              <w:rPr>
                <w:rFonts w:eastAsia="Calibri"/>
                <w:b/>
              </w:rPr>
              <w:t xml:space="preserve">Current rating </w:t>
            </w:r>
          </w:p>
        </w:tc>
      </w:tr>
      <w:tr w:rsidR="00453805" w:rsidRPr="00745FE3" w:rsidTr="00BF2045">
        <w:trPr>
          <w:cnfStyle w:val="100000000000" w:firstRow="1" w:lastRow="0" w:firstColumn="0" w:lastColumn="0" w:oddVBand="0" w:evenVBand="0" w:oddHBand="0" w:evenHBand="0" w:firstRowFirstColumn="0" w:firstRowLastColumn="0" w:lastRowFirstColumn="0" w:lastRowLastColumn="0"/>
        </w:trPr>
        <w:tc>
          <w:tcPr>
            <w:tcW w:w="3973" w:type="pct"/>
          </w:tcPr>
          <w:p w:rsidR="00453805" w:rsidRPr="00BF2045" w:rsidRDefault="00453805" w:rsidP="00BF2045">
            <w:pPr>
              <w:pStyle w:val="TableTextEntries"/>
              <w:rPr>
                <w:rFonts w:eastAsia="Calibri"/>
                <w:b w:val="0"/>
              </w:rPr>
            </w:pPr>
            <w:r w:rsidRPr="00BF2045">
              <w:rPr>
                <w:rFonts w:eastAsia="Calibri"/>
                <w:b w:val="0"/>
              </w:rPr>
              <w:t xml:space="preserve">Objective </w:t>
            </w:r>
            <w:r w:rsidRPr="00BF2045">
              <w:rPr>
                <w:b w:val="0"/>
              </w:rPr>
              <w:t>1a</w:t>
            </w:r>
            <w:r w:rsidRPr="00BF2045">
              <w:rPr>
                <w:rFonts w:eastAsia="Calibri"/>
                <w:b w:val="0"/>
              </w:rPr>
              <w:t xml:space="preserve"> Increased value of agricultural production and smallholder income in targeted provinces.</w:t>
            </w:r>
          </w:p>
        </w:tc>
        <w:tc>
          <w:tcPr>
            <w:tcW w:w="968" w:type="pct"/>
            <w:shd w:val="clear" w:color="auto" w:fill="92D050"/>
          </w:tcPr>
          <w:p w:rsidR="00453805" w:rsidRPr="00BF2045" w:rsidRDefault="008A45C9" w:rsidP="00BF2045">
            <w:pPr>
              <w:pStyle w:val="TableTextEntries"/>
              <w:rPr>
                <w:rFonts w:eastAsia="Calibri"/>
                <w:b w:val="0"/>
              </w:rPr>
            </w:pPr>
            <w:r>
              <w:rPr>
                <w:rFonts w:eastAsia="Calibri"/>
                <w:b w:val="0"/>
              </w:rPr>
              <w:t>G</w:t>
            </w:r>
            <w:r w:rsidR="00453805" w:rsidRPr="00BF2045">
              <w:rPr>
                <w:rFonts w:eastAsia="Calibri"/>
                <w:b w:val="0"/>
              </w:rPr>
              <w:t>ree</w:t>
            </w:r>
            <w:r w:rsidR="00BF2045">
              <w:rPr>
                <w:rFonts w:eastAsia="Calibri"/>
                <w:b w:val="0"/>
              </w:rPr>
              <w:t>n</w:t>
            </w:r>
          </w:p>
        </w:tc>
      </w:tr>
    </w:tbl>
    <w:p w:rsidR="00453805" w:rsidRPr="00BF2045" w:rsidRDefault="00453805" w:rsidP="00BF2045">
      <w:pPr>
        <w:pStyle w:val="Heading3"/>
      </w:pPr>
      <w:r w:rsidRPr="00BF2045">
        <w:t>Annual milestone targets 2012</w:t>
      </w:r>
      <w:r w:rsidR="00FB72CE" w:rsidRPr="00BF2045">
        <w:t xml:space="preserve"> </w:t>
      </w:r>
    </w:p>
    <w:p w:rsidR="00234875" w:rsidRPr="00745FE3" w:rsidRDefault="00234875" w:rsidP="00BF2045">
      <w:pPr>
        <w:pStyle w:val="ListBullet"/>
      </w:pPr>
      <w:r w:rsidRPr="00745FE3">
        <w:t>Partnerships with 15 companies and associations to improve the availability of quality inputs and information for farmers</w:t>
      </w:r>
      <w:r w:rsidR="00672677">
        <w:t>,</w:t>
      </w:r>
      <w:r w:rsidRPr="00745FE3">
        <w:t xml:space="preserve"> as well as access to processing and final markets (achieved – actual result was partnership</w:t>
      </w:r>
      <w:r w:rsidR="001557A2">
        <w:t>s</w:t>
      </w:r>
      <w:r w:rsidRPr="00745FE3">
        <w:t xml:space="preserve"> with 19 companies).</w:t>
      </w:r>
    </w:p>
    <w:p w:rsidR="00234875" w:rsidRPr="00745FE3" w:rsidRDefault="00B66660" w:rsidP="00BF2045">
      <w:pPr>
        <w:pStyle w:val="ListBullet"/>
      </w:pPr>
      <w:r>
        <w:t>Six</w:t>
      </w:r>
      <w:r w:rsidRPr="00745FE3">
        <w:t xml:space="preserve"> </w:t>
      </w:r>
      <w:r w:rsidR="00234875" w:rsidRPr="00745FE3">
        <w:t xml:space="preserve">irrigation infrastructure improvements completed, giving up to 8600 hectares of land access to irrigation and allowing up to 6600 farming households to grow additional crops during the dry season (achieved – actual result was 8392 </w:t>
      </w:r>
      <w:r w:rsidRPr="00745FE3">
        <w:t xml:space="preserve">hectares </w:t>
      </w:r>
      <w:r w:rsidR="00234875" w:rsidRPr="00745FE3">
        <w:t>and 7572 households).</w:t>
      </w:r>
    </w:p>
    <w:p w:rsidR="00234875" w:rsidRPr="00745FE3" w:rsidRDefault="00B66660" w:rsidP="00BF2045">
      <w:pPr>
        <w:pStyle w:val="ListBullet"/>
      </w:pPr>
      <w:r>
        <w:t xml:space="preserve">Train </w:t>
      </w:r>
      <w:r w:rsidR="00234875" w:rsidRPr="00745FE3">
        <w:t xml:space="preserve">6000 model farmer households and </w:t>
      </w:r>
      <w:r>
        <w:t xml:space="preserve">enable them to </w:t>
      </w:r>
      <w:r w:rsidR="00234875" w:rsidRPr="00745FE3">
        <w:t>shar</w:t>
      </w:r>
      <w:r>
        <w:t>e</w:t>
      </w:r>
      <w:r w:rsidR="00234875" w:rsidRPr="00745FE3">
        <w:t xml:space="preserve"> their knowledge with an estimated 60</w:t>
      </w:r>
      <w:r>
        <w:t xml:space="preserve"> </w:t>
      </w:r>
      <w:r w:rsidR="00234875" w:rsidRPr="00745FE3">
        <w:t xml:space="preserve">000 other farming households (achieved – actual result was 7180 households </w:t>
      </w:r>
      <w:r w:rsidRPr="00745FE3">
        <w:t>train</w:t>
      </w:r>
      <w:r>
        <w:t>ing</w:t>
      </w:r>
      <w:r w:rsidRPr="00745FE3">
        <w:t xml:space="preserve"> shared</w:t>
      </w:r>
      <w:r>
        <w:t xml:space="preserve"> </w:t>
      </w:r>
      <w:r w:rsidR="00710C05">
        <w:t>with</w:t>
      </w:r>
      <w:r w:rsidR="00710C05" w:rsidRPr="00745FE3">
        <w:t xml:space="preserve"> </w:t>
      </w:r>
      <w:r w:rsidR="00234875" w:rsidRPr="00745FE3">
        <w:t>approximately 71</w:t>
      </w:r>
      <w:r>
        <w:t xml:space="preserve"> </w:t>
      </w:r>
      <w:r w:rsidR="00234875" w:rsidRPr="00745FE3">
        <w:t>800).</w:t>
      </w:r>
    </w:p>
    <w:p w:rsidR="00234875" w:rsidRPr="00745FE3" w:rsidRDefault="00234875" w:rsidP="00BF2045">
      <w:pPr>
        <w:pStyle w:val="ListBullet"/>
      </w:pPr>
      <w:r w:rsidRPr="00745FE3">
        <w:t xml:space="preserve">Roadmap </w:t>
      </w:r>
      <w:r w:rsidR="00B66660">
        <w:t xml:space="preserve">produced </w:t>
      </w:r>
      <w:r w:rsidRPr="00745FE3">
        <w:t xml:space="preserve">for implementation of the </w:t>
      </w:r>
      <w:r w:rsidR="00B66660">
        <w:t>g</w:t>
      </w:r>
      <w:r w:rsidR="00B66660" w:rsidRPr="00745FE3">
        <w:t>overnment’s strategy for agriculture and w</w:t>
      </w:r>
      <w:r w:rsidRPr="00745FE3">
        <w:t xml:space="preserve">ater initiated (not achieved). </w:t>
      </w:r>
    </w:p>
    <w:p w:rsidR="00234875" w:rsidRPr="00745FE3" w:rsidRDefault="00234875" w:rsidP="00BF2045">
      <w:pPr>
        <w:pStyle w:val="BodyText"/>
        <w:rPr>
          <w:szCs w:val="22"/>
        </w:rPr>
      </w:pPr>
      <w:r w:rsidRPr="00745FE3">
        <w:t xml:space="preserve">Growth </w:t>
      </w:r>
      <w:r w:rsidR="00B66660">
        <w:t>in</w:t>
      </w:r>
      <w:r w:rsidR="00B66660" w:rsidRPr="00745FE3">
        <w:t xml:space="preserve"> </w:t>
      </w:r>
      <w:r w:rsidRPr="00745FE3">
        <w:t>the agriculture sector has been sustained and has become less volatile.</w:t>
      </w:r>
      <w:r w:rsidR="00CD6B2F">
        <w:t xml:space="preserve"> </w:t>
      </w:r>
      <w:r w:rsidRPr="00745FE3">
        <w:t>Annual growth in agriculture GDP was 4.6 per cent between 2001 and 201</w:t>
      </w:r>
      <w:r w:rsidRPr="002843D7">
        <w:t>1.</w:t>
      </w:r>
      <w:r w:rsidRPr="00745FE3">
        <w:t xml:space="preserve"> This growth was largely driven by the crop sub-sector</w:t>
      </w:r>
      <w:r w:rsidR="00B66660">
        <w:t>,</w:t>
      </w:r>
      <w:r w:rsidRPr="00745FE3">
        <w:t xml:space="preserve"> which grew at an annual rate of 6.7 per cent. Although rice continues to dominate the crop sector, the growth of several upland crops has also been significant</w:t>
      </w:r>
      <w:r w:rsidR="00B66660">
        <w:t>, including</w:t>
      </w:r>
      <w:r w:rsidRPr="00745FE3">
        <w:t xml:space="preserve"> maize, cassava and soybean. </w:t>
      </w:r>
      <w:r w:rsidR="00B66660" w:rsidRPr="00745FE3">
        <w:t>Large</w:t>
      </w:r>
      <w:r w:rsidR="00B66660">
        <w:t>-</w:t>
      </w:r>
      <w:r w:rsidRPr="00745FE3">
        <w:t>scale public and private investments in irrigation have paid off</w:t>
      </w:r>
      <w:r w:rsidRPr="00745FE3">
        <w:rPr>
          <w:rStyle w:val="FootnoteReference"/>
        </w:rPr>
        <w:footnoteReference w:id="22"/>
      </w:r>
      <w:r w:rsidRPr="00745FE3">
        <w:rPr>
          <w:sz w:val="16"/>
          <w:szCs w:val="16"/>
        </w:rPr>
        <w:t xml:space="preserve"> </w:t>
      </w:r>
      <w:r w:rsidRPr="00745FE3">
        <w:t xml:space="preserve">and changes in cropping patterns have increased the area of cultivation as well as yields. </w:t>
      </w:r>
      <w:r w:rsidRPr="00745FE3">
        <w:rPr>
          <w:szCs w:val="22"/>
        </w:rPr>
        <w:t>Investments to increase productivity in rice-based farming will continue to be important to consolidate these gains and promote resilience in agricultural markets.</w:t>
      </w:r>
    </w:p>
    <w:p w:rsidR="00234875" w:rsidRPr="00745FE3" w:rsidRDefault="00234875" w:rsidP="00BF2045">
      <w:pPr>
        <w:pStyle w:val="BodyText"/>
        <w:rPr>
          <w:szCs w:val="22"/>
        </w:rPr>
      </w:pPr>
      <w:r w:rsidRPr="00745FE3">
        <w:rPr>
          <w:szCs w:val="22"/>
        </w:rPr>
        <w:t>The highest per capita rates of poverty are located in areas where upland crops are predominantly grown. However, the largest number of poor and vulnerable people remain</w:t>
      </w:r>
      <w:r w:rsidR="005706EC">
        <w:rPr>
          <w:szCs w:val="22"/>
        </w:rPr>
        <w:t>s</w:t>
      </w:r>
      <w:r w:rsidRPr="00745FE3">
        <w:rPr>
          <w:szCs w:val="22"/>
        </w:rPr>
        <w:t xml:space="preserve"> in more densely populated rice growing areas of the Mekong and </w:t>
      </w:r>
      <w:proofErr w:type="spellStart"/>
      <w:r w:rsidRPr="00745FE3">
        <w:rPr>
          <w:szCs w:val="22"/>
        </w:rPr>
        <w:t>Tonle</w:t>
      </w:r>
      <w:proofErr w:type="spellEnd"/>
      <w:r w:rsidRPr="00745FE3">
        <w:rPr>
          <w:szCs w:val="22"/>
        </w:rPr>
        <w:t xml:space="preserve"> Sap water basins. </w:t>
      </w:r>
    </w:p>
    <w:p w:rsidR="00234875" w:rsidRPr="00745FE3" w:rsidRDefault="00234875" w:rsidP="00BF2045">
      <w:pPr>
        <w:pStyle w:val="BodyText"/>
        <w:rPr>
          <w:szCs w:val="22"/>
        </w:rPr>
      </w:pPr>
      <w:r w:rsidRPr="00745FE3">
        <w:rPr>
          <w:szCs w:val="22"/>
        </w:rPr>
        <w:t>The Cambodia Agricultural Value Chain program is Australia’s flagship investment in agriculture. Its goal is to increase the value of agricultural production and smallholder income in rice</w:t>
      </w:r>
      <w:r w:rsidR="00F9111F">
        <w:rPr>
          <w:szCs w:val="22"/>
        </w:rPr>
        <w:t>-</w:t>
      </w:r>
      <w:r w:rsidRPr="00745FE3">
        <w:rPr>
          <w:szCs w:val="22"/>
        </w:rPr>
        <w:t>based farming systems in three provinces</w:t>
      </w:r>
      <w:r w:rsidR="00B66660">
        <w:rPr>
          <w:szCs w:val="22"/>
        </w:rPr>
        <w:t>––</w:t>
      </w:r>
      <w:r w:rsidRPr="00745FE3">
        <w:rPr>
          <w:szCs w:val="22"/>
        </w:rPr>
        <w:t xml:space="preserve">Kampong Thom, </w:t>
      </w:r>
      <w:proofErr w:type="spellStart"/>
      <w:r w:rsidRPr="00745FE3">
        <w:rPr>
          <w:szCs w:val="22"/>
        </w:rPr>
        <w:t>Kampot</w:t>
      </w:r>
      <w:proofErr w:type="spellEnd"/>
      <w:r w:rsidRPr="00745FE3">
        <w:rPr>
          <w:szCs w:val="22"/>
        </w:rPr>
        <w:t xml:space="preserve">, and Takeo. In 2012, </w:t>
      </w:r>
      <w:r w:rsidR="00B66660">
        <w:rPr>
          <w:szCs w:val="22"/>
        </w:rPr>
        <w:t>program</w:t>
      </w:r>
      <w:r w:rsidR="00B66660" w:rsidRPr="00745FE3">
        <w:rPr>
          <w:szCs w:val="22"/>
        </w:rPr>
        <w:t xml:space="preserve"> </w:t>
      </w:r>
      <w:r w:rsidRPr="00745FE3">
        <w:rPr>
          <w:szCs w:val="22"/>
        </w:rPr>
        <w:t>investments focused on irrigation and water management</w:t>
      </w:r>
      <w:r w:rsidR="00B66660">
        <w:rPr>
          <w:szCs w:val="22"/>
        </w:rPr>
        <w:t>,</w:t>
      </w:r>
      <w:r w:rsidR="00B66660" w:rsidRPr="00745FE3">
        <w:rPr>
          <w:szCs w:val="22"/>
        </w:rPr>
        <w:t xml:space="preserve"> </w:t>
      </w:r>
      <w:r w:rsidRPr="00745FE3">
        <w:rPr>
          <w:szCs w:val="22"/>
        </w:rPr>
        <w:t xml:space="preserve">agribusiness development and extension, and strengthening the business enabling environment. An </w:t>
      </w:r>
      <w:r w:rsidR="00B66660" w:rsidRPr="00745FE3">
        <w:rPr>
          <w:szCs w:val="22"/>
        </w:rPr>
        <w:t xml:space="preserve">independent mid-term </w:t>
      </w:r>
      <w:r w:rsidRPr="00745FE3">
        <w:rPr>
          <w:szCs w:val="22"/>
        </w:rPr>
        <w:t xml:space="preserve">review in early 2012 found that </w:t>
      </w:r>
      <w:r w:rsidR="00B66660">
        <w:rPr>
          <w:szCs w:val="22"/>
        </w:rPr>
        <w:t xml:space="preserve">the program </w:t>
      </w:r>
      <w:r w:rsidRPr="00745FE3">
        <w:rPr>
          <w:szCs w:val="22"/>
        </w:rPr>
        <w:t xml:space="preserve">is on track to meet or </w:t>
      </w:r>
      <w:r w:rsidRPr="00745FE3">
        <w:rPr>
          <w:szCs w:val="22"/>
        </w:rPr>
        <w:lastRenderedPageBreak/>
        <w:t>possibly exceed its targets and recommended a</w:t>
      </w:r>
      <w:r w:rsidR="00B66660">
        <w:rPr>
          <w:szCs w:val="22"/>
        </w:rPr>
        <w:t>n</w:t>
      </w:r>
      <w:r w:rsidRPr="00745FE3">
        <w:rPr>
          <w:szCs w:val="22"/>
        </w:rPr>
        <w:t xml:space="preserve"> extension of 18</w:t>
      </w:r>
      <w:r w:rsidR="00B66660">
        <w:rPr>
          <w:szCs w:val="22"/>
        </w:rPr>
        <w:t xml:space="preserve"> </w:t>
      </w:r>
      <w:r w:rsidRPr="00745FE3">
        <w:rPr>
          <w:szCs w:val="22"/>
        </w:rPr>
        <w:t>months, which has since been approved.</w:t>
      </w:r>
    </w:p>
    <w:p w:rsidR="00234875" w:rsidRPr="00745FE3" w:rsidRDefault="00B66660" w:rsidP="00BF2045">
      <w:pPr>
        <w:pStyle w:val="BodyText"/>
        <w:rPr>
          <w:szCs w:val="22"/>
        </w:rPr>
      </w:pPr>
      <w:r w:rsidRPr="00745FE3">
        <w:rPr>
          <w:szCs w:val="22"/>
        </w:rPr>
        <w:t xml:space="preserve">The Cambodia Agricultural Value Chain program </w:t>
      </w:r>
      <w:r w:rsidR="00234875" w:rsidRPr="00745FE3">
        <w:rPr>
          <w:szCs w:val="22"/>
        </w:rPr>
        <w:t>has been working to improve the availability of quality agricultural inputs and knowledge provided to farmers by strengthening agribusinesses, farmer associations, media companies and call centres.</w:t>
      </w:r>
      <w:r w:rsidR="00CD6B2F">
        <w:rPr>
          <w:szCs w:val="22"/>
        </w:rPr>
        <w:t xml:space="preserve"> </w:t>
      </w:r>
      <w:r w:rsidR="00234875" w:rsidRPr="00745FE3">
        <w:rPr>
          <w:szCs w:val="22"/>
        </w:rPr>
        <w:t xml:space="preserve">In 2012, </w:t>
      </w:r>
      <w:r>
        <w:rPr>
          <w:szCs w:val="22"/>
        </w:rPr>
        <w:t>seven</w:t>
      </w:r>
      <w:r w:rsidRPr="00745FE3">
        <w:rPr>
          <w:szCs w:val="22"/>
        </w:rPr>
        <w:t xml:space="preserve"> </w:t>
      </w:r>
      <w:r w:rsidR="00234875" w:rsidRPr="00745FE3">
        <w:rPr>
          <w:szCs w:val="22"/>
        </w:rPr>
        <w:t>agribusiness interventions with 19 partners</w:t>
      </w:r>
      <w:r>
        <w:rPr>
          <w:szCs w:val="22"/>
        </w:rPr>
        <w:t>––</w:t>
      </w:r>
      <w:r w:rsidR="00234875" w:rsidRPr="00745FE3">
        <w:rPr>
          <w:szCs w:val="22"/>
        </w:rPr>
        <w:t>including companies supplying rice and vegetable seeds, fertilisers</w:t>
      </w:r>
      <w:r>
        <w:rPr>
          <w:szCs w:val="22"/>
        </w:rPr>
        <w:t xml:space="preserve"> and</w:t>
      </w:r>
      <w:r w:rsidRPr="00745FE3">
        <w:rPr>
          <w:szCs w:val="22"/>
        </w:rPr>
        <w:t xml:space="preserve"> pesticides</w:t>
      </w:r>
      <w:r>
        <w:rPr>
          <w:szCs w:val="22"/>
        </w:rPr>
        <w:t>––</w:t>
      </w:r>
      <w:r w:rsidR="00234875" w:rsidRPr="00745FE3">
        <w:rPr>
          <w:szCs w:val="22"/>
        </w:rPr>
        <w:t xml:space="preserve">as well as a rice export association have been supported. </w:t>
      </w:r>
    </w:p>
    <w:p w:rsidR="00234875" w:rsidRPr="00745FE3" w:rsidRDefault="00234875" w:rsidP="00BF2045">
      <w:pPr>
        <w:pStyle w:val="BodyText"/>
        <w:rPr>
          <w:szCs w:val="22"/>
        </w:rPr>
      </w:pPr>
      <w:r w:rsidRPr="00745FE3">
        <w:rPr>
          <w:szCs w:val="22"/>
        </w:rPr>
        <w:t xml:space="preserve">In 2012, </w:t>
      </w:r>
      <w:r w:rsidR="00B66660">
        <w:rPr>
          <w:szCs w:val="22"/>
        </w:rPr>
        <w:t>the program</w:t>
      </w:r>
      <w:r w:rsidR="00B66660" w:rsidRPr="00745FE3">
        <w:rPr>
          <w:szCs w:val="22"/>
        </w:rPr>
        <w:t xml:space="preserve"> </w:t>
      </w:r>
      <w:r w:rsidRPr="00745FE3">
        <w:rPr>
          <w:szCs w:val="22"/>
        </w:rPr>
        <w:t xml:space="preserve">rehabilitated six irrigation schemes, allowing an </w:t>
      </w:r>
      <w:r w:rsidR="00B66660" w:rsidRPr="00745FE3">
        <w:rPr>
          <w:szCs w:val="22"/>
        </w:rPr>
        <w:t xml:space="preserve">additional </w:t>
      </w:r>
      <w:r w:rsidRPr="00745FE3">
        <w:rPr>
          <w:szCs w:val="22"/>
        </w:rPr>
        <w:t xml:space="preserve">estimated 8400 hectares of land to be irrigated, </w:t>
      </w:r>
      <w:r w:rsidR="00B66660">
        <w:rPr>
          <w:szCs w:val="22"/>
        </w:rPr>
        <w:t>and</w:t>
      </w:r>
      <w:r w:rsidR="00B66660" w:rsidRPr="00745FE3">
        <w:rPr>
          <w:szCs w:val="22"/>
        </w:rPr>
        <w:t xml:space="preserve"> </w:t>
      </w:r>
      <w:r w:rsidRPr="00745FE3">
        <w:rPr>
          <w:szCs w:val="22"/>
        </w:rPr>
        <w:t xml:space="preserve">7600 families to grow </w:t>
      </w:r>
      <w:r w:rsidR="00B66660">
        <w:rPr>
          <w:szCs w:val="22"/>
        </w:rPr>
        <w:t>extra</w:t>
      </w:r>
      <w:r w:rsidR="00B66660" w:rsidRPr="00745FE3">
        <w:rPr>
          <w:szCs w:val="22"/>
        </w:rPr>
        <w:t xml:space="preserve"> </w:t>
      </w:r>
      <w:r w:rsidRPr="00745FE3">
        <w:rPr>
          <w:szCs w:val="22"/>
        </w:rPr>
        <w:t xml:space="preserve">crops during the dry season. </w:t>
      </w:r>
      <w:r w:rsidR="00B66660">
        <w:rPr>
          <w:szCs w:val="22"/>
        </w:rPr>
        <w:t>The program</w:t>
      </w:r>
      <w:r w:rsidR="00B66660" w:rsidRPr="00745FE3">
        <w:rPr>
          <w:szCs w:val="22"/>
        </w:rPr>
        <w:t xml:space="preserve"> </w:t>
      </w:r>
      <w:r w:rsidRPr="00745FE3">
        <w:rPr>
          <w:szCs w:val="22"/>
        </w:rPr>
        <w:t>has paid close attention to the sustainability of schemes as timely and ongoing maintenance will increase the return on investments.</w:t>
      </w:r>
      <w:r w:rsidR="00CD6B2F">
        <w:rPr>
          <w:szCs w:val="22"/>
        </w:rPr>
        <w:t xml:space="preserve"> </w:t>
      </w:r>
      <w:proofErr w:type="gramStart"/>
      <w:r w:rsidR="00B66660">
        <w:rPr>
          <w:szCs w:val="22"/>
        </w:rPr>
        <w:t>It</w:t>
      </w:r>
      <w:r w:rsidR="00B66660" w:rsidRPr="00745FE3">
        <w:rPr>
          <w:szCs w:val="22"/>
        </w:rPr>
        <w:t xml:space="preserve"> </w:t>
      </w:r>
      <w:r w:rsidRPr="00745FE3">
        <w:rPr>
          <w:szCs w:val="22"/>
        </w:rPr>
        <w:t>has constructed or rehabilitated 15 irrigation schemes covering about 25</w:t>
      </w:r>
      <w:r w:rsidR="00B66660">
        <w:rPr>
          <w:szCs w:val="22"/>
        </w:rPr>
        <w:t xml:space="preserve"> </w:t>
      </w:r>
      <w:r w:rsidRPr="00745FE3">
        <w:rPr>
          <w:szCs w:val="22"/>
        </w:rPr>
        <w:t>000 hectares over the past three years.</w:t>
      </w:r>
      <w:proofErr w:type="gramEnd"/>
      <w:r w:rsidRPr="00745FE3">
        <w:rPr>
          <w:szCs w:val="22"/>
        </w:rPr>
        <w:t xml:space="preserve"> </w:t>
      </w:r>
    </w:p>
    <w:p w:rsidR="00234875" w:rsidRPr="00745FE3" w:rsidRDefault="00234875" w:rsidP="00BF2045">
      <w:pPr>
        <w:pStyle w:val="BodyText"/>
        <w:rPr>
          <w:szCs w:val="22"/>
        </w:rPr>
      </w:pPr>
      <w:r w:rsidRPr="00745FE3">
        <w:rPr>
          <w:szCs w:val="22"/>
        </w:rPr>
        <w:t xml:space="preserve">In 2012, </w:t>
      </w:r>
      <w:r w:rsidR="00B66660">
        <w:rPr>
          <w:szCs w:val="22"/>
        </w:rPr>
        <w:t>t</w:t>
      </w:r>
      <w:r w:rsidR="00B66660" w:rsidRPr="00745FE3">
        <w:rPr>
          <w:szCs w:val="22"/>
        </w:rPr>
        <w:t xml:space="preserve">he Cambodia Agricultural Value Chain program </w:t>
      </w:r>
      <w:r w:rsidRPr="00745FE3">
        <w:rPr>
          <w:szCs w:val="22"/>
        </w:rPr>
        <w:t xml:space="preserve">successfully initiated public private dialogues in the </w:t>
      </w:r>
      <w:r w:rsidR="00B66660">
        <w:rPr>
          <w:szCs w:val="22"/>
        </w:rPr>
        <w:t>three</w:t>
      </w:r>
      <w:r w:rsidR="00B66660" w:rsidRPr="00745FE3">
        <w:rPr>
          <w:szCs w:val="22"/>
        </w:rPr>
        <w:t xml:space="preserve"> </w:t>
      </w:r>
      <w:r w:rsidRPr="00745FE3">
        <w:rPr>
          <w:szCs w:val="22"/>
        </w:rPr>
        <w:t>target provinces. These each involved 90 to 160 participants and provide</w:t>
      </w:r>
      <w:r w:rsidR="00672677">
        <w:rPr>
          <w:szCs w:val="22"/>
        </w:rPr>
        <w:t>d</w:t>
      </w:r>
      <w:r w:rsidRPr="00745FE3">
        <w:rPr>
          <w:szCs w:val="22"/>
        </w:rPr>
        <w:t xml:space="preserve"> an opportunity for the public sector to present national strategies for improved agricultural production and trade, with a special focus on rice, and receive feedback from the other sectors. </w:t>
      </w:r>
    </w:p>
    <w:p w:rsidR="00234875" w:rsidRPr="00745FE3" w:rsidRDefault="00B66660" w:rsidP="00BF2045">
      <w:pPr>
        <w:pStyle w:val="BodyText"/>
        <w:rPr>
          <w:szCs w:val="22"/>
        </w:rPr>
      </w:pPr>
      <w:r>
        <w:rPr>
          <w:szCs w:val="22"/>
        </w:rPr>
        <w:t>By</w:t>
      </w:r>
      <w:r w:rsidRPr="00745FE3">
        <w:rPr>
          <w:szCs w:val="22"/>
        </w:rPr>
        <w:t xml:space="preserve"> </w:t>
      </w:r>
      <w:r w:rsidR="00234875" w:rsidRPr="00745FE3">
        <w:rPr>
          <w:szCs w:val="22"/>
        </w:rPr>
        <w:t>partner</w:t>
      </w:r>
      <w:r>
        <w:rPr>
          <w:szCs w:val="22"/>
        </w:rPr>
        <w:t xml:space="preserve">ing </w:t>
      </w:r>
      <w:r w:rsidR="00234875" w:rsidRPr="00745FE3">
        <w:rPr>
          <w:szCs w:val="22"/>
        </w:rPr>
        <w:t xml:space="preserve">with </w:t>
      </w:r>
      <w:r w:rsidRPr="00745FE3">
        <w:rPr>
          <w:szCs w:val="22"/>
        </w:rPr>
        <w:t>provincial departments of agriculture</w:t>
      </w:r>
      <w:r w:rsidR="00234875" w:rsidRPr="00745FE3">
        <w:rPr>
          <w:szCs w:val="22"/>
        </w:rPr>
        <w:t xml:space="preserve">, </w:t>
      </w:r>
      <w:r>
        <w:rPr>
          <w:szCs w:val="22"/>
        </w:rPr>
        <w:t>the program</w:t>
      </w:r>
      <w:r w:rsidRPr="00745FE3">
        <w:rPr>
          <w:szCs w:val="22"/>
        </w:rPr>
        <w:t xml:space="preserve"> </w:t>
      </w:r>
      <w:r w:rsidR="00234875" w:rsidRPr="00745FE3">
        <w:rPr>
          <w:szCs w:val="22"/>
        </w:rPr>
        <w:t xml:space="preserve">expanded </w:t>
      </w:r>
      <w:r w:rsidRPr="00745FE3">
        <w:rPr>
          <w:szCs w:val="22"/>
        </w:rPr>
        <w:t>short</w:t>
      </w:r>
      <w:r>
        <w:rPr>
          <w:szCs w:val="22"/>
        </w:rPr>
        <w:t>-term</w:t>
      </w:r>
      <w:r w:rsidRPr="00745FE3">
        <w:rPr>
          <w:szCs w:val="22"/>
        </w:rPr>
        <w:t xml:space="preserve"> and targeted </w:t>
      </w:r>
      <w:r w:rsidR="00234875" w:rsidRPr="00745FE3">
        <w:rPr>
          <w:szCs w:val="22"/>
        </w:rPr>
        <w:t xml:space="preserve">training to model farmers, involving entire families. Support was provided to conduct 203 rice and </w:t>
      </w:r>
      <w:r>
        <w:rPr>
          <w:szCs w:val="22"/>
        </w:rPr>
        <w:t>seven</w:t>
      </w:r>
      <w:r w:rsidRPr="00745FE3">
        <w:rPr>
          <w:szCs w:val="22"/>
        </w:rPr>
        <w:t xml:space="preserve"> </w:t>
      </w:r>
      <w:r w:rsidR="00234875" w:rsidRPr="00745FE3">
        <w:rPr>
          <w:szCs w:val="22"/>
        </w:rPr>
        <w:t xml:space="preserve">home vegetable garden demonstrations, </w:t>
      </w:r>
      <w:r>
        <w:rPr>
          <w:szCs w:val="22"/>
        </w:rPr>
        <w:t>three</w:t>
      </w:r>
      <w:r w:rsidRPr="00745FE3">
        <w:rPr>
          <w:szCs w:val="22"/>
        </w:rPr>
        <w:t xml:space="preserve"> </w:t>
      </w:r>
      <w:r w:rsidR="00234875" w:rsidRPr="00745FE3">
        <w:rPr>
          <w:szCs w:val="22"/>
        </w:rPr>
        <w:t xml:space="preserve">study tours to </w:t>
      </w:r>
      <w:r>
        <w:rPr>
          <w:szCs w:val="22"/>
        </w:rPr>
        <w:t>three</w:t>
      </w:r>
      <w:r w:rsidRPr="00745FE3">
        <w:rPr>
          <w:szCs w:val="22"/>
        </w:rPr>
        <w:t xml:space="preserve"> </w:t>
      </w:r>
      <w:r w:rsidR="00234875" w:rsidRPr="00745FE3">
        <w:rPr>
          <w:szCs w:val="22"/>
        </w:rPr>
        <w:t>countries in the region, 35 rice post-harvest management training</w:t>
      </w:r>
      <w:r>
        <w:rPr>
          <w:szCs w:val="22"/>
        </w:rPr>
        <w:t xml:space="preserve"> </w:t>
      </w:r>
      <w:r w:rsidR="00234875" w:rsidRPr="00745FE3">
        <w:rPr>
          <w:szCs w:val="22"/>
        </w:rPr>
        <w:t>s</w:t>
      </w:r>
      <w:r>
        <w:rPr>
          <w:szCs w:val="22"/>
        </w:rPr>
        <w:t>essions,</w:t>
      </w:r>
      <w:r w:rsidR="00234875" w:rsidRPr="00745FE3">
        <w:rPr>
          <w:szCs w:val="22"/>
        </w:rPr>
        <w:t xml:space="preserve"> and </w:t>
      </w:r>
      <w:r>
        <w:rPr>
          <w:szCs w:val="22"/>
        </w:rPr>
        <w:t xml:space="preserve">to </w:t>
      </w:r>
      <w:r w:rsidR="00234875" w:rsidRPr="00745FE3">
        <w:rPr>
          <w:szCs w:val="22"/>
        </w:rPr>
        <w:t>establish</w:t>
      </w:r>
      <w:r>
        <w:rPr>
          <w:szCs w:val="22"/>
        </w:rPr>
        <w:t xml:space="preserve"> </w:t>
      </w:r>
      <w:r w:rsidR="00234875" w:rsidRPr="00745FE3">
        <w:rPr>
          <w:szCs w:val="22"/>
        </w:rPr>
        <w:t xml:space="preserve">14 </w:t>
      </w:r>
      <w:r>
        <w:rPr>
          <w:szCs w:val="22"/>
        </w:rPr>
        <w:t>f</w:t>
      </w:r>
      <w:r w:rsidRPr="00745FE3">
        <w:rPr>
          <w:szCs w:val="22"/>
        </w:rPr>
        <w:t xml:space="preserve">armer </w:t>
      </w:r>
      <w:r>
        <w:rPr>
          <w:szCs w:val="22"/>
        </w:rPr>
        <w:t>c</w:t>
      </w:r>
      <w:r w:rsidRPr="00745FE3">
        <w:rPr>
          <w:szCs w:val="22"/>
        </w:rPr>
        <w:t>ooperatives</w:t>
      </w:r>
      <w:r w:rsidR="00234875" w:rsidRPr="00745FE3">
        <w:rPr>
          <w:szCs w:val="22"/>
        </w:rPr>
        <w:t>.</w:t>
      </w:r>
      <w:r w:rsidR="00CD6B2F">
        <w:rPr>
          <w:szCs w:val="22"/>
        </w:rPr>
        <w:t xml:space="preserve"> </w:t>
      </w:r>
      <w:r w:rsidR="00234875" w:rsidRPr="00745FE3">
        <w:rPr>
          <w:szCs w:val="22"/>
        </w:rPr>
        <w:t xml:space="preserve">Linkage events were </w:t>
      </w:r>
      <w:r>
        <w:rPr>
          <w:szCs w:val="22"/>
        </w:rPr>
        <w:t xml:space="preserve">also </w:t>
      </w:r>
      <w:r w:rsidR="00234875" w:rsidRPr="00745FE3">
        <w:rPr>
          <w:szCs w:val="22"/>
        </w:rPr>
        <w:t xml:space="preserve">organised to encourage cooperation between the government and private sector. </w:t>
      </w:r>
    </w:p>
    <w:p w:rsidR="00234875" w:rsidRPr="00745FE3" w:rsidRDefault="00B66660" w:rsidP="00BF2045">
      <w:pPr>
        <w:pStyle w:val="BodyText"/>
        <w:rPr>
          <w:szCs w:val="22"/>
        </w:rPr>
      </w:pPr>
      <w:r>
        <w:rPr>
          <w:szCs w:val="22"/>
        </w:rPr>
        <w:t>T</w:t>
      </w:r>
      <w:r w:rsidRPr="00745FE3">
        <w:rPr>
          <w:szCs w:val="22"/>
        </w:rPr>
        <w:t xml:space="preserve">he Cambodia Agricultural Value Chain program </w:t>
      </w:r>
      <w:r w:rsidR="00234875" w:rsidRPr="00745FE3">
        <w:rPr>
          <w:szCs w:val="22"/>
        </w:rPr>
        <w:t xml:space="preserve">continued efforts to ensure gender is considered across its entire program. </w:t>
      </w:r>
      <w:r>
        <w:rPr>
          <w:szCs w:val="22"/>
        </w:rPr>
        <w:t>A</w:t>
      </w:r>
      <w:r w:rsidRPr="00745FE3">
        <w:rPr>
          <w:szCs w:val="22"/>
        </w:rPr>
        <w:t xml:space="preserve"> full-time </w:t>
      </w:r>
      <w:r>
        <w:rPr>
          <w:szCs w:val="22"/>
        </w:rPr>
        <w:t>g</w:t>
      </w:r>
      <w:r w:rsidRPr="00745FE3">
        <w:rPr>
          <w:szCs w:val="22"/>
        </w:rPr>
        <w:t xml:space="preserve">ender and </w:t>
      </w:r>
      <w:r>
        <w:rPr>
          <w:szCs w:val="22"/>
        </w:rPr>
        <w:t>d</w:t>
      </w:r>
      <w:r w:rsidRPr="00745FE3">
        <w:rPr>
          <w:szCs w:val="22"/>
        </w:rPr>
        <w:t xml:space="preserve">isability </w:t>
      </w:r>
      <w:r>
        <w:rPr>
          <w:szCs w:val="22"/>
        </w:rPr>
        <w:t>s</w:t>
      </w:r>
      <w:r w:rsidRPr="00745FE3">
        <w:rPr>
          <w:szCs w:val="22"/>
        </w:rPr>
        <w:t xml:space="preserve">pecialist coordinated </w:t>
      </w:r>
      <w:r>
        <w:rPr>
          <w:szCs w:val="22"/>
        </w:rPr>
        <w:t>t</w:t>
      </w:r>
      <w:r w:rsidR="00234875" w:rsidRPr="00745FE3">
        <w:rPr>
          <w:szCs w:val="22"/>
        </w:rPr>
        <w:t xml:space="preserve">his work. In 2012 a study of vegetable farmers </w:t>
      </w:r>
      <w:r>
        <w:rPr>
          <w:szCs w:val="22"/>
        </w:rPr>
        <w:t xml:space="preserve">was </w:t>
      </w:r>
      <w:r w:rsidRPr="00745FE3">
        <w:rPr>
          <w:szCs w:val="22"/>
        </w:rPr>
        <w:t xml:space="preserve">conducted </w:t>
      </w:r>
      <w:r w:rsidR="00234875" w:rsidRPr="00745FE3">
        <w:rPr>
          <w:szCs w:val="22"/>
        </w:rPr>
        <w:t>to understand how gender affects the division of roles and responsibilities. This builds on an earlier survey</w:t>
      </w:r>
      <w:r>
        <w:rPr>
          <w:szCs w:val="22"/>
        </w:rPr>
        <w:t>,</w:t>
      </w:r>
      <w:r w:rsidR="00234875" w:rsidRPr="00745FE3">
        <w:rPr>
          <w:szCs w:val="22"/>
        </w:rPr>
        <w:t xml:space="preserve"> which looked at how decisions are made and work is divided (or done jointly) between men and women. This information has helped </w:t>
      </w:r>
      <w:r>
        <w:rPr>
          <w:szCs w:val="22"/>
        </w:rPr>
        <w:t>the program</w:t>
      </w:r>
      <w:r w:rsidRPr="00745FE3">
        <w:rPr>
          <w:szCs w:val="22"/>
        </w:rPr>
        <w:t xml:space="preserve"> </w:t>
      </w:r>
      <w:r>
        <w:rPr>
          <w:szCs w:val="22"/>
        </w:rPr>
        <w:t>en</w:t>
      </w:r>
      <w:r w:rsidR="00234875" w:rsidRPr="00745FE3">
        <w:rPr>
          <w:szCs w:val="22"/>
        </w:rPr>
        <w:t xml:space="preserve">sure </w:t>
      </w:r>
      <w:r w:rsidR="00F9111F">
        <w:rPr>
          <w:szCs w:val="22"/>
        </w:rPr>
        <w:t>men</w:t>
      </w:r>
      <w:r w:rsidR="00234875" w:rsidRPr="00745FE3">
        <w:rPr>
          <w:szCs w:val="22"/>
        </w:rPr>
        <w:t xml:space="preserve"> and </w:t>
      </w:r>
      <w:r w:rsidR="00F9111F">
        <w:rPr>
          <w:szCs w:val="22"/>
        </w:rPr>
        <w:t>women</w:t>
      </w:r>
      <w:r w:rsidR="00234875" w:rsidRPr="00745FE3">
        <w:rPr>
          <w:szCs w:val="22"/>
        </w:rPr>
        <w:t xml:space="preserve"> farmers have equitable access to information on better farming practices. Other activities included </w:t>
      </w:r>
      <w:r>
        <w:rPr>
          <w:szCs w:val="22"/>
        </w:rPr>
        <w:t>three</w:t>
      </w:r>
      <w:r w:rsidR="00234875" w:rsidRPr="00745FE3">
        <w:rPr>
          <w:szCs w:val="22"/>
        </w:rPr>
        <w:t xml:space="preserve">-day training workshop on gender sensitisation for government officials involved in establishing and building the capacity of community groups that manage the operations and maintenance of irrigation schemes. Currently female participation in these groups is extremely low. </w:t>
      </w:r>
    </w:p>
    <w:p w:rsidR="00234875" w:rsidRPr="00745FE3" w:rsidRDefault="00234875" w:rsidP="00BF2045">
      <w:pPr>
        <w:pStyle w:val="BodyText"/>
        <w:rPr>
          <w:szCs w:val="22"/>
        </w:rPr>
      </w:pPr>
      <w:r w:rsidRPr="00745FE3">
        <w:rPr>
          <w:szCs w:val="22"/>
        </w:rPr>
        <w:t xml:space="preserve">Through a </w:t>
      </w:r>
      <w:r w:rsidR="00B66660">
        <w:rPr>
          <w:szCs w:val="22"/>
        </w:rPr>
        <w:t>t</w:t>
      </w:r>
      <w:r w:rsidR="00B66660" w:rsidRPr="00745FE3">
        <w:rPr>
          <w:szCs w:val="22"/>
        </w:rPr>
        <w:t xml:space="preserve">rust </w:t>
      </w:r>
      <w:r w:rsidR="00B66660">
        <w:rPr>
          <w:szCs w:val="22"/>
        </w:rPr>
        <w:t>f</w:t>
      </w:r>
      <w:r w:rsidR="00B66660" w:rsidRPr="00745FE3">
        <w:rPr>
          <w:szCs w:val="22"/>
        </w:rPr>
        <w:t xml:space="preserve">und </w:t>
      </w:r>
      <w:r w:rsidRPr="00745FE3">
        <w:rPr>
          <w:szCs w:val="22"/>
        </w:rPr>
        <w:t xml:space="preserve">arrangement with the World Bank, </w:t>
      </w:r>
      <w:r w:rsidR="00C310F4">
        <w:rPr>
          <w:szCs w:val="22"/>
        </w:rPr>
        <w:t xml:space="preserve">Australia </w:t>
      </w:r>
      <w:r w:rsidRPr="00745FE3">
        <w:rPr>
          <w:szCs w:val="22"/>
        </w:rPr>
        <w:t xml:space="preserve">supported three policy studies in 2012, including one focusing on access to financial services for small and medium agribusiness enterprises and </w:t>
      </w:r>
      <w:proofErr w:type="gramStart"/>
      <w:r w:rsidRPr="00745FE3">
        <w:rPr>
          <w:szCs w:val="22"/>
        </w:rPr>
        <w:t>one exploring us</w:t>
      </w:r>
      <w:r w:rsidR="00B66660">
        <w:rPr>
          <w:szCs w:val="22"/>
        </w:rPr>
        <w:t>ing</w:t>
      </w:r>
      <w:r w:rsidRPr="00745FE3">
        <w:rPr>
          <w:szCs w:val="22"/>
        </w:rPr>
        <w:t xml:space="preserve"> rice</w:t>
      </w:r>
      <w:proofErr w:type="gramEnd"/>
      <w:r w:rsidRPr="00745FE3">
        <w:rPr>
          <w:szCs w:val="22"/>
        </w:rPr>
        <w:t xml:space="preserve"> as collateral for loans (warehouse receipts). An update on progress toward the Cambodian Government’s paddy production and rice export policy was also completed. </w:t>
      </w:r>
      <w:r w:rsidR="00C310F4">
        <w:rPr>
          <w:szCs w:val="22"/>
        </w:rPr>
        <w:t>Australia</w:t>
      </w:r>
      <w:r w:rsidRPr="00745FE3">
        <w:rPr>
          <w:szCs w:val="22"/>
        </w:rPr>
        <w:t xml:space="preserve"> has also engaged other development partners and the </w:t>
      </w:r>
      <w:r w:rsidR="00F86ECD">
        <w:rPr>
          <w:szCs w:val="22"/>
        </w:rPr>
        <w:t>g</w:t>
      </w:r>
      <w:r w:rsidR="00F86ECD" w:rsidRPr="00745FE3">
        <w:rPr>
          <w:szCs w:val="22"/>
        </w:rPr>
        <w:t xml:space="preserve">overnment </w:t>
      </w:r>
      <w:r w:rsidRPr="00745FE3">
        <w:rPr>
          <w:szCs w:val="22"/>
        </w:rPr>
        <w:t>on selected policy issues relating to seed production, extension services and Cambodia’s first agricultural census.</w:t>
      </w:r>
    </w:p>
    <w:p w:rsidR="00180B19" w:rsidRPr="00745FE3" w:rsidRDefault="00234875" w:rsidP="00BF2045">
      <w:pPr>
        <w:pStyle w:val="BodyText"/>
        <w:rPr>
          <w:szCs w:val="22"/>
        </w:rPr>
      </w:pPr>
      <w:r w:rsidRPr="00866B6E">
        <w:rPr>
          <w:szCs w:val="22"/>
        </w:rPr>
        <w:t xml:space="preserve">The roadmap exercise to help guide implementation of the Cambodian Government’s </w:t>
      </w:r>
      <w:r w:rsidR="00F86ECD" w:rsidRPr="00866B6E">
        <w:rPr>
          <w:szCs w:val="22"/>
        </w:rPr>
        <w:t xml:space="preserve">strategy for agriculture and water </w:t>
      </w:r>
      <w:r w:rsidRPr="00866B6E">
        <w:rPr>
          <w:szCs w:val="22"/>
        </w:rPr>
        <w:t xml:space="preserve">was cancelled by the </w:t>
      </w:r>
      <w:r w:rsidR="00F86ECD" w:rsidRPr="00866B6E">
        <w:rPr>
          <w:szCs w:val="22"/>
        </w:rPr>
        <w:t xml:space="preserve">co-chairs and co-facilitators of the </w:t>
      </w:r>
      <w:r w:rsidR="00672677" w:rsidRPr="00866B6E">
        <w:rPr>
          <w:szCs w:val="22"/>
        </w:rPr>
        <w:t xml:space="preserve">agriculture and water </w:t>
      </w:r>
      <w:r w:rsidR="00F86ECD" w:rsidRPr="00866B6E">
        <w:rPr>
          <w:szCs w:val="22"/>
        </w:rPr>
        <w:t>technical working group</w:t>
      </w:r>
      <w:r w:rsidRPr="00866B6E">
        <w:rPr>
          <w:szCs w:val="22"/>
        </w:rPr>
        <w:t xml:space="preserve">, as it was agreed the exercise would no longer be useful. The </w:t>
      </w:r>
      <w:r w:rsidR="00F86ECD">
        <w:rPr>
          <w:szCs w:val="22"/>
          <w:lang w:val="en-US"/>
        </w:rPr>
        <w:t>g</w:t>
      </w:r>
      <w:r w:rsidR="00F86ECD" w:rsidRPr="00F86ECD">
        <w:rPr>
          <w:szCs w:val="22"/>
          <w:lang w:val="en-US"/>
        </w:rPr>
        <w:t>overnment</w:t>
      </w:r>
      <w:r w:rsidR="00F86ECD">
        <w:rPr>
          <w:szCs w:val="22"/>
          <w:lang w:val="en-US"/>
        </w:rPr>
        <w:t>’s</w:t>
      </w:r>
      <w:r w:rsidR="00F86ECD" w:rsidRPr="00F86ECD">
        <w:rPr>
          <w:szCs w:val="22"/>
          <w:lang w:val="en-US"/>
        </w:rPr>
        <w:t xml:space="preserve"> </w:t>
      </w:r>
      <w:r w:rsidR="00F86ECD" w:rsidRPr="00866B6E">
        <w:rPr>
          <w:szCs w:val="22"/>
        </w:rPr>
        <w:t xml:space="preserve">paddy production and rice export policy </w:t>
      </w:r>
      <w:r w:rsidRPr="00866B6E">
        <w:rPr>
          <w:szCs w:val="22"/>
        </w:rPr>
        <w:t>is currently the key driv</w:t>
      </w:r>
      <w:r w:rsidR="00F86ECD">
        <w:rPr>
          <w:szCs w:val="22"/>
        </w:rPr>
        <w:t>er of</w:t>
      </w:r>
      <w:r w:rsidR="00F86ECD" w:rsidRPr="00866B6E">
        <w:rPr>
          <w:szCs w:val="22"/>
        </w:rPr>
        <w:t xml:space="preserve"> </w:t>
      </w:r>
      <w:r w:rsidRPr="00866B6E">
        <w:rPr>
          <w:szCs w:val="22"/>
        </w:rPr>
        <w:t>investment and focus in the agriculture sector.</w:t>
      </w:r>
    </w:p>
    <w:p w:rsidR="00453805" w:rsidRPr="00BF2045" w:rsidRDefault="00453805" w:rsidP="00BF2045">
      <w:pPr>
        <w:pStyle w:val="Heading2"/>
      </w:pPr>
      <w:r w:rsidRPr="00BF2045">
        <w:lastRenderedPageBreak/>
        <w:t>Objective 1b: Increased food and livelihood security for the rural poor through social protection and landmine clearance</w:t>
      </w:r>
    </w:p>
    <w:p w:rsidR="00453805" w:rsidRPr="00661ADA" w:rsidRDefault="00453805" w:rsidP="00661ADA">
      <w:pPr>
        <w:pStyle w:val="BodyText"/>
        <w:rPr>
          <w:i/>
        </w:rPr>
      </w:pPr>
      <w:r w:rsidRPr="00661ADA">
        <w:rPr>
          <w:i/>
        </w:rPr>
        <w:t>Cambodia development goal: Poor and vulnerable Cambodians will be increasingly protected against chronic poverty and hunger, shocks, destitution and social exclusion, and benefit from investments in their human capital</w:t>
      </w:r>
    </w:p>
    <w:tbl>
      <w:tblPr>
        <w:tblStyle w:val="APPR"/>
        <w:tblW w:w="5000" w:type="pct"/>
        <w:tblLook w:val="01E0" w:firstRow="1" w:lastRow="1" w:firstColumn="1" w:lastColumn="1" w:noHBand="0" w:noVBand="0"/>
      </w:tblPr>
      <w:tblGrid>
        <w:gridCol w:w="6894"/>
        <w:gridCol w:w="1713"/>
      </w:tblGrid>
      <w:tr w:rsidR="00453805" w:rsidRPr="00BF2045" w:rsidTr="00BF2045">
        <w:trPr>
          <w:cnfStyle w:val="100000000000" w:firstRow="1" w:lastRow="0" w:firstColumn="0" w:lastColumn="0" w:oddVBand="0" w:evenVBand="0" w:oddHBand="0" w:evenHBand="0" w:firstRowFirstColumn="0" w:firstRowLastColumn="0" w:lastRowFirstColumn="0" w:lastRowLastColumn="0"/>
        </w:trPr>
        <w:tc>
          <w:tcPr>
            <w:tcW w:w="3981" w:type="pct"/>
          </w:tcPr>
          <w:p w:rsidR="00453805" w:rsidRPr="00BF2045" w:rsidRDefault="00453805" w:rsidP="00BF2045">
            <w:pPr>
              <w:pStyle w:val="TableTextColumnHeading"/>
              <w:rPr>
                <w:rFonts w:eastAsia="Calibri"/>
              </w:rPr>
            </w:pPr>
            <w:r w:rsidRPr="00BF2045">
              <w:rPr>
                <w:rFonts w:eastAsia="Calibri"/>
              </w:rPr>
              <w:t>Objective</w:t>
            </w:r>
          </w:p>
        </w:tc>
        <w:tc>
          <w:tcPr>
            <w:tcW w:w="970" w:type="pct"/>
          </w:tcPr>
          <w:p w:rsidR="00453805" w:rsidRPr="00BF2045" w:rsidRDefault="00453805" w:rsidP="00BF2045">
            <w:pPr>
              <w:pStyle w:val="TableTextColumnHeading"/>
              <w:rPr>
                <w:rFonts w:eastAsia="Calibri"/>
              </w:rPr>
            </w:pPr>
            <w:r w:rsidRPr="00BF2045">
              <w:rPr>
                <w:rFonts w:eastAsia="Calibri"/>
              </w:rPr>
              <w:t xml:space="preserve">Current rating </w:t>
            </w:r>
          </w:p>
        </w:tc>
      </w:tr>
      <w:tr w:rsidR="00453805" w:rsidRPr="00BF2045" w:rsidTr="00BF2045">
        <w:trPr>
          <w:cnfStyle w:val="100000000000" w:firstRow="1" w:lastRow="0" w:firstColumn="0" w:lastColumn="0" w:oddVBand="0" w:evenVBand="0" w:oddHBand="0" w:evenHBand="0" w:firstRowFirstColumn="0" w:firstRowLastColumn="0" w:lastRowFirstColumn="0" w:lastRowLastColumn="0"/>
        </w:trPr>
        <w:tc>
          <w:tcPr>
            <w:tcW w:w="3981" w:type="pct"/>
          </w:tcPr>
          <w:p w:rsidR="00453805" w:rsidRPr="00BF2045" w:rsidRDefault="00453805" w:rsidP="00BF2045">
            <w:pPr>
              <w:pStyle w:val="TableTextEntries"/>
              <w:rPr>
                <w:rFonts w:eastAsia="Calibri"/>
                <w:b w:val="0"/>
              </w:rPr>
            </w:pPr>
            <w:r w:rsidRPr="00BF2045">
              <w:rPr>
                <w:rFonts w:eastAsia="Calibri"/>
                <w:b w:val="0"/>
              </w:rPr>
              <w:t>Objective 1b Increased food and livelihood security for the rural poor through social protection and landmine clearance</w:t>
            </w:r>
          </w:p>
        </w:tc>
        <w:tc>
          <w:tcPr>
            <w:tcW w:w="970" w:type="pct"/>
            <w:shd w:val="clear" w:color="auto" w:fill="92D050"/>
          </w:tcPr>
          <w:p w:rsidR="00453805" w:rsidRPr="00BF2045" w:rsidRDefault="008A45C9" w:rsidP="00BF2045">
            <w:pPr>
              <w:pStyle w:val="TableTextEntries"/>
              <w:rPr>
                <w:rFonts w:eastAsia="Calibri"/>
                <w:b w:val="0"/>
              </w:rPr>
            </w:pPr>
            <w:r>
              <w:rPr>
                <w:rFonts w:eastAsia="Calibri"/>
                <w:b w:val="0"/>
              </w:rPr>
              <w:t>G</w:t>
            </w:r>
            <w:r w:rsidR="00453805" w:rsidRPr="00BF2045">
              <w:rPr>
                <w:rFonts w:eastAsia="Calibri"/>
                <w:b w:val="0"/>
              </w:rPr>
              <w:t>reen</w:t>
            </w:r>
          </w:p>
        </w:tc>
      </w:tr>
    </w:tbl>
    <w:p w:rsidR="00453805" w:rsidRPr="00745FE3" w:rsidRDefault="00453805" w:rsidP="00BF2045">
      <w:pPr>
        <w:pStyle w:val="Heading3"/>
      </w:pPr>
      <w:r w:rsidRPr="00745FE3">
        <w:t>Annual milestone targets 2012</w:t>
      </w:r>
    </w:p>
    <w:p w:rsidR="00234875" w:rsidRPr="00745FE3" w:rsidRDefault="005706EC" w:rsidP="00BF2045">
      <w:pPr>
        <w:pStyle w:val="ListBullet"/>
      </w:pPr>
      <w:r>
        <w:t>Recommendation</w:t>
      </w:r>
      <w:r w:rsidR="00234875" w:rsidRPr="00745FE3">
        <w:t xml:space="preserve"> to improve the </w:t>
      </w:r>
      <w:r w:rsidR="00F86ECD" w:rsidRPr="00745FE3">
        <w:t>identification of poor household</w:t>
      </w:r>
      <w:r w:rsidR="00F86ECD">
        <w:t>s</w:t>
      </w:r>
      <w:r w:rsidR="00F86ECD" w:rsidRPr="00745FE3">
        <w:t xml:space="preserve"> </w:t>
      </w:r>
      <w:r w:rsidR="00234875" w:rsidRPr="00745FE3">
        <w:t xml:space="preserve">has been implemented and </w:t>
      </w:r>
      <w:r w:rsidR="00F86ECD">
        <w:t xml:space="preserve">the </w:t>
      </w:r>
      <w:r w:rsidR="00234875" w:rsidRPr="00745FE3">
        <w:t>targeting mechanism has improved (partially achieved).</w:t>
      </w:r>
    </w:p>
    <w:p w:rsidR="00234875" w:rsidRPr="00745FE3" w:rsidRDefault="00234875" w:rsidP="00BF2045">
      <w:pPr>
        <w:pStyle w:val="ListBullet"/>
      </w:pPr>
      <w:r w:rsidRPr="00745FE3">
        <w:t>The assessment of effectiveness and efficiency of cash versus food transfers was completed and</w:t>
      </w:r>
      <w:r w:rsidR="00F86ECD">
        <w:t xml:space="preserve"> the</w:t>
      </w:r>
      <w:r w:rsidRPr="00745FE3">
        <w:t xml:space="preserve"> World Bank is finalising the results and planning to publish the information in May 2013 (achieved). </w:t>
      </w:r>
    </w:p>
    <w:p w:rsidR="00234875" w:rsidRPr="00745FE3" w:rsidRDefault="00F86ECD" w:rsidP="00BF2045">
      <w:pPr>
        <w:pStyle w:val="ListBullet"/>
      </w:pPr>
      <w:r>
        <w:t>D</w:t>
      </w:r>
      <w:r w:rsidR="00234875" w:rsidRPr="00745FE3">
        <w:t xml:space="preserve">esign of </w:t>
      </w:r>
      <w:r>
        <w:t xml:space="preserve">a </w:t>
      </w:r>
      <w:r w:rsidR="00234875" w:rsidRPr="00745FE3">
        <w:t xml:space="preserve">cash transfer pilot was completed and implementation is expected in </w:t>
      </w:r>
      <w:r>
        <w:t>q</w:t>
      </w:r>
      <w:r w:rsidRPr="00745FE3">
        <w:t xml:space="preserve">uarter </w:t>
      </w:r>
      <w:r w:rsidR="00234875" w:rsidRPr="00745FE3">
        <w:t>4</w:t>
      </w:r>
      <w:r>
        <w:t xml:space="preserve"> of</w:t>
      </w:r>
      <w:r w:rsidR="00234875" w:rsidRPr="00745FE3">
        <w:t xml:space="preserve"> 2013 (partially achieved).</w:t>
      </w:r>
    </w:p>
    <w:p w:rsidR="00234875" w:rsidRPr="00745FE3" w:rsidRDefault="00F9111F" w:rsidP="00BF2045">
      <w:pPr>
        <w:pStyle w:val="ListBullet"/>
      </w:pPr>
      <w:r>
        <w:t>A</w:t>
      </w:r>
      <w:r w:rsidR="00234875" w:rsidRPr="00745FE3">
        <w:t xml:space="preserve"> pilot</w:t>
      </w:r>
      <w:r>
        <w:t xml:space="preserve"> to</w:t>
      </w:r>
      <w:r w:rsidR="00234875" w:rsidRPr="00745FE3">
        <w:t xml:space="preserve"> integrat</w:t>
      </w:r>
      <w:r>
        <w:t xml:space="preserve">e </w:t>
      </w:r>
      <w:r w:rsidR="00234875" w:rsidRPr="00745FE3">
        <w:t xml:space="preserve">social programs </w:t>
      </w:r>
      <w:r w:rsidR="00F86ECD">
        <w:t xml:space="preserve">is underway </w:t>
      </w:r>
      <w:r w:rsidR="00234875" w:rsidRPr="00745FE3">
        <w:t>(partially achieved).</w:t>
      </w:r>
    </w:p>
    <w:p w:rsidR="00234875" w:rsidRPr="00745FE3" w:rsidRDefault="00234875" w:rsidP="00BF2045">
      <w:pPr>
        <w:pStyle w:val="ListBullet"/>
      </w:pPr>
      <w:r w:rsidRPr="00745FE3">
        <w:t xml:space="preserve">At least 12 square kilometres of high priority land </w:t>
      </w:r>
      <w:r w:rsidR="00F86ECD">
        <w:t xml:space="preserve">has been </w:t>
      </w:r>
      <w:r w:rsidRPr="00745FE3">
        <w:t xml:space="preserve">released through land mine clearance or technical survey </w:t>
      </w:r>
      <w:r w:rsidR="00F86ECD">
        <w:t>to</w:t>
      </w:r>
      <w:r w:rsidR="00F86ECD" w:rsidRPr="00745FE3">
        <w:t xml:space="preserve"> </w:t>
      </w:r>
      <w:r w:rsidRPr="00745FE3">
        <w:t>support local development priorities (achieved).</w:t>
      </w:r>
    </w:p>
    <w:p w:rsidR="00234875" w:rsidRPr="00745FE3" w:rsidRDefault="00234875" w:rsidP="00BF2045">
      <w:pPr>
        <w:pStyle w:val="BodyText"/>
      </w:pPr>
      <w:r w:rsidRPr="00745FE3">
        <w:t xml:space="preserve">Australian assistance helped to improve food and livelihood security for rural people by supporting mine and </w:t>
      </w:r>
      <w:r w:rsidR="00F86ECD">
        <w:t>unexploded ordnance</w:t>
      </w:r>
      <w:r w:rsidR="00F86ECD" w:rsidRPr="00745FE3">
        <w:t xml:space="preserve"> </w:t>
      </w:r>
      <w:r w:rsidRPr="00745FE3">
        <w:t xml:space="preserve">clearance through the Clearing for Results (Phase II) project. During 2012 approximately 13.8 square kilometres of land </w:t>
      </w:r>
      <w:r w:rsidR="00F9111F">
        <w:t>was</w:t>
      </w:r>
      <w:r w:rsidRPr="00745FE3">
        <w:t xml:space="preserve"> cleared and released for productive use, while 46 districts were completely surveyed by </w:t>
      </w:r>
      <w:r w:rsidR="00F86ECD">
        <w:t xml:space="preserve">the </w:t>
      </w:r>
      <w:r w:rsidR="00F86ECD" w:rsidRPr="0093145A">
        <w:rPr>
          <w:iCs/>
          <w:lang w:val="en-US"/>
        </w:rPr>
        <w:t>Cambodian Mine Action Centre</w:t>
      </w:r>
      <w:r w:rsidR="00F86ECD" w:rsidRPr="00F86ECD" w:rsidDel="00F86ECD">
        <w:t xml:space="preserve"> </w:t>
      </w:r>
      <w:r w:rsidRPr="00745FE3">
        <w:t xml:space="preserve">and Halo Trust’s </w:t>
      </w:r>
      <w:r w:rsidR="00F86ECD">
        <w:t>b</w:t>
      </w:r>
      <w:r w:rsidR="00F86ECD" w:rsidRPr="00745FE3">
        <w:t xml:space="preserve">aseline </w:t>
      </w:r>
      <w:r w:rsidR="00F86ECD">
        <w:t>s</w:t>
      </w:r>
      <w:r w:rsidR="00F86ECD" w:rsidRPr="00745FE3">
        <w:t xml:space="preserve">urvey </w:t>
      </w:r>
      <w:r w:rsidR="00F86ECD">
        <w:t>t</w:t>
      </w:r>
      <w:r w:rsidR="00F86ECD" w:rsidRPr="00745FE3">
        <w:t>eams</w:t>
      </w:r>
      <w:r w:rsidRPr="00745FE3">
        <w:t>.</w:t>
      </w:r>
      <w:r w:rsidR="00CD6B2F">
        <w:t xml:space="preserve"> </w:t>
      </w:r>
      <w:r w:rsidRPr="00745FE3">
        <w:t xml:space="preserve">A total of 4593 anti-personnel mines, 28 anti-tank mines and 1999 unexploded ordnances were found and destroyed. In the three provinces of </w:t>
      </w:r>
      <w:proofErr w:type="spellStart"/>
      <w:r w:rsidRPr="00745FE3">
        <w:t>Battambang</w:t>
      </w:r>
      <w:proofErr w:type="spellEnd"/>
      <w:r w:rsidRPr="00745FE3">
        <w:t xml:space="preserve">, </w:t>
      </w:r>
      <w:proofErr w:type="spellStart"/>
      <w:r w:rsidRPr="00745FE3">
        <w:t>Banteay</w:t>
      </w:r>
      <w:proofErr w:type="spellEnd"/>
      <w:r w:rsidRPr="00745FE3">
        <w:t xml:space="preserve"> </w:t>
      </w:r>
      <w:proofErr w:type="spellStart"/>
      <w:r w:rsidRPr="00745FE3">
        <w:t>Meanchey</w:t>
      </w:r>
      <w:proofErr w:type="spellEnd"/>
      <w:r w:rsidRPr="00745FE3">
        <w:t xml:space="preserve"> and </w:t>
      </w:r>
      <w:proofErr w:type="spellStart"/>
      <w:r w:rsidRPr="00745FE3">
        <w:t>Pailin</w:t>
      </w:r>
      <w:proofErr w:type="spellEnd"/>
      <w:r w:rsidRPr="00745FE3">
        <w:t xml:space="preserve"> where the Clearing for Results project is being implemented, casualties from landmines and </w:t>
      </w:r>
      <w:r w:rsidR="00F86ECD">
        <w:t>unexploded ordnance</w:t>
      </w:r>
      <w:r w:rsidR="003A3850">
        <w:t>s</w:t>
      </w:r>
      <w:r w:rsidR="00F86ECD" w:rsidRPr="00745FE3">
        <w:t xml:space="preserve"> </w:t>
      </w:r>
      <w:r w:rsidRPr="00745FE3">
        <w:t>declined significantly, from 100 in 2011, to 55 in 2012</w:t>
      </w:r>
      <w:r w:rsidR="00672677">
        <w:t>––</w:t>
      </w:r>
      <w:r w:rsidRPr="00745FE3">
        <w:t>a 45 per cent decrease. Post-</w:t>
      </w:r>
      <w:r w:rsidR="00F86ECD">
        <w:t>c</w:t>
      </w:r>
      <w:r w:rsidR="00F86ECD" w:rsidRPr="00745FE3">
        <w:t xml:space="preserve">learance </w:t>
      </w:r>
      <w:r w:rsidR="00F86ECD">
        <w:t>m</w:t>
      </w:r>
      <w:r w:rsidR="00F86ECD" w:rsidRPr="00745FE3">
        <w:t xml:space="preserve">onitoring </w:t>
      </w:r>
      <w:r w:rsidRPr="00745FE3">
        <w:t xml:space="preserve">under the program indicates that nearly 80 per cent of cleared land is used for agricultural or resettlement purposes. In 2012, a </w:t>
      </w:r>
      <w:r w:rsidR="00F86ECD" w:rsidRPr="00745FE3">
        <w:t xml:space="preserve">gender action plan </w:t>
      </w:r>
      <w:r w:rsidRPr="00745FE3">
        <w:t>was prepared and dissemination to key stakeholders began. In the first half of 2013 two independent reviews of the program were conducted</w:t>
      </w:r>
      <w:r w:rsidR="00F86ECD">
        <w:t>––</w:t>
      </w:r>
      <w:r w:rsidR="00672677">
        <w:t>one</w:t>
      </w:r>
      <w:r w:rsidR="00F86ECD">
        <w:t xml:space="preserve"> on</w:t>
      </w:r>
      <w:r w:rsidRPr="00745FE3">
        <w:t xml:space="preserve"> tendering and bidding processes, </w:t>
      </w:r>
      <w:r w:rsidR="00F86ECD">
        <w:t>and</w:t>
      </w:r>
      <w:r w:rsidR="00F86ECD" w:rsidRPr="00745FE3">
        <w:t xml:space="preserve"> </w:t>
      </w:r>
      <w:r w:rsidRPr="00745FE3">
        <w:t xml:space="preserve">a </w:t>
      </w:r>
      <w:r w:rsidR="00F86ECD">
        <w:t>m</w:t>
      </w:r>
      <w:r w:rsidR="00F86ECD" w:rsidRPr="00745FE3">
        <w:t>id</w:t>
      </w:r>
      <w:r w:rsidRPr="00745FE3">
        <w:t>-</w:t>
      </w:r>
      <w:r w:rsidR="00F86ECD">
        <w:t>t</w:t>
      </w:r>
      <w:r w:rsidR="00F86ECD" w:rsidRPr="00745FE3">
        <w:t xml:space="preserve">erm </w:t>
      </w:r>
      <w:r w:rsidR="00F86ECD">
        <w:t>r</w:t>
      </w:r>
      <w:r w:rsidR="00F86ECD" w:rsidRPr="00745FE3">
        <w:t xml:space="preserve">eview </w:t>
      </w:r>
      <w:r w:rsidRPr="00745FE3">
        <w:t>of the whole program.</w:t>
      </w:r>
    </w:p>
    <w:p w:rsidR="00234875" w:rsidRPr="00745FE3" w:rsidRDefault="00234875" w:rsidP="00BF2045">
      <w:pPr>
        <w:pStyle w:val="BodyText"/>
        <w:rPr>
          <w:szCs w:val="22"/>
        </w:rPr>
      </w:pPr>
      <w:r w:rsidRPr="00745FE3">
        <w:rPr>
          <w:szCs w:val="22"/>
        </w:rPr>
        <w:t>Investments in social protection are an important complement to Australia’s work on agricultural productivity in improving food security.</w:t>
      </w:r>
      <w:r w:rsidR="00CD6B2F">
        <w:rPr>
          <w:szCs w:val="22"/>
        </w:rPr>
        <w:t xml:space="preserve"> </w:t>
      </w:r>
      <w:r w:rsidR="00C310F4">
        <w:rPr>
          <w:szCs w:val="22"/>
        </w:rPr>
        <w:t xml:space="preserve">Australia </w:t>
      </w:r>
      <w:r w:rsidRPr="00745FE3">
        <w:rPr>
          <w:szCs w:val="22"/>
        </w:rPr>
        <w:t xml:space="preserve">supports the </w:t>
      </w:r>
      <w:r w:rsidR="00F86ECD">
        <w:rPr>
          <w:szCs w:val="22"/>
        </w:rPr>
        <w:t>Cambodian G</w:t>
      </w:r>
      <w:r w:rsidRPr="00745FE3">
        <w:rPr>
          <w:szCs w:val="22"/>
        </w:rPr>
        <w:t>overnment’s National Social Protection Strategy</w:t>
      </w:r>
      <w:r w:rsidR="00672677">
        <w:rPr>
          <w:szCs w:val="22"/>
        </w:rPr>
        <w:t>,</w:t>
      </w:r>
      <w:r w:rsidR="00F86ECD">
        <w:rPr>
          <w:szCs w:val="22"/>
        </w:rPr>
        <w:t xml:space="preserve"> which was</w:t>
      </w:r>
      <w:r w:rsidRPr="00745FE3">
        <w:rPr>
          <w:szCs w:val="22"/>
        </w:rPr>
        <w:t xml:space="preserve"> launched in October 2011.</w:t>
      </w:r>
      <w:r w:rsidR="00CD6B2F">
        <w:rPr>
          <w:szCs w:val="22"/>
        </w:rPr>
        <w:t xml:space="preserve"> </w:t>
      </w:r>
      <w:r w:rsidRPr="00745FE3">
        <w:rPr>
          <w:szCs w:val="22"/>
        </w:rPr>
        <w:t>Implementation has been slow due to fragmented donor inputs and weak coordination by government</w:t>
      </w:r>
      <w:r w:rsidR="00EE4ABA">
        <w:rPr>
          <w:szCs w:val="22"/>
        </w:rPr>
        <w:t>, h</w:t>
      </w:r>
      <w:r w:rsidRPr="00745FE3">
        <w:rPr>
          <w:szCs w:val="22"/>
        </w:rPr>
        <w:t xml:space="preserve">owever progress is being made and Australia remains a key contributor. </w:t>
      </w:r>
      <w:r w:rsidR="00C310F4">
        <w:rPr>
          <w:szCs w:val="22"/>
        </w:rPr>
        <w:t xml:space="preserve">The aid program </w:t>
      </w:r>
      <w:r w:rsidRPr="00745FE3">
        <w:rPr>
          <w:szCs w:val="22"/>
        </w:rPr>
        <w:t xml:space="preserve">played a pivotal role in </w:t>
      </w:r>
      <w:r w:rsidR="00580CBA">
        <w:rPr>
          <w:szCs w:val="22"/>
        </w:rPr>
        <w:t>facilitating</w:t>
      </w:r>
      <w:r w:rsidR="00580CBA" w:rsidRPr="00745FE3">
        <w:rPr>
          <w:szCs w:val="22"/>
        </w:rPr>
        <w:t xml:space="preserve"> </w:t>
      </w:r>
      <w:r w:rsidRPr="00745FE3">
        <w:rPr>
          <w:szCs w:val="22"/>
        </w:rPr>
        <w:t xml:space="preserve">interactions between development partners and the </w:t>
      </w:r>
      <w:r w:rsidR="00EE4ABA">
        <w:rPr>
          <w:szCs w:val="22"/>
        </w:rPr>
        <w:t>g</w:t>
      </w:r>
      <w:r w:rsidR="00EE4ABA" w:rsidRPr="00745FE3">
        <w:rPr>
          <w:szCs w:val="22"/>
        </w:rPr>
        <w:t>overnment</w:t>
      </w:r>
      <w:r w:rsidR="00847CD7">
        <w:rPr>
          <w:szCs w:val="22"/>
        </w:rPr>
        <w:t>. This</w:t>
      </w:r>
      <w:r w:rsidR="00EE4ABA">
        <w:rPr>
          <w:szCs w:val="22"/>
        </w:rPr>
        <w:t xml:space="preserve"> </w:t>
      </w:r>
      <w:r w:rsidRPr="00745FE3">
        <w:rPr>
          <w:szCs w:val="22"/>
        </w:rPr>
        <w:t xml:space="preserve">included organising a facilitated workshop to discuss key issues and cooperation to support the </w:t>
      </w:r>
      <w:r w:rsidR="00EE4ABA" w:rsidRPr="00745FE3">
        <w:rPr>
          <w:szCs w:val="22"/>
        </w:rPr>
        <w:t>National Social Protection Strategy</w:t>
      </w:r>
      <w:r w:rsidRPr="00745FE3">
        <w:rPr>
          <w:szCs w:val="22"/>
        </w:rPr>
        <w:t>, as well as being an active participant in monthly coordination meetings.</w:t>
      </w:r>
    </w:p>
    <w:p w:rsidR="00D11192" w:rsidRDefault="00234875" w:rsidP="00BF2045">
      <w:pPr>
        <w:pStyle w:val="BodyText"/>
        <w:rPr>
          <w:szCs w:val="22"/>
        </w:rPr>
      </w:pPr>
      <w:r w:rsidRPr="00745FE3">
        <w:rPr>
          <w:szCs w:val="22"/>
        </w:rPr>
        <w:t xml:space="preserve">An </w:t>
      </w:r>
      <w:r w:rsidR="00C310F4">
        <w:rPr>
          <w:szCs w:val="22"/>
        </w:rPr>
        <w:t>Australian</w:t>
      </w:r>
      <w:r w:rsidRPr="00745FE3">
        <w:rPr>
          <w:szCs w:val="22"/>
        </w:rPr>
        <w:t xml:space="preserve">-funded, </w:t>
      </w:r>
      <w:r w:rsidR="00301133" w:rsidRPr="00745FE3">
        <w:rPr>
          <w:szCs w:val="22"/>
        </w:rPr>
        <w:t>World Bank</w:t>
      </w:r>
      <w:r w:rsidR="00301133">
        <w:rPr>
          <w:szCs w:val="22"/>
        </w:rPr>
        <w:t>-</w:t>
      </w:r>
      <w:r w:rsidRPr="00745FE3">
        <w:rPr>
          <w:szCs w:val="22"/>
        </w:rPr>
        <w:t xml:space="preserve">managed </w:t>
      </w:r>
      <w:r w:rsidR="00EE4ABA">
        <w:rPr>
          <w:szCs w:val="22"/>
        </w:rPr>
        <w:t>t</w:t>
      </w:r>
      <w:r w:rsidR="00EE4ABA" w:rsidRPr="00745FE3">
        <w:rPr>
          <w:szCs w:val="22"/>
        </w:rPr>
        <w:t xml:space="preserve">rust </w:t>
      </w:r>
      <w:r w:rsidR="00EE4ABA">
        <w:rPr>
          <w:szCs w:val="22"/>
        </w:rPr>
        <w:t>f</w:t>
      </w:r>
      <w:r w:rsidR="00EE4ABA" w:rsidRPr="00745FE3">
        <w:rPr>
          <w:szCs w:val="22"/>
        </w:rPr>
        <w:t xml:space="preserve">und </w:t>
      </w:r>
      <w:r w:rsidRPr="00745FE3">
        <w:rPr>
          <w:szCs w:val="22"/>
        </w:rPr>
        <w:t xml:space="preserve">has provided crucial support to a </w:t>
      </w:r>
      <w:r w:rsidR="00EE4ABA">
        <w:rPr>
          <w:szCs w:val="22"/>
        </w:rPr>
        <w:t>g</w:t>
      </w:r>
      <w:r w:rsidR="00EE4ABA" w:rsidRPr="00745FE3">
        <w:rPr>
          <w:szCs w:val="22"/>
        </w:rPr>
        <w:t>overnment</w:t>
      </w:r>
      <w:r w:rsidRPr="00745FE3">
        <w:rPr>
          <w:szCs w:val="22"/>
        </w:rPr>
        <w:t xml:space="preserve">-led design of a pilot program to test the efficacy of using cash transfers to support maternal and child nutrition. Because of the national election in July 2013, implementation of </w:t>
      </w:r>
      <w:r w:rsidR="00EE4ABA" w:rsidRPr="00745FE3">
        <w:rPr>
          <w:szCs w:val="22"/>
        </w:rPr>
        <w:t>th</w:t>
      </w:r>
      <w:r w:rsidR="00EE4ABA">
        <w:rPr>
          <w:szCs w:val="22"/>
        </w:rPr>
        <w:t>is</w:t>
      </w:r>
      <w:r w:rsidR="00EE4ABA" w:rsidRPr="00745FE3">
        <w:rPr>
          <w:szCs w:val="22"/>
        </w:rPr>
        <w:t xml:space="preserve"> </w:t>
      </w:r>
      <w:r w:rsidRPr="00745FE3">
        <w:rPr>
          <w:szCs w:val="22"/>
        </w:rPr>
        <w:t>pilot will be delayed until early 2014.</w:t>
      </w:r>
      <w:r w:rsidR="00CD6B2F">
        <w:rPr>
          <w:szCs w:val="22"/>
        </w:rPr>
        <w:t xml:space="preserve"> </w:t>
      </w:r>
    </w:p>
    <w:p w:rsidR="00234875" w:rsidRPr="00745FE3" w:rsidRDefault="00234875" w:rsidP="00BF2045">
      <w:pPr>
        <w:pStyle w:val="BodyText"/>
        <w:rPr>
          <w:szCs w:val="22"/>
        </w:rPr>
      </w:pPr>
      <w:r w:rsidRPr="00745FE3">
        <w:rPr>
          <w:szCs w:val="22"/>
        </w:rPr>
        <w:lastRenderedPageBreak/>
        <w:t xml:space="preserve">In partnership with GIZ, </w:t>
      </w:r>
      <w:r w:rsidR="00C310F4">
        <w:rPr>
          <w:szCs w:val="22"/>
        </w:rPr>
        <w:t xml:space="preserve">Australia </w:t>
      </w:r>
      <w:r w:rsidRPr="00745FE3">
        <w:rPr>
          <w:szCs w:val="22"/>
        </w:rPr>
        <w:t xml:space="preserve">currently supports </w:t>
      </w:r>
      <w:proofErr w:type="spellStart"/>
      <w:r w:rsidRPr="00745FE3">
        <w:rPr>
          <w:szCs w:val="22"/>
        </w:rPr>
        <w:t>IDPoor</w:t>
      </w:r>
      <w:proofErr w:type="spellEnd"/>
      <w:r w:rsidRPr="00745FE3">
        <w:rPr>
          <w:szCs w:val="22"/>
        </w:rPr>
        <w:t xml:space="preserve">, which is a government-mandated mechanism for targeting social services to poor and vulnerable households under the social protection strategy. In late 2011, an </w:t>
      </w:r>
      <w:proofErr w:type="spellStart"/>
      <w:r w:rsidRPr="00745FE3">
        <w:rPr>
          <w:szCs w:val="22"/>
        </w:rPr>
        <w:t>IDPoor</w:t>
      </w:r>
      <w:proofErr w:type="spellEnd"/>
      <w:r w:rsidRPr="00745FE3">
        <w:rPr>
          <w:szCs w:val="22"/>
        </w:rPr>
        <w:t xml:space="preserve"> </w:t>
      </w:r>
      <w:r w:rsidR="00EE4ABA">
        <w:rPr>
          <w:szCs w:val="22"/>
        </w:rPr>
        <w:t>a</w:t>
      </w:r>
      <w:r w:rsidR="00EE4ABA" w:rsidRPr="00745FE3">
        <w:rPr>
          <w:szCs w:val="22"/>
        </w:rPr>
        <w:t xml:space="preserve">ccuracy </w:t>
      </w:r>
      <w:r w:rsidR="00EE4ABA">
        <w:rPr>
          <w:szCs w:val="22"/>
        </w:rPr>
        <w:t>a</w:t>
      </w:r>
      <w:r w:rsidR="00EE4ABA" w:rsidRPr="00745FE3">
        <w:rPr>
          <w:szCs w:val="22"/>
        </w:rPr>
        <w:t xml:space="preserve">ssessment </w:t>
      </w:r>
      <w:r w:rsidRPr="00745FE3">
        <w:rPr>
          <w:szCs w:val="22"/>
        </w:rPr>
        <w:t xml:space="preserve">conducted through the </w:t>
      </w:r>
      <w:r w:rsidR="00C310F4">
        <w:rPr>
          <w:szCs w:val="22"/>
        </w:rPr>
        <w:t>Australian</w:t>
      </w:r>
      <w:r w:rsidRPr="00745FE3">
        <w:rPr>
          <w:szCs w:val="22"/>
        </w:rPr>
        <w:t xml:space="preserve">-funded World Bank </w:t>
      </w:r>
      <w:r w:rsidR="00EE4ABA">
        <w:rPr>
          <w:szCs w:val="22"/>
        </w:rPr>
        <w:t>t</w:t>
      </w:r>
      <w:r w:rsidR="00EE4ABA" w:rsidRPr="00745FE3">
        <w:rPr>
          <w:szCs w:val="22"/>
        </w:rPr>
        <w:t xml:space="preserve">rust </w:t>
      </w:r>
      <w:r w:rsidR="00EE4ABA">
        <w:rPr>
          <w:szCs w:val="22"/>
        </w:rPr>
        <w:t>f</w:t>
      </w:r>
      <w:r w:rsidR="00EE4ABA" w:rsidRPr="00745FE3">
        <w:rPr>
          <w:szCs w:val="22"/>
        </w:rPr>
        <w:t xml:space="preserve">und </w:t>
      </w:r>
      <w:r w:rsidRPr="00745FE3">
        <w:rPr>
          <w:szCs w:val="22"/>
        </w:rPr>
        <w:t xml:space="preserve">made several recommendations for strengthening the accuracy and governance of the targeting process. This included suggestions for improving the application of the </w:t>
      </w:r>
      <w:r w:rsidR="00EE4ABA" w:rsidRPr="00745FE3">
        <w:rPr>
          <w:szCs w:val="22"/>
        </w:rPr>
        <w:t>proxy means test</w:t>
      </w:r>
      <w:r w:rsidRPr="00745FE3">
        <w:rPr>
          <w:szCs w:val="22"/>
        </w:rPr>
        <w:t xml:space="preserve"> and creating a redress mechanism for those who feel they have been wrongly excluded. During 2012, progress was achieved on clarifying the </w:t>
      </w:r>
      <w:r w:rsidR="00EE4ABA" w:rsidRPr="00745FE3">
        <w:rPr>
          <w:szCs w:val="22"/>
        </w:rPr>
        <w:t>proxy means test</w:t>
      </w:r>
      <w:r w:rsidRPr="00745FE3">
        <w:rPr>
          <w:szCs w:val="22"/>
        </w:rPr>
        <w:t xml:space="preserve">, but </w:t>
      </w:r>
      <w:proofErr w:type="spellStart"/>
      <w:r w:rsidRPr="00745FE3">
        <w:rPr>
          <w:szCs w:val="22"/>
        </w:rPr>
        <w:t>IDPoor</w:t>
      </w:r>
      <w:proofErr w:type="spellEnd"/>
      <w:r w:rsidRPr="00745FE3">
        <w:rPr>
          <w:szCs w:val="22"/>
        </w:rPr>
        <w:t xml:space="preserve"> </w:t>
      </w:r>
      <w:proofErr w:type="gramStart"/>
      <w:r w:rsidRPr="00745FE3">
        <w:rPr>
          <w:szCs w:val="22"/>
        </w:rPr>
        <w:t>staff are</w:t>
      </w:r>
      <w:proofErr w:type="gramEnd"/>
      <w:r w:rsidRPr="00745FE3">
        <w:rPr>
          <w:szCs w:val="22"/>
        </w:rPr>
        <w:t xml:space="preserve"> reluctant to create a redress mechanism until they understand the full dimensions</w:t>
      </w:r>
      <w:r w:rsidR="005706EC">
        <w:rPr>
          <w:szCs w:val="22"/>
        </w:rPr>
        <w:t xml:space="preserve"> of possible exclusion errors.</w:t>
      </w:r>
    </w:p>
    <w:p w:rsidR="00234875" w:rsidRPr="008509B8" w:rsidRDefault="00C310F4" w:rsidP="00BF2045">
      <w:pPr>
        <w:pStyle w:val="BodyText"/>
        <w:rPr>
          <w:szCs w:val="22"/>
        </w:rPr>
      </w:pPr>
      <w:r>
        <w:rPr>
          <w:szCs w:val="22"/>
        </w:rPr>
        <w:t xml:space="preserve">Australian </w:t>
      </w:r>
      <w:r w:rsidR="00234875" w:rsidRPr="00745FE3">
        <w:rPr>
          <w:szCs w:val="22"/>
        </w:rPr>
        <w:t xml:space="preserve">support to the World Food Programme through a one-year pilot has allowed the efficiency and effectiveness of using cash versus food for the school scholarships to be </w:t>
      </w:r>
      <w:r w:rsidR="00EE4ABA" w:rsidRPr="00745FE3">
        <w:rPr>
          <w:szCs w:val="22"/>
        </w:rPr>
        <w:t>analys</w:t>
      </w:r>
      <w:r w:rsidR="00EE4ABA">
        <w:rPr>
          <w:szCs w:val="22"/>
        </w:rPr>
        <w:t>ed</w:t>
      </w:r>
      <w:r w:rsidR="00234875" w:rsidRPr="00745FE3">
        <w:rPr>
          <w:szCs w:val="22"/>
        </w:rPr>
        <w:t>. The pilot also includes the design and implementation of a new Public Assets and Livelihood Support program</w:t>
      </w:r>
      <w:r w:rsidR="00EE4ABA">
        <w:rPr>
          <w:szCs w:val="22"/>
        </w:rPr>
        <w:t xml:space="preserve">, which </w:t>
      </w:r>
      <w:r w:rsidR="00234875" w:rsidRPr="00745FE3">
        <w:rPr>
          <w:szCs w:val="22"/>
        </w:rPr>
        <w:t xml:space="preserve">is being tested in 10 communes in </w:t>
      </w:r>
      <w:proofErr w:type="spellStart"/>
      <w:r w:rsidR="00234875" w:rsidRPr="00745FE3">
        <w:rPr>
          <w:szCs w:val="22"/>
        </w:rPr>
        <w:t>Siem</w:t>
      </w:r>
      <w:proofErr w:type="spellEnd"/>
      <w:r w:rsidR="00234875" w:rsidRPr="00745FE3">
        <w:rPr>
          <w:szCs w:val="22"/>
        </w:rPr>
        <w:t xml:space="preserve"> Reap, one of the poorest provinces in Cambodia. Most projects are tertiary roads that will provide villagers </w:t>
      </w:r>
      <w:r w:rsidR="00EE4ABA">
        <w:rPr>
          <w:szCs w:val="22"/>
        </w:rPr>
        <w:t xml:space="preserve">with </w:t>
      </w:r>
      <w:r w:rsidR="00234875" w:rsidRPr="00745FE3">
        <w:rPr>
          <w:szCs w:val="22"/>
        </w:rPr>
        <w:t>better access to social services and markets. Implementation is slightly behind schedule, but results are expected by the end of 2013.</w:t>
      </w:r>
    </w:p>
    <w:p w:rsidR="00453805" w:rsidRPr="00BF2045" w:rsidRDefault="00453805" w:rsidP="00BF2045">
      <w:pPr>
        <w:pStyle w:val="Heading2"/>
      </w:pPr>
      <w:r w:rsidRPr="00BF2045">
        <w:t>Objective 2: Increased access to quality health services through improved health management</w:t>
      </w:r>
    </w:p>
    <w:p w:rsidR="00453805" w:rsidRPr="00661ADA" w:rsidRDefault="00453805" w:rsidP="00661ADA">
      <w:pPr>
        <w:pStyle w:val="BodyText"/>
        <w:rPr>
          <w:i/>
        </w:rPr>
      </w:pPr>
      <w:r w:rsidRPr="00661ADA">
        <w:rPr>
          <w:i/>
        </w:rPr>
        <w:t>Cambodia development goal: Progress towards the health MDGs with a focus on maternal and child health</w:t>
      </w:r>
    </w:p>
    <w:tbl>
      <w:tblPr>
        <w:tblStyle w:val="APPR"/>
        <w:tblW w:w="5000" w:type="pct"/>
        <w:tblLook w:val="01E0" w:firstRow="1" w:lastRow="1" w:firstColumn="1" w:lastColumn="1" w:noHBand="0" w:noVBand="0"/>
      </w:tblPr>
      <w:tblGrid>
        <w:gridCol w:w="6894"/>
        <w:gridCol w:w="1713"/>
      </w:tblGrid>
      <w:tr w:rsidR="00453805" w:rsidRPr="00BF2045" w:rsidTr="00BF2045">
        <w:trPr>
          <w:cnfStyle w:val="100000000000" w:firstRow="1" w:lastRow="0" w:firstColumn="0" w:lastColumn="0" w:oddVBand="0" w:evenVBand="0" w:oddHBand="0" w:evenHBand="0" w:firstRowFirstColumn="0" w:firstRowLastColumn="0" w:lastRowFirstColumn="0" w:lastRowLastColumn="0"/>
        </w:trPr>
        <w:tc>
          <w:tcPr>
            <w:tcW w:w="3981" w:type="pct"/>
          </w:tcPr>
          <w:p w:rsidR="00453805" w:rsidRPr="00BF2045" w:rsidRDefault="00453805" w:rsidP="00BF2045">
            <w:pPr>
              <w:pStyle w:val="TableTextColumnHeading"/>
              <w:rPr>
                <w:rFonts w:eastAsia="Calibri"/>
                <w:b/>
              </w:rPr>
            </w:pPr>
            <w:r w:rsidRPr="00BF2045">
              <w:rPr>
                <w:rFonts w:eastAsia="Calibri"/>
                <w:b/>
              </w:rPr>
              <w:t>Objective</w:t>
            </w:r>
          </w:p>
        </w:tc>
        <w:tc>
          <w:tcPr>
            <w:tcW w:w="970" w:type="pct"/>
          </w:tcPr>
          <w:p w:rsidR="00453805" w:rsidRPr="00BF2045" w:rsidRDefault="00453805" w:rsidP="00BF2045">
            <w:pPr>
              <w:pStyle w:val="TableTextColumnHeading"/>
              <w:rPr>
                <w:rFonts w:eastAsia="Calibri"/>
                <w:b/>
              </w:rPr>
            </w:pPr>
            <w:r w:rsidRPr="00BF2045">
              <w:rPr>
                <w:rFonts w:eastAsia="Calibri"/>
                <w:b/>
              </w:rPr>
              <w:t xml:space="preserve">Current rating </w:t>
            </w:r>
          </w:p>
        </w:tc>
      </w:tr>
      <w:tr w:rsidR="00453805" w:rsidRPr="00BF2045" w:rsidTr="00BF2045">
        <w:trPr>
          <w:cnfStyle w:val="100000000000" w:firstRow="1" w:lastRow="0" w:firstColumn="0" w:lastColumn="0" w:oddVBand="0" w:evenVBand="0" w:oddHBand="0" w:evenHBand="0" w:firstRowFirstColumn="0" w:firstRowLastColumn="0" w:lastRowFirstColumn="0" w:lastRowLastColumn="0"/>
        </w:trPr>
        <w:tc>
          <w:tcPr>
            <w:tcW w:w="3981" w:type="pct"/>
          </w:tcPr>
          <w:p w:rsidR="00453805" w:rsidRPr="00BF2045" w:rsidRDefault="00453805" w:rsidP="00BF2045">
            <w:pPr>
              <w:pStyle w:val="TableTextEntries"/>
              <w:rPr>
                <w:rFonts w:eastAsia="Calibri"/>
                <w:b w:val="0"/>
              </w:rPr>
            </w:pPr>
            <w:r w:rsidRPr="00BF2045">
              <w:rPr>
                <w:rFonts w:eastAsia="Calibri"/>
                <w:b w:val="0"/>
              </w:rPr>
              <w:t>Objective 2 Increased access to quality health services for the poor, women and children through improved health management</w:t>
            </w:r>
          </w:p>
        </w:tc>
        <w:tc>
          <w:tcPr>
            <w:tcW w:w="970" w:type="pct"/>
            <w:shd w:val="clear" w:color="auto" w:fill="92D050"/>
          </w:tcPr>
          <w:p w:rsidR="00453805" w:rsidRPr="00BF2045" w:rsidRDefault="008A45C9" w:rsidP="00BF2045">
            <w:pPr>
              <w:pStyle w:val="TableTextEntries"/>
              <w:rPr>
                <w:rFonts w:eastAsia="Calibri"/>
                <w:b w:val="0"/>
              </w:rPr>
            </w:pPr>
            <w:r>
              <w:rPr>
                <w:rFonts w:eastAsia="Calibri"/>
                <w:b w:val="0"/>
              </w:rPr>
              <w:t>G</w:t>
            </w:r>
            <w:r w:rsidR="00453805" w:rsidRPr="00BF2045">
              <w:rPr>
                <w:rFonts w:eastAsia="Calibri"/>
                <w:b w:val="0"/>
              </w:rPr>
              <w:t>reen</w:t>
            </w:r>
          </w:p>
        </w:tc>
      </w:tr>
    </w:tbl>
    <w:p w:rsidR="00453805" w:rsidRPr="00745FE3" w:rsidRDefault="00453805" w:rsidP="00BF2045">
      <w:pPr>
        <w:pStyle w:val="Heading3"/>
      </w:pPr>
      <w:r w:rsidRPr="00745FE3">
        <w:t>Annual milestone targets 2012</w:t>
      </w:r>
    </w:p>
    <w:p w:rsidR="00635251" w:rsidRPr="00FA1594" w:rsidRDefault="00635251" w:rsidP="00BF2045">
      <w:pPr>
        <w:pStyle w:val="ListBullet"/>
      </w:pPr>
      <w:r w:rsidRPr="007D0B3E">
        <w:t>74</w:t>
      </w:r>
      <w:r w:rsidR="00FB72CE" w:rsidRPr="00FA1594">
        <w:t xml:space="preserve"> per cent</w:t>
      </w:r>
      <w:r w:rsidRPr="00FA1594">
        <w:t xml:space="preserve"> of births attended by trained health staff (achieved)</w:t>
      </w:r>
      <w:r w:rsidR="00982937" w:rsidRPr="00FA1594">
        <w:t>.</w:t>
      </w:r>
    </w:p>
    <w:p w:rsidR="00635251" w:rsidRPr="00FA1594" w:rsidRDefault="00635251" w:rsidP="00BF2045">
      <w:pPr>
        <w:pStyle w:val="ListBullet"/>
      </w:pPr>
      <w:r w:rsidRPr="00FA1594">
        <w:t>80</w:t>
      </w:r>
      <w:r w:rsidR="00FB72CE" w:rsidRPr="00FA1594">
        <w:t xml:space="preserve"> per cent</w:t>
      </w:r>
      <w:r w:rsidRPr="00FA1594">
        <w:t xml:space="preserve"> coverage </w:t>
      </w:r>
      <w:r w:rsidR="00EE4ABA">
        <w:t xml:space="preserve">for </w:t>
      </w:r>
      <w:r w:rsidRPr="00FA1594">
        <w:t xml:space="preserve">health equity funds (partially </w:t>
      </w:r>
      <w:proofErr w:type="gramStart"/>
      <w:r w:rsidRPr="00FA1594">
        <w:t>achieved</w:t>
      </w:r>
      <w:r w:rsidR="00EE4ABA">
        <w:t>,</w:t>
      </w:r>
      <w:proofErr w:type="gramEnd"/>
      <w:r w:rsidR="00EE4ABA" w:rsidRPr="00FA1594">
        <w:t xml:space="preserve"> </w:t>
      </w:r>
      <w:r w:rsidRPr="00FA1594">
        <w:t>actual results 78</w:t>
      </w:r>
      <w:r w:rsidR="00FB72CE" w:rsidRPr="00FA1594">
        <w:t xml:space="preserve"> per cent</w:t>
      </w:r>
      <w:r w:rsidRPr="00FA1594">
        <w:t>)</w:t>
      </w:r>
      <w:r w:rsidR="00982937" w:rsidRPr="00FA1594">
        <w:t>.</w:t>
      </w:r>
    </w:p>
    <w:p w:rsidR="00635251" w:rsidRPr="007D0B3E" w:rsidRDefault="00EE4ABA" w:rsidP="00BF2045">
      <w:pPr>
        <w:pStyle w:val="ListBullet"/>
      </w:pPr>
      <w:r>
        <w:t>Five</w:t>
      </w:r>
      <w:r w:rsidRPr="00FA1594">
        <w:t xml:space="preserve"> </w:t>
      </w:r>
      <w:r w:rsidR="00635251" w:rsidRPr="00FA1594">
        <w:t>sites offering harm reduction services (par</w:t>
      </w:r>
      <w:r w:rsidR="00982937" w:rsidRPr="00FA1594">
        <w:t>tially achieved</w:t>
      </w:r>
      <w:r>
        <w:t>,</w:t>
      </w:r>
      <w:r w:rsidRPr="00FA1594">
        <w:t xml:space="preserve"> </w:t>
      </w:r>
      <w:r w:rsidR="00982937" w:rsidRPr="00FA1594">
        <w:t xml:space="preserve">actual result </w:t>
      </w:r>
      <w:r>
        <w:t>four</w:t>
      </w:r>
      <w:r w:rsidRPr="00FA1594">
        <w:t xml:space="preserve"> </w:t>
      </w:r>
      <w:r w:rsidR="00635251" w:rsidRPr="00FA1594">
        <w:t>sites)</w:t>
      </w:r>
      <w:r w:rsidR="00FC5DD2" w:rsidRPr="00FA1594">
        <w:t>.</w:t>
      </w:r>
      <w:r w:rsidR="00FC5DD2" w:rsidRPr="00BF2045">
        <w:rPr>
          <w:rStyle w:val="BodyTextChar"/>
          <w:vertAlign w:val="superscript"/>
        </w:rPr>
        <w:footnoteReference w:id="23"/>
      </w:r>
    </w:p>
    <w:p w:rsidR="00E115D8" w:rsidRPr="00FA1594" w:rsidRDefault="00635251" w:rsidP="00BF2045">
      <w:pPr>
        <w:pStyle w:val="BodyText"/>
      </w:pPr>
      <w:r w:rsidRPr="00FA1594">
        <w:t>The health of Cambodian people continued to improve in 2012.</w:t>
      </w:r>
      <w:r w:rsidR="00CD6B2F">
        <w:t xml:space="preserve"> </w:t>
      </w:r>
      <w:r w:rsidRPr="00FA1594">
        <w:t>While new health outcome information, such as changes in maternal mortality, was not available in this reporting period</w:t>
      </w:r>
      <w:r w:rsidR="00EE4ABA">
        <w:t>,</w:t>
      </w:r>
      <w:r w:rsidRPr="007D0B3E">
        <w:rPr>
          <w:vertAlign w:val="superscript"/>
        </w:rPr>
        <w:footnoteReference w:id="24"/>
      </w:r>
      <w:r w:rsidRPr="007D0B3E">
        <w:t xml:space="preserve"> reliable data</w:t>
      </w:r>
      <w:r w:rsidRPr="007D0B3E">
        <w:rPr>
          <w:vertAlign w:val="superscript"/>
        </w:rPr>
        <w:footnoteReference w:id="25"/>
      </w:r>
      <w:r w:rsidRPr="007D0B3E">
        <w:t xml:space="preserve"> showed consistently encouraging trends.</w:t>
      </w:r>
      <w:r w:rsidR="00CD6B2F">
        <w:t xml:space="preserve"> </w:t>
      </w:r>
      <w:r w:rsidRPr="007D0B3E">
        <w:t xml:space="preserve">The </w:t>
      </w:r>
      <w:r w:rsidR="00EE4ABA">
        <w:t>Cambodian Government</w:t>
      </w:r>
      <w:r w:rsidR="00EE4ABA" w:rsidRPr="007D0B3E">
        <w:t xml:space="preserve"> </w:t>
      </w:r>
      <w:r w:rsidRPr="007D0B3E">
        <w:t xml:space="preserve">continued to prioritise maternal and child health and </w:t>
      </w:r>
      <w:r w:rsidR="006A723E" w:rsidRPr="00FA1594">
        <w:t xml:space="preserve">the trajectory of </w:t>
      </w:r>
      <w:r w:rsidRPr="00FA1594">
        <w:t xml:space="preserve">proxy indicators </w:t>
      </w:r>
      <w:r w:rsidR="006A723E" w:rsidRPr="00FA1594">
        <w:t xml:space="preserve">year on year </w:t>
      </w:r>
      <w:r w:rsidRPr="00FA1594">
        <w:t>suggest</w:t>
      </w:r>
      <w:r w:rsidR="00847CD7">
        <w:t>s</w:t>
      </w:r>
      <w:r w:rsidRPr="00FA1594">
        <w:t xml:space="preserve"> that </w:t>
      </w:r>
      <w:r w:rsidR="006A723E" w:rsidRPr="00FA1594">
        <w:t xml:space="preserve">progress in </w:t>
      </w:r>
      <w:r w:rsidRPr="00FA1594">
        <w:t xml:space="preserve">maternal mortality </w:t>
      </w:r>
      <w:r w:rsidR="006A723E" w:rsidRPr="00FA1594">
        <w:t>reduction probably remains on track</w:t>
      </w:r>
      <w:r w:rsidRPr="00FA1594">
        <w:t xml:space="preserve">. The </w:t>
      </w:r>
      <w:r w:rsidR="00EE4ABA">
        <w:t>government</w:t>
      </w:r>
      <w:r w:rsidR="00EE4ABA" w:rsidRPr="00FA1594">
        <w:t xml:space="preserve"> </w:t>
      </w:r>
      <w:r w:rsidRPr="00FA1594">
        <w:t>has also shown high-level commitment to tackling the chronically high rates of childhood malnutrition</w:t>
      </w:r>
      <w:r w:rsidR="006A723E" w:rsidRPr="00FA1594">
        <w:t>, notably stunting, as</w:t>
      </w:r>
      <w:r w:rsidRPr="00FA1594">
        <w:t xml:space="preserve"> reported in Cambodia’s 2011 </w:t>
      </w:r>
      <w:r w:rsidR="00021F54">
        <w:t>a</w:t>
      </w:r>
      <w:r w:rsidR="00021F54" w:rsidRPr="00FA1594">
        <w:t xml:space="preserve">nnual </w:t>
      </w:r>
      <w:r w:rsidR="00021F54">
        <w:t>p</w:t>
      </w:r>
      <w:r w:rsidR="00021F54" w:rsidRPr="00FA1594">
        <w:t xml:space="preserve">rogram </w:t>
      </w:r>
      <w:r w:rsidR="00021F54">
        <w:t>p</w:t>
      </w:r>
      <w:r w:rsidR="00021F54" w:rsidRPr="00FA1594">
        <w:t xml:space="preserve">erformance </w:t>
      </w:r>
      <w:r w:rsidR="00021F54">
        <w:t>r</w:t>
      </w:r>
      <w:r w:rsidR="00021F54" w:rsidRPr="00FA1594">
        <w:t>eport</w:t>
      </w:r>
      <w:r w:rsidR="00532B9B">
        <w:rPr>
          <w:rStyle w:val="FootnoteReference"/>
        </w:rPr>
        <w:footnoteReference w:id="26"/>
      </w:r>
      <w:r w:rsidR="00EE4ABA">
        <w:t>. It</w:t>
      </w:r>
      <w:r w:rsidR="00EE4ABA" w:rsidRPr="00FA1594">
        <w:t xml:space="preserve"> </w:t>
      </w:r>
      <w:r w:rsidR="006A723E" w:rsidRPr="00FA1594">
        <w:t xml:space="preserve">has </w:t>
      </w:r>
      <w:r w:rsidR="00EE4ABA">
        <w:t xml:space="preserve">also </w:t>
      </w:r>
      <w:r w:rsidR="006A723E" w:rsidRPr="00FA1594">
        <w:t xml:space="preserve">mandated </w:t>
      </w:r>
      <w:r w:rsidR="008A0CB2" w:rsidRPr="00FA1594">
        <w:t>the Cambodia Council for Agricultural and Rural Development</w:t>
      </w:r>
      <w:r w:rsidR="006A723E" w:rsidRPr="00FA1594">
        <w:t xml:space="preserve"> to overs</w:t>
      </w:r>
      <w:r w:rsidR="00EE4ABA">
        <w:t xml:space="preserve">ee </w:t>
      </w:r>
      <w:r w:rsidR="006A723E" w:rsidRPr="00FA1594">
        <w:t>inter-</w:t>
      </w:r>
      <w:r w:rsidR="00EE4ABA">
        <w:t>m</w:t>
      </w:r>
      <w:r w:rsidR="00EE4ABA" w:rsidRPr="00FA1594">
        <w:t xml:space="preserve">inisterial </w:t>
      </w:r>
      <w:r w:rsidR="006A723E" w:rsidRPr="00FA1594">
        <w:t>coordination on nutrition and food security, but this has yet to be translated into concrete inter-sectoral interventions</w:t>
      </w:r>
      <w:r w:rsidRPr="00FA1594">
        <w:t>.</w:t>
      </w:r>
      <w:r w:rsidR="00CD6B2F">
        <w:t xml:space="preserve"> </w:t>
      </w:r>
      <w:r w:rsidRPr="00FA1594">
        <w:t>There have been encouraging decreases in malaria cases</w:t>
      </w:r>
      <w:r w:rsidRPr="007D0B3E">
        <w:rPr>
          <w:vertAlign w:val="superscript"/>
        </w:rPr>
        <w:footnoteReference w:id="27"/>
      </w:r>
      <w:r w:rsidRPr="007D0B3E">
        <w:rPr>
          <w:vertAlign w:val="superscript"/>
        </w:rPr>
        <w:t xml:space="preserve"> </w:t>
      </w:r>
      <w:r w:rsidRPr="00FA1594">
        <w:t>and deaths</w:t>
      </w:r>
      <w:r w:rsidRPr="007D0B3E">
        <w:rPr>
          <w:vertAlign w:val="superscript"/>
        </w:rPr>
        <w:footnoteReference w:id="28"/>
      </w:r>
      <w:r w:rsidRPr="007D0B3E">
        <w:t xml:space="preserve"> and Cambodia played a prominent role </w:t>
      </w:r>
      <w:r w:rsidRPr="007D0B3E">
        <w:lastRenderedPageBreak/>
        <w:t xml:space="preserve">in the </w:t>
      </w:r>
      <w:r w:rsidRPr="00847CD7">
        <w:rPr>
          <w:i/>
        </w:rPr>
        <w:t>Malaria 2012: Saving Lives in the Asia</w:t>
      </w:r>
      <w:r w:rsidR="00181239" w:rsidRPr="00847CD7">
        <w:rPr>
          <w:i/>
        </w:rPr>
        <w:t>–</w:t>
      </w:r>
      <w:r w:rsidRPr="00847CD7">
        <w:rPr>
          <w:i/>
        </w:rPr>
        <w:t>Pacific</w:t>
      </w:r>
      <w:r w:rsidR="00D0648C" w:rsidRPr="00FA1594">
        <w:t xml:space="preserve"> conference</w:t>
      </w:r>
      <w:r w:rsidRPr="00FA1594">
        <w:t xml:space="preserve">, </w:t>
      </w:r>
      <w:r w:rsidR="00EE4ABA">
        <w:t xml:space="preserve">which was </w:t>
      </w:r>
      <w:r w:rsidRPr="00FA1594">
        <w:t>co-hosted by Australia.</w:t>
      </w:r>
      <w:r w:rsidR="00580CBA">
        <w:t xml:space="preserve"> </w:t>
      </w:r>
      <w:r w:rsidRPr="007D0B3E">
        <w:t>However, reforms in budget transparency, financial management and decentralisation of health services remain slow and uneven.</w:t>
      </w:r>
    </w:p>
    <w:p w:rsidR="00CD232A" w:rsidRPr="00FA1594" w:rsidRDefault="00635251" w:rsidP="00BF2045">
      <w:pPr>
        <w:pStyle w:val="BodyText"/>
      </w:pPr>
      <w:r w:rsidRPr="00FA1594">
        <w:t>The donor environment for health is also changing</w:t>
      </w:r>
      <w:r w:rsidR="00675F6B">
        <w:t>. T</w:t>
      </w:r>
      <w:r w:rsidRPr="007D0B3E">
        <w:t>raditional bilateral donors, such as Belgium, France and the U</w:t>
      </w:r>
      <w:r w:rsidR="00EE4ABA">
        <w:t xml:space="preserve">nited </w:t>
      </w:r>
      <w:r w:rsidRPr="007D0B3E">
        <w:t>K</w:t>
      </w:r>
      <w:r w:rsidR="00EE4ABA">
        <w:t>ingdom</w:t>
      </w:r>
      <w:r w:rsidRPr="00FA1594">
        <w:t xml:space="preserve"> are leaving</w:t>
      </w:r>
      <w:r w:rsidR="006A723E" w:rsidRPr="00FA1594">
        <w:t xml:space="preserve"> </w:t>
      </w:r>
      <w:r w:rsidRPr="00FA1594">
        <w:t>while new donors</w:t>
      </w:r>
      <w:r w:rsidR="00675F6B">
        <w:t>,</w:t>
      </w:r>
      <w:r w:rsidRPr="00FA1594">
        <w:t xml:space="preserve"> such as South Korea, are showing interest in entering</w:t>
      </w:r>
      <w:r w:rsidRPr="00764322">
        <w:t>.</w:t>
      </w:r>
      <w:r w:rsidR="00CD6B2F">
        <w:t xml:space="preserve"> </w:t>
      </w:r>
      <w:r w:rsidR="00CD232A" w:rsidRPr="00764322">
        <w:t>The World Bank’s future support to the health sector remains uncertain and is only likely to cl</w:t>
      </w:r>
      <w:r w:rsidR="00DF3C47" w:rsidRPr="00764322">
        <w:t>arif</w:t>
      </w:r>
      <w:r w:rsidR="00142FE5" w:rsidRPr="00764322">
        <w:t>y</w:t>
      </w:r>
      <w:r w:rsidR="00DF3C47" w:rsidRPr="00764322">
        <w:t xml:space="preserve"> after the Cambodian </w:t>
      </w:r>
      <w:r w:rsidR="00CD232A" w:rsidRPr="00764322">
        <w:t>national election in July</w:t>
      </w:r>
      <w:r w:rsidR="00DF3C47" w:rsidRPr="00764322">
        <w:t xml:space="preserve"> 2013</w:t>
      </w:r>
      <w:r w:rsidR="00CD232A" w:rsidRPr="00764322">
        <w:t>.</w:t>
      </w:r>
      <w:r w:rsidR="00CD232A">
        <w:t xml:space="preserve"> </w:t>
      </w:r>
    </w:p>
    <w:p w:rsidR="00E115D8" w:rsidRDefault="00635251" w:rsidP="00BF2045">
      <w:pPr>
        <w:pStyle w:val="BodyText"/>
      </w:pPr>
      <w:r w:rsidRPr="00FA1594">
        <w:t xml:space="preserve">Against this background of </w:t>
      </w:r>
      <w:r w:rsidR="00EE4ABA">
        <w:t>uncertainty</w:t>
      </w:r>
      <w:r w:rsidR="00EE4ABA" w:rsidRPr="00FA1594">
        <w:t xml:space="preserve"> </w:t>
      </w:r>
      <w:r w:rsidRPr="00FA1594">
        <w:t xml:space="preserve">and opportunity, Australia is now the </w:t>
      </w:r>
      <w:r w:rsidR="00796C11" w:rsidRPr="00FA1594">
        <w:t xml:space="preserve">only </w:t>
      </w:r>
      <w:r w:rsidRPr="00FA1594">
        <w:t xml:space="preserve">major bilateral donor for health working closely with </w:t>
      </w:r>
      <w:r w:rsidR="00EE4ABA">
        <w:t>Cambodian Government</w:t>
      </w:r>
      <w:r w:rsidR="00EE4ABA" w:rsidRPr="00FA1594">
        <w:t xml:space="preserve"> </w:t>
      </w:r>
      <w:r w:rsidRPr="00FA1594">
        <w:t>systems</w:t>
      </w:r>
      <w:r w:rsidR="00E115D8" w:rsidRPr="00FA1594">
        <w:t>.</w:t>
      </w:r>
      <w:r w:rsidR="00CD6B2F">
        <w:t xml:space="preserve"> </w:t>
      </w:r>
      <w:r w:rsidR="00E115D8" w:rsidRPr="007D0B3E">
        <w:t xml:space="preserve">As </w:t>
      </w:r>
      <w:r w:rsidR="003A3850">
        <w:t xml:space="preserve">a </w:t>
      </w:r>
      <w:r w:rsidR="00E115D8" w:rsidRPr="007D0B3E">
        <w:t xml:space="preserve">result </w:t>
      </w:r>
      <w:r w:rsidR="00C310F4">
        <w:t xml:space="preserve">the Phnom Penh post </w:t>
      </w:r>
      <w:r w:rsidR="00E115D8" w:rsidRPr="007D0B3E">
        <w:t>has significantly expanded the resources available</w:t>
      </w:r>
      <w:r w:rsidR="00E115D8" w:rsidRPr="00FA1594">
        <w:t xml:space="preserve"> to sustain and support this heightened level of engagement and visibility. </w:t>
      </w:r>
      <w:r w:rsidR="00C310F4">
        <w:t xml:space="preserve">The </w:t>
      </w:r>
      <w:r w:rsidR="00E115D8" w:rsidRPr="00FA1594">
        <w:t xml:space="preserve">experienced </w:t>
      </w:r>
      <w:r w:rsidR="00EE4ABA">
        <w:t>h</w:t>
      </w:r>
      <w:r w:rsidR="00EE4ABA" w:rsidRPr="00FA1594">
        <w:t xml:space="preserve">ealth </w:t>
      </w:r>
      <w:r w:rsidR="00181239">
        <w:t>t</w:t>
      </w:r>
      <w:r w:rsidR="00181239" w:rsidRPr="00FA1594">
        <w:t>eam</w:t>
      </w:r>
      <w:r w:rsidR="00C310F4">
        <w:t xml:space="preserve"> in Cambodia </w:t>
      </w:r>
      <w:r w:rsidR="00181239" w:rsidRPr="00FA1594">
        <w:t>is involved</w:t>
      </w:r>
      <w:r w:rsidR="00E115D8" w:rsidRPr="00FA1594">
        <w:t xml:space="preserve"> in key areas of policy and dialogue with </w:t>
      </w:r>
      <w:r w:rsidR="00EE4ABA">
        <w:t>the government</w:t>
      </w:r>
      <w:r w:rsidR="00EE4ABA" w:rsidRPr="00FA1594">
        <w:t xml:space="preserve"> </w:t>
      </w:r>
      <w:r w:rsidR="00E115D8" w:rsidRPr="00FA1594">
        <w:t>and other development partners</w:t>
      </w:r>
      <w:r w:rsidR="00580CBA">
        <w:t>,</w:t>
      </w:r>
      <w:r w:rsidR="00E115D8" w:rsidRPr="00FA1594">
        <w:rPr>
          <w:rStyle w:val="FootnoteReference"/>
          <w:sz w:val="14"/>
          <w:szCs w:val="14"/>
        </w:rPr>
        <w:footnoteReference w:id="29"/>
      </w:r>
      <w:r w:rsidR="00580CBA">
        <w:t xml:space="preserve"> including </w:t>
      </w:r>
      <w:r w:rsidR="00EE6519">
        <w:t>as co-chair</w:t>
      </w:r>
      <w:r w:rsidR="00181239">
        <w:t xml:space="preserve"> </w:t>
      </w:r>
      <w:r w:rsidR="00EE6519">
        <w:t xml:space="preserve">of the influential </w:t>
      </w:r>
      <w:r w:rsidR="00E115D8" w:rsidRPr="00FA1594">
        <w:t xml:space="preserve">Health Partners Group with </w:t>
      </w:r>
      <w:r w:rsidR="00EE4ABA">
        <w:t xml:space="preserve">the </w:t>
      </w:r>
      <w:r w:rsidR="00E115D8" w:rsidRPr="00FA1594">
        <w:t>W</w:t>
      </w:r>
      <w:r w:rsidR="00EE4ABA">
        <w:t xml:space="preserve">orld </w:t>
      </w:r>
      <w:r w:rsidR="00E115D8" w:rsidRPr="00FA1594">
        <w:t>H</w:t>
      </w:r>
      <w:r w:rsidR="00EE4ABA">
        <w:t>ealth Organization</w:t>
      </w:r>
      <w:r w:rsidR="00E115D8" w:rsidRPr="00FA1594">
        <w:t>.</w:t>
      </w:r>
    </w:p>
    <w:p w:rsidR="00635251" w:rsidRPr="00FA1594" w:rsidRDefault="00635251" w:rsidP="00BF2045">
      <w:pPr>
        <w:pStyle w:val="BodyText"/>
      </w:pPr>
      <w:r w:rsidRPr="00FA1594">
        <w:t>Australia’s goal is to save lives by supporting equitable access to and efficient delivery of quality health services.</w:t>
      </w:r>
      <w:r w:rsidR="00CD6B2F">
        <w:t xml:space="preserve"> </w:t>
      </w:r>
      <w:r w:rsidRPr="00FA1594">
        <w:t xml:space="preserve">Our </w:t>
      </w:r>
      <w:r w:rsidR="000946CB" w:rsidRPr="00FA1594">
        <w:t xml:space="preserve">largest </w:t>
      </w:r>
      <w:r w:rsidRPr="00FA1594">
        <w:t>investment finances the second Health Sector Support Program, in collaboration with the World Bank and other partners.</w:t>
      </w:r>
      <w:r w:rsidR="00CD6B2F">
        <w:t xml:space="preserve"> </w:t>
      </w:r>
      <w:r w:rsidR="00796C11" w:rsidRPr="00FA1594">
        <w:t>In 2012 t</w:t>
      </w:r>
      <w:r w:rsidR="00982937" w:rsidRPr="00FA1594">
        <w:t xml:space="preserve">his funding helped </w:t>
      </w:r>
      <w:r w:rsidRPr="00FA1594">
        <w:t>78 per cent of people living under the poverty line</w:t>
      </w:r>
      <w:r w:rsidR="00796C11" w:rsidRPr="00FA1594">
        <w:t xml:space="preserve"> access a range of free medical services.</w:t>
      </w:r>
      <w:r w:rsidRPr="00FA1594">
        <w:t xml:space="preserve"> </w:t>
      </w:r>
      <w:r w:rsidR="00C310F4">
        <w:t>Australia</w:t>
      </w:r>
      <w:r w:rsidRPr="00FA1594">
        <w:t xml:space="preserve"> also supported basic service delivery through performance-based grants to health centres and hospitals.</w:t>
      </w:r>
      <w:r w:rsidR="00CD6B2F">
        <w:t xml:space="preserve"> </w:t>
      </w:r>
      <w:r w:rsidRPr="00FA1594">
        <w:t>This contributed to Cambodia’s success in enabling approximately 280</w:t>
      </w:r>
      <w:r w:rsidR="00114F43">
        <w:t xml:space="preserve"> </w:t>
      </w:r>
      <w:r w:rsidRPr="00FA1594">
        <w:t>000 births to be attended by trained health staff (</w:t>
      </w:r>
      <w:r w:rsidR="00C310F4">
        <w:t>Australia’s</w:t>
      </w:r>
      <w:r w:rsidRPr="00FA1594">
        <w:t xml:space="preserve"> contribution is estimated at 17</w:t>
      </w:r>
      <w:r w:rsidR="00114F43">
        <w:t xml:space="preserve"> </w:t>
      </w:r>
      <w:r w:rsidRPr="00FA1594">
        <w:t xml:space="preserve">500) and approximately </w:t>
      </w:r>
      <w:r w:rsidR="00D648F8" w:rsidRPr="00FA1594">
        <w:t>336</w:t>
      </w:r>
      <w:r w:rsidR="00114F43">
        <w:t xml:space="preserve"> </w:t>
      </w:r>
      <w:r w:rsidR="00D648F8" w:rsidRPr="00FA1594">
        <w:t xml:space="preserve">549 </w:t>
      </w:r>
      <w:r w:rsidRPr="007D0B3E">
        <w:t>children to be fully vaccinated</w:t>
      </w:r>
      <w:r w:rsidR="00114F43">
        <w:t>.</w:t>
      </w:r>
      <w:r w:rsidRPr="007D0B3E">
        <w:rPr>
          <w:vertAlign w:val="superscript"/>
        </w:rPr>
        <w:footnoteReference w:id="30"/>
      </w:r>
      <w:r w:rsidRPr="007D0B3E">
        <w:t xml:space="preserve"> </w:t>
      </w:r>
      <w:r w:rsidR="00114F43">
        <w:t xml:space="preserve">A total of </w:t>
      </w:r>
      <w:r w:rsidR="00D648F8" w:rsidRPr="00FA1594">
        <w:t>20</w:t>
      </w:r>
      <w:r w:rsidR="00114F43">
        <w:t xml:space="preserve"> </w:t>
      </w:r>
      <w:r w:rsidR="00D648F8" w:rsidRPr="00FA1594">
        <w:t>901</w:t>
      </w:r>
      <w:r w:rsidR="00114F43">
        <w:t xml:space="preserve"> </w:t>
      </w:r>
      <w:r w:rsidRPr="00FA1594">
        <w:t xml:space="preserve">of </w:t>
      </w:r>
      <w:r w:rsidR="00114F43">
        <w:t>these vaccinations</w:t>
      </w:r>
      <w:r w:rsidRPr="00FA1594">
        <w:t xml:space="preserve"> could be at</w:t>
      </w:r>
      <w:r w:rsidR="00D648F8" w:rsidRPr="00FA1594">
        <w:t xml:space="preserve">tributed to </w:t>
      </w:r>
      <w:r w:rsidR="00C310F4">
        <w:t>Australian</w:t>
      </w:r>
      <w:r w:rsidR="00D648F8" w:rsidRPr="00FA1594">
        <w:t xml:space="preserve"> funding</w:t>
      </w:r>
      <w:r w:rsidR="00D0648C" w:rsidRPr="00FA1594">
        <w:t xml:space="preserve"> in 2012</w:t>
      </w:r>
      <w:r w:rsidR="00D648F8" w:rsidRPr="00FA1594">
        <w:t>.</w:t>
      </w:r>
      <w:r w:rsidR="006A723E" w:rsidRPr="00FA1594">
        <w:t xml:space="preserve"> Skilled </w:t>
      </w:r>
      <w:r w:rsidR="00114F43">
        <w:t>b</w:t>
      </w:r>
      <w:r w:rsidR="00114F43" w:rsidRPr="00FA1594">
        <w:t xml:space="preserve">irth </w:t>
      </w:r>
      <w:r w:rsidR="00114F43">
        <w:t>a</w:t>
      </w:r>
      <w:r w:rsidR="00114F43" w:rsidRPr="00FA1594">
        <w:t xml:space="preserve">ttendance </w:t>
      </w:r>
      <w:r w:rsidR="006A723E" w:rsidRPr="00FA1594">
        <w:t xml:space="preserve">is a very important and internationally recognised proxy indicator for maternal mortality reduction and </w:t>
      </w:r>
      <w:r w:rsidR="00C310F4">
        <w:t>the Australian</w:t>
      </w:r>
      <w:r w:rsidR="006A723E" w:rsidRPr="00FA1594">
        <w:t xml:space="preserve"> contribution is significant and encouraging. The number of children vaccinated represents some 85</w:t>
      </w:r>
      <w:r w:rsidR="005706EC">
        <w:t xml:space="preserve"> </w:t>
      </w:r>
      <w:r w:rsidR="00FB72CE" w:rsidRPr="00FA1594">
        <w:t>per cent</w:t>
      </w:r>
      <w:r w:rsidR="006A723E" w:rsidRPr="00FA1594">
        <w:t xml:space="preserve"> coverage, so large increases as seen between 2005 and 2010 are not to be expected as coverage rates approach saturation. </w:t>
      </w:r>
      <w:r w:rsidR="002054F7">
        <w:t xml:space="preserve">Our </w:t>
      </w:r>
      <w:r w:rsidR="00CD3ED1" w:rsidRPr="00FA1594">
        <w:t xml:space="preserve">investment </w:t>
      </w:r>
      <w:r w:rsidR="002054F7">
        <w:t>in</w:t>
      </w:r>
      <w:r w:rsidR="006A723E" w:rsidRPr="00FA1594">
        <w:t xml:space="preserve"> vaccination contributes to maintaining these rates with small future increases likely to be through more effectively reaching marginalised communities. </w:t>
      </w:r>
    </w:p>
    <w:p w:rsidR="00E115D8" w:rsidRPr="00FA1594" w:rsidRDefault="00635251" w:rsidP="00BF2045">
      <w:pPr>
        <w:pStyle w:val="BodyText"/>
      </w:pPr>
      <w:r w:rsidRPr="00FA1594">
        <w:t>In 2012, we made progress in improving the quality of health care by supporting the first national medical examinations to ensure health professionals have the necessary skills to practice.</w:t>
      </w:r>
      <w:r w:rsidR="00CD6B2F">
        <w:t xml:space="preserve"> </w:t>
      </w:r>
      <w:r w:rsidRPr="00FA1594">
        <w:t xml:space="preserve">We also established new programs working with Australian </w:t>
      </w:r>
      <w:r w:rsidR="00BB1DBA">
        <w:t>non-government organisations</w:t>
      </w:r>
      <w:r w:rsidR="00BB1DBA" w:rsidRPr="00FA1594">
        <w:t xml:space="preserve"> </w:t>
      </w:r>
      <w:r w:rsidRPr="00FA1594">
        <w:t>to provide maternal, neonatal and eye care for hard-to-reach communities.</w:t>
      </w:r>
      <w:r w:rsidR="00CD6B2F">
        <w:t xml:space="preserve"> </w:t>
      </w:r>
    </w:p>
    <w:p w:rsidR="00037BA3" w:rsidRDefault="00635251" w:rsidP="00BF2045">
      <w:pPr>
        <w:pStyle w:val="BodyText"/>
      </w:pPr>
      <w:r w:rsidRPr="00FA1594">
        <w:t>While these results demonstrate good overall progress, there are still considerable differences in the quality and affordability of care available to different groups of people within Cambodia.</w:t>
      </w:r>
      <w:r w:rsidR="00CD6B2F">
        <w:t xml:space="preserve"> </w:t>
      </w:r>
      <w:r w:rsidRPr="00FA1594">
        <w:t>For example, while 97</w:t>
      </w:r>
      <w:r w:rsidR="00675F6B">
        <w:t xml:space="preserve"> </w:t>
      </w:r>
      <w:r w:rsidR="00FB72CE" w:rsidRPr="007D0B3E">
        <w:t>per cent</w:t>
      </w:r>
      <w:r w:rsidRPr="00FA1594">
        <w:t xml:space="preserve"> of the wealthiest women are now giving birth with a skilled attendant present, only 49</w:t>
      </w:r>
      <w:r w:rsidR="00675F6B">
        <w:t xml:space="preserve"> </w:t>
      </w:r>
      <w:r w:rsidR="00FB72CE" w:rsidRPr="007D0B3E">
        <w:t>per cent</w:t>
      </w:r>
      <w:r w:rsidRPr="00FA1594">
        <w:t xml:space="preserve"> of the poorest women are able to do so</w:t>
      </w:r>
      <w:r w:rsidR="00BB1DBA">
        <w:t>.</w:t>
      </w:r>
      <w:r w:rsidRPr="007D0B3E">
        <w:rPr>
          <w:vertAlign w:val="superscript"/>
        </w:rPr>
        <w:footnoteReference w:id="31"/>
      </w:r>
      <w:r w:rsidR="00CD6B2F">
        <w:t xml:space="preserve"> </w:t>
      </w:r>
      <w:r w:rsidRPr="00FA1594">
        <w:t xml:space="preserve">Emerging evidence also suggests that while the majority of poor people are </w:t>
      </w:r>
      <w:r w:rsidR="00E975B5" w:rsidRPr="00FA1594">
        <w:t>entitled to free essential care</w:t>
      </w:r>
      <w:r w:rsidRPr="00FA1594">
        <w:t>, many are not actually using it.</w:t>
      </w:r>
      <w:r w:rsidR="00CD6B2F">
        <w:t xml:space="preserve"> </w:t>
      </w:r>
      <w:r w:rsidRPr="00FA1594">
        <w:t>This highlights the need to help people understand the services available to them and to remove any additional barriers.</w:t>
      </w:r>
      <w:r w:rsidR="00CD6B2F">
        <w:t xml:space="preserve"> </w:t>
      </w:r>
      <w:r w:rsidRPr="00FA1594">
        <w:t>It also implies that resources are not being allocated within the public health system to where they are most needed</w:t>
      </w:r>
      <w:r w:rsidR="00037BA3">
        <w:t xml:space="preserve"> – nor are they being used as efficiently as they could be</w:t>
      </w:r>
      <w:r w:rsidRPr="00FA1594">
        <w:t>.</w:t>
      </w:r>
      <w:r w:rsidR="00CD6B2F">
        <w:t xml:space="preserve"> </w:t>
      </w:r>
      <w:r w:rsidR="00037BA3">
        <w:t>Further reforms to improve the transparency of Ministry of Health expenditure will be required to sustain development progress in the health sector.</w:t>
      </w:r>
      <w:r w:rsidR="00CD6B2F">
        <w:t xml:space="preserve"> </w:t>
      </w:r>
    </w:p>
    <w:p w:rsidR="00B57C1A" w:rsidRDefault="00B57C1A" w:rsidP="00BF2045">
      <w:pPr>
        <w:pStyle w:val="BodyText"/>
      </w:pPr>
      <w:r w:rsidRPr="00FA1594">
        <w:t>As a consequence of our experiences in 2012</w:t>
      </w:r>
      <w:r w:rsidR="00BB1DBA">
        <w:t>–</w:t>
      </w:r>
      <w:r w:rsidRPr="00FA1594">
        <w:t>13</w:t>
      </w:r>
      <w:r w:rsidR="00BB1DBA">
        <w:t>,</w:t>
      </w:r>
      <w:r w:rsidRPr="00FA1594">
        <w:t xml:space="preserve"> key policy dialogue priorities for the next year include improved budget transparency and efficiency, particularly in drugs procurement</w:t>
      </w:r>
      <w:r w:rsidR="00BB1DBA">
        <w:t>,</w:t>
      </w:r>
      <w:r w:rsidR="00BB1DBA" w:rsidRPr="00FA1594">
        <w:t xml:space="preserve"> </w:t>
      </w:r>
      <w:r w:rsidRPr="00FA1594">
        <w:lastRenderedPageBreak/>
        <w:t xml:space="preserve">the need for government to meet its ongoing contributions to </w:t>
      </w:r>
      <w:r w:rsidR="00BB1DBA" w:rsidRPr="00FA1594">
        <w:t xml:space="preserve">health equity funds </w:t>
      </w:r>
      <w:r w:rsidRPr="00FA1594">
        <w:t xml:space="preserve">and </w:t>
      </w:r>
      <w:r w:rsidR="00955106">
        <w:t>contraceptive commodity security</w:t>
      </w:r>
      <w:r w:rsidR="00BB1DBA">
        <w:t>,</w:t>
      </w:r>
      <w:r w:rsidR="00BB1DBA" w:rsidRPr="00FA1594">
        <w:t xml:space="preserve"> </w:t>
      </w:r>
      <w:r w:rsidRPr="00FA1594">
        <w:t>and greater attention on possible extensions to the second phase of the Health Sector Support Program.</w:t>
      </w:r>
    </w:p>
    <w:p w:rsidR="00453805" w:rsidRPr="00BF2045" w:rsidRDefault="00453805" w:rsidP="00BF2045">
      <w:pPr>
        <w:pStyle w:val="Heading2"/>
      </w:pPr>
      <w:r w:rsidRPr="00BF2045">
        <w:t>Objective 3: Improved infrastructure quality, quantity and access</w:t>
      </w:r>
    </w:p>
    <w:p w:rsidR="00453805" w:rsidRPr="00661ADA" w:rsidRDefault="00453805" w:rsidP="00661ADA">
      <w:pPr>
        <w:pStyle w:val="BodyText"/>
        <w:rPr>
          <w:i/>
        </w:rPr>
      </w:pPr>
      <w:r w:rsidRPr="00661ADA">
        <w:rPr>
          <w:i/>
        </w:rPr>
        <w:t>Cambodia development goal: Increased economic activity in targeted areas</w:t>
      </w:r>
    </w:p>
    <w:tbl>
      <w:tblPr>
        <w:tblStyle w:val="APPR"/>
        <w:tblW w:w="5000" w:type="pct"/>
        <w:tblLook w:val="01E0" w:firstRow="1" w:lastRow="1" w:firstColumn="1" w:lastColumn="1" w:noHBand="0" w:noVBand="0"/>
      </w:tblPr>
      <w:tblGrid>
        <w:gridCol w:w="6894"/>
        <w:gridCol w:w="1713"/>
      </w:tblGrid>
      <w:tr w:rsidR="00453805" w:rsidRPr="00BF2045" w:rsidTr="00BF2045">
        <w:trPr>
          <w:cnfStyle w:val="100000000000" w:firstRow="1" w:lastRow="0" w:firstColumn="0" w:lastColumn="0" w:oddVBand="0" w:evenVBand="0" w:oddHBand="0" w:evenHBand="0" w:firstRowFirstColumn="0" w:firstRowLastColumn="0" w:lastRowFirstColumn="0" w:lastRowLastColumn="0"/>
        </w:trPr>
        <w:tc>
          <w:tcPr>
            <w:tcW w:w="3969" w:type="pct"/>
          </w:tcPr>
          <w:p w:rsidR="00453805" w:rsidRPr="00BF2045" w:rsidRDefault="00453805" w:rsidP="00BF2045">
            <w:pPr>
              <w:pStyle w:val="TableTextColumnHeading"/>
              <w:rPr>
                <w:rFonts w:eastAsia="Calibri"/>
                <w:b/>
              </w:rPr>
            </w:pPr>
            <w:r w:rsidRPr="00BF2045">
              <w:rPr>
                <w:rFonts w:eastAsia="Calibri"/>
                <w:b/>
              </w:rPr>
              <w:t>Objective</w:t>
            </w:r>
          </w:p>
        </w:tc>
        <w:tc>
          <w:tcPr>
            <w:tcW w:w="968" w:type="pct"/>
          </w:tcPr>
          <w:p w:rsidR="00453805" w:rsidRPr="00BF2045" w:rsidRDefault="00453805" w:rsidP="00BF2045">
            <w:pPr>
              <w:pStyle w:val="TableTextColumnHeading"/>
              <w:rPr>
                <w:rFonts w:eastAsia="Calibri"/>
                <w:b/>
              </w:rPr>
            </w:pPr>
            <w:r w:rsidRPr="00BF2045">
              <w:rPr>
                <w:rFonts w:eastAsia="Calibri"/>
                <w:b/>
              </w:rPr>
              <w:t xml:space="preserve">Current rating </w:t>
            </w:r>
          </w:p>
        </w:tc>
      </w:tr>
      <w:tr w:rsidR="00453805" w:rsidRPr="00BF2045" w:rsidTr="00BF2045">
        <w:trPr>
          <w:cnfStyle w:val="100000000000" w:firstRow="1" w:lastRow="0" w:firstColumn="0" w:lastColumn="0" w:oddVBand="0" w:evenVBand="0" w:oddHBand="0" w:evenHBand="0" w:firstRowFirstColumn="0" w:firstRowLastColumn="0" w:lastRowFirstColumn="0" w:lastRowLastColumn="0"/>
        </w:trPr>
        <w:tc>
          <w:tcPr>
            <w:tcW w:w="3969" w:type="pct"/>
          </w:tcPr>
          <w:p w:rsidR="00453805" w:rsidRPr="00BF2045" w:rsidRDefault="00453805" w:rsidP="00BF2045">
            <w:pPr>
              <w:pStyle w:val="TableTextEntries"/>
              <w:rPr>
                <w:rFonts w:eastAsia="Calibri"/>
                <w:b w:val="0"/>
              </w:rPr>
            </w:pPr>
            <w:r w:rsidRPr="00BF2045">
              <w:rPr>
                <w:rFonts w:eastAsia="Calibri"/>
                <w:b w:val="0"/>
              </w:rPr>
              <w:t>Objective 3 Improved transport and energy infrastructure</w:t>
            </w:r>
          </w:p>
        </w:tc>
        <w:tc>
          <w:tcPr>
            <w:tcW w:w="968" w:type="pct"/>
            <w:shd w:val="clear" w:color="auto" w:fill="F79646" w:themeFill="accent6"/>
          </w:tcPr>
          <w:p w:rsidR="00453805" w:rsidRPr="00BF2045" w:rsidRDefault="008A45C9" w:rsidP="00BF2045">
            <w:pPr>
              <w:pStyle w:val="TableTextEntries"/>
              <w:rPr>
                <w:rFonts w:eastAsia="Calibri"/>
                <w:b w:val="0"/>
              </w:rPr>
            </w:pPr>
            <w:r>
              <w:rPr>
                <w:rFonts w:eastAsia="Calibri"/>
                <w:b w:val="0"/>
              </w:rPr>
              <w:t>A</w:t>
            </w:r>
            <w:r w:rsidR="00453805" w:rsidRPr="00BF2045">
              <w:rPr>
                <w:rFonts w:eastAsia="Calibri"/>
                <w:b w:val="0"/>
              </w:rPr>
              <w:t>mber</w:t>
            </w:r>
          </w:p>
        </w:tc>
      </w:tr>
    </w:tbl>
    <w:p w:rsidR="00AF5D66" w:rsidRPr="00745FE3" w:rsidRDefault="00AF5D66" w:rsidP="00BF2045">
      <w:pPr>
        <w:pStyle w:val="Heading3"/>
      </w:pPr>
      <w:r w:rsidRPr="00745FE3">
        <w:t>Annual milestone targets 2012</w:t>
      </w:r>
    </w:p>
    <w:p w:rsidR="00AF5D66" w:rsidRPr="00745FE3" w:rsidRDefault="00AF5D66" w:rsidP="00BF2045">
      <w:pPr>
        <w:pStyle w:val="ListBullet"/>
      </w:pPr>
      <w:r w:rsidRPr="00745FE3">
        <w:t>Expanded income restoration program commenced (</w:t>
      </w:r>
      <w:r w:rsidR="00021F54" w:rsidRPr="00745FE3">
        <w:t xml:space="preserve">Cambodia </w:t>
      </w:r>
      <w:r w:rsidR="00BB1DBA">
        <w:t>R</w:t>
      </w:r>
      <w:r w:rsidR="00BB1DBA" w:rsidRPr="00745FE3">
        <w:t xml:space="preserve">ailway </w:t>
      </w:r>
      <w:r w:rsidR="00021F54">
        <w:t>R</w:t>
      </w:r>
      <w:r w:rsidR="00021F54" w:rsidRPr="00745FE3">
        <w:t xml:space="preserve">ehabilitation </w:t>
      </w:r>
      <w:r w:rsidR="00BB1DBA">
        <w:t>P</w:t>
      </w:r>
      <w:r w:rsidR="00BB1DBA" w:rsidRPr="00745FE3">
        <w:t>roject</w:t>
      </w:r>
      <w:r w:rsidR="00982937" w:rsidRPr="00745FE3">
        <w:t>) (fully a</w:t>
      </w:r>
      <w:r w:rsidRPr="00745FE3">
        <w:t>chieved</w:t>
      </w:r>
      <w:r w:rsidR="00982937" w:rsidRPr="00745FE3">
        <w:t>).</w:t>
      </w:r>
    </w:p>
    <w:p w:rsidR="00AF5D66" w:rsidRPr="00745FE3" w:rsidRDefault="00AF5D66" w:rsidP="00BF2045">
      <w:pPr>
        <w:pStyle w:val="ListBullet"/>
      </w:pPr>
      <w:r w:rsidRPr="00745FE3">
        <w:t xml:space="preserve">Partial completion of civil works </w:t>
      </w:r>
      <w:r w:rsidR="00847CD7">
        <w:t xml:space="preserve">on </w:t>
      </w:r>
      <w:r w:rsidRPr="00745FE3">
        <w:t>southern coastal road (Southern Coastal Corridor Proj</w:t>
      </w:r>
      <w:r w:rsidR="00982937" w:rsidRPr="00745FE3">
        <w:t>ect) (fully achieved).</w:t>
      </w:r>
    </w:p>
    <w:p w:rsidR="00AF5D66" w:rsidRPr="00745FE3" w:rsidRDefault="00AF5D66" w:rsidP="00BF2045">
      <w:pPr>
        <w:pStyle w:val="ListBullet"/>
      </w:pPr>
      <w:r w:rsidRPr="00745FE3">
        <w:t xml:space="preserve">Completion of road maintenance for Year 2 and commencement of road maintenance for Year 3 (Road Asset Management Program) </w:t>
      </w:r>
      <w:r w:rsidR="00BB1DBA">
        <w:t>(t</w:t>
      </w:r>
      <w:r w:rsidRPr="00745FE3">
        <w:t>argets exceeded</w:t>
      </w:r>
      <w:r w:rsidR="00BB1DBA">
        <w:t>)</w:t>
      </w:r>
      <w:r w:rsidR="00EE6519">
        <w:t>.</w:t>
      </w:r>
    </w:p>
    <w:p w:rsidR="00AF5D66" w:rsidRPr="00745FE3" w:rsidRDefault="00AF5D66" w:rsidP="00BF2045">
      <w:pPr>
        <w:pStyle w:val="ListBullet"/>
      </w:pPr>
      <w:r w:rsidRPr="00745FE3">
        <w:t>Commencement of rural electrification civi</w:t>
      </w:r>
      <w:r w:rsidR="00982937" w:rsidRPr="00745FE3">
        <w:t>l works (Rural Energy Project) (not a</w:t>
      </w:r>
      <w:r w:rsidRPr="00745FE3">
        <w:t>chieved</w:t>
      </w:r>
      <w:r w:rsidR="00982937" w:rsidRPr="00745FE3">
        <w:t>)</w:t>
      </w:r>
      <w:r w:rsidR="00FC5DD2" w:rsidRPr="00745FE3">
        <w:t>.</w:t>
      </w:r>
      <w:r w:rsidR="00FC5DD2" w:rsidRPr="00BF2045">
        <w:rPr>
          <w:vertAlign w:val="superscript"/>
        </w:rPr>
        <w:footnoteReference w:id="32"/>
      </w:r>
    </w:p>
    <w:p w:rsidR="0017099B" w:rsidRPr="00BF2045" w:rsidRDefault="00867C8A" w:rsidP="00BF2045">
      <w:pPr>
        <w:pStyle w:val="BodyText"/>
      </w:pPr>
      <w:r w:rsidRPr="00BF2045">
        <w:t>The overall rating for this sector remains amber</w:t>
      </w:r>
      <w:r w:rsidR="0017099B" w:rsidRPr="00BF2045">
        <w:t xml:space="preserve"> despite some solid progress in 2012</w:t>
      </w:r>
      <w:r w:rsidR="00BB1DBA" w:rsidRPr="00BF2045">
        <w:t>–</w:t>
      </w:r>
      <w:r w:rsidR="0017099B" w:rsidRPr="00BF2045">
        <w:t>13</w:t>
      </w:r>
      <w:r w:rsidRPr="00BF2045">
        <w:t>. Th</w:t>
      </w:r>
      <w:r w:rsidR="0017099B" w:rsidRPr="00BF2045">
        <w:t>e rating</w:t>
      </w:r>
      <w:r w:rsidRPr="00BF2045">
        <w:t xml:space="preserve"> reflects residual concerns around </w:t>
      </w:r>
      <w:r w:rsidR="0017099B" w:rsidRPr="00BF2045">
        <w:t>the</w:t>
      </w:r>
      <w:r w:rsidRPr="00BF2045">
        <w:t xml:space="preserve"> </w:t>
      </w:r>
      <w:r w:rsidR="00021F54" w:rsidRPr="00BF2045">
        <w:t>Cambodia Railway R</w:t>
      </w:r>
      <w:r w:rsidR="00EE6519" w:rsidRPr="00BF2045">
        <w:t xml:space="preserve">ehabilitation </w:t>
      </w:r>
      <w:r w:rsidR="00021F54" w:rsidRPr="00BF2045">
        <w:t>P</w:t>
      </w:r>
      <w:r w:rsidR="00EE6519" w:rsidRPr="00BF2045">
        <w:t>roject</w:t>
      </w:r>
      <w:r w:rsidR="00BB1DBA" w:rsidRPr="00BF2045">
        <w:t>,</w:t>
      </w:r>
      <w:r w:rsidR="0017099B" w:rsidRPr="00BF2045">
        <w:t xml:space="preserve"> particularly concerning resettlement and the possibility for further delays in implementation</w:t>
      </w:r>
      <w:r w:rsidRPr="00BF2045">
        <w:t xml:space="preserve">. </w:t>
      </w:r>
    </w:p>
    <w:p w:rsidR="00AF5D66" w:rsidRPr="00BF2045" w:rsidRDefault="00AF5D66" w:rsidP="00BF2045">
      <w:pPr>
        <w:pStyle w:val="BodyText"/>
      </w:pPr>
      <w:r w:rsidRPr="00BF2045">
        <w:t>Transport and energy infrastructure remains a high priority for Cambodia’s development.</w:t>
      </w:r>
      <w:r w:rsidR="00CD6B2F" w:rsidRPr="00BF2045">
        <w:t xml:space="preserve"> </w:t>
      </w:r>
      <w:r w:rsidRPr="00BF2045">
        <w:t xml:space="preserve">Poor transport infrastructure and high cost energy reduces competitiveness by undermining other advantages like the low cost of labour. It also hampers investment growth. </w:t>
      </w:r>
    </w:p>
    <w:p w:rsidR="00AF5D66" w:rsidRPr="00BF2045" w:rsidRDefault="00AF5D66" w:rsidP="00BF2045">
      <w:pPr>
        <w:pStyle w:val="BodyText"/>
      </w:pPr>
      <w:r w:rsidRPr="00BF2045">
        <w:t xml:space="preserve">The overall quality of transport and energy infrastructure is mixed. </w:t>
      </w:r>
      <w:r w:rsidR="00D242FB" w:rsidRPr="00BF2045">
        <w:t xml:space="preserve">About </w:t>
      </w:r>
      <w:r w:rsidRPr="00BF2045">
        <w:t>89</w:t>
      </w:r>
      <w:r w:rsidR="000B72A8" w:rsidRPr="00BF2045">
        <w:t xml:space="preserve"> </w:t>
      </w:r>
      <w:r w:rsidR="00FB72CE" w:rsidRPr="00BF2045">
        <w:t>per cent</w:t>
      </w:r>
      <w:r w:rsidRPr="00BF2045">
        <w:t xml:space="preserve"> of the primary road network is considered in fair to good condition today, a significant improvement from 57</w:t>
      </w:r>
      <w:r w:rsidR="005706EC" w:rsidRPr="00BF2045">
        <w:t xml:space="preserve"> </w:t>
      </w:r>
      <w:r w:rsidR="00FB72CE" w:rsidRPr="00BF2045">
        <w:t>per cent</w:t>
      </w:r>
      <w:r w:rsidRPr="00BF2045">
        <w:t xml:space="preserve"> in 2008. </w:t>
      </w:r>
      <w:r w:rsidR="00D242FB" w:rsidRPr="00BF2045">
        <w:t>A further</w:t>
      </w:r>
      <w:r w:rsidRPr="00BF2045">
        <w:t xml:space="preserve"> 52</w:t>
      </w:r>
      <w:r w:rsidR="000B72A8" w:rsidRPr="00BF2045">
        <w:t xml:space="preserve"> </w:t>
      </w:r>
      <w:r w:rsidR="00FB72CE" w:rsidRPr="00BF2045">
        <w:t>per cent</w:t>
      </w:r>
      <w:r w:rsidRPr="00BF2045">
        <w:t xml:space="preserve"> of the secondary road network was considered of fair to good condition in 2012, compared to 35</w:t>
      </w:r>
      <w:r w:rsidR="00FB72CE" w:rsidRPr="00BF2045">
        <w:t xml:space="preserve"> per cent</w:t>
      </w:r>
      <w:r w:rsidRPr="00BF2045">
        <w:t xml:space="preserve"> in 2008.</w:t>
      </w:r>
      <w:r w:rsidR="00CD6B2F" w:rsidRPr="00BF2045">
        <w:t xml:space="preserve"> </w:t>
      </w:r>
      <w:r w:rsidR="00037BA3" w:rsidRPr="00BF2045">
        <w:t>But t</w:t>
      </w:r>
      <w:r w:rsidRPr="00BF2045">
        <w:t xml:space="preserve">he potential of the </w:t>
      </w:r>
      <w:r w:rsidR="000B72A8" w:rsidRPr="00BF2045">
        <w:t xml:space="preserve">country’s </w:t>
      </w:r>
      <w:r w:rsidRPr="00BF2045">
        <w:t>extensive waterways as transport corridors, particularly for access of goods to market, is not being realised.</w:t>
      </w:r>
      <w:r w:rsidR="00CD6B2F" w:rsidRPr="00BF2045">
        <w:t xml:space="preserve"> </w:t>
      </w:r>
      <w:r w:rsidRPr="00BF2045">
        <w:t xml:space="preserve">While </w:t>
      </w:r>
      <w:r w:rsidR="00847CD7" w:rsidRPr="00BF2045">
        <w:t>Cambodia</w:t>
      </w:r>
      <w:r w:rsidRPr="00BF2045">
        <w:t xml:space="preserve"> is increasing its power generation capacity rapidly</w:t>
      </w:r>
      <w:r w:rsidR="00EE6519" w:rsidRPr="00BF2045">
        <w:t>,</w:t>
      </w:r>
      <w:r w:rsidRPr="00BF2045">
        <w:t xml:space="preserve"> and electricity </w:t>
      </w:r>
      <w:r w:rsidR="00037BA3" w:rsidRPr="00BF2045">
        <w:t xml:space="preserve">supply </w:t>
      </w:r>
      <w:r w:rsidRPr="00BF2045">
        <w:t>is much more reliable than it used to be</w:t>
      </w:r>
      <w:r w:rsidR="00D242FB" w:rsidRPr="00BF2045">
        <w:t>,</w:t>
      </w:r>
      <w:r w:rsidR="000B72A8" w:rsidRPr="00BF2045">
        <w:rPr>
          <w:vertAlign w:val="superscript"/>
        </w:rPr>
        <w:footnoteReference w:id="33"/>
      </w:r>
      <w:r w:rsidR="000B72A8" w:rsidRPr="00BF2045">
        <w:t xml:space="preserve"> energy remains expensive and</w:t>
      </w:r>
      <w:r w:rsidRPr="00BF2045">
        <w:t xml:space="preserve"> rural electrification rates </w:t>
      </w:r>
      <w:r w:rsidR="00D242FB" w:rsidRPr="00BF2045">
        <w:t xml:space="preserve">are </w:t>
      </w:r>
      <w:r w:rsidRPr="00BF2045">
        <w:t>low (26</w:t>
      </w:r>
      <w:r w:rsidR="00FB72CE" w:rsidRPr="00BF2045">
        <w:t xml:space="preserve"> per cent</w:t>
      </w:r>
      <w:r w:rsidRPr="00BF2045">
        <w:t xml:space="preserve"> compared to 70</w:t>
      </w:r>
      <w:r w:rsidR="00FB72CE" w:rsidRPr="00BF2045">
        <w:t xml:space="preserve"> per cent</w:t>
      </w:r>
      <w:r w:rsidRPr="00BF2045">
        <w:t xml:space="preserve"> in Laos and 96</w:t>
      </w:r>
      <w:r w:rsidR="00FB72CE" w:rsidRPr="00BF2045">
        <w:t xml:space="preserve"> per cent</w:t>
      </w:r>
      <w:r w:rsidRPr="00BF2045">
        <w:t xml:space="preserve"> in Vietnam). </w:t>
      </w:r>
    </w:p>
    <w:p w:rsidR="002C6EBD" w:rsidRPr="00BF2045" w:rsidRDefault="00AF5D66" w:rsidP="00BF2045">
      <w:pPr>
        <w:pStyle w:val="BodyText"/>
      </w:pPr>
      <w:r w:rsidRPr="00BF2045">
        <w:t xml:space="preserve">To </w:t>
      </w:r>
      <w:r w:rsidR="0050499E" w:rsidRPr="00BF2045">
        <w:t>meet the demand for infrastructure investments</w:t>
      </w:r>
      <w:r w:rsidR="00847CD7" w:rsidRPr="00BF2045">
        <w:t>,</w:t>
      </w:r>
      <w:r w:rsidRPr="00BF2045">
        <w:t xml:space="preserve"> the </w:t>
      </w:r>
      <w:r w:rsidR="00D242FB" w:rsidRPr="00BF2045">
        <w:t xml:space="preserve">Cambodia Government </w:t>
      </w:r>
      <w:r w:rsidRPr="00BF2045">
        <w:t>is increasingly wi</w:t>
      </w:r>
      <w:r w:rsidR="0050499E" w:rsidRPr="00BF2045">
        <w:t>lling to accept loans</w:t>
      </w:r>
      <w:r w:rsidRPr="00BF2045">
        <w:t xml:space="preserve">. </w:t>
      </w:r>
      <w:r w:rsidR="00D242FB" w:rsidRPr="00BF2045">
        <w:t xml:space="preserve">Official development assistance </w:t>
      </w:r>
      <w:r w:rsidR="000B72A8" w:rsidRPr="00BF2045">
        <w:t xml:space="preserve">spending on infrastructure is now almost equal to </w:t>
      </w:r>
      <w:r w:rsidR="00D242FB" w:rsidRPr="00BF2045">
        <w:t xml:space="preserve">official development assistance </w:t>
      </w:r>
      <w:r w:rsidR="000B72A8" w:rsidRPr="00BF2045">
        <w:t>spending on all other sectors combined.</w:t>
      </w:r>
      <w:r w:rsidR="00CD6B2F" w:rsidRPr="00BF2045">
        <w:t xml:space="preserve"> </w:t>
      </w:r>
      <w:r w:rsidRPr="00BF2045">
        <w:t xml:space="preserve">Major regional donors </w:t>
      </w:r>
      <w:r w:rsidR="00D242FB" w:rsidRPr="00BF2045">
        <w:t xml:space="preserve">including </w:t>
      </w:r>
      <w:r w:rsidRPr="00BF2045">
        <w:t>China, Japan and Korea have overtaken the development banks as the main source of loan funding.</w:t>
      </w:r>
      <w:r w:rsidR="00CD6B2F" w:rsidRPr="00BF2045">
        <w:t xml:space="preserve"> </w:t>
      </w:r>
      <w:r w:rsidR="00D0648C" w:rsidRPr="00BF2045">
        <w:t xml:space="preserve">In 2011 </w:t>
      </w:r>
      <w:r w:rsidRPr="00BF2045">
        <w:t>China and Japan alone provided $344 million in loans compared to the $126</w:t>
      </w:r>
      <w:r w:rsidR="0050499E" w:rsidRPr="00BF2045">
        <w:t xml:space="preserve"> </w:t>
      </w:r>
      <w:r w:rsidRPr="00BF2045">
        <w:t>million</w:t>
      </w:r>
      <w:r w:rsidR="0050499E" w:rsidRPr="00BF2045">
        <w:t xml:space="preserve"> in loans</w:t>
      </w:r>
      <w:r w:rsidRPr="00BF2045">
        <w:t xml:space="preserve"> from the A</w:t>
      </w:r>
      <w:r w:rsidR="00D242FB" w:rsidRPr="00BF2045">
        <w:t>sian Development Bank</w:t>
      </w:r>
      <w:r w:rsidRPr="00BF2045">
        <w:t xml:space="preserve"> and $21 million</w:t>
      </w:r>
      <w:r w:rsidR="0050499E" w:rsidRPr="00BF2045">
        <w:t xml:space="preserve"> in grants</w:t>
      </w:r>
      <w:r w:rsidRPr="00BF2045">
        <w:t xml:space="preserve"> </w:t>
      </w:r>
      <w:r w:rsidR="00F74E05" w:rsidRPr="00BF2045">
        <w:t xml:space="preserve">for infrastructure </w:t>
      </w:r>
      <w:r w:rsidRPr="00BF2045">
        <w:t>from Australia.</w:t>
      </w:r>
      <w:r w:rsidR="00CD6B2F" w:rsidRPr="00BF2045">
        <w:t xml:space="preserve"> </w:t>
      </w:r>
      <w:r w:rsidR="003A310C" w:rsidRPr="00BF2045">
        <w:t>In light of this new donor environment</w:t>
      </w:r>
      <w:r w:rsidRPr="00BF2045">
        <w:t xml:space="preserve">, high-level consultations between the </w:t>
      </w:r>
      <w:r w:rsidR="002F0B8E" w:rsidRPr="00BF2045">
        <w:t>Australian and Cambodian g</w:t>
      </w:r>
      <w:r w:rsidRPr="00BF2045">
        <w:t>overnment</w:t>
      </w:r>
      <w:r w:rsidR="002F0B8E" w:rsidRPr="00BF2045">
        <w:t>s</w:t>
      </w:r>
      <w:r w:rsidRPr="00BF2045">
        <w:t xml:space="preserve"> in 2012 agreed that the focus of future</w:t>
      </w:r>
      <w:r w:rsidR="00576A84" w:rsidRPr="00BF2045">
        <w:t xml:space="preserve"> Australian</w:t>
      </w:r>
      <w:r w:rsidRPr="00BF2045">
        <w:t xml:space="preserve"> investments in infrastructure should </w:t>
      </w:r>
      <w:r w:rsidR="002C6EBD" w:rsidRPr="00BF2045">
        <w:t xml:space="preserve">transition to </w:t>
      </w:r>
      <w:r w:rsidRPr="00BF2045">
        <w:t xml:space="preserve">align more closely with </w:t>
      </w:r>
      <w:r w:rsidR="00CF7372" w:rsidRPr="00BF2045">
        <w:t xml:space="preserve">relevant </w:t>
      </w:r>
      <w:r w:rsidRPr="00BF2045">
        <w:t>sectors in the country strategy.</w:t>
      </w:r>
      <w:r w:rsidR="00CD6B2F" w:rsidRPr="00BF2045">
        <w:t xml:space="preserve"> </w:t>
      </w:r>
      <w:r w:rsidR="002C6EBD" w:rsidRPr="00BF2045">
        <w:t xml:space="preserve">In particular </w:t>
      </w:r>
      <w:r w:rsidR="002054F7">
        <w:t>the department</w:t>
      </w:r>
      <w:r w:rsidR="002C6EBD" w:rsidRPr="00BF2045">
        <w:t xml:space="preserve"> will examine </w:t>
      </w:r>
      <w:r w:rsidR="002C6EBD" w:rsidRPr="00BF2045">
        <w:lastRenderedPageBreak/>
        <w:t>ways to align infrastructure investments more closely with the agriculture and rural development sector.</w:t>
      </w:r>
    </w:p>
    <w:p w:rsidR="00AF5D66" w:rsidRPr="00BF2045" w:rsidRDefault="00AF5D66" w:rsidP="00BF2045">
      <w:pPr>
        <w:pStyle w:val="BodyText"/>
      </w:pPr>
      <w:r w:rsidRPr="00BF2045">
        <w:t xml:space="preserve">All current </w:t>
      </w:r>
      <w:r w:rsidR="002054F7">
        <w:t>Australian</w:t>
      </w:r>
      <w:r w:rsidRPr="00BF2045">
        <w:t xml:space="preserve"> infrastructure investments are delivered in partnership with the Asian Development Bank. This allows Australian funds to be leveraged to enable </w:t>
      </w:r>
      <w:r w:rsidR="002F0B8E" w:rsidRPr="00BF2045">
        <w:t xml:space="preserve">much larger projects to be </w:t>
      </w:r>
      <w:r w:rsidRPr="00BF2045">
        <w:t>implement</w:t>
      </w:r>
      <w:r w:rsidR="002F0B8E" w:rsidRPr="00BF2045">
        <w:t xml:space="preserve">ed </w:t>
      </w:r>
      <w:r w:rsidRPr="00BF2045">
        <w:t>than we could o</w:t>
      </w:r>
      <w:r w:rsidR="003A310C" w:rsidRPr="00BF2045">
        <w:t>therwise fund ourselves. While</w:t>
      </w:r>
      <w:r w:rsidRPr="00BF2045">
        <w:t xml:space="preserve"> combining Australian grant funds with the concessional</w:t>
      </w:r>
      <w:r w:rsidR="003A310C" w:rsidRPr="00BF2045">
        <w:t xml:space="preserve"> loan funds of the A</w:t>
      </w:r>
      <w:r w:rsidR="002F0B8E" w:rsidRPr="00BF2045">
        <w:t xml:space="preserve">sian </w:t>
      </w:r>
      <w:r w:rsidR="003A310C" w:rsidRPr="00BF2045">
        <w:t>D</w:t>
      </w:r>
      <w:r w:rsidR="002F0B8E" w:rsidRPr="00BF2045">
        <w:t xml:space="preserve">evelopment </w:t>
      </w:r>
      <w:r w:rsidR="003A310C" w:rsidRPr="00BF2045">
        <w:t>B</w:t>
      </w:r>
      <w:r w:rsidR="002F0B8E" w:rsidRPr="00BF2045">
        <w:t>ank</w:t>
      </w:r>
      <w:r w:rsidR="003A310C" w:rsidRPr="00BF2045">
        <w:t xml:space="preserve"> has proved an effective approach in recent years</w:t>
      </w:r>
      <w:r w:rsidRPr="00BF2045">
        <w:t xml:space="preserve">, </w:t>
      </w:r>
      <w:r w:rsidR="003A310C" w:rsidRPr="00BF2045">
        <w:t xml:space="preserve">it </w:t>
      </w:r>
      <w:r w:rsidRPr="00BF2045">
        <w:t>lessen</w:t>
      </w:r>
      <w:r w:rsidR="003A310C" w:rsidRPr="00BF2045">
        <w:t>s</w:t>
      </w:r>
      <w:r w:rsidRPr="00BF2045">
        <w:t xml:space="preserve"> the level of </w:t>
      </w:r>
      <w:r w:rsidR="00C230EE" w:rsidRPr="00BF2045">
        <w:t>influence</w:t>
      </w:r>
      <w:r w:rsidR="002054F7">
        <w:t xml:space="preserve"> the department</w:t>
      </w:r>
      <w:r w:rsidRPr="00BF2045">
        <w:t xml:space="preserve"> can exert over project outcomes. </w:t>
      </w:r>
    </w:p>
    <w:p w:rsidR="00AF5D66" w:rsidRPr="00BF2045" w:rsidRDefault="00EE6519" w:rsidP="00BF2045">
      <w:pPr>
        <w:pStyle w:val="BodyText"/>
      </w:pPr>
      <w:r w:rsidRPr="00BF2045">
        <w:t xml:space="preserve">In </w:t>
      </w:r>
      <w:r w:rsidR="00AF5D66" w:rsidRPr="00BF2045">
        <w:t xml:space="preserve">2012 </w:t>
      </w:r>
      <w:r w:rsidRPr="00BF2045">
        <w:t xml:space="preserve">there was </w:t>
      </w:r>
      <w:r w:rsidR="00AF5D66" w:rsidRPr="00BF2045">
        <w:t>good progress across the portfolio, particularly compared to the relatively weak performance of recent years. All except one of the annual milestone targ</w:t>
      </w:r>
      <w:r w:rsidR="000B1795" w:rsidRPr="00BF2045">
        <w:t>ets were fully met or exceeded.</w:t>
      </w:r>
    </w:p>
    <w:p w:rsidR="000B1795" w:rsidRPr="00BF2045" w:rsidRDefault="00AF5D66" w:rsidP="00BF2045">
      <w:pPr>
        <w:pStyle w:val="BodyText"/>
      </w:pPr>
      <w:r w:rsidRPr="00BF2045">
        <w:t xml:space="preserve">In 2012 </w:t>
      </w:r>
      <w:r w:rsidR="002054F7">
        <w:t>Australia</w:t>
      </w:r>
      <w:r w:rsidRPr="00BF2045">
        <w:t xml:space="preserve"> took decisive action on the </w:t>
      </w:r>
      <w:r w:rsidR="00B72969" w:rsidRPr="00BF2045">
        <w:t xml:space="preserve">Cambodia Railway </w:t>
      </w:r>
      <w:r w:rsidRPr="00BF2045">
        <w:t xml:space="preserve">Rehabilitation Project. Funding </w:t>
      </w:r>
      <w:r w:rsidR="000B1795" w:rsidRPr="00BF2045">
        <w:t xml:space="preserve">was </w:t>
      </w:r>
      <w:r w:rsidRPr="00BF2045">
        <w:t>linked to key project outcomes and a</w:t>
      </w:r>
      <w:r w:rsidR="000B1795" w:rsidRPr="00BF2045">
        <w:t xml:space="preserve">ll </w:t>
      </w:r>
      <w:r w:rsidR="002054F7">
        <w:t>Australian</w:t>
      </w:r>
      <w:r w:rsidR="000B1795" w:rsidRPr="00BF2045">
        <w:t xml:space="preserve"> funds will be fully dispersed by Decemb</w:t>
      </w:r>
      <w:r w:rsidRPr="00BF2045">
        <w:t>er 2013</w:t>
      </w:r>
      <w:r w:rsidR="000B1795" w:rsidRPr="00BF2045">
        <w:t>.</w:t>
      </w:r>
      <w:r w:rsidR="00CD6B2F" w:rsidRPr="00BF2045">
        <w:t xml:space="preserve"> </w:t>
      </w:r>
      <w:r w:rsidR="000B1795" w:rsidRPr="00BF2045">
        <w:t xml:space="preserve">The </w:t>
      </w:r>
      <w:r w:rsidR="002F0B8E" w:rsidRPr="00BF2045">
        <w:t xml:space="preserve">southern line </w:t>
      </w:r>
      <w:r w:rsidR="000B1795" w:rsidRPr="00BF2045">
        <w:t>is now 97</w:t>
      </w:r>
      <w:r w:rsidR="00FB72CE" w:rsidRPr="00BF2045">
        <w:t xml:space="preserve"> per cent</w:t>
      </w:r>
      <w:r w:rsidR="000B1795" w:rsidRPr="00BF2045">
        <w:t xml:space="preserve"> complete (with only minor rectification works remaining) which means that </w:t>
      </w:r>
      <w:r w:rsidR="002F0B8E" w:rsidRPr="00BF2045">
        <w:t xml:space="preserve">at least two </w:t>
      </w:r>
      <w:r w:rsidR="000B1795" w:rsidRPr="00BF2045">
        <w:t>freight trains are running</w:t>
      </w:r>
      <w:r w:rsidR="002F0B8E" w:rsidRPr="00BF2045">
        <w:t xml:space="preserve"> each day</w:t>
      </w:r>
      <w:r w:rsidR="000B1795" w:rsidRPr="00BF2045">
        <w:t xml:space="preserve">, carrying coal, cement, cassava and rice. </w:t>
      </w:r>
      <w:r w:rsidR="0017099B" w:rsidRPr="00BF2045">
        <w:t>P</w:t>
      </w:r>
      <w:r w:rsidR="000B1795" w:rsidRPr="00BF2045">
        <w:t xml:space="preserve">rogress on the </w:t>
      </w:r>
      <w:r w:rsidR="002F0B8E" w:rsidRPr="00BF2045">
        <w:t xml:space="preserve">northern line </w:t>
      </w:r>
      <w:r w:rsidR="000B1795" w:rsidRPr="00BF2045">
        <w:t xml:space="preserve">slowed in 2012 </w:t>
      </w:r>
      <w:r w:rsidR="002F0B8E" w:rsidRPr="00BF2045">
        <w:t xml:space="preserve">and </w:t>
      </w:r>
      <w:r w:rsidR="000B1795" w:rsidRPr="00BF2045">
        <w:t>only around 16</w:t>
      </w:r>
      <w:r w:rsidR="00FB72CE" w:rsidRPr="00BF2045">
        <w:t xml:space="preserve"> per cent</w:t>
      </w:r>
      <w:r w:rsidR="002F0B8E" w:rsidRPr="00BF2045">
        <w:t xml:space="preserve"> has been</w:t>
      </w:r>
      <w:r w:rsidR="000B1795" w:rsidRPr="00BF2045">
        <w:t xml:space="preserve"> complet</w:t>
      </w:r>
      <w:r w:rsidR="00BB4101" w:rsidRPr="00BF2045">
        <w:t>ed.</w:t>
      </w:r>
      <w:r w:rsidR="0017099B" w:rsidRPr="00BF2045">
        <w:t xml:space="preserve"> </w:t>
      </w:r>
    </w:p>
    <w:p w:rsidR="000B1795" w:rsidRPr="00BF2045" w:rsidRDefault="000B1795" w:rsidP="00BF2045">
      <w:pPr>
        <w:pStyle w:val="BodyText"/>
      </w:pPr>
      <w:r w:rsidRPr="00BF2045">
        <w:t xml:space="preserve">Resettlement remains a sensitive issue in the sector and is managed closely by </w:t>
      </w:r>
      <w:r w:rsidR="002F0B8E" w:rsidRPr="00BF2045">
        <w:t xml:space="preserve">the </w:t>
      </w:r>
      <w:r w:rsidR="00B72969" w:rsidRPr="00BF2045">
        <w:t xml:space="preserve">inter-ministerial resettlement committee </w:t>
      </w:r>
      <w:r w:rsidRPr="00BF2045">
        <w:t xml:space="preserve">under the Ministry of Economy and Finance, which is responsible for resettlement in all donor funded projects. In many respects </w:t>
      </w:r>
      <w:r w:rsidR="002F0B8E" w:rsidRPr="00BF2045">
        <w:t>committee</w:t>
      </w:r>
      <w:r w:rsidRPr="00BF2045">
        <w:t xml:space="preserve">-led resettlement is </w:t>
      </w:r>
      <w:r w:rsidR="00D0648C" w:rsidRPr="00BF2045">
        <w:t>implemented more effectively</w:t>
      </w:r>
      <w:r w:rsidRPr="00BF2045">
        <w:t xml:space="preserve"> than </w:t>
      </w:r>
      <w:proofErr w:type="spellStart"/>
      <w:r w:rsidRPr="00BF2045">
        <w:t xml:space="preserve">non </w:t>
      </w:r>
      <w:r w:rsidR="002F0B8E" w:rsidRPr="00BF2045">
        <w:t>committee</w:t>
      </w:r>
      <w:proofErr w:type="spellEnd"/>
      <w:r w:rsidRPr="00BF2045">
        <w:t xml:space="preserve">-led processes. Resettlement </w:t>
      </w:r>
      <w:r w:rsidR="002F0B8E" w:rsidRPr="00BF2045">
        <w:t xml:space="preserve">plans </w:t>
      </w:r>
      <w:r w:rsidRPr="00BF2045">
        <w:t>and entitlements to affected people are disclosed</w:t>
      </w:r>
      <w:r w:rsidR="0004015A" w:rsidRPr="00BF2045">
        <w:t xml:space="preserve"> and</w:t>
      </w:r>
      <w:r w:rsidR="0065079C" w:rsidRPr="00BF2045">
        <w:t xml:space="preserve"> there is external monitoring of the process</w:t>
      </w:r>
      <w:r w:rsidRPr="00BF2045">
        <w:t>. Despite this there are still significant issues in disseminating information to affected people and managing grievances.</w:t>
      </w:r>
      <w:r w:rsidR="00CD6B2F" w:rsidRPr="00BF2045">
        <w:t xml:space="preserve"> </w:t>
      </w:r>
      <w:r w:rsidRPr="00BF2045">
        <w:t xml:space="preserve">These issues, along with the lack of formal land titles and, increasingly, resistance from communities and </w:t>
      </w:r>
      <w:r w:rsidR="002F0B8E" w:rsidRPr="00BF2045">
        <w:t xml:space="preserve">non-government organisations </w:t>
      </w:r>
      <w:r w:rsidRPr="00BF2045">
        <w:t>to resettlement</w:t>
      </w:r>
      <w:r w:rsidR="002F0B8E" w:rsidRPr="00BF2045">
        <w:t>,</w:t>
      </w:r>
      <w:r w:rsidRPr="00BF2045">
        <w:t xml:space="preserve"> have impacted heavily on project outcomes. </w:t>
      </w:r>
    </w:p>
    <w:p w:rsidR="0094333C" w:rsidRPr="00BF2045" w:rsidRDefault="00AF5D66" w:rsidP="00BF2045">
      <w:pPr>
        <w:pStyle w:val="BodyText"/>
      </w:pPr>
      <w:r w:rsidRPr="00BF2045">
        <w:t>In response to the</w:t>
      </w:r>
      <w:r w:rsidR="000B1795" w:rsidRPr="00BF2045">
        <w:t xml:space="preserve">se issues </w:t>
      </w:r>
      <w:r w:rsidR="002054F7">
        <w:t>Australia</w:t>
      </w:r>
      <w:r w:rsidR="002054F7" w:rsidRPr="00BF2045">
        <w:t xml:space="preserve"> </w:t>
      </w:r>
      <w:r w:rsidR="000B1795" w:rsidRPr="00BF2045">
        <w:t>devoted significant additional resources to the resettlement component of the project</w:t>
      </w:r>
      <w:r w:rsidR="0094333C" w:rsidRPr="00BF2045">
        <w:t>, and t</w:t>
      </w:r>
      <w:r w:rsidR="0050499E" w:rsidRPr="00BF2045">
        <w:t>hese investments are starting to show results.</w:t>
      </w:r>
      <w:r w:rsidR="00CD6B2F" w:rsidRPr="00BF2045">
        <w:t xml:space="preserve"> </w:t>
      </w:r>
      <w:r w:rsidR="002F0B8E" w:rsidRPr="00BF2045">
        <w:t xml:space="preserve">They </w:t>
      </w:r>
      <w:r w:rsidR="000B1795" w:rsidRPr="00BF2045">
        <w:t>included providing $1</w:t>
      </w:r>
      <w:r w:rsidR="002F0B8E" w:rsidRPr="00BF2045">
        <w:t xml:space="preserve"> </w:t>
      </w:r>
      <w:r w:rsidR="000B1795" w:rsidRPr="00BF2045">
        <w:t>m</w:t>
      </w:r>
      <w:r w:rsidR="002F0B8E" w:rsidRPr="00BF2045">
        <w:t>illion</w:t>
      </w:r>
      <w:r w:rsidR="000B1795" w:rsidRPr="00BF2045">
        <w:t xml:space="preserve"> to the </w:t>
      </w:r>
      <w:r w:rsidR="002F0B8E" w:rsidRPr="00BF2045">
        <w:t xml:space="preserve">Cambodian Government </w:t>
      </w:r>
      <w:r w:rsidR="000B1795" w:rsidRPr="00BF2045">
        <w:t xml:space="preserve">to implement the Enhanced Income Restoration Project, </w:t>
      </w:r>
      <w:r w:rsidR="0050499E" w:rsidRPr="00BF2045">
        <w:t>which support</w:t>
      </w:r>
      <w:r w:rsidR="002F0B8E" w:rsidRPr="00BF2045">
        <w:t>s</w:t>
      </w:r>
      <w:r w:rsidR="0050499E" w:rsidRPr="00BF2045">
        <w:t xml:space="preserve"> affected families through low interest loans and emergency grants </w:t>
      </w:r>
      <w:r w:rsidR="002F0B8E" w:rsidRPr="00BF2045">
        <w:t xml:space="preserve">and helps them </w:t>
      </w:r>
      <w:r w:rsidR="0050499E" w:rsidRPr="00BF2045">
        <w:t>restore their incomes.</w:t>
      </w:r>
      <w:r w:rsidR="00CD6B2F" w:rsidRPr="00BF2045">
        <w:t xml:space="preserve"> </w:t>
      </w:r>
      <w:r w:rsidR="002F0B8E" w:rsidRPr="00BF2045">
        <w:t>By</w:t>
      </w:r>
      <w:r w:rsidR="0050499E" w:rsidRPr="00BF2045">
        <w:t xml:space="preserve"> February 2013, nearly 400 relocated households had accessed this program to smooth the relocation process.</w:t>
      </w:r>
      <w:r w:rsidR="0004015A" w:rsidRPr="00BF2045">
        <w:t xml:space="preserve"> </w:t>
      </w:r>
      <w:r w:rsidR="002054F7">
        <w:t>Australia</w:t>
      </w:r>
      <w:r w:rsidR="00D0648C" w:rsidRPr="00BF2045">
        <w:t xml:space="preserve"> is providing a</w:t>
      </w:r>
      <w:r w:rsidR="0050499E" w:rsidRPr="00BF2045">
        <w:t>n additional $1</w:t>
      </w:r>
      <w:r w:rsidR="008223DD" w:rsidRPr="00BF2045">
        <w:t xml:space="preserve"> </w:t>
      </w:r>
      <w:r w:rsidR="0050499E" w:rsidRPr="00BF2045">
        <w:t>million to support better outcomes for people affected by the</w:t>
      </w:r>
      <w:r w:rsidR="00D803B1" w:rsidRPr="00BF2045">
        <w:t xml:space="preserve"> </w:t>
      </w:r>
      <w:r w:rsidR="0094333C" w:rsidRPr="00BF2045">
        <w:t>Cambodia Railway Rehabilitation Project</w:t>
      </w:r>
      <w:r w:rsidR="0050499E" w:rsidRPr="00BF2045">
        <w:t>.</w:t>
      </w:r>
      <w:r w:rsidR="00CD6B2F" w:rsidRPr="00BF2045">
        <w:t xml:space="preserve"> </w:t>
      </w:r>
      <w:r w:rsidR="0050499E" w:rsidRPr="00BF2045">
        <w:t xml:space="preserve">So far this funding has supported financial literacy training through the Credit Union Foundation of Australia at all resettlement sites to </w:t>
      </w:r>
      <w:r w:rsidR="002F0B8E" w:rsidRPr="00BF2045">
        <w:t xml:space="preserve">help </w:t>
      </w:r>
      <w:r w:rsidR="0050499E" w:rsidRPr="00BF2045">
        <w:t xml:space="preserve">families manage their budgets and make short and </w:t>
      </w:r>
      <w:r w:rsidR="002F0B8E" w:rsidRPr="00BF2045">
        <w:t>long-</w:t>
      </w:r>
      <w:r w:rsidR="0050499E" w:rsidRPr="00BF2045">
        <w:t>term financial plans.</w:t>
      </w:r>
      <w:r w:rsidR="00CD6B2F" w:rsidRPr="00BF2045">
        <w:t xml:space="preserve"> </w:t>
      </w:r>
      <w:r w:rsidR="0050499E" w:rsidRPr="00BF2045">
        <w:t>This funding is also being used to design and construct community centres at all relocation sites, along with a range of other investments that, while small in scale, deliver tangible benefits to resettled communities.</w:t>
      </w:r>
      <w:r w:rsidR="0004015A" w:rsidRPr="00BF2045">
        <w:t xml:space="preserve"> </w:t>
      </w:r>
      <w:r w:rsidR="000B1795" w:rsidRPr="00BF2045">
        <w:t xml:space="preserve">To ensure that resettlement continues to receive the priority that it deserves, </w:t>
      </w:r>
      <w:r w:rsidR="002054F7">
        <w:t>Australia</w:t>
      </w:r>
      <w:r w:rsidR="0050499E" w:rsidRPr="00BF2045">
        <w:t xml:space="preserve"> will continue to support the resettlement process u</w:t>
      </w:r>
      <w:r w:rsidR="000B1795" w:rsidRPr="00BF2045">
        <w:t>ntil the projected project completion date</w:t>
      </w:r>
      <w:r w:rsidR="0050499E" w:rsidRPr="00BF2045">
        <w:t xml:space="preserve"> in December 2014.</w:t>
      </w:r>
      <w:r w:rsidR="00444CF9" w:rsidRPr="00BF2045">
        <w:t xml:space="preserve"> </w:t>
      </w:r>
    </w:p>
    <w:p w:rsidR="00AF5D66" w:rsidRPr="00BF2045" w:rsidRDefault="00D0648C" w:rsidP="00BF2045">
      <w:pPr>
        <w:pStyle w:val="BodyText"/>
      </w:pPr>
      <w:r w:rsidRPr="00BF2045">
        <w:t>T</w:t>
      </w:r>
      <w:r w:rsidR="00AF5D66" w:rsidRPr="00BF2045">
        <w:t>he milestone target for the Southern Coastal Corridor Project</w:t>
      </w:r>
      <w:r w:rsidRPr="00BF2045">
        <w:t xml:space="preserve"> was achieved in 2012</w:t>
      </w:r>
      <w:r w:rsidR="00AF5D66" w:rsidRPr="00BF2045">
        <w:t>. Progress is largely on track with only minor weather-related delays</w:t>
      </w:r>
      <w:r w:rsidR="00FF6CE4" w:rsidRPr="00BF2045">
        <w:t>––</w:t>
      </w:r>
      <w:r w:rsidR="00AF5D66" w:rsidRPr="00BF2045">
        <w:t>82</w:t>
      </w:r>
      <w:r w:rsidR="00FB72CE" w:rsidRPr="00BF2045">
        <w:t xml:space="preserve"> per cent</w:t>
      </w:r>
      <w:r w:rsidR="00AF5D66" w:rsidRPr="00BF2045">
        <w:t xml:space="preserve"> of the new 15</w:t>
      </w:r>
      <w:r w:rsidR="00FF6CE4" w:rsidRPr="00BF2045">
        <w:t xml:space="preserve"> kilometre </w:t>
      </w:r>
      <w:r w:rsidR="00AF5D66" w:rsidRPr="00BF2045">
        <w:t>road is complete.</w:t>
      </w:r>
      <w:r w:rsidR="00CD6B2F" w:rsidRPr="00BF2045">
        <w:t xml:space="preserve"> </w:t>
      </w:r>
      <w:r w:rsidR="00AF5D66" w:rsidRPr="00BF2045">
        <w:t xml:space="preserve">The cross-border facility, which will provide a one-stop service at the </w:t>
      </w:r>
      <w:proofErr w:type="spellStart"/>
      <w:r w:rsidR="00AF5D66" w:rsidRPr="00BF2045">
        <w:t>Lork</w:t>
      </w:r>
      <w:proofErr w:type="spellEnd"/>
      <w:r w:rsidR="00AF5D66" w:rsidRPr="00BF2045">
        <w:t xml:space="preserve">-Ha </w:t>
      </w:r>
      <w:proofErr w:type="spellStart"/>
      <w:r w:rsidR="00AF5D66" w:rsidRPr="00BF2045">
        <w:t>Tien</w:t>
      </w:r>
      <w:proofErr w:type="spellEnd"/>
      <w:r w:rsidR="00AF5D66" w:rsidRPr="00BF2045">
        <w:t xml:space="preserve"> crossing to Vietnam, is 40</w:t>
      </w:r>
      <w:r w:rsidR="00FB72CE" w:rsidRPr="00BF2045">
        <w:t xml:space="preserve"> per cent</w:t>
      </w:r>
      <w:r w:rsidR="00AF5D66" w:rsidRPr="00BF2045">
        <w:t xml:space="preserve"> complete </w:t>
      </w:r>
      <w:r w:rsidR="00FF6CE4" w:rsidRPr="00BF2045">
        <w:t xml:space="preserve">and </w:t>
      </w:r>
      <w:r w:rsidR="00AF5D66" w:rsidRPr="00BF2045">
        <w:t>on target for 2012.</w:t>
      </w:r>
      <w:r w:rsidR="00CD6B2F" w:rsidRPr="00BF2045">
        <w:t xml:space="preserve"> </w:t>
      </w:r>
      <w:r w:rsidR="002054F7">
        <w:t>Australia</w:t>
      </w:r>
      <w:r w:rsidR="00AF5D66" w:rsidRPr="00BF2045">
        <w:t xml:space="preserve"> has supported safeguard activities raising awareness about HIV and people trafficking with communities affected by </w:t>
      </w:r>
      <w:r w:rsidRPr="00BF2045">
        <w:t xml:space="preserve">this </w:t>
      </w:r>
      <w:r w:rsidR="00AF5D66" w:rsidRPr="00BF2045">
        <w:t xml:space="preserve">project </w:t>
      </w:r>
      <w:r w:rsidRPr="00BF2045">
        <w:t xml:space="preserve">as well as </w:t>
      </w:r>
      <w:r w:rsidR="00AF5D66" w:rsidRPr="00BF2045">
        <w:t xml:space="preserve">a </w:t>
      </w:r>
      <w:r w:rsidR="00FF6CE4" w:rsidRPr="00BF2045">
        <w:t xml:space="preserve">Korean </w:t>
      </w:r>
      <w:r w:rsidR="00AF5D66" w:rsidRPr="00BF2045">
        <w:t>Government funded project in a contiguous area.</w:t>
      </w:r>
      <w:r w:rsidR="00CD6B2F" w:rsidRPr="00BF2045">
        <w:t xml:space="preserve"> </w:t>
      </w:r>
      <w:r w:rsidR="00AF5D66" w:rsidRPr="00BF2045">
        <w:t>Increased uptake of voluntary counselling and testing in local health centres de</w:t>
      </w:r>
      <w:r w:rsidR="0004015A" w:rsidRPr="00BF2045">
        <w:t>monstrates that the investments have been worthwhile</w:t>
      </w:r>
      <w:r w:rsidR="00AF5D66" w:rsidRPr="00BF2045">
        <w:t>.</w:t>
      </w:r>
    </w:p>
    <w:p w:rsidR="0004015A" w:rsidRPr="00BF2045" w:rsidRDefault="00AF5D66" w:rsidP="00BF2045">
      <w:pPr>
        <w:pStyle w:val="BodyText"/>
      </w:pPr>
      <w:r w:rsidRPr="00BF2045">
        <w:lastRenderedPageBreak/>
        <w:t>The Road Asset Management Project is on track to exceed overall maintenance targets</w:t>
      </w:r>
      <w:r w:rsidR="00FF6CE4" w:rsidRPr="00BF2045">
        <w:t xml:space="preserve"> and is </w:t>
      </w:r>
      <w:r w:rsidRPr="00BF2045">
        <w:t xml:space="preserve">now </w:t>
      </w:r>
      <w:r w:rsidR="00FF6CE4" w:rsidRPr="00BF2045">
        <w:t>at</w:t>
      </w:r>
      <w:r w:rsidRPr="00BF2045">
        <w:t xml:space="preserve"> 996</w:t>
      </w:r>
      <w:r w:rsidR="0012414A" w:rsidRPr="00BF2045">
        <w:t xml:space="preserve"> </w:t>
      </w:r>
      <w:r w:rsidR="00FF6CE4" w:rsidRPr="00BF2045">
        <w:t xml:space="preserve">kilometres </w:t>
      </w:r>
      <w:r w:rsidRPr="00BF2045">
        <w:t xml:space="preserve">against </w:t>
      </w:r>
      <w:r w:rsidR="00FF6CE4" w:rsidRPr="00BF2045">
        <w:t xml:space="preserve">its </w:t>
      </w:r>
      <w:r w:rsidRPr="00BF2045">
        <w:t>target of 950</w:t>
      </w:r>
      <w:r w:rsidR="0012414A" w:rsidRPr="00BF2045">
        <w:t xml:space="preserve"> </w:t>
      </w:r>
      <w:r w:rsidR="00FF6CE4" w:rsidRPr="00BF2045">
        <w:t>kilometres</w:t>
      </w:r>
      <w:r w:rsidRPr="00BF2045">
        <w:t>.</w:t>
      </w:r>
      <w:r w:rsidR="00CD6B2F" w:rsidRPr="00BF2045">
        <w:t xml:space="preserve"> </w:t>
      </w:r>
      <w:r w:rsidRPr="00BF2045">
        <w:t>Around half of roads scheduled had received periodic maintenance with the remainder underway</w:t>
      </w:r>
      <w:r w:rsidR="0004015A" w:rsidRPr="00BF2045">
        <w:t>.</w:t>
      </w:r>
      <w:r w:rsidR="00CD6B2F" w:rsidRPr="00BF2045">
        <w:t xml:space="preserve"> </w:t>
      </w:r>
      <w:r w:rsidR="0004015A" w:rsidRPr="00BF2045">
        <w:t xml:space="preserve">The </w:t>
      </w:r>
      <w:r w:rsidRPr="00BF2045">
        <w:t>overall completion is at 80</w:t>
      </w:r>
      <w:r w:rsidR="00FB72CE" w:rsidRPr="00BF2045">
        <w:t xml:space="preserve"> per cent</w:t>
      </w:r>
      <w:r w:rsidRPr="00BF2045">
        <w:t>.</w:t>
      </w:r>
      <w:r w:rsidR="00CD6B2F" w:rsidRPr="00BF2045">
        <w:t xml:space="preserve"> </w:t>
      </w:r>
      <w:r w:rsidRPr="00BF2045">
        <w:t>This has resulted in an almost 20</w:t>
      </w:r>
      <w:r w:rsidR="00FB72CE" w:rsidRPr="00BF2045">
        <w:t xml:space="preserve"> per cent</w:t>
      </w:r>
      <w:r w:rsidRPr="00BF2045">
        <w:t xml:space="preserve"> saving in travel times along the</w:t>
      </w:r>
      <w:r w:rsidR="0004015A" w:rsidRPr="00BF2045">
        <w:t xml:space="preserve">se </w:t>
      </w:r>
      <w:r w:rsidRPr="00BF2045">
        <w:t>roads</w:t>
      </w:r>
      <w:r w:rsidR="0004015A" w:rsidRPr="00BF2045">
        <w:t>, with associated economic benefits.</w:t>
      </w:r>
      <w:r w:rsidRPr="00BF2045">
        <w:t xml:space="preserve"> Aspects of the project that relate to institutional and policy reform have made some progress although slower than expected. In May 2013</w:t>
      </w:r>
      <w:r w:rsidR="008223DD" w:rsidRPr="00BF2045">
        <w:t>,</w:t>
      </w:r>
      <w:r w:rsidRPr="00BF2045">
        <w:t xml:space="preserve"> the World Bank found that annual maintenance rolling plans are now using the same systems as those supported by this project. This has improved </w:t>
      </w:r>
      <w:r w:rsidR="00FF6CE4" w:rsidRPr="00BF2045">
        <w:t>evidence-</w:t>
      </w:r>
      <w:r w:rsidRPr="00BF2045">
        <w:t xml:space="preserve">based decisions and efficiency in road maintenance and management at the local government level. </w:t>
      </w:r>
    </w:p>
    <w:p w:rsidR="00AF5D66" w:rsidRPr="00BF2045" w:rsidRDefault="00AF5D66" w:rsidP="00BF2045">
      <w:pPr>
        <w:pStyle w:val="BodyText"/>
      </w:pPr>
      <w:r w:rsidRPr="00BF2045">
        <w:t xml:space="preserve">The Rural Energy Project did not make progress in 2012. </w:t>
      </w:r>
      <w:r w:rsidR="0004015A" w:rsidRPr="00BF2045">
        <w:t xml:space="preserve">Extended </w:t>
      </w:r>
      <w:r w:rsidRPr="00BF2045">
        <w:t>negotiations between the A</w:t>
      </w:r>
      <w:r w:rsidR="00FF6CE4" w:rsidRPr="00BF2045">
        <w:t xml:space="preserve">sian </w:t>
      </w:r>
      <w:r w:rsidRPr="00BF2045">
        <w:t>D</w:t>
      </w:r>
      <w:r w:rsidR="00FF6CE4" w:rsidRPr="00BF2045">
        <w:t xml:space="preserve">evelopment </w:t>
      </w:r>
      <w:r w:rsidRPr="00BF2045">
        <w:t>B</w:t>
      </w:r>
      <w:r w:rsidR="00FF6CE4" w:rsidRPr="00BF2045">
        <w:t>ank</w:t>
      </w:r>
      <w:r w:rsidRPr="00BF2045">
        <w:t xml:space="preserve"> and </w:t>
      </w:r>
      <w:proofErr w:type="spellStart"/>
      <w:r w:rsidRPr="00BF2045">
        <w:t>Electricité</w:t>
      </w:r>
      <w:proofErr w:type="spellEnd"/>
      <w:r w:rsidRPr="00BF2045">
        <w:t xml:space="preserve"> du </w:t>
      </w:r>
      <w:proofErr w:type="spellStart"/>
      <w:r w:rsidRPr="00BF2045">
        <w:t>Cambodge</w:t>
      </w:r>
      <w:proofErr w:type="spellEnd"/>
      <w:r w:rsidRPr="00BF2045">
        <w:t xml:space="preserve"> over implementation details delayed mobilisation. However the </w:t>
      </w:r>
      <w:r w:rsidR="00FF6CE4" w:rsidRPr="00BF2045">
        <w:t xml:space="preserve">bank’s </w:t>
      </w:r>
      <w:r w:rsidRPr="00BF2045">
        <w:t xml:space="preserve">board approved the project in early 2013 and the finalisation of the necessary legal </w:t>
      </w:r>
      <w:r w:rsidR="0004015A" w:rsidRPr="00BF2045">
        <w:t xml:space="preserve">instruments </w:t>
      </w:r>
      <w:r w:rsidRPr="00BF2045">
        <w:t xml:space="preserve">is underway. </w:t>
      </w:r>
      <w:r w:rsidR="0004015A" w:rsidRPr="00BF2045">
        <w:t xml:space="preserve">The project is currently on track to </w:t>
      </w:r>
      <w:r w:rsidRPr="00BF2045">
        <w:t xml:space="preserve">commence by the end of 2013. </w:t>
      </w:r>
    </w:p>
    <w:p w:rsidR="002C6EBD" w:rsidRPr="00BF2045" w:rsidRDefault="00AF5D66" w:rsidP="00BF2045">
      <w:pPr>
        <w:pStyle w:val="BodyText"/>
      </w:pPr>
      <w:r w:rsidRPr="00BF2045">
        <w:t>Support provided to the Cambodian Flood Damage Emergency Rehabilitation Project following wide-scale flooding in late 2011 has proved extremely effective</w:t>
      </w:r>
      <w:r w:rsidR="00FF6CE4" w:rsidRPr="00BF2045">
        <w:t>. A</w:t>
      </w:r>
      <w:r w:rsidRPr="00BF2045">
        <w:t xml:space="preserve">ll Australian grant money </w:t>
      </w:r>
      <w:r w:rsidR="00FF6CE4" w:rsidRPr="00BF2045">
        <w:t xml:space="preserve">was </w:t>
      </w:r>
      <w:r w:rsidRPr="00BF2045">
        <w:t>expensed at the outset of the project, which was highly appreciated by the Cambodian Government.</w:t>
      </w:r>
      <w:r w:rsidR="00CD6B2F" w:rsidRPr="00BF2045">
        <w:t xml:space="preserve"> </w:t>
      </w:r>
      <w:r w:rsidRPr="00BF2045">
        <w:t>The sub-projects are uniformly on track or ahead of schedule.</w:t>
      </w:r>
      <w:r w:rsidR="00CD6B2F" w:rsidRPr="00BF2045">
        <w:t xml:space="preserve"> </w:t>
      </w:r>
      <w:r w:rsidRPr="00BF2045">
        <w:t xml:space="preserve">Although it mobilised in mid-2012, already </w:t>
      </w:r>
      <w:r w:rsidR="00FF6CE4" w:rsidRPr="00BF2045">
        <w:t xml:space="preserve">six kilometres </w:t>
      </w:r>
      <w:r w:rsidRPr="00BF2045">
        <w:t>of provincial and 275</w:t>
      </w:r>
      <w:r w:rsidR="002843D7" w:rsidRPr="00BF2045">
        <w:t xml:space="preserve"> </w:t>
      </w:r>
      <w:r w:rsidR="00FF6CE4" w:rsidRPr="00BF2045">
        <w:t xml:space="preserve">kilometres </w:t>
      </w:r>
      <w:r w:rsidRPr="00BF2045">
        <w:t>of rural roads have been repaired, along with three bridges, two major dykes and eight irrigation schemes.</w:t>
      </w:r>
      <w:r w:rsidR="00CD6B2F" w:rsidRPr="00BF2045">
        <w:t xml:space="preserve"> </w:t>
      </w:r>
      <w:r w:rsidRPr="00BF2045">
        <w:t xml:space="preserve">The project will </w:t>
      </w:r>
      <w:r w:rsidR="00D0648C" w:rsidRPr="00BF2045">
        <w:t xml:space="preserve">be </w:t>
      </w:r>
      <w:r w:rsidRPr="00BF2045">
        <w:t>complete</w:t>
      </w:r>
      <w:r w:rsidR="00D0648C" w:rsidRPr="00BF2045">
        <w:t>d</w:t>
      </w:r>
      <w:r w:rsidRPr="00BF2045">
        <w:t xml:space="preserve"> by March 2014.</w:t>
      </w:r>
    </w:p>
    <w:p w:rsidR="00453805" w:rsidRPr="00BF2045" w:rsidRDefault="00453805" w:rsidP="00BF2045">
      <w:pPr>
        <w:pStyle w:val="Heading2"/>
      </w:pPr>
      <w:r w:rsidRPr="00BF2045">
        <w:t xml:space="preserve">Objective 4: </w:t>
      </w:r>
      <w:r w:rsidR="005C4FB0" w:rsidRPr="00BF2045">
        <w:t>Women, youth and children are safer and communities have less crime</w:t>
      </w:r>
      <w:r w:rsidR="00FF6CE4" w:rsidRPr="00BF2045">
        <w:t xml:space="preserve">, </w:t>
      </w:r>
      <w:r w:rsidR="008D1B19" w:rsidRPr="00BF2045">
        <w:t xml:space="preserve">a </w:t>
      </w:r>
      <w:r w:rsidR="005C4FB0" w:rsidRPr="00BF2045">
        <w:t>more effective non-custodial sentencing system</w:t>
      </w:r>
      <w:r w:rsidR="00FF6CE4" w:rsidRPr="00BF2045">
        <w:t xml:space="preserve">, </w:t>
      </w:r>
      <w:r w:rsidR="005C4FB0" w:rsidRPr="00BF2045">
        <w:t>strengthened evidence-based performance management</w:t>
      </w:r>
    </w:p>
    <w:p w:rsidR="00453805" w:rsidRPr="00661ADA" w:rsidRDefault="00453805" w:rsidP="00661ADA">
      <w:pPr>
        <w:pStyle w:val="BodyText"/>
        <w:rPr>
          <w:i/>
        </w:rPr>
      </w:pPr>
      <w:r w:rsidRPr="00661ADA">
        <w:rPr>
          <w:i/>
        </w:rPr>
        <w:t>Cambodia development goal: Increased individual rights and responsibilities in the justice system for juveniles and vulnerable groups</w:t>
      </w:r>
    </w:p>
    <w:tbl>
      <w:tblPr>
        <w:tblStyle w:val="APPR"/>
        <w:tblW w:w="5000" w:type="pct"/>
        <w:tblLook w:val="01E0" w:firstRow="1" w:lastRow="1" w:firstColumn="1" w:lastColumn="1" w:noHBand="0" w:noVBand="0"/>
      </w:tblPr>
      <w:tblGrid>
        <w:gridCol w:w="6894"/>
        <w:gridCol w:w="1713"/>
      </w:tblGrid>
      <w:tr w:rsidR="00453805" w:rsidRPr="00BF2045" w:rsidTr="00BF2045">
        <w:trPr>
          <w:cnfStyle w:val="100000000000" w:firstRow="1" w:lastRow="0" w:firstColumn="0" w:lastColumn="0" w:oddVBand="0" w:evenVBand="0" w:oddHBand="0" w:evenHBand="0" w:firstRowFirstColumn="0" w:firstRowLastColumn="0" w:lastRowFirstColumn="0" w:lastRowLastColumn="0"/>
        </w:trPr>
        <w:tc>
          <w:tcPr>
            <w:tcW w:w="3969" w:type="pct"/>
          </w:tcPr>
          <w:p w:rsidR="00453805" w:rsidRPr="00BF2045" w:rsidRDefault="00453805" w:rsidP="00BF2045">
            <w:pPr>
              <w:pStyle w:val="TableTextColumnHeading"/>
              <w:rPr>
                <w:rFonts w:eastAsia="Calibri"/>
                <w:b/>
              </w:rPr>
            </w:pPr>
            <w:r w:rsidRPr="00BF2045">
              <w:rPr>
                <w:rFonts w:eastAsia="Calibri"/>
                <w:b/>
              </w:rPr>
              <w:t>Objective</w:t>
            </w:r>
          </w:p>
        </w:tc>
        <w:tc>
          <w:tcPr>
            <w:tcW w:w="968" w:type="pct"/>
          </w:tcPr>
          <w:p w:rsidR="00453805" w:rsidRPr="00BF2045" w:rsidRDefault="00453805" w:rsidP="00BF2045">
            <w:pPr>
              <w:pStyle w:val="TableTextColumnHeading"/>
              <w:rPr>
                <w:rFonts w:eastAsia="Calibri"/>
                <w:b/>
              </w:rPr>
            </w:pPr>
            <w:r w:rsidRPr="00BF2045">
              <w:rPr>
                <w:rFonts w:eastAsia="Calibri"/>
                <w:b/>
              </w:rPr>
              <w:t xml:space="preserve">Current rating </w:t>
            </w:r>
          </w:p>
        </w:tc>
      </w:tr>
      <w:tr w:rsidR="00453805" w:rsidRPr="00BF2045" w:rsidTr="00BF2045">
        <w:trPr>
          <w:cnfStyle w:val="100000000000" w:firstRow="1" w:lastRow="0" w:firstColumn="0" w:lastColumn="0" w:oddVBand="0" w:evenVBand="0" w:oddHBand="0" w:evenHBand="0" w:firstRowFirstColumn="0" w:firstRowLastColumn="0" w:lastRowFirstColumn="0" w:lastRowLastColumn="0"/>
        </w:trPr>
        <w:tc>
          <w:tcPr>
            <w:tcW w:w="3969" w:type="pct"/>
          </w:tcPr>
          <w:p w:rsidR="00453805" w:rsidRPr="00BF2045" w:rsidRDefault="00453805" w:rsidP="00BF2045">
            <w:pPr>
              <w:pStyle w:val="TableTextEntries"/>
              <w:rPr>
                <w:rFonts w:eastAsia="Calibri"/>
                <w:b w:val="0"/>
              </w:rPr>
            </w:pPr>
            <w:r w:rsidRPr="00BF2045">
              <w:rPr>
                <w:rFonts w:eastAsia="Calibri"/>
                <w:b w:val="0"/>
              </w:rPr>
              <w:t xml:space="preserve">Objective 4 </w:t>
            </w:r>
            <w:r w:rsidR="00D55F1E" w:rsidRPr="00BF2045">
              <w:rPr>
                <w:rFonts w:eastAsia="Calibri"/>
                <w:b w:val="0"/>
              </w:rPr>
              <w:t>Women, youth and children are safer and communities have less crime</w:t>
            </w:r>
            <w:r w:rsidR="00FF6CE4" w:rsidRPr="00BF2045">
              <w:rPr>
                <w:rFonts w:eastAsia="Calibri"/>
                <w:b w:val="0"/>
              </w:rPr>
              <w:t xml:space="preserve">, </w:t>
            </w:r>
            <w:r w:rsidR="008D1B19" w:rsidRPr="00BF2045">
              <w:rPr>
                <w:rFonts w:eastAsia="Calibri"/>
                <w:b w:val="0"/>
              </w:rPr>
              <w:t xml:space="preserve">a </w:t>
            </w:r>
            <w:r w:rsidR="00D55F1E" w:rsidRPr="00BF2045">
              <w:rPr>
                <w:rFonts w:eastAsia="Calibri"/>
                <w:b w:val="0"/>
              </w:rPr>
              <w:t>more effective non-custodial sentencing system</w:t>
            </w:r>
            <w:r w:rsidR="00FF6CE4" w:rsidRPr="00BF2045">
              <w:rPr>
                <w:rFonts w:eastAsia="Calibri"/>
                <w:b w:val="0"/>
              </w:rPr>
              <w:t xml:space="preserve">, </w:t>
            </w:r>
            <w:r w:rsidR="00D55F1E" w:rsidRPr="00BF2045">
              <w:rPr>
                <w:rFonts w:eastAsia="Calibri"/>
                <w:b w:val="0"/>
              </w:rPr>
              <w:t>strengthened evidence-based performance management</w:t>
            </w:r>
          </w:p>
        </w:tc>
        <w:tc>
          <w:tcPr>
            <w:tcW w:w="968" w:type="pct"/>
            <w:shd w:val="clear" w:color="auto" w:fill="92D050"/>
          </w:tcPr>
          <w:p w:rsidR="00453805" w:rsidRPr="00BF2045" w:rsidRDefault="008A45C9" w:rsidP="00BF2045">
            <w:pPr>
              <w:pStyle w:val="TableTextEntries"/>
              <w:rPr>
                <w:rFonts w:eastAsia="Calibri"/>
                <w:b w:val="0"/>
              </w:rPr>
            </w:pPr>
            <w:r>
              <w:rPr>
                <w:rFonts w:eastAsia="Calibri"/>
                <w:b w:val="0"/>
              </w:rPr>
              <w:t>G</w:t>
            </w:r>
            <w:r w:rsidR="00453805" w:rsidRPr="00BF2045">
              <w:rPr>
                <w:rFonts w:eastAsia="Calibri"/>
                <w:b w:val="0"/>
              </w:rPr>
              <w:t>reen</w:t>
            </w:r>
          </w:p>
        </w:tc>
      </w:tr>
    </w:tbl>
    <w:p w:rsidR="00CF1215" w:rsidRPr="00745FE3" w:rsidRDefault="00CF1215">
      <w:pPr>
        <w:pStyle w:val="Heading3"/>
      </w:pPr>
      <w:r w:rsidRPr="00745FE3">
        <w:t>Annual milestone targets 2012</w:t>
      </w:r>
    </w:p>
    <w:p w:rsidR="00CF1215" w:rsidRPr="00BF2045" w:rsidRDefault="00CF1215" w:rsidP="00BF2045">
      <w:pPr>
        <w:pStyle w:val="ListBullet"/>
      </w:pPr>
      <w:r w:rsidRPr="00BF2045">
        <w:t>Improved community safety in targeted districts with specific focus on vulnerable groups (achieved).</w:t>
      </w:r>
    </w:p>
    <w:p w:rsidR="00CF1215" w:rsidRPr="00BF2045" w:rsidRDefault="00CF1215" w:rsidP="00BF2045">
      <w:pPr>
        <w:pStyle w:val="ListBullet"/>
      </w:pPr>
      <w:r w:rsidRPr="00BF2045">
        <w:t xml:space="preserve">Guidelines </w:t>
      </w:r>
      <w:r w:rsidR="00FF6CE4" w:rsidRPr="00BF2045">
        <w:t xml:space="preserve">established </w:t>
      </w:r>
      <w:r w:rsidRPr="00BF2045">
        <w:t xml:space="preserve">for piloting alternative sentencing and endorsed by </w:t>
      </w:r>
      <w:r w:rsidR="00FF6CE4" w:rsidRPr="00BF2045">
        <w:t xml:space="preserve">the Ministry of Justice </w:t>
      </w:r>
      <w:r w:rsidRPr="00BF2045">
        <w:t>to address prison overcrowding (achieved).</w:t>
      </w:r>
    </w:p>
    <w:p w:rsidR="00CF1215" w:rsidRPr="00BF2045" w:rsidRDefault="00CF1215" w:rsidP="00BF2045">
      <w:pPr>
        <w:pStyle w:val="ListBullet"/>
      </w:pPr>
      <w:r w:rsidRPr="00BF2045">
        <w:t xml:space="preserve">Draft </w:t>
      </w:r>
      <w:r w:rsidR="00FF6CE4" w:rsidRPr="00BF2045">
        <w:t xml:space="preserve">prison law </w:t>
      </w:r>
      <w:r w:rsidR="00982937" w:rsidRPr="00BF2045">
        <w:t>approved and enacted (</w:t>
      </w:r>
      <w:r w:rsidRPr="00BF2045">
        <w:t>achieved</w:t>
      </w:r>
      <w:r w:rsidR="00982937" w:rsidRPr="00BF2045">
        <w:t>).</w:t>
      </w:r>
    </w:p>
    <w:p w:rsidR="00CF1215" w:rsidRPr="00BF2045" w:rsidRDefault="00CF1215" w:rsidP="00BF2045">
      <w:pPr>
        <w:pStyle w:val="ListBullet"/>
      </w:pPr>
      <w:r w:rsidRPr="00BF2045">
        <w:t xml:space="preserve">Government structures </w:t>
      </w:r>
      <w:r w:rsidR="00FF6CE4" w:rsidRPr="00BF2045">
        <w:t xml:space="preserve">established and strengthened, including those </w:t>
      </w:r>
      <w:r w:rsidRPr="00BF2045">
        <w:t xml:space="preserve">to manage </w:t>
      </w:r>
      <w:r w:rsidR="00FF6CE4" w:rsidRPr="00BF2045">
        <w:t xml:space="preserve">the police </w:t>
      </w:r>
      <w:r w:rsidRPr="00BF2045">
        <w:t>crime databas</w:t>
      </w:r>
      <w:r w:rsidR="00FF6CE4" w:rsidRPr="00BF2045">
        <w:t>e</w:t>
      </w:r>
      <w:r w:rsidRPr="00BF2045">
        <w:t xml:space="preserve">, </w:t>
      </w:r>
      <w:r w:rsidR="00FF6CE4" w:rsidRPr="00BF2045">
        <w:t xml:space="preserve">the </w:t>
      </w:r>
      <w:r w:rsidRPr="00BF2045">
        <w:t>court register</w:t>
      </w:r>
      <w:r w:rsidR="00FF6CE4" w:rsidRPr="00BF2045">
        <w:t xml:space="preserve"> database</w:t>
      </w:r>
      <w:r w:rsidRPr="00BF2045">
        <w:t xml:space="preserve">, </w:t>
      </w:r>
      <w:r w:rsidR="00FF6CE4" w:rsidRPr="00BF2045">
        <w:t xml:space="preserve">appeal court </w:t>
      </w:r>
      <w:r w:rsidRPr="00BF2045">
        <w:t>criminal case</w:t>
      </w:r>
      <w:r w:rsidR="00FF6CE4" w:rsidRPr="00BF2045">
        <w:t>s,</w:t>
      </w:r>
      <w:r w:rsidRPr="00BF2045">
        <w:t xml:space="preserve"> and the </w:t>
      </w:r>
      <w:r w:rsidR="00FF6CE4" w:rsidRPr="00BF2045">
        <w:t xml:space="preserve">prison </w:t>
      </w:r>
      <w:r w:rsidRPr="00BF2045">
        <w:t xml:space="preserve">database </w:t>
      </w:r>
      <w:r w:rsidR="00982937" w:rsidRPr="00BF2045">
        <w:t>(</w:t>
      </w:r>
      <w:r w:rsidRPr="00BF2045">
        <w:t>achieved</w:t>
      </w:r>
      <w:r w:rsidR="00982937" w:rsidRPr="00BF2045">
        <w:t>).</w:t>
      </w:r>
      <w:r w:rsidR="00FC5DD2" w:rsidRPr="00BF2045">
        <w:rPr>
          <w:rStyle w:val="FootnoteReference"/>
          <w:sz w:val="22"/>
          <w:szCs w:val="24"/>
        </w:rPr>
        <w:footnoteReference w:id="34"/>
      </w:r>
    </w:p>
    <w:p w:rsidR="00D552B9" w:rsidRPr="00BF2045" w:rsidRDefault="00D552B9" w:rsidP="00BF2045">
      <w:pPr>
        <w:pStyle w:val="BodyText"/>
      </w:pPr>
      <w:r w:rsidRPr="00BF2045">
        <w:t xml:space="preserve">Cambodia’s law and justice institutions </w:t>
      </w:r>
      <w:r w:rsidR="00C23C9E" w:rsidRPr="00BF2045">
        <w:t>are still emerging from the many years of conflict.</w:t>
      </w:r>
      <w:r w:rsidR="00CD6B2F" w:rsidRPr="00BF2045">
        <w:t xml:space="preserve"> </w:t>
      </w:r>
      <w:r w:rsidRPr="00BF2045">
        <w:t>Im</w:t>
      </w:r>
      <w:r w:rsidR="0004015A" w:rsidRPr="00BF2045">
        <w:t>provements since the</w:t>
      </w:r>
      <w:r w:rsidR="00C23C9E" w:rsidRPr="00BF2045">
        <w:t xml:space="preserve"> mid-1990s, when Australia first started working in the justice sector, </w:t>
      </w:r>
      <w:r w:rsidR="0004015A" w:rsidRPr="00BF2045">
        <w:t>have been</w:t>
      </w:r>
      <w:r w:rsidRPr="00BF2045">
        <w:t xml:space="preserve"> </w:t>
      </w:r>
      <w:r w:rsidR="002C6EBD" w:rsidRPr="00BF2045">
        <w:t>slow</w:t>
      </w:r>
      <w:r w:rsidR="00C23C9E" w:rsidRPr="00BF2045">
        <w:t>.</w:t>
      </w:r>
      <w:r w:rsidR="00CD6B2F" w:rsidRPr="00BF2045">
        <w:t xml:space="preserve"> </w:t>
      </w:r>
      <w:r w:rsidR="00C23C9E" w:rsidRPr="00BF2045">
        <w:t>S</w:t>
      </w:r>
      <w:r w:rsidRPr="00BF2045">
        <w:t xml:space="preserve">ignificant gaps </w:t>
      </w:r>
      <w:r w:rsidR="00C23C9E" w:rsidRPr="00BF2045">
        <w:t>remain</w:t>
      </w:r>
      <w:r w:rsidR="0004015A" w:rsidRPr="00BF2045">
        <w:t xml:space="preserve"> </w:t>
      </w:r>
      <w:r w:rsidR="00C23C9E" w:rsidRPr="00BF2045">
        <w:t xml:space="preserve">in the legal framework </w:t>
      </w:r>
      <w:r w:rsidRPr="00BF2045">
        <w:t>and public opinion surveys regularly rank the judiciary as among the most corrupt institutions in the country.</w:t>
      </w:r>
      <w:r w:rsidR="00CD6B2F" w:rsidRPr="00BF2045">
        <w:t xml:space="preserve"> </w:t>
      </w:r>
      <w:r w:rsidR="0004015A" w:rsidRPr="00BF2045">
        <w:t xml:space="preserve">This </w:t>
      </w:r>
      <w:r w:rsidR="0004015A" w:rsidRPr="00BF2045">
        <w:lastRenderedPageBreak/>
        <w:t>situation is largely mirrored in the Cambodian National Police.</w:t>
      </w:r>
      <w:r w:rsidR="00CD6B2F" w:rsidRPr="00BF2045">
        <w:t xml:space="preserve"> </w:t>
      </w:r>
      <w:r w:rsidRPr="00BF2045">
        <w:t>Overall, international ranking systems put Cambodia in the bottom 20 per cent of countries for rule of law. The Transparency International Corruption Perceptions Index ranks Cambodia at 157 out of 176 countries.</w:t>
      </w:r>
    </w:p>
    <w:p w:rsidR="00D552B9" w:rsidRPr="00BF2045" w:rsidRDefault="00D552B9" w:rsidP="00BF2045">
      <w:pPr>
        <w:pStyle w:val="BodyText"/>
      </w:pPr>
      <w:r w:rsidRPr="00BF2045">
        <w:t>There has been some progress however. Basic laws governing the law and justice system are being enacted</w:t>
      </w:r>
      <w:r w:rsidR="00FF6CE4" w:rsidRPr="00BF2045">
        <w:t>. The</w:t>
      </w:r>
      <w:r w:rsidRPr="00BF2045">
        <w:t xml:space="preserve"> </w:t>
      </w:r>
      <w:r w:rsidR="00FF6CE4" w:rsidRPr="00BF2045">
        <w:t>law on prisons, the anti-corruption law and penal code</w:t>
      </w:r>
      <w:r w:rsidRPr="00BF2045">
        <w:t xml:space="preserve"> have all passed through the </w:t>
      </w:r>
      <w:r w:rsidR="008D1B19" w:rsidRPr="00BF2045">
        <w:t>n</w:t>
      </w:r>
      <w:r w:rsidRPr="00BF2045">
        <w:t xml:space="preserve">ational </w:t>
      </w:r>
      <w:r w:rsidR="008D1B19" w:rsidRPr="00BF2045">
        <w:t>p</w:t>
      </w:r>
      <w:r w:rsidRPr="00BF2045">
        <w:t xml:space="preserve">arliament. The Cambodian National Police has taken visible measures to reduce criminality within its ranks, the National Bar Association has been reformed, and there is a real focus at the local level to improve community safety. </w:t>
      </w:r>
      <w:r w:rsidR="00B4307B" w:rsidRPr="00BF2045">
        <w:t xml:space="preserve">The </w:t>
      </w:r>
      <w:r w:rsidR="00FF6CE4" w:rsidRPr="00BF2045">
        <w:t>village commune safety policy</w:t>
      </w:r>
      <w:r w:rsidR="002C6EBD" w:rsidRPr="00BF2045">
        <w:t>,</w:t>
      </w:r>
      <w:r w:rsidR="00B4307B" w:rsidRPr="00BF2045">
        <w:t xml:space="preserve"> introduced by the Cambodian </w:t>
      </w:r>
      <w:r w:rsidR="00FF6CE4" w:rsidRPr="00BF2045">
        <w:t xml:space="preserve">Government </w:t>
      </w:r>
      <w:r w:rsidR="002C6EBD" w:rsidRPr="00BF2045">
        <w:t>in</w:t>
      </w:r>
      <w:r w:rsidR="00B4307B" w:rsidRPr="00BF2045">
        <w:t xml:space="preserve"> 2010</w:t>
      </w:r>
      <w:r w:rsidR="002C6EBD" w:rsidRPr="00BF2045">
        <w:t xml:space="preserve">, has seen progress on </w:t>
      </w:r>
      <w:r w:rsidR="00B4307B" w:rsidRPr="00BF2045">
        <w:t>community safety issue</w:t>
      </w:r>
      <w:r w:rsidR="002C6EBD" w:rsidRPr="00BF2045">
        <w:t>s</w:t>
      </w:r>
      <w:r w:rsidR="00B4307B" w:rsidRPr="00BF2045">
        <w:t xml:space="preserve"> nationwide. </w:t>
      </w:r>
      <w:r w:rsidRPr="00BF2045">
        <w:t>The prison system has proved to be the most open to reform, but is constrained by inadequate budgets, p</w:t>
      </w:r>
      <w:r w:rsidR="00DC79D3" w:rsidRPr="00BF2045">
        <w:t>oor infrastructure and an ongoing</w:t>
      </w:r>
      <w:r w:rsidRPr="00BF2045">
        <w:t xml:space="preserve"> problem with prison overcrowding</w:t>
      </w:r>
      <w:r w:rsidR="00C23C9E" w:rsidRPr="00BF2045">
        <w:t>.</w:t>
      </w:r>
    </w:p>
    <w:p w:rsidR="00D552B9" w:rsidRPr="00BF2045" w:rsidRDefault="00D552B9" w:rsidP="00BF2045">
      <w:pPr>
        <w:pStyle w:val="BodyText"/>
      </w:pPr>
      <w:r w:rsidRPr="00BF2045">
        <w:t xml:space="preserve">Australia remains the largest of a dwindling pool of donors in the sector. The </w:t>
      </w:r>
      <w:r w:rsidR="00D0648C" w:rsidRPr="00BF2045">
        <w:t xml:space="preserve">United States of America </w:t>
      </w:r>
      <w:r w:rsidRPr="00BF2045">
        <w:t>has substantially wound back its investments while Denmark pull</w:t>
      </w:r>
      <w:r w:rsidR="00D0648C" w:rsidRPr="00BF2045">
        <w:t>ed</w:t>
      </w:r>
      <w:r w:rsidRPr="00BF2045">
        <w:t xml:space="preserve"> out entirely at the end of 2012 as part of a phase out of its development cooperation assistance to Cambodia.</w:t>
      </w:r>
    </w:p>
    <w:p w:rsidR="00D552B9" w:rsidRPr="00BF2045" w:rsidRDefault="00D552B9" w:rsidP="00BF2045">
      <w:pPr>
        <w:pStyle w:val="BodyText"/>
      </w:pPr>
      <w:r w:rsidRPr="00BF2045">
        <w:t xml:space="preserve">In 2012 </w:t>
      </w:r>
      <w:r w:rsidR="002054F7">
        <w:t>the</w:t>
      </w:r>
      <w:r w:rsidRPr="00BF2045">
        <w:t xml:space="preserve"> Office of Development Effectiveness</w:t>
      </w:r>
      <w:r w:rsidR="00810037" w:rsidRPr="00BF2045">
        <w:t xml:space="preserve"> </w:t>
      </w:r>
      <w:r w:rsidRPr="00BF2045">
        <w:t xml:space="preserve">published </w:t>
      </w:r>
      <w:r w:rsidR="00224AD3" w:rsidRPr="00BF2045">
        <w:t xml:space="preserve">its </w:t>
      </w:r>
      <w:r w:rsidRPr="00BF2045">
        <w:t xml:space="preserve">findings from an evaluation of Australia’s </w:t>
      </w:r>
      <w:r w:rsidR="00224AD3" w:rsidRPr="00BF2045">
        <w:t>law and justice assistance</w:t>
      </w:r>
      <w:r w:rsidR="00D0648C" w:rsidRPr="00BF2045">
        <w:t>, which included a case study on</w:t>
      </w:r>
      <w:r w:rsidRPr="00BF2045">
        <w:t xml:space="preserve"> </w:t>
      </w:r>
      <w:r w:rsidR="002054F7">
        <w:t>Australian</w:t>
      </w:r>
      <w:r w:rsidR="002054F7" w:rsidRPr="00BF2045">
        <w:t xml:space="preserve"> </w:t>
      </w:r>
      <w:r w:rsidR="00D0648C" w:rsidRPr="00BF2045">
        <w:t xml:space="preserve">support to </w:t>
      </w:r>
      <w:r w:rsidRPr="00BF2045">
        <w:t>Cambodia. It found that parallel support to the judiciary, police and corrections system, together with assistance for implementing a national reform strategy for the justice system as a whole</w:t>
      </w:r>
      <w:r w:rsidR="005D40E6" w:rsidRPr="00BF2045">
        <w:t>,</w:t>
      </w:r>
      <w:r w:rsidRPr="00BF2045">
        <w:t xml:space="preserve"> lent itself to only patchy success. It stated that many of the higher level objectives in the law and justice agenda entailing ambitious institutional reforms—such as creating an independent judiciary or a democratic and accountable police service—</w:t>
      </w:r>
      <w:r w:rsidR="004C4C24" w:rsidRPr="00BF2045">
        <w:t>w</w:t>
      </w:r>
      <w:r w:rsidRPr="00BF2045">
        <w:t>ere unlikely to progress</w:t>
      </w:r>
      <w:r w:rsidR="004C4C24" w:rsidRPr="00BF2045">
        <w:t xml:space="preserve"> </w:t>
      </w:r>
      <w:r w:rsidRPr="00BF2045">
        <w:t>in the absence of either political support or strong managerial capacity.</w:t>
      </w:r>
      <w:r w:rsidR="00CD6B2F" w:rsidRPr="00BF2045">
        <w:t xml:space="preserve"> </w:t>
      </w:r>
      <w:r w:rsidR="004C4C24" w:rsidRPr="00BF2045">
        <w:t>The evaluation recommended that more tangible gains were likely to be realised in improving the state citizen interactions at the local level.</w:t>
      </w:r>
      <w:r w:rsidR="00CD6B2F" w:rsidRPr="00BF2045">
        <w:t xml:space="preserve"> </w:t>
      </w:r>
    </w:p>
    <w:p w:rsidR="0094333C" w:rsidRPr="00BF2045" w:rsidRDefault="00D552B9" w:rsidP="00BF2045">
      <w:pPr>
        <w:pStyle w:val="BodyText"/>
      </w:pPr>
      <w:r w:rsidRPr="00BF2045">
        <w:t xml:space="preserve">Drawing on </w:t>
      </w:r>
      <w:r w:rsidR="005D40E6" w:rsidRPr="00BF2045">
        <w:t>this e</w:t>
      </w:r>
      <w:r w:rsidRPr="00BF2045">
        <w:t>valuation</w:t>
      </w:r>
      <w:r w:rsidR="005D40E6" w:rsidRPr="00BF2045">
        <w:t>,</w:t>
      </w:r>
      <w:r w:rsidRPr="00BF2045">
        <w:t xml:space="preserve"> a new </w:t>
      </w:r>
      <w:r w:rsidR="00D0648C" w:rsidRPr="00BF2045">
        <w:t xml:space="preserve">delivery </w:t>
      </w:r>
      <w:r w:rsidRPr="00BF2045">
        <w:t xml:space="preserve">strategy </w:t>
      </w:r>
      <w:r w:rsidR="00D0648C" w:rsidRPr="00BF2045">
        <w:t xml:space="preserve">for </w:t>
      </w:r>
      <w:r w:rsidR="002054F7">
        <w:t xml:space="preserve">the </w:t>
      </w:r>
      <w:r w:rsidRPr="00BF2045">
        <w:t>law and justice assistance</w:t>
      </w:r>
      <w:r w:rsidR="004C4C24" w:rsidRPr="00BF2045">
        <w:t xml:space="preserve"> </w:t>
      </w:r>
      <w:r w:rsidR="002054F7">
        <w:t xml:space="preserve">program was formulated </w:t>
      </w:r>
      <w:r w:rsidR="004C4C24" w:rsidRPr="00BF2045">
        <w:t xml:space="preserve">focusing </w:t>
      </w:r>
      <w:r w:rsidRPr="00BF2045">
        <w:t xml:space="preserve">on </w:t>
      </w:r>
      <w:r w:rsidR="003A3863" w:rsidRPr="00BF2045">
        <w:t xml:space="preserve">three </w:t>
      </w:r>
      <w:r w:rsidRPr="00BF2045">
        <w:t xml:space="preserve">thematic issues: </w:t>
      </w:r>
    </w:p>
    <w:p w:rsidR="0094333C" w:rsidRDefault="00D552B9" w:rsidP="00BF2045">
      <w:pPr>
        <w:pStyle w:val="ListBullet"/>
      </w:pPr>
      <w:r w:rsidRPr="00745FE3">
        <w:t>community safety, non-custodial sentencing and improved prisons</w:t>
      </w:r>
    </w:p>
    <w:p w:rsidR="003A3863" w:rsidRDefault="00D552B9" w:rsidP="00BF2045">
      <w:pPr>
        <w:pStyle w:val="ListBullet"/>
      </w:pPr>
      <w:r w:rsidRPr="00745FE3">
        <w:t>databases to support management in communities, police, courts and prisons</w:t>
      </w:r>
    </w:p>
    <w:p w:rsidR="003A3863" w:rsidRDefault="00D552B9" w:rsidP="00BF2045">
      <w:pPr>
        <w:pStyle w:val="ListBullet"/>
      </w:pPr>
      <w:proofErr w:type="gramStart"/>
      <w:r w:rsidRPr="00745FE3">
        <w:t>addressing</w:t>
      </w:r>
      <w:proofErr w:type="gramEnd"/>
      <w:r w:rsidRPr="00745FE3">
        <w:t xml:space="preserve"> violence against women. </w:t>
      </w:r>
    </w:p>
    <w:p w:rsidR="00D552B9" w:rsidRPr="00BF2045" w:rsidRDefault="00D552B9" w:rsidP="00BF2045">
      <w:pPr>
        <w:pStyle w:val="BodyText"/>
      </w:pPr>
      <w:r w:rsidRPr="00BF2045">
        <w:t xml:space="preserve">This represents a substantial shift in focus from top down institutional reform toward interaction between the justice system and the public, and addressing practical constraints on the delivery of justice services. </w:t>
      </w:r>
    </w:p>
    <w:p w:rsidR="00D552B9" w:rsidRPr="00BF2045" w:rsidRDefault="00D552B9" w:rsidP="00BF2045">
      <w:pPr>
        <w:pStyle w:val="BodyText"/>
      </w:pPr>
      <w:r w:rsidRPr="00BF2045">
        <w:t xml:space="preserve">Following this shift of strategic direction, 2012 has been a transition period for </w:t>
      </w:r>
      <w:r w:rsidR="002054F7">
        <w:t>Australian</w:t>
      </w:r>
      <w:r w:rsidR="00D0648C" w:rsidRPr="00BF2045">
        <w:t xml:space="preserve"> support to the </w:t>
      </w:r>
      <w:r w:rsidRPr="00BF2045">
        <w:t xml:space="preserve">law and justice sector. A new </w:t>
      </w:r>
      <w:r w:rsidR="005D40E6" w:rsidRPr="00BF2045">
        <w:t>three and a half</w:t>
      </w:r>
      <w:r w:rsidRPr="00BF2045">
        <w:t xml:space="preserve"> year progra</w:t>
      </w:r>
      <w:r w:rsidR="005D40E6" w:rsidRPr="00BF2045">
        <w:t>m––</w:t>
      </w:r>
      <w:r w:rsidRPr="00BF2045">
        <w:t>the Cambodia Community Justice Assistance Partnership</w:t>
      </w:r>
      <w:r w:rsidR="005D40E6" w:rsidRPr="00BF2045">
        <w:t>––</w:t>
      </w:r>
      <w:r w:rsidRPr="00BF2045">
        <w:t xml:space="preserve">was mobilised in 2013. Despite the transition </w:t>
      </w:r>
      <w:r w:rsidR="00C23C9E" w:rsidRPr="00BF2045">
        <w:t xml:space="preserve">to this new focus </w:t>
      </w:r>
      <w:r w:rsidR="002054F7">
        <w:t>Australia</w:t>
      </w:r>
      <w:r w:rsidR="00D0648C" w:rsidRPr="00BF2045">
        <w:t xml:space="preserve"> </w:t>
      </w:r>
      <w:r w:rsidRPr="00BF2045">
        <w:t xml:space="preserve">has met or exceeded all the 2012 milestones set in the last </w:t>
      </w:r>
      <w:r w:rsidR="005D40E6" w:rsidRPr="00BF2045">
        <w:t xml:space="preserve">annual program performance </w:t>
      </w:r>
      <w:r w:rsidR="00021F54" w:rsidRPr="00BF2045">
        <w:t>report</w:t>
      </w:r>
      <w:r w:rsidRPr="00BF2045">
        <w:t xml:space="preserve">. </w:t>
      </w:r>
    </w:p>
    <w:p w:rsidR="00E456E1" w:rsidRPr="00BF2045" w:rsidRDefault="002054F7" w:rsidP="00BF2045">
      <w:pPr>
        <w:pStyle w:val="BodyText"/>
      </w:pPr>
      <w:r>
        <w:t xml:space="preserve">Australia </w:t>
      </w:r>
      <w:r w:rsidR="00D0648C" w:rsidRPr="00BF2045">
        <w:t>supported t</w:t>
      </w:r>
      <w:r w:rsidR="00D552B9" w:rsidRPr="00BF2045">
        <w:t xml:space="preserve">he </w:t>
      </w:r>
      <w:r w:rsidR="00046C54" w:rsidRPr="00BF2045">
        <w:t xml:space="preserve">appropriate </w:t>
      </w:r>
      <w:r w:rsidR="00D552B9" w:rsidRPr="00BF2045">
        <w:t xml:space="preserve">implementation of the </w:t>
      </w:r>
      <w:r w:rsidR="005D40E6" w:rsidRPr="00BF2045">
        <w:t xml:space="preserve">Cambodian Government’s village and commune safety policy </w:t>
      </w:r>
      <w:r w:rsidR="00D552B9" w:rsidRPr="00BF2045">
        <w:t xml:space="preserve">across </w:t>
      </w:r>
      <w:r w:rsidR="005D40E6" w:rsidRPr="00BF2045">
        <w:t xml:space="preserve">nine </w:t>
      </w:r>
      <w:r w:rsidR="00D552B9" w:rsidRPr="00BF2045">
        <w:t xml:space="preserve">provinces. </w:t>
      </w:r>
      <w:r w:rsidR="005D40E6" w:rsidRPr="00BF2045">
        <w:t xml:space="preserve">A total of </w:t>
      </w:r>
      <w:r w:rsidR="00D552B9" w:rsidRPr="00BF2045">
        <w:t xml:space="preserve">331 local police (45 </w:t>
      </w:r>
      <w:r w:rsidR="005D40E6" w:rsidRPr="00BF2045">
        <w:t>women</w:t>
      </w:r>
      <w:r w:rsidR="00D552B9" w:rsidRPr="00BF2045">
        <w:t>) have received training on implement</w:t>
      </w:r>
      <w:r w:rsidR="005D40E6" w:rsidRPr="00BF2045">
        <w:t xml:space="preserve">ing </w:t>
      </w:r>
      <w:r w:rsidR="00D552B9" w:rsidRPr="00BF2045">
        <w:t xml:space="preserve">the national policy. Data collected by the Cambodian National Police with </w:t>
      </w:r>
      <w:r w:rsidR="00E06E3B">
        <w:t xml:space="preserve">Australian </w:t>
      </w:r>
      <w:r w:rsidR="00D552B9" w:rsidRPr="00BF2045">
        <w:t>assistance has shown that most crime types in the project area decreased between 2011 and 2012.</w:t>
      </w:r>
      <w:r w:rsidR="00CD6B2F" w:rsidRPr="00BF2045">
        <w:t xml:space="preserve"> </w:t>
      </w:r>
      <w:r w:rsidR="00D552B9" w:rsidRPr="00BF2045">
        <w:t>The number of households</w:t>
      </w:r>
      <w:r w:rsidR="00D0648C" w:rsidRPr="00BF2045">
        <w:t xml:space="preserve"> with</w:t>
      </w:r>
      <w:r w:rsidR="00D552B9" w:rsidRPr="00BF2045">
        <w:t xml:space="preserve"> victim</w:t>
      </w:r>
      <w:r w:rsidR="00D0648C" w:rsidRPr="00BF2045">
        <w:t>s of</w:t>
      </w:r>
      <w:r w:rsidR="00D552B9" w:rsidRPr="00BF2045">
        <w:t xml:space="preserve"> violent crime decreased by 2.7</w:t>
      </w:r>
      <w:r w:rsidR="00FB72CE" w:rsidRPr="00BF2045">
        <w:t xml:space="preserve"> per cent</w:t>
      </w:r>
      <w:r w:rsidR="005D40E6" w:rsidRPr="00BF2045">
        <w:t>,</w:t>
      </w:r>
      <w:r w:rsidR="00D552B9" w:rsidRPr="00BF2045">
        <w:t xml:space="preserve"> households reporting theft decreased by 13.6</w:t>
      </w:r>
      <w:r w:rsidR="00FB72CE" w:rsidRPr="00BF2045">
        <w:t xml:space="preserve"> per cent</w:t>
      </w:r>
      <w:r w:rsidR="005D40E6" w:rsidRPr="00BF2045">
        <w:t xml:space="preserve">, </w:t>
      </w:r>
      <w:r w:rsidR="00D552B9" w:rsidRPr="00BF2045">
        <w:t xml:space="preserve">endangerment declined by </w:t>
      </w:r>
      <w:r w:rsidR="005D40E6" w:rsidRPr="00BF2045">
        <w:t xml:space="preserve">8.0 </w:t>
      </w:r>
      <w:r w:rsidR="00FB72CE" w:rsidRPr="00BF2045">
        <w:t>per cent</w:t>
      </w:r>
      <w:r w:rsidR="005D40E6" w:rsidRPr="00BF2045">
        <w:t xml:space="preserve">, </w:t>
      </w:r>
      <w:r w:rsidR="00D552B9" w:rsidRPr="00BF2045">
        <w:t>acts of threatening behaviour declined by 0.9</w:t>
      </w:r>
      <w:r w:rsidR="00FB72CE" w:rsidRPr="00BF2045">
        <w:t xml:space="preserve"> per cent</w:t>
      </w:r>
      <w:r w:rsidR="005D40E6" w:rsidRPr="00BF2045">
        <w:t xml:space="preserve">, </w:t>
      </w:r>
      <w:r w:rsidR="00D552B9" w:rsidRPr="00BF2045">
        <w:t>incidents of fraud decreased by 1.9</w:t>
      </w:r>
      <w:r w:rsidR="00FB72CE" w:rsidRPr="00BF2045">
        <w:t xml:space="preserve"> per cent</w:t>
      </w:r>
      <w:r w:rsidR="005D40E6" w:rsidRPr="00BF2045">
        <w:t xml:space="preserve">, </w:t>
      </w:r>
      <w:r w:rsidR="00D552B9" w:rsidRPr="00BF2045">
        <w:t>and property damage decreased by 3.1</w:t>
      </w:r>
      <w:r w:rsidR="00FB72CE" w:rsidRPr="00BF2045">
        <w:t xml:space="preserve"> per cent</w:t>
      </w:r>
      <w:r w:rsidR="00D552B9" w:rsidRPr="00BF2045">
        <w:t>. However, high levels of violence against women persist</w:t>
      </w:r>
      <w:r w:rsidR="00E456E1" w:rsidRPr="00BF2045">
        <w:t xml:space="preserve">. </w:t>
      </w:r>
      <w:r w:rsidR="00255E33" w:rsidRPr="00BF2045">
        <w:t>Furthermor</w:t>
      </w:r>
      <w:r w:rsidR="00046C54" w:rsidRPr="00BF2045">
        <w:t>e</w:t>
      </w:r>
      <w:r w:rsidR="00255E33" w:rsidRPr="00BF2045">
        <w:t xml:space="preserve">, </w:t>
      </w:r>
      <w:r w:rsidR="00E456E1" w:rsidRPr="00BF2045">
        <w:t>the</w:t>
      </w:r>
      <w:r w:rsidR="004B17E7" w:rsidRPr="00BF2045">
        <w:t xml:space="preserve">re have been a number of unintended consequences of this policy, particularly regarding incarceration of </w:t>
      </w:r>
      <w:r w:rsidR="004B17E7" w:rsidRPr="00BF2045">
        <w:lastRenderedPageBreak/>
        <w:t>vulnerable groups such as</w:t>
      </w:r>
      <w:r w:rsidR="00E456E1" w:rsidRPr="00BF2045">
        <w:t xml:space="preserve"> </w:t>
      </w:r>
      <w:r w:rsidR="004B17E7" w:rsidRPr="00BF2045">
        <w:t>drug users, sex workers, villagers evicted from their land and young people at risk of committing crime. This has complicated the targeting of services, particularly for drug users</w:t>
      </w:r>
      <w:r w:rsidR="00E26B58" w:rsidRPr="00BF2045">
        <w:t>.</w:t>
      </w:r>
      <w:r w:rsidR="004B17E7" w:rsidRPr="00BF2045">
        <w:t xml:space="preserve"> </w:t>
      </w:r>
    </w:p>
    <w:p w:rsidR="00D552B9" w:rsidRPr="00BF2045" w:rsidRDefault="00D552B9" w:rsidP="00BF2045">
      <w:pPr>
        <w:pStyle w:val="BodyText"/>
      </w:pPr>
      <w:r w:rsidRPr="00BF2045">
        <w:t xml:space="preserve">A major focus in the new direction of Australian assistance is to support the </w:t>
      </w:r>
      <w:r w:rsidR="005D40E6" w:rsidRPr="00BF2045">
        <w:t xml:space="preserve">Cambodian Government to </w:t>
      </w:r>
      <w:r w:rsidRPr="00BF2045">
        <w:t xml:space="preserve">address prison overcrowding. There are currently </w:t>
      </w:r>
      <w:r w:rsidR="00C23C9E" w:rsidRPr="00BF2045">
        <w:t xml:space="preserve">more than </w:t>
      </w:r>
      <w:r w:rsidRPr="00BF2045">
        <w:t>15</w:t>
      </w:r>
      <w:r w:rsidR="005D40E6" w:rsidRPr="00BF2045">
        <w:t xml:space="preserve"> </w:t>
      </w:r>
      <w:r w:rsidRPr="00BF2045">
        <w:t xml:space="preserve">000 prisoners </w:t>
      </w:r>
      <w:r w:rsidR="00C23C9E" w:rsidRPr="00BF2045">
        <w:t xml:space="preserve">occupying </w:t>
      </w:r>
      <w:r w:rsidR="005D40E6" w:rsidRPr="00BF2045">
        <w:t xml:space="preserve">facilities </w:t>
      </w:r>
      <w:r w:rsidRPr="00BF2045">
        <w:t xml:space="preserve">with a </w:t>
      </w:r>
      <w:r w:rsidR="00C23C9E" w:rsidRPr="00BF2045">
        <w:t xml:space="preserve">notional </w:t>
      </w:r>
      <w:r w:rsidRPr="00BF2045">
        <w:t xml:space="preserve">capacity of 8000. Australian assistance is working on addressing both the demand and supply side of this issue. Application of alternative or non-custodial sentences, where appropriate, helps address the demand while improving prison infrastructure helps </w:t>
      </w:r>
      <w:r w:rsidR="00B367D4" w:rsidRPr="00BF2045">
        <w:t xml:space="preserve">increase </w:t>
      </w:r>
      <w:r w:rsidRPr="00BF2045">
        <w:t>prison capacity</w:t>
      </w:r>
      <w:r w:rsidR="0076368F" w:rsidRPr="00BF2045">
        <w:t xml:space="preserve"> and conditions</w:t>
      </w:r>
      <w:r w:rsidRPr="00BF2045">
        <w:t>.</w:t>
      </w:r>
      <w:r w:rsidR="00EE21AA" w:rsidRPr="00BF2045">
        <w:t xml:space="preserve"> </w:t>
      </w:r>
    </w:p>
    <w:p w:rsidR="00D552B9" w:rsidRPr="00BF2045" w:rsidRDefault="00D552B9" w:rsidP="00BF2045">
      <w:pPr>
        <w:pStyle w:val="BodyText"/>
      </w:pPr>
      <w:r w:rsidRPr="00BF2045">
        <w:t xml:space="preserve">The current </w:t>
      </w:r>
      <w:r w:rsidR="005D40E6" w:rsidRPr="00BF2045">
        <w:t xml:space="preserve">national penal code </w:t>
      </w:r>
      <w:r w:rsidRPr="00BF2045">
        <w:t>allows courts to apply non-custodial sentences but many judges are reluctant to do this without specific instructions and guidelines to govern their decisions.</w:t>
      </w:r>
      <w:r w:rsidR="00CD6B2F" w:rsidRPr="00BF2045">
        <w:t xml:space="preserve"> </w:t>
      </w:r>
      <w:r w:rsidRPr="00BF2045">
        <w:t>In 2012</w:t>
      </w:r>
      <w:r w:rsidR="0012414A" w:rsidRPr="00BF2045">
        <w:t>,</w:t>
      </w:r>
      <w:r w:rsidRPr="00BF2045">
        <w:t xml:space="preserve"> </w:t>
      </w:r>
      <w:r w:rsidR="005D40E6" w:rsidRPr="00BF2045">
        <w:t xml:space="preserve">the </w:t>
      </w:r>
      <w:r w:rsidR="00301133" w:rsidRPr="001F1D9C">
        <w:t xml:space="preserve">Cambodia Criminal Justice Assistance Project </w:t>
      </w:r>
      <w:r w:rsidR="0070445A" w:rsidRPr="001F1D9C">
        <w:t xml:space="preserve">(CCJAP Phase 3) </w:t>
      </w:r>
      <w:r w:rsidRPr="00BF2045">
        <w:t xml:space="preserve">facilitated a cross-government working group to draft guidelines to fill this gap. These were submitted to the </w:t>
      </w:r>
      <w:r w:rsidR="005D40E6" w:rsidRPr="00BF2045">
        <w:t xml:space="preserve">minister of justice </w:t>
      </w:r>
      <w:r w:rsidRPr="00BF2045">
        <w:t>for approval in March 2013. Once approved</w:t>
      </w:r>
      <w:r w:rsidR="005D40E6" w:rsidRPr="00BF2045">
        <w:t>,</w:t>
      </w:r>
      <w:r w:rsidRPr="00BF2045">
        <w:t xml:space="preserve"> </w:t>
      </w:r>
      <w:r w:rsidR="005D40E6" w:rsidRPr="00BF2045">
        <w:t xml:space="preserve">the </w:t>
      </w:r>
      <w:r w:rsidR="0070445A" w:rsidRPr="00BF2045">
        <w:t xml:space="preserve">Cambodia Community Justice Assistance Partnership (CCJAP Phase 4) </w:t>
      </w:r>
      <w:r w:rsidRPr="00BF2045">
        <w:t xml:space="preserve">will </w:t>
      </w:r>
      <w:r w:rsidR="005D40E6" w:rsidRPr="00BF2045">
        <w:t xml:space="preserve">help </w:t>
      </w:r>
      <w:r w:rsidRPr="00BF2045">
        <w:t>the Ministry of Justice pilot non-custodial sentencing using these guidelines across two provinces in 2013</w:t>
      </w:r>
      <w:r w:rsidR="005D40E6" w:rsidRPr="00BF2045">
        <w:t>–</w:t>
      </w:r>
      <w:r w:rsidRPr="00BF2045">
        <w:t xml:space="preserve">14. </w:t>
      </w:r>
      <w:r w:rsidR="00EE21AA" w:rsidRPr="00BF2045">
        <w:t>Technical assistance through these pilots</w:t>
      </w:r>
      <w:r w:rsidR="005D40E6" w:rsidRPr="00BF2045">
        <w:t>,</w:t>
      </w:r>
      <w:r w:rsidR="00EE21AA" w:rsidRPr="00BF2045">
        <w:t xml:space="preserve"> as well as policy dialogue through the Ministry of Justice and the Council of Legal and Judicial Reform</w:t>
      </w:r>
      <w:r w:rsidR="005D40E6" w:rsidRPr="00BF2045">
        <w:t>,</w:t>
      </w:r>
      <w:r w:rsidR="00EE21AA" w:rsidRPr="00BF2045">
        <w:t xml:space="preserve"> will continue through 2013</w:t>
      </w:r>
      <w:r w:rsidR="005D40E6" w:rsidRPr="00BF2045">
        <w:t>–</w:t>
      </w:r>
      <w:r w:rsidR="00EE21AA" w:rsidRPr="00BF2045">
        <w:t>14.</w:t>
      </w:r>
    </w:p>
    <w:p w:rsidR="0076368F" w:rsidRPr="00BF2045" w:rsidRDefault="00D552B9" w:rsidP="00BF2045">
      <w:pPr>
        <w:pStyle w:val="BodyText"/>
      </w:pPr>
      <w:r w:rsidRPr="00BF2045">
        <w:t xml:space="preserve">Based on approaches modelled with Australian funding, the Cambodian Government invested its own funds in national and provincial prisons to improve infrastructure. In 2012, the Ministry of Economy and Finance allocated national budget to renovate or build </w:t>
      </w:r>
      <w:r w:rsidR="005D40E6" w:rsidRPr="00BF2045">
        <w:t xml:space="preserve">four </w:t>
      </w:r>
      <w:r w:rsidRPr="00BF2045">
        <w:t xml:space="preserve">prisons in </w:t>
      </w:r>
      <w:proofErr w:type="spellStart"/>
      <w:r w:rsidRPr="00BF2045">
        <w:t>Pailin</w:t>
      </w:r>
      <w:proofErr w:type="spellEnd"/>
      <w:r w:rsidRPr="00BF2045">
        <w:t xml:space="preserve">, </w:t>
      </w:r>
      <w:proofErr w:type="spellStart"/>
      <w:r w:rsidRPr="00BF2045">
        <w:t>Oddar</w:t>
      </w:r>
      <w:proofErr w:type="spellEnd"/>
      <w:r w:rsidRPr="00BF2045">
        <w:t xml:space="preserve"> </w:t>
      </w:r>
      <w:proofErr w:type="spellStart"/>
      <w:r w:rsidRPr="00BF2045">
        <w:t>Meanchey</w:t>
      </w:r>
      <w:proofErr w:type="spellEnd"/>
      <w:r w:rsidRPr="00BF2045">
        <w:t xml:space="preserve">, </w:t>
      </w:r>
      <w:proofErr w:type="spellStart"/>
      <w:r w:rsidRPr="00BF2045">
        <w:t>Pursat</w:t>
      </w:r>
      <w:proofErr w:type="spellEnd"/>
      <w:r w:rsidRPr="00BF2045">
        <w:t xml:space="preserve"> and Takeo using models first piloted in earlier phases of </w:t>
      </w:r>
      <w:r w:rsidR="005D40E6" w:rsidRPr="00BF2045">
        <w:t xml:space="preserve">the </w:t>
      </w:r>
      <w:r w:rsidR="006C1D57" w:rsidRPr="001F1D9C">
        <w:t>Cambodia Criminal Justice Assistance Project</w:t>
      </w:r>
      <w:r w:rsidRPr="00BF2045">
        <w:t xml:space="preserve">. </w:t>
      </w:r>
      <w:r w:rsidR="0070445A" w:rsidRPr="00BF2045">
        <w:t xml:space="preserve">The </w:t>
      </w:r>
      <w:r w:rsidR="00100EFA" w:rsidRPr="001F1D9C">
        <w:t>p</w:t>
      </w:r>
      <w:r w:rsidR="006C1D57" w:rsidRPr="001F1D9C">
        <w:t xml:space="preserve">roject </w:t>
      </w:r>
      <w:r w:rsidRPr="00BF2045">
        <w:t>also directly funded the construction of prison cell</w:t>
      </w:r>
      <w:r w:rsidR="005D40E6" w:rsidRPr="00BF2045">
        <w:t xml:space="preserve"> </w:t>
      </w:r>
      <w:r w:rsidRPr="00BF2045">
        <w:t>blocks, health posts and security fences across nine provinces easing the congestion inside prisons and providing more appropriate segregation for women and juveniles.</w:t>
      </w:r>
      <w:r w:rsidR="0082528E" w:rsidRPr="00BF2045">
        <w:t xml:space="preserve"> </w:t>
      </w:r>
    </w:p>
    <w:p w:rsidR="00D552B9" w:rsidRPr="00BF2045" w:rsidRDefault="00D552B9" w:rsidP="00BF2045">
      <w:pPr>
        <w:pStyle w:val="BodyText"/>
      </w:pPr>
      <w:r w:rsidRPr="00BF2045">
        <w:t xml:space="preserve">The </w:t>
      </w:r>
      <w:r w:rsidR="005D40E6" w:rsidRPr="00BF2045">
        <w:t xml:space="preserve">law on prison management </w:t>
      </w:r>
      <w:r w:rsidRPr="00BF2045">
        <w:t xml:space="preserve">and associated regulations, drafted with assistance from </w:t>
      </w:r>
      <w:r w:rsidR="006C1D57" w:rsidRPr="001F1D9C">
        <w:t xml:space="preserve">Cambodia Criminal Justice Assistance Project </w:t>
      </w:r>
      <w:r w:rsidR="00100EFA" w:rsidRPr="001F1D9C">
        <w:t xml:space="preserve">(CCJAP Phase 3) </w:t>
      </w:r>
      <w:r w:rsidRPr="00BF2045">
        <w:t>advisers, was approved and enacted in 2011 and implemented in 2012. The law covered sentence reduction processes, a move from punishment to rehabilitation, and a greater focus on human rights in prisons. Under the new law there has been an increase of approximately 30</w:t>
      </w:r>
      <w:r w:rsidR="00FB72CE" w:rsidRPr="00BF2045">
        <w:t xml:space="preserve"> per cent</w:t>
      </w:r>
      <w:r w:rsidRPr="00BF2045">
        <w:t xml:space="preserve"> in the number of both </w:t>
      </w:r>
      <w:r w:rsidR="00624EA6" w:rsidRPr="00BF2045">
        <w:t>women</w:t>
      </w:r>
      <w:r w:rsidRPr="00BF2045">
        <w:t xml:space="preserve"> and </w:t>
      </w:r>
      <w:r w:rsidR="00624EA6" w:rsidRPr="00BF2045">
        <w:t>men</w:t>
      </w:r>
      <w:r w:rsidRPr="00BF2045">
        <w:t xml:space="preserve"> convicted prisoners pla</w:t>
      </w:r>
      <w:r w:rsidR="0012414A" w:rsidRPr="00BF2045">
        <w:t xml:space="preserve">ced in rehabilitation programs. </w:t>
      </w:r>
      <w:r w:rsidRPr="00BF2045">
        <w:t>Through the implementation of new regulations associated with the law</w:t>
      </w:r>
      <w:r w:rsidR="00EE21AA" w:rsidRPr="00BF2045">
        <w:t>,</w:t>
      </w:r>
      <w:r w:rsidRPr="00BF2045">
        <w:t xml:space="preserve"> funding for food per prisoner has increased by 85</w:t>
      </w:r>
      <w:r w:rsidR="00FB72CE" w:rsidRPr="00BF2045">
        <w:t xml:space="preserve"> per cent</w:t>
      </w:r>
      <w:r w:rsidRPr="00BF2045">
        <w:t xml:space="preserve">, although from a very low base. </w:t>
      </w:r>
    </w:p>
    <w:p w:rsidR="00D552B9" w:rsidRPr="00BF2045" w:rsidRDefault="00D552B9" w:rsidP="00BF2045">
      <w:pPr>
        <w:pStyle w:val="BodyText"/>
      </w:pPr>
      <w:r w:rsidRPr="00BF2045">
        <w:t xml:space="preserve">Better use of crime, prison and court data to support management and provide evidence for policy and budget </w:t>
      </w:r>
      <w:r w:rsidR="005D40E6" w:rsidRPr="00BF2045">
        <w:t>decision-</w:t>
      </w:r>
      <w:r w:rsidRPr="00BF2045">
        <w:t xml:space="preserve">making is a priority across Australia’s assistance in the sector. </w:t>
      </w:r>
      <w:r w:rsidR="005D40E6" w:rsidRPr="00BF2045">
        <w:t xml:space="preserve">With </w:t>
      </w:r>
      <w:r w:rsidR="00C23C9E" w:rsidRPr="00BF2045">
        <w:t>Australian support</w:t>
      </w:r>
      <w:r w:rsidR="005D40E6" w:rsidRPr="00BF2045">
        <w:t>,</w:t>
      </w:r>
      <w:r w:rsidR="00C23C9E" w:rsidRPr="00BF2045">
        <w:t xml:space="preserve"> </w:t>
      </w:r>
      <w:r w:rsidRPr="00BF2045">
        <w:t xml:space="preserve">four key databases have been built – the </w:t>
      </w:r>
      <w:r w:rsidR="005D40E6" w:rsidRPr="00BF2045">
        <w:t xml:space="preserve">prison database </w:t>
      </w:r>
      <w:r w:rsidRPr="00BF2045">
        <w:t xml:space="preserve">of the General Department of Prisons, the National and Provincial Court Register, the </w:t>
      </w:r>
      <w:r w:rsidR="005D40E6" w:rsidRPr="00BF2045">
        <w:t xml:space="preserve">case management database </w:t>
      </w:r>
      <w:r w:rsidRPr="00BF2045">
        <w:t xml:space="preserve">of the Court of Appeal, and the </w:t>
      </w:r>
      <w:r w:rsidR="005D40E6" w:rsidRPr="00BF2045">
        <w:t xml:space="preserve">crime database </w:t>
      </w:r>
      <w:r w:rsidRPr="00BF2045">
        <w:t>of the Cambodian National Police.</w:t>
      </w:r>
      <w:r w:rsidR="00CD6B2F" w:rsidRPr="00BF2045">
        <w:t xml:space="preserve"> </w:t>
      </w:r>
      <w:r w:rsidRPr="00BF2045">
        <w:t xml:space="preserve">Except for the </w:t>
      </w:r>
      <w:r w:rsidR="00076616" w:rsidRPr="00BF2045">
        <w:t xml:space="preserve">Provincial </w:t>
      </w:r>
      <w:r w:rsidRPr="00BF2045">
        <w:t xml:space="preserve">Court Register, </w:t>
      </w:r>
      <w:r w:rsidR="006C1D57" w:rsidRPr="001F1D9C">
        <w:t xml:space="preserve">Cambodia Criminal Justice Assistance Project </w:t>
      </w:r>
      <w:r w:rsidR="00100EFA" w:rsidRPr="001F1D9C">
        <w:t xml:space="preserve">(CCJAP Phase 3) </w:t>
      </w:r>
      <w:r w:rsidRPr="00BF2045">
        <w:t xml:space="preserve">monitoring has shown strong uptake by national and provincial authorities in building and using these databases to strengthen </w:t>
      </w:r>
      <w:r w:rsidR="003A3863" w:rsidRPr="00BF2045">
        <w:t>evidence-</w:t>
      </w:r>
      <w:r w:rsidRPr="00BF2045">
        <w:t xml:space="preserve">based </w:t>
      </w:r>
      <w:r w:rsidR="00076616" w:rsidRPr="00BF2045">
        <w:t>decision-</w:t>
      </w:r>
      <w:r w:rsidRPr="00BF2045">
        <w:t>making.</w:t>
      </w:r>
      <w:r w:rsidR="00CD6B2F" w:rsidRPr="00BF2045">
        <w:t xml:space="preserve"> </w:t>
      </w:r>
    </w:p>
    <w:p w:rsidR="00672AD9" w:rsidRPr="00BF2045" w:rsidRDefault="00672AD9" w:rsidP="00BF2045">
      <w:pPr>
        <w:pStyle w:val="BodyText"/>
      </w:pPr>
      <w:r w:rsidRPr="00BF2045">
        <w:t xml:space="preserve">Australia is the second largest donor to </w:t>
      </w:r>
      <w:r w:rsidR="00E456E1" w:rsidRPr="00BF2045">
        <w:t>the Extraordinary Chambers in the Courts of Cambodia</w:t>
      </w:r>
      <w:r w:rsidRPr="00BF2045">
        <w:t>. Th</w:t>
      </w:r>
      <w:r w:rsidR="00076616" w:rsidRPr="00BF2045">
        <w:t xml:space="preserve">is </w:t>
      </w:r>
      <w:r w:rsidRPr="00BF2045">
        <w:t xml:space="preserve">is making </w:t>
      </w:r>
      <w:r w:rsidR="003B0E31" w:rsidRPr="00BF2045">
        <w:t>an</w:t>
      </w:r>
      <w:r w:rsidRPr="00BF2045">
        <w:t xml:space="preserve"> impact by building a base for Cambodia’s continuing peace and stability through reconciliation. It </w:t>
      </w:r>
      <w:r w:rsidR="003B0E31" w:rsidRPr="00BF2045">
        <w:t xml:space="preserve">enables </w:t>
      </w:r>
      <w:r w:rsidRPr="00BF2045">
        <w:t>victims to tell their stories and see those accused held to account. The court is progressing to find justice for victims.</w:t>
      </w:r>
    </w:p>
    <w:p w:rsidR="0076368F" w:rsidRPr="00BF2045" w:rsidRDefault="00D552B9" w:rsidP="00BF2045">
      <w:pPr>
        <w:pStyle w:val="BodyText"/>
      </w:pPr>
      <w:r w:rsidRPr="00BF2045">
        <w:t>As part of support for citizen voice and participation in 2012</w:t>
      </w:r>
      <w:r w:rsidR="00D0648C" w:rsidRPr="00BF2045">
        <w:t>,</w:t>
      </w:r>
      <w:r w:rsidRPr="00BF2045">
        <w:t xml:space="preserve"> </w:t>
      </w:r>
      <w:r w:rsidR="00D0648C" w:rsidRPr="00BF2045">
        <w:t>Australia funded</w:t>
      </w:r>
      <w:r w:rsidRPr="00BF2045">
        <w:t xml:space="preserve"> state radio to broadcast talkback and feature story radio on issues relevant to people’s daily life. This </w:t>
      </w:r>
      <w:r w:rsidRPr="00BF2045">
        <w:lastRenderedPageBreak/>
        <w:t>included topics like community safety, participation in local election</w:t>
      </w:r>
      <w:r w:rsidR="003A3863" w:rsidRPr="00BF2045">
        <w:t>s</w:t>
      </w:r>
      <w:r w:rsidRPr="00BF2045">
        <w:t>, violence against women</w:t>
      </w:r>
      <w:r w:rsidR="003A3863" w:rsidRPr="00BF2045">
        <w:t>,</w:t>
      </w:r>
      <w:r w:rsidRPr="00BF2045">
        <w:t xml:space="preserve"> and </w:t>
      </w:r>
      <w:r w:rsidR="00624EA6" w:rsidRPr="00BF2045">
        <w:t>young people’s</w:t>
      </w:r>
      <w:r w:rsidRPr="00BF2045">
        <w:t xml:space="preserve"> participation in commune </w:t>
      </w:r>
      <w:r w:rsidR="00076616" w:rsidRPr="00BF2045">
        <w:t>decision-making</w:t>
      </w:r>
      <w:r w:rsidRPr="00BF2045">
        <w:t>.</w:t>
      </w:r>
      <w:r w:rsidR="00CD6B2F" w:rsidRPr="00BF2045">
        <w:t xml:space="preserve"> </w:t>
      </w:r>
    </w:p>
    <w:p w:rsidR="00180B19" w:rsidRPr="005505F9" w:rsidRDefault="00180B19" w:rsidP="00BF2045">
      <w:pPr>
        <w:pStyle w:val="Heading1"/>
      </w:pPr>
      <w:r w:rsidRPr="005505F9">
        <w:t>Quality at Implementation ratings</w:t>
      </w:r>
    </w:p>
    <w:p w:rsidR="00076616" w:rsidRPr="00BF2045" w:rsidRDefault="00014EBE" w:rsidP="00BF2045">
      <w:pPr>
        <w:pStyle w:val="BodyText"/>
      </w:pPr>
      <w:r w:rsidRPr="00BF2045">
        <w:t xml:space="preserve">Since 2010, the </w:t>
      </w:r>
      <w:r w:rsidR="00076616" w:rsidRPr="00BF2045">
        <w:t>performance assessment framework</w:t>
      </w:r>
      <w:r w:rsidRPr="00BF2045">
        <w:t xml:space="preserve"> has been used as a fundamental milestone indicator to measure the performance of the program.</w:t>
      </w:r>
      <w:r w:rsidR="00D0648C" w:rsidRPr="00BF2045">
        <w:t xml:space="preserve"> The</w:t>
      </w:r>
      <w:r w:rsidRPr="00BF2045">
        <w:t xml:space="preserve"> </w:t>
      </w:r>
      <w:r w:rsidR="00CE15A0" w:rsidRPr="00BF2045">
        <w:t>Office of Development Effectiveness</w:t>
      </w:r>
      <w:r w:rsidR="00076616" w:rsidRPr="00BF2045">
        <w:t xml:space="preserve"> </w:t>
      </w:r>
      <w:r w:rsidR="00D0648C" w:rsidRPr="00BF2045">
        <w:t xml:space="preserve">2012 </w:t>
      </w:r>
      <w:r w:rsidR="00076616" w:rsidRPr="00BF2045">
        <w:t xml:space="preserve">quality review </w:t>
      </w:r>
      <w:r w:rsidR="00D0648C" w:rsidRPr="00BF2045">
        <w:t xml:space="preserve">of the </w:t>
      </w:r>
      <w:r w:rsidR="00076616" w:rsidRPr="00BF2045">
        <w:t>annual program performance repo</w:t>
      </w:r>
      <w:r w:rsidR="00D0648C" w:rsidRPr="00BF2045">
        <w:t xml:space="preserve">rt </w:t>
      </w:r>
      <w:r w:rsidR="00624EA6" w:rsidRPr="00BF2045">
        <w:t>stated</w:t>
      </w:r>
      <w:r w:rsidRPr="00BF2045">
        <w:t xml:space="preserve"> that</w:t>
      </w:r>
      <w:r w:rsidR="00076616" w:rsidRPr="00BF2045">
        <w:t>:</w:t>
      </w:r>
      <w:r w:rsidRPr="00BF2045">
        <w:t xml:space="preserve"> </w:t>
      </w:r>
    </w:p>
    <w:p w:rsidR="00014EBE" w:rsidRPr="00BF2045" w:rsidRDefault="00076616" w:rsidP="00BF2045">
      <w:pPr>
        <w:pStyle w:val="BodyText"/>
        <w:rPr>
          <w:i/>
        </w:rPr>
      </w:pPr>
      <w:r w:rsidRPr="00BF2045">
        <w:rPr>
          <w:i/>
        </w:rPr>
        <w:t>T</w:t>
      </w:r>
      <w:r w:rsidR="00014EBE" w:rsidRPr="00BF2045">
        <w:rPr>
          <w:i/>
        </w:rPr>
        <w:t xml:space="preserve">he Cambodia program did a good job of using its </w:t>
      </w:r>
      <w:r w:rsidRPr="00BF2045">
        <w:rPr>
          <w:i/>
        </w:rPr>
        <w:t xml:space="preserve">performance assessment framework </w:t>
      </w:r>
      <w:r w:rsidR="00014EBE" w:rsidRPr="00BF2045">
        <w:rPr>
          <w:i/>
        </w:rPr>
        <w:t xml:space="preserve">to organise the available evidence, such that performance could be measured against established indicators. It was also able to explain the basis for its assessment of progress toward objectives and justify this on the basis of the </w:t>
      </w:r>
      <w:r w:rsidRPr="00BF2045">
        <w:rPr>
          <w:i/>
        </w:rPr>
        <w:t xml:space="preserve">performance assessment framework </w:t>
      </w:r>
      <w:r w:rsidR="00014EBE" w:rsidRPr="00BF2045">
        <w:rPr>
          <w:i/>
        </w:rPr>
        <w:t>and program strategy. Finally, it provided references for most of the assessments made in the report so that the source of evidence was clear</w:t>
      </w:r>
      <w:r w:rsidRPr="00BF2045">
        <w:rPr>
          <w:i/>
        </w:rPr>
        <w:t>.</w:t>
      </w:r>
      <w:r w:rsidR="00351BFC" w:rsidRPr="00BF2045">
        <w:rPr>
          <w:rStyle w:val="FootnoteReference"/>
          <w:i/>
          <w:sz w:val="22"/>
          <w:szCs w:val="24"/>
        </w:rPr>
        <w:footnoteReference w:id="35"/>
      </w:r>
    </w:p>
    <w:p w:rsidR="00014EBE" w:rsidRPr="00BF2045" w:rsidRDefault="00AE6771" w:rsidP="00BF2045">
      <w:pPr>
        <w:pStyle w:val="BodyText"/>
      </w:pPr>
      <w:r w:rsidRPr="00BF2045">
        <w:t>M</w:t>
      </w:r>
      <w:r w:rsidR="00774C9B" w:rsidRPr="00BF2045">
        <w:t>ost of the 2012</w:t>
      </w:r>
      <w:r w:rsidR="004E7948" w:rsidRPr="00BF2045">
        <w:t xml:space="preserve"> </w:t>
      </w:r>
      <w:r w:rsidR="00076616" w:rsidRPr="00BF2045">
        <w:t xml:space="preserve">performance assessment framework </w:t>
      </w:r>
      <w:r w:rsidR="004E7948" w:rsidRPr="00BF2045">
        <w:t>result indicators were met or exceeded. AusAID’s</w:t>
      </w:r>
      <w:r w:rsidR="00E06E3B">
        <w:rPr>
          <w:rStyle w:val="FootnoteReference"/>
        </w:rPr>
        <w:footnoteReference w:id="36"/>
      </w:r>
      <w:r w:rsidR="004E7948" w:rsidRPr="00BF2045">
        <w:t xml:space="preserve"> </w:t>
      </w:r>
      <w:r w:rsidR="007E2D09" w:rsidRPr="00BF2045">
        <w:t xml:space="preserve">Quality, Performance and </w:t>
      </w:r>
      <w:r w:rsidRPr="00BF2045">
        <w:t xml:space="preserve">Results </w:t>
      </w:r>
      <w:r w:rsidR="00014EBE" w:rsidRPr="00BF2045">
        <w:t>Branch</w:t>
      </w:r>
      <w:r w:rsidRPr="00BF2045">
        <w:t xml:space="preserve"> moderated the 2012</w:t>
      </w:r>
      <w:r w:rsidR="004E7948" w:rsidRPr="00BF2045">
        <w:t xml:space="preserve"> Quality at Implementation round. </w:t>
      </w:r>
      <w:r w:rsidR="00BD1F6D" w:rsidRPr="00BF2045">
        <w:t>T</w:t>
      </w:r>
      <w:r w:rsidR="00076616" w:rsidRPr="00BF2045">
        <w:t xml:space="preserve">he branch </w:t>
      </w:r>
      <w:r w:rsidR="00BD1F6D" w:rsidRPr="00BF2045">
        <w:t xml:space="preserve">provided positive feedback </w:t>
      </w:r>
      <w:r w:rsidR="00014EBE" w:rsidRPr="00BF2045">
        <w:t xml:space="preserve">on the </w:t>
      </w:r>
      <w:r w:rsidR="007E2D09" w:rsidRPr="00BF2045">
        <w:t>h</w:t>
      </w:r>
      <w:r w:rsidR="00014EBE" w:rsidRPr="00BF2045">
        <w:t xml:space="preserve">igh </w:t>
      </w:r>
      <w:r w:rsidR="00BD1F6D" w:rsidRPr="00BF2045">
        <w:t xml:space="preserve">level </w:t>
      </w:r>
      <w:r w:rsidR="00014EBE" w:rsidRPr="00BF2045">
        <w:t xml:space="preserve">of alignment between </w:t>
      </w:r>
      <w:r w:rsidR="00BD1F6D" w:rsidRPr="00BF2045">
        <w:t xml:space="preserve">the objectives for the individual </w:t>
      </w:r>
      <w:r w:rsidR="00014EBE" w:rsidRPr="00BF2045">
        <w:t>initiatives and</w:t>
      </w:r>
      <w:r w:rsidR="00BD1F6D" w:rsidRPr="00BF2045">
        <w:t xml:space="preserve"> the</w:t>
      </w:r>
      <w:r w:rsidR="00014EBE" w:rsidRPr="00BF2045">
        <w:t xml:space="preserve"> country strategy </w:t>
      </w:r>
      <w:r w:rsidR="00BD1F6D" w:rsidRPr="00BF2045">
        <w:t>objectives.</w:t>
      </w:r>
    </w:p>
    <w:p w:rsidR="004E7948" w:rsidRPr="00BF2045" w:rsidRDefault="004E7948" w:rsidP="00BF2045">
      <w:pPr>
        <w:pStyle w:val="BodyText"/>
      </w:pPr>
      <w:r w:rsidRPr="00BF2045">
        <w:t xml:space="preserve">Quality assessments categorised </w:t>
      </w:r>
      <w:r w:rsidR="003A3863" w:rsidRPr="00BF2045">
        <w:t xml:space="preserve">the quality of </w:t>
      </w:r>
      <w:r w:rsidR="00CC07AF" w:rsidRPr="00BF2045">
        <w:t>15</w:t>
      </w:r>
      <w:r w:rsidRPr="00BF2045">
        <w:t xml:space="preserve"> of the 1</w:t>
      </w:r>
      <w:r w:rsidR="00CC07AF" w:rsidRPr="00BF2045">
        <w:t>8</w:t>
      </w:r>
      <w:r w:rsidRPr="00BF2045">
        <w:t xml:space="preserve"> Cambodia program initiatives </w:t>
      </w:r>
      <w:r w:rsidR="00CC07AF" w:rsidRPr="00BF2045">
        <w:t>as</w:t>
      </w:r>
      <w:r w:rsidRPr="00BF2045">
        <w:t xml:space="preserve"> ‘</w:t>
      </w:r>
      <w:r w:rsidR="00CC07AF" w:rsidRPr="00BF2045">
        <w:t xml:space="preserve">very </w:t>
      </w:r>
      <w:r w:rsidRPr="00BF2045">
        <w:t>high</w:t>
      </w:r>
      <w:r w:rsidR="003A3863" w:rsidRPr="00BF2045">
        <w:t>’</w:t>
      </w:r>
      <w:r w:rsidR="00C80282" w:rsidRPr="00BF2045">
        <w:t xml:space="preserve"> (2), </w:t>
      </w:r>
      <w:r w:rsidR="003A3863" w:rsidRPr="00BF2045">
        <w:t>‘</w:t>
      </w:r>
      <w:r w:rsidR="00C80282" w:rsidRPr="00BF2045">
        <w:t>good</w:t>
      </w:r>
      <w:r w:rsidR="003A3863" w:rsidRPr="00BF2045">
        <w:t>’</w:t>
      </w:r>
      <w:r w:rsidR="00C80282" w:rsidRPr="00BF2045">
        <w:t xml:space="preserve"> (8) and </w:t>
      </w:r>
      <w:r w:rsidR="003A3863" w:rsidRPr="00BF2045">
        <w:t>‘</w:t>
      </w:r>
      <w:r w:rsidR="00C80282" w:rsidRPr="00BF2045">
        <w:t>adequate</w:t>
      </w:r>
      <w:r w:rsidR="003A3863" w:rsidRPr="00BF2045">
        <w:t>’</w:t>
      </w:r>
      <w:r w:rsidR="00C80282" w:rsidRPr="00BF2045">
        <w:t xml:space="preserve"> (5), </w:t>
      </w:r>
      <w:r w:rsidRPr="00BF2045">
        <w:t xml:space="preserve">and </w:t>
      </w:r>
      <w:r w:rsidR="00076616" w:rsidRPr="00BF2045">
        <w:t xml:space="preserve">three </w:t>
      </w:r>
      <w:r w:rsidRPr="00BF2045">
        <w:t xml:space="preserve">as ‘needs improvement’. </w:t>
      </w:r>
      <w:r w:rsidR="00C80282" w:rsidRPr="00BF2045">
        <w:t xml:space="preserve">Table 3 provides comparative quality ratings for 2011 and 2012. </w:t>
      </w:r>
      <w:r w:rsidRPr="00BF2045">
        <w:t>Assessments demonstrated that systems are now in place to identify and manage issues a</w:t>
      </w:r>
      <w:r w:rsidR="00C80282" w:rsidRPr="00BF2045">
        <w:t xml:space="preserve">cross the program. In 2012, average scores </w:t>
      </w:r>
      <w:r w:rsidRPr="00BF2045">
        <w:t>were</w:t>
      </w:r>
      <w:r w:rsidR="00C80282" w:rsidRPr="00BF2045">
        <w:t xml:space="preserve"> improved in all criteria</w:t>
      </w:r>
      <w:r w:rsidR="00B367D4" w:rsidRPr="00BF2045">
        <w:t xml:space="preserve"> (except for </w:t>
      </w:r>
      <w:r w:rsidR="00076616" w:rsidRPr="00BF2045">
        <w:t>relevance</w:t>
      </w:r>
      <w:r w:rsidR="00B367D4" w:rsidRPr="00BF2045">
        <w:t>)</w:t>
      </w:r>
      <w:r w:rsidR="00C80282" w:rsidRPr="00BF2045">
        <w:t xml:space="preserve"> compared with </w:t>
      </w:r>
      <w:r w:rsidR="00076616" w:rsidRPr="00BF2045">
        <w:t xml:space="preserve">those </w:t>
      </w:r>
      <w:r w:rsidR="00C80282" w:rsidRPr="00BF2045">
        <w:t xml:space="preserve">in 2011. </w:t>
      </w:r>
    </w:p>
    <w:p w:rsidR="004E7948" w:rsidRPr="00745FE3" w:rsidRDefault="004E7948" w:rsidP="00BF2045">
      <w:pPr>
        <w:pStyle w:val="Caption"/>
      </w:pPr>
      <w:r w:rsidRPr="00BF2045">
        <w:t>Table</w:t>
      </w:r>
      <w:r w:rsidRPr="00745FE3">
        <w:t xml:space="preserve"> 3: Average quality rating </w:t>
      </w:r>
      <w:r w:rsidR="00076616">
        <w:t xml:space="preserve">in </w:t>
      </w:r>
      <w:r w:rsidRPr="00745FE3">
        <w:t>2011</w:t>
      </w:r>
      <w:r w:rsidR="00076616">
        <w:t xml:space="preserve"> </w:t>
      </w:r>
      <w:r w:rsidRPr="00745FE3">
        <w:t>and 2012</w:t>
      </w:r>
    </w:p>
    <w:tbl>
      <w:tblPr>
        <w:tblStyle w:val="APPR"/>
        <w:tblW w:w="4821" w:type="pct"/>
        <w:tblInd w:w="136" w:type="dxa"/>
        <w:tblLook w:val="0000" w:firstRow="0" w:lastRow="0" w:firstColumn="0" w:lastColumn="0" w:noHBand="0" w:noVBand="0"/>
      </w:tblPr>
      <w:tblGrid>
        <w:gridCol w:w="1515"/>
        <w:gridCol w:w="1002"/>
        <w:gridCol w:w="1325"/>
        <w:gridCol w:w="1009"/>
        <w:gridCol w:w="1168"/>
        <w:gridCol w:w="1385"/>
        <w:gridCol w:w="895"/>
      </w:tblGrid>
      <w:tr w:rsidR="00982937" w:rsidRPr="00076616" w:rsidTr="00BF2045">
        <w:trPr>
          <w:cnfStyle w:val="000000010000" w:firstRow="0" w:lastRow="0" w:firstColumn="0" w:lastColumn="0" w:oddVBand="0" w:evenVBand="0" w:oddHBand="0" w:evenHBand="1" w:firstRowFirstColumn="0" w:firstRowLastColumn="0" w:lastRowFirstColumn="0" w:lastRowLastColumn="0"/>
        </w:trPr>
        <w:tc>
          <w:tcPr>
            <w:tcW w:w="894" w:type="pct"/>
            <w:tcBorders>
              <w:bottom w:val="single" w:sz="12" w:space="0" w:color="000000" w:themeColor="text1"/>
            </w:tcBorders>
          </w:tcPr>
          <w:p w:rsidR="004E7948" w:rsidRPr="00BF2045" w:rsidRDefault="004E7948" w:rsidP="00BF2045">
            <w:pPr>
              <w:pStyle w:val="TableTextColumnHeading"/>
            </w:pPr>
          </w:p>
        </w:tc>
        <w:tc>
          <w:tcPr>
            <w:tcW w:w="547" w:type="pct"/>
            <w:tcBorders>
              <w:bottom w:val="single" w:sz="12" w:space="0" w:color="000000" w:themeColor="text1"/>
            </w:tcBorders>
          </w:tcPr>
          <w:p w:rsidR="004E7948" w:rsidRPr="00BF2045" w:rsidRDefault="004E7948" w:rsidP="00BF2045">
            <w:pPr>
              <w:pStyle w:val="TableTextColumnHeading"/>
            </w:pPr>
            <w:r w:rsidRPr="00BF2045">
              <w:t xml:space="preserve">Relevance </w:t>
            </w:r>
          </w:p>
        </w:tc>
        <w:tc>
          <w:tcPr>
            <w:tcW w:w="788" w:type="pct"/>
            <w:tcBorders>
              <w:bottom w:val="single" w:sz="12" w:space="0" w:color="000000" w:themeColor="text1"/>
            </w:tcBorders>
          </w:tcPr>
          <w:p w:rsidR="004E7948" w:rsidRPr="00BF2045" w:rsidRDefault="004E7948" w:rsidP="00BF2045">
            <w:pPr>
              <w:pStyle w:val="TableTextColumnHeading"/>
            </w:pPr>
            <w:r w:rsidRPr="00BF2045">
              <w:t xml:space="preserve">Effectiveness </w:t>
            </w:r>
          </w:p>
        </w:tc>
        <w:tc>
          <w:tcPr>
            <w:tcW w:w="597" w:type="pct"/>
            <w:tcBorders>
              <w:bottom w:val="single" w:sz="12" w:space="0" w:color="000000" w:themeColor="text1"/>
            </w:tcBorders>
          </w:tcPr>
          <w:p w:rsidR="004E7948" w:rsidRPr="00BF2045" w:rsidRDefault="004E7948" w:rsidP="00BF2045">
            <w:pPr>
              <w:pStyle w:val="TableTextColumnHeading"/>
            </w:pPr>
            <w:r w:rsidRPr="00BF2045">
              <w:t>Efficiency</w:t>
            </w:r>
          </w:p>
        </w:tc>
        <w:tc>
          <w:tcPr>
            <w:tcW w:w="694" w:type="pct"/>
            <w:tcBorders>
              <w:bottom w:val="single" w:sz="12" w:space="0" w:color="000000" w:themeColor="text1"/>
            </w:tcBorders>
          </w:tcPr>
          <w:p w:rsidR="004E7948" w:rsidRPr="00BF2045" w:rsidRDefault="004E7948" w:rsidP="00BF2045">
            <w:pPr>
              <w:pStyle w:val="TableTextColumnHeading"/>
            </w:pPr>
            <w:r w:rsidRPr="00BF2045">
              <w:t xml:space="preserve">Monitoring and evaluation </w:t>
            </w:r>
          </w:p>
        </w:tc>
        <w:tc>
          <w:tcPr>
            <w:tcW w:w="824" w:type="pct"/>
            <w:tcBorders>
              <w:bottom w:val="single" w:sz="12" w:space="0" w:color="000000" w:themeColor="text1"/>
            </w:tcBorders>
          </w:tcPr>
          <w:p w:rsidR="004E7948" w:rsidRPr="00BF2045" w:rsidRDefault="004E7948" w:rsidP="00BF2045">
            <w:pPr>
              <w:pStyle w:val="TableTextColumnHeading"/>
            </w:pPr>
            <w:r w:rsidRPr="00BF2045">
              <w:t>Sustainability</w:t>
            </w:r>
          </w:p>
        </w:tc>
        <w:tc>
          <w:tcPr>
            <w:tcW w:w="520" w:type="pct"/>
            <w:tcBorders>
              <w:bottom w:val="single" w:sz="12" w:space="0" w:color="000000" w:themeColor="text1"/>
            </w:tcBorders>
          </w:tcPr>
          <w:p w:rsidR="004E7948" w:rsidRPr="00BF2045" w:rsidRDefault="004E7948" w:rsidP="00BF2045">
            <w:pPr>
              <w:pStyle w:val="TableTextColumnHeading"/>
            </w:pPr>
            <w:r w:rsidRPr="00BF2045">
              <w:t xml:space="preserve">Gender equality </w:t>
            </w:r>
          </w:p>
        </w:tc>
      </w:tr>
      <w:tr w:rsidR="00982937" w:rsidRPr="00745FE3" w:rsidTr="00BF2045">
        <w:trPr>
          <w:cnfStyle w:val="000000010000" w:firstRow="0" w:lastRow="0" w:firstColumn="0" w:lastColumn="0" w:oddVBand="0" w:evenVBand="0" w:oddHBand="0" w:evenHBand="1" w:firstRowFirstColumn="0" w:firstRowLastColumn="0" w:lastRowFirstColumn="0" w:lastRowLastColumn="0"/>
        </w:trPr>
        <w:tc>
          <w:tcPr>
            <w:tcW w:w="894" w:type="pct"/>
          </w:tcPr>
          <w:p w:rsidR="004E7948" w:rsidRPr="00BF2045" w:rsidRDefault="004E7948" w:rsidP="00BF2045">
            <w:pPr>
              <w:pStyle w:val="TableHeading1"/>
              <w:rPr>
                <w:b/>
              </w:rPr>
            </w:pPr>
            <w:r w:rsidRPr="00BF2045">
              <w:rPr>
                <w:b/>
              </w:rPr>
              <w:t>Rating 2011</w:t>
            </w:r>
          </w:p>
        </w:tc>
        <w:tc>
          <w:tcPr>
            <w:tcW w:w="547" w:type="pct"/>
          </w:tcPr>
          <w:p w:rsidR="004E7948" w:rsidRPr="00BF2045" w:rsidRDefault="00CC07AF" w:rsidP="00BF2045">
            <w:pPr>
              <w:pStyle w:val="TableTextEntries"/>
            </w:pPr>
            <w:r w:rsidRPr="00BF2045">
              <w:t>5.0</w:t>
            </w:r>
          </w:p>
        </w:tc>
        <w:tc>
          <w:tcPr>
            <w:tcW w:w="788" w:type="pct"/>
          </w:tcPr>
          <w:p w:rsidR="004E7948" w:rsidRPr="00BF2045" w:rsidRDefault="00CC07AF" w:rsidP="00BF2045">
            <w:pPr>
              <w:pStyle w:val="TableTextEntries"/>
            </w:pPr>
            <w:r w:rsidRPr="00BF2045">
              <w:t>4.2</w:t>
            </w:r>
          </w:p>
        </w:tc>
        <w:tc>
          <w:tcPr>
            <w:tcW w:w="597" w:type="pct"/>
          </w:tcPr>
          <w:p w:rsidR="004E7948" w:rsidRPr="00BF2045" w:rsidRDefault="00CC07AF" w:rsidP="00BF2045">
            <w:pPr>
              <w:pStyle w:val="TableTextEntries"/>
            </w:pPr>
            <w:r w:rsidRPr="00BF2045">
              <w:t>4.1</w:t>
            </w:r>
          </w:p>
        </w:tc>
        <w:tc>
          <w:tcPr>
            <w:tcW w:w="694" w:type="pct"/>
          </w:tcPr>
          <w:p w:rsidR="004E7948" w:rsidRPr="00BF2045" w:rsidRDefault="00CC07AF" w:rsidP="00BF2045">
            <w:pPr>
              <w:pStyle w:val="TableTextEntries"/>
            </w:pPr>
            <w:r w:rsidRPr="00BF2045">
              <w:t>4.1</w:t>
            </w:r>
          </w:p>
        </w:tc>
        <w:tc>
          <w:tcPr>
            <w:tcW w:w="824" w:type="pct"/>
          </w:tcPr>
          <w:p w:rsidR="004E7948" w:rsidRPr="00BF2045" w:rsidRDefault="00CC07AF" w:rsidP="00BF2045">
            <w:pPr>
              <w:pStyle w:val="TableTextEntries"/>
            </w:pPr>
            <w:r w:rsidRPr="00BF2045">
              <w:t>4.0</w:t>
            </w:r>
          </w:p>
        </w:tc>
        <w:tc>
          <w:tcPr>
            <w:tcW w:w="520" w:type="pct"/>
          </w:tcPr>
          <w:p w:rsidR="004E7948" w:rsidRPr="00BF2045" w:rsidRDefault="00CC07AF" w:rsidP="00BF2045">
            <w:pPr>
              <w:pStyle w:val="TableTextEntries"/>
            </w:pPr>
            <w:r w:rsidRPr="00BF2045">
              <w:t>4.4</w:t>
            </w:r>
          </w:p>
        </w:tc>
      </w:tr>
      <w:tr w:rsidR="00982937" w:rsidRPr="00745FE3" w:rsidTr="00BF2045">
        <w:trPr>
          <w:cnfStyle w:val="000000010000" w:firstRow="0" w:lastRow="0" w:firstColumn="0" w:lastColumn="0" w:oddVBand="0" w:evenVBand="0" w:oddHBand="0" w:evenHBand="1" w:firstRowFirstColumn="0" w:firstRowLastColumn="0" w:lastRowFirstColumn="0" w:lastRowLastColumn="0"/>
        </w:trPr>
        <w:tc>
          <w:tcPr>
            <w:tcW w:w="894" w:type="pct"/>
          </w:tcPr>
          <w:p w:rsidR="00CC07AF" w:rsidRPr="00BF2045" w:rsidRDefault="00CC07AF" w:rsidP="00BF2045">
            <w:pPr>
              <w:pStyle w:val="TableHeading1"/>
              <w:rPr>
                <w:b/>
              </w:rPr>
            </w:pPr>
            <w:r w:rsidRPr="00BF2045">
              <w:rPr>
                <w:b/>
              </w:rPr>
              <w:t>Rating 2012</w:t>
            </w:r>
          </w:p>
        </w:tc>
        <w:tc>
          <w:tcPr>
            <w:tcW w:w="547" w:type="pct"/>
            <w:vAlign w:val="bottom"/>
          </w:tcPr>
          <w:p w:rsidR="00CC07AF" w:rsidRPr="00BF2045" w:rsidRDefault="00CC07AF" w:rsidP="00BF2045">
            <w:pPr>
              <w:pStyle w:val="TableTextEntries"/>
            </w:pPr>
            <w:r w:rsidRPr="00BF2045">
              <w:t>4.9</w:t>
            </w:r>
          </w:p>
        </w:tc>
        <w:tc>
          <w:tcPr>
            <w:tcW w:w="788" w:type="pct"/>
            <w:vAlign w:val="bottom"/>
          </w:tcPr>
          <w:p w:rsidR="00CC07AF" w:rsidRPr="00BF2045" w:rsidRDefault="00CC07AF" w:rsidP="00BF2045">
            <w:pPr>
              <w:pStyle w:val="TableTextEntries"/>
            </w:pPr>
            <w:r w:rsidRPr="00BF2045">
              <w:t>4.6</w:t>
            </w:r>
          </w:p>
        </w:tc>
        <w:tc>
          <w:tcPr>
            <w:tcW w:w="597" w:type="pct"/>
            <w:vAlign w:val="bottom"/>
          </w:tcPr>
          <w:p w:rsidR="00CC07AF" w:rsidRPr="00BF2045" w:rsidRDefault="00CC07AF" w:rsidP="00BF2045">
            <w:pPr>
              <w:pStyle w:val="TableTextEntries"/>
            </w:pPr>
            <w:r w:rsidRPr="00BF2045">
              <w:t>4.3</w:t>
            </w:r>
          </w:p>
        </w:tc>
        <w:tc>
          <w:tcPr>
            <w:tcW w:w="694" w:type="pct"/>
            <w:vAlign w:val="bottom"/>
          </w:tcPr>
          <w:p w:rsidR="00CC07AF" w:rsidRPr="00BF2045" w:rsidRDefault="00CC07AF" w:rsidP="00BF2045">
            <w:pPr>
              <w:pStyle w:val="TableTextEntries"/>
            </w:pPr>
            <w:r w:rsidRPr="00BF2045">
              <w:t>4.5</w:t>
            </w:r>
          </w:p>
        </w:tc>
        <w:tc>
          <w:tcPr>
            <w:tcW w:w="824" w:type="pct"/>
            <w:vAlign w:val="bottom"/>
          </w:tcPr>
          <w:p w:rsidR="00CC07AF" w:rsidRPr="00BF2045" w:rsidRDefault="00CC07AF" w:rsidP="00BF2045">
            <w:pPr>
              <w:pStyle w:val="TableTextEntries"/>
            </w:pPr>
            <w:r w:rsidRPr="00BF2045">
              <w:t>4.1</w:t>
            </w:r>
          </w:p>
        </w:tc>
        <w:tc>
          <w:tcPr>
            <w:tcW w:w="520" w:type="pct"/>
            <w:vAlign w:val="bottom"/>
          </w:tcPr>
          <w:p w:rsidR="00CC07AF" w:rsidRPr="00BF2045" w:rsidRDefault="00CC07AF" w:rsidP="00BF2045">
            <w:pPr>
              <w:pStyle w:val="TableTextEntries"/>
            </w:pPr>
            <w:r w:rsidRPr="00BF2045">
              <w:t>4.5</w:t>
            </w:r>
          </w:p>
        </w:tc>
      </w:tr>
    </w:tbl>
    <w:p w:rsidR="004E7948" w:rsidRPr="00745FE3" w:rsidRDefault="004E7948">
      <w:pPr>
        <w:pStyle w:val="BodyText"/>
        <w:rPr>
          <w:szCs w:val="22"/>
        </w:rPr>
      </w:pPr>
    </w:p>
    <w:p w:rsidR="004E7948" w:rsidRPr="00745FE3" w:rsidRDefault="00C80282" w:rsidP="00CE15A0">
      <w:pPr>
        <w:pStyle w:val="BodyText"/>
        <w:rPr>
          <w:szCs w:val="22"/>
        </w:rPr>
      </w:pPr>
      <w:r w:rsidRPr="00745FE3">
        <w:rPr>
          <w:szCs w:val="22"/>
        </w:rPr>
        <w:t>In 2012</w:t>
      </w:r>
      <w:r w:rsidR="004E7948" w:rsidRPr="00745FE3">
        <w:rPr>
          <w:szCs w:val="22"/>
        </w:rPr>
        <w:t xml:space="preserve">, the average monitoring and evaluation score </w:t>
      </w:r>
      <w:r w:rsidRPr="00745FE3">
        <w:rPr>
          <w:szCs w:val="22"/>
        </w:rPr>
        <w:t xml:space="preserve">continued to </w:t>
      </w:r>
      <w:r w:rsidR="004E7948" w:rsidRPr="00745FE3">
        <w:rPr>
          <w:szCs w:val="22"/>
        </w:rPr>
        <w:t>improve</w:t>
      </w:r>
      <w:r w:rsidRPr="00745FE3">
        <w:rPr>
          <w:szCs w:val="22"/>
        </w:rPr>
        <w:t xml:space="preserve"> </w:t>
      </w:r>
      <w:r w:rsidR="004E7948" w:rsidRPr="00745FE3">
        <w:rPr>
          <w:szCs w:val="22"/>
        </w:rPr>
        <w:t xml:space="preserve">across the program as a result of additional resources and new monitoring plans. The program has built partner capacity in managing for results. The </w:t>
      </w:r>
      <w:r w:rsidR="00B367D4" w:rsidRPr="00745FE3">
        <w:rPr>
          <w:szCs w:val="22"/>
        </w:rPr>
        <w:t xml:space="preserve">Cambodia Community </w:t>
      </w:r>
      <w:r w:rsidR="004E7948" w:rsidRPr="00745FE3">
        <w:rPr>
          <w:szCs w:val="22"/>
        </w:rPr>
        <w:t xml:space="preserve">Justice Assistance </w:t>
      </w:r>
      <w:r w:rsidR="00B367D4" w:rsidRPr="00745FE3">
        <w:rPr>
          <w:szCs w:val="22"/>
        </w:rPr>
        <w:t>Partnership</w:t>
      </w:r>
      <w:r w:rsidR="004E7948" w:rsidRPr="00745FE3">
        <w:rPr>
          <w:szCs w:val="22"/>
        </w:rPr>
        <w:t xml:space="preserve"> </w:t>
      </w:r>
      <w:r w:rsidR="00100EFA">
        <w:rPr>
          <w:szCs w:val="22"/>
        </w:rPr>
        <w:t>(</w:t>
      </w:r>
      <w:r w:rsidR="00100EFA" w:rsidRPr="00100EFA">
        <w:rPr>
          <w:szCs w:val="22"/>
        </w:rPr>
        <w:t>CCJAP Phase 4)</w:t>
      </w:r>
      <w:r w:rsidR="00100EFA">
        <w:rPr>
          <w:szCs w:val="22"/>
        </w:rPr>
        <w:t xml:space="preserve"> </w:t>
      </w:r>
      <w:r w:rsidR="00B367D4" w:rsidRPr="00745FE3">
        <w:rPr>
          <w:szCs w:val="22"/>
        </w:rPr>
        <w:t xml:space="preserve">interim period (October 2012 to March 2013) </w:t>
      </w:r>
      <w:r w:rsidR="004E7948" w:rsidRPr="00745FE3">
        <w:rPr>
          <w:szCs w:val="22"/>
        </w:rPr>
        <w:t>has supported partner government counterparts to improve their mo</w:t>
      </w:r>
      <w:r w:rsidR="00CC5D3C" w:rsidRPr="00745FE3">
        <w:rPr>
          <w:szCs w:val="22"/>
        </w:rPr>
        <w:t>nitoring and evaluation systems</w:t>
      </w:r>
      <w:r w:rsidR="004E7948" w:rsidRPr="00745FE3">
        <w:rPr>
          <w:szCs w:val="22"/>
        </w:rPr>
        <w:t>. Further attention is planned in 201</w:t>
      </w:r>
      <w:r w:rsidRPr="00745FE3">
        <w:rPr>
          <w:szCs w:val="22"/>
        </w:rPr>
        <w:t>3</w:t>
      </w:r>
      <w:r w:rsidR="004E7948" w:rsidRPr="00745FE3">
        <w:rPr>
          <w:szCs w:val="22"/>
        </w:rPr>
        <w:t xml:space="preserve"> for activities where monitoring and evaluation relies on multilateral and joint-government monitoring and evaluation systems</w:t>
      </w:r>
      <w:r w:rsidR="00B367D4" w:rsidRPr="00745FE3">
        <w:rPr>
          <w:szCs w:val="22"/>
        </w:rPr>
        <w:t xml:space="preserve"> in the</w:t>
      </w:r>
      <w:r w:rsidRPr="00745FE3">
        <w:rPr>
          <w:szCs w:val="22"/>
        </w:rPr>
        <w:t xml:space="preserve"> infrastructure, health and law and justice sectors</w:t>
      </w:r>
      <w:r w:rsidR="004E7948" w:rsidRPr="00745FE3">
        <w:rPr>
          <w:szCs w:val="22"/>
        </w:rPr>
        <w:t xml:space="preserve">. </w:t>
      </w:r>
    </w:p>
    <w:p w:rsidR="004E7948" w:rsidRPr="00745FE3" w:rsidRDefault="004E7948" w:rsidP="00CE15A0">
      <w:pPr>
        <w:pStyle w:val="BodyText"/>
        <w:rPr>
          <w:szCs w:val="22"/>
        </w:rPr>
      </w:pPr>
      <w:r w:rsidRPr="00745FE3">
        <w:rPr>
          <w:szCs w:val="22"/>
        </w:rPr>
        <w:t xml:space="preserve">Cambodian Government </w:t>
      </w:r>
      <w:r w:rsidR="00076616">
        <w:rPr>
          <w:szCs w:val="22"/>
        </w:rPr>
        <w:t xml:space="preserve">public financial management systems </w:t>
      </w:r>
      <w:r w:rsidR="0058185F">
        <w:rPr>
          <w:szCs w:val="22"/>
        </w:rPr>
        <w:t xml:space="preserve">were </w:t>
      </w:r>
      <w:r w:rsidRPr="00745FE3">
        <w:rPr>
          <w:szCs w:val="22"/>
        </w:rPr>
        <w:t>not used for program delivery during the year. An assessment of national systems (a pre-requisite for</w:t>
      </w:r>
      <w:r w:rsidR="0058185F">
        <w:rPr>
          <w:szCs w:val="22"/>
        </w:rPr>
        <w:t xml:space="preserve"> using</w:t>
      </w:r>
      <w:r w:rsidRPr="00745FE3">
        <w:rPr>
          <w:szCs w:val="22"/>
        </w:rPr>
        <w:t xml:space="preserve"> partner government</w:t>
      </w:r>
      <w:r w:rsidR="0058185F">
        <w:rPr>
          <w:szCs w:val="22"/>
        </w:rPr>
        <w:t xml:space="preserve"> systems for program delivery</w:t>
      </w:r>
      <w:r w:rsidRPr="00745FE3">
        <w:rPr>
          <w:szCs w:val="22"/>
        </w:rPr>
        <w:t xml:space="preserve">) is </w:t>
      </w:r>
      <w:r w:rsidR="00351BFC" w:rsidRPr="00745FE3">
        <w:rPr>
          <w:szCs w:val="22"/>
        </w:rPr>
        <w:t xml:space="preserve">underway and scheduled </w:t>
      </w:r>
      <w:r w:rsidRPr="00745FE3">
        <w:rPr>
          <w:szCs w:val="22"/>
        </w:rPr>
        <w:t xml:space="preserve">for completion in </w:t>
      </w:r>
      <w:r w:rsidR="004A2244" w:rsidRPr="00745FE3">
        <w:rPr>
          <w:szCs w:val="22"/>
        </w:rPr>
        <w:t>July 2013</w:t>
      </w:r>
      <w:r w:rsidRPr="00745FE3">
        <w:rPr>
          <w:szCs w:val="22"/>
        </w:rPr>
        <w:t xml:space="preserve">. </w:t>
      </w:r>
    </w:p>
    <w:p w:rsidR="00733B75" w:rsidRPr="00745FE3" w:rsidRDefault="00733B75" w:rsidP="00CE15A0">
      <w:pPr>
        <w:pStyle w:val="BodyText"/>
      </w:pPr>
      <w:r w:rsidRPr="00745FE3">
        <w:lastRenderedPageBreak/>
        <w:t xml:space="preserve">To ensure ongoing program quality, additional </w:t>
      </w:r>
      <w:r w:rsidR="00076616" w:rsidRPr="00745FE3">
        <w:t>resource</w:t>
      </w:r>
      <w:r w:rsidR="00076616">
        <w:t xml:space="preserve">s </w:t>
      </w:r>
      <w:r w:rsidRPr="00745FE3">
        <w:t xml:space="preserve">for </w:t>
      </w:r>
      <w:r w:rsidR="00076616" w:rsidRPr="00745FE3">
        <w:t>full</w:t>
      </w:r>
      <w:r w:rsidR="00076616">
        <w:t>-</w:t>
      </w:r>
      <w:r w:rsidRPr="00745FE3">
        <w:t xml:space="preserve">time staff support in performance and quality </w:t>
      </w:r>
      <w:r w:rsidR="0076368F">
        <w:t xml:space="preserve">has been allocated </w:t>
      </w:r>
      <w:r w:rsidRPr="00745FE3">
        <w:t xml:space="preserve">to </w:t>
      </w:r>
      <w:r w:rsidR="0076368F">
        <w:t xml:space="preserve">enable a </w:t>
      </w:r>
      <w:r w:rsidR="00624EA6">
        <w:t>better</w:t>
      </w:r>
      <w:r w:rsidR="0076368F">
        <w:t xml:space="preserve"> focus on results.</w:t>
      </w:r>
      <w:r w:rsidR="00CD6B2F">
        <w:t xml:space="preserve"> </w:t>
      </w:r>
    </w:p>
    <w:p w:rsidR="00453805" w:rsidRPr="00745FE3" w:rsidRDefault="00B3463D" w:rsidP="00BF2045">
      <w:pPr>
        <w:pStyle w:val="Heading1"/>
      </w:pPr>
      <w:r w:rsidRPr="00745FE3">
        <w:t>Australia Awards</w:t>
      </w:r>
    </w:p>
    <w:p w:rsidR="00635251" w:rsidRPr="00BF2045" w:rsidRDefault="00635251" w:rsidP="00BF2045">
      <w:pPr>
        <w:pStyle w:val="BodyText"/>
      </w:pPr>
      <w:r w:rsidRPr="00BF2045">
        <w:t xml:space="preserve">The </w:t>
      </w:r>
      <w:r w:rsidR="00076616" w:rsidRPr="00BF2045">
        <w:t xml:space="preserve">Australia Awards (formerly </w:t>
      </w:r>
      <w:r w:rsidRPr="00BF2045">
        <w:t xml:space="preserve">Australian Development Scholarships) remain a critical component of </w:t>
      </w:r>
      <w:r w:rsidR="00E06E3B">
        <w:t>Australia’s</w:t>
      </w:r>
      <w:r w:rsidRPr="00BF2045">
        <w:t xml:space="preserve"> support to Cambodia.</w:t>
      </w:r>
      <w:r w:rsidR="00CD6B2F" w:rsidRPr="00BF2045">
        <w:t xml:space="preserve"> </w:t>
      </w:r>
      <w:r w:rsidRPr="00BF2045">
        <w:t xml:space="preserve">Supporting a well-educated workforce in priority sectors helps to achieve </w:t>
      </w:r>
      <w:r w:rsidR="00EA45C2">
        <w:t>Australia’s</w:t>
      </w:r>
      <w:r w:rsidRPr="00BF2045">
        <w:t xml:space="preserve"> long-term development objectives</w:t>
      </w:r>
      <w:r w:rsidR="00745FE3" w:rsidRPr="00BF2045">
        <w:t>.</w:t>
      </w:r>
      <w:r w:rsidR="00123260" w:rsidRPr="00BF2045">
        <w:t xml:space="preserve"> In 2012, 1</w:t>
      </w:r>
      <w:r w:rsidR="003D1127" w:rsidRPr="00BF2045">
        <w:t>12</w:t>
      </w:r>
      <w:r w:rsidR="00123260" w:rsidRPr="00BF2045">
        <w:t xml:space="preserve"> Cambodians were selected to attend the post-graduate studies (53 students) and short-term training (5</w:t>
      </w:r>
      <w:r w:rsidR="003D1127" w:rsidRPr="00BF2045">
        <w:t>9</w:t>
      </w:r>
      <w:r w:rsidR="00123260" w:rsidRPr="00BF2045">
        <w:t xml:space="preserve"> professionals) </w:t>
      </w:r>
      <w:r w:rsidR="003A3863" w:rsidRPr="00BF2045">
        <w:t>in Australia</w:t>
      </w:r>
      <w:r w:rsidR="00AF1CB0" w:rsidRPr="00BF2045">
        <w:t>,</w:t>
      </w:r>
      <w:r w:rsidR="003A3863" w:rsidRPr="00BF2045">
        <w:t xml:space="preserve"> </w:t>
      </w:r>
      <w:r w:rsidR="00123260" w:rsidRPr="00BF2045">
        <w:t>in</w:t>
      </w:r>
      <w:r w:rsidR="00AF1CB0" w:rsidRPr="00BF2045">
        <w:t>cluding</w:t>
      </w:r>
      <w:r w:rsidR="00123260" w:rsidRPr="00BF2045">
        <w:t xml:space="preserve"> </w:t>
      </w:r>
      <w:r w:rsidR="003D1127" w:rsidRPr="00BF2045">
        <w:t>30</w:t>
      </w:r>
      <w:r w:rsidR="00123260" w:rsidRPr="00BF2045">
        <w:t xml:space="preserve"> </w:t>
      </w:r>
      <w:r w:rsidR="00076616" w:rsidRPr="00BF2045">
        <w:t>women</w:t>
      </w:r>
      <w:r w:rsidR="00123260" w:rsidRPr="00BF2045">
        <w:t>. For long-term awards (post graduates),</w:t>
      </w:r>
      <w:r w:rsidR="0076368F" w:rsidRPr="00BF2045">
        <w:t xml:space="preserve"> </w:t>
      </w:r>
      <w:r w:rsidR="00076616" w:rsidRPr="00BF2045">
        <w:t xml:space="preserve">20 </w:t>
      </w:r>
      <w:r w:rsidRPr="00BF2045">
        <w:t xml:space="preserve">placements were offered to public sector applicants while, recognising the increasing importance of a dynamic private sector for Cambodia’s ongoing growth, another </w:t>
      </w:r>
      <w:r w:rsidR="00076616" w:rsidRPr="00BF2045">
        <w:t xml:space="preserve">30 </w:t>
      </w:r>
      <w:r w:rsidRPr="00BF2045">
        <w:t>placements were offered to candidates from the private sector and civil society.</w:t>
      </w:r>
      <w:r w:rsidR="00CD6B2F" w:rsidRPr="00BF2045">
        <w:t xml:space="preserve"> </w:t>
      </w:r>
      <w:r w:rsidRPr="00BF2045">
        <w:t xml:space="preserve">Australia </w:t>
      </w:r>
      <w:r w:rsidR="00123260" w:rsidRPr="00BF2045">
        <w:t xml:space="preserve">Awards </w:t>
      </w:r>
      <w:r w:rsidRPr="00BF2045">
        <w:t>scholarships continue to be well regarded</w:t>
      </w:r>
      <w:r w:rsidR="00AF1CB0" w:rsidRPr="00BF2045">
        <w:t>. They</w:t>
      </w:r>
      <w:r w:rsidRPr="00BF2045">
        <w:t xml:space="preserve"> attract high quality candidates and align with </w:t>
      </w:r>
      <w:r w:rsidR="00624EA6" w:rsidRPr="00BF2045">
        <w:t xml:space="preserve">the priorities of </w:t>
      </w:r>
      <w:r w:rsidRPr="00BF2045">
        <w:t>both the Camb</w:t>
      </w:r>
      <w:r w:rsidR="00624EA6" w:rsidRPr="00BF2045">
        <w:t>odian and Australian government</w:t>
      </w:r>
      <w:r w:rsidRPr="00BF2045">
        <w:t xml:space="preserve">s. </w:t>
      </w:r>
    </w:p>
    <w:p w:rsidR="00635251" w:rsidRPr="00BF2045" w:rsidRDefault="00635251" w:rsidP="00BF2045">
      <w:pPr>
        <w:pStyle w:val="BodyText"/>
      </w:pPr>
      <w:r w:rsidRPr="00BF2045">
        <w:t xml:space="preserve">The Australia Alumni Association in Cambodia has grown bigger and more active. In 2012, the </w:t>
      </w:r>
      <w:r w:rsidR="00076616" w:rsidRPr="00BF2045">
        <w:t xml:space="preserve">association </w:t>
      </w:r>
      <w:r w:rsidRPr="00BF2045">
        <w:t xml:space="preserve">organised a national workshop on </w:t>
      </w:r>
      <w:r w:rsidR="00076616" w:rsidRPr="00BF2045">
        <w:t xml:space="preserve">equity to health access </w:t>
      </w:r>
      <w:r w:rsidRPr="00BF2045">
        <w:t xml:space="preserve">in Cambodia which attracted more than a hundred participants from </w:t>
      </w:r>
      <w:r w:rsidR="00076616" w:rsidRPr="00BF2045">
        <w:t>non-government organisations</w:t>
      </w:r>
      <w:r w:rsidRPr="00BF2045">
        <w:t>, private clinics, and in particular the Ministry of Health.</w:t>
      </w:r>
      <w:r w:rsidR="00CD6B2F" w:rsidRPr="00BF2045">
        <w:t xml:space="preserve"> </w:t>
      </w:r>
      <w:r w:rsidRPr="00BF2045">
        <w:t xml:space="preserve">The findings and recommendations from the workshop will be presented and submitted to the </w:t>
      </w:r>
      <w:r w:rsidR="00076616" w:rsidRPr="00BF2045">
        <w:t>ministry</w:t>
      </w:r>
      <w:r w:rsidRPr="00BF2045">
        <w:t>.</w:t>
      </w:r>
      <w:r w:rsidR="00CD6B2F" w:rsidRPr="00BF2045">
        <w:t xml:space="preserve"> </w:t>
      </w:r>
      <w:r w:rsidRPr="00BF2045">
        <w:t xml:space="preserve">The </w:t>
      </w:r>
      <w:r w:rsidR="00076616" w:rsidRPr="00BF2045">
        <w:t xml:space="preserve">association </w:t>
      </w:r>
      <w:r w:rsidRPr="00BF2045">
        <w:t>also held several other events that provide opportunities for alumni to share the views and voice their concerns on major development issue</w:t>
      </w:r>
      <w:r w:rsidR="00351BFC" w:rsidRPr="00BF2045">
        <w:t>s</w:t>
      </w:r>
      <w:r w:rsidRPr="00BF2045">
        <w:t xml:space="preserve"> in Cambodia.</w:t>
      </w:r>
      <w:r w:rsidR="00CD6B2F" w:rsidRPr="00BF2045">
        <w:t xml:space="preserve"> </w:t>
      </w:r>
    </w:p>
    <w:p w:rsidR="00453805" w:rsidRPr="00745FE3" w:rsidRDefault="00453805" w:rsidP="00BF2045">
      <w:pPr>
        <w:pStyle w:val="Heading1"/>
      </w:pPr>
      <w:r w:rsidRPr="00745FE3">
        <w:t xml:space="preserve">Gender </w:t>
      </w:r>
    </w:p>
    <w:p w:rsidR="00D16E86" w:rsidRPr="00BF2045" w:rsidRDefault="00D16E86" w:rsidP="00BF2045">
      <w:pPr>
        <w:pStyle w:val="BodyText"/>
      </w:pPr>
      <w:r w:rsidRPr="00BF2045">
        <w:t xml:space="preserve">Safeguards and cross-cutting issues are being </w:t>
      </w:r>
      <w:r w:rsidR="00CC5D3C" w:rsidRPr="00BF2045">
        <w:t xml:space="preserve">strongly </w:t>
      </w:r>
      <w:r w:rsidRPr="00BF2045">
        <w:t xml:space="preserve">integrated and included in the aid program. Monitoring assessments showed that gender mainstreaming and empowerment were seriously considered in all </w:t>
      </w:r>
      <w:r w:rsidR="009F17C1" w:rsidRPr="00BF2045">
        <w:t xml:space="preserve">four strategic objectives and </w:t>
      </w:r>
      <w:r w:rsidRPr="00BF2045">
        <w:t xml:space="preserve">initiatives. The draft gender action </w:t>
      </w:r>
      <w:r w:rsidR="00CC5D3C" w:rsidRPr="00BF2045">
        <w:t xml:space="preserve">plan for </w:t>
      </w:r>
      <w:r w:rsidR="00076616" w:rsidRPr="00BF2045">
        <w:t xml:space="preserve">Post </w:t>
      </w:r>
      <w:r w:rsidR="00CC5D3C" w:rsidRPr="00BF2045">
        <w:t>will be finalised in 2013.</w:t>
      </w:r>
      <w:r w:rsidR="00CD6B2F" w:rsidRPr="00BF2045">
        <w:t xml:space="preserve"> </w:t>
      </w:r>
      <w:r w:rsidRPr="00BF2045">
        <w:t>This will measure program-wide efforts to address gender equity issues and will link all initiative</w:t>
      </w:r>
      <w:r w:rsidR="00CC5D3C" w:rsidRPr="00BF2045">
        <w:t>s</w:t>
      </w:r>
      <w:r w:rsidRPr="00BF2045">
        <w:t xml:space="preserve"> to </w:t>
      </w:r>
      <w:r w:rsidR="00EA45C2">
        <w:t>Australian</w:t>
      </w:r>
      <w:r w:rsidRPr="00BF2045">
        <w:t xml:space="preserve"> and partner government gender policies.</w:t>
      </w:r>
      <w:r w:rsidR="00CD6B2F" w:rsidRPr="00BF2045">
        <w:t xml:space="preserve"> </w:t>
      </w:r>
      <w:r w:rsidRPr="00BF2045">
        <w:t xml:space="preserve">Major </w:t>
      </w:r>
      <w:r w:rsidR="00EA45C2">
        <w:t>Australian</w:t>
      </w:r>
      <w:r w:rsidRPr="00BF2045">
        <w:t xml:space="preserve"> program</w:t>
      </w:r>
      <w:r w:rsidR="00CF7372" w:rsidRPr="00BF2045">
        <w:t>s</w:t>
      </w:r>
      <w:r w:rsidRPr="00BF2045">
        <w:t xml:space="preserve"> </w:t>
      </w:r>
      <w:r w:rsidR="00CF7372" w:rsidRPr="00BF2045">
        <w:t xml:space="preserve">such as </w:t>
      </w:r>
      <w:r w:rsidR="00076616" w:rsidRPr="00BF2045">
        <w:t xml:space="preserve">the Cambodia Agricultural Value Chain Program </w:t>
      </w:r>
      <w:r w:rsidR="00CF7372" w:rsidRPr="00BF2045">
        <w:t xml:space="preserve">had </w:t>
      </w:r>
      <w:r w:rsidR="00624EA6" w:rsidRPr="00BF2045">
        <w:t xml:space="preserve">a </w:t>
      </w:r>
      <w:r w:rsidRPr="00BF2045">
        <w:t>gender policy and a gender adviser/specialist.</w:t>
      </w:r>
      <w:r w:rsidR="00CF7372" w:rsidRPr="00BF2045">
        <w:t xml:space="preserve"> </w:t>
      </w:r>
      <w:r w:rsidR="00076616" w:rsidRPr="00BF2045">
        <w:t>A</w:t>
      </w:r>
      <w:r w:rsidR="00CF7372" w:rsidRPr="00BF2045">
        <w:t xml:space="preserve">ddressing gender in all areas </w:t>
      </w:r>
      <w:r w:rsidR="00AF1CB0" w:rsidRPr="00BF2045">
        <w:t xml:space="preserve">of </w:t>
      </w:r>
      <w:r w:rsidR="00CF7372" w:rsidRPr="00BF2045">
        <w:t>our programs will be a key priority in the coming year.</w:t>
      </w:r>
    </w:p>
    <w:p w:rsidR="00D16E86" w:rsidRPr="00BF2045" w:rsidRDefault="00D16E86" w:rsidP="00BF2045">
      <w:pPr>
        <w:pStyle w:val="BodyText"/>
      </w:pPr>
      <w:r w:rsidRPr="00BF2045">
        <w:t>High rates of violence against women persist in Cambodia</w:t>
      </w:r>
      <w:r w:rsidR="00076616" w:rsidRPr="00BF2045">
        <w:t>, however d</w:t>
      </w:r>
      <w:r w:rsidRPr="00BF2045">
        <w:t>esign work</w:t>
      </w:r>
      <w:r w:rsidR="00351BFC" w:rsidRPr="00BF2045">
        <w:t xml:space="preserve"> on</w:t>
      </w:r>
      <w:r w:rsidRPr="00BF2045">
        <w:t xml:space="preserve"> </w:t>
      </w:r>
      <w:r w:rsidR="00F952EE" w:rsidRPr="00BF2045">
        <w:t xml:space="preserve">a new program focused on </w:t>
      </w:r>
      <w:r w:rsidR="00351BFC" w:rsidRPr="00BF2045">
        <w:t xml:space="preserve">ending </w:t>
      </w:r>
      <w:r w:rsidR="00076616" w:rsidRPr="00BF2045">
        <w:t>this</w:t>
      </w:r>
      <w:r w:rsidR="00351BFC" w:rsidRPr="00BF2045">
        <w:t xml:space="preserve"> </w:t>
      </w:r>
      <w:r w:rsidR="00F952EE" w:rsidRPr="00BF2045">
        <w:t xml:space="preserve">was finalised in </w:t>
      </w:r>
      <w:r w:rsidR="0076368F" w:rsidRPr="00BF2045">
        <w:t xml:space="preserve">June </w:t>
      </w:r>
      <w:r w:rsidR="00F952EE" w:rsidRPr="00BF2045">
        <w:t>2013.</w:t>
      </w:r>
      <w:r w:rsidR="00CD6B2F" w:rsidRPr="00BF2045">
        <w:t xml:space="preserve"> </w:t>
      </w:r>
      <w:r w:rsidR="00351BFC" w:rsidRPr="00BF2045">
        <w:t>P</w:t>
      </w:r>
      <w:r w:rsidRPr="00BF2045">
        <w:t xml:space="preserve">olicy dialogue and consultations have been conducted at national and sub-national level with the </w:t>
      </w:r>
      <w:r w:rsidR="00076616" w:rsidRPr="00BF2045">
        <w:t xml:space="preserve">Cambodian Government </w:t>
      </w:r>
      <w:r w:rsidRPr="00BF2045">
        <w:t>and key partners</w:t>
      </w:r>
      <w:r w:rsidR="00F952EE" w:rsidRPr="00BF2045">
        <w:t xml:space="preserve"> on this issue with implementation to commence in 2013</w:t>
      </w:r>
      <w:r w:rsidR="00F80A15" w:rsidRPr="00BF2045">
        <w:t>–1</w:t>
      </w:r>
      <w:r w:rsidR="00F952EE" w:rsidRPr="00BF2045">
        <w:t>4.</w:t>
      </w:r>
      <w:r w:rsidR="00CD6B2F" w:rsidRPr="00BF2045">
        <w:t xml:space="preserve"> </w:t>
      </w:r>
      <w:r w:rsidRPr="00BF2045">
        <w:t>Another key success was a commitment from Cambodia’s Ministry of Health to develop a clinical guideline for gender-based violence medical interventions, including medical treatment, forensic exam</w:t>
      </w:r>
      <w:r w:rsidR="00CC5D3C" w:rsidRPr="00BF2045">
        <w:t>ination and counselling. In 2013</w:t>
      </w:r>
      <w:r w:rsidR="00F80A15" w:rsidRPr="00BF2045">
        <w:t>–</w:t>
      </w:r>
      <w:r w:rsidR="00CC5D3C" w:rsidRPr="00BF2045">
        <w:t>14</w:t>
      </w:r>
      <w:r w:rsidRPr="00BF2045">
        <w:t xml:space="preserve">, </w:t>
      </w:r>
      <w:r w:rsidR="00EA45C2">
        <w:t>the department</w:t>
      </w:r>
      <w:r w:rsidR="00351BFC" w:rsidRPr="00BF2045">
        <w:t xml:space="preserve"> </w:t>
      </w:r>
      <w:r w:rsidRPr="00BF2045">
        <w:t xml:space="preserve">will </w:t>
      </w:r>
      <w:r w:rsidR="00F80A15" w:rsidRPr="00BF2045">
        <w:t xml:space="preserve">start </w:t>
      </w:r>
      <w:r w:rsidR="00F952EE" w:rsidRPr="00BF2045">
        <w:t>implement</w:t>
      </w:r>
      <w:r w:rsidR="00F80A15" w:rsidRPr="00BF2045">
        <w:t xml:space="preserve">ing </w:t>
      </w:r>
      <w:r w:rsidR="00F952EE" w:rsidRPr="00BF2045">
        <w:t>the new design targeting services, prevention and justice to ensure survivors of violence can access the services they need and seek redress through the justice system</w:t>
      </w:r>
      <w:r w:rsidRPr="00BF2045">
        <w:t>.</w:t>
      </w:r>
      <w:r w:rsidR="00F952EE" w:rsidRPr="00BF2045">
        <w:t xml:space="preserve"> The program will work across </w:t>
      </w:r>
      <w:r w:rsidR="00B01CE6">
        <w:t xml:space="preserve">the aid program’s </w:t>
      </w:r>
      <w:r w:rsidR="00F952EE" w:rsidRPr="00BF2045">
        <w:t xml:space="preserve">Cambodia portfolio in health, infrastructure, law and justice, and rural development. </w:t>
      </w:r>
    </w:p>
    <w:p w:rsidR="00F611D3" w:rsidRPr="008509B8" w:rsidRDefault="00F611D3" w:rsidP="00BF2045">
      <w:pPr>
        <w:pStyle w:val="Heading1"/>
      </w:pPr>
      <w:r w:rsidRPr="00745FE3">
        <w:t>Disability inclusive development</w:t>
      </w:r>
    </w:p>
    <w:p w:rsidR="00234875" w:rsidRPr="00BF2045" w:rsidRDefault="00B01CE6" w:rsidP="00BF2045">
      <w:pPr>
        <w:pStyle w:val="BodyText"/>
      </w:pPr>
      <w:r>
        <w:t xml:space="preserve">The Australian </w:t>
      </w:r>
      <w:r w:rsidR="00234875" w:rsidRPr="00BF2045">
        <w:t xml:space="preserve">disability program </w:t>
      </w:r>
      <w:r w:rsidR="0020390F">
        <w:t xml:space="preserve">in Cambodia </w:t>
      </w:r>
      <w:r w:rsidR="00234875" w:rsidRPr="00BF2045">
        <w:t xml:space="preserve">has continued to promote and improve the participation of people with disability in their communities. The program has had significant achievements during the reporting period. </w:t>
      </w:r>
    </w:p>
    <w:p w:rsidR="00234875" w:rsidRPr="00BF2045" w:rsidRDefault="00B01CE6" w:rsidP="00BF2045">
      <w:pPr>
        <w:pStyle w:val="BodyText"/>
      </w:pPr>
      <w:r>
        <w:t>Australian</w:t>
      </w:r>
      <w:r w:rsidR="00234875" w:rsidRPr="00BF2045">
        <w:t xml:space="preserve"> support to key Cambodian Government institutions such as the Ministry of Social Affairs, Veterans and Youth Rehabilitation</w:t>
      </w:r>
      <w:r w:rsidR="00F80A15" w:rsidRPr="00BF2045">
        <w:t>,</w:t>
      </w:r>
      <w:r w:rsidR="00234875" w:rsidRPr="00BF2045">
        <w:t xml:space="preserve"> and the Disability Action Council </w:t>
      </w:r>
      <w:r w:rsidR="00F80A15" w:rsidRPr="00BF2045">
        <w:t xml:space="preserve">helped </w:t>
      </w:r>
      <w:r w:rsidR="00234875" w:rsidRPr="00BF2045">
        <w:t xml:space="preserve">the </w:t>
      </w:r>
      <w:r w:rsidR="00F80A15" w:rsidRPr="00BF2045">
        <w:lastRenderedPageBreak/>
        <w:t xml:space="preserve">government </w:t>
      </w:r>
      <w:r w:rsidR="00234875" w:rsidRPr="00BF2045">
        <w:t>prepar</w:t>
      </w:r>
      <w:r w:rsidR="00F80A15" w:rsidRPr="00BF2045">
        <w:t xml:space="preserve">e the </w:t>
      </w:r>
      <w:r w:rsidR="00234875" w:rsidRPr="00BF2045">
        <w:t>documents necessary for Cambodia to officially ratify the U</w:t>
      </w:r>
      <w:r w:rsidR="00F80A15" w:rsidRPr="00BF2045">
        <w:t xml:space="preserve">nited </w:t>
      </w:r>
      <w:r w:rsidR="00234875" w:rsidRPr="00BF2045">
        <w:t>N</w:t>
      </w:r>
      <w:r w:rsidR="00F80A15" w:rsidRPr="00BF2045">
        <w:t>ations</w:t>
      </w:r>
      <w:r w:rsidR="00234875" w:rsidRPr="00BF2045">
        <w:t xml:space="preserve"> Convention on the Rights of Persons with Disabilities in December 2012. </w:t>
      </w:r>
      <w:r>
        <w:t>Australian</w:t>
      </w:r>
      <w:r w:rsidR="00234875" w:rsidRPr="00BF2045">
        <w:t xml:space="preserve"> support also enabled the </w:t>
      </w:r>
      <w:r w:rsidR="00F80A15" w:rsidRPr="00BF2045">
        <w:t xml:space="preserve">government </w:t>
      </w:r>
      <w:r w:rsidR="00234875" w:rsidRPr="00BF2045">
        <w:t xml:space="preserve">to develop key sub-legal frameworks to </w:t>
      </w:r>
      <w:r w:rsidR="00F80A15" w:rsidRPr="00BF2045">
        <w:t>help</w:t>
      </w:r>
      <w:r w:rsidR="00234875" w:rsidRPr="00BF2045">
        <w:t xml:space="preserve"> implement</w:t>
      </w:r>
      <w:r w:rsidR="00F80A15" w:rsidRPr="00BF2045">
        <w:t xml:space="preserve"> </w:t>
      </w:r>
      <w:r w:rsidR="00234875" w:rsidRPr="00BF2045">
        <w:t xml:space="preserve">the </w:t>
      </w:r>
      <w:r w:rsidR="00F80A15" w:rsidRPr="00BF2045">
        <w:t xml:space="preserve">law on the protection and promotion of the rights of </w:t>
      </w:r>
      <w:r w:rsidR="00AF1CB0" w:rsidRPr="00BF2045">
        <w:t>people w</w:t>
      </w:r>
      <w:r w:rsidR="00F80A15" w:rsidRPr="00BF2045">
        <w:t>ith disabilit</w:t>
      </w:r>
      <w:r w:rsidR="00AF1CB0" w:rsidRPr="00BF2045">
        <w:t>y</w:t>
      </w:r>
      <w:r w:rsidR="00234875" w:rsidRPr="00BF2045">
        <w:t xml:space="preserve">. These efforts have been resource-intensive for the Cambodia </w:t>
      </w:r>
      <w:r>
        <w:t xml:space="preserve">aid </w:t>
      </w:r>
      <w:r w:rsidR="00234875" w:rsidRPr="00BF2045">
        <w:t>program and achieving sustainable results will require long-term donor engagement. A new initiative to support the Cambodian disability sector is currently being designed and will take these challenges into account.</w:t>
      </w:r>
    </w:p>
    <w:p w:rsidR="00234875" w:rsidRPr="00BF2045" w:rsidRDefault="00234875" w:rsidP="00BF2045">
      <w:pPr>
        <w:pStyle w:val="BodyText"/>
      </w:pPr>
      <w:r w:rsidRPr="00BF2045">
        <w:t xml:space="preserve">In 2012, </w:t>
      </w:r>
      <w:r w:rsidR="00B01CE6">
        <w:t>Australia</w:t>
      </w:r>
      <w:r w:rsidR="00F80A15" w:rsidRPr="00BF2045">
        <w:t xml:space="preserve"> supported </w:t>
      </w:r>
      <w:r w:rsidRPr="00BF2045">
        <w:t>the Cambodian Disabled People’s Organisation</w:t>
      </w:r>
      <w:r w:rsidR="00F80A15" w:rsidRPr="00BF2045">
        <w:t xml:space="preserve"> to </w:t>
      </w:r>
      <w:r w:rsidRPr="00BF2045">
        <w:t xml:space="preserve">organise two ASEAN </w:t>
      </w:r>
      <w:r w:rsidR="00F80A15" w:rsidRPr="00BF2045">
        <w:t xml:space="preserve">disability forums </w:t>
      </w:r>
      <w:r w:rsidRPr="00BF2045">
        <w:t>in parallel with the ASEAN Summit held in Cambodia. The forums allowed</w:t>
      </w:r>
      <w:r w:rsidR="00504C9F" w:rsidRPr="00BF2045">
        <w:t xml:space="preserve"> representatives of disab</w:t>
      </w:r>
      <w:r w:rsidR="00624EA6" w:rsidRPr="00BF2045">
        <w:t xml:space="preserve">ility </w:t>
      </w:r>
      <w:r w:rsidR="00504C9F" w:rsidRPr="00BF2045">
        <w:t>organisations</w:t>
      </w:r>
      <w:r w:rsidRPr="00BF2045">
        <w:t xml:space="preserve"> from ASEAN countries to develop </w:t>
      </w:r>
      <w:r w:rsidR="00F80A15" w:rsidRPr="00BF2045">
        <w:t xml:space="preserve">the </w:t>
      </w:r>
      <w:r w:rsidRPr="00BF2045">
        <w:t>Phnom Penh Disability Declaration</w:t>
      </w:r>
      <w:r w:rsidR="00F80A15" w:rsidRPr="00BF2045">
        <w:t xml:space="preserve"> </w:t>
      </w:r>
      <w:r w:rsidRPr="00BF2045">
        <w:t xml:space="preserve">and the </w:t>
      </w:r>
      <w:proofErr w:type="spellStart"/>
      <w:r w:rsidRPr="00BF2045">
        <w:t>Siem</w:t>
      </w:r>
      <w:proofErr w:type="spellEnd"/>
      <w:r w:rsidRPr="00BF2045">
        <w:t xml:space="preserve"> Reap Statement</w:t>
      </w:r>
      <w:r w:rsidR="00F80A15" w:rsidRPr="00BF2045">
        <w:t xml:space="preserve"> </w:t>
      </w:r>
      <w:r w:rsidRPr="00BF2045">
        <w:t xml:space="preserve">to advocate to the ASEAN Summit for disability inclusive development. </w:t>
      </w:r>
      <w:r w:rsidR="00F80A15" w:rsidRPr="00BF2045">
        <w:t xml:space="preserve">The Cambodian Disabled People’s Organisation </w:t>
      </w:r>
      <w:r w:rsidRPr="00BF2045">
        <w:t xml:space="preserve">also provided capacity building to 25 new </w:t>
      </w:r>
      <w:r w:rsidR="00624EA6" w:rsidRPr="00BF2045">
        <w:t xml:space="preserve">disability </w:t>
      </w:r>
      <w:r w:rsidR="00504C9F" w:rsidRPr="00BF2045">
        <w:t xml:space="preserve">organisations </w:t>
      </w:r>
      <w:r w:rsidRPr="00BF2045">
        <w:t xml:space="preserve">and new </w:t>
      </w:r>
      <w:r w:rsidR="00F80A15" w:rsidRPr="00BF2045">
        <w:t>women with disability foru</w:t>
      </w:r>
      <w:r w:rsidRPr="00BF2045">
        <w:t>ms</w:t>
      </w:r>
      <w:r w:rsidR="00624EA6" w:rsidRPr="00BF2045">
        <w:t>,</w:t>
      </w:r>
      <w:r w:rsidRPr="00BF2045">
        <w:t xml:space="preserve"> so that they are more effective in advocacy activities </w:t>
      </w:r>
      <w:r w:rsidR="003A3850" w:rsidRPr="00BF2045">
        <w:t>at</w:t>
      </w:r>
      <w:r w:rsidRPr="00BF2045">
        <w:t xml:space="preserve"> the sub-national level.</w:t>
      </w:r>
      <w:r w:rsidR="00CD6B2F" w:rsidRPr="00BF2045">
        <w:t xml:space="preserve"> </w:t>
      </w:r>
    </w:p>
    <w:p w:rsidR="00234875" w:rsidRPr="00BF2045" w:rsidRDefault="00B01CE6" w:rsidP="00BF2045">
      <w:pPr>
        <w:pStyle w:val="BodyText"/>
      </w:pPr>
      <w:r>
        <w:t>Australian</w:t>
      </w:r>
      <w:r w:rsidR="00234875" w:rsidRPr="00BF2045">
        <w:t xml:space="preserve"> support through the Cambodia Initiative for Disability Inclusion (managed by the Australian Red Cross) enabled 19</w:t>
      </w:r>
      <w:r w:rsidR="00F80A15" w:rsidRPr="00BF2045">
        <w:t xml:space="preserve"> </w:t>
      </w:r>
      <w:r w:rsidR="00234875" w:rsidRPr="00BF2045">
        <w:t>066 people to access disability services, including prosthetics and orthotics, wheelchairs and other assistive devices, and physical therapy. Many children with disability benefited: 74 received pre-school services</w:t>
      </w:r>
      <w:r w:rsidR="00F80A15" w:rsidRPr="00BF2045">
        <w:t xml:space="preserve">, </w:t>
      </w:r>
      <w:r w:rsidR="00234875" w:rsidRPr="00BF2045">
        <w:t>738 received special education</w:t>
      </w:r>
      <w:r w:rsidR="00F80A15" w:rsidRPr="00BF2045">
        <w:t xml:space="preserve">, </w:t>
      </w:r>
      <w:r w:rsidR="00234875" w:rsidRPr="00BF2045">
        <w:t xml:space="preserve">756 received integrated </w:t>
      </w:r>
      <w:proofErr w:type="gramStart"/>
      <w:r w:rsidR="00234875" w:rsidRPr="00BF2045">
        <w:t>education</w:t>
      </w:r>
      <w:proofErr w:type="gramEnd"/>
      <w:r w:rsidR="00624EA6" w:rsidRPr="00BF2045">
        <w:t>,</w:t>
      </w:r>
      <w:r w:rsidR="00234875" w:rsidRPr="00BF2045">
        <w:t xml:space="preserve"> 260 were provided speech therapy</w:t>
      </w:r>
      <w:r w:rsidR="00F80A15" w:rsidRPr="00BF2045">
        <w:t xml:space="preserve">, </w:t>
      </w:r>
      <w:r w:rsidR="00234875" w:rsidRPr="00BF2045">
        <w:t>655 were mainstreamed into public schools</w:t>
      </w:r>
      <w:r w:rsidR="00F80A15" w:rsidRPr="00BF2045">
        <w:t xml:space="preserve">, </w:t>
      </w:r>
      <w:r w:rsidR="00234875" w:rsidRPr="00BF2045">
        <w:t>1094 received support to attend education services</w:t>
      </w:r>
      <w:r w:rsidR="00F80A15" w:rsidRPr="00BF2045">
        <w:t>,</w:t>
      </w:r>
      <w:r w:rsidR="00234875" w:rsidRPr="00BF2045">
        <w:t xml:space="preserve"> </w:t>
      </w:r>
      <w:r w:rsidR="00F80A15" w:rsidRPr="00BF2045">
        <w:t xml:space="preserve">and </w:t>
      </w:r>
      <w:r w:rsidR="00234875" w:rsidRPr="00BF2045">
        <w:t xml:space="preserve">1339 received home-based rehabilitation services. In addition, 560 teachers </w:t>
      </w:r>
      <w:r w:rsidR="00F80A15" w:rsidRPr="00BF2045">
        <w:t xml:space="preserve">were </w:t>
      </w:r>
      <w:r w:rsidR="00234875" w:rsidRPr="00BF2045">
        <w:t>train</w:t>
      </w:r>
      <w:r w:rsidR="00F80A15" w:rsidRPr="00BF2045">
        <w:t>ed to</w:t>
      </w:r>
      <w:r w:rsidR="00234875" w:rsidRPr="00BF2045">
        <w:t xml:space="preserve"> teach children with disabilit</w:t>
      </w:r>
      <w:r w:rsidR="00F80A15" w:rsidRPr="00BF2045">
        <w:t>y</w:t>
      </w:r>
      <w:r w:rsidR="00624EA6" w:rsidRPr="00BF2045">
        <w:t>,</w:t>
      </w:r>
      <w:r w:rsidR="00234875" w:rsidRPr="00BF2045">
        <w:t xml:space="preserve"> 2006 children and adults with disability were visited at home for rehabilitation support</w:t>
      </w:r>
      <w:r w:rsidR="00F80A15" w:rsidRPr="00BF2045">
        <w:t xml:space="preserve">, </w:t>
      </w:r>
      <w:r w:rsidR="00234875" w:rsidRPr="00BF2045">
        <w:t xml:space="preserve">1535 families </w:t>
      </w:r>
      <w:r w:rsidR="00F80A15" w:rsidRPr="00BF2045">
        <w:t xml:space="preserve">of </w:t>
      </w:r>
      <w:r w:rsidR="00234875" w:rsidRPr="00BF2045">
        <w:t>people with disability received small grants</w:t>
      </w:r>
      <w:r w:rsidR="00F80A15" w:rsidRPr="00BF2045">
        <w:t xml:space="preserve"> or </w:t>
      </w:r>
      <w:r w:rsidR="00234875" w:rsidRPr="00BF2045">
        <w:t>loan</w:t>
      </w:r>
      <w:r w:rsidR="00F80A15" w:rsidRPr="00BF2045">
        <w:t>s</w:t>
      </w:r>
      <w:r w:rsidR="00234875" w:rsidRPr="00BF2045">
        <w:t xml:space="preserve"> for income generating activities</w:t>
      </w:r>
      <w:r w:rsidR="00F80A15" w:rsidRPr="00BF2045">
        <w:t xml:space="preserve">, </w:t>
      </w:r>
      <w:r w:rsidR="00234875" w:rsidRPr="00BF2045">
        <w:t>2377 people with disability received vocational or skill</w:t>
      </w:r>
      <w:r w:rsidR="00F80A15" w:rsidRPr="00BF2045">
        <w:t>s</w:t>
      </w:r>
      <w:r w:rsidR="00234875" w:rsidRPr="00BF2045">
        <w:t xml:space="preserve"> training</w:t>
      </w:r>
      <w:r w:rsidR="00F80A15" w:rsidRPr="00BF2045">
        <w:t xml:space="preserve">, </w:t>
      </w:r>
      <w:r w:rsidR="00234875" w:rsidRPr="00BF2045">
        <w:t>562 people with disability were referred for job training and job placement</w:t>
      </w:r>
      <w:r w:rsidR="00F80A15" w:rsidRPr="00BF2045">
        <w:t xml:space="preserve">, </w:t>
      </w:r>
      <w:r w:rsidR="00234875" w:rsidRPr="00BF2045">
        <w:t>and 1031 people with disability received emotional</w:t>
      </w:r>
      <w:r w:rsidR="00F80A15" w:rsidRPr="00BF2045">
        <w:t xml:space="preserve"> or </w:t>
      </w:r>
      <w:r w:rsidR="00234875" w:rsidRPr="00BF2045">
        <w:t xml:space="preserve">psychological support. </w:t>
      </w:r>
    </w:p>
    <w:p w:rsidR="00234875" w:rsidRPr="00BF2045" w:rsidRDefault="00B01CE6" w:rsidP="00BF2045">
      <w:pPr>
        <w:pStyle w:val="BodyText"/>
      </w:pPr>
      <w:r>
        <w:t>Australia</w:t>
      </w:r>
      <w:r w:rsidR="00234875" w:rsidRPr="00BF2045">
        <w:t xml:space="preserve"> has also continued to mainstream disability-inclusive development across many of its country strategy objectives in Cambodia. As reported in the 2011 </w:t>
      </w:r>
      <w:r w:rsidR="00F80A15" w:rsidRPr="00BF2045">
        <w:t>annual program performance report</w:t>
      </w:r>
      <w:r w:rsidR="00234875" w:rsidRPr="00BF2045">
        <w:t xml:space="preserve">, </w:t>
      </w:r>
      <w:r w:rsidR="00C244EC" w:rsidRPr="00BF2045">
        <w:t>a</w:t>
      </w:r>
      <w:r w:rsidR="00234875" w:rsidRPr="00BF2045">
        <w:t>ll new buildings in railway and road projects built during this reporting period included external ramps for people with disability.</w:t>
      </w:r>
      <w:r w:rsidR="00CD6B2F" w:rsidRPr="00BF2045">
        <w:t xml:space="preserve"> </w:t>
      </w:r>
      <w:r w:rsidR="00234875" w:rsidRPr="00BF2045">
        <w:t xml:space="preserve">Since 2010, </w:t>
      </w:r>
      <w:r w:rsidR="00F80A15" w:rsidRPr="00BF2045">
        <w:t xml:space="preserve">the </w:t>
      </w:r>
      <w:r w:rsidR="00BD1F6D" w:rsidRPr="001F1D9C">
        <w:t xml:space="preserve">Cambodia Criminal Justice Assistance Project </w:t>
      </w:r>
      <w:r w:rsidR="00100EFA" w:rsidRPr="001F1D9C">
        <w:t xml:space="preserve">(CCJAP Phase 3) </w:t>
      </w:r>
      <w:r w:rsidR="00234875" w:rsidRPr="00BF2045">
        <w:t>has included an access ramp and accessible public toilets in standard prison designs, community police posts, judicial police buildings and combination court facilities. In 2012 two Australia Award recipients with disability</w:t>
      </w:r>
      <w:r>
        <w:t xml:space="preserve"> were selected. They </w:t>
      </w:r>
      <w:r w:rsidR="00234875" w:rsidRPr="00BF2045">
        <w:t>are both undertaking pre-departure English language training in Cambodia in 2013 and will begin their study in Australia in January 2014.</w:t>
      </w:r>
    </w:p>
    <w:p w:rsidR="00180B19" w:rsidRPr="009F7876" w:rsidRDefault="00180B19" w:rsidP="00BF2045">
      <w:pPr>
        <w:pStyle w:val="Heading1"/>
      </w:pPr>
      <w:r w:rsidRPr="009F7876">
        <w:t xml:space="preserve">Management </w:t>
      </w:r>
      <w:r w:rsidR="00F80A15">
        <w:t>c</w:t>
      </w:r>
      <w:r w:rsidR="00F80A15" w:rsidRPr="009F7876">
        <w:t>onsequences</w:t>
      </w:r>
    </w:p>
    <w:p w:rsidR="00E11853" w:rsidRPr="00BF2045" w:rsidRDefault="008840C0" w:rsidP="00BF2045">
      <w:pPr>
        <w:pStyle w:val="BodyText"/>
      </w:pPr>
      <w:r w:rsidRPr="00BF2045">
        <w:t>Program management actions identified in the 2011</w:t>
      </w:r>
      <w:r w:rsidR="00351BFC" w:rsidRPr="00BF2045">
        <w:t xml:space="preserve"> </w:t>
      </w:r>
      <w:r w:rsidR="00F80A15" w:rsidRPr="00BF2045">
        <w:t xml:space="preserve">annual program performance report </w:t>
      </w:r>
      <w:r w:rsidRPr="00BF2045">
        <w:t>related to Post</w:t>
      </w:r>
      <w:r w:rsidR="008435EC" w:rsidRPr="00BF2045">
        <w:t>’s</w:t>
      </w:r>
      <w:r w:rsidRPr="00BF2045">
        <w:t xml:space="preserve"> general management, increased strategic development</w:t>
      </w:r>
      <w:r w:rsidR="008435EC" w:rsidRPr="00BF2045">
        <w:t xml:space="preserve"> </w:t>
      </w:r>
      <w:r w:rsidRPr="00BF2045">
        <w:t>including development of delivery strategies</w:t>
      </w:r>
      <w:r w:rsidR="00F80A15" w:rsidRPr="00BF2045">
        <w:t>,</w:t>
      </w:r>
      <w:r w:rsidRPr="00BF2045">
        <w:t xml:space="preserve"> and greater forward budget certainty</w:t>
      </w:r>
      <w:r w:rsidR="008435EC" w:rsidRPr="00BF2045">
        <w:t xml:space="preserve"> in health</w:t>
      </w:r>
      <w:r w:rsidR="00AF1CB0" w:rsidRPr="00BF2045">
        <w:t>,</w:t>
      </w:r>
      <w:r w:rsidR="008435EC" w:rsidRPr="00BF2045">
        <w:t xml:space="preserve"> and agriculture and rural development</w:t>
      </w:r>
      <w:r w:rsidRPr="00BF2045">
        <w:t xml:space="preserve">. Policy </w:t>
      </w:r>
      <w:r w:rsidR="00E11853" w:rsidRPr="00BF2045">
        <w:t>dialogues</w:t>
      </w:r>
      <w:r w:rsidRPr="00BF2045">
        <w:t xml:space="preserve"> focused </w:t>
      </w:r>
      <w:r w:rsidR="00351BFC" w:rsidRPr="00BF2045">
        <w:t>at the</w:t>
      </w:r>
      <w:r w:rsidRPr="00BF2045">
        <w:t xml:space="preserve"> macro level </w:t>
      </w:r>
      <w:r w:rsidR="00E11853" w:rsidRPr="00BF2045">
        <w:t xml:space="preserve">in </w:t>
      </w:r>
      <w:r w:rsidRPr="00BF2045">
        <w:t xml:space="preserve">health, </w:t>
      </w:r>
      <w:r w:rsidR="00E11853" w:rsidRPr="00BF2045">
        <w:t xml:space="preserve">infrastructure, and agriculture </w:t>
      </w:r>
      <w:r w:rsidRPr="00BF2045">
        <w:t>program</w:t>
      </w:r>
      <w:r w:rsidR="00E11853" w:rsidRPr="00BF2045">
        <w:t>s</w:t>
      </w:r>
      <w:r w:rsidRPr="00BF2045">
        <w:t>,</w:t>
      </w:r>
      <w:r w:rsidR="00F80A15" w:rsidRPr="00BF2045">
        <w:t xml:space="preserve"> and on</w:t>
      </w:r>
      <w:r w:rsidRPr="00BF2045">
        <w:t xml:space="preserve"> increasing policy effectiveness on the </w:t>
      </w:r>
      <w:r w:rsidR="00E11853" w:rsidRPr="00BF2045">
        <w:t xml:space="preserve">health, agriculture, law and justice </w:t>
      </w:r>
      <w:r w:rsidRPr="00BF2045">
        <w:t>program</w:t>
      </w:r>
      <w:r w:rsidR="00E11853" w:rsidRPr="00BF2045">
        <w:t>s</w:t>
      </w:r>
      <w:r w:rsidRPr="00BF2045">
        <w:t xml:space="preserve"> </w:t>
      </w:r>
      <w:r w:rsidR="00F80A15" w:rsidRPr="00BF2045">
        <w:t xml:space="preserve">as well as </w:t>
      </w:r>
      <w:r w:rsidRPr="00BF2045">
        <w:t xml:space="preserve">effective implementation of </w:t>
      </w:r>
      <w:r w:rsidR="00E11853" w:rsidRPr="00BF2045">
        <w:t xml:space="preserve">infrastructure </w:t>
      </w:r>
      <w:r w:rsidRPr="00BF2045">
        <w:t xml:space="preserve">projects (including Cambodian resettlement policies). </w:t>
      </w:r>
      <w:r w:rsidR="00C244EC" w:rsidRPr="00BF2045">
        <w:t>Progress against these actions ha</w:t>
      </w:r>
      <w:r w:rsidR="004674B0" w:rsidRPr="00BF2045">
        <w:t>s</w:t>
      </w:r>
      <w:r w:rsidR="00C244EC" w:rsidRPr="00BF2045">
        <w:t xml:space="preserve"> largely been positive </w:t>
      </w:r>
      <w:r w:rsidR="00E11853" w:rsidRPr="00BF2045">
        <w:t>as shown in Annex A.</w:t>
      </w:r>
    </w:p>
    <w:p w:rsidR="0082225D" w:rsidRPr="00BF2045" w:rsidRDefault="008F18E3" w:rsidP="00BF2045">
      <w:pPr>
        <w:pStyle w:val="BodyText"/>
      </w:pPr>
      <w:r w:rsidRPr="00BF2045">
        <w:t>Below are the management consequences</w:t>
      </w:r>
      <w:r w:rsidR="008B20BF" w:rsidRPr="00BF2045">
        <w:t xml:space="preserve"> identified for 2013</w:t>
      </w:r>
      <w:r w:rsidR="00F80A15" w:rsidRPr="00BF2045">
        <w:t>–</w:t>
      </w:r>
      <w:r w:rsidR="008B20BF" w:rsidRPr="00BF2045">
        <w:t>14.</w:t>
      </w:r>
      <w:r w:rsidR="000864F3" w:rsidRPr="00BF2045">
        <w:t xml:space="preserve"> These include policy dialogue with government and multilateral part</w:t>
      </w:r>
      <w:r w:rsidR="00E239C3" w:rsidRPr="00BF2045">
        <w:t>n</w:t>
      </w:r>
      <w:r w:rsidR="000864F3" w:rsidRPr="00BF2045">
        <w:t xml:space="preserve">ers </w:t>
      </w:r>
      <w:r w:rsidR="00E239C3" w:rsidRPr="00BF2045">
        <w:t>in agriculture and infrastructure</w:t>
      </w:r>
      <w:r w:rsidR="000864F3" w:rsidRPr="00BF2045">
        <w:t xml:space="preserve">, </w:t>
      </w:r>
      <w:r w:rsidR="00E239C3" w:rsidRPr="00BF2045">
        <w:t>development of sector delivery strategies in health and agriculture and rural development, and improvement of quality and performance of the program.</w:t>
      </w:r>
    </w:p>
    <w:p w:rsidR="00346119" w:rsidRPr="00BF2045" w:rsidRDefault="00E11853" w:rsidP="00BF2045">
      <w:pPr>
        <w:pStyle w:val="BodyText"/>
      </w:pPr>
      <w:r w:rsidRPr="00BF2045">
        <w:lastRenderedPageBreak/>
        <w:t>Strategic priorities during 2013</w:t>
      </w:r>
      <w:r w:rsidR="00F80A15" w:rsidRPr="00BF2045">
        <w:t>–</w:t>
      </w:r>
      <w:r w:rsidRPr="00BF2045">
        <w:t>14 are:</w:t>
      </w:r>
    </w:p>
    <w:p w:rsidR="006F5A97" w:rsidRPr="007A0139" w:rsidRDefault="006F5A97" w:rsidP="00BF2045">
      <w:pPr>
        <w:pStyle w:val="Heading3"/>
      </w:pPr>
      <w:r w:rsidRPr="007A0139">
        <w:t xml:space="preserve">Overarching </w:t>
      </w:r>
    </w:p>
    <w:p w:rsidR="006F5A97" w:rsidRPr="00710C05" w:rsidRDefault="006F5A97" w:rsidP="00BF2045">
      <w:pPr>
        <w:pStyle w:val="ListBullet"/>
      </w:pPr>
      <w:r w:rsidRPr="007A0139">
        <w:t xml:space="preserve">Given the </w:t>
      </w:r>
      <w:r w:rsidR="0030606E">
        <w:t>rapid pace of change</w:t>
      </w:r>
      <w:r w:rsidRPr="007A0139">
        <w:t xml:space="preserve"> in </w:t>
      </w:r>
      <w:r w:rsidR="00181239" w:rsidRPr="007A0139">
        <w:t xml:space="preserve">Cambodia </w:t>
      </w:r>
      <w:r w:rsidR="00BA6B2A">
        <w:t>the department</w:t>
      </w:r>
      <w:r w:rsidRPr="007A0139">
        <w:t xml:space="preserve"> will continue to closely monitor the development context and engage closely with key stakeholders over the coming year as we set our future strategic direction</w:t>
      </w:r>
      <w:r w:rsidR="004D2AF0">
        <w:t xml:space="preserve">. </w:t>
      </w:r>
      <w:r w:rsidRPr="00D305A3">
        <w:t>This will involve early work on country and sector specific strategies that have a strong fo</w:t>
      </w:r>
      <w:r w:rsidRPr="00710C05">
        <w:t>cus on flexibility and adaption to changing circumstances</w:t>
      </w:r>
      <w:r w:rsidR="00F80A15" w:rsidRPr="00710C05">
        <w:t>.</w:t>
      </w:r>
    </w:p>
    <w:p w:rsidR="006F5A97" w:rsidRPr="007A0139" w:rsidRDefault="006F5A97" w:rsidP="00BF2045">
      <w:pPr>
        <w:pStyle w:val="ListBullet"/>
      </w:pPr>
      <w:r w:rsidRPr="007A0139">
        <w:t xml:space="preserve">To ensure adequate staff resourcing, </w:t>
      </w:r>
      <w:r w:rsidR="008961E7">
        <w:t>DFAT</w:t>
      </w:r>
      <w:r w:rsidR="0030606E">
        <w:t xml:space="preserve"> will </w:t>
      </w:r>
      <w:r w:rsidR="0058185F">
        <w:t xml:space="preserve">recruit </w:t>
      </w:r>
      <w:r w:rsidRPr="007A0139">
        <w:t>appropriate</w:t>
      </w:r>
      <w:r w:rsidR="0058185F">
        <w:t xml:space="preserve">ly skilled </w:t>
      </w:r>
      <w:r w:rsidR="004D2AF0">
        <w:t xml:space="preserve">people </w:t>
      </w:r>
      <w:r w:rsidRPr="007A0139">
        <w:t xml:space="preserve">and </w:t>
      </w:r>
      <w:r w:rsidR="0058185F">
        <w:t xml:space="preserve">provide </w:t>
      </w:r>
      <w:r w:rsidRPr="007A0139">
        <w:t>ongoing staff development to enable Post to manage an expanding program that operates within an uncertain and rapidly changing environment.</w:t>
      </w:r>
    </w:p>
    <w:p w:rsidR="006F5A97" w:rsidRPr="007A0139" w:rsidRDefault="00AF1CB0" w:rsidP="00BF2045">
      <w:pPr>
        <w:pStyle w:val="ListBullet"/>
      </w:pPr>
      <w:r>
        <w:t>A</w:t>
      </w:r>
      <w:r w:rsidRPr="007A0139">
        <w:t xml:space="preserve"> </w:t>
      </w:r>
      <w:r w:rsidR="006F5A97" w:rsidRPr="007A0139">
        <w:t xml:space="preserve">range of due diligence assessments </w:t>
      </w:r>
      <w:r>
        <w:t>will be u</w:t>
      </w:r>
      <w:r w:rsidRPr="007A0139">
        <w:t>ndertake</w:t>
      </w:r>
      <w:r>
        <w:t>n</w:t>
      </w:r>
      <w:r w:rsidRPr="007A0139">
        <w:t xml:space="preserve"> </w:t>
      </w:r>
      <w:r w:rsidR="006F5A97" w:rsidRPr="007A0139">
        <w:t xml:space="preserve">to ensure compliance with </w:t>
      </w:r>
      <w:r w:rsidR="008961E7">
        <w:t>the</w:t>
      </w:r>
      <w:r w:rsidR="006F5A97" w:rsidRPr="007A0139">
        <w:t xml:space="preserve"> new due diligence framework </w:t>
      </w:r>
      <w:r w:rsidR="008961E7">
        <w:t xml:space="preserve">for the aid program </w:t>
      </w:r>
      <w:r w:rsidR="004D2AF0">
        <w:t xml:space="preserve">and </w:t>
      </w:r>
      <w:r w:rsidR="006F5A97" w:rsidRPr="007A0139">
        <w:t>to improve implementation of high risk programs.</w:t>
      </w:r>
    </w:p>
    <w:p w:rsidR="006F5A97" w:rsidRPr="007A0139" w:rsidRDefault="00AF1CB0" w:rsidP="00BF2045">
      <w:pPr>
        <w:pStyle w:val="ListBullet"/>
      </w:pPr>
      <w:r>
        <w:t xml:space="preserve">Opportunities will be explored </w:t>
      </w:r>
      <w:r w:rsidR="006F5A97" w:rsidRPr="007A0139">
        <w:t xml:space="preserve">to make greater use of outputs-based mechanisms with strong economic business case for the design and delivery of Australian investments. </w:t>
      </w:r>
    </w:p>
    <w:p w:rsidR="006F5A97" w:rsidRPr="007A0139" w:rsidRDefault="00AF1CB0" w:rsidP="00BF2045">
      <w:pPr>
        <w:pStyle w:val="ListBullet"/>
      </w:pPr>
      <w:r>
        <w:t>P</w:t>
      </w:r>
      <w:r w:rsidRPr="007A0139">
        <w:t xml:space="preserve">olicy </w:t>
      </w:r>
      <w:r w:rsidR="006F5A97" w:rsidRPr="007A0139">
        <w:t>options</w:t>
      </w:r>
      <w:r>
        <w:t xml:space="preserve"> will be developed</w:t>
      </w:r>
      <w:r w:rsidR="006F5A97" w:rsidRPr="007A0139">
        <w:t xml:space="preserve"> to address the increasingly complex and politically sensitive issue of salary supplementation to </w:t>
      </w:r>
      <w:r w:rsidR="004D2AF0">
        <w:t>g</w:t>
      </w:r>
      <w:r w:rsidR="004D2AF0" w:rsidRPr="007A0139">
        <w:t xml:space="preserve">overnment </w:t>
      </w:r>
      <w:r w:rsidR="006F5A97" w:rsidRPr="007A0139">
        <w:t xml:space="preserve">counterparts seconded to work on </w:t>
      </w:r>
      <w:r w:rsidR="008961E7">
        <w:t>Australian-</w:t>
      </w:r>
      <w:r w:rsidR="006F5A97" w:rsidRPr="007A0139">
        <w:t xml:space="preserve">funded projects. </w:t>
      </w:r>
    </w:p>
    <w:p w:rsidR="006F5A97" w:rsidRPr="007A0139" w:rsidRDefault="006F5A97" w:rsidP="00BF2045">
      <w:pPr>
        <w:pStyle w:val="Heading3"/>
      </w:pPr>
      <w:r w:rsidRPr="007A0139">
        <w:t xml:space="preserve">Sector </w:t>
      </w:r>
      <w:r w:rsidR="004D2AF0">
        <w:t>s</w:t>
      </w:r>
      <w:r w:rsidR="004D2AF0" w:rsidRPr="007A0139">
        <w:t xml:space="preserve">pecific </w:t>
      </w:r>
    </w:p>
    <w:p w:rsidR="006F5A97" w:rsidRPr="007A0139" w:rsidRDefault="006F5A97" w:rsidP="00BF2045">
      <w:pPr>
        <w:pStyle w:val="ListBullet"/>
      </w:pPr>
      <w:r w:rsidRPr="007A0139">
        <w:t xml:space="preserve">Health: </w:t>
      </w:r>
    </w:p>
    <w:p w:rsidR="006F5A97" w:rsidRPr="007A0139" w:rsidRDefault="004D2AF0" w:rsidP="00BF2045">
      <w:pPr>
        <w:pStyle w:val="ListBullet2"/>
      </w:pPr>
      <w:r>
        <w:t xml:space="preserve">produce </w:t>
      </w:r>
      <w:r w:rsidR="006F5A97" w:rsidRPr="007A0139">
        <w:t>a new delivery strategy for the health sector in 2013</w:t>
      </w:r>
      <w:r>
        <w:t>–</w:t>
      </w:r>
      <w:r w:rsidR="006F5A97" w:rsidRPr="007A0139">
        <w:t>14</w:t>
      </w:r>
    </w:p>
    <w:p w:rsidR="006F5A97" w:rsidRPr="007A0139" w:rsidRDefault="006F5A97" w:rsidP="00BF2045">
      <w:pPr>
        <w:pStyle w:val="ListBullet2"/>
      </w:pPr>
      <w:proofErr w:type="gramStart"/>
      <w:r w:rsidRPr="007A0139">
        <w:t>recommence</w:t>
      </w:r>
      <w:proofErr w:type="gramEnd"/>
      <w:r w:rsidRPr="007A0139">
        <w:t xml:space="preserve"> and enhance policy dialogue with </w:t>
      </w:r>
      <w:r w:rsidR="004D2AF0">
        <w:t>the Cambodian Government</w:t>
      </w:r>
      <w:r w:rsidR="004D2AF0" w:rsidRPr="007A0139">
        <w:t xml:space="preserve"> </w:t>
      </w:r>
      <w:r w:rsidRPr="007A0139">
        <w:t>over key reforms in the health sector</w:t>
      </w:r>
      <w:r w:rsidR="004D2AF0">
        <w:t>. This includes</w:t>
      </w:r>
      <w:r w:rsidRPr="007A0139">
        <w:t xml:space="preserve"> budget transparency and counterpart funding to </w:t>
      </w:r>
      <w:r w:rsidR="004D2AF0" w:rsidRPr="007A0139">
        <w:t>health equity funds and contraceptive com</w:t>
      </w:r>
      <w:r w:rsidRPr="007A0139">
        <w:t>modities</w:t>
      </w:r>
    </w:p>
    <w:p w:rsidR="006F5A97" w:rsidRPr="007A0139" w:rsidRDefault="004D2AF0" w:rsidP="00BF2045">
      <w:pPr>
        <w:pStyle w:val="ListBullet2"/>
      </w:pPr>
      <w:r>
        <w:t>n</w:t>
      </w:r>
      <w:r w:rsidRPr="007A0139">
        <w:t xml:space="preserve">egotiate </w:t>
      </w:r>
      <w:r w:rsidR="006F5A97" w:rsidRPr="007A0139">
        <w:t xml:space="preserve">the extension of the second Health Sector </w:t>
      </w:r>
      <w:r w:rsidR="00786754">
        <w:t>Support</w:t>
      </w:r>
      <w:r w:rsidR="00786754" w:rsidRPr="007A0139">
        <w:t xml:space="preserve"> </w:t>
      </w:r>
      <w:r w:rsidR="006F5A97" w:rsidRPr="007A0139">
        <w:t xml:space="preserve">Program </w:t>
      </w:r>
    </w:p>
    <w:p w:rsidR="006F5A97" w:rsidRPr="007A0139" w:rsidRDefault="004D2AF0" w:rsidP="00BF2045">
      <w:pPr>
        <w:pStyle w:val="ListBullet2"/>
      </w:pPr>
      <w:r>
        <w:t>start designing</w:t>
      </w:r>
      <w:r w:rsidRPr="007A0139">
        <w:t xml:space="preserve"> </w:t>
      </w:r>
      <w:r>
        <w:t>a</w:t>
      </w:r>
      <w:r w:rsidR="006F5A97" w:rsidRPr="007A0139">
        <w:t xml:space="preserve"> successor program to </w:t>
      </w:r>
      <w:r w:rsidRPr="007A0139">
        <w:t xml:space="preserve">the second Health Sector </w:t>
      </w:r>
      <w:r w:rsidR="00786754">
        <w:t>Support</w:t>
      </w:r>
      <w:r w:rsidR="00786754" w:rsidRPr="007A0139">
        <w:t xml:space="preserve"> </w:t>
      </w:r>
      <w:r w:rsidRPr="007A0139">
        <w:t>Program</w:t>
      </w:r>
    </w:p>
    <w:p w:rsidR="006F5A97" w:rsidRPr="007A0139" w:rsidRDefault="00181239" w:rsidP="00BF2045">
      <w:pPr>
        <w:pStyle w:val="ListBullet2"/>
      </w:pPr>
      <w:proofErr w:type="gramStart"/>
      <w:r>
        <w:t>begin</w:t>
      </w:r>
      <w:proofErr w:type="gramEnd"/>
      <w:r w:rsidR="004D2AF0" w:rsidRPr="007A0139">
        <w:t xml:space="preserve"> </w:t>
      </w:r>
      <w:r w:rsidR="006F5A97" w:rsidRPr="007A0139">
        <w:t>implement</w:t>
      </w:r>
      <w:r w:rsidR="004D2AF0">
        <w:t xml:space="preserve">ing </w:t>
      </w:r>
      <w:r w:rsidR="006F5A97" w:rsidRPr="007A0139">
        <w:t>the</w:t>
      </w:r>
      <w:r w:rsidR="007B72D6">
        <w:t xml:space="preserve"> Partnering to Save Lives program</w:t>
      </w:r>
      <w:r w:rsidR="004D2AF0">
        <w:t>.</w:t>
      </w:r>
    </w:p>
    <w:p w:rsidR="006F5A97" w:rsidRPr="007A0139" w:rsidRDefault="006F5A97" w:rsidP="00BF2045">
      <w:pPr>
        <w:pStyle w:val="ListBullet"/>
      </w:pPr>
      <w:r w:rsidRPr="007A0139">
        <w:t xml:space="preserve">Infrastructure: </w:t>
      </w:r>
    </w:p>
    <w:p w:rsidR="006F5A97" w:rsidRPr="007A0139" w:rsidRDefault="00033AAC" w:rsidP="00BF2045">
      <w:pPr>
        <w:pStyle w:val="ListBullet2"/>
      </w:pPr>
      <w:r>
        <w:t xml:space="preserve">develop </w:t>
      </w:r>
      <w:r w:rsidR="006F5A97" w:rsidRPr="007A0139">
        <w:t xml:space="preserve">delivery strategy for infrastructure, noting the move towards alignment with other </w:t>
      </w:r>
      <w:r w:rsidR="008B20BF">
        <w:t>k</w:t>
      </w:r>
      <w:r w:rsidR="006F5A97" w:rsidRPr="007A0139">
        <w:t>ey sectors of the country strategy</w:t>
      </w:r>
      <w:r>
        <w:t>,</w:t>
      </w:r>
      <w:r w:rsidR="006F5A97" w:rsidRPr="007A0139">
        <w:t xml:space="preserve"> particular</w:t>
      </w:r>
      <w:r>
        <w:t>ly</w:t>
      </w:r>
      <w:r w:rsidR="006F5A97" w:rsidRPr="007A0139">
        <w:t xml:space="preserve"> agricultural productivity and rural development</w:t>
      </w:r>
    </w:p>
    <w:p w:rsidR="006F5A97" w:rsidRPr="007A0139" w:rsidRDefault="006F5A97" w:rsidP="00BF2045">
      <w:pPr>
        <w:pStyle w:val="ListBullet2"/>
      </w:pPr>
      <w:r w:rsidRPr="007A0139">
        <w:t>select interim infrastructure investments on the basis of their alignment with the emerging strategy, as outlined above</w:t>
      </w:r>
    </w:p>
    <w:p w:rsidR="006F5A97" w:rsidRPr="007A0139" w:rsidRDefault="00033AAC" w:rsidP="00BF2045">
      <w:pPr>
        <w:pStyle w:val="ListBullet2"/>
      </w:pPr>
      <w:r>
        <w:t>c</w:t>
      </w:r>
      <w:r w:rsidRPr="007A0139">
        <w:t xml:space="preserve">ontinue </w:t>
      </w:r>
      <w:r w:rsidR="006F5A97" w:rsidRPr="007A0139">
        <w:t xml:space="preserve">to move towards </w:t>
      </w:r>
      <w:r>
        <w:t xml:space="preserve">an </w:t>
      </w:r>
      <w:r w:rsidR="006F5A97" w:rsidRPr="007A0139">
        <w:t xml:space="preserve">end date of December 2013 for engagement in civil works component of the Cambodia Railway Rehabilitation </w:t>
      </w:r>
      <w:r w:rsidR="00AF1CB0" w:rsidRPr="007A0139">
        <w:t>Pro</w:t>
      </w:r>
      <w:r w:rsidR="00AF1CB0">
        <w:t>ject</w:t>
      </w:r>
    </w:p>
    <w:p w:rsidR="006F5A97" w:rsidRPr="007A0139" w:rsidRDefault="00033AAC" w:rsidP="00BF2045">
      <w:pPr>
        <w:pStyle w:val="ListBullet2"/>
      </w:pPr>
      <w:r>
        <w:t>c</w:t>
      </w:r>
      <w:r w:rsidRPr="007A0139">
        <w:t xml:space="preserve">losely </w:t>
      </w:r>
      <w:r w:rsidR="006F5A97" w:rsidRPr="007A0139">
        <w:t>monitor the implementation of relocations</w:t>
      </w:r>
      <w:r>
        <w:t>––</w:t>
      </w:r>
      <w:r w:rsidR="006F5A97" w:rsidRPr="007A0139">
        <w:t xml:space="preserve">including the final 100 households </w:t>
      </w:r>
      <w:r>
        <w:t xml:space="preserve">which are </w:t>
      </w:r>
      <w:r w:rsidR="006F5A97" w:rsidRPr="007A0139">
        <w:t xml:space="preserve">due to relocate in </w:t>
      </w:r>
      <w:r w:rsidRPr="007A0139">
        <w:t>2013</w:t>
      </w:r>
      <w:r>
        <w:t>––</w:t>
      </w:r>
      <w:r w:rsidR="006F5A97" w:rsidRPr="007A0139">
        <w:t>and continue seek</w:t>
      </w:r>
      <w:r>
        <w:t>ing</w:t>
      </w:r>
      <w:r w:rsidR="006F5A97" w:rsidRPr="007A0139">
        <w:t xml:space="preserve"> improve</w:t>
      </w:r>
      <w:r>
        <w:t>d</w:t>
      </w:r>
      <w:r w:rsidR="006F5A97" w:rsidRPr="007A0139">
        <w:t xml:space="preserve"> conditions at resettlement sites</w:t>
      </w:r>
    </w:p>
    <w:p w:rsidR="006F5A97" w:rsidRPr="007A0139" w:rsidRDefault="00033AAC" w:rsidP="00BF2045">
      <w:pPr>
        <w:pStyle w:val="ListBullet2"/>
      </w:pPr>
      <w:proofErr w:type="gramStart"/>
      <w:r>
        <w:t>e</w:t>
      </w:r>
      <w:r w:rsidR="00B775AB">
        <w:t>nsure</w:t>
      </w:r>
      <w:proofErr w:type="gramEnd"/>
      <w:r w:rsidRPr="007A0139">
        <w:t xml:space="preserve"> </w:t>
      </w:r>
      <w:r w:rsidR="006F5A97" w:rsidRPr="007A0139">
        <w:t>rural electrification project commences implementation</w:t>
      </w:r>
      <w:r>
        <w:t>.</w:t>
      </w:r>
    </w:p>
    <w:p w:rsidR="006F5A97" w:rsidRPr="007A0139" w:rsidRDefault="006F5A97" w:rsidP="00BF2045">
      <w:pPr>
        <w:pStyle w:val="ListBullet"/>
        <w:rPr>
          <w:color w:val="1F497D"/>
        </w:rPr>
      </w:pPr>
      <w:r w:rsidRPr="007A0139">
        <w:t xml:space="preserve">Agricultural and </w:t>
      </w:r>
      <w:r w:rsidR="00033AAC">
        <w:t>r</w:t>
      </w:r>
      <w:r w:rsidR="00033AAC" w:rsidRPr="007A0139">
        <w:t xml:space="preserve">ural </w:t>
      </w:r>
      <w:r w:rsidR="00033AAC">
        <w:t>d</w:t>
      </w:r>
      <w:r w:rsidR="00033AAC" w:rsidRPr="007A0139">
        <w:t>evelopment</w:t>
      </w:r>
      <w:r w:rsidRPr="007A0139">
        <w:t xml:space="preserve">: </w:t>
      </w:r>
    </w:p>
    <w:p w:rsidR="006F5A97" w:rsidRPr="007A0139" w:rsidRDefault="00033AAC" w:rsidP="00BF2045">
      <w:pPr>
        <w:pStyle w:val="ListBullet2"/>
      </w:pPr>
      <w:r>
        <w:t xml:space="preserve">prepare </w:t>
      </w:r>
      <w:r w:rsidR="006F5A97" w:rsidRPr="007A0139">
        <w:t>a rural development delivery strategy by the end of 2013</w:t>
      </w:r>
    </w:p>
    <w:p w:rsidR="006F5A97" w:rsidRPr="007A0139" w:rsidRDefault="00033AAC" w:rsidP="00BF2045">
      <w:pPr>
        <w:pStyle w:val="ListBullet2"/>
      </w:pPr>
      <w:r>
        <w:lastRenderedPageBreak/>
        <w:t>l</w:t>
      </w:r>
      <w:r w:rsidRPr="007A0139">
        <w:t xml:space="preserve">iaise </w:t>
      </w:r>
      <w:r w:rsidR="006F5A97" w:rsidRPr="007A0139">
        <w:t xml:space="preserve">frequently with the World Bank and government representatives to help progress implementation of the </w:t>
      </w:r>
      <w:r>
        <w:t>c</w:t>
      </w:r>
      <w:r w:rsidRPr="007A0139">
        <w:t xml:space="preserve">ash </w:t>
      </w:r>
      <w:r>
        <w:t>t</w:t>
      </w:r>
      <w:r w:rsidRPr="007A0139">
        <w:t xml:space="preserve">ransfer </w:t>
      </w:r>
      <w:r w:rsidR="006F5A97" w:rsidRPr="007A0139">
        <w:t>pilot through the Smallholder Agriculture and Social Protection Trust Fund</w:t>
      </w:r>
    </w:p>
    <w:p w:rsidR="006F5A97" w:rsidRPr="007A0139" w:rsidRDefault="00033AAC" w:rsidP="00BF2045">
      <w:pPr>
        <w:pStyle w:val="ListBullet2"/>
      </w:pPr>
      <w:r>
        <w:t>w</w:t>
      </w:r>
      <w:r w:rsidRPr="007A0139">
        <w:t xml:space="preserve">ork </w:t>
      </w:r>
      <w:r w:rsidR="006F5A97" w:rsidRPr="007A0139">
        <w:t>with and encourage the Cambodian Mine Action and Victim Assistance Authority and U</w:t>
      </w:r>
      <w:r>
        <w:t xml:space="preserve">nited </w:t>
      </w:r>
      <w:r w:rsidR="006F5A97" w:rsidRPr="007A0139">
        <w:t>N</w:t>
      </w:r>
      <w:r>
        <w:t xml:space="preserve">ations </w:t>
      </w:r>
      <w:r w:rsidR="006F5A97" w:rsidRPr="007A0139">
        <w:t>D</w:t>
      </w:r>
      <w:r>
        <w:t xml:space="preserve">evelopment </w:t>
      </w:r>
      <w:r w:rsidR="006F5A97" w:rsidRPr="007A0139">
        <w:t>P</w:t>
      </w:r>
      <w:r>
        <w:t>rogramme</w:t>
      </w:r>
      <w:r w:rsidR="006F5A97" w:rsidRPr="007A0139">
        <w:t xml:space="preserve"> to implement key recommendations of the </w:t>
      </w:r>
      <w:r w:rsidRPr="007A0139">
        <w:t xml:space="preserve">mid-term review </w:t>
      </w:r>
      <w:r w:rsidR="006F5A97" w:rsidRPr="007A0139">
        <w:t xml:space="preserve">and </w:t>
      </w:r>
      <w:r>
        <w:t>b</w:t>
      </w:r>
      <w:r w:rsidRPr="007A0139">
        <w:t xml:space="preserve">idding </w:t>
      </w:r>
      <w:r>
        <w:t>r</w:t>
      </w:r>
      <w:r w:rsidRPr="007A0139">
        <w:t xml:space="preserve">eview </w:t>
      </w:r>
      <w:r w:rsidR="006F5A97" w:rsidRPr="007A0139">
        <w:t>of the Clearing for Results (Phase II) program</w:t>
      </w:r>
    </w:p>
    <w:p w:rsidR="006F5A97" w:rsidRPr="007A0139" w:rsidRDefault="00033AAC" w:rsidP="00BF2045">
      <w:pPr>
        <w:pStyle w:val="ListBullet2"/>
      </w:pPr>
      <w:proofErr w:type="gramStart"/>
      <w:r>
        <w:t>f</w:t>
      </w:r>
      <w:r w:rsidRPr="007A0139">
        <w:t>inalise</w:t>
      </w:r>
      <w:proofErr w:type="gramEnd"/>
      <w:r w:rsidRPr="007A0139">
        <w:t xml:space="preserve"> </w:t>
      </w:r>
      <w:r w:rsidR="006F5A97" w:rsidRPr="007A0139">
        <w:t>Development for All design and commence implementation.</w:t>
      </w:r>
    </w:p>
    <w:p w:rsidR="006F5A97" w:rsidRPr="007A0139" w:rsidRDefault="00955106" w:rsidP="00BF2045">
      <w:pPr>
        <w:pStyle w:val="ListBullet"/>
      </w:pPr>
      <w:r>
        <w:t>Law</w:t>
      </w:r>
      <w:r w:rsidRPr="007A0139">
        <w:t xml:space="preserve"> </w:t>
      </w:r>
      <w:r w:rsidR="006F5A97" w:rsidRPr="007A0139">
        <w:t xml:space="preserve">and </w:t>
      </w:r>
      <w:r w:rsidR="00033AAC">
        <w:t>j</w:t>
      </w:r>
      <w:r w:rsidR="00033AAC" w:rsidRPr="007A0139">
        <w:t>ustice</w:t>
      </w:r>
      <w:r w:rsidR="0058185F">
        <w:t>:</w:t>
      </w:r>
    </w:p>
    <w:p w:rsidR="006F5A97" w:rsidRPr="007A0139" w:rsidRDefault="00033AAC" w:rsidP="00BF2045">
      <w:pPr>
        <w:pStyle w:val="ListBullet2"/>
      </w:pPr>
      <w:proofErr w:type="gramStart"/>
      <w:r>
        <w:t>e</w:t>
      </w:r>
      <w:r w:rsidRPr="007A0139">
        <w:t>nsure</w:t>
      </w:r>
      <w:proofErr w:type="gramEnd"/>
      <w:r w:rsidRPr="007A0139">
        <w:t xml:space="preserve"> </w:t>
      </w:r>
      <w:r w:rsidR="006F5A97" w:rsidRPr="007A0139">
        <w:t xml:space="preserve">effective transition to, and implementation of, </w:t>
      </w:r>
      <w:r>
        <w:t xml:space="preserve">the </w:t>
      </w:r>
      <w:r w:rsidR="00BD1F6D" w:rsidRPr="00100EFA">
        <w:rPr>
          <w:iCs/>
          <w:lang w:val="en-US"/>
        </w:rPr>
        <w:t>Cambodia Community Justice Assistance Partnership</w:t>
      </w:r>
      <w:r w:rsidR="00BD1F6D" w:rsidRPr="00100EFA" w:rsidDel="00BD1F6D">
        <w:rPr>
          <w:iCs/>
          <w:lang w:val="en-US"/>
        </w:rPr>
        <w:t xml:space="preserve"> </w:t>
      </w:r>
      <w:r w:rsidR="00BD1F6D" w:rsidRPr="00100EFA">
        <w:rPr>
          <w:iCs/>
          <w:lang w:val="en-US"/>
        </w:rPr>
        <w:t>(CCJAP Phase</w:t>
      </w:r>
      <w:r w:rsidR="00BD1F6D">
        <w:rPr>
          <w:iCs/>
          <w:lang w:val="en-US"/>
        </w:rPr>
        <w:t xml:space="preserve"> 4)</w:t>
      </w:r>
      <w:r>
        <w:t>. This includes</w:t>
      </w:r>
      <w:r w:rsidRPr="007A0139">
        <w:t xml:space="preserve"> </w:t>
      </w:r>
      <w:r w:rsidR="006F5A97" w:rsidRPr="007A0139">
        <w:t>closely monitoring the change in focus to ensure that a well-established program is able to effectively transition to its new strategic focus</w:t>
      </w:r>
    </w:p>
    <w:p w:rsidR="006F5A97" w:rsidRPr="007A0139" w:rsidRDefault="00033AAC" w:rsidP="00BF2045">
      <w:pPr>
        <w:pStyle w:val="ListBullet2"/>
      </w:pPr>
      <w:r>
        <w:t>e</w:t>
      </w:r>
      <w:r w:rsidRPr="007A0139">
        <w:t xml:space="preserve">stablish </w:t>
      </w:r>
      <w:r w:rsidR="006F5A97" w:rsidRPr="007A0139">
        <w:t xml:space="preserve">an alternative sentencing pilot in two provinces </w:t>
      </w:r>
      <w:r>
        <w:t>with</w:t>
      </w:r>
      <w:r w:rsidRPr="007A0139">
        <w:t xml:space="preserve"> </w:t>
      </w:r>
      <w:r w:rsidRPr="00100EFA">
        <w:rPr>
          <w:iCs/>
          <w:lang w:val="en-US"/>
        </w:rPr>
        <w:t>Cambodia</w:t>
      </w:r>
      <w:r w:rsidRPr="00100EFA">
        <w:rPr>
          <w:lang w:val="en-US"/>
        </w:rPr>
        <w:t xml:space="preserve"> </w:t>
      </w:r>
      <w:r w:rsidR="00BD1F6D" w:rsidRPr="00100EFA">
        <w:rPr>
          <w:lang w:val="en-US"/>
        </w:rPr>
        <w:t>Community</w:t>
      </w:r>
      <w:r w:rsidRPr="00100EFA">
        <w:rPr>
          <w:lang w:val="en-US"/>
        </w:rPr>
        <w:t xml:space="preserve"> Justice Assistance Project</w:t>
      </w:r>
      <w:r w:rsidRPr="00033AAC">
        <w:rPr>
          <w:lang w:val="en-US"/>
        </w:rPr>
        <w:t xml:space="preserve"> </w:t>
      </w:r>
      <w:r w:rsidR="00100EFA">
        <w:rPr>
          <w:lang w:val="en-US"/>
        </w:rPr>
        <w:t>(</w:t>
      </w:r>
      <w:r w:rsidR="00100EFA">
        <w:t xml:space="preserve">CCJAP Phase 3) </w:t>
      </w:r>
      <w:r w:rsidR="006F5A97" w:rsidRPr="007A0139">
        <w:t>support</w:t>
      </w:r>
    </w:p>
    <w:p w:rsidR="006F5A97" w:rsidRDefault="008B20BF" w:rsidP="00BF2045">
      <w:pPr>
        <w:pStyle w:val="ListBullet2"/>
      </w:pPr>
      <w:proofErr w:type="gramStart"/>
      <w:r>
        <w:t>continue</w:t>
      </w:r>
      <w:proofErr w:type="gramEnd"/>
      <w:r>
        <w:t xml:space="preserve"> p</w:t>
      </w:r>
      <w:r w:rsidR="006F5A97" w:rsidRPr="007A0139">
        <w:t>olicy dialogue with the Ministry of the Interior and Ministry of Justice to support technical assistance for alternative sentencing</w:t>
      </w:r>
      <w:r w:rsidR="00033AAC">
        <w:t>,</w:t>
      </w:r>
      <w:r w:rsidR="006F5A97" w:rsidRPr="007A0139">
        <w:t xml:space="preserve"> </w:t>
      </w:r>
      <w:r w:rsidR="00033AAC">
        <w:t>as well as</w:t>
      </w:r>
      <w:r w:rsidR="00033AAC" w:rsidRPr="007A0139">
        <w:t xml:space="preserve"> </w:t>
      </w:r>
      <w:r w:rsidR="006F5A97" w:rsidRPr="007A0139">
        <w:t xml:space="preserve">small scale infrastructure </w:t>
      </w:r>
      <w:r w:rsidR="00033AAC">
        <w:t>to</w:t>
      </w:r>
      <w:r w:rsidR="006F5A97" w:rsidRPr="007A0139">
        <w:t xml:space="preserve"> alleviat</w:t>
      </w:r>
      <w:r w:rsidR="00033AAC">
        <w:t xml:space="preserve">e </w:t>
      </w:r>
      <w:r w:rsidR="006F5A97" w:rsidRPr="007A0139">
        <w:t>prison overcrowding.</w:t>
      </w:r>
      <w:r w:rsidR="001F2B23">
        <w:t xml:space="preserve"> </w:t>
      </w:r>
      <w:r w:rsidR="00033AAC" w:rsidRPr="00A348F8">
        <w:t>Start</w:t>
      </w:r>
      <w:r w:rsidR="006F5A97" w:rsidRPr="00A348F8">
        <w:t xml:space="preserve"> implement</w:t>
      </w:r>
      <w:r w:rsidR="00033AAC" w:rsidRPr="00A348F8">
        <w:t xml:space="preserve">ing </w:t>
      </w:r>
      <w:r w:rsidR="006F5A97" w:rsidRPr="00A348F8">
        <w:t xml:space="preserve">the </w:t>
      </w:r>
      <w:r w:rsidR="00033AAC" w:rsidRPr="00A348F8">
        <w:t xml:space="preserve">Ending Violence </w:t>
      </w:r>
      <w:proofErr w:type="gramStart"/>
      <w:r w:rsidR="00033AAC" w:rsidRPr="00A348F8">
        <w:t>Against</w:t>
      </w:r>
      <w:proofErr w:type="gramEnd"/>
      <w:r w:rsidR="00033AAC" w:rsidRPr="00A348F8">
        <w:t xml:space="preserve"> Women</w:t>
      </w:r>
      <w:r w:rsidR="00033AAC" w:rsidRPr="00A348F8" w:rsidDel="00033AAC">
        <w:t xml:space="preserve"> </w:t>
      </w:r>
      <w:r w:rsidR="006F5A97" w:rsidRPr="00A348F8">
        <w:t>program</w:t>
      </w:r>
      <w:r w:rsidR="00033AAC" w:rsidRPr="00A348F8">
        <w:t>,</w:t>
      </w:r>
      <w:r w:rsidR="006F5A97" w:rsidRPr="00A348F8">
        <w:t xml:space="preserve"> including establish</w:t>
      </w:r>
      <w:r w:rsidR="00033AAC" w:rsidRPr="00A348F8">
        <w:t xml:space="preserve">ing </w:t>
      </w:r>
      <w:r w:rsidR="00AF1CB0" w:rsidRPr="00A348F8">
        <w:t>a</w:t>
      </w:r>
      <w:r w:rsidR="006F5A97" w:rsidRPr="00A348F8">
        <w:t xml:space="preserve"> </w:t>
      </w:r>
      <w:r w:rsidR="00033AAC" w:rsidRPr="00A348F8">
        <w:t>joint steering committee</w:t>
      </w:r>
      <w:r w:rsidR="006F5A97" w:rsidRPr="00A348F8">
        <w:t xml:space="preserve">, a </w:t>
      </w:r>
      <w:r w:rsidR="00033AAC" w:rsidRPr="00A348F8">
        <w:t xml:space="preserve">memorandum of understanding </w:t>
      </w:r>
      <w:r w:rsidR="006F5A97" w:rsidRPr="00A348F8">
        <w:t>with the Ministry of Women’s Affairs</w:t>
      </w:r>
      <w:r w:rsidR="00033AAC" w:rsidRPr="00A348F8">
        <w:t>,</w:t>
      </w:r>
      <w:r w:rsidR="006F5A97" w:rsidRPr="00A348F8">
        <w:t xml:space="preserve"> and agreements with the four implementing partners.</w:t>
      </w:r>
    </w:p>
    <w:p w:rsidR="00BF2045" w:rsidRPr="00A348F8" w:rsidRDefault="00BF2045" w:rsidP="00BF2045">
      <w:pPr>
        <w:pStyle w:val="ListBullet2"/>
        <w:numPr>
          <w:ilvl w:val="0"/>
          <w:numId w:val="0"/>
        </w:numPr>
        <w:ind w:left="284"/>
      </w:pPr>
    </w:p>
    <w:p w:rsidR="00BE65E4" w:rsidRPr="00BF2045" w:rsidRDefault="00BE65E4" w:rsidP="00BF2045">
      <w:pPr>
        <w:pStyle w:val="Caption"/>
      </w:pPr>
      <w:r w:rsidRPr="00BF2045">
        <w:t xml:space="preserve">Table </w:t>
      </w:r>
      <w:fldSimple w:instr=" SEQ Table \* ARABIC ">
        <w:r w:rsidR="00B84A7F">
          <w:rPr>
            <w:noProof/>
          </w:rPr>
          <w:t>3</w:t>
        </w:r>
      </w:fldSimple>
      <w:r w:rsidR="004D2AF0" w:rsidRPr="00BF2045">
        <w:t>:</w:t>
      </w:r>
      <w:r w:rsidRPr="00BF2045">
        <w:t xml:space="preserve"> Risks associated with the program and management actions</w:t>
      </w:r>
    </w:p>
    <w:tbl>
      <w:tblPr>
        <w:tblStyle w:val="APPR"/>
        <w:tblW w:w="4986" w:type="pct"/>
        <w:tblLook w:val="0600" w:firstRow="0" w:lastRow="0" w:firstColumn="0" w:lastColumn="0" w:noHBand="1" w:noVBand="1"/>
      </w:tblPr>
      <w:tblGrid>
        <w:gridCol w:w="4596"/>
        <w:gridCol w:w="3987"/>
      </w:tblGrid>
      <w:tr w:rsidR="00180B19" w:rsidRPr="00745FE3" w:rsidTr="00BF2045">
        <w:trPr>
          <w:cantSplit/>
        </w:trPr>
        <w:tc>
          <w:tcPr>
            <w:tcW w:w="4524" w:type="dxa"/>
            <w:hideMark/>
          </w:tcPr>
          <w:p w:rsidR="00180B19" w:rsidRPr="00BF2045" w:rsidRDefault="00180B19" w:rsidP="00BF2045">
            <w:pPr>
              <w:pStyle w:val="TableTextColumnHeading"/>
            </w:pPr>
            <w:r w:rsidRPr="00BF2045">
              <w:t>Most significant risks</w:t>
            </w:r>
          </w:p>
        </w:tc>
        <w:tc>
          <w:tcPr>
            <w:tcW w:w="3919" w:type="dxa"/>
          </w:tcPr>
          <w:p w:rsidR="00180B19" w:rsidRPr="00BF2045" w:rsidRDefault="00180B19" w:rsidP="00BF2045">
            <w:pPr>
              <w:pStyle w:val="TableTextColumnHeading"/>
            </w:pPr>
            <w:r w:rsidRPr="00BF2045">
              <w:t xml:space="preserve">Management </w:t>
            </w:r>
            <w:r w:rsidR="006A5CCA" w:rsidRPr="00BF2045">
              <w:t xml:space="preserve">response – </w:t>
            </w:r>
            <w:r w:rsidRPr="00BF2045">
              <w:t xml:space="preserve">What? Who? How? When? </w:t>
            </w:r>
          </w:p>
        </w:tc>
      </w:tr>
      <w:tr w:rsidR="001448D0" w:rsidRPr="00745FE3" w:rsidTr="00BF2045">
        <w:trPr>
          <w:cantSplit/>
          <w:tblHeader w:val="0"/>
        </w:trPr>
        <w:tc>
          <w:tcPr>
            <w:tcW w:w="4524" w:type="dxa"/>
          </w:tcPr>
          <w:p w:rsidR="001448D0" w:rsidRPr="00BF2045" w:rsidRDefault="001448D0" w:rsidP="00BF2045">
            <w:pPr>
              <w:pStyle w:val="TableTextEntries"/>
            </w:pPr>
            <w:r w:rsidRPr="00BF2045">
              <w:t xml:space="preserve">Agriculture and </w:t>
            </w:r>
            <w:r w:rsidR="00983136" w:rsidRPr="00BF2045">
              <w:t>rural development––</w:t>
            </w:r>
            <w:r w:rsidR="006A5CCA" w:rsidRPr="00BF2045">
              <w:t xml:space="preserve">difficulties with </w:t>
            </w:r>
            <w:r w:rsidRPr="00BF2045">
              <w:t xml:space="preserve">relationship between the </w:t>
            </w:r>
            <w:r w:rsidR="006A5CCA" w:rsidRPr="00BF2045">
              <w:t xml:space="preserve">Cambodia Agricultural Value Chain Program </w:t>
            </w:r>
            <w:r w:rsidRPr="00BF2045">
              <w:t>and key government counterparts prevents or delays program implementation.</w:t>
            </w:r>
          </w:p>
          <w:p w:rsidR="001448D0" w:rsidRPr="00BF2045" w:rsidRDefault="001448D0" w:rsidP="00BF2045">
            <w:pPr>
              <w:pStyle w:val="TableTextEntries"/>
            </w:pPr>
          </w:p>
        </w:tc>
        <w:tc>
          <w:tcPr>
            <w:tcW w:w="3919" w:type="dxa"/>
          </w:tcPr>
          <w:p w:rsidR="00A75A79" w:rsidRPr="00BF2045" w:rsidRDefault="008961E7" w:rsidP="008961E7">
            <w:pPr>
              <w:pStyle w:val="TableTextEntries"/>
            </w:pPr>
            <w:r>
              <w:t>Australia</w:t>
            </w:r>
            <w:r w:rsidR="001448D0" w:rsidRPr="00BF2045">
              <w:t xml:space="preserve"> and the </w:t>
            </w:r>
            <w:r w:rsidR="006A5CCA" w:rsidRPr="00BF2045">
              <w:t xml:space="preserve">Cambodia Agricultural Value Chain Program </w:t>
            </w:r>
            <w:r w:rsidR="001448D0" w:rsidRPr="00BF2045">
              <w:t xml:space="preserve">to organise quarterly meetings with government counterparts to resolve issues related to irrigation activities. </w:t>
            </w:r>
            <w:r>
              <w:t xml:space="preserve">The department </w:t>
            </w:r>
            <w:r w:rsidR="001448D0" w:rsidRPr="00BF2045">
              <w:t xml:space="preserve">and </w:t>
            </w:r>
            <w:r w:rsidR="006A5CCA" w:rsidRPr="00BF2045">
              <w:t xml:space="preserve">the program </w:t>
            </w:r>
            <w:r w:rsidR="001448D0" w:rsidRPr="00BF2045">
              <w:t>to increase communication with key national and provincial level officials.</w:t>
            </w:r>
          </w:p>
        </w:tc>
      </w:tr>
      <w:tr w:rsidR="001448D0" w:rsidRPr="00745FE3" w:rsidTr="00BF2045">
        <w:trPr>
          <w:cantSplit/>
          <w:tblHeader w:val="0"/>
        </w:trPr>
        <w:tc>
          <w:tcPr>
            <w:tcW w:w="4524" w:type="dxa"/>
            <w:hideMark/>
          </w:tcPr>
          <w:p w:rsidR="00A75A79" w:rsidRPr="00BF2045" w:rsidRDefault="001448D0" w:rsidP="00BF2045">
            <w:pPr>
              <w:pStyle w:val="TableTextEntries"/>
            </w:pPr>
            <w:r w:rsidRPr="00BF2045">
              <w:t xml:space="preserve">Our investment in the </w:t>
            </w:r>
            <w:r w:rsidR="006A5CCA" w:rsidRPr="00BF2045">
              <w:t xml:space="preserve">health sector </w:t>
            </w:r>
            <w:r w:rsidRPr="00BF2045">
              <w:t xml:space="preserve">will be characterised by our increased prominence as </w:t>
            </w:r>
            <w:r w:rsidR="002D140A" w:rsidRPr="00BF2045">
              <w:t xml:space="preserve">other </w:t>
            </w:r>
            <w:r w:rsidRPr="00BF2045">
              <w:t xml:space="preserve">development partners leave the sector. The risks associated with </w:t>
            </w:r>
            <w:r w:rsidR="002D140A" w:rsidRPr="00BF2045">
              <w:t xml:space="preserve">an </w:t>
            </w:r>
            <w:r w:rsidRPr="00BF2045">
              <w:t>increased profile</w:t>
            </w:r>
            <w:r w:rsidR="002D140A" w:rsidRPr="00BF2045">
              <w:t xml:space="preserve"> include</w:t>
            </w:r>
            <w:r w:rsidRPr="00BF2045">
              <w:t xml:space="preserve"> </w:t>
            </w:r>
            <w:r w:rsidR="00983136" w:rsidRPr="00BF2045">
              <w:t xml:space="preserve">that </w:t>
            </w:r>
            <w:r w:rsidRPr="00BF2045">
              <w:t>(</w:t>
            </w:r>
            <w:proofErr w:type="spellStart"/>
            <w:r w:rsidRPr="00BF2045">
              <w:t>i</w:t>
            </w:r>
            <w:proofErr w:type="spellEnd"/>
            <w:r w:rsidRPr="00BF2045">
              <w:t xml:space="preserve">) </w:t>
            </w:r>
            <w:r w:rsidR="008961E7">
              <w:t>Australian</w:t>
            </w:r>
            <w:r w:rsidRPr="00BF2045">
              <w:t xml:space="preserve"> funds will not replace those that will be lost from the departing development partners</w:t>
            </w:r>
            <w:r w:rsidR="002D140A" w:rsidRPr="00BF2045">
              <w:t xml:space="preserve"> and that the health gains will be </w:t>
            </w:r>
            <w:r w:rsidR="00023625" w:rsidRPr="00BF2045">
              <w:t>at risk</w:t>
            </w:r>
            <w:r w:rsidR="002D140A" w:rsidRPr="00BF2045">
              <w:t xml:space="preserve"> due to funding constraints</w:t>
            </w:r>
            <w:r w:rsidRPr="00BF2045">
              <w:t xml:space="preserve"> (ii) </w:t>
            </w:r>
            <w:r w:rsidR="008961E7">
              <w:t>Australia</w:t>
            </w:r>
            <w:r w:rsidRPr="00BF2045">
              <w:t xml:space="preserve"> will need to </w:t>
            </w:r>
            <w:r w:rsidR="002D140A" w:rsidRPr="00BF2045">
              <w:t xml:space="preserve">engage more directly with </w:t>
            </w:r>
            <w:r w:rsidR="006A5CCA" w:rsidRPr="00BF2045">
              <w:t xml:space="preserve">the Cambodian Government </w:t>
            </w:r>
            <w:r w:rsidR="00023625" w:rsidRPr="00BF2045">
              <w:t>around sensitive</w:t>
            </w:r>
            <w:r w:rsidR="002D140A" w:rsidRPr="00BF2045">
              <w:t xml:space="preserve"> reform areas</w:t>
            </w:r>
            <w:r w:rsidR="00A75A79" w:rsidRPr="00BF2045">
              <w:t xml:space="preserve"> and (iii) this may translate into constrained programming options for future support to the health sector.</w:t>
            </w:r>
          </w:p>
          <w:p w:rsidR="001448D0" w:rsidRPr="00BF2045" w:rsidRDefault="001448D0" w:rsidP="00BF2045">
            <w:pPr>
              <w:pStyle w:val="TableTextEntries"/>
            </w:pPr>
          </w:p>
        </w:tc>
        <w:tc>
          <w:tcPr>
            <w:tcW w:w="3919" w:type="dxa"/>
          </w:tcPr>
          <w:p w:rsidR="00A75A79" w:rsidRPr="00BF2045" w:rsidRDefault="00A75A79" w:rsidP="00BF2045">
            <w:pPr>
              <w:pStyle w:val="TableTextEntries"/>
            </w:pPr>
            <w:r w:rsidRPr="00BF2045">
              <w:t xml:space="preserve">We will continue to advocate for other donor engagement in the sector. </w:t>
            </w:r>
          </w:p>
          <w:p w:rsidR="00A75A79" w:rsidRPr="00BF2045" w:rsidRDefault="001448D0" w:rsidP="00BF2045">
            <w:pPr>
              <w:pStyle w:val="TableTextEntries"/>
            </w:pPr>
            <w:r w:rsidRPr="00BF2045">
              <w:t>W</w:t>
            </w:r>
            <w:r w:rsidR="00A75A79" w:rsidRPr="00BF2045">
              <w:t xml:space="preserve">e will use the increased prominence sensitively in discussions with </w:t>
            </w:r>
            <w:r w:rsidR="006A5CCA" w:rsidRPr="00BF2045">
              <w:t xml:space="preserve">the Cambodian Government </w:t>
            </w:r>
            <w:r w:rsidR="00A75A79" w:rsidRPr="00BF2045">
              <w:t xml:space="preserve">around policy reform efforts and use our grant financing to push the World Bank </w:t>
            </w:r>
            <w:r w:rsidR="006A5CCA" w:rsidRPr="00BF2045">
              <w:t xml:space="preserve">to </w:t>
            </w:r>
            <w:r w:rsidR="00A75A79" w:rsidRPr="00BF2045">
              <w:t>improv</w:t>
            </w:r>
            <w:r w:rsidR="006A5CCA" w:rsidRPr="00BF2045">
              <w:t xml:space="preserve">e </w:t>
            </w:r>
            <w:r w:rsidR="00A75A79" w:rsidRPr="00BF2045">
              <w:t>implementation of the program.</w:t>
            </w:r>
            <w:r w:rsidR="00CD6B2F" w:rsidRPr="00BF2045">
              <w:t xml:space="preserve"> </w:t>
            </w:r>
          </w:p>
          <w:p w:rsidR="001448D0" w:rsidRPr="00BF2045" w:rsidRDefault="001448D0" w:rsidP="00BF2045">
            <w:pPr>
              <w:pStyle w:val="TableTextEntries"/>
            </w:pPr>
          </w:p>
        </w:tc>
      </w:tr>
      <w:tr w:rsidR="001448D0" w:rsidRPr="00745FE3" w:rsidTr="00BF2045">
        <w:trPr>
          <w:cantSplit/>
          <w:tblHeader w:val="0"/>
        </w:trPr>
        <w:tc>
          <w:tcPr>
            <w:tcW w:w="4524" w:type="dxa"/>
          </w:tcPr>
          <w:p w:rsidR="00023625" w:rsidRPr="00BF2045" w:rsidRDefault="00B56DC6" w:rsidP="00BF2045">
            <w:pPr>
              <w:pStyle w:val="TableTextEntries"/>
            </w:pPr>
            <w:r w:rsidRPr="00BF2045">
              <w:t xml:space="preserve">Ongoing challenges related to resettlement in the </w:t>
            </w:r>
            <w:r w:rsidR="00021F54" w:rsidRPr="00BF2045">
              <w:t xml:space="preserve">Cambodia </w:t>
            </w:r>
            <w:r w:rsidRPr="00BF2045">
              <w:t>Railway Rehabilitation Project</w:t>
            </w:r>
            <w:r w:rsidR="001448D0" w:rsidRPr="00BF2045">
              <w:t xml:space="preserve">. </w:t>
            </w:r>
            <w:r w:rsidR="00023625" w:rsidRPr="00BF2045">
              <w:t>Despite significant additional resources</w:t>
            </w:r>
            <w:r w:rsidR="00C7032D" w:rsidRPr="00BF2045">
              <w:t>,</w:t>
            </w:r>
            <w:r w:rsidR="00023625" w:rsidRPr="00BF2045">
              <w:t xml:space="preserve"> </w:t>
            </w:r>
            <w:r w:rsidR="001448D0" w:rsidRPr="00BF2045">
              <w:t xml:space="preserve">risks </w:t>
            </w:r>
            <w:r w:rsidR="00023625" w:rsidRPr="00BF2045">
              <w:t xml:space="preserve">remain </w:t>
            </w:r>
            <w:r w:rsidR="001448D0" w:rsidRPr="00BF2045">
              <w:t xml:space="preserve">medium to high </w:t>
            </w:r>
            <w:r w:rsidR="00023625" w:rsidRPr="00BF2045">
              <w:t xml:space="preserve">due to the inherent unpredictability of the resettlement process and </w:t>
            </w:r>
            <w:r w:rsidR="001448D0" w:rsidRPr="00BF2045">
              <w:t>efforts to raise living standards cannot be guaranteed due to the large number of externalities.</w:t>
            </w:r>
            <w:r w:rsidR="00CD6B2F" w:rsidRPr="00BF2045">
              <w:t xml:space="preserve"> </w:t>
            </w:r>
          </w:p>
          <w:p w:rsidR="001448D0" w:rsidRPr="00BF2045" w:rsidRDefault="001448D0" w:rsidP="00BF2045">
            <w:pPr>
              <w:pStyle w:val="TableTextEntries"/>
            </w:pPr>
          </w:p>
          <w:p w:rsidR="00023625" w:rsidRPr="00BF2045" w:rsidRDefault="00023625" w:rsidP="00BF2045">
            <w:pPr>
              <w:pStyle w:val="TableTextEntries"/>
            </w:pPr>
          </w:p>
        </w:tc>
        <w:tc>
          <w:tcPr>
            <w:tcW w:w="3919" w:type="dxa"/>
          </w:tcPr>
          <w:p w:rsidR="001448D0" w:rsidRPr="00BF2045" w:rsidRDefault="001448D0" w:rsidP="00BF2045">
            <w:pPr>
              <w:pStyle w:val="TableTextEntries"/>
            </w:pPr>
            <w:r w:rsidRPr="00BF2045">
              <w:t xml:space="preserve">Resettlement </w:t>
            </w:r>
            <w:r w:rsidR="001F2B23">
              <w:t>advise</w:t>
            </w:r>
            <w:r w:rsidR="006A5CCA" w:rsidRPr="00BF2045">
              <w:t>r</w:t>
            </w:r>
            <w:r w:rsidRPr="00BF2045">
              <w:t xml:space="preserve"> and infrastructure team to meet regularly with stakeholders (including </w:t>
            </w:r>
            <w:r w:rsidR="006A5CCA" w:rsidRPr="00BF2045">
              <w:t>non-government organisations</w:t>
            </w:r>
            <w:r w:rsidRPr="00BF2045">
              <w:t>) to explore solutions to the range of complex issues.</w:t>
            </w:r>
            <w:r w:rsidR="00CD6B2F" w:rsidRPr="00BF2045">
              <w:t xml:space="preserve"> </w:t>
            </w:r>
            <w:r w:rsidRPr="00BF2045">
              <w:t>Additional funding is being programmed on a range of small activities that are likely to improve</w:t>
            </w:r>
            <w:r w:rsidR="006A5CCA" w:rsidRPr="00BF2045">
              <w:t xml:space="preserve"> </w:t>
            </w:r>
            <w:r w:rsidRPr="00BF2045">
              <w:t>living conditions at the resettlement sites.</w:t>
            </w:r>
          </w:p>
          <w:p w:rsidR="00023625" w:rsidRPr="00BF2045" w:rsidRDefault="001448D0" w:rsidP="00BF2045">
            <w:pPr>
              <w:pStyle w:val="TableTextEntries"/>
            </w:pPr>
            <w:r w:rsidRPr="00BF2045">
              <w:t>Post will continue close engagement on works and resettlement issues and will seek opportunities to press for action at high levels whenever possible.</w:t>
            </w:r>
          </w:p>
        </w:tc>
      </w:tr>
      <w:tr w:rsidR="001448D0" w:rsidRPr="00745FE3" w:rsidTr="00BF2045">
        <w:trPr>
          <w:cantSplit/>
          <w:tblHeader w:val="0"/>
        </w:trPr>
        <w:tc>
          <w:tcPr>
            <w:tcW w:w="4524" w:type="dxa"/>
          </w:tcPr>
          <w:p w:rsidR="001448D0" w:rsidRPr="00BF2045" w:rsidRDefault="001448D0" w:rsidP="00BF2045">
            <w:pPr>
              <w:pStyle w:val="TableTextEntries"/>
            </w:pPr>
            <w:r w:rsidRPr="00BF2045">
              <w:lastRenderedPageBreak/>
              <w:t xml:space="preserve">Law </w:t>
            </w:r>
            <w:r w:rsidR="006A5CCA" w:rsidRPr="00BF2045">
              <w:t>and j</w:t>
            </w:r>
            <w:r w:rsidRPr="00BF2045">
              <w:t>ustice</w:t>
            </w:r>
            <w:r w:rsidR="006A5CCA" w:rsidRPr="00BF2045">
              <w:t>––</w:t>
            </w:r>
            <w:r w:rsidRPr="00BF2045">
              <w:t>change in level of commitment and collaboration associated with change in focus of the program and gradual phase out of the sector</w:t>
            </w:r>
            <w:r w:rsidR="006A5CCA" w:rsidRPr="00BF2045">
              <w:t>.</w:t>
            </w:r>
          </w:p>
        </w:tc>
        <w:tc>
          <w:tcPr>
            <w:tcW w:w="3919" w:type="dxa"/>
          </w:tcPr>
          <w:p w:rsidR="00023625" w:rsidRPr="00BF2045" w:rsidRDefault="008961E7" w:rsidP="008961E7">
            <w:pPr>
              <w:pStyle w:val="TableTextEntries"/>
            </w:pPr>
            <w:r>
              <w:t>DFAT’s</w:t>
            </w:r>
            <w:r w:rsidR="001448D0" w:rsidRPr="00BF2045">
              <w:t xml:space="preserve"> representative will engage in partnership meetings </w:t>
            </w:r>
            <w:r w:rsidR="006A5CCA" w:rsidRPr="00BF2045">
              <w:t xml:space="preserve">with the national management board </w:t>
            </w:r>
            <w:r w:rsidR="001448D0" w:rsidRPr="00BF2045">
              <w:t>and in policy dialogue and liaison with key government counterparts.</w:t>
            </w:r>
          </w:p>
        </w:tc>
      </w:tr>
      <w:tr w:rsidR="001448D0" w:rsidRPr="00745FE3" w:rsidTr="00BF2045">
        <w:trPr>
          <w:cantSplit/>
          <w:tblHeader w:val="0"/>
        </w:trPr>
        <w:tc>
          <w:tcPr>
            <w:tcW w:w="4524" w:type="dxa"/>
          </w:tcPr>
          <w:p w:rsidR="001448D0" w:rsidRPr="00BF2045" w:rsidRDefault="001448D0" w:rsidP="00BF2045">
            <w:pPr>
              <w:pStyle w:val="TableTextEntries"/>
            </w:pPr>
            <w:r w:rsidRPr="00BF2045">
              <w:t xml:space="preserve">Disability – </w:t>
            </w:r>
            <w:r w:rsidR="006A5CCA" w:rsidRPr="00BF2045">
              <w:t xml:space="preserve">low </w:t>
            </w:r>
            <w:r w:rsidRPr="00BF2045">
              <w:t xml:space="preserve">levels of capacity with </w:t>
            </w:r>
            <w:r w:rsidR="00983136" w:rsidRPr="00BF2045">
              <w:t xml:space="preserve">key </w:t>
            </w:r>
            <w:r w:rsidRPr="00BF2045">
              <w:t>local organisations to implement policies and programs.</w:t>
            </w:r>
          </w:p>
          <w:p w:rsidR="001448D0" w:rsidRPr="00BF2045" w:rsidRDefault="001448D0" w:rsidP="00BF2045">
            <w:pPr>
              <w:pStyle w:val="TableTextEntries"/>
            </w:pPr>
          </w:p>
        </w:tc>
        <w:tc>
          <w:tcPr>
            <w:tcW w:w="3919" w:type="dxa"/>
          </w:tcPr>
          <w:p w:rsidR="001448D0" w:rsidRPr="00BF2045" w:rsidRDefault="008961E7" w:rsidP="008961E7">
            <w:pPr>
              <w:pStyle w:val="TableTextEntries"/>
            </w:pPr>
            <w:r>
              <w:t>DFAT</w:t>
            </w:r>
            <w:r w:rsidR="001448D0" w:rsidRPr="00BF2045">
              <w:t xml:space="preserve"> to </w:t>
            </w:r>
            <w:r w:rsidR="006A5CCA" w:rsidRPr="00BF2045">
              <w:t xml:space="preserve">regularly </w:t>
            </w:r>
            <w:r w:rsidR="001448D0" w:rsidRPr="00BF2045">
              <w:t>meet key partners</w:t>
            </w:r>
            <w:r w:rsidR="006A5CCA" w:rsidRPr="00BF2045">
              <w:t>,</w:t>
            </w:r>
            <w:r w:rsidR="001448D0" w:rsidRPr="00BF2045">
              <w:t xml:space="preserve"> assess progress against implementation plans and discuss options for re-prioritisation of activities or additional capacity development support.</w:t>
            </w:r>
          </w:p>
        </w:tc>
      </w:tr>
    </w:tbl>
    <w:p w:rsidR="00522AB9" w:rsidRPr="00745FE3" w:rsidRDefault="00522AB9" w:rsidP="002A1935">
      <w:pPr>
        <w:pStyle w:val="BodyText"/>
        <w:rPr>
          <w:szCs w:val="22"/>
        </w:rPr>
        <w:sectPr w:rsidR="00522AB9" w:rsidRPr="00745FE3" w:rsidSect="007B265A">
          <w:headerReference w:type="default" r:id="rId10"/>
          <w:footerReference w:type="default" r:id="rId11"/>
          <w:headerReference w:type="first" r:id="rId12"/>
          <w:footerReference w:type="first" r:id="rId13"/>
          <w:pgSz w:w="11907" w:h="16839" w:code="9"/>
          <w:pgMar w:top="2268" w:right="1701" w:bottom="907" w:left="1871" w:header="709" w:footer="454" w:gutter="0"/>
          <w:cols w:space="708"/>
          <w:titlePg/>
          <w:docGrid w:linePitch="360"/>
        </w:sectPr>
      </w:pPr>
    </w:p>
    <w:p w:rsidR="00FE4491" w:rsidRPr="00044520" w:rsidRDefault="00C65930" w:rsidP="00044520">
      <w:pPr>
        <w:pStyle w:val="Heading1"/>
      </w:pPr>
      <w:r w:rsidRPr="00044520">
        <w:lastRenderedPageBreak/>
        <w:t>Annex A</w:t>
      </w:r>
      <w:r w:rsidR="00FE4491" w:rsidRPr="00044520">
        <w:t xml:space="preserve"> </w:t>
      </w:r>
    </w:p>
    <w:p w:rsidR="00FE4491" w:rsidRPr="00044520" w:rsidRDefault="00FE4491" w:rsidP="00044520">
      <w:pPr>
        <w:pStyle w:val="Heading2"/>
      </w:pPr>
      <w:r w:rsidRPr="00044520">
        <w:t>Progress in addressing 2011 management consequences</w:t>
      </w:r>
    </w:p>
    <w:tbl>
      <w:tblPr>
        <w:tblStyle w:val="APPR"/>
        <w:tblW w:w="5000" w:type="pct"/>
        <w:tblLayout w:type="fixed"/>
        <w:tblLook w:val="0000" w:firstRow="0" w:lastRow="0" w:firstColumn="0" w:lastColumn="0" w:noHBand="0" w:noVBand="0"/>
      </w:tblPr>
      <w:tblGrid>
        <w:gridCol w:w="6153"/>
        <w:gridCol w:w="1105"/>
        <w:gridCol w:w="6678"/>
      </w:tblGrid>
      <w:tr w:rsidR="00FE4491" w:rsidRPr="00745FE3" w:rsidTr="00044520">
        <w:trPr>
          <w:cnfStyle w:val="000000010000" w:firstRow="0" w:lastRow="0" w:firstColumn="0" w:lastColumn="0" w:oddVBand="0" w:evenVBand="0" w:oddHBand="0" w:evenHBand="1" w:firstRowFirstColumn="0" w:firstRowLastColumn="0" w:lastRowFirstColumn="0" w:lastRowLastColumn="0"/>
          <w:cantSplit/>
        </w:trPr>
        <w:tc>
          <w:tcPr>
            <w:tcW w:w="5100" w:type="dxa"/>
          </w:tcPr>
          <w:p w:rsidR="00FE4491" w:rsidRPr="00745FE3" w:rsidRDefault="00FE4491" w:rsidP="00D647F6">
            <w:pPr>
              <w:pStyle w:val="TableTextColumnHeading"/>
            </w:pPr>
            <w:r w:rsidRPr="00745FE3">
              <w:t xml:space="preserve">Management consequences identified in 2011 </w:t>
            </w:r>
            <w:r w:rsidR="00D647F6">
              <w:t>APPR</w:t>
            </w:r>
            <w:r w:rsidRPr="00745FE3">
              <w:tab/>
            </w:r>
          </w:p>
        </w:tc>
        <w:tc>
          <w:tcPr>
            <w:tcW w:w="899" w:type="dxa"/>
          </w:tcPr>
          <w:p w:rsidR="00FE4491" w:rsidRPr="00745FE3" w:rsidRDefault="00FE4491" w:rsidP="00044520">
            <w:pPr>
              <w:pStyle w:val="TableTextColumnHeading"/>
            </w:pPr>
            <w:r w:rsidRPr="00745FE3">
              <w:t>Rating</w:t>
            </w:r>
          </w:p>
        </w:tc>
        <w:tc>
          <w:tcPr>
            <w:tcW w:w="5538" w:type="dxa"/>
          </w:tcPr>
          <w:p w:rsidR="00FE4491" w:rsidRPr="00745FE3" w:rsidRDefault="00FE4491" w:rsidP="00044520">
            <w:pPr>
              <w:pStyle w:val="TableTextColumnHeading"/>
            </w:pPr>
            <w:r w:rsidRPr="00745FE3">
              <w:t>Progress made in 2012</w:t>
            </w:r>
            <w:r w:rsidR="006A5CCA">
              <w:t>–</w:t>
            </w:r>
            <w:r w:rsidRPr="00745FE3">
              <w:t>13</w:t>
            </w:r>
          </w:p>
        </w:tc>
      </w:tr>
      <w:tr w:rsidR="00E62B6A" w:rsidRPr="00745FE3" w:rsidTr="00044520">
        <w:trPr>
          <w:cantSplit/>
          <w:tblHeader w:val="0"/>
        </w:trPr>
        <w:tc>
          <w:tcPr>
            <w:tcW w:w="11593" w:type="dxa"/>
            <w:gridSpan w:val="3"/>
          </w:tcPr>
          <w:p w:rsidR="00E62B6A" w:rsidRPr="00044520" w:rsidRDefault="00E62B6A" w:rsidP="00044520">
            <w:pPr>
              <w:pStyle w:val="TableHeading1"/>
              <w:rPr>
                <w:b/>
              </w:rPr>
            </w:pPr>
            <w:r w:rsidRPr="00044520">
              <w:rPr>
                <w:b/>
              </w:rPr>
              <w:t xml:space="preserve">Overall </w:t>
            </w:r>
            <w:r w:rsidR="006A5CCA" w:rsidRPr="00044520">
              <w:rPr>
                <w:b/>
              </w:rPr>
              <w:t>program</w:t>
            </w:r>
          </w:p>
        </w:tc>
      </w:tr>
      <w:tr w:rsidR="00850454" w:rsidRPr="00745FE3" w:rsidTr="00044520">
        <w:trPr>
          <w:cnfStyle w:val="000000010000" w:firstRow="0" w:lastRow="0" w:firstColumn="0" w:lastColumn="0" w:oddVBand="0" w:evenVBand="0" w:oddHBand="0" w:evenHBand="1" w:firstRowFirstColumn="0" w:firstRowLastColumn="0" w:lastRowFirstColumn="0" w:lastRowLastColumn="0"/>
          <w:cantSplit/>
          <w:tblHeader w:val="0"/>
        </w:trPr>
        <w:tc>
          <w:tcPr>
            <w:tcW w:w="5100" w:type="dxa"/>
          </w:tcPr>
          <w:p w:rsidR="00850454" w:rsidRPr="00745FE3" w:rsidRDefault="006A5CCA" w:rsidP="00044520">
            <w:pPr>
              <w:pStyle w:val="TableTextEntries"/>
            </w:pPr>
            <w:r w:rsidRPr="00745FE3">
              <w:t>High</w:t>
            </w:r>
            <w:r>
              <w:t>-</w:t>
            </w:r>
            <w:r w:rsidR="00D27E09">
              <w:t>l</w:t>
            </w:r>
            <w:r w:rsidR="00850454" w:rsidRPr="00745FE3">
              <w:t xml:space="preserve">evel </w:t>
            </w:r>
            <w:r w:rsidR="00D27E09">
              <w:t>a</w:t>
            </w:r>
            <w:r w:rsidR="00850454" w:rsidRPr="00745FE3">
              <w:t xml:space="preserve">id </w:t>
            </w:r>
            <w:r w:rsidR="00D27E09">
              <w:t>c</w:t>
            </w:r>
            <w:r w:rsidR="00850454" w:rsidRPr="00745FE3">
              <w:t xml:space="preserve">onsultations </w:t>
            </w:r>
            <w:r w:rsidRPr="00745FE3">
              <w:t>will be undertaken with the Cambodian Government in 2012</w:t>
            </w:r>
            <w:r w:rsidRPr="00745FE3" w:rsidDel="006A5CCA">
              <w:t xml:space="preserve"> </w:t>
            </w:r>
            <w:r w:rsidR="00850454" w:rsidRPr="00745FE3">
              <w:t>to assess progress against the joint country strategy as well as key policy constraints and opportunities.</w:t>
            </w:r>
          </w:p>
        </w:tc>
        <w:tc>
          <w:tcPr>
            <w:tcW w:w="899" w:type="dxa"/>
            <w:shd w:val="clear" w:color="auto" w:fill="92D050"/>
          </w:tcPr>
          <w:p w:rsidR="00850454" w:rsidRPr="00044520" w:rsidRDefault="00E45654" w:rsidP="00044520">
            <w:pPr>
              <w:pStyle w:val="TableTextEntries"/>
            </w:pPr>
            <w:r w:rsidRPr="00044520">
              <w:t>Green</w:t>
            </w:r>
          </w:p>
        </w:tc>
        <w:tc>
          <w:tcPr>
            <w:tcW w:w="5538" w:type="dxa"/>
          </w:tcPr>
          <w:p w:rsidR="00850454" w:rsidRPr="00745FE3" w:rsidRDefault="006B055B" w:rsidP="00044520">
            <w:pPr>
              <w:pStyle w:val="TableTextEntries"/>
            </w:pPr>
            <w:r w:rsidRPr="00745FE3">
              <w:t>Fully achieved.</w:t>
            </w:r>
            <w:r w:rsidR="00BF682D" w:rsidRPr="00745FE3">
              <w:t xml:space="preserve"> </w:t>
            </w:r>
            <w:r w:rsidR="006A5CCA" w:rsidRPr="00745FE3">
              <w:t>High</w:t>
            </w:r>
            <w:r w:rsidR="006A5CCA">
              <w:t>-</w:t>
            </w:r>
            <w:r w:rsidR="00D27E09">
              <w:t>l</w:t>
            </w:r>
            <w:r w:rsidR="006A5CCA" w:rsidRPr="00745FE3">
              <w:t xml:space="preserve">evel </w:t>
            </w:r>
            <w:r w:rsidR="00D27E09">
              <w:t>a</w:t>
            </w:r>
            <w:r w:rsidR="006A5CCA" w:rsidRPr="00745FE3">
              <w:t xml:space="preserve">id </w:t>
            </w:r>
            <w:r w:rsidR="00D27E09">
              <w:t>c</w:t>
            </w:r>
            <w:r w:rsidR="006A5CCA" w:rsidRPr="00745FE3">
              <w:t xml:space="preserve">onsultations </w:t>
            </w:r>
            <w:r w:rsidR="00BF682D" w:rsidRPr="00745FE3">
              <w:t xml:space="preserve">occurred in </w:t>
            </w:r>
            <w:r w:rsidR="00351BFC" w:rsidRPr="00745FE3">
              <w:t xml:space="preserve">June </w:t>
            </w:r>
            <w:r w:rsidR="00BF682D" w:rsidRPr="00745FE3">
              <w:t>2012 in Canberra to discuss joint Australian and Cambodia</w:t>
            </w:r>
            <w:r w:rsidR="00D27E09">
              <w:t>n</w:t>
            </w:r>
            <w:r w:rsidR="00BF682D" w:rsidRPr="00745FE3">
              <w:t xml:space="preserve"> government priorities. </w:t>
            </w:r>
          </w:p>
        </w:tc>
      </w:tr>
      <w:tr w:rsidR="00E62B6A" w:rsidRPr="00745FE3" w:rsidTr="00044520">
        <w:trPr>
          <w:cantSplit/>
          <w:tblHeader w:val="0"/>
        </w:trPr>
        <w:tc>
          <w:tcPr>
            <w:tcW w:w="5100" w:type="dxa"/>
          </w:tcPr>
          <w:p w:rsidR="00E62B6A" w:rsidRPr="00745FE3" w:rsidRDefault="00E62B6A" w:rsidP="00697E76">
            <w:pPr>
              <w:pStyle w:val="TableTextEntries"/>
            </w:pPr>
            <w:r w:rsidRPr="00745FE3">
              <w:t>There will be a large turnover of staff in 20</w:t>
            </w:r>
            <w:r w:rsidR="003D412A" w:rsidRPr="00745FE3">
              <w:t>13</w:t>
            </w:r>
            <w:r w:rsidRPr="00745FE3">
              <w:t xml:space="preserve"> with </w:t>
            </w:r>
            <w:r w:rsidR="006A5CCA">
              <w:t>three</w:t>
            </w:r>
            <w:r w:rsidR="006A5CCA" w:rsidRPr="00745FE3">
              <w:t xml:space="preserve"> </w:t>
            </w:r>
            <w:r w:rsidRPr="00745FE3">
              <w:t xml:space="preserve">of the </w:t>
            </w:r>
            <w:r w:rsidR="006A5CCA">
              <w:t>four</w:t>
            </w:r>
            <w:r w:rsidR="006A5CCA" w:rsidRPr="00745FE3">
              <w:t xml:space="preserve"> </w:t>
            </w:r>
            <w:r w:rsidRPr="00745FE3">
              <w:t>A-</w:t>
            </w:r>
            <w:r w:rsidR="006A5CCA">
              <w:t>b</w:t>
            </w:r>
            <w:r w:rsidR="006A5CCA" w:rsidRPr="00745FE3">
              <w:t xml:space="preserve">ased </w:t>
            </w:r>
            <w:r w:rsidRPr="00745FE3">
              <w:t xml:space="preserve">staff changing and at least </w:t>
            </w:r>
            <w:r w:rsidR="006A5CCA">
              <w:t>three</w:t>
            </w:r>
            <w:r w:rsidR="006A5CCA" w:rsidRPr="00745FE3">
              <w:t xml:space="preserve"> </w:t>
            </w:r>
            <w:r w:rsidRPr="00745FE3">
              <w:t>new O-based staff commencing. Additional staff support is required to effectively deliver</w:t>
            </w:r>
            <w:r w:rsidR="00697E76">
              <w:t xml:space="preserve"> our commitments</w:t>
            </w:r>
            <w:r w:rsidRPr="00745FE3">
              <w:t>.</w:t>
            </w:r>
          </w:p>
        </w:tc>
        <w:tc>
          <w:tcPr>
            <w:tcW w:w="899" w:type="dxa"/>
            <w:tcBorders>
              <w:top w:val="nil"/>
              <w:bottom w:val="nil"/>
            </w:tcBorders>
            <w:shd w:val="clear" w:color="auto" w:fill="92D050"/>
          </w:tcPr>
          <w:p w:rsidR="00E62B6A" w:rsidRPr="00044520" w:rsidRDefault="00E45654" w:rsidP="00044520">
            <w:pPr>
              <w:pStyle w:val="TableTextEntries"/>
            </w:pPr>
            <w:r w:rsidRPr="00044520">
              <w:t>Green</w:t>
            </w:r>
          </w:p>
        </w:tc>
        <w:tc>
          <w:tcPr>
            <w:tcW w:w="5538" w:type="dxa"/>
          </w:tcPr>
          <w:p w:rsidR="00E62B6A" w:rsidRPr="00745FE3" w:rsidRDefault="00D671C9" w:rsidP="00044520">
            <w:pPr>
              <w:pStyle w:val="TableTextEntries"/>
              <w:rPr>
                <w:color w:val="FF0000"/>
              </w:rPr>
            </w:pPr>
            <w:r w:rsidRPr="00745FE3">
              <w:t>Fully achieved</w:t>
            </w:r>
            <w:r w:rsidR="00CA699E">
              <w:t xml:space="preserve"> with minimal disruption</w:t>
            </w:r>
            <w:r w:rsidRPr="00745FE3">
              <w:t xml:space="preserve">. </w:t>
            </w:r>
            <w:r w:rsidR="00BF682D" w:rsidRPr="00745FE3">
              <w:t>A-</w:t>
            </w:r>
            <w:r w:rsidR="003D412A" w:rsidRPr="00745FE3">
              <w:t xml:space="preserve">based staff turnover occurred </w:t>
            </w:r>
            <w:r w:rsidR="006A5CCA">
              <w:t>in the first quarter of</w:t>
            </w:r>
            <w:r w:rsidR="006A5CCA" w:rsidRPr="00745FE3">
              <w:t xml:space="preserve"> </w:t>
            </w:r>
            <w:r w:rsidR="003D412A" w:rsidRPr="00745FE3">
              <w:t>2013</w:t>
            </w:r>
            <w:r w:rsidR="003D412A" w:rsidRPr="00745FE3">
              <w:rPr>
                <w:color w:val="FF0000"/>
              </w:rPr>
              <w:t xml:space="preserve">. </w:t>
            </w:r>
          </w:p>
        </w:tc>
      </w:tr>
      <w:tr w:rsidR="00E62B6A" w:rsidRPr="00745FE3" w:rsidTr="00044520">
        <w:trPr>
          <w:cnfStyle w:val="000000010000" w:firstRow="0" w:lastRow="0" w:firstColumn="0" w:lastColumn="0" w:oddVBand="0" w:evenVBand="0" w:oddHBand="0" w:evenHBand="1" w:firstRowFirstColumn="0" w:firstRowLastColumn="0" w:lastRowFirstColumn="0" w:lastRowLastColumn="0"/>
          <w:cantSplit/>
          <w:tblHeader w:val="0"/>
        </w:trPr>
        <w:tc>
          <w:tcPr>
            <w:tcW w:w="5100" w:type="dxa"/>
          </w:tcPr>
          <w:p w:rsidR="00E62B6A" w:rsidRPr="00745FE3" w:rsidRDefault="00E62B6A" w:rsidP="00044520">
            <w:pPr>
              <w:pStyle w:val="TableTextEntries"/>
            </w:pPr>
            <w:r w:rsidRPr="00745FE3">
              <w:t xml:space="preserve">There will be significant management consequences in operational areas </w:t>
            </w:r>
            <w:r w:rsidR="006A5CCA">
              <w:t>relating</w:t>
            </w:r>
            <w:r w:rsidR="006A5CCA" w:rsidRPr="00745FE3">
              <w:t xml:space="preserve"> </w:t>
            </w:r>
            <w:r w:rsidRPr="00745FE3">
              <w:t>to transition planning, staff recruitment and manag</w:t>
            </w:r>
            <w:r w:rsidR="006A5CCA">
              <w:t xml:space="preserve">ing </w:t>
            </w:r>
            <w:r w:rsidRPr="00745FE3">
              <w:t>the disability portfolio.</w:t>
            </w:r>
          </w:p>
        </w:tc>
        <w:tc>
          <w:tcPr>
            <w:tcW w:w="899" w:type="dxa"/>
            <w:shd w:val="clear" w:color="auto" w:fill="92D050"/>
          </w:tcPr>
          <w:p w:rsidR="00E62B6A" w:rsidRPr="00044520" w:rsidRDefault="00E45654" w:rsidP="00044520">
            <w:pPr>
              <w:pStyle w:val="TableTextEntries"/>
            </w:pPr>
            <w:r w:rsidRPr="00044520">
              <w:t>Green</w:t>
            </w:r>
          </w:p>
        </w:tc>
        <w:tc>
          <w:tcPr>
            <w:tcW w:w="5538" w:type="dxa"/>
          </w:tcPr>
          <w:p w:rsidR="00E62B6A" w:rsidRPr="00745FE3" w:rsidRDefault="003D412A" w:rsidP="00044520">
            <w:pPr>
              <w:pStyle w:val="TableTextEntries"/>
              <w:rPr>
                <w:color w:val="FF0000"/>
              </w:rPr>
            </w:pPr>
            <w:r w:rsidRPr="00745FE3">
              <w:t>Fully achieved.</w:t>
            </w:r>
            <w:r w:rsidR="00BF682D" w:rsidRPr="00745FE3">
              <w:t xml:space="preserve"> O-base staff </w:t>
            </w:r>
            <w:r w:rsidR="00661593">
              <w:t xml:space="preserve">member </w:t>
            </w:r>
            <w:r w:rsidR="00BF682D" w:rsidRPr="00745FE3">
              <w:t xml:space="preserve">was recruited for </w:t>
            </w:r>
            <w:r w:rsidR="00661593">
              <w:t>a d</w:t>
            </w:r>
            <w:r w:rsidR="00661593" w:rsidRPr="00745FE3">
              <w:t>isabilit</w:t>
            </w:r>
            <w:r w:rsidR="00661593">
              <w:t>y i</w:t>
            </w:r>
            <w:r w:rsidR="00661593" w:rsidRPr="00745FE3">
              <w:t xml:space="preserve">nclusive </w:t>
            </w:r>
            <w:r w:rsidR="00CB01FA">
              <w:t xml:space="preserve">development </w:t>
            </w:r>
            <w:r w:rsidR="00BF682D" w:rsidRPr="00745FE3">
              <w:t>position in at Post in August 2012.</w:t>
            </w:r>
          </w:p>
        </w:tc>
      </w:tr>
      <w:tr w:rsidR="005C4FB0" w:rsidRPr="00745FE3" w:rsidTr="00044520">
        <w:trPr>
          <w:cantSplit/>
          <w:tblHeader w:val="0"/>
        </w:trPr>
        <w:tc>
          <w:tcPr>
            <w:tcW w:w="11593" w:type="dxa"/>
            <w:gridSpan w:val="3"/>
          </w:tcPr>
          <w:p w:rsidR="005C4FB0" w:rsidRPr="00044520" w:rsidRDefault="005C4FB0" w:rsidP="00044520">
            <w:pPr>
              <w:pStyle w:val="TableHeading1"/>
              <w:rPr>
                <w:b/>
              </w:rPr>
            </w:pPr>
            <w:r w:rsidRPr="00044520">
              <w:rPr>
                <w:rFonts w:eastAsiaTheme="minorHAnsi"/>
                <w:b/>
              </w:rPr>
              <w:t>Objective 1a, 1b: Increased value of agricultural production and smallholder income in targeted provinces</w:t>
            </w:r>
          </w:p>
        </w:tc>
      </w:tr>
      <w:tr w:rsidR="005C4FB0" w:rsidRPr="00745FE3" w:rsidTr="00044520">
        <w:trPr>
          <w:cnfStyle w:val="000000010000" w:firstRow="0" w:lastRow="0" w:firstColumn="0" w:lastColumn="0" w:oddVBand="0" w:evenVBand="0" w:oddHBand="0" w:evenHBand="1" w:firstRowFirstColumn="0" w:firstRowLastColumn="0" w:lastRowFirstColumn="0" w:lastRowLastColumn="0"/>
          <w:cantSplit/>
          <w:tblHeader w:val="0"/>
        </w:trPr>
        <w:tc>
          <w:tcPr>
            <w:tcW w:w="5100" w:type="dxa"/>
          </w:tcPr>
          <w:p w:rsidR="005C4FB0" w:rsidRPr="00745FE3" w:rsidRDefault="005C4FB0" w:rsidP="008961E7">
            <w:pPr>
              <w:pStyle w:val="TableTextEntries"/>
            </w:pPr>
            <w:r w:rsidRPr="00745FE3">
              <w:t>The agriculture and rural development sector delivery strategy process will commence in 2012. The delivery strategy will be informed by policy studies commissioned by</w:t>
            </w:r>
            <w:r w:rsidR="008961E7">
              <w:t xml:space="preserve"> Australia</w:t>
            </w:r>
            <w:r w:rsidRPr="00745FE3">
              <w:t xml:space="preserve"> and the World Bank in 2011 on food security, agricultural finance and a stocktake of the </w:t>
            </w:r>
            <w:r w:rsidR="00661593">
              <w:t>Cambodian</w:t>
            </w:r>
            <w:r w:rsidR="00661593" w:rsidRPr="00745FE3">
              <w:t xml:space="preserve"> </w:t>
            </w:r>
            <w:r w:rsidRPr="00745FE3">
              <w:t>Government’s paddy production and rice export policy.</w:t>
            </w:r>
          </w:p>
        </w:tc>
        <w:tc>
          <w:tcPr>
            <w:tcW w:w="899" w:type="dxa"/>
            <w:shd w:val="clear" w:color="auto" w:fill="92D050"/>
          </w:tcPr>
          <w:p w:rsidR="005C4FB0" w:rsidRPr="00044520" w:rsidRDefault="005C4FB0" w:rsidP="00044520">
            <w:pPr>
              <w:pStyle w:val="TableTextEntries"/>
            </w:pPr>
            <w:r w:rsidRPr="00044520">
              <w:t>Green</w:t>
            </w:r>
          </w:p>
        </w:tc>
        <w:tc>
          <w:tcPr>
            <w:tcW w:w="5538" w:type="dxa"/>
          </w:tcPr>
          <w:p w:rsidR="005C4FB0" w:rsidRPr="00745FE3" w:rsidRDefault="005C4FB0" w:rsidP="008961E7">
            <w:pPr>
              <w:pStyle w:val="TableTextEntries"/>
            </w:pPr>
            <w:r w:rsidRPr="00745FE3">
              <w:t>A commissioning minute for the</w:t>
            </w:r>
            <w:r w:rsidR="00661593" w:rsidRPr="00745FE3">
              <w:t xml:space="preserve"> agriculture and rural development </w:t>
            </w:r>
            <w:r w:rsidRPr="00745FE3">
              <w:t>delivery strategy was approved in October 2012.</w:t>
            </w:r>
            <w:r w:rsidR="00CD6B2F">
              <w:t xml:space="preserve"> </w:t>
            </w:r>
            <w:r w:rsidRPr="00745FE3">
              <w:t xml:space="preserve">Consultations with development partners, including civil society, were initiated in the second half of 2012 and have continued through the first quarter of 2013. Policy studies on agriculture finance and a stocktake of progress on the </w:t>
            </w:r>
            <w:r w:rsidR="00661593">
              <w:t>Cambodian</w:t>
            </w:r>
            <w:r w:rsidR="00661593" w:rsidRPr="00745FE3">
              <w:t xml:space="preserve"> Government’s</w:t>
            </w:r>
            <w:r w:rsidR="00661593" w:rsidRPr="00745FE3" w:rsidDel="00661593">
              <w:t xml:space="preserve"> </w:t>
            </w:r>
            <w:r w:rsidR="00661593">
              <w:t>r</w:t>
            </w:r>
            <w:r w:rsidRPr="00745FE3">
              <w:t xml:space="preserve">ice </w:t>
            </w:r>
            <w:r w:rsidR="00661593">
              <w:t>e</w:t>
            </w:r>
            <w:r w:rsidR="00661593" w:rsidRPr="00745FE3">
              <w:t xml:space="preserve">xport </w:t>
            </w:r>
            <w:r w:rsidR="00661593">
              <w:t>p</w:t>
            </w:r>
            <w:r w:rsidR="00661593" w:rsidRPr="00745FE3">
              <w:t xml:space="preserve">olicy </w:t>
            </w:r>
            <w:r w:rsidRPr="00745FE3">
              <w:t xml:space="preserve">have been completed. Evaluation work on previous support for the </w:t>
            </w:r>
            <w:r w:rsidR="00661593" w:rsidRPr="00661593">
              <w:rPr>
                <w:lang w:val="en-US"/>
              </w:rPr>
              <w:t>Cambodia Deve</w:t>
            </w:r>
            <w:r w:rsidR="00661593">
              <w:rPr>
                <w:lang w:val="en-US"/>
              </w:rPr>
              <w:t>lopment Resource Institute’s</w:t>
            </w:r>
            <w:r w:rsidR="00661593" w:rsidRPr="00661593" w:rsidDel="00661593">
              <w:t xml:space="preserve"> </w:t>
            </w:r>
            <w:r w:rsidRPr="00745FE3">
              <w:t xml:space="preserve">Water Resource Management Research Program and a progress report on the </w:t>
            </w:r>
            <w:r w:rsidR="008961E7">
              <w:t>Australia</w:t>
            </w:r>
            <w:r w:rsidR="00661593">
              <w:t>–</w:t>
            </w:r>
            <w:r w:rsidRPr="00745FE3">
              <w:t xml:space="preserve">World Bank </w:t>
            </w:r>
            <w:r w:rsidR="00983136">
              <w:t>t</w:t>
            </w:r>
            <w:r w:rsidR="00983136" w:rsidRPr="00745FE3">
              <w:t xml:space="preserve">rust </w:t>
            </w:r>
            <w:r w:rsidR="00983136">
              <w:t>f</w:t>
            </w:r>
            <w:r w:rsidR="00983136" w:rsidRPr="00745FE3">
              <w:t xml:space="preserve">und </w:t>
            </w:r>
            <w:r w:rsidRPr="00745FE3">
              <w:t xml:space="preserve">have also been completed. Consultations with </w:t>
            </w:r>
            <w:r w:rsidR="00661593" w:rsidRPr="00661593">
              <w:t>Cambodian Government’s</w:t>
            </w:r>
            <w:r w:rsidR="00661593" w:rsidRPr="00661593" w:rsidDel="00661593">
              <w:t xml:space="preserve"> </w:t>
            </w:r>
            <w:r w:rsidRPr="00745FE3">
              <w:t xml:space="preserve">partners will take place in May 2013 and a draft </w:t>
            </w:r>
            <w:r w:rsidR="00661593">
              <w:t>d</w:t>
            </w:r>
            <w:r w:rsidR="00661593" w:rsidRPr="00745FE3">
              <w:t xml:space="preserve">elivery </w:t>
            </w:r>
            <w:r w:rsidR="00661593">
              <w:t>s</w:t>
            </w:r>
            <w:r w:rsidR="00661593" w:rsidRPr="00745FE3">
              <w:t xml:space="preserve">trategy </w:t>
            </w:r>
            <w:r w:rsidRPr="00745FE3">
              <w:t xml:space="preserve">will be </w:t>
            </w:r>
            <w:r w:rsidR="003B17B9" w:rsidRPr="00745FE3">
              <w:t>drafted in June</w:t>
            </w:r>
            <w:r w:rsidRPr="00745FE3">
              <w:t>.</w:t>
            </w:r>
          </w:p>
        </w:tc>
      </w:tr>
      <w:tr w:rsidR="005C4FB0" w:rsidRPr="00745FE3" w:rsidTr="00044520">
        <w:trPr>
          <w:cantSplit/>
          <w:tblHeader w:val="0"/>
        </w:trPr>
        <w:tc>
          <w:tcPr>
            <w:tcW w:w="11593" w:type="dxa"/>
            <w:gridSpan w:val="3"/>
          </w:tcPr>
          <w:p w:rsidR="005C4FB0" w:rsidRPr="00044520" w:rsidRDefault="005C4FB0" w:rsidP="00044520">
            <w:pPr>
              <w:pStyle w:val="TableHeading1"/>
              <w:rPr>
                <w:b/>
              </w:rPr>
            </w:pPr>
            <w:r w:rsidRPr="00044520">
              <w:rPr>
                <w:b/>
              </w:rPr>
              <w:t>Objective 2: Increased access to quality health services through improved health management</w:t>
            </w:r>
          </w:p>
        </w:tc>
      </w:tr>
      <w:tr w:rsidR="005C4FB0" w:rsidRPr="00745FE3" w:rsidTr="00044520">
        <w:trPr>
          <w:cnfStyle w:val="000000010000" w:firstRow="0" w:lastRow="0" w:firstColumn="0" w:lastColumn="0" w:oddVBand="0" w:evenVBand="0" w:oddHBand="0" w:evenHBand="1" w:firstRowFirstColumn="0" w:firstRowLastColumn="0" w:lastRowFirstColumn="0" w:lastRowLastColumn="0"/>
          <w:cantSplit/>
          <w:tblHeader w:val="0"/>
        </w:trPr>
        <w:tc>
          <w:tcPr>
            <w:tcW w:w="5100" w:type="dxa"/>
          </w:tcPr>
          <w:p w:rsidR="005C4FB0" w:rsidRPr="00745FE3" w:rsidRDefault="005C4FB0" w:rsidP="00044520">
            <w:pPr>
              <w:pStyle w:val="TableTextEntries"/>
            </w:pPr>
            <w:r w:rsidRPr="00745FE3">
              <w:t>A major objective of the Cambodia program in 2012 is the finalisation of the health sector delivery strategy with a focus on increasing access to health services country</w:t>
            </w:r>
            <w:r w:rsidR="00881F86">
              <w:t>-</w:t>
            </w:r>
            <w:r w:rsidRPr="00745FE3">
              <w:t>wide.</w:t>
            </w:r>
            <w:r w:rsidR="00CD6B2F">
              <w:t xml:space="preserve"> </w:t>
            </w:r>
          </w:p>
        </w:tc>
        <w:tc>
          <w:tcPr>
            <w:tcW w:w="899" w:type="dxa"/>
            <w:shd w:val="clear" w:color="auto" w:fill="92D050"/>
          </w:tcPr>
          <w:p w:rsidR="005C4FB0" w:rsidRPr="00044520" w:rsidRDefault="005C4FB0" w:rsidP="00044520">
            <w:pPr>
              <w:pStyle w:val="TableTextEntries"/>
            </w:pPr>
            <w:r w:rsidRPr="00044520">
              <w:t>Green</w:t>
            </w:r>
          </w:p>
        </w:tc>
        <w:tc>
          <w:tcPr>
            <w:tcW w:w="5538" w:type="dxa"/>
          </w:tcPr>
          <w:p w:rsidR="005C4FB0" w:rsidRPr="00745FE3" w:rsidRDefault="005C4FB0" w:rsidP="00044520">
            <w:pPr>
              <w:pStyle w:val="TableTextEntries"/>
              <w:rPr>
                <w:color w:val="FF0000"/>
              </w:rPr>
            </w:pPr>
            <w:r w:rsidRPr="00745FE3">
              <w:t>Important preparatory work on the health sector delivery strategy was undertaken, including an independent expert assessment of health sector investment options, a post</w:t>
            </w:r>
            <w:r w:rsidR="00881F86" w:rsidRPr="007A0139">
              <w:rPr>
                <w:szCs w:val="22"/>
              </w:rPr>
              <w:t xml:space="preserve"> Health Sector </w:t>
            </w:r>
            <w:r w:rsidR="00786754" w:rsidRPr="007A0139">
              <w:rPr>
                <w:szCs w:val="22"/>
              </w:rPr>
              <w:t>S</w:t>
            </w:r>
            <w:r w:rsidR="00786754">
              <w:rPr>
                <w:szCs w:val="22"/>
              </w:rPr>
              <w:t>upport</w:t>
            </w:r>
            <w:r w:rsidR="00786754" w:rsidRPr="007A0139">
              <w:rPr>
                <w:szCs w:val="22"/>
              </w:rPr>
              <w:t xml:space="preserve"> </w:t>
            </w:r>
            <w:r w:rsidR="00881F86" w:rsidRPr="007A0139">
              <w:rPr>
                <w:szCs w:val="22"/>
              </w:rPr>
              <w:t xml:space="preserve">Program </w:t>
            </w:r>
            <w:r w:rsidR="00881F86">
              <w:t xml:space="preserve">2 </w:t>
            </w:r>
            <w:r w:rsidRPr="00745FE3">
              <w:t xml:space="preserve">orientation mission, a health sector </w:t>
            </w:r>
            <w:r w:rsidR="00881F86">
              <w:t>p</w:t>
            </w:r>
            <w:r w:rsidR="00881F86" w:rsidRPr="00745FE3">
              <w:t xml:space="preserve">olitical </w:t>
            </w:r>
            <w:r w:rsidR="00881F86">
              <w:t>e</w:t>
            </w:r>
            <w:r w:rsidR="00881F86" w:rsidRPr="00745FE3">
              <w:t xml:space="preserve">conomy </w:t>
            </w:r>
            <w:r w:rsidR="00881F86">
              <w:t>a</w:t>
            </w:r>
            <w:r w:rsidR="00881F86" w:rsidRPr="00745FE3">
              <w:t xml:space="preserve">nalysis </w:t>
            </w:r>
            <w:r w:rsidRPr="00745FE3">
              <w:t xml:space="preserve">and a </w:t>
            </w:r>
            <w:r w:rsidR="00881F86">
              <w:t>v</w:t>
            </w:r>
            <w:r w:rsidR="00881F86" w:rsidRPr="00745FE3">
              <w:t xml:space="preserve">alue </w:t>
            </w:r>
            <w:r w:rsidRPr="00745FE3">
              <w:t xml:space="preserve">for </w:t>
            </w:r>
            <w:r w:rsidR="00881F86">
              <w:t>m</w:t>
            </w:r>
            <w:r w:rsidR="00881F86" w:rsidRPr="00745FE3">
              <w:t xml:space="preserve">oney </w:t>
            </w:r>
            <w:r w:rsidRPr="00745FE3">
              <w:t xml:space="preserve">assessment of </w:t>
            </w:r>
            <w:r w:rsidR="00881F86">
              <w:t>the program’s</w:t>
            </w:r>
            <w:r w:rsidR="00881F86" w:rsidRPr="00745FE3">
              <w:t xml:space="preserve"> </w:t>
            </w:r>
            <w:r w:rsidRPr="00745FE3">
              <w:t xml:space="preserve">training and supervision. These, and consultations with </w:t>
            </w:r>
            <w:r w:rsidR="00881F86">
              <w:t>the Cambodian Government</w:t>
            </w:r>
            <w:r w:rsidR="00881F86" w:rsidRPr="00745FE3">
              <w:t xml:space="preserve"> </w:t>
            </w:r>
            <w:r w:rsidRPr="00745FE3">
              <w:t xml:space="preserve">and </w:t>
            </w:r>
            <w:r w:rsidR="00881F86">
              <w:t>development partners,</w:t>
            </w:r>
            <w:r w:rsidRPr="00745FE3">
              <w:t xml:space="preserve"> suggest that an interim delivery strategy will be required to cover a likely extension of </w:t>
            </w:r>
            <w:r w:rsidR="00881F86">
              <w:t>the program</w:t>
            </w:r>
            <w:r w:rsidRPr="00745FE3">
              <w:t xml:space="preserve">, with fewer </w:t>
            </w:r>
            <w:r w:rsidR="00881F86">
              <w:t xml:space="preserve">development partners </w:t>
            </w:r>
            <w:r w:rsidRPr="00745FE3">
              <w:t xml:space="preserve">to mid-2014. </w:t>
            </w:r>
          </w:p>
        </w:tc>
      </w:tr>
      <w:tr w:rsidR="005C4FB0" w:rsidRPr="00745FE3" w:rsidTr="00044520">
        <w:trPr>
          <w:cantSplit/>
          <w:tblHeader w:val="0"/>
        </w:trPr>
        <w:tc>
          <w:tcPr>
            <w:tcW w:w="5100" w:type="dxa"/>
          </w:tcPr>
          <w:p w:rsidR="005C4FB0" w:rsidRPr="00745FE3" w:rsidRDefault="005C4FB0" w:rsidP="00044520">
            <w:pPr>
              <w:pStyle w:val="TableTextEntries"/>
            </w:pPr>
            <w:r w:rsidRPr="00745FE3">
              <w:lastRenderedPageBreak/>
              <w:t xml:space="preserve">Building on the improved dialogue with the </w:t>
            </w:r>
            <w:r w:rsidR="00881F86">
              <w:t>Cambodian</w:t>
            </w:r>
            <w:r w:rsidR="00881F86" w:rsidRPr="00745FE3">
              <w:t xml:space="preserve"> </w:t>
            </w:r>
            <w:r w:rsidRPr="00745FE3">
              <w:t>Government in 2011, a key component of the health strategy is consider</w:t>
            </w:r>
            <w:r w:rsidR="00881F86">
              <w:t xml:space="preserve">ing </w:t>
            </w:r>
            <w:r w:rsidRPr="00745FE3">
              <w:t>how best to engage on policy issues such as inefficient procurement by the Ministry of Health, the likely impact of the cancellation of donor salary supplements in June 2012 and opportunities to increase donor harmonisation.</w:t>
            </w:r>
          </w:p>
        </w:tc>
        <w:tc>
          <w:tcPr>
            <w:tcW w:w="899" w:type="dxa"/>
            <w:tcBorders>
              <w:top w:val="nil"/>
              <w:bottom w:val="nil"/>
            </w:tcBorders>
            <w:shd w:val="clear" w:color="auto" w:fill="F79646" w:themeFill="accent6"/>
          </w:tcPr>
          <w:p w:rsidR="005C4FB0" w:rsidRPr="00044520" w:rsidRDefault="005C4FB0" w:rsidP="00044520">
            <w:pPr>
              <w:pStyle w:val="TableTextEntries"/>
            </w:pPr>
            <w:r w:rsidRPr="00044520">
              <w:t>Amber</w:t>
            </w:r>
          </w:p>
        </w:tc>
        <w:tc>
          <w:tcPr>
            <w:tcW w:w="5538" w:type="dxa"/>
          </w:tcPr>
          <w:p w:rsidR="005C4FB0" w:rsidRPr="00745FE3" w:rsidRDefault="005C4FB0" w:rsidP="00044520">
            <w:pPr>
              <w:pStyle w:val="TableTextEntries"/>
            </w:pPr>
            <w:r w:rsidRPr="00745FE3">
              <w:t xml:space="preserve">There has been very little movement on significant policy issues, notably </w:t>
            </w:r>
            <w:r w:rsidR="00881F86" w:rsidRPr="00745FE3">
              <w:t>Ministry of Health</w:t>
            </w:r>
            <w:r w:rsidR="00881F86" w:rsidRPr="00745FE3" w:rsidDel="00881F86">
              <w:t xml:space="preserve"> </w:t>
            </w:r>
            <w:r w:rsidRPr="00745FE3">
              <w:t xml:space="preserve">procurement budget transparency. </w:t>
            </w:r>
            <w:r w:rsidR="006C1D57">
              <w:t xml:space="preserve">Priority Operating Cost </w:t>
            </w:r>
            <w:r w:rsidRPr="00745FE3">
              <w:t xml:space="preserve">salary supplements were ended in 2012 by all </w:t>
            </w:r>
            <w:r w:rsidR="00881F86">
              <w:t xml:space="preserve">development partners </w:t>
            </w:r>
            <w:r w:rsidRPr="00745FE3">
              <w:t xml:space="preserve">except </w:t>
            </w:r>
            <w:r w:rsidR="00881F86">
              <w:t xml:space="preserve">the </w:t>
            </w:r>
            <w:r w:rsidRPr="00745FE3">
              <w:t>A</w:t>
            </w:r>
            <w:r w:rsidR="00881F86">
              <w:t xml:space="preserve">sian </w:t>
            </w:r>
            <w:r w:rsidRPr="00745FE3">
              <w:t>D</w:t>
            </w:r>
            <w:r w:rsidR="00881F86">
              <w:t xml:space="preserve">evelopment </w:t>
            </w:r>
            <w:r w:rsidRPr="00745FE3">
              <w:t>B</w:t>
            </w:r>
            <w:r w:rsidR="00881F86">
              <w:t>ank</w:t>
            </w:r>
            <w:r w:rsidRPr="00745FE3">
              <w:t xml:space="preserve">, but not replaced with steps towards civil service compensation reform. </w:t>
            </w:r>
            <w:r w:rsidR="00336D7D">
              <w:t xml:space="preserve">Policy dialogue has also been slowed by ongoing delays to the release of the report by the Global Fund’s Office of the Inspector General and the Global Fund’s attempts to reintroduce salary top-ups for health workers. </w:t>
            </w:r>
          </w:p>
          <w:p w:rsidR="005C4FB0" w:rsidRPr="00745FE3" w:rsidRDefault="005C4FB0" w:rsidP="00044520">
            <w:pPr>
              <w:pStyle w:val="TableTextEntries"/>
            </w:pPr>
            <w:r w:rsidRPr="00745FE3">
              <w:t>There has been significant improvement in terms of donor harmonisation: Australia was both unanimously voted into the newly-created co-</w:t>
            </w:r>
            <w:r w:rsidR="00174F50">
              <w:t>c</w:t>
            </w:r>
            <w:r w:rsidR="00174F50" w:rsidRPr="00745FE3">
              <w:t xml:space="preserve">hair </w:t>
            </w:r>
            <w:r w:rsidRPr="00745FE3">
              <w:t>posts of the health partners group and the incentives sub working group</w:t>
            </w:r>
            <w:r w:rsidR="00D27E09">
              <w:t>,</w:t>
            </w:r>
            <w:r w:rsidRPr="00745FE3">
              <w:t xml:space="preserve"> Australia was either </w:t>
            </w:r>
            <w:r w:rsidR="00174F50">
              <w:t>c</w:t>
            </w:r>
            <w:r w:rsidR="00174F50" w:rsidRPr="00745FE3">
              <w:t xml:space="preserve">hair </w:t>
            </w:r>
            <w:r w:rsidRPr="00745FE3">
              <w:t>or co-</w:t>
            </w:r>
            <w:r w:rsidR="00174F50">
              <w:t>c</w:t>
            </w:r>
            <w:r w:rsidR="00174F50" w:rsidRPr="00745FE3">
              <w:t xml:space="preserve">hair </w:t>
            </w:r>
            <w:r w:rsidRPr="00745FE3">
              <w:t xml:space="preserve">of </w:t>
            </w:r>
            <w:r w:rsidR="00174F50" w:rsidRPr="007A0139">
              <w:rPr>
                <w:szCs w:val="22"/>
              </w:rPr>
              <w:t xml:space="preserve">Health Sector </w:t>
            </w:r>
            <w:r w:rsidR="00786754" w:rsidRPr="007A0139">
              <w:rPr>
                <w:szCs w:val="22"/>
              </w:rPr>
              <w:t>S</w:t>
            </w:r>
            <w:r w:rsidR="00786754">
              <w:rPr>
                <w:szCs w:val="22"/>
              </w:rPr>
              <w:t>upport</w:t>
            </w:r>
            <w:r w:rsidR="00786754" w:rsidRPr="007A0139">
              <w:rPr>
                <w:szCs w:val="22"/>
              </w:rPr>
              <w:t xml:space="preserve"> </w:t>
            </w:r>
            <w:r w:rsidR="00174F50" w:rsidRPr="007A0139">
              <w:rPr>
                <w:szCs w:val="22"/>
              </w:rPr>
              <w:t xml:space="preserve">Program </w:t>
            </w:r>
            <w:r w:rsidR="00174F50" w:rsidRPr="00786754">
              <w:t xml:space="preserve">2 </w:t>
            </w:r>
            <w:r w:rsidRPr="00786754">
              <w:t>J</w:t>
            </w:r>
            <w:r w:rsidR="00786754" w:rsidRPr="00786754">
              <w:t xml:space="preserve">oint </w:t>
            </w:r>
            <w:r w:rsidRPr="00786754">
              <w:t>P</w:t>
            </w:r>
            <w:r w:rsidR="00786754" w:rsidRPr="00786754">
              <w:t xml:space="preserve">artnership </w:t>
            </w:r>
            <w:r w:rsidRPr="00786754">
              <w:t>I</w:t>
            </w:r>
            <w:r w:rsidR="00786754" w:rsidRPr="00786754">
              <w:t xml:space="preserve">nterface </w:t>
            </w:r>
            <w:r w:rsidRPr="00786754">
              <w:t>G</w:t>
            </w:r>
            <w:r w:rsidR="00786754" w:rsidRPr="00786754">
              <w:t>roup</w:t>
            </w:r>
            <w:r w:rsidRPr="00786754">
              <w:t xml:space="preserve"> for the whole reporting</w:t>
            </w:r>
            <w:r w:rsidRPr="00745FE3">
              <w:t xml:space="preserve"> period</w:t>
            </w:r>
            <w:r w:rsidR="00D27E09">
              <w:t>,</w:t>
            </w:r>
            <w:r w:rsidRPr="00745FE3">
              <w:t xml:space="preserve"> and a </w:t>
            </w:r>
            <w:r w:rsidR="00174F50">
              <w:t>m</w:t>
            </w:r>
            <w:r w:rsidR="00174F50" w:rsidRPr="00745FE3">
              <w:t xml:space="preserve">emorandum </w:t>
            </w:r>
            <w:r w:rsidRPr="00745FE3">
              <w:t xml:space="preserve">of </w:t>
            </w:r>
            <w:r w:rsidR="00174F50">
              <w:t>c</w:t>
            </w:r>
            <w:r w:rsidR="00174F50" w:rsidRPr="00745FE3">
              <w:t>o</w:t>
            </w:r>
            <w:r w:rsidRPr="00745FE3">
              <w:t xml:space="preserve">operation was signed with USAID and joint advocacy (with USAID, </w:t>
            </w:r>
            <w:r w:rsidR="00174F50">
              <w:t xml:space="preserve">the German Development Bank </w:t>
            </w:r>
            <w:proofErr w:type="spellStart"/>
            <w:r w:rsidRPr="00EE7257">
              <w:t>KfW</w:t>
            </w:r>
            <w:proofErr w:type="spellEnd"/>
            <w:r w:rsidR="00174F50">
              <w:t>,</w:t>
            </w:r>
            <w:r w:rsidRPr="00745FE3">
              <w:t xml:space="preserve"> and </w:t>
            </w:r>
            <w:r w:rsidRPr="006744D8">
              <w:t>USAID</w:t>
            </w:r>
            <w:r w:rsidRPr="00745FE3">
              <w:t xml:space="preserve">) for </w:t>
            </w:r>
            <w:r w:rsidR="00786754">
              <w:t xml:space="preserve">the Ministry of Economy and Finance </w:t>
            </w:r>
            <w:r w:rsidRPr="00745FE3">
              <w:t xml:space="preserve">to establish a </w:t>
            </w:r>
            <w:r w:rsidR="00955106">
              <w:t>contraceptive commodity security</w:t>
            </w:r>
            <w:r w:rsidR="00955106" w:rsidRPr="00745FE3">
              <w:t xml:space="preserve"> </w:t>
            </w:r>
            <w:r w:rsidRPr="00745FE3">
              <w:t>budget line.</w:t>
            </w:r>
          </w:p>
        </w:tc>
      </w:tr>
      <w:tr w:rsidR="005C4FB0" w:rsidRPr="00745FE3" w:rsidTr="00044520">
        <w:trPr>
          <w:cnfStyle w:val="000000010000" w:firstRow="0" w:lastRow="0" w:firstColumn="0" w:lastColumn="0" w:oddVBand="0" w:evenVBand="0" w:oddHBand="0" w:evenHBand="1" w:firstRowFirstColumn="0" w:firstRowLastColumn="0" w:lastRowFirstColumn="0" w:lastRowLastColumn="0"/>
          <w:cantSplit/>
          <w:tblHeader w:val="0"/>
        </w:trPr>
        <w:tc>
          <w:tcPr>
            <w:tcW w:w="5100" w:type="dxa"/>
          </w:tcPr>
          <w:p w:rsidR="005C4FB0" w:rsidRPr="00745FE3" w:rsidRDefault="005C4FB0" w:rsidP="00044520">
            <w:pPr>
              <w:pStyle w:val="TableTextEntries"/>
            </w:pPr>
            <w:r w:rsidRPr="00745FE3">
              <w:t>A key area of focus in 2012 will be develop</w:t>
            </w:r>
            <w:r w:rsidR="00174F50">
              <w:t xml:space="preserve">ing </w:t>
            </w:r>
            <w:r w:rsidRPr="00745FE3">
              <w:t>and implement</w:t>
            </w:r>
            <w:r w:rsidR="00174F50">
              <w:t xml:space="preserve">ing </w:t>
            </w:r>
            <w:r w:rsidRPr="00745FE3">
              <w:t>new strategic partnerships with civil society organisations, including bringing government and civil society closer together to reduce maternal and child deaths by 2015.</w:t>
            </w:r>
          </w:p>
        </w:tc>
        <w:tc>
          <w:tcPr>
            <w:tcW w:w="899" w:type="dxa"/>
            <w:shd w:val="clear" w:color="auto" w:fill="F79646" w:themeFill="accent6"/>
          </w:tcPr>
          <w:p w:rsidR="005C4FB0" w:rsidRPr="00044520" w:rsidRDefault="005C4FB0" w:rsidP="00044520">
            <w:pPr>
              <w:pStyle w:val="TableTextEntries"/>
            </w:pPr>
            <w:r w:rsidRPr="00044520">
              <w:t>Amber</w:t>
            </w:r>
          </w:p>
        </w:tc>
        <w:tc>
          <w:tcPr>
            <w:tcW w:w="5538" w:type="dxa"/>
          </w:tcPr>
          <w:p w:rsidR="005C4FB0" w:rsidRPr="00745FE3" w:rsidRDefault="005C4FB0" w:rsidP="00044520">
            <w:pPr>
              <w:pStyle w:val="TableTextEntries"/>
            </w:pPr>
            <w:r w:rsidRPr="00745FE3">
              <w:t xml:space="preserve">Three Australian </w:t>
            </w:r>
            <w:r w:rsidR="00174F50">
              <w:t>non-government organisations</w:t>
            </w:r>
            <w:r w:rsidR="00174F50" w:rsidRPr="00745FE3">
              <w:t xml:space="preserve"> </w:t>
            </w:r>
            <w:r w:rsidRPr="00745FE3">
              <w:t>(Save the Children, CARE</w:t>
            </w:r>
            <w:r w:rsidR="00D27E09">
              <w:t xml:space="preserve"> and</w:t>
            </w:r>
            <w:r w:rsidRPr="00745FE3">
              <w:t xml:space="preserve"> Marie Stopes International) were selected to work in partnership to design a progra</w:t>
            </w:r>
            <w:r w:rsidR="00174F50">
              <w:t>m</w:t>
            </w:r>
            <w:r w:rsidRPr="00745FE3">
              <w:t xml:space="preserve"> of support </w:t>
            </w:r>
            <w:r w:rsidR="00174F50">
              <w:t xml:space="preserve">for the </w:t>
            </w:r>
            <w:r w:rsidR="00881F86" w:rsidRPr="00745FE3">
              <w:t>Ministry of Health</w:t>
            </w:r>
            <w:r w:rsidR="00881F86">
              <w:t>’s</w:t>
            </w:r>
            <w:r w:rsidR="00881F86" w:rsidRPr="00745FE3" w:rsidDel="00881F86">
              <w:t xml:space="preserve"> </w:t>
            </w:r>
            <w:r w:rsidRPr="00745FE3">
              <w:t xml:space="preserve">Fast Track Initiative to Reduce Maternal and Neonatal Mortality. This process and subsequent performance-based contracting is due to be completed shortly after this reporting period. </w:t>
            </w:r>
            <w:r w:rsidR="00CA699E">
              <w:t xml:space="preserve">Nevertheless, significant work remains to be done </w:t>
            </w:r>
            <w:r w:rsidR="00472D4E">
              <w:t>in coordinating and harmonising a large number of disparate activities across the health sector.</w:t>
            </w:r>
          </w:p>
          <w:p w:rsidR="005C4FB0" w:rsidRPr="00745FE3" w:rsidRDefault="005C4FB0" w:rsidP="00044520">
            <w:pPr>
              <w:pStyle w:val="TableTextEntries"/>
            </w:pPr>
          </w:p>
        </w:tc>
      </w:tr>
      <w:tr w:rsidR="00AD1420" w:rsidRPr="00745FE3" w:rsidTr="00044520">
        <w:trPr>
          <w:cantSplit/>
          <w:tblHeader w:val="0"/>
        </w:trPr>
        <w:tc>
          <w:tcPr>
            <w:tcW w:w="11593" w:type="dxa"/>
            <w:gridSpan w:val="3"/>
          </w:tcPr>
          <w:p w:rsidR="00AD1420" w:rsidRPr="00044520" w:rsidRDefault="00AD1420" w:rsidP="00044520">
            <w:pPr>
              <w:pStyle w:val="TableHeading1"/>
              <w:rPr>
                <w:b/>
              </w:rPr>
            </w:pPr>
            <w:r w:rsidRPr="00044520">
              <w:rPr>
                <w:rFonts w:eastAsiaTheme="minorHAnsi"/>
                <w:b/>
              </w:rPr>
              <w:t>Objective 3: Improved infrastructure quality, quantity and access</w:t>
            </w:r>
          </w:p>
        </w:tc>
      </w:tr>
      <w:tr w:rsidR="00AD1420" w:rsidRPr="00745FE3" w:rsidTr="00044520">
        <w:trPr>
          <w:cnfStyle w:val="000000010000" w:firstRow="0" w:lastRow="0" w:firstColumn="0" w:lastColumn="0" w:oddVBand="0" w:evenVBand="0" w:oddHBand="0" w:evenHBand="1" w:firstRowFirstColumn="0" w:firstRowLastColumn="0" w:lastRowFirstColumn="0" w:lastRowLastColumn="0"/>
          <w:cantSplit/>
          <w:tblHeader w:val="0"/>
        </w:trPr>
        <w:tc>
          <w:tcPr>
            <w:tcW w:w="5100" w:type="dxa"/>
          </w:tcPr>
          <w:p w:rsidR="00AD1420" w:rsidRPr="00745FE3" w:rsidRDefault="00AD1420" w:rsidP="00044520">
            <w:pPr>
              <w:pStyle w:val="TableTextEntries"/>
            </w:pPr>
            <w:r w:rsidRPr="00745FE3">
              <w:t>The objective to further increase policy engagement with multilateral organisations and the Cambodian Government on implement</w:t>
            </w:r>
            <w:r w:rsidR="00D27E09">
              <w:t xml:space="preserve">ing </w:t>
            </w:r>
            <w:r w:rsidRPr="00745FE3">
              <w:t xml:space="preserve">environmental and social safeguards (including gender and resettlement) will require a significant push in 2012. </w:t>
            </w:r>
          </w:p>
        </w:tc>
        <w:tc>
          <w:tcPr>
            <w:tcW w:w="899" w:type="dxa"/>
            <w:shd w:val="clear" w:color="auto" w:fill="92D050"/>
          </w:tcPr>
          <w:p w:rsidR="00AD1420" w:rsidRPr="00044520" w:rsidRDefault="00AD1420" w:rsidP="00044520">
            <w:pPr>
              <w:pStyle w:val="TableTextEntries"/>
            </w:pPr>
            <w:r w:rsidRPr="00044520">
              <w:t>Green</w:t>
            </w:r>
          </w:p>
        </w:tc>
        <w:tc>
          <w:tcPr>
            <w:tcW w:w="5538" w:type="dxa"/>
          </w:tcPr>
          <w:p w:rsidR="00AD1420" w:rsidRPr="00745FE3" w:rsidRDefault="00AD1420" w:rsidP="00044520">
            <w:pPr>
              <w:pStyle w:val="TableTextEntries"/>
            </w:pPr>
            <w:r w:rsidRPr="00745FE3">
              <w:t xml:space="preserve">A new </w:t>
            </w:r>
            <w:r w:rsidR="00174F50">
              <w:t>r</w:t>
            </w:r>
            <w:r w:rsidR="00174F50" w:rsidRPr="00745FE3">
              <w:t xml:space="preserve">esettlement </w:t>
            </w:r>
            <w:r w:rsidR="00174F50">
              <w:t>a</w:t>
            </w:r>
            <w:r w:rsidR="00174F50" w:rsidRPr="00745FE3">
              <w:t xml:space="preserve">dviser </w:t>
            </w:r>
            <w:r w:rsidRPr="00745FE3">
              <w:t xml:space="preserve">commenced in </w:t>
            </w:r>
            <w:r w:rsidR="00F23F23" w:rsidRPr="00745FE3">
              <w:t xml:space="preserve">April </w:t>
            </w:r>
            <w:r w:rsidRPr="00745FE3">
              <w:t>2012</w:t>
            </w:r>
            <w:r w:rsidR="00174F50">
              <w:t xml:space="preserve"> and </w:t>
            </w:r>
            <w:r w:rsidRPr="00745FE3">
              <w:t>has been working closely with A</w:t>
            </w:r>
            <w:r w:rsidR="00174F50">
              <w:t xml:space="preserve">sian </w:t>
            </w:r>
            <w:r w:rsidRPr="00745FE3">
              <w:t>D</w:t>
            </w:r>
            <w:r w:rsidR="00174F50">
              <w:t xml:space="preserve">evelopment </w:t>
            </w:r>
            <w:r w:rsidRPr="00745FE3">
              <w:t>B</w:t>
            </w:r>
            <w:r w:rsidR="00174F50">
              <w:t>ank</w:t>
            </w:r>
            <w:r w:rsidRPr="00745FE3">
              <w:t xml:space="preserve"> staff on implementation. Staff attended a regional workshop on safeguards and attended by </w:t>
            </w:r>
            <w:r w:rsidR="00174F50" w:rsidRPr="00745FE3">
              <w:t>A</w:t>
            </w:r>
            <w:r w:rsidR="00174F50">
              <w:t xml:space="preserve">sian </w:t>
            </w:r>
            <w:r w:rsidR="00174F50" w:rsidRPr="00745FE3">
              <w:t>D</w:t>
            </w:r>
            <w:r w:rsidR="00174F50">
              <w:t xml:space="preserve">evelopment </w:t>
            </w:r>
            <w:r w:rsidR="00174F50" w:rsidRPr="00745FE3">
              <w:t>B</w:t>
            </w:r>
            <w:r w:rsidR="00174F50">
              <w:t>ank</w:t>
            </w:r>
            <w:r w:rsidR="00174F50" w:rsidRPr="00745FE3">
              <w:t xml:space="preserve"> </w:t>
            </w:r>
            <w:r w:rsidRPr="00745FE3">
              <w:t>and World Bank staff</w:t>
            </w:r>
            <w:r w:rsidR="006744D8">
              <w:t>,</w:t>
            </w:r>
            <w:r w:rsidR="006744D8" w:rsidRPr="00745FE3">
              <w:t xml:space="preserve"> </w:t>
            </w:r>
            <w:r w:rsidRPr="00174F50">
              <w:t>and</w:t>
            </w:r>
            <w:r w:rsidR="00786754">
              <w:t xml:space="preserve"> </w:t>
            </w:r>
            <w:proofErr w:type="gramStart"/>
            <w:r w:rsidR="00786754">
              <w:t>staff have</w:t>
            </w:r>
            <w:proofErr w:type="gramEnd"/>
            <w:r w:rsidR="00786754">
              <w:t xml:space="preserve"> attended</w:t>
            </w:r>
            <w:r w:rsidRPr="00174F50">
              <w:t xml:space="preserve"> </w:t>
            </w:r>
            <w:r w:rsidR="00ED4566" w:rsidRPr="00174F50">
              <w:t>Asian Development Bank training</w:t>
            </w:r>
            <w:r w:rsidR="00786754">
              <w:t xml:space="preserve"> on safeguards</w:t>
            </w:r>
            <w:r w:rsidRPr="00174F50">
              <w:t>.</w:t>
            </w:r>
          </w:p>
          <w:p w:rsidR="00AD1420" w:rsidRPr="00745FE3" w:rsidRDefault="00AD1420" w:rsidP="00044520">
            <w:pPr>
              <w:pStyle w:val="TableTextEntries"/>
            </w:pPr>
            <w:r w:rsidRPr="00745FE3">
              <w:t xml:space="preserve">We have been in regular dialogue with the Cambodian Government up to </w:t>
            </w:r>
            <w:r w:rsidR="00174F50">
              <w:t>d</w:t>
            </w:r>
            <w:r w:rsidR="00174F50" w:rsidRPr="00745FE3">
              <w:t xml:space="preserve">eputy </w:t>
            </w:r>
            <w:r w:rsidR="00174F50">
              <w:t>p</w:t>
            </w:r>
            <w:r w:rsidR="00174F50" w:rsidRPr="00745FE3">
              <w:t xml:space="preserve">rime </w:t>
            </w:r>
            <w:r w:rsidR="00174F50">
              <w:t>m</w:t>
            </w:r>
            <w:r w:rsidR="00174F50" w:rsidRPr="00745FE3">
              <w:t>inister</w:t>
            </w:r>
            <w:r w:rsidR="00174F50">
              <w:t xml:space="preserve"> </w:t>
            </w:r>
            <w:r w:rsidRPr="00745FE3">
              <w:t>level on the importance of safeguards issues.</w:t>
            </w:r>
          </w:p>
          <w:p w:rsidR="00AD1420" w:rsidRPr="00745FE3" w:rsidRDefault="00AD1420" w:rsidP="00044520">
            <w:pPr>
              <w:pStyle w:val="TableTextEntries"/>
            </w:pPr>
            <w:r w:rsidRPr="00786754">
              <w:t>H</w:t>
            </w:r>
            <w:r w:rsidR="00786754" w:rsidRPr="00786754">
              <w:t>igh-</w:t>
            </w:r>
            <w:r w:rsidR="00F23CA3">
              <w:t>l</w:t>
            </w:r>
            <w:r w:rsidR="00786754" w:rsidRPr="00786754">
              <w:t xml:space="preserve">evel </w:t>
            </w:r>
            <w:r w:rsidR="00F23CA3">
              <w:t>c</w:t>
            </w:r>
            <w:r w:rsidR="00786754" w:rsidRPr="00786754">
              <w:t>onsultation</w:t>
            </w:r>
            <w:r w:rsidRPr="00786754">
              <w:t xml:space="preserve"> discussions with the development banks have also raised these</w:t>
            </w:r>
            <w:r w:rsidRPr="00745FE3">
              <w:t xml:space="preserve"> issues.</w:t>
            </w:r>
          </w:p>
        </w:tc>
      </w:tr>
      <w:tr w:rsidR="00AD1420" w:rsidRPr="00745FE3" w:rsidTr="00044520">
        <w:trPr>
          <w:cantSplit/>
          <w:tblHeader w:val="0"/>
        </w:trPr>
        <w:tc>
          <w:tcPr>
            <w:tcW w:w="5100" w:type="dxa"/>
          </w:tcPr>
          <w:p w:rsidR="00AD1420" w:rsidRPr="00745FE3" w:rsidRDefault="00AD1420" w:rsidP="00044520">
            <w:pPr>
              <w:pStyle w:val="TableTextEntries"/>
            </w:pPr>
            <w:r w:rsidRPr="00745FE3">
              <w:t xml:space="preserve">Ongoing performance issues with the </w:t>
            </w:r>
            <w:r w:rsidR="00021F54">
              <w:t>Cambodia R</w:t>
            </w:r>
            <w:r w:rsidR="00174F50" w:rsidRPr="00745FE3">
              <w:t xml:space="preserve">ailway </w:t>
            </w:r>
            <w:r w:rsidR="00021F54">
              <w:t>R</w:t>
            </w:r>
            <w:r w:rsidR="00174F50" w:rsidRPr="00745FE3">
              <w:t xml:space="preserve">ehabilitation </w:t>
            </w:r>
            <w:r w:rsidR="00021F54">
              <w:t>Project</w:t>
            </w:r>
            <w:r w:rsidR="00021F54" w:rsidRPr="00745FE3">
              <w:t xml:space="preserve"> </w:t>
            </w:r>
            <w:r w:rsidRPr="00745FE3">
              <w:t xml:space="preserve">will be addressed in 2012 </w:t>
            </w:r>
            <w:r w:rsidR="00174F50">
              <w:t>by</w:t>
            </w:r>
            <w:r w:rsidR="00174F50" w:rsidRPr="00745FE3">
              <w:t xml:space="preserve"> </w:t>
            </w:r>
            <w:r w:rsidRPr="00745FE3">
              <w:t>develop</w:t>
            </w:r>
            <w:r w:rsidR="00174F50">
              <w:t xml:space="preserve">ing </w:t>
            </w:r>
            <w:r w:rsidRPr="00745FE3">
              <w:t xml:space="preserve">a policy paper </w:t>
            </w:r>
            <w:r w:rsidR="00174F50">
              <w:t xml:space="preserve">that </w:t>
            </w:r>
            <w:r w:rsidR="00174F50" w:rsidRPr="00745FE3">
              <w:t>canvasse</w:t>
            </w:r>
            <w:r w:rsidR="00174F50">
              <w:t xml:space="preserve">s </w:t>
            </w:r>
            <w:r w:rsidRPr="00745FE3">
              <w:t>options.</w:t>
            </w:r>
          </w:p>
        </w:tc>
        <w:tc>
          <w:tcPr>
            <w:tcW w:w="899" w:type="dxa"/>
            <w:tcBorders>
              <w:top w:val="nil"/>
              <w:bottom w:val="nil"/>
            </w:tcBorders>
            <w:shd w:val="clear" w:color="auto" w:fill="F79646" w:themeFill="accent6"/>
          </w:tcPr>
          <w:p w:rsidR="00AD1420" w:rsidRPr="00044520" w:rsidRDefault="00AD1420" w:rsidP="00044520">
            <w:pPr>
              <w:pStyle w:val="TableTextEntries"/>
            </w:pPr>
            <w:r w:rsidRPr="00044520">
              <w:t>Amber</w:t>
            </w:r>
          </w:p>
        </w:tc>
        <w:tc>
          <w:tcPr>
            <w:tcW w:w="5538" w:type="dxa"/>
          </w:tcPr>
          <w:p w:rsidR="00AD1420" w:rsidRPr="00745FE3" w:rsidRDefault="00697E76" w:rsidP="00044520">
            <w:pPr>
              <w:pStyle w:val="TableTextEntries"/>
            </w:pPr>
            <w:r>
              <w:t xml:space="preserve">Senior management </w:t>
            </w:r>
            <w:r w:rsidR="00174F50" w:rsidRPr="00745FE3">
              <w:t xml:space="preserve">endorsed </w:t>
            </w:r>
            <w:r w:rsidR="00174F50">
              <w:t>a</w:t>
            </w:r>
            <w:r w:rsidR="00174F50" w:rsidRPr="00745FE3">
              <w:t xml:space="preserve"> </w:t>
            </w:r>
            <w:r w:rsidR="00AD1420" w:rsidRPr="00745FE3">
              <w:t>policy paper in August 2012</w:t>
            </w:r>
            <w:r w:rsidR="00174F50">
              <w:t xml:space="preserve"> </w:t>
            </w:r>
            <w:r w:rsidR="00AD1420" w:rsidRPr="00745FE3">
              <w:t>call</w:t>
            </w:r>
            <w:r w:rsidR="00174F50">
              <w:t xml:space="preserve">ing </w:t>
            </w:r>
            <w:r w:rsidR="00AD1420" w:rsidRPr="00745FE3">
              <w:t xml:space="preserve">for funding to </w:t>
            </w:r>
            <w:r w:rsidR="00174F50">
              <w:t>be</w:t>
            </w:r>
            <w:r w:rsidR="00174F50" w:rsidRPr="00745FE3">
              <w:t xml:space="preserve"> fast</w:t>
            </w:r>
            <w:r w:rsidR="00476352">
              <w:t>-</w:t>
            </w:r>
            <w:r w:rsidR="00174F50" w:rsidRPr="00745FE3">
              <w:t>track</w:t>
            </w:r>
            <w:r w:rsidR="00174F50">
              <w:t>ed to</w:t>
            </w:r>
            <w:r w:rsidR="00174F50" w:rsidRPr="00745FE3">
              <w:t xml:space="preserve"> </w:t>
            </w:r>
            <w:r w:rsidR="00AD1420" w:rsidRPr="00745FE3">
              <w:t>break bottlenecks on civil works</w:t>
            </w:r>
            <w:r w:rsidR="00174F50">
              <w:t>,</w:t>
            </w:r>
            <w:r w:rsidR="00AD1420" w:rsidRPr="00745FE3">
              <w:t xml:space="preserve"> and </w:t>
            </w:r>
            <w:r w:rsidR="00174F50">
              <w:t xml:space="preserve">to </w:t>
            </w:r>
            <w:r w:rsidR="00AD1420" w:rsidRPr="00745FE3">
              <w:t xml:space="preserve">end our engagement on </w:t>
            </w:r>
            <w:r w:rsidR="00786754">
              <w:t>the civil works</w:t>
            </w:r>
            <w:r w:rsidR="00786754" w:rsidRPr="00745FE3">
              <w:t xml:space="preserve"> </w:t>
            </w:r>
            <w:r w:rsidR="00786754">
              <w:t>component of the project</w:t>
            </w:r>
            <w:r w:rsidR="00786754" w:rsidRPr="00745FE3">
              <w:t xml:space="preserve"> </w:t>
            </w:r>
            <w:r w:rsidR="00AD1420" w:rsidRPr="00745FE3">
              <w:t>by December 2013. An additional $1</w:t>
            </w:r>
            <w:r w:rsidR="00174F50">
              <w:t xml:space="preserve"> </w:t>
            </w:r>
            <w:r w:rsidR="00AD1420" w:rsidRPr="00745FE3">
              <w:t>m</w:t>
            </w:r>
            <w:r w:rsidR="00174F50">
              <w:t>illion</w:t>
            </w:r>
            <w:r w:rsidR="00AD1420" w:rsidRPr="00745FE3">
              <w:t xml:space="preserve"> was also committed for improving resettlement outcomes, where we will stay engaged until December 2014.</w:t>
            </w:r>
          </w:p>
          <w:p w:rsidR="00AD1420" w:rsidRPr="00745FE3" w:rsidRDefault="00AD1420" w:rsidP="00044520">
            <w:pPr>
              <w:pStyle w:val="TableTextEntries"/>
            </w:pPr>
            <w:r w:rsidRPr="00745FE3">
              <w:t>Results of these decisions are recorded under sectoral outcomes.</w:t>
            </w:r>
          </w:p>
        </w:tc>
      </w:tr>
      <w:tr w:rsidR="00AD1420" w:rsidRPr="00745FE3" w:rsidTr="00044520">
        <w:trPr>
          <w:cnfStyle w:val="000000010000" w:firstRow="0" w:lastRow="0" w:firstColumn="0" w:lastColumn="0" w:oddVBand="0" w:evenVBand="0" w:oddHBand="0" w:evenHBand="1" w:firstRowFirstColumn="0" w:firstRowLastColumn="0" w:lastRowFirstColumn="0" w:lastRowLastColumn="0"/>
          <w:cantSplit/>
          <w:tblHeader w:val="0"/>
        </w:trPr>
        <w:tc>
          <w:tcPr>
            <w:tcW w:w="11593" w:type="dxa"/>
            <w:gridSpan w:val="3"/>
          </w:tcPr>
          <w:p w:rsidR="00AD1420" w:rsidRPr="00044520" w:rsidRDefault="00AD1420" w:rsidP="00044520">
            <w:pPr>
              <w:pStyle w:val="TableHeading1"/>
              <w:rPr>
                <w:rFonts w:eastAsiaTheme="minorHAnsi"/>
                <w:b/>
              </w:rPr>
            </w:pPr>
            <w:r w:rsidRPr="00044520">
              <w:rPr>
                <w:rFonts w:eastAsiaTheme="minorHAnsi"/>
                <w:b/>
              </w:rPr>
              <w:lastRenderedPageBreak/>
              <w:t>Objective 4: Women, youth and children are safer and communities have less crime</w:t>
            </w:r>
            <w:r w:rsidR="006744D8" w:rsidRPr="00044520">
              <w:rPr>
                <w:rFonts w:eastAsiaTheme="minorHAnsi"/>
                <w:b/>
              </w:rPr>
              <w:t xml:space="preserve">, </w:t>
            </w:r>
            <w:r w:rsidR="00F23CA3" w:rsidRPr="00044520">
              <w:rPr>
                <w:rFonts w:eastAsiaTheme="minorHAnsi"/>
                <w:b/>
              </w:rPr>
              <w:t xml:space="preserve">a </w:t>
            </w:r>
            <w:r w:rsidRPr="00044520">
              <w:rPr>
                <w:rFonts w:eastAsiaTheme="minorHAnsi"/>
                <w:b/>
              </w:rPr>
              <w:t>more effective non-custodial sentencing system</w:t>
            </w:r>
            <w:r w:rsidR="006744D8" w:rsidRPr="00044520">
              <w:rPr>
                <w:rFonts w:eastAsiaTheme="minorHAnsi"/>
                <w:b/>
              </w:rPr>
              <w:t xml:space="preserve">, </w:t>
            </w:r>
            <w:r w:rsidRPr="00044520">
              <w:rPr>
                <w:rFonts w:eastAsiaTheme="minorHAnsi"/>
                <w:b/>
              </w:rPr>
              <w:t>strengthened evidence-based performance management</w:t>
            </w:r>
          </w:p>
        </w:tc>
      </w:tr>
      <w:tr w:rsidR="00AD1420" w:rsidRPr="00745FE3" w:rsidTr="00044520">
        <w:trPr>
          <w:cantSplit/>
          <w:tblHeader w:val="0"/>
        </w:trPr>
        <w:tc>
          <w:tcPr>
            <w:tcW w:w="5100" w:type="dxa"/>
          </w:tcPr>
          <w:p w:rsidR="00AD1420" w:rsidRPr="00745FE3" w:rsidRDefault="00AD1420" w:rsidP="00044520">
            <w:pPr>
              <w:pStyle w:val="TableTextEntries"/>
            </w:pPr>
            <w:r w:rsidRPr="00745FE3">
              <w:t xml:space="preserve">Australia’s plans to exit the law and justice sector at the end of the current country strategy period in 2015 will need to be factored into the design and tender of the new program. </w:t>
            </w:r>
          </w:p>
        </w:tc>
        <w:tc>
          <w:tcPr>
            <w:tcW w:w="899" w:type="dxa"/>
            <w:tcBorders>
              <w:top w:val="nil"/>
              <w:bottom w:val="nil"/>
            </w:tcBorders>
            <w:shd w:val="clear" w:color="auto" w:fill="92D050"/>
          </w:tcPr>
          <w:p w:rsidR="00AD1420" w:rsidRPr="00044520" w:rsidRDefault="00AD1420" w:rsidP="00044520">
            <w:pPr>
              <w:pStyle w:val="TableTextEntries"/>
            </w:pPr>
            <w:r w:rsidRPr="00044520">
              <w:t>Green</w:t>
            </w:r>
          </w:p>
        </w:tc>
        <w:tc>
          <w:tcPr>
            <w:tcW w:w="5538" w:type="dxa"/>
          </w:tcPr>
          <w:p w:rsidR="00AD1420" w:rsidRPr="00745FE3" w:rsidRDefault="00AD1420" w:rsidP="00044520">
            <w:pPr>
              <w:pStyle w:val="TableTextEntries"/>
            </w:pPr>
            <w:r w:rsidRPr="00745FE3">
              <w:t xml:space="preserve">Fully achieved. </w:t>
            </w:r>
          </w:p>
          <w:p w:rsidR="00AD1420" w:rsidRPr="00745FE3" w:rsidRDefault="00AD1420" w:rsidP="00044520">
            <w:pPr>
              <w:pStyle w:val="TableTextEntries"/>
            </w:pPr>
            <w:r w:rsidRPr="00745FE3">
              <w:t xml:space="preserve">Program management actions identified in the 2011 </w:t>
            </w:r>
            <w:r w:rsidR="00B84A7F">
              <w:t>APPR</w:t>
            </w:r>
            <w:r w:rsidR="00174F50" w:rsidRPr="00745FE3">
              <w:t xml:space="preserve"> </w:t>
            </w:r>
            <w:r w:rsidRPr="00745FE3">
              <w:t xml:space="preserve">related to the transition of </w:t>
            </w:r>
            <w:r w:rsidR="00174F50" w:rsidRPr="00100EFA">
              <w:rPr>
                <w:iCs/>
                <w:lang w:val="en-US"/>
              </w:rPr>
              <w:t>Cambodia</w:t>
            </w:r>
            <w:r w:rsidR="00174F50" w:rsidRPr="00100EFA">
              <w:rPr>
                <w:lang w:val="en-US"/>
              </w:rPr>
              <w:t xml:space="preserve"> Criminal Justice Assistance Project</w:t>
            </w:r>
            <w:r w:rsidR="00174F50" w:rsidRPr="00174F50" w:rsidDel="00174F50">
              <w:t xml:space="preserve"> </w:t>
            </w:r>
            <w:r w:rsidR="00100EFA" w:rsidRPr="00100EFA">
              <w:t xml:space="preserve">(CCJAP Phase 3) </w:t>
            </w:r>
            <w:r w:rsidRPr="00745FE3">
              <w:t>by shifting to</w:t>
            </w:r>
            <w:r w:rsidR="006744D8">
              <w:t xml:space="preserve"> a</w:t>
            </w:r>
            <w:r w:rsidRPr="00745FE3">
              <w:t xml:space="preserve"> new thematic approach </w:t>
            </w:r>
            <w:r w:rsidR="00EE7257">
              <w:t xml:space="preserve">in </w:t>
            </w:r>
            <w:r w:rsidRPr="00745FE3">
              <w:t>the final phase of law and justice sector support.</w:t>
            </w:r>
            <w:r w:rsidR="00CD6B2F">
              <w:t xml:space="preserve"> </w:t>
            </w:r>
            <w:r w:rsidRPr="00745FE3">
              <w:t xml:space="preserve">Although there was a delay in </w:t>
            </w:r>
            <w:r w:rsidR="00174F50">
              <w:t xml:space="preserve">the </w:t>
            </w:r>
            <w:r w:rsidRPr="00745FE3">
              <w:t xml:space="preserve">preparation phase, the program design and tendering was completed successfully leading to the implementation of </w:t>
            </w:r>
            <w:r w:rsidR="00174F50" w:rsidRPr="00100EFA">
              <w:rPr>
                <w:iCs/>
                <w:lang w:val="en-US"/>
              </w:rPr>
              <w:t>Cambodia</w:t>
            </w:r>
            <w:r w:rsidR="00174F50" w:rsidRPr="00100EFA">
              <w:rPr>
                <w:lang w:val="en-US"/>
              </w:rPr>
              <w:t xml:space="preserve"> </w:t>
            </w:r>
            <w:r w:rsidR="00EE7257" w:rsidRPr="00100EFA">
              <w:rPr>
                <w:lang w:val="en-US"/>
              </w:rPr>
              <w:t>Community</w:t>
            </w:r>
            <w:r w:rsidR="00174F50" w:rsidRPr="00100EFA">
              <w:rPr>
                <w:lang w:val="en-US"/>
              </w:rPr>
              <w:t xml:space="preserve"> Justice Assistance Project</w:t>
            </w:r>
            <w:r w:rsidR="00174F50" w:rsidRPr="00174F50" w:rsidDel="00174F50">
              <w:t xml:space="preserve"> </w:t>
            </w:r>
            <w:r w:rsidR="00100EFA" w:rsidRPr="00100EFA">
              <w:t xml:space="preserve">(CCJAP Phase 3) </w:t>
            </w:r>
            <w:r w:rsidRPr="00745FE3">
              <w:t xml:space="preserve">in April 2013. The program is guided by a </w:t>
            </w:r>
            <w:r w:rsidR="00174F50">
              <w:t>m</w:t>
            </w:r>
            <w:r w:rsidR="00174F50" w:rsidRPr="00745FE3">
              <w:t xml:space="preserve">emorandum </w:t>
            </w:r>
            <w:r w:rsidRPr="00745FE3">
              <w:t xml:space="preserve">of </w:t>
            </w:r>
            <w:r w:rsidR="00174F50">
              <w:t>s</w:t>
            </w:r>
            <w:r w:rsidR="00174F50" w:rsidRPr="00745FE3">
              <w:t xml:space="preserve">ubsidiary </w:t>
            </w:r>
            <w:r w:rsidR="00174F50">
              <w:t>a</w:t>
            </w:r>
            <w:r w:rsidR="00174F50" w:rsidRPr="00745FE3">
              <w:t xml:space="preserve">rrangement </w:t>
            </w:r>
            <w:r w:rsidRPr="00745FE3">
              <w:t xml:space="preserve">signed by both </w:t>
            </w:r>
            <w:r w:rsidR="00174F50">
              <w:t>the Australian</w:t>
            </w:r>
            <w:r w:rsidR="00174F50" w:rsidRPr="00745FE3">
              <w:t xml:space="preserve"> </w:t>
            </w:r>
            <w:r w:rsidRPr="00745FE3">
              <w:t xml:space="preserve">and </w:t>
            </w:r>
            <w:r w:rsidR="00174F50">
              <w:t xml:space="preserve">Cambodian </w:t>
            </w:r>
            <w:r w:rsidR="00181239">
              <w:t>government</w:t>
            </w:r>
            <w:r w:rsidR="00F23CA3">
              <w:t>s</w:t>
            </w:r>
            <w:r w:rsidR="00174F50" w:rsidRPr="00745FE3">
              <w:t xml:space="preserve"> </w:t>
            </w:r>
            <w:r w:rsidRPr="00745FE3">
              <w:t xml:space="preserve">in March 2013. The project was mobilised in early April 2013 with the </w:t>
            </w:r>
            <w:r w:rsidR="00117369" w:rsidRPr="00745FE3">
              <w:t>first annual</w:t>
            </w:r>
            <w:r w:rsidRPr="00745FE3">
              <w:t xml:space="preserve"> work plan expected in July 2013.</w:t>
            </w:r>
          </w:p>
        </w:tc>
      </w:tr>
      <w:tr w:rsidR="00AD1420" w:rsidRPr="00745FE3" w:rsidTr="00044520">
        <w:trPr>
          <w:cnfStyle w:val="000000010000" w:firstRow="0" w:lastRow="0" w:firstColumn="0" w:lastColumn="0" w:oddVBand="0" w:evenVBand="0" w:oddHBand="0" w:evenHBand="1" w:firstRowFirstColumn="0" w:firstRowLastColumn="0" w:lastRowFirstColumn="0" w:lastRowLastColumn="0"/>
          <w:cantSplit/>
          <w:tblHeader w:val="0"/>
        </w:trPr>
        <w:tc>
          <w:tcPr>
            <w:tcW w:w="5100" w:type="dxa"/>
          </w:tcPr>
          <w:p w:rsidR="00AD1420" w:rsidRPr="00745FE3" w:rsidRDefault="00AD1420" w:rsidP="00044520">
            <w:pPr>
              <w:pStyle w:val="TableTextEntries"/>
            </w:pPr>
            <w:r w:rsidRPr="00745FE3">
              <w:t>A new program to reduce violence against women will be designed in 2012. High rates of gender based violence persist in Cambodia and the program will pursue additional opportunities to reduce violence against women, including through increased services such as counselling for survivors.</w:t>
            </w:r>
          </w:p>
        </w:tc>
        <w:tc>
          <w:tcPr>
            <w:tcW w:w="899" w:type="dxa"/>
            <w:shd w:val="clear" w:color="auto" w:fill="F79646" w:themeFill="accent6"/>
          </w:tcPr>
          <w:p w:rsidR="00AD1420" w:rsidRPr="00044520" w:rsidRDefault="00AD1420" w:rsidP="00044520">
            <w:pPr>
              <w:pStyle w:val="TableTextEntries"/>
            </w:pPr>
            <w:r w:rsidRPr="00044520">
              <w:t>Amber</w:t>
            </w:r>
          </w:p>
        </w:tc>
        <w:tc>
          <w:tcPr>
            <w:tcW w:w="5538" w:type="dxa"/>
          </w:tcPr>
          <w:p w:rsidR="00AD1420" w:rsidRPr="00745FE3" w:rsidRDefault="00AD1420" w:rsidP="00044520">
            <w:pPr>
              <w:pStyle w:val="TableTextEntries"/>
            </w:pPr>
            <w:r w:rsidRPr="00745FE3">
              <w:t xml:space="preserve">Partly achieved. Design mission took place October 2012. Partner </w:t>
            </w:r>
            <w:r w:rsidR="00174F50">
              <w:t>g</w:t>
            </w:r>
            <w:r w:rsidR="00174F50" w:rsidRPr="00745FE3">
              <w:t xml:space="preserve">overnment </w:t>
            </w:r>
            <w:r w:rsidRPr="00745FE3">
              <w:t xml:space="preserve">comments received January 2013. Design due to be finalised by mid-2013 and implementation </w:t>
            </w:r>
            <w:r w:rsidR="00DC6027">
              <w:t>by the end of</w:t>
            </w:r>
            <w:r w:rsidR="00DC6027" w:rsidRPr="00745FE3">
              <w:t xml:space="preserve"> </w:t>
            </w:r>
            <w:r w:rsidRPr="00745FE3">
              <w:t xml:space="preserve">2013. </w:t>
            </w:r>
          </w:p>
        </w:tc>
      </w:tr>
      <w:tr w:rsidR="00AD1420" w:rsidRPr="00745FE3" w:rsidTr="00044520">
        <w:trPr>
          <w:cantSplit/>
          <w:tblHeader w:val="0"/>
        </w:trPr>
        <w:tc>
          <w:tcPr>
            <w:tcW w:w="11593" w:type="dxa"/>
            <w:gridSpan w:val="3"/>
          </w:tcPr>
          <w:p w:rsidR="00AD1420" w:rsidRPr="00044520" w:rsidRDefault="00AD1420" w:rsidP="00044520">
            <w:pPr>
              <w:pStyle w:val="TableHeading1"/>
              <w:rPr>
                <w:b/>
              </w:rPr>
            </w:pPr>
            <w:r w:rsidRPr="00044520">
              <w:rPr>
                <w:rFonts w:eastAsiaTheme="minorHAnsi"/>
                <w:b/>
              </w:rPr>
              <w:t>Cross-</w:t>
            </w:r>
            <w:r w:rsidR="00DC6027" w:rsidRPr="00044520">
              <w:rPr>
                <w:rFonts w:eastAsiaTheme="minorHAnsi"/>
                <w:b/>
              </w:rPr>
              <w:t>cutting themes</w:t>
            </w:r>
          </w:p>
        </w:tc>
      </w:tr>
      <w:tr w:rsidR="00AD1420" w:rsidRPr="00745FE3" w:rsidTr="00044520">
        <w:trPr>
          <w:cnfStyle w:val="000000010000" w:firstRow="0" w:lastRow="0" w:firstColumn="0" w:lastColumn="0" w:oddVBand="0" w:evenVBand="0" w:oddHBand="0" w:evenHBand="1" w:firstRowFirstColumn="0" w:firstRowLastColumn="0" w:lastRowFirstColumn="0" w:lastRowLastColumn="0"/>
          <w:cantSplit/>
          <w:tblHeader w:val="0"/>
        </w:trPr>
        <w:tc>
          <w:tcPr>
            <w:tcW w:w="5100" w:type="dxa"/>
          </w:tcPr>
          <w:p w:rsidR="00AD1420" w:rsidRPr="00745FE3" w:rsidRDefault="00AD1420" w:rsidP="00044520">
            <w:pPr>
              <w:pStyle w:val="TableTextEntries"/>
            </w:pPr>
            <w:r w:rsidRPr="00745FE3">
              <w:t>The current scholarships program ends in 2012 and will also go through the design and tender process in 2012</w:t>
            </w:r>
            <w:r w:rsidR="00DC6027">
              <w:t>–</w:t>
            </w:r>
            <w:r w:rsidRPr="00745FE3">
              <w:t>13.</w:t>
            </w:r>
          </w:p>
        </w:tc>
        <w:tc>
          <w:tcPr>
            <w:tcW w:w="899" w:type="dxa"/>
            <w:shd w:val="clear" w:color="auto" w:fill="92D050"/>
          </w:tcPr>
          <w:p w:rsidR="00AD1420" w:rsidRPr="00044520" w:rsidRDefault="00AD1420" w:rsidP="00044520">
            <w:pPr>
              <w:pStyle w:val="TableTextEntries"/>
            </w:pPr>
            <w:r w:rsidRPr="00044520">
              <w:t>Green</w:t>
            </w:r>
          </w:p>
        </w:tc>
        <w:tc>
          <w:tcPr>
            <w:tcW w:w="5538" w:type="dxa"/>
          </w:tcPr>
          <w:p w:rsidR="00AD1420" w:rsidRPr="00745FE3" w:rsidRDefault="00AD1420" w:rsidP="00044520">
            <w:pPr>
              <w:pStyle w:val="TableTextEntries"/>
            </w:pPr>
            <w:r w:rsidRPr="00745FE3">
              <w:t>Fully achieved.</w:t>
            </w:r>
            <w:r w:rsidR="00CD6B2F">
              <w:t xml:space="preserve"> </w:t>
            </w:r>
            <w:r w:rsidRPr="00745FE3">
              <w:t>The project was mobilised in March 2013</w:t>
            </w:r>
            <w:r w:rsidR="00DC6027">
              <w:t>.</w:t>
            </w:r>
          </w:p>
        </w:tc>
      </w:tr>
    </w:tbl>
    <w:p w:rsidR="00FE4491" w:rsidRPr="00745FE3" w:rsidRDefault="00FE4491" w:rsidP="00FE4491">
      <w:pPr>
        <w:pStyle w:val="Note"/>
      </w:pPr>
      <w:r w:rsidRPr="00745FE3">
        <w:t xml:space="preserve">Note: </w:t>
      </w:r>
    </w:p>
    <w:p w:rsidR="00FE4491" w:rsidRPr="00745FE3" w:rsidRDefault="00FE4491" w:rsidP="00FE4491">
      <w:pPr>
        <w:pStyle w:val="Note"/>
      </w:pPr>
      <w:r w:rsidRPr="00745FE3">
        <w:rPr>
          <w:color w:val="92D050"/>
        </w:rPr>
        <w:sym w:font="Webdings" w:char="F067"/>
      </w:r>
      <w:r w:rsidRPr="00745FE3">
        <w:t> </w:t>
      </w:r>
      <w:r w:rsidRPr="00745FE3">
        <w:t xml:space="preserve"> </w:t>
      </w:r>
      <w:proofErr w:type="gramStart"/>
      <w:r w:rsidR="00443639" w:rsidRPr="00745FE3">
        <w:t>Green</w:t>
      </w:r>
      <w:r w:rsidRPr="00745FE3">
        <w:t>.</w:t>
      </w:r>
      <w:proofErr w:type="gramEnd"/>
      <w:r w:rsidRPr="00745FE3">
        <w:rPr>
          <w:rFonts w:ascii="Times New Roman" w:hAnsi="Times New Roman"/>
        </w:rPr>
        <w:t xml:space="preserve"> </w:t>
      </w:r>
      <w:r w:rsidRPr="00745FE3">
        <w:t>Progress is as expected for this point in time and it is likely that the objective will be achieved. Standard program management practices are sufficient.</w:t>
      </w:r>
    </w:p>
    <w:p w:rsidR="00FE4491" w:rsidRPr="00745FE3" w:rsidRDefault="00FE4491" w:rsidP="00FE4491">
      <w:pPr>
        <w:pStyle w:val="Note"/>
      </w:pPr>
      <w:r w:rsidRPr="00745FE3">
        <w:rPr>
          <w:color w:val="F79646" w:themeColor="accent6"/>
        </w:rPr>
        <w:sym w:font="Webdings" w:char="F067"/>
      </w:r>
      <w:r w:rsidRPr="00745FE3">
        <w:t> </w:t>
      </w:r>
      <w:r w:rsidRPr="00745FE3">
        <w:t xml:space="preserve"> Amber. Progress is somewhat less than expected for this point in time and restorative action will be necessary if the objective is to be achieved. Close performance monitoring is recommended.</w:t>
      </w:r>
    </w:p>
    <w:p w:rsidR="00BB1C24" w:rsidRPr="00745FE3" w:rsidRDefault="00FE4491" w:rsidP="00FE4491">
      <w:pPr>
        <w:pStyle w:val="Note"/>
      </w:pPr>
      <w:r w:rsidRPr="00745FE3">
        <w:rPr>
          <w:color w:val="FF0000"/>
        </w:rPr>
        <w:sym w:font="Webdings" w:char="F067"/>
      </w:r>
      <w:r w:rsidRPr="00745FE3">
        <w:t> </w:t>
      </w:r>
      <w:r w:rsidRPr="00745FE3">
        <w:t xml:space="preserve"> </w:t>
      </w:r>
      <w:proofErr w:type="gramStart"/>
      <w:r w:rsidRPr="00745FE3">
        <w:t>Red.</w:t>
      </w:r>
      <w:proofErr w:type="gramEnd"/>
      <w:r w:rsidRPr="00745FE3">
        <w:rPr>
          <w:rFonts w:ascii="Times New Roman" w:hAnsi="Times New Roman"/>
        </w:rPr>
        <w:t xml:space="preserve"> </w:t>
      </w:r>
      <w:r w:rsidRPr="00745FE3">
        <w:t>Progress is significantly less than expected for this point in time and the objective is not likely to be met given available resources and priorities. Recasting the objective may be required.</w:t>
      </w:r>
    </w:p>
    <w:p w:rsidR="00FE4491" w:rsidRPr="00745FE3" w:rsidRDefault="00FE4491" w:rsidP="00FE4491">
      <w:pPr>
        <w:rPr>
          <w:sz w:val="22"/>
          <w:szCs w:val="22"/>
        </w:rPr>
        <w:sectPr w:rsidR="00FE4491" w:rsidRPr="00745FE3" w:rsidSect="007B265A">
          <w:headerReference w:type="default" r:id="rId14"/>
          <w:footerReference w:type="default" r:id="rId15"/>
          <w:headerReference w:type="first" r:id="rId16"/>
          <w:pgSz w:w="16839" w:h="11907" w:orient="landscape" w:code="9"/>
          <w:pgMar w:top="1871" w:right="2268" w:bottom="1134" w:left="907" w:header="709" w:footer="454" w:gutter="0"/>
          <w:cols w:space="708"/>
          <w:docGrid w:linePitch="360"/>
        </w:sectPr>
      </w:pPr>
    </w:p>
    <w:p w:rsidR="00FE4491" w:rsidRPr="00044520" w:rsidRDefault="00FE4491" w:rsidP="00044520">
      <w:pPr>
        <w:pStyle w:val="Heading1"/>
      </w:pPr>
      <w:r w:rsidRPr="00044520">
        <w:lastRenderedPageBreak/>
        <w:t xml:space="preserve">Annex B </w:t>
      </w:r>
    </w:p>
    <w:p w:rsidR="00FE4491" w:rsidRPr="00044520" w:rsidRDefault="00FE4491" w:rsidP="00044520">
      <w:pPr>
        <w:pStyle w:val="Heading2"/>
      </w:pPr>
      <w:r w:rsidRPr="00044520">
        <w:t>Quality at Implementation ratings</w:t>
      </w:r>
    </w:p>
    <w:tbl>
      <w:tblPr>
        <w:tblStyle w:val="APPR"/>
        <w:tblW w:w="5000" w:type="pct"/>
        <w:tblLayout w:type="fixed"/>
        <w:tblLook w:val="0000" w:firstRow="0" w:lastRow="0" w:firstColumn="0" w:lastColumn="0" w:noHBand="0" w:noVBand="0"/>
      </w:tblPr>
      <w:tblGrid>
        <w:gridCol w:w="2524"/>
        <w:gridCol w:w="1005"/>
        <w:gridCol w:w="850"/>
        <w:gridCol w:w="602"/>
        <w:gridCol w:w="602"/>
        <w:gridCol w:w="602"/>
        <w:gridCol w:w="602"/>
        <w:gridCol w:w="602"/>
        <w:gridCol w:w="602"/>
        <w:gridCol w:w="616"/>
      </w:tblGrid>
      <w:tr w:rsidR="003B2D6D" w:rsidRPr="00745FE3" w:rsidTr="00044520">
        <w:trPr>
          <w:cnfStyle w:val="000000010000" w:firstRow="0" w:lastRow="0" w:firstColumn="0" w:lastColumn="0" w:oddVBand="0" w:evenVBand="0" w:oddHBand="0" w:evenHBand="1" w:firstRowFirstColumn="0" w:firstRowLastColumn="0" w:lastRowFirstColumn="0" w:lastRowLastColumn="0"/>
          <w:trHeight w:val="1588"/>
        </w:trPr>
        <w:tc>
          <w:tcPr>
            <w:tcW w:w="1439" w:type="pct"/>
          </w:tcPr>
          <w:p w:rsidR="008C3AE8" w:rsidRPr="00745FE3" w:rsidRDefault="008C3AE8" w:rsidP="00044520">
            <w:pPr>
              <w:pStyle w:val="TableTextColumnHeading"/>
            </w:pPr>
            <w:r w:rsidRPr="00745FE3">
              <w:rPr>
                <w:noProof/>
                <w:lang w:eastAsia="en-AU"/>
              </w:rPr>
              <w:drawing>
                <wp:anchor distT="0" distB="0" distL="114300" distR="114300" simplePos="0" relativeHeight="251668480" behindDoc="0" locked="0" layoutInCell="1" allowOverlap="1" wp14:anchorId="2A847C4C" wp14:editId="37A132F9">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FE3">
              <w:t>Initiative name</w:t>
            </w:r>
          </w:p>
        </w:tc>
        <w:tc>
          <w:tcPr>
            <w:tcW w:w="566" w:type="pct"/>
            <w:textDirection w:val="btLr"/>
          </w:tcPr>
          <w:p w:rsidR="008C3AE8" w:rsidRPr="00745FE3" w:rsidRDefault="008C3AE8" w:rsidP="00044520">
            <w:pPr>
              <w:pStyle w:val="TableTextColumnHeading"/>
            </w:pPr>
            <w:r w:rsidRPr="00745FE3">
              <w:t>Approved budget and duration</w:t>
            </w:r>
          </w:p>
        </w:tc>
        <w:tc>
          <w:tcPr>
            <w:tcW w:w="476" w:type="pct"/>
            <w:textDirection w:val="btLr"/>
          </w:tcPr>
          <w:p w:rsidR="008C3AE8" w:rsidRPr="00745FE3" w:rsidRDefault="008C3AE8" w:rsidP="00044520">
            <w:pPr>
              <w:pStyle w:val="TableTextColumnHeading"/>
            </w:pPr>
            <w:proofErr w:type="spellStart"/>
            <w:r w:rsidRPr="00745FE3">
              <w:t>QaI</w:t>
            </w:r>
            <w:proofErr w:type="spellEnd"/>
            <w:r w:rsidRPr="00745FE3">
              <w:t xml:space="preserve"> year</w:t>
            </w:r>
          </w:p>
        </w:tc>
        <w:tc>
          <w:tcPr>
            <w:tcW w:w="333" w:type="pct"/>
            <w:textDirection w:val="btLr"/>
          </w:tcPr>
          <w:p w:rsidR="008C3AE8" w:rsidRPr="00745FE3" w:rsidRDefault="008C3AE8" w:rsidP="00044520">
            <w:pPr>
              <w:pStyle w:val="TableTextColumnHeading"/>
            </w:pPr>
            <w:r w:rsidRPr="00745FE3">
              <w:t>Relevance</w:t>
            </w:r>
          </w:p>
        </w:tc>
        <w:tc>
          <w:tcPr>
            <w:tcW w:w="333" w:type="pct"/>
            <w:textDirection w:val="btLr"/>
          </w:tcPr>
          <w:p w:rsidR="008C3AE8" w:rsidRPr="00745FE3" w:rsidRDefault="008C3AE8" w:rsidP="00044520">
            <w:pPr>
              <w:pStyle w:val="TableTextColumnHeading"/>
            </w:pPr>
            <w:r w:rsidRPr="00745FE3">
              <w:t>Effectiveness</w:t>
            </w:r>
          </w:p>
        </w:tc>
        <w:tc>
          <w:tcPr>
            <w:tcW w:w="333" w:type="pct"/>
            <w:textDirection w:val="btLr"/>
          </w:tcPr>
          <w:p w:rsidR="008C3AE8" w:rsidRPr="00745FE3" w:rsidRDefault="008C3AE8" w:rsidP="00044520">
            <w:pPr>
              <w:pStyle w:val="TableTextColumnHeading"/>
            </w:pPr>
            <w:r w:rsidRPr="00745FE3">
              <w:t>Efficiency</w:t>
            </w:r>
          </w:p>
        </w:tc>
        <w:tc>
          <w:tcPr>
            <w:tcW w:w="333" w:type="pct"/>
            <w:textDirection w:val="btLr"/>
          </w:tcPr>
          <w:p w:rsidR="008C3AE8" w:rsidRPr="00745FE3" w:rsidRDefault="008C3AE8" w:rsidP="00044520">
            <w:pPr>
              <w:pStyle w:val="TableTextColumnHeading"/>
            </w:pPr>
            <w:r w:rsidRPr="00745FE3">
              <w:t xml:space="preserve">Monitoring and </w:t>
            </w:r>
            <w:r w:rsidR="00773F84">
              <w:t>e</w:t>
            </w:r>
            <w:r w:rsidR="00773F84" w:rsidRPr="00745FE3">
              <w:t>valuation</w:t>
            </w:r>
          </w:p>
        </w:tc>
        <w:tc>
          <w:tcPr>
            <w:tcW w:w="333" w:type="pct"/>
            <w:textDirection w:val="btLr"/>
          </w:tcPr>
          <w:p w:rsidR="008C3AE8" w:rsidRPr="00745FE3" w:rsidRDefault="008C3AE8" w:rsidP="00044520">
            <w:pPr>
              <w:pStyle w:val="TableTextColumnHeading"/>
            </w:pPr>
            <w:r w:rsidRPr="00745FE3">
              <w:t>Sustainability</w:t>
            </w:r>
          </w:p>
        </w:tc>
        <w:tc>
          <w:tcPr>
            <w:tcW w:w="333" w:type="pct"/>
            <w:textDirection w:val="btLr"/>
          </w:tcPr>
          <w:p w:rsidR="008C3AE8" w:rsidRPr="00745FE3" w:rsidRDefault="008C3AE8" w:rsidP="00044520">
            <w:pPr>
              <w:pStyle w:val="TableTextColumnHeading"/>
            </w:pPr>
            <w:r w:rsidRPr="00745FE3">
              <w:t>Gender equality</w:t>
            </w:r>
          </w:p>
        </w:tc>
        <w:tc>
          <w:tcPr>
            <w:tcW w:w="333" w:type="pct"/>
            <w:textDirection w:val="btLr"/>
          </w:tcPr>
          <w:p w:rsidR="008C3AE8" w:rsidRPr="00745FE3" w:rsidRDefault="008C3AE8" w:rsidP="00044520">
            <w:pPr>
              <w:pStyle w:val="TableTextColumnHeading"/>
            </w:pPr>
            <w:r w:rsidRPr="00745FE3">
              <w:t xml:space="preserve">Risk </w:t>
            </w:r>
            <w:r w:rsidR="00773F84">
              <w:t>m</w:t>
            </w:r>
            <w:r w:rsidR="00773F84" w:rsidRPr="00745FE3">
              <w:t>anagement</w:t>
            </w:r>
          </w:p>
        </w:tc>
      </w:tr>
      <w:tr w:rsidR="00F77572" w:rsidRPr="00745FE3" w:rsidTr="00A71EEE">
        <w:trPr>
          <w:tblHeader w:val="0"/>
        </w:trPr>
        <w:tc>
          <w:tcPr>
            <w:tcW w:w="1439" w:type="pct"/>
            <w:vMerge w:val="restart"/>
          </w:tcPr>
          <w:p w:rsidR="009628B8" w:rsidRPr="00745FE3" w:rsidRDefault="009628B8" w:rsidP="00044520">
            <w:pPr>
              <w:pStyle w:val="TableTextEntries"/>
            </w:pPr>
            <w:r w:rsidRPr="00745FE3">
              <w:t>Cambodia Agricultural Value Chain Program</w:t>
            </w:r>
          </w:p>
        </w:tc>
        <w:tc>
          <w:tcPr>
            <w:tcW w:w="566" w:type="pct"/>
            <w:vMerge w:val="restart"/>
          </w:tcPr>
          <w:p w:rsidR="009628B8" w:rsidRPr="00745FE3" w:rsidRDefault="00773F84" w:rsidP="00044520">
            <w:pPr>
              <w:pStyle w:val="TableTextEntries"/>
            </w:pPr>
            <w:r>
              <w:t>$</w:t>
            </w:r>
            <w:r w:rsidR="009628B8" w:rsidRPr="00745FE3">
              <w:t>48</w:t>
            </w:r>
            <w:r>
              <w:t>m</w:t>
            </w:r>
            <w:r>
              <w:br/>
            </w:r>
            <w:r w:rsidR="009628B8" w:rsidRPr="00745FE3">
              <w:t>6.5 years</w:t>
            </w:r>
          </w:p>
        </w:tc>
        <w:tc>
          <w:tcPr>
            <w:tcW w:w="476" w:type="pct"/>
          </w:tcPr>
          <w:p w:rsidR="009628B8" w:rsidRPr="00745FE3" w:rsidRDefault="009628B8" w:rsidP="00044520">
            <w:pPr>
              <w:pStyle w:val="TableTextEntries"/>
            </w:pPr>
            <w:r w:rsidRPr="00745FE3">
              <w:t>2012</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6</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6</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6</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M</w:t>
            </w:r>
          </w:p>
        </w:tc>
      </w:tr>
      <w:tr w:rsidR="00F77572" w:rsidRPr="00745FE3" w:rsidTr="00A71EEE">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79646" w:themeFill="accent6"/>
          </w:tcPr>
          <w:p w:rsidR="009628B8" w:rsidRPr="00745FE3" w:rsidRDefault="009628B8" w:rsidP="00044520">
            <w:pPr>
              <w:pStyle w:val="TableTextEntries"/>
              <w:jc w:val="center"/>
            </w:pPr>
            <w:r w:rsidRPr="00745FE3">
              <w:t>3</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92D050"/>
          </w:tcPr>
          <w:p w:rsidR="009628B8" w:rsidRPr="00745FE3" w:rsidRDefault="00326997" w:rsidP="00044520">
            <w:pPr>
              <w:pStyle w:val="TableTextEntries"/>
              <w:jc w:val="center"/>
            </w:pPr>
            <w:r w:rsidRPr="00745FE3">
              <w:t>G</w:t>
            </w:r>
          </w:p>
        </w:tc>
      </w:tr>
      <w:tr w:rsidR="00F77572" w:rsidRPr="00745FE3" w:rsidTr="00A71EEE">
        <w:trPr>
          <w:tblHeader w:val="0"/>
        </w:trPr>
        <w:tc>
          <w:tcPr>
            <w:tcW w:w="1439" w:type="pct"/>
            <w:vMerge w:val="restart"/>
          </w:tcPr>
          <w:p w:rsidR="009628B8" w:rsidRPr="00745FE3" w:rsidRDefault="009628B8" w:rsidP="00044520">
            <w:pPr>
              <w:pStyle w:val="TableTextEntries"/>
            </w:pPr>
            <w:r w:rsidRPr="00745FE3">
              <w:t>Smallholder Agriculture and Social Protection</w:t>
            </w:r>
          </w:p>
        </w:tc>
        <w:tc>
          <w:tcPr>
            <w:tcW w:w="566" w:type="pct"/>
            <w:vMerge w:val="restart"/>
          </w:tcPr>
          <w:p w:rsidR="009628B8" w:rsidRPr="00745FE3" w:rsidRDefault="00773F84" w:rsidP="00044520">
            <w:pPr>
              <w:pStyle w:val="TableTextEntries"/>
            </w:pPr>
            <w:r>
              <w:t>$</w:t>
            </w:r>
            <w:r w:rsidR="009628B8" w:rsidRPr="00745FE3">
              <w:t>4.3</w:t>
            </w:r>
            <w:r>
              <w:t>m</w:t>
            </w:r>
            <w:r>
              <w:br/>
            </w:r>
            <w:r w:rsidR="006744D8">
              <w:t>three</w:t>
            </w:r>
            <w:r w:rsidR="009628B8" w:rsidRPr="00745FE3">
              <w:t xml:space="preserve"> years</w:t>
            </w:r>
          </w:p>
        </w:tc>
        <w:tc>
          <w:tcPr>
            <w:tcW w:w="476" w:type="pct"/>
          </w:tcPr>
          <w:p w:rsidR="009628B8" w:rsidRPr="00745FE3" w:rsidRDefault="009628B8" w:rsidP="00044520">
            <w:pPr>
              <w:pStyle w:val="TableTextEntries"/>
            </w:pPr>
            <w:r w:rsidRPr="00745FE3">
              <w:t>2012</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F79646" w:themeFill="accent6"/>
          </w:tcPr>
          <w:p w:rsidR="009628B8" w:rsidRPr="00745FE3" w:rsidRDefault="009628B8" w:rsidP="00044520">
            <w:pPr>
              <w:pStyle w:val="TableTextEntries"/>
              <w:jc w:val="center"/>
            </w:pPr>
            <w:r w:rsidRPr="00745FE3">
              <w:t>3</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M</w:t>
            </w:r>
          </w:p>
        </w:tc>
      </w:tr>
      <w:tr w:rsidR="00F77572" w:rsidRPr="00745FE3" w:rsidTr="00A71EEE">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79646" w:themeFill="accent6"/>
          </w:tcPr>
          <w:p w:rsidR="009628B8" w:rsidRPr="00745FE3" w:rsidRDefault="009628B8" w:rsidP="00044520">
            <w:pPr>
              <w:pStyle w:val="TableTextEntries"/>
              <w:jc w:val="center"/>
            </w:pPr>
            <w:r w:rsidRPr="00745FE3">
              <w:t>3</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92D050"/>
          </w:tcPr>
          <w:p w:rsidR="009628B8" w:rsidRPr="00745FE3" w:rsidRDefault="00326997" w:rsidP="00044520">
            <w:pPr>
              <w:pStyle w:val="TableTextEntries"/>
              <w:jc w:val="center"/>
            </w:pPr>
            <w:r w:rsidRPr="00745FE3">
              <w:t>G</w:t>
            </w:r>
          </w:p>
        </w:tc>
      </w:tr>
      <w:tr w:rsidR="00F77572" w:rsidRPr="00745FE3" w:rsidTr="00A71EEE">
        <w:trPr>
          <w:tblHeader w:val="0"/>
        </w:trPr>
        <w:tc>
          <w:tcPr>
            <w:tcW w:w="1439" w:type="pct"/>
            <w:vMerge w:val="restart"/>
          </w:tcPr>
          <w:p w:rsidR="009628B8" w:rsidRPr="00745FE3" w:rsidRDefault="009628B8" w:rsidP="00044520">
            <w:pPr>
              <w:pStyle w:val="TableTextEntries"/>
            </w:pPr>
            <w:r w:rsidRPr="00745FE3">
              <w:t>Clearing for Results Phase II</w:t>
            </w:r>
          </w:p>
        </w:tc>
        <w:tc>
          <w:tcPr>
            <w:tcW w:w="566" w:type="pct"/>
            <w:vMerge w:val="restart"/>
          </w:tcPr>
          <w:p w:rsidR="009628B8" w:rsidRPr="00745FE3" w:rsidRDefault="00773F84" w:rsidP="00044520">
            <w:pPr>
              <w:pStyle w:val="TableTextEntries"/>
            </w:pPr>
            <w:r>
              <w:t>$</w:t>
            </w:r>
            <w:r w:rsidR="009628B8" w:rsidRPr="00745FE3">
              <w:t>6.3</w:t>
            </w:r>
            <w:r>
              <w:t>m</w:t>
            </w:r>
            <w:r w:rsidR="009628B8" w:rsidRPr="00745FE3">
              <w:t xml:space="preserve"> </w:t>
            </w:r>
            <w:r>
              <w:br/>
            </w:r>
            <w:r w:rsidR="006744D8">
              <w:t>three</w:t>
            </w:r>
            <w:r w:rsidR="009628B8" w:rsidRPr="00745FE3">
              <w:t xml:space="preserve"> years</w:t>
            </w:r>
          </w:p>
        </w:tc>
        <w:tc>
          <w:tcPr>
            <w:tcW w:w="476" w:type="pct"/>
          </w:tcPr>
          <w:p w:rsidR="009628B8" w:rsidRPr="00745FE3" w:rsidRDefault="009628B8" w:rsidP="00044520">
            <w:pPr>
              <w:pStyle w:val="TableTextEntries"/>
            </w:pPr>
            <w:r w:rsidRPr="00745FE3">
              <w:t>2012</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6</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6</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6</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M</w:t>
            </w:r>
          </w:p>
        </w:tc>
      </w:tr>
      <w:tr w:rsidR="00F77572" w:rsidRPr="00745FE3" w:rsidTr="00A71EEE">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92D050"/>
          </w:tcPr>
          <w:p w:rsidR="009628B8" w:rsidRPr="00745FE3" w:rsidRDefault="00326997" w:rsidP="00044520">
            <w:pPr>
              <w:pStyle w:val="TableTextEntries"/>
              <w:jc w:val="center"/>
            </w:pPr>
            <w:r w:rsidRPr="00745FE3">
              <w:t>G</w:t>
            </w:r>
          </w:p>
        </w:tc>
      </w:tr>
      <w:tr w:rsidR="00F77572" w:rsidRPr="00745FE3" w:rsidTr="00A71EEE">
        <w:trPr>
          <w:tblHeader w:val="0"/>
        </w:trPr>
        <w:tc>
          <w:tcPr>
            <w:tcW w:w="1439" w:type="pct"/>
            <w:vMerge w:val="restart"/>
          </w:tcPr>
          <w:p w:rsidR="009628B8" w:rsidRPr="00745FE3" w:rsidRDefault="009628B8" w:rsidP="00044520">
            <w:pPr>
              <w:pStyle w:val="TableTextEntries"/>
            </w:pPr>
            <w:r w:rsidRPr="00745FE3">
              <w:t>Cambodia Delivering Better Health</w:t>
            </w:r>
          </w:p>
        </w:tc>
        <w:tc>
          <w:tcPr>
            <w:tcW w:w="566" w:type="pct"/>
            <w:vMerge w:val="restart"/>
          </w:tcPr>
          <w:p w:rsidR="009628B8" w:rsidRPr="00745FE3" w:rsidRDefault="00773F84" w:rsidP="00044520">
            <w:pPr>
              <w:pStyle w:val="TableTextEntries"/>
            </w:pPr>
            <w:r>
              <w:t>$</w:t>
            </w:r>
            <w:r w:rsidR="009628B8" w:rsidRPr="00745FE3">
              <w:t>74.8</w:t>
            </w:r>
            <w:r>
              <w:t>m</w:t>
            </w:r>
            <w:r>
              <w:br/>
            </w:r>
            <w:r w:rsidR="009628B8" w:rsidRPr="00745FE3">
              <w:t>8.5 years</w:t>
            </w:r>
          </w:p>
        </w:tc>
        <w:tc>
          <w:tcPr>
            <w:tcW w:w="476" w:type="pct"/>
          </w:tcPr>
          <w:p w:rsidR="009628B8" w:rsidRPr="00745FE3" w:rsidRDefault="009628B8" w:rsidP="00044520">
            <w:pPr>
              <w:pStyle w:val="TableTextEntries"/>
            </w:pPr>
            <w:r w:rsidRPr="00745FE3">
              <w:t>2012</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F79646" w:themeFill="accent6"/>
          </w:tcPr>
          <w:p w:rsidR="009628B8" w:rsidRPr="00745FE3" w:rsidRDefault="009628B8" w:rsidP="00044520">
            <w:pPr>
              <w:pStyle w:val="TableTextEntries"/>
              <w:jc w:val="center"/>
            </w:pPr>
            <w:r w:rsidRPr="00745FE3">
              <w:t>3</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M</w:t>
            </w:r>
          </w:p>
        </w:tc>
      </w:tr>
      <w:tr w:rsidR="00F77572" w:rsidRPr="00745FE3" w:rsidTr="00A71EEE">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92D050"/>
          </w:tcPr>
          <w:p w:rsidR="009628B8" w:rsidRPr="00745FE3" w:rsidRDefault="00326997" w:rsidP="00044520">
            <w:pPr>
              <w:pStyle w:val="TableTextEntries"/>
              <w:jc w:val="center"/>
            </w:pPr>
            <w:r w:rsidRPr="00745FE3">
              <w:t>G</w:t>
            </w:r>
          </w:p>
        </w:tc>
      </w:tr>
      <w:tr w:rsidR="00F77572" w:rsidRPr="00745FE3" w:rsidTr="00A71EEE">
        <w:trPr>
          <w:tblHeader w:val="0"/>
        </w:trPr>
        <w:tc>
          <w:tcPr>
            <w:tcW w:w="1439" w:type="pct"/>
            <w:vMerge w:val="restart"/>
          </w:tcPr>
          <w:p w:rsidR="009628B8" w:rsidRPr="00745FE3" w:rsidRDefault="00021F54" w:rsidP="00044520">
            <w:pPr>
              <w:pStyle w:val="TableTextEntries"/>
            </w:pPr>
            <w:r w:rsidRPr="00745FE3">
              <w:t xml:space="preserve">Cambodia Railway </w:t>
            </w:r>
            <w:r w:rsidR="009628B8" w:rsidRPr="00745FE3">
              <w:t xml:space="preserve">Rehabilitation </w:t>
            </w:r>
            <w:r w:rsidRPr="00745FE3">
              <w:t xml:space="preserve">Project </w:t>
            </w:r>
          </w:p>
        </w:tc>
        <w:tc>
          <w:tcPr>
            <w:tcW w:w="566" w:type="pct"/>
            <w:vMerge w:val="restart"/>
          </w:tcPr>
          <w:p w:rsidR="009628B8" w:rsidRPr="00745FE3" w:rsidRDefault="00773F84" w:rsidP="00044520">
            <w:pPr>
              <w:pStyle w:val="TableTextEntries"/>
            </w:pPr>
            <w:r>
              <w:t>$</w:t>
            </w:r>
            <w:r w:rsidR="009628B8" w:rsidRPr="00745FE3">
              <w:t>27.7</w:t>
            </w:r>
            <w:r>
              <w:t>m</w:t>
            </w:r>
            <w:r>
              <w:br/>
            </w:r>
            <w:r w:rsidR="009628B8" w:rsidRPr="00745FE3">
              <w:t>4.5 years</w:t>
            </w:r>
          </w:p>
        </w:tc>
        <w:tc>
          <w:tcPr>
            <w:tcW w:w="476" w:type="pct"/>
          </w:tcPr>
          <w:p w:rsidR="009628B8" w:rsidRPr="00745FE3" w:rsidRDefault="009628B8" w:rsidP="00044520">
            <w:pPr>
              <w:pStyle w:val="TableTextEntries"/>
            </w:pPr>
            <w:r w:rsidRPr="00745FE3">
              <w:t>2012</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6</w:t>
            </w:r>
          </w:p>
        </w:tc>
        <w:tc>
          <w:tcPr>
            <w:tcW w:w="333" w:type="pct"/>
            <w:tcBorders>
              <w:top w:val="nil"/>
              <w:bottom w:val="nil"/>
            </w:tcBorders>
            <w:shd w:val="clear" w:color="auto" w:fill="F79646" w:themeFill="accent6"/>
          </w:tcPr>
          <w:p w:rsidR="009628B8" w:rsidRPr="00745FE3" w:rsidRDefault="009628B8" w:rsidP="00044520">
            <w:pPr>
              <w:pStyle w:val="TableTextEntries"/>
              <w:jc w:val="center"/>
            </w:pPr>
            <w:r w:rsidRPr="00745FE3">
              <w:t>3</w:t>
            </w:r>
          </w:p>
        </w:tc>
        <w:tc>
          <w:tcPr>
            <w:tcW w:w="333" w:type="pct"/>
            <w:tcBorders>
              <w:top w:val="nil"/>
              <w:bottom w:val="nil"/>
            </w:tcBorders>
            <w:shd w:val="clear" w:color="auto" w:fill="FF0000"/>
          </w:tcPr>
          <w:p w:rsidR="009628B8" w:rsidRPr="00745FE3" w:rsidRDefault="009628B8" w:rsidP="00044520">
            <w:pPr>
              <w:pStyle w:val="TableTextEntries"/>
              <w:jc w:val="center"/>
            </w:pPr>
            <w:r w:rsidRPr="00745FE3">
              <w:t>2</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F79646" w:themeFill="accent6"/>
          </w:tcPr>
          <w:p w:rsidR="009628B8" w:rsidRPr="00745FE3" w:rsidRDefault="009628B8" w:rsidP="00044520">
            <w:pPr>
              <w:pStyle w:val="TableTextEntries"/>
              <w:jc w:val="center"/>
            </w:pPr>
            <w:r w:rsidRPr="00745FE3">
              <w:t>I</w:t>
            </w:r>
          </w:p>
        </w:tc>
      </w:tr>
      <w:tr w:rsidR="00F77572" w:rsidRPr="00745FE3" w:rsidTr="00A71EEE">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shd w:val="clear" w:color="auto" w:fill="92D050"/>
          </w:tcPr>
          <w:p w:rsidR="009628B8" w:rsidRPr="00745FE3" w:rsidRDefault="009628B8" w:rsidP="00044520">
            <w:pPr>
              <w:pStyle w:val="TableTextEntries"/>
              <w:jc w:val="center"/>
            </w:pPr>
            <w:r w:rsidRPr="00745FE3">
              <w:t>6</w:t>
            </w:r>
          </w:p>
        </w:tc>
        <w:tc>
          <w:tcPr>
            <w:tcW w:w="333" w:type="pct"/>
            <w:shd w:val="clear" w:color="auto" w:fill="FF0000"/>
          </w:tcPr>
          <w:p w:rsidR="009628B8" w:rsidRPr="00745FE3" w:rsidRDefault="009628B8" w:rsidP="00044520">
            <w:pPr>
              <w:pStyle w:val="TableTextEntries"/>
              <w:jc w:val="center"/>
            </w:pPr>
            <w:r w:rsidRPr="00745FE3">
              <w:t>2</w:t>
            </w:r>
          </w:p>
        </w:tc>
        <w:tc>
          <w:tcPr>
            <w:tcW w:w="333" w:type="pct"/>
            <w:shd w:val="clear" w:color="auto" w:fill="FF0000"/>
          </w:tcPr>
          <w:p w:rsidR="009628B8" w:rsidRPr="00745FE3" w:rsidRDefault="009628B8" w:rsidP="00044520">
            <w:pPr>
              <w:pStyle w:val="TableTextEntries"/>
              <w:jc w:val="center"/>
            </w:pPr>
            <w:r w:rsidRPr="00745FE3">
              <w:t>2</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79646" w:themeFill="accent6"/>
          </w:tcPr>
          <w:p w:rsidR="009628B8" w:rsidRPr="00745FE3" w:rsidRDefault="00326997" w:rsidP="00044520">
            <w:pPr>
              <w:pStyle w:val="TableTextEntries"/>
              <w:jc w:val="center"/>
            </w:pPr>
            <w:r w:rsidRPr="00745FE3">
              <w:t>A</w:t>
            </w:r>
          </w:p>
        </w:tc>
      </w:tr>
      <w:tr w:rsidR="00F77572" w:rsidRPr="00745FE3" w:rsidTr="00A71EEE">
        <w:trPr>
          <w:tblHeader w:val="0"/>
        </w:trPr>
        <w:tc>
          <w:tcPr>
            <w:tcW w:w="1439" w:type="pct"/>
            <w:vMerge w:val="restart"/>
          </w:tcPr>
          <w:p w:rsidR="009628B8" w:rsidRPr="00745FE3" w:rsidRDefault="009628B8" w:rsidP="00044520">
            <w:pPr>
              <w:pStyle w:val="TableTextEntries"/>
            </w:pPr>
            <w:r w:rsidRPr="00745FE3">
              <w:t>Southern Coastal Corridor Cambodia</w:t>
            </w:r>
          </w:p>
        </w:tc>
        <w:tc>
          <w:tcPr>
            <w:tcW w:w="566" w:type="pct"/>
            <w:vMerge w:val="restart"/>
          </w:tcPr>
          <w:p w:rsidR="009628B8" w:rsidRPr="00745FE3" w:rsidRDefault="00773F84" w:rsidP="00044520">
            <w:pPr>
              <w:pStyle w:val="TableTextEntries"/>
            </w:pPr>
            <w:r>
              <w:t>$</w:t>
            </w:r>
            <w:r w:rsidR="009628B8" w:rsidRPr="00745FE3">
              <w:t>10.3</w:t>
            </w:r>
            <w:r>
              <w:t>m</w:t>
            </w:r>
            <w:r>
              <w:br/>
            </w:r>
            <w:r w:rsidR="009628B8" w:rsidRPr="00745FE3">
              <w:t>7.5 years</w:t>
            </w:r>
          </w:p>
        </w:tc>
        <w:tc>
          <w:tcPr>
            <w:tcW w:w="476" w:type="pct"/>
          </w:tcPr>
          <w:p w:rsidR="009628B8" w:rsidRPr="00745FE3" w:rsidRDefault="009628B8" w:rsidP="00044520">
            <w:pPr>
              <w:pStyle w:val="TableTextEntries"/>
            </w:pPr>
            <w:r w:rsidRPr="00745FE3">
              <w:t>2012</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F79646" w:themeFill="accent6"/>
          </w:tcPr>
          <w:p w:rsidR="009628B8" w:rsidRPr="00745FE3" w:rsidRDefault="009628B8" w:rsidP="00044520">
            <w:pPr>
              <w:pStyle w:val="TableTextEntries"/>
              <w:jc w:val="center"/>
            </w:pPr>
            <w:r w:rsidRPr="00745FE3">
              <w:t>3</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M</w:t>
            </w:r>
          </w:p>
        </w:tc>
      </w:tr>
      <w:tr w:rsidR="00F77572" w:rsidRPr="00745FE3" w:rsidTr="00A71EEE">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92D050"/>
          </w:tcPr>
          <w:p w:rsidR="009628B8" w:rsidRPr="00745FE3" w:rsidRDefault="00326997" w:rsidP="00044520">
            <w:pPr>
              <w:pStyle w:val="TableTextEntries"/>
              <w:jc w:val="center"/>
            </w:pPr>
            <w:r w:rsidRPr="00745FE3">
              <w:t>G</w:t>
            </w:r>
          </w:p>
        </w:tc>
      </w:tr>
      <w:tr w:rsidR="00F77572" w:rsidRPr="00745FE3" w:rsidTr="00A71EEE">
        <w:trPr>
          <w:tblHeader w:val="0"/>
        </w:trPr>
        <w:tc>
          <w:tcPr>
            <w:tcW w:w="1439" w:type="pct"/>
            <w:vMerge w:val="restart"/>
          </w:tcPr>
          <w:p w:rsidR="009628B8" w:rsidRPr="00745FE3" w:rsidRDefault="009628B8" w:rsidP="00044520">
            <w:pPr>
              <w:pStyle w:val="TableTextEntries"/>
            </w:pPr>
            <w:r w:rsidRPr="00745FE3">
              <w:t>Cambodia Road Asset Maintenance Project</w:t>
            </w:r>
          </w:p>
        </w:tc>
        <w:tc>
          <w:tcPr>
            <w:tcW w:w="566" w:type="pct"/>
            <w:vMerge w:val="restart"/>
          </w:tcPr>
          <w:p w:rsidR="009628B8" w:rsidRPr="00745FE3" w:rsidRDefault="00773F84" w:rsidP="00044520">
            <w:pPr>
              <w:pStyle w:val="TableTextEntries"/>
            </w:pPr>
            <w:r>
              <w:t>$</w:t>
            </w:r>
            <w:r w:rsidR="009628B8" w:rsidRPr="00745FE3">
              <w:t>6.0</w:t>
            </w:r>
            <w:r>
              <w:t>m</w:t>
            </w:r>
            <w:r>
              <w:br/>
            </w:r>
            <w:r w:rsidR="006744D8">
              <w:t>six</w:t>
            </w:r>
            <w:r w:rsidR="009628B8" w:rsidRPr="00745FE3">
              <w:t xml:space="preserve"> years</w:t>
            </w:r>
          </w:p>
        </w:tc>
        <w:tc>
          <w:tcPr>
            <w:tcW w:w="476" w:type="pct"/>
          </w:tcPr>
          <w:p w:rsidR="009628B8" w:rsidRPr="00745FE3" w:rsidRDefault="009628B8" w:rsidP="00044520">
            <w:pPr>
              <w:pStyle w:val="TableTextEntries"/>
            </w:pPr>
            <w:r w:rsidRPr="00745FE3">
              <w:t>2012</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F79646" w:themeFill="accent6"/>
          </w:tcPr>
          <w:p w:rsidR="009628B8" w:rsidRPr="00745FE3" w:rsidRDefault="009628B8" w:rsidP="00044520">
            <w:pPr>
              <w:pStyle w:val="TableTextEntries"/>
              <w:jc w:val="center"/>
            </w:pPr>
            <w:r w:rsidRPr="00745FE3">
              <w:t>3</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F79646" w:themeFill="accent6"/>
          </w:tcPr>
          <w:p w:rsidR="009628B8" w:rsidRPr="00745FE3" w:rsidRDefault="009628B8" w:rsidP="00044520">
            <w:pPr>
              <w:pStyle w:val="TableTextEntries"/>
              <w:jc w:val="center"/>
            </w:pPr>
            <w:r w:rsidRPr="00745FE3">
              <w:t>3</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M</w:t>
            </w:r>
          </w:p>
        </w:tc>
      </w:tr>
      <w:tr w:rsidR="00F77572" w:rsidRPr="00745FE3" w:rsidTr="00A71EEE">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79646" w:themeFill="accent6"/>
          </w:tcPr>
          <w:p w:rsidR="009628B8" w:rsidRPr="00745FE3" w:rsidRDefault="009628B8" w:rsidP="00044520">
            <w:pPr>
              <w:pStyle w:val="TableTextEntries"/>
              <w:jc w:val="center"/>
            </w:pPr>
            <w:r w:rsidRPr="00745FE3">
              <w:t>3</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92D050"/>
          </w:tcPr>
          <w:p w:rsidR="009628B8" w:rsidRPr="00745FE3" w:rsidRDefault="00326997" w:rsidP="00044520">
            <w:pPr>
              <w:pStyle w:val="TableTextEntries"/>
              <w:jc w:val="center"/>
            </w:pPr>
            <w:r w:rsidRPr="00745FE3">
              <w:t>G</w:t>
            </w:r>
          </w:p>
        </w:tc>
      </w:tr>
      <w:tr w:rsidR="00F77572" w:rsidRPr="00745FE3" w:rsidTr="00A71EEE">
        <w:trPr>
          <w:tblHeader w:val="0"/>
        </w:trPr>
        <w:tc>
          <w:tcPr>
            <w:tcW w:w="1439" w:type="pct"/>
            <w:vMerge w:val="restart"/>
          </w:tcPr>
          <w:p w:rsidR="009628B8" w:rsidRPr="00745FE3" w:rsidRDefault="009628B8" w:rsidP="00044520">
            <w:pPr>
              <w:pStyle w:val="TableTextEntries"/>
            </w:pPr>
            <w:r w:rsidRPr="00745FE3">
              <w:t>Cambodia Emergency Flood Rehabilitation Project</w:t>
            </w:r>
          </w:p>
        </w:tc>
        <w:tc>
          <w:tcPr>
            <w:tcW w:w="566" w:type="pct"/>
            <w:vMerge w:val="restart"/>
          </w:tcPr>
          <w:p w:rsidR="009628B8" w:rsidRPr="00745FE3" w:rsidRDefault="00773F84" w:rsidP="00044520">
            <w:pPr>
              <w:pStyle w:val="TableTextEntries"/>
            </w:pPr>
            <w:r>
              <w:t>$</w:t>
            </w:r>
            <w:r w:rsidR="009628B8" w:rsidRPr="00745FE3">
              <w:t>5.0</w:t>
            </w:r>
            <w:r>
              <w:t>m</w:t>
            </w:r>
            <w:r w:rsidR="006744D8">
              <w:br/>
              <w:t xml:space="preserve">three </w:t>
            </w:r>
            <w:r w:rsidR="009628B8" w:rsidRPr="00745FE3">
              <w:t>years</w:t>
            </w:r>
          </w:p>
        </w:tc>
        <w:tc>
          <w:tcPr>
            <w:tcW w:w="476" w:type="pct"/>
          </w:tcPr>
          <w:p w:rsidR="009628B8" w:rsidRPr="00745FE3" w:rsidRDefault="009628B8" w:rsidP="00044520">
            <w:pPr>
              <w:pStyle w:val="TableTextEntries"/>
            </w:pPr>
            <w:r w:rsidRPr="00745FE3">
              <w:t>2012</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M</w:t>
            </w:r>
          </w:p>
        </w:tc>
      </w:tr>
      <w:tr w:rsidR="009628B8" w:rsidRPr="00745FE3" w:rsidTr="00044520">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r>
      <w:tr w:rsidR="009628B8" w:rsidRPr="00745FE3" w:rsidTr="00044520">
        <w:trPr>
          <w:tblHeader w:val="0"/>
        </w:trPr>
        <w:tc>
          <w:tcPr>
            <w:tcW w:w="1439" w:type="pct"/>
            <w:vMerge w:val="restart"/>
          </w:tcPr>
          <w:p w:rsidR="009628B8" w:rsidRPr="00745FE3" w:rsidRDefault="009628B8" w:rsidP="00044520">
            <w:pPr>
              <w:pStyle w:val="TableTextEntries"/>
            </w:pPr>
            <w:r w:rsidRPr="00745FE3">
              <w:t>Rural Electrification and Transmission Project</w:t>
            </w:r>
          </w:p>
        </w:tc>
        <w:tc>
          <w:tcPr>
            <w:tcW w:w="566" w:type="pct"/>
            <w:vMerge w:val="restart"/>
          </w:tcPr>
          <w:p w:rsidR="009628B8" w:rsidRPr="00745FE3" w:rsidRDefault="00773F84" w:rsidP="00044520">
            <w:pPr>
              <w:pStyle w:val="TableTextEntries"/>
            </w:pPr>
            <w:r>
              <w:t>$</w:t>
            </w:r>
            <w:r w:rsidR="009628B8" w:rsidRPr="00745FE3">
              <w:t>7.7</w:t>
            </w:r>
            <w:r>
              <w:t>m</w:t>
            </w:r>
            <w:r>
              <w:br/>
            </w:r>
            <w:r w:rsidR="006744D8">
              <w:t>six</w:t>
            </w:r>
            <w:r w:rsidR="009628B8" w:rsidRPr="00745FE3">
              <w:t xml:space="preserve"> years</w:t>
            </w:r>
          </w:p>
        </w:tc>
        <w:tc>
          <w:tcPr>
            <w:tcW w:w="476" w:type="pct"/>
          </w:tcPr>
          <w:p w:rsidR="009628B8" w:rsidRPr="00745FE3" w:rsidRDefault="009628B8" w:rsidP="00044520">
            <w:pPr>
              <w:pStyle w:val="TableTextEntries"/>
            </w:pPr>
            <w:r w:rsidRPr="00745FE3">
              <w:t>2012</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n/a</w:t>
            </w:r>
          </w:p>
        </w:tc>
      </w:tr>
      <w:tr w:rsidR="009628B8" w:rsidRPr="00745FE3" w:rsidTr="00044520">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n/a</w:t>
            </w:r>
          </w:p>
        </w:tc>
      </w:tr>
      <w:tr w:rsidR="00F77572" w:rsidRPr="00745FE3" w:rsidTr="00A71EEE">
        <w:trPr>
          <w:tblHeader w:val="0"/>
        </w:trPr>
        <w:tc>
          <w:tcPr>
            <w:tcW w:w="1439" w:type="pct"/>
            <w:vMerge w:val="restart"/>
          </w:tcPr>
          <w:p w:rsidR="009628B8" w:rsidRPr="00745FE3" w:rsidRDefault="009628B8" w:rsidP="00044520">
            <w:pPr>
              <w:pStyle w:val="TableTextEntries"/>
            </w:pPr>
            <w:r w:rsidRPr="00100EFA">
              <w:t>Cambodia Criminal Justice Assistance Initiative</w:t>
            </w:r>
          </w:p>
        </w:tc>
        <w:tc>
          <w:tcPr>
            <w:tcW w:w="566" w:type="pct"/>
            <w:vMerge w:val="restart"/>
          </w:tcPr>
          <w:p w:rsidR="009628B8" w:rsidRPr="00745FE3" w:rsidRDefault="00773F84" w:rsidP="00044520">
            <w:pPr>
              <w:pStyle w:val="TableTextEntries"/>
            </w:pPr>
            <w:r>
              <w:t>$</w:t>
            </w:r>
            <w:r w:rsidR="009628B8" w:rsidRPr="00745FE3">
              <w:t>23.0</w:t>
            </w:r>
            <w:r>
              <w:t>m</w:t>
            </w:r>
            <w:r>
              <w:br/>
            </w:r>
            <w:r w:rsidR="006744D8">
              <w:t>five</w:t>
            </w:r>
            <w:r w:rsidR="009628B8" w:rsidRPr="00745FE3">
              <w:t xml:space="preserve"> years</w:t>
            </w:r>
          </w:p>
        </w:tc>
        <w:tc>
          <w:tcPr>
            <w:tcW w:w="476" w:type="pct"/>
          </w:tcPr>
          <w:p w:rsidR="009628B8" w:rsidRPr="00745FE3" w:rsidRDefault="009628B8" w:rsidP="00044520">
            <w:pPr>
              <w:pStyle w:val="TableTextEntries"/>
            </w:pPr>
            <w:r w:rsidRPr="00745FE3">
              <w:t>2012</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M</w:t>
            </w:r>
          </w:p>
        </w:tc>
      </w:tr>
      <w:tr w:rsidR="00F77572" w:rsidRPr="00745FE3" w:rsidTr="00A71EEE">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92D050"/>
          </w:tcPr>
          <w:p w:rsidR="009628B8" w:rsidRPr="00745FE3" w:rsidRDefault="00326997" w:rsidP="00044520">
            <w:pPr>
              <w:pStyle w:val="TableTextEntries"/>
              <w:jc w:val="center"/>
            </w:pPr>
            <w:r w:rsidRPr="00745FE3">
              <w:t>G</w:t>
            </w:r>
          </w:p>
        </w:tc>
      </w:tr>
      <w:tr w:rsidR="00F77572" w:rsidRPr="00745FE3" w:rsidTr="00A71EEE">
        <w:trPr>
          <w:tblHeader w:val="0"/>
        </w:trPr>
        <w:tc>
          <w:tcPr>
            <w:tcW w:w="1439" w:type="pct"/>
            <w:vMerge w:val="restart"/>
          </w:tcPr>
          <w:p w:rsidR="009628B8" w:rsidRPr="00745FE3" w:rsidRDefault="009628B8" w:rsidP="00044520">
            <w:pPr>
              <w:pStyle w:val="TableTextEntries"/>
            </w:pPr>
            <w:r w:rsidRPr="00745FE3">
              <w:t>Cambodia Law and Justice Sector Support</w:t>
            </w:r>
          </w:p>
        </w:tc>
        <w:tc>
          <w:tcPr>
            <w:tcW w:w="566" w:type="pct"/>
            <w:vMerge w:val="restart"/>
          </w:tcPr>
          <w:p w:rsidR="009628B8" w:rsidRPr="00745FE3" w:rsidRDefault="00181239" w:rsidP="00044520">
            <w:pPr>
              <w:pStyle w:val="TableTextEntries"/>
            </w:pPr>
            <w:r>
              <w:t>$</w:t>
            </w:r>
            <w:r w:rsidR="009628B8" w:rsidRPr="00745FE3">
              <w:t>15.0</w:t>
            </w:r>
            <w:r w:rsidR="00773F84">
              <w:t>m</w:t>
            </w:r>
            <w:r w:rsidR="00773F84">
              <w:br/>
            </w:r>
            <w:r w:rsidR="009628B8" w:rsidRPr="00745FE3">
              <w:t>3.5 years</w:t>
            </w:r>
          </w:p>
        </w:tc>
        <w:tc>
          <w:tcPr>
            <w:tcW w:w="476" w:type="pct"/>
          </w:tcPr>
          <w:p w:rsidR="009628B8" w:rsidRPr="00745FE3" w:rsidRDefault="009628B8" w:rsidP="00044520">
            <w:pPr>
              <w:pStyle w:val="TableTextEntries"/>
            </w:pPr>
            <w:r w:rsidRPr="00745FE3">
              <w:t>2012</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M</w:t>
            </w:r>
          </w:p>
        </w:tc>
      </w:tr>
      <w:tr w:rsidR="009628B8" w:rsidRPr="00745FE3" w:rsidTr="00044520">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r>
      <w:tr w:rsidR="00F77572" w:rsidRPr="00745FE3" w:rsidTr="00A71EEE">
        <w:trPr>
          <w:tblHeader w:val="0"/>
        </w:trPr>
        <w:tc>
          <w:tcPr>
            <w:tcW w:w="1439" w:type="pct"/>
            <w:vMerge w:val="restart"/>
          </w:tcPr>
          <w:p w:rsidR="009628B8" w:rsidRPr="00745FE3" w:rsidRDefault="009628B8" w:rsidP="00044520">
            <w:pPr>
              <w:pStyle w:val="TableTextEntries"/>
            </w:pPr>
            <w:r w:rsidRPr="00745FE3">
              <w:t>Community Development Fund</w:t>
            </w:r>
          </w:p>
        </w:tc>
        <w:tc>
          <w:tcPr>
            <w:tcW w:w="566" w:type="pct"/>
            <w:vMerge w:val="restart"/>
          </w:tcPr>
          <w:p w:rsidR="009628B8" w:rsidRPr="00745FE3" w:rsidRDefault="00773F84" w:rsidP="00044520">
            <w:pPr>
              <w:pStyle w:val="TableTextEntries"/>
            </w:pPr>
            <w:r>
              <w:t>$</w:t>
            </w:r>
            <w:r w:rsidR="009628B8" w:rsidRPr="00745FE3">
              <w:t>3.3</w:t>
            </w:r>
            <w:r>
              <w:t>m</w:t>
            </w:r>
            <w:r>
              <w:br/>
            </w:r>
            <w:r w:rsidR="006744D8">
              <w:t>three</w:t>
            </w:r>
            <w:r w:rsidR="009628B8" w:rsidRPr="00745FE3">
              <w:t xml:space="preserve"> years</w:t>
            </w:r>
          </w:p>
        </w:tc>
        <w:tc>
          <w:tcPr>
            <w:tcW w:w="476" w:type="pct"/>
          </w:tcPr>
          <w:p w:rsidR="009628B8" w:rsidRPr="00745FE3" w:rsidRDefault="009628B8" w:rsidP="00044520">
            <w:pPr>
              <w:pStyle w:val="TableTextEntries"/>
            </w:pPr>
            <w:r w:rsidRPr="00745FE3">
              <w:t>2012</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F79646" w:themeFill="accent6"/>
          </w:tcPr>
          <w:p w:rsidR="009628B8" w:rsidRPr="00745FE3" w:rsidRDefault="009628B8" w:rsidP="00044520">
            <w:pPr>
              <w:pStyle w:val="TableTextEntries"/>
              <w:jc w:val="center"/>
            </w:pPr>
            <w:r w:rsidRPr="00745FE3">
              <w:t>3</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F79646" w:themeFill="accent6"/>
          </w:tcPr>
          <w:p w:rsidR="009628B8" w:rsidRPr="00745FE3" w:rsidRDefault="009628B8" w:rsidP="00044520">
            <w:pPr>
              <w:pStyle w:val="TableTextEntries"/>
              <w:jc w:val="center"/>
            </w:pPr>
            <w:r w:rsidRPr="00745FE3">
              <w:t>I</w:t>
            </w:r>
          </w:p>
        </w:tc>
      </w:tr>
      <w:tr w:rsidR="00F77572" w:rsidRPr="00745FE3" w:rsidTr="00A71EEE">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92D050"/>
          </w:tcPr>
          <w:p w:rsidR="009628B8" w:rsidRPr="00745FE3" w:rsidRDefault="00326997" w:rsidP="00044520">
            <w:pPr>
              <w:pStyle w:val="TableTextEntries"/>
              <w:jc w:val="center"/>
            </w:pPr>
            <w:r w:rsidRPr="00745FE3">
              <w:t>G</w:t>
            </w:r>
          </w:p>
        </w:tc>
      </w:tr>
      <w:tr w:rsidR="009628B8" w:rsidRPr="00745FE3" w:rsidTr="00044520">
        <w:trPr>
          <w:tblHeader w:val="0"/>
        </w:trPr>
        <w:tc>
          <w:tcPr>
            <w:tcW w:w="1439" w:type="pct"/>
            <w:vMerge w:val="restart"/>
          </w:tcPr>
          <w:p w:rsidR="009628B8" w:rsidRPr="00745FE3" w:rsidRDefault="009628B8" w:rsidP="00044520">
            <w:pPr>
              <w:pStyle w:val="TableTextEntries"/>
            </w:pPr>
            <w:r w:rsidRPr="00745FE3">
              <w:t>Support to Khmer Rouge Tribunal</w:t>
            </w:r>
          </w:p>
        </w:tc>
        <w:tc>
          <w:tcPr>
            <w:tcW w:w="566" w:type="pct"/>
            <w:vMerge w:val="restart"/>
          </w:tcPr>
          <w:p w:rsidR="009628B8" w:rsidRPr="00745FE3" w:rsidRDefault="00773F84" w:rsidP="00044520">
            <w:pPr>
              <w:pStyle w:val="TableTextEntries"/>
            </w:pPr>
            <w:r>
              <w:t>$</w:t>
            </w:r>
            <w:r w:rsidR="009628B8" w:rsidRPr="00745FE3">
              <w:t>16.9</w:t>
            </w:r>
            <w:r>
              <w:t>m</w:t>
            </w:r>
            <w:r>
              <w:br/>
            </w:r>
            <w:r w:rsidR="009628B8" w:rsidRPr="00745FE3">
              <w:t>11 years</w:t>
            </w:r>
          </w:p>
        </w:tc>
        <w:tc>
          <w:tcPr>
            <w:tcW w:w="476" w:type="pct"/>
          </w:tcPr>
          <w:p w:rsidR="009628B8" w:rsidRPr="00745FE3" w:rsidRDefault="009628B8" w:rsidP="00044520">
            <w:pPr>
              <w:pStyle w:val="TableTextEntries"/>
            </w:pPr>
            <w:r w:rsidRPr="00745FE3">
              <w:t>2012</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n/a</w:t>
            </w:r>
          </w:p>
        </w:tc>
      </w:tr>
      <w:tr w:rsidR="009628B8" w:rsidRPr="00745FE3" w:rsidTr="00044520">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E</w:t>
            </w:r>
          </w:p>
        </w:tc>
        <w:tc>
          <w:tcPr>
            <w:tcW w:w="333" w:type="pct"/>
          </w:tcPr>
          <w:p w:rsidR="009628B8" w:rsidRPr="00745FE3" w:rsidRDefault="009628B8" w:rsidP="00044520">
            <w:pPr>
              <w:pStyle w:val="TableTextEntries"/>
              <w:jc w:val="center"/>
            </w:pPr>
            <w:r w:rsidRPr="00745FE3">
              <w:t>n/a</w:t>
            </w:r>
          </w:p>
        </w:tc>
      </w:tr>
      <w:tr w:rsidR="00F77572" w:rsidRPr="00745FE3" w:rsidTr="00A71EEE">
        <w:trPr>
          <w:tblHeader w:val="0"/>
        </w:trPr>
        <w:tc>
          <w:tcPr>
            <w:tcW w:w="1439" w:type="pct"/>
            <w:vMerge w:val="restart"/>
          </w:tcPr>
          <w:p w:rsidR="009628B8" w:rsidRPr="00745FE3" w:rsidRDefault="009628B8" w:rsidP="00044520">
            <w:pPr>
              <w:pStyle w:val="TableTextEntries"/>
            </w:pPr>
            <w:r w:rsidRPr="00745FE3">
              <w:t>Cambodia Demand for Good Governance</w:t>
            </w:r>
          </w:p>
        </w:tc>
        <w:tc>
          <w:tcPr>
            <w:tcW w:w="566" w:type="pct"/>
            <w:vMerge w:val="restart"/>
          </w:tcPr>
          <w:p w:rsidR="009628B8" w:rsidRPr="00745FE3" w:rsidRDefault="00773F84" w:rsidP="00044520">
            <w:pPr>
              <w:pStyle w:val="TableTextEntries"/>
            </w:pPr>
            <w:r>
              <w:t>$</w:t>
            </w:r>
            <w:r w:rsidR="009628B8" w:rsidRPr="00745FE3">
              <w:t>4.6</w:t>
            </w:r>
            <w:r>
              <w:t>m</w:t>
            </w:r>
            <w:r>
              <w:br/>
            </w:r>
            <w:r w:rsidR="006744D8">
              <w:t>six</w:t>
            </w:r>
            <w:r w:rsidR="009628B8" w:rsidRPr="00745FE3">
              <w:t xml:space="preserve"> years</w:t>
            </w:r>
          </w:p>
        </w:tc>
        <w:tc>
          <w:tcPr>
            <w:tcW w:w="476" w:type="pct"/>
          </w:tcPr>
          <w:p w:rsidR="009628B8" w:rsidRPr="00745FE3" w:rsidRDefault="009628B8" w:rsidP="00044520">
            <w:pPr>
              <w:pStyle w:val="TableTextEntries"/>
            </w:pPr>
            <w:r w:rsidRPr="00745FE3">
              <w:t>2012</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F79646" w:themeFill="accent6"/>
          </w:tcPr>
          <w:p w:rsidR="009628B8" w:rsidRPr="00745FE3" w:rsidRDefault="009628B8" w:rsidP="00044520">
            <w:pPr>
              <w:pStyle w:val="TableTextEntries"/>
              <w:jc w:val="center"/>
            </w:pPr>
            <w:r w:rsidRPr="00745FE3">
              <w:t>3</w:t>
            </w:r>
          </w:p>
        </w:tc>
        <w:tc>
          <w:tcPr>
            <w:tcW w:w="333" w:type="pct"/>
            <w:tcBorders>
              <w:top w:val="nil"/>
              <w:bottom w:val="nil"/>
            </w:tcBorders>
            <w:shd w:val="clear" w:color="auto" w:fill="F79646" w:themeFill="accent6"/>
          </w:tcPr>
          <w:p w:rsidR="009628B8" w:rsidRPr="00745FE3" w:rsidRDefault="009628B8" w:rsidP="00044520">
            <w:pPr>
              <w:pStyle w:val="TableTextEntries"/>
              <w:jc w:val="center"/>
            </w:pPr>
            <w:r w:rsidRPr="00745FE3">
              <w:t>3</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FF0000"/>
          </w:tcPr>
          <w:p w:rsidR="009628B8" w:rsidRPr="00745FE3" w:rsidRDefault="009628B8" w:rsidP="00044520">
            <w:pPr>
              <w:pStyle w:val="TableTextEntries"/>
              <w:jc w:val="center"/>
            </w:pPr>
            <w:r w:rsidRPr="00745FE3">
              <w:t>2</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M</w:t>
            </w:r>
          </w:p>
        </w:tc>
      </w:tr>
      <w:tr w:rsidR="00F77572" w:rsidRPr="00745FE3" w:rsidTr="00A71EEE">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79646" w:themeFill="accent6"/>
          </w:tcPr>
          <w:p w:rsidR="009628B8" w:rsidRPr="00745FE3" w:rsidRDefault="009628B8" w:rsidP="00044520">
            <w:pPr>
              <w:pStyle w:val="TableTextEntries"/>
              <w:jc w:val="center"/>
            </w:pPr>
            <w:r w:rsidRPr="00745FE3">
              <w:t>3</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92D050"/>
          </w:tcPr>
          <w:p w:rsidR="009628B8" w:rsidRPr="00745FE3" w:rsidRDefault="00326997" w:rsidP="00044520">
            <w:pPr>
              <w:pStyle w:val="TableTextEntries"/>
              <w:jc w:val="center"/>
            </w:pPr>
            <w:r w:rsidRPr="00745FE3">
              <w:t>G</w:t>
            </w:r>
          </w:p>
        </w:tc>
      </w:tr>
      <w:tr w:rsidR="00F77572" w:rsidRPr="00745FE3" w:rsidTr="00A71EEE">
        <w:trPr>
          <w:tblHeader w:val="0"/>
        </w:trPr>
        <w:tc>
          <w:tcPr>
            <w:tcW w:w="1439" w:type="pct"/>
            <w:vMerge w:val="restart"/>
          </w:tcPr>
          <w:p w:rsidR="009628B8" w:rsidRPr="00745FE3" w:rsidRDefault="009628B8" w:rsidP="00044520">
            <w:pPr>
              <w:pStyle w:val="TableTextEntries"/>
            </w:pPr>
            <w:r w:rsidRPr="00745FE3">
              <w:t>Cambodia Communication Assistance Project</w:t>
            </w:r>
          </w:p>
        </w:tc>
        <w:tc>
          <w:tcPr>
            <w:tcW w:w="566" w:type="pct"/>
            <w:vMerge w:val="restart"/>
          </w:tcPr>
          <w:p w:rsidR="009628B8" w:rsidRPr="00745FE3" w:rsidRDefault="00773F84" w:rsidP="00044520">
            <w:pPr>
              <w:pStyle w:val="TableTextEntries"/>
            </w:pPr>
            <w:r>
              <w:t>$</w:t>
            </w:r>
            <w:r w:rsidR="009628B8" w:rsidRPr="00745FE3">
              <w:t>2.</w:t>
            </w:r>
            <w:r>
              <w:t>0m</w:t>
            </w:r>
            <w:r>
              <w:br/>
            </w:r>
            <w:r w:rsidR="006744D8">
              <w:t>two</w:t>
            </w:r>
            <w:r w:rsidR="009628B8" w:rsidRPr="00745FE3">
              <w:t xml:space="preserve"> years</w:t>
            </w:r>
          </w:p>
        </w:tc>
        <w:tc>
          <w:tcPr>
            <w:tcW w:w="476" w:type="pct"/>
          </w:tcPr>
          <w:p w:rsidR="009628B8" w:rsidRPr="00745FE3" w:rsidRDefault="009628B8" w:rsidP="00044520">
            <w:pPr>
              <w:pStyle w:val="TableTextEntries"/>
            </w:pPr>
            <w:r w:rsidRPr="00745FE3">
              <w:t>2012</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M</w:t>
            </w:r>
          </w:p>
        </w:tc>
      </w:tr>
      <w:tr w:rsidR="009628B8" w:rsidRPr="00745FE3" w:rsidTr="00044520">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r>
      <w:tr w:rsidR="00F77572" w:rsidRPr="00745FE3" w:rsidTr="00A71EEE">
        <w:trPr>
          <w:tblHeader w:val="0"/>
        </w:trPr>
        <w:tc>
          <w:tcPr>
            <w:tcW w:w="1439" w:type="pct"/>
            <w:vMerge w:val="restart"/>
          </w:tcPr>
          <w:p w:rsidR="009628B8" w:rsidRPr="00745FE3" w:rsidRDefault="009628B8" w:rsidP="00044520">
            <w:pPr>
              <w:pStyle w:val="TableTextEntries"/>
            </w:pPr>
            <w:r w:rsidRPr="00745FE3">
              <w:t>Cambodia Public Financial Management</w:t>
            </w:r>
          </w:p>
        </w:tc>
        <w:tc>
          <w:tcPr>
            <w:tcW w:w="566" w:type="pct"/>
            <w:vMerge w:val="restart"/>
          </w:tcPr>
          <w:p w:rsidR="009628B8" w:rsidRPr="00745FE3" w:rsidRDefault="00773F84" w:rsidP="00044520">
            <w:pPr>
              <w:pStyle w:val="TableTextEntries"/>
            </w:pPr>
            <w:r>
              <w:t>$</w:t>
            </w:r>
            <w:r w:rsidR="009628B8" w:rsidRPr="00745FE3">
              <w:t>3.3</w:t>
            </w:r>
            <w:r>
              <w:t>m</w:t>
            </w:r>
            <w:r>
              <w:br/>
            </w:r>
            <w:r w:rsidR="009628B8" w:rsidRPr="00745FE3">
              <w:t>10 years</w:t>
            </w:r>
          </w:p>
        </w:tc>
        <w:tc>
          <w:tcPr>
            <w:tcW w:w="476" w:type="pct"/>
          </w:tcPr>
          <w:p w:rsidR="009628B8" w:rsidRPr="00745FE3" w:rsidRDefault="009628B8" w:rsidP="00044520">
            <w:pPr>
              <w:pStyle w:val="TableTextEntries"/>
            </w:pPr>
            <w:r w:rsidRPr="00745FE3">
              <w:t>2012</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F79646" w:themeFill="accent6"/>
          </w:tcPr>
          <w:p w:rsidR="009628B8" w:rsidRPr="00745FE3" w:rsidRDefault="009628B8" w:rsidP="00044520">
            <w:pPr>
              <w:pStyle w:val="TableTextEntries"/>
              <w:jc w:val="center"/>
            </w:pPr>
            <w:r w:rsidRPr="00745FE3">
              <w:t>3</w:t>
            </w:r>
          </w:p>
        </w:tc>
        <w:tc>
          <w:tcPr>
            <w:tcW w:w="333" w:type="pct"/>
            <w:tcBorders>
              <w:top w:val="nil"/>
              <w:bottom w:val="nil"/>
            </w:tcBorders>
            <w:shd w:val="clear" w:color="auto" w:fill="F79646" w:themeFill="accent6"/>
          </w:tcPr>
          <w:p w:rsidR="009628B8" w:rsidRPr="00745FE3" w:rsidRDefault="009628B8" w:rsidP="00044520">
            <w:pPr>
              <w:pStyle w:val="TableTextEntries"/>
              <w:jc w:val="center"/>
            </w:pPr>
            <w:r w:rsidRPr="00745FE3">
              <w:t>3</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F79646" w:themeFill="accent6"/>
          </w:tcPr>
          <w:p w:rsidR="009628B8" w:rsidRPr="00745FE3" w:rsidRDefault="009628B8" w:rsidP="00044520">
            <w:pPr>
              <w:pStyle w:val="TableTextEntries"/>
              <w:jc w:val="center"/>
            </w:pPr>
            <w:r w:rsidRPr="00745FE3">
              <w:t>3</w:t>
            </w:r>
          </w:p>
        </w:tc>
        <w:tc>
          <w:tcPr>
            <w:tcW w:w="333" w:type="pct"/>
            <w:tcBorders>
              <w:top w:val="nil"/>
              <w:bottom w:val="nil"/>
            </w:tcBorders>
            <w:shd w:val="clear" w:color="auto" w:fill="FF0000"/>
          </w:tcPr>
          <w:p w:rsidR="009628B8" w:rsidRPr="00745FE3" w:rsidRDefault="009628B8" w:rsidP="00044520">
            <w:pPr>
              <w:pStyle w:val="TableTextEntries"/>
              <w:jc w:val="center"/>
            </w:pPr>
            <w:r w:rsidRPr="00745FE3">
              <w:t>2</w:t>
            </w:r>
          </w:p>
        </w:tc>
        <w:tc>
          <w:tcPr>
            <w:tcW w:w="333" w:type="pct"/>
            <w:tcBorders>
              <w:top w:val="nil"/>
              <w:bottom w:val="nil"/>
            </w:tcBorders>
            <w:shd w:val="clear" w:color="auto" w:fill="FF0000"/>
          </w:tcPr>
          <w:p w:rsidR="009628B8" w:rsidRPr="00745FE3" w:rsidRDefault="009628B8" w:rsidP="00044520">
            <w:pPr>
              <w:pStyle w:val="TableTextEntries"/>
              <w:jc w:val="center"/>
            </w:pPr>
            <w:r w:rsidRPr="00745FE3">
              <w:t>B</w:t>
            </w:r>
          </w:p>
        </w:tc>
      </w:tr>
      <w:tr w:rsidR="009628B8" w:rsidRPr="00745FE3" w:rsidTr="00044520">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c>
          <w:tcPr>
            <w:tcW w:w="333" w:type="pct"/>
          </w:tcPr>
          <w:p w:rsidR="009628B8" w:rsidRPr="00745FE3" w:rsidRDefault="009628B8" w:rsidP="00044520">
            <w:pPr>
              <w:pStyle w:val="TableTextEntries"/>
              <w:jc w:val="center"/>
            </w:pPr>
            <w:r w:rsidRPr="00745FE3">
              <w:t>n/a</w:t>
            </w:r>
          </w:p>
        </w:tc>
      </w:tr>
      <w:tr w:rsidR="00F77572" w:rsidRPr="00745FE3" w:rsidTr="00A71EEE">
        <w:trPr>
          <w:tblHeader w:val="0"/>
        </w:trPr>
        <w:tc>
          <w:tcPr>
            <w:tcW w:w="1439" w:type="pct"/>
            <w:vMerge w:val="restart"/>
          </w:tcPr>
          <w:p w:rsidR="009628B8" w:rsidRPr="00745FE3" w:rsidRDefault="009628B8" w:rsidP="00044520">
            <w:pPr>
              <w:pStyle w:val="TableTextEntries"/>
            </w:pPr>
            <w:r w:rsidRPr="00745FE3">
              <w:t xml:space="preserve">Cambodia Australian </w:t>
            </w:r>
            <w:r w:rsidRPr="00745FE3">
              <w:lastRenderedPageBreak/>
              <w:t>Scholarships Program</w:t>
            </w:r>
          </w:p>
        </w:tc>
        <w:tc>
          <w:tcPr>
            <w:tcW w:w="566" w:type="pct"/>
            <w:vMerge w:val="restart"/>
          </w:tcPr>
          <w:p w:rsidR="009628B8" w:rsidRPr="00745FE3" w:rsidRDefault="00773F84" w:rsidP="00044520">
            <w:pPr>
              <w:pStyle w:val="TableTextEntries"/>
            </w:pPr>
            <w:r>
              <w:lastRenderedPageBreak/>
              <w:t>$</w:t>
            </w:r>
            <w:r w:rsidR="009628B8" w:rsidRPr="00745FE3">
              <w:t>18.0</w:t>
            </w:r>
            <w:r>
              <w:t>m</w:t>
            </w:r>
            <w:r>
              <w:br/>
            </w:r>
            <w:r w:rsidR="006744D8">
              <w:lastRenderedPageBreak/>
              <w:t>five</w:t>
            </w:r>
            <w:r w:rsidR="009628B8" w:rsidRPr="00745FE3">
              <w:t xml:space="preserve"> years</w:t>
            </w:r>
          </w:p>
        </w:tc>
        <w:tc>
          <w:tcPr>
            <w:tcW w:w="476" w:type="pct"/>
          </w:tcPr>
          <w:p w:rsidR="009628B8" w:rsidRPr="00745FE3" w:rsidRDefault="009628B8" w:rsidP="00044520">
            <w:pPr>
              <w:pStyle w:val="TableTextEntries"/>
            </w:pPr>
            <w:r w:rsidRPr="00745FE3">
              <w:lastRenderedPageBreak/>
              <w:t>2012</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M</w:t>
            </w:r>
          </w:p>
        </w:tc>
      </w:tr>
      <w:tr w:rsidR="00F77572" w:rsidRPr="00745FE3" w:rsidTr="00A71EEE">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79646" w:themeFill="accent6"/>
          </w:tcPr>
          <w:p w:rsidR="009628B8" w:rsidRPr="00745FE3" w:rsidRDefault="009628B8" w:rsidP="00044520">
            <w:pPr>
              <w:pStyle w:val="TableTextEntries"/>
              <w:jc w:val="center"/>
            </w:pPr>
            <w:r w:rsidRPr="00745FE3">
              <w:t>3</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92D050"/>
          </w:tcPr>
          <w:p w:rsidR="009628B8" w:rsidRPr="00745FE3" w:rsidRDefault="0050659F" w:rsidP="00044520">
            <w:pPr>
              <w:pStyle w:val="TableTextEntries"/>
              <w:jc w:val="center"/>
            </w:pPr>
            <w:r w:rsidRPr="00745FE3">
              <w:t>G</w:t>
            </w:r>
          </w:p>
        </w:tc>
      </w:tr>
      <w:tr w:rsidR="00F77572" w:rsidRPr="00745FE3" w:rsidTr="00A71EEE">
        <w:trPr>
          <w:tblHeader w:val="0"/>
        </w:trPr>
        <w:tc>
          <w:tcPr>
            <w:tcW w:w="1439" w:type="pct"/>
            <w:vMerge w:val="restart"/>
          </w:tcPr>
          <w:p w:rsidR="009628B8" w:rsidRPr="00745FE3" w:rsidRDefault="009628B8" w:rsidP="00044520">
            <w:pPr>
              <w:pStyle w:val="TableTextEntries"/>
            </w:pPr>
            <w:r w:rsidRPr="00745FE3">
              <w:lastRenderedPageBreak/>
              <w:t>Landmine Survivor Assistance Program 2007</w:t>
            </w:r>
            <w:r w:rsidR="00C52113" w:rsidRPr="00745FE3">
              <w:t>–</w:t>
            </w:r>
            <w:r w:rsidRPr="00745FE3">
              <w:t>2012</w:t>
            </w:r>
          </w:p>
        </w:tc>
        <w:tc>
          <w:tcPr>
            <w:tcW w:w="566" w:type="pct"/>
            <w:vMerge w:val="restart"/>
          </w:tcPr>
          <w:p w:rsidR="009628B8" w:rsidRPr="00745FE3" w:rsidRDefault="00773F84" w:rsidP="00044520">
            <w:pPr>
              <w:pStyle w:val="TableTextEntries"/>
            </w:pPr>
            <w:r>
              <w:t>$</w:t>
            </w:r>
            <w:r w:rsidR="009628B8" w:rsidRPr="00745FE3">
              <w:t>6.3</w:t>
            </w:r>
            <w:r>
              <w:t>m</w:t>
            </w:r>
            <w:r>
              <w:br/>
            </w:r>
            <w:r w:rsidR="006744D8">
              <w:t>five</w:t>
            </w:r>
            <w:r w:rsidR="009628B8" w:rsidRPr="00745FE3">
              <w:t xml:space="preserve"> years</w:t>
            </w:r>
          </w:p>
        </w:tc>
        <w:tc>
          <w:tcPr>
            <w:tcW w:w="476" w:type="pct"/>
          </w:tcPr>
          <w:p w:rsidR="009628B8" w:rsidRPr="00745FE3" w:rsidRDefault="009628B8" w:rsidP="00044520">
            <w:pPr>
              <w:pStyle w:val="TableTextEntries"/>
            </w:pPr>
            <w:r w:rsidRPr="00745FE3">
              <w:t>2012</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FFFF00"/>
          </w:tcPr>
          <w:p w:rsidR="009628B8" w:rsidRPr="00745FE3" w:rsidRDefault="009628B8" w:rsidP="00044520">
            <w:pPr>
              <w:pStyle w:val="TableTextEntries"/>
              <w:jc w:val="center"/>
            </w:pPr>
            <w:r w:rsidRPr="00745FE3">
              <w:t>4</w:t>
            </w:r>
          </w:p>
        </w:tc>
        <w:tc>
          <w:tcPr>
            <w:tcW w:w="333" w:type="pct"/>
            <w:tcBorders>
              <w:top w:val="nil"/>
              <w:bottom w:val="nil"/>
            </w:tcBorders>
            <w:shd w:val="clear" w:color="auto" w:fill="F79646" w:themeFill="accent6"/>
          </w:tcPr>
          <w:p w:rsidR="009628B8" w:rsidRPr="00745FE3" w:rsidRDefault="009628B8" w:rsidP="00044520">
            <w:pPr>
              <w:pStyle w:val="TableTextEntries"/>
              <w:jc w:val="center"/>
            </w:pPr>
            <w:r w:rsidRPr="00745FE3">
              <w:t>3</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5</w:t>
            </w:r>
          </w:p>
        </w:tc>
        <w:tc>
          <w:tcPr>
            <w:tcW w:w="333" w:type="pct"/>
            <w:tcBorders>
              <w:top w:val="nil"/>
              <w:bottom w:val="nil"/>
            </w:tcBorders>
            <w:shd w:val="clear" w:color="auto" w:fill="92D050"/>
          </w:tcPr>
          <w:p w:rsidR="009628B8" w:rsidRPr="00745FE3" w:rsidRDefault="009628B8" w:rsidP="00044520">
            <w:pPr>
              <w:pStyle w:val="TableTextEntries"/>
              <w:jc w:val="center"/>
            </w:pPr>
            <w:r w:rsidRPr="00745FE3">
              <w:t>M</w:t>
            </w:r>
          </w:p>
        </w:tc>
      </w:tr>
      <w:tr w:rsidR="00F77572" w:rsidRPr="00745FE3" w:rsidTr="00A71EEE">
        <w:trPr>
          <w:cnfStyle w:val="000000010000" w:firstRow="0" w:lastRow="0" w:firstColumn="0" w:lastColumn="0" w:oddVBand="0" w:evenVBand="0" w:oddHBand="0" w:evenHBand="1" w:firstRowFirstColumn="0" w:firstRowLastColumn="0" w:lastRowFirstColumn="0" w:lastRowLastColumn="0"/>
          <w:tblHeader w:val="0"/>
        </w:trPr>
        <w:tc>
          <w:tcPr>
            <w:tcW w:w="1439" w:type="pct"/>
            <w:vMerge/>
          </w:tcPr>
          <w:p w:rsidR="009628B8" w:rsidRPr="00745FE3" w:rsidRDefault="009628B8" w:rsidP="00044520">
            <w:pPr>
              <w:pStyle w:val="TableTextEntries"/>
            </w:pPr>
          </w:p>
        </w:tc>
        <w:tc>
          <w:tcPr>
            <w:tcW w:w="566" w:type="pct"/>
            <w:vMerge/>
          </w:tcPr>
          <w:p w:rsidR="009628B8" w:rsidRPr="00745FE3" w:rsidRDefault="009628B8" w:rsidP="00044520">
            <w:pPr>
              <w:pStyle w:val="TableTextEntries"/>
            </w:pPr>
          </w:p>
        </w:tc>
        <w:tc>
          <w:tcPr>
            <w:tcW w:w="476" w:type="pct"/>
          </w:tcPr>
          <w:p w:rsidR="009628B8" w:rsidRPr="00745FE3" w:rsidRDefault="009628B8" w:rsidP="00044520">
            <w:pPr>
              <w:pStyle w:val="TableTextEntries"/>
            </w:pPr>
            <w:r w:rsidRPr="00745FE3">
              <w:t>2011</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92D050"/>
          </w:tcPr>
          <w:p w:rsidR="009628B8" w:rsidRPr="00745FE3" w:rsidRDefault="009628B8" w:rsidP="00044520">
            <w:pPr>
              <w:pStyle w:val="TableTextEntries"/>
              <w:jc w:val="center"/>
            </w:pPr>
            <w:r w:rsidRPr="00745FE3">
              <w:t>5</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FFFF00"/>
          </w:tcPr>
          <w:p w:rsidR="009628B8" w:rsidRPr="00745FE3" w:rsidRDefault="009628B8" w:rsidP="00044520">
            <w:pPr>
              <w:pStyle w:val="TableTextEntries"/>
              <w:jc w:val="center"/>
            </w:pPr>
            <w:r w:rsidRPr="00745FE3">
              <w:t>4</w:t>
            </w:r>
          </w:p>
        </w:tc>
        <w:tc>
          <w:tcPr>
            <w:tcW w:w="333" w:type="pct"/>
            <w:shd w:val="clear" w:color="auto" w:fill="92D050"/>
          </w:tcPr>
          <w:p w:rsidR="009628B8" w:rsidRPr="00745FE3" w:rsidRDefault="0050659F" w:rsidP="00044520">
            <w:pPr>
              <w:pStyle w:val="TableTextEntries"/>
              <w:jc w:val="center"/>
            </w:pPr>
            <w:r w:rsidRPr="00745FE3">
              <w:t>G</w:t>
            </w:r>
          </w:p>
        </w:tc>
      </w:tr>
    </w:tbl>
    <w:p w:rsidR="00FE4491" w:rsidRPr="00745FE3" w:rsidRDefault="00FE4491" w:rsidP="00044520">
      <w:pPr>
        <w:pStyle w:val="Note"/>
      </w:pPr>
      <w:r w:rsidRPr="00745FE3">
        <w:t>Definitions of rating scale:</w:t>
      </w:r>
      <w:r w:rsidRPr="00745FE3">
        <w:tab/>
      </w:r>
    </w:p>
    <w:p w:rsidR="00FE4491" w:rsidRPr="00745FE3" w:rsidRDefault="00FE4491" w:rsidP="00044520">
      <w:pPr>
        <w:pStyle w:val="Note"/>
      </w:pPr>
      <w:r w:rsidRPr="00745FE3">
        <w:t>Satisfactory (4, 5 and 6)</w:t>
      </w:r>
    </w:p>
    <w:p w:rsidR="00FE4491" w:rsidRPr="00745FE3" w:rsidRDefault="00FE4491" w:rsidP="00044520">
      <w:pPr>
        <w:pStyle w:val="Note"/>
      </w:pPr>
      <w:r w:rsidRPr="00745FE3">
        <w:rPr>
          <w:color w:val="92D050"/>
        </w:rPr>
        <w:sym w:font="Webdings" w:char="F067"/>
      </w:r>
      <w:r w:rsidRPr="00745FE3">
        <w:t xml:space="preserve"> = 6 = Very high quality</w:t>
      </w:r>
    </w:p>
    <w:p w:rsidR="00FE4491" w:rsidRPr="00745FE3" w:rsidRDefault="00FE4491" w:rsidP="00044520">
      <w:pPr>
        <w:pStyle w:val="Note"/>
      </w:pPr>
      <w:r w:rsidRPr="00745FE3">
        <w:rPr>
          <w:color w:val="92D050"/>
        </w:rPr>
        <w:sym w:font="Webdings" w:char="F067"/>
      </w:r>
      <w:r w:rsidRPr="00745FE3">
        <w:t xml:space="preserve"> = 5 = Good quality</w:t>
      </w:r>
    </w:p>
    <w:p w:rsidR="00FE4491" w:rsidRPr="00745FE3" w:rsidRDefault="00FE4491" w:rsidP="00044520">
      <w:pPr>
        <w:pStyle w:val="Note"/>
      </w:pPr>
      <w:r w:rsidRPr="00745FE3">
        <w:rPr>
          <w:color w:val="FFFF00"/>
        </w:rPr>
        <w:sym w:font="Webdings" w:char="F067"/>
      </w:r>
      <w:r w:rsidRPr="00745FE3">
        <w:t xml:space="preserve"> = 4 = Adequate quality, needs some work</w:t>
      </w:r>
    </w:p>
    <w:p w:rsidR="00FE4491" w:rsidRPr="00745FE3" w:rsidRDefault="00FE4491" w:rsidP="00044520">
      <w:pPr>
        <w:pStyle w:val="Note"/>
      </w:pPr>
      <w:r w:rsidRPr="00745FE3">
        <w:t>Less than satisfactory (1, 2 and 3)</w:t>
      </w:r>
    </w:p>
    <w:p w:rsidR="00FE4491" w:rsidRPr="00745FE3" w:rsidRDefault="00FE4491" w:rsidP="00044520">
      <w:pPr>
        <w:pStyle w:val="Note"/>
      </w:pPr>
      <w:r w:rsidRPr="00745FE3">
        <w:rPr>
          <w:color w:val="F79646"/>
        </w:rPr>
        <w:sym w:font="Webdings" w:char="F067"/>
      </w:r>
      <w:r w:rsidRPr="00745FE3">
        <w:t xml:space="preserve"> = 3 = Less than adequate quality; needs significant work</w:t>
      </w:r>
    </w:p>
    <w:p w:rsidR="00FE4491" w:rsidRPr="00745FE3" w:rsidRDefault="00FE4491" w:rsidP="00044520">
      <w:pPr>
        <w:pStyle w:val="Note"/>
      </w:pPr>
      <w:r w:rsidRPr="00745FE3">
        <w:rPr>
          <w:color w:val="FF0000"/>
        </w:rPr>
        <w:sym w:font="Webdings" w:char="F067"/>
      </w:r>
      <w:r w:rsidRPr="00745FE3">
        <w:t xml:space="preserve"> = 2 = Poor quality; needs major work to improve</w:t>
      </w:r>
    </w:p>
    <w:p w:rsidR="00FE4491" w:rsidRPr="00745FE3" w:rsidRDefault="00FE4491" w:rsidP="00044520">
      <w:pPr>
        <w:pStyle w:val="Note"/>
      </w:pPr>
      <w:r w:rsidRPr="00745FE3">
        <w:rPr>
          <w:color w:val="FF0000"/>
        </w:rPr>
        <w:sym w:font="Webdings" w:char="F067"/>
      </w:r>
      <w:r w:rsidRPr="00745FE3">
        <w:t xml:space="preserve"> = 1 = Very poor quality; needs major overhaul</w:t>
      </w:r>
    </w:p>
    <w:p w:rsidR="00FE4491" w:rsidRPr="00745FE3" w:rsidRDefault="00FE4491" w:rsidP="00044520">
      <w:pPr>
        <w:pStyle w:val="Note"/>
      </w:pPr>
    </w:p>
    <w:p w:rsidR="00FE4491" w:rsidRPr="00745FE3" w:rsidRDefault="00FE4491" w:rsidP="00044520">
      <w:pPr>
        <w:pStyle w:val="Note"/>
      </w:pPr>
      <w:r w:rsidRPr="00745FE3">
        <w:t>Risk Management scale</w:t>
      </w:r>
      <w:r w:rsidR="0050659F" w:rsidRPr="00745FE3">
        <w:t xml:space="preserve"> 2012</w:t>
      </w:r>
      <w:r w:rsidRPr="00745FE3">
        <w:t>:</w:t>
      </w:r>
    </w:p>
    <w:p w:rsidR="00FE4491" w:rsidRPr="00745FE3" w:rsidRDefault="00FE4491" w:rsidP="00044520">
      <w:pPr>
        <w:pStyle w:val="Note"/>
      </w:pPr>
      <w:r w:rsidRPr="00745FE3">
        <w:rPr>
          <w:color w:val="92D050"/>
        </w:rPr>
        <w:sym w:font="Webdings" w:char="F067"/>
      </w:r>
      <w:r w:rsidR="00CD6B2F">
        <w:t xml:space="preserve"> </w:t>
      </w:r>
      <w:r w:rsidRPr="00745FE3">
        <w:t>Mature (M). Indicates the initiative manager conducts risk discussions on at least a monthly basis with all stakeholders and updates the risk registry quarterly</w:t>
      </w:r>
      <w:r w:rsidR="00C65930" w:rsidRPr="00745FE3">
        <w:t>.</w:t>
      </w:r>
      <w:r w:rsidRPr="00745FE3">
        <w:t xml:space="preserve"> </w:t>
      </w:r>
    </w:p>
    <w:p w:rsidR="00FE4491" w:rsidRPr="00745FE3" w:rsidRDefault="00FE4491" w:rsidP="00044520">
      <w:pPr>
        <w:pStyle w:val="Note"/>
      </w:pPr>
      <w:r w:rsidRPr="00745FE3">
        <w:rPr>
          <w:color w:val="F79646"/>
        </w:rPr>
        <w:sym w:font="Webdings" w:char="F067"/>
      </w:r>
      <w:r w:rsidR="00CD6B2F">
        <w:t xml:space="preserve"> </w:t>
      </w:r>
      <w:r w:rsidRPr="00745FE3">
        <w:t>Intermediate (I). Indicates the initiative manager conducts ad-hoc risk discussion and updates the risk register occasionally</w:t>
      </w:r>
      <w:r w:rsidR="00C65930" w:rsidRPr="00745FE3">
        <w:t>.</w:t>
      </w:r>
      <w:r w:rsidRPr="00745FE3">
        <w:t xml:space="preserve"> </w:t>
      </w:r>
    </w:p>
    <w:p w:rsidR="00FE4491" w:rsidRPr="00745FE3" w:rsidRDefault="00FE4491" w:rsidP="00044520">
      <w:pPr>
        <w:pStyle w:val="Note"/>
      </w:pPr>
      <w:r w:rsidRPr="00745FE3">
        <w:rPr>
          <w:color w:val="FF0000"/>
        </w:rPr>
        <w:sym w:font="Webdings" w:char="F067"/>
      </w:r>
      <w:r w:rsidR="00CD6B2F">
        <w:t xml:space="preserve"> </w:t>
      </w:r>
      <w:proofErr w:type="gramStart"/>
      <w:r w:rsidRPr="00745FE3">
        <w:t>Basic (B).</w:t>
      </w:r>
      <w:proofErr w:type="gramEnd"/>
      <w:r w:rsidRPr="00745FE3">
        <w:t xml:space="preserve"> Indicates there are limited or few risk discussions and the risk register has not been updated in the past 12 months</w:t>
      </w:r>
      <w:r w:rsidR="00C65930" w:rsidRPr="00745FE3">
        <w:t>.</w:t>
      </w:r>
    </w:p>
    <w:p w:rsidR="003B2D6D" w:rsidRPr="00745FE3" w:rsidRDefault="0021193E" w:rsidP="00044520">
      <w:pPr>
        <w:pStyle w:val="Note"/>
      </w:pPr>
      <w:r w:rsidRPr="00745FE3">
        <w:t xml:space="preserve">E – </w:t>
      </w:r>
      <w:r w:rsidR="003B2D6D" w:rsidRPr="00745FE3">
        <w:t>Exemption</w:t>
      </w:r>
      <w:r w:rsidRPr="00745FE3">
        <w:t xml:space="preserve"> from QAI</w:t>
      </w:r>
    </w:p>
    <w:p w:rsidR="0021193E" w:rsidRPr="00745FE3" w:rsidRDefault="0021193E" w:rsidP="00044520">
      <w:pPr>
        <w:pStyle w:val="Note"/>
      </w:pPr>
      <w:r w:rsidRPr="00745FE3">
        <w:t>n/a – not available</w:t>
      </w:r>
    </w:p>
    <w:p w:rsidR="0050659F" w:rsidRPr="00745FE3" w:rsidRDefault="0050659F" w:rsidP="00044520">
      <w:pPr>
        <w:pStyle w:val="Note"/>
      </w:pPr>
      <w:r w:rsidRPr="00745FE3">
        <w:t>Risk Management scale 2011:</w:t>
      </w:r>
      <w:r w:rsidR="007F13C4" w:rsidRPr="00745FE3">
        <w:t xml:space="preserve"> measured the significance of the risk, taken as a combination of its likelihood and consequences.</w:t>
      </w:r>
    </w:p>
    <w:p w:rsidR="0050659F" w:rsidRPr="00745FE3" w:rsidRDefault="00117369" w:rsidP="00044520">
      <w:pPr>
        <w:pStyle w:val="Note"/>
      </w:pPr>
      <w:r w:rsidRPr="00745FE3">
        <w:rPr>
          <w:color w:val="92D050"/>
        </w:rPr>
        <w:sym w:font="Webdings" w:char="F067"/>
      </w:r>
      <w:r w:rsidR="00B42423">
        <w:t xml:space="preserve"> </w:t>
      </w:r>
      <w:r w:rsidR="00A71EEE">
        <w:t xml:space="preserve">G = </w:t>
      </w:r>
      <w:r w:rsidR="0050659F" w:rsidRPr="00745FE3">
        <w:t xml:space="preserve">Green: </w:t>
      </w:r>
      <w:r w:rsidR="007F13C4" w:rsidRPr="00745FE3">
        <w:t>Low</w:t>
      </w:r>
      <w:r w:rsidR="0050659F" w:rsidRPr="00745FE3">
        <w:t>.</w:t>
      </w:r>
    </w:p>
    <w:p w:rsidR="0050659F" w:rsidRPr="00745FE3" w:rsidRDefault="00117369" w:rsidP="00044520">
      <w:pPr>
        <w:pStyle w:val="Note"/>
      </w:pPr>
      <w:r w:rsidRPr="00745FE3">
        <w:rPr>
          <w:color w:val="F79646"/>
        </w:rPr>
        <w:sym w:font="Webdings" w:char="F067"/>
      </w:r>
      <w:r w:rsidR="00B42423">
        <w:t xml:space="preserve"> </w:t>
      </w:r>
      <w:r w:rsidR="00A71EEE">
        <w:t xml:space="preserve">A = </w:t>
      </w:r>
      <w:r w:rsidR="0050659F" w:rsidRPr="00745FE3">
        <w:t xml:space="preserve">Amber: </w:t>
      </w:r>
      <w:r w:rsidR="007F13C4" w:rsidRPr="00745FE3">
        <w:t>Moderate</w:t>
      </w:r>
      <w:r w:rsidR="0050659F" w:rsidRPr="00745FE3">
        <w:t>.</w:t>
      </w:r>
    </w:p>
    <w:p w:rsidR="0050659F" w:rsidRPr="00745FE3" w:rsidRDefault="00117369" w:rsidP="00044520">
      <w:pPr>
        <w:pStyle w:val="Note"/>
      </w:pPr>
      <w:r w:rsidRPr="00745FE3">
        <w:rPr>
          <w:color w:val="FF0000"/>
        </w:rPr>
        <w:sym w:font="Webdings" w:char="F067"/>
      </w:r>
      <w:r w:rsidR="00B42423">
        <w:t xml:space="preserve"> </w:t>
      </w:r>
      <w:r w:rsidR="00A71EEE">
        <w:t xml:space="preserve">R = </w:t>
      </w:r>
      <w:r w:rsidR="0050659F" w:rsidRPr="00745FE3">
        <w:t xml:space="preserve">Red: </w:t>
      </w:r>
      <w:r w:rsidR="007F13C4" w:rsidRPr="00745FE3">
        <w:t>High</w:t>
      </w:r>
      <w:r w:rsidR="0050659F" w:rsidRPr="00745FE3">
        <w:t>.</w:t>
      </w:r>
    </w:p>
    <w:p w:rsidR="0050659F" w:rsidRPr="00745FE3" w:rsidRDefault="0050659F" w:rsidP="00071B95">
      <w:pPr>
        <w:sectPr w:rsidR="0050659F" w:rsidRPr="00745FE3" w:rsidSect="007B265A">
          <w:headerReference w:type="default" r:id="rId17"/>
          <w:footerReference w:type="default" r:id="rId18"/>
          <w:headerReference w:type="first" r:id="rId19"/>
          <w:footerReference w:type="first" r:id="rId20"/>
          <w:pgSz w:w="11907" w:h="16839" w:code="9"/>
          <w:pgMar w:top="2268" w:right="1701" w:bottom="907" w:left="1871" w:header="709" w:footer="454" w:gutter="0"/>
          <w:cols w:space="708"/>
          <w:docGrid w:linePitch="360"/>
        </w:sectPr>
      </w:pPr>
    </w:p>
    <w:p w:rsidR="00071B95" w:rsidRPr="00044520" w:rsidRDefault="00071B95" w:rsidP="00044520">
      <w:pPr>
        <w:pStyle w:val="Heading1"/>
      </w:pPr>
      <w:r w:rsidRPr="00044520">
        <w:lastRenderedPageBreak/>
        <w:t>Annex C</w:t>
      </w:r>
    </w:p>
    <w:p w:rsidR="00071B95" w:rsidRPr="00044520" w:rsidRDefault="00071B95" w:rsidP="00044520">
      <w:pPr>
        <w:pStyle w:val="Heading2"/>
      </w:pPr>
      <w:r w:rsidRPr="00044520">
        <w:t xml:space="preserve">Evaluation and </w:t>
      </w:r>
      <w:r w:rsidR="00773F84" w:rsidRPr="00044520">
        <w:t>review pipeline planning</w:t>
      </w:r>
    </w:p>
    <w:p w:rsidR="00071B95" w:rsidRPr="00745FE3" w:rsidRDefault="00071B95" w:rsidP="00866B6E">
      <w:pPr>
        <w:pStyle w:val="Caption"/>
      </w:pPr>
      <w:r w:rsidRPr="00745FE3">
        <w:t xml:space="preserve">List of </w:t>
      </w:r>
      <w:r w:rsidR="00773F84">
        <w:t>e</w:t>
      </w:r>
      <w:r w:rsidR="00773F84" w:rsidRPr="00745FE3">
        <w:t xml:space="preserve">valuations </w:t>
      </w:r>
      <w:r w:rsidRPr="00745FE3">
        <w:t>completed</w:t>
      </w:r>
      <w:r w:rsidRPr="00745FE3">
        <w:rPr>
          <w:vertAlign w:val="superscript"/>
        </w:rPr>
        <w:footnoteReference w:id="37"/>
      </w:r>
      <w:r w:rsidRPr="00745FE3">
        <w:t xml:space="preserve"> in the reporting period </w:t>
      </w:r>
    </w:p>
    <w:tbl>
      <w:tblPr>
        <w:tblStyle w:val="APPR"/>
        <w:tblW w:w="5000" w:type="pct"/>
        <w:tblLook w:val="04A0" w:firstRow="1" w:lastRow="0" w:firstColumn="1" w:lastColumn="0" w:noHBand="0" w:noVBand="1"/>
      </w:tblPr>
      <w:tblGrid>
        <w:gridCol w:w="3024"/>
        <w:gridCol w:w="1817"/>
        <w:gridCol w:w="1817"/>
        <w:gridCol w:w="1816"/>
        <w:gridCol w:w="1816"/>
        <w:gridCol w:w="1816"/>
        <w:gridCol w:w="1830"/>
      </w:tblGrid>
      <w:tr w:rsidR="00071B95" w:rsidRPr="00745FE3" w:rsidTr="007B265A">
        <w:trPr>
          <w:cnfStyle w:val="100000000000" w:firstRow="1" w:lastRow="0" w:firstColumn="0" w:lastColumn="0" w:oddVBand="0" w:evenVBand="0" w:oddHBand="0" w:evenHBand="0" w:firstRowFirstColumn="0" w:firstRowLastColumn="0" w:lastRowFirstColumn="0" w:lastRowLastColumn="0"/>
        </w:trPr>
        <w:tc>
          <w:tcPr>
            <w:tcW w:w="1000" w:type="pct"/>
          </w:tcPr>
          <w:p w:rsidR="00071B95" w:rsidRPr="00745FE3" w:rsidRDefault="00071B95">
            <w:pPr>
              <w:pStyle w:val="TableTextColumnHeading"/>
              <w:rPr>
                <w:b/>
              </w:rPr>
            </w:pPr>
            <w:r w:rsidRPr="00745FE3">
              <w:t xml:space="preserve">Name of </w:t>
            </w:r>
            <w:r w:rsidR="00773F84">
              <w:t>i</w:t>
            </w:r>
            <w:r w:rsidR="00773F84" w:rsidRPr="00745FE3">
              <w:t>nitiative</w:t>
            </w:r>
          </w:p>
        </w:tc>
        <w:tc>
          <w:tcPr>
            <w:tcW w:w="600" w:type="pct"/>
          </w:tcPr>
          <w:p w:rsidR="00071B95" w:rsidRPr="00745FE3" w:rsidRDefault="00071B95" w:rsidP="00071B95">
            <w:pPr>
              <w:pStyle w:val="TableTextColumnHeading"/>
              <w:rPr>
                <w:b/>
              </w:rPr>
            </w:pPr>
            <w:proofErr w:type="spellStart"/>
            <w:r w:rsidRPr="00745FE3">
              <w:t>Aidworks</w:t>
            </w:r>
            <w:proofErr w:type="spellEnd"/>
            <w:r w:rsidRPr="00745FE3">
              <w:t xml:space="preserve"> number</w:t>
            </w:r>
          </w:p>
        </w:tc>
        <w:tc>
          <w:tcPr>
            <w:tcW w:w="600" w:type="pct"/>
          </w:tcPr>
          <w:p w:rsidR="00071B95" w:rsidRPr="00745FE3" w:rsidRDefault="00071B95" w:rsidP="00071B95">
            <w:pPr>
              <w:pStyle w:val="TableTextColumnHeading"/>
              <w:rPr>
                <w:b/>
              </w:rPr>
            </w:pPr>
            <w:r w:rsidRPr="00745FE3">
              <w:t>Type of evaluation</w:t>
            </w:r>
            <w:r w:rsidRPr="00745FE3">
              <w:rPr>
                <w:vertAlign w:val="superscript"/>
              </w:rPr>
              <w:footnoteReference w:id="38"/>
            </w:r>
          </w:p>
        </w:tc>
        <w:tc>
          <w:tcPr>
            <w:tcW w:w="600" w:type="pct"/>
          </w:tcPr>
          <w:p w:rsidR="00071B95" w:rsidRPr="00745FE3" w:rsidRDefault="00071B95">
            <w:pPr>
              <w:pStyle w:val="TableTextColumnHeading"/>
              <w:rPr>
                <w:b/>
              </w:rPr>
            </w:pPr>
            <w:r w:rsidRPr="00745FE3">
              <w:t xml:space="preserve">Date </w:t>
            </w:r>
            <w:r w:rsidR="00773F84">
              <w:t>e</w:t>
            </w:r>
            <w:r w:rsidR="00773F84" w:rsidRPr="00745FE3">
              <w:t xml:space="preserve">valuation </w:t>
            </w:r>
            <w:r w:rsidRPr="00745FE3">
              <w:t>report received</w:t>
            </w:r>
          </w:p>
        </w:tc>
        <w:tc>
          <w:tcPr>
            <w:tcW w:w="600" w:type="pct"/>
          </w:tcPr>
          <w:p w:rsidR="00071B95" w:rsidRPr="00745FE3" w:rsidRDefault="00071B95">
            <w:pPr>
              <w:pStyle w:val="TableTextColumnHeading"/>
              <w:rPr>
                <w:b/>
              </w:rPr>
            </w:pPr>
            <w:r w:rsidRPr="00745FE3">
              <w:t xml:space="preserve">Date </w:t>
            </w:r>
            <w:r w:rsidR="00773F84">
              <w:t>e</w:t>
            </w:r>
            <w:r w:rsidR="00773F84" w:rsidRPr="00745FE3">
              <w:t xml:space="preserve">valuation </w:t>
            </w:r>
            <w:r w:rsidRPr="00745FE3">
              <w:t xml:space="preserve">report </w:t>
            </w:r>
            <w:r w:rsidR="00773F84">
              <w:t>u</w:t>
            </w:r>
            <w:r w:rsidR="00773F84" w:rsidRPr="00745FE3">
              <w:t xml:space="preserve">ploaded </w:t>
            </w:r>
            <w:r w:rsidRPr="00745FE3">
              <w:t xml:space="preserve">into </w:t>
            </w:r>
            <w:proofErr w:type="spellStart"/>
            <w:r w:rsidRPr="00745FE3">
              <w:t>Aidworks</w:t>
            </w:r>
            <w:proofErr w:type="spellEnd"/>
          </w:p>
        </w:tc>
        <w:tc>
          <w:tcPr>
            <w:tcW w:w="600" w:type="pct"/>
          </w:tcPr>
          <w:p w:rsidR="00071B95" w:rsidRPr="00745FE3" w:rsidRDefault="00071B95">
            <w:pPr>
              <w:pStyle w:val="TableTextColumnHeading"/>
              <w:rPr>
                <w:b/>
              </w:rPr>
            </w:pPr>
            <w:r w:rsidRPr="00745FE3">
              <w:t xml:space="preserve">Date </w:t>
            </w:r>
            <w:r w:rsidR="00773F84">
              <w:t>m</w:t>
            </w:r>
            <w:r w:rsidR="00773F84" w:rsidRPr="00745FE3">
              <w:t xml:space="preserve">anagement </w:t>
            </w:r>
            <w:r w:rsidRPr="00745FE3">
              <w:t xml:space="preserve">response uploaded into </w:t>
            </w:r>
            <w:proofErr w:type="spellStart"/>
            <w:r w:rsidRPr="00745FE3">
              <w:t>Aidworks</w:t>
            </w:r>
            <w:proofErr w:type="spellEnd"/>
          </w:p>
        </w:tc>
        <w:tc>
          <w:tcPr>
            <w:tcW w:w="600" w:type="pct"/>
          </w:tcPr>
          <w:p w:rsidR="00071B95" w:rsidRPr="00745FE3" w:rsidRDefault="00071B95" w:rsidP="00071B95">
            <w:pPr>
              <w:pStyle w:val="TableTextColumnHeading"/>
              <w:rPr>
                <w:b/>
              </w:rPr>
            </w:pPr>
            <w:r w:rsidRPr="00745FE3">
              <w:t>Published on website</w:t>
            </w:r>
          </w:p>
        </w:tc>
      </w:tr>
      <w:tr w:rsidR="00071B95" w:rsidRPr="00745FE3" w:rsidTr="007B265A">
        <w:trPr>
          <w:cnfStyle w:val="100000000000" w:firstRow="1" w:lastRow="0" w:firstColumn="0" w:lastColumn="0" w:oddVBand="0" w:evenVBand="0" w:oddHBand="0" w:evenHBand="0" w:firstRowFirstColumn="0" w:firstRowLastColumn="0" w:lastRowFirstColumn="0" w:lastRowLastColumn="0"/>
        </w:trPr>
        <w:tc>
          <w:tcPr>
            <w:tcW w:w="1000" w:type="pct"/>
          </w:tcPr>
          <w:p w:rsidR="00863C13" w:rsidRPr="00745FE3" w:rsidRDefault="000A75BC" w:rsidP="00863C13">
            <w:pPr>
              <w:pStyle w:val="TableTextEntries"/>
              <w:rPr>
                <w:b w:val="0"/>
              </w:rPr>
            </w:pPr>
            <w:r w:rsidRPr="00745FE3">
              <w:rPr>
                <w:b w:val="0"/>
              </w:rPr>
              <w:t>Capital Work Assessment 2012</w:t>
            </w:r>
          </w:p>
        </w:tc>
        <w:tc>
          <w:tcPr>
            <w:tcW w:w="600" w:type="pct"/>
          </w:tcPr>
          <w:p w:rsidR="00071B95" w:rsidRPr="00745FE3" w:rsidRDefault="000A75BC" w:rsidP="00071B95">
            <w:pPr>
              <w:pStyle w:val="TableTextEntries"/>
              <w:rPr>
                <w:b w:val="0"/>
              </w:rPr>
            </w:pPr>
            <w:r w:rsidRPr="00745FE3">
              <w:rPr>
                <w:b w:val="0"/>
              </w:rPr>
              <w:t>ING723</w:t>
            </w:r>
          </w:p>
        </w:tc>
        <w:tc>
          <w:tcPr>
            <w:tcW w:w="600" w:type="pct"/>
          </w:tcPr>
          <w:p w:rsidR="00071B95" w:rsidRPr="00745FE3" w:rsidRDefault="0055101B" w:rsidP="00863C13">
            <w:pPr>
              <w:pStyle w:val="TableTextEntries"/>
              <w:rPr>
                <w:b w:val="0"/>
              </w:rPr>
            </w:pPr>
            <w:r w:rsidRPr="00745FE3">
              <w:rPr>
                <w:b w:val="0"/>
              </w:rPr>
              <w:t>Independent assessment</w:t>
            </w:r>
          </w:p>
        </w:tc>
        <w:tc>
          <w:tcPr>
            <w:tcW w:w="600" w:type="pct"/>
          </w:tcPr>
          <w:p w:rsidR="00071B95" w:rsidRPr="00745FE3" w:rsidRDefault="000A75BC" w:rsidP="000A75BC">
            <w:pPr>
              <w:pStyle w:val="TableTextEntries"/>
              <w:rPr>
                <w:b w:val="0"/>
              </w:rPr>
            </w:pPr>
            <w:r w:rsidRPr="00745FE3">
              <w:rPr>
                <w:b w:val="0"/>
              </w:rPr>
              <w:t>20 April 2012</w:t>
            </w:r>
          </w:p>
        </w:tc>
        <w:tc>
          <w:tcPr>
            <w:tcW w:w="600" w:type="pct"/>
          </w:tcPr>
          <w:p w:rsidR="00071B95" w:rsidRPr="00745FE3" w:rsidRDefault="000A75BC" w:rsidP="00071B95">
            <w:pPr>
              <w:pStyle w:val="TableTextEntries"/>
              <w:rPr>
                <w:b w:val="0"/>
              </w:rPr>
            </w:pPr>
            <w:r w:rsidRPr="00745FE3">
              <w:rPr>
                <w:b w:val="0"/>
              </w:rPr>
              <w:t>19 March 2013</w:t>
            </w:r>
          </w:p>
        </w:tc>
        <w:tc>
          <w:tcPr>
            <w:tcW w:w="600" w:type="pct"/>
          </w:tcPr>
          <w:p w:rsidR="00071B95" w:rsidRPr="00745FE3" w:rsidRDefault="000A75BC" w:rsidP="00071B95">
            <w:pPr>
              <w:pStyle w:val="TableTextEntries"/>
              <w:rPr>
                <w:b w:val="0"/>
              </w:rPr>
            </w:pPr>
            <w:r w:rsidRPr="00745FE3">
              <w:rPr>
                <w:b w:val="0"/>
              </w:rPr>
              <w:t>n/a</w:t>
            </w:r>
          </w:p>
        </w:tc>
        <w:tc>
          <w:tcPr>
            <w:tcW w:w="600" w:type="pct"/>
          </w:tcPr>
          <w:p w:rsidR="00071B95" w:rsidRPr="00745FE3" w:rsidRDefault="000A75BC" w:rsidP="00863C13">
            <w:pPr>
              <w:pStyle w:val="TableTextEntries"/>
              <w:rPr>
                <w:b w:val="0"/>
              </w:rPr>
            </w:pPr>
            <w:r w:rsidRPr="00745FE3">
              <w:rPr>
                <w:b w:val="0"/>
              </w:rPr>
              <w:t>No</w:t>
            </w:r>
          </w:p>
        </w:tc>
      </w:tr>
      <w:tr w:rsidR="000A75BC" w:rsidRPr="00745FE3" w:rsidTr="007B265A">
        <w:trPr>
          <w:cnfStyle w:val="100000000000" w:firstRow="1" w:lastRow="0" w:firstColumn="0" w:lastColumn="0" w:oddVBand="0" w:evenVBand="0" w:oddHBand="0" w:evenHBand="0" w:firstRowFirstColumn="0" w:firstRowLastColumn="0" w:lastRowFirstColumn="0" w:lastRowLastColumn="0"/>
        </w:trPr>
        <w:tc>
          <w:tcPr>
            <w:tcW w:w="1000" w:type="pct"/>
          </w:tcPr>
          <w:p w:rsidR="000A75BC" w:rsidRPr="00745FE3" w:rsidRDefault="000A75BC" w:rsidP="00071B95">
            <w:pPr>
              <w:pStyle w:val="TableTextEntries"/>
              <w:rPr>
                <w:b w:val="0"/>
              </w:rPr>
            </w:pPr>
            <w:r w:rsidRPr="00100EFA">
              <w:rPr>
                <w:b w:val="0"/>
              </w:rPr>
              <w:t>Cambodian Case Study: Evaluation of Australian Law and Justice Assistance</w:t>
            </w:r>
          </w:p>
        </w:tc>
        <w:tc>
          <w:tcPr>
            <w:tcW w:w="600" w:type="pct"/>
          </w:tcPr>
          <w:p w:rsidR="000A75BC" w:rsidRPr="00745FE3" w:rsidRDefault="000A75BC" w:rsidP="00071B95">
            <w:pPr>
              <w:pStyle w:val="TableTextEntries"/>
              <w:rPr>
                <w:b w:val="0"/>
              </w:rPr>
            </w:pPr>
            <w:r w:rsidRPr="00745FE3">
              <w:rPr>
                <w:b w:val="0"/>
              </w:rPr>
              <w:t>ING723</w:t>
            </w:r>
          </w:p>
        </w:tc>
        <w:tc>
          <w:tcPr>
            <w:tcW w:w="600" w:type="pct"/>
          </w:tcPr>
          <w:p w:rsidR="000A75BC" w:rsidRPr="00745FE3" w:rsidRDefault="0055101B" w:rsidP="00071B95">
            <w:pPr>
              <w:pStyle w:val="TableTextEntries"/>
              <w:rPr>
                <w:b w:val="0"/>
              </w:rPr>
            </w:pPr>
            <w:r w:rsidRPr="00745FE3">
              <w:rPr>
                <w:b w:val="0"/>
              </w:rPr>
              <w:t>Independent evaluation</w:t>
            </w:r>
          </w:p>
        </w:tc>
        <w:tc>
          <w:tcPr>
            <w:tcW w:w="600" w:type="pct"/>
          </w:tcPr>
          <w:p w:rsidR="000A75BC" w:rsidRPr="00745FE3" w:rsidRDefault="000A75BC" w:rsidP="00071B95">
            <w:pPr>
              <w:pStyle w:val="TableTextEntries"/>
              <w:rPr>
                <w:b w:val="0"/>
              </w:rPr>
            </w:pPr>
            <w:r w:rsidRPr="00745FE3">
              <w:rPr>
                <w:b w:val="0"/>
              </w:rPr>
              <w:t>December 2012</w:t>
            </w:r>
          </w:p>
        </w:tc>
        <w:tc>
          <w:tcPr>
            <w:tcW w:w="600" w:type="pct"/>
          </w:tcPr>
          <w:p w:rsidR="000A75BC" w:rsidRPr="00745FE3" w:rsidRDefault="000A75BC" w:rsidP="00071B95">
            <w:pPr>
              <w:pStyle w:val="TableTextEntries"/>
              <w:rPr>
                <w:b w:val="0"/>
              </w:rPr>
            </w:pPr>
            <w:r w:rsidRPr="00745FE3">
              <w:rPr>
                <w:b w:val="0"/>
              </w:rPr>
              <w:t>19 March 2013</w:t>
            </w:r>
          </w:p>
        </w:tc>
        <w:tc>
          <w:tcPr>
            <w:tcW w:w="600" w:type="pct"/>
          </w:tcPr>
          <w:p w:rsidR="000A75BC" w:rsidRPr="00745FE3" w:rsidRDefault="000A75BC" w:rsidP="00071B95">
            <w:pPr>
              <w:pStyle w:val="TableTextEntries"/>
              <w:rPr>
                <w:b w:val="0"/>
              </w:rPr>
            </w:pPr>
            <w:r w:rsidRPr="00745FE3">
              <w:rPr>
                <w:b w:val="0"/>
              </w:rPr>
              <w:t>n/a</w:t>
            </w:r>
          </w:p>
        </w:tc>
        <w:tc>
          <w:tcPr>
            <w:tcW w:w="600" w:type="pct"/>
          </w:tcPr>
          <w:p w:rsidR="000A75BC" w:rsidRPr="00745FE3" w:rsidRDefault="000A75BC" w:rsidP="00071B95">
            <w:pPr>
              <w:pStyle w:val="TableTextEntries"/>
              <w:rPr>
                <w:b w:val="0"/>
              </w:rPr>
            </w:pPr>
            <w:r w:rsidRPr="00745FE3">
              <w:rPr>
                <w:b w:val="0"/>
              </w:rPr>
              <w:t>Yes</w:t>
            </w:r>
          </w:p>
        </w:tc>
      </w:tr>
      <w:tr w:rsidR="000A75BC" w:rsidRPr="00745FE3" w:rsidTr="007B265A">
        <w:trPr>
          <w:cnfStyle w:val="100000000000" w:firstRow="1" w:lastRow="0" w:firstColumn="0" w:lastColumn="0" w:oddVBand="0" w:evenVBand="0" w:oddHBand="0" w:evenHBand="0" w:firstRowFirstColumn="0" w:firstRowLastColumn="0" w:lastRowFirstColumn="0" w:lastRowLastColumn="0"/>
        </w:trPr>
        <w:tc>
          <w:tcPr>
            <w:tcW w:w="1000" w:type="pct"/>
          </w:tcPr>
          <w:p w:rsidR="000A75BC" w:rsidRPr="00745FE3" w:rsidRDefault="00B76A43" w:rsidP="00071B95">
            <w:pPr>
              <w:pStyle w:val="TableTextEntries"/>
              <w:rPr>
                <w:b w:val="0"/>
              </w:rPr>
            </w:pPr>
            <w:r w:rsidRPr="00745FE3">
              <w:rPr>
                <w:b w:val="0"/>
              </w:rPr>
              <w:t xml:space="preserve">Review of </w:t>
            </w:r>
            <w:r w:rsidR="006744D8" w:rsidRPr="00745FE3">
              <w:rPr>
                <w:b w:val="0"/>
              </w:rPr>
              <w:t>disabilit</w:t>
            </w:r>
            <w:r w:rsidR="006744D8">
              <w:rPr>
                <w:b w:val="0"/>
              </w:rPr>
              <w:t>y</w:t>
            </w:r>
            <w:r w:rsidR="006744D8" w:rsidRPr="00745FE3">
              <w:rPr>
                <w:b w:val="0"/>
              </w:rPr>
              <w:t xml:space="preserve"> inclusive development initiative</w:t>
            </w:r>
            <w:r w:rsidR="006744D8">
              <w:rPr>
                <w:b w:val="0"/>
              </w:rPr>
              <w:t>s</w:t>
            </w:r>
          </w:p>
        </w:tc>
        <w:tc>
          <w:tcPr>
            <w:tcW w:w="600" w:type="pct"/>
          </w:tcPr>
          <w:p w:rsidR="000A75BC" w:rsidRPr="00745FE3" w:rsidRDefault="00B76A43" w:rsidP="00071B95">
            <w:pPr>
              <w:pStyle w:val="TableTextEntries"/>
              <w:rPr>
                <w:b w:val="0"/>
              </w:rPr>
            </w:pPr>
            <w:r w:rsidRPr="00745FE3">
              <w:rPr>
                <w:b w:val="0"/>
              </w:rPr>
              <w:t>INI486</w:t>
            </w:r>
          </w:p>
        </w:tc>
        <w:tc>
          <w:tcPr>
            <w:tcW w:w="600" w:type="pct"/>
          </w:tcPr>
          <w:p w:rsidR="000A75BC" w:rsidRPr="00745FE3" w:rsidRDefault="00B76A43">
            <w:pPr>
              <w:pStyle w:val="TableTextEntries"/>
              <w:rPr>
                <w:b w:val="0"/>
              </w:rPr>
            </w:pPr>
            <w:r w:rsidRPr="00745FE3">
              <w:rPr>
                <w:b w:val="0"/>
              </w:rPr>
              <w:t xml:space="preserve">Independent </w:t>
            </w:r>
            <w:r w:rsidR="00773F84">
              <w:rPr>
                <w:b w:val="0"/>
              </w:rPr>
              <w:t>r</w:t>
            </w:r>
            <w:r w:rsidR="00773F84" w:rsidRPr="00745FE3">
              <w:rPr>
                <w:b w:val="0"/>
              </w:rPr>
              <w:t>eview</w:t>
            </w:r>
          </w:p>
        </w:tc>
        <w:tc>
          <w:tcPr>
            <w:tcW w:w="600" w:type="pct"/>
          </w:tcPr>
          <w:p w:rsidR="000A75BC" w:rsidRPr="00745FE3" w:rsidRDefault="007F6162" w:rsidP="007F6162">
            <w:pPr>
              <w:pStyle w:val="TableTextEntries"/>
              <w:rPr>
                <w:b w:val="0"/>
              </w:rPr>
            </w:pPr>
            <w:r w:rsidRPr="00745FE3">
              <w:rPr>
                <w:b w:val="0"/>
              </w:rPr>
              <w:t xml:space="preserve">27 March </w:t>
            </w:r>
            <w:r w:rsidR="00F23CA3">
              <w:rPr>
                <w:b w:val="0"/>
              </w:rPr>
              <w:t>2013</w:t>
            </w:r>
          </w:p>
        </w:tc>
        <w:tc>
          <w:tcPr>
            <w:tcW w:w="600" w:type="pct"/>
          </w:tcPr>
          <w:p w:rsidR="000A75BC" w:rsidRPr="00745FE3" w:rsidRDefault="007F6162" w:rsidP="00F23CA3">
            <w:pPr>
              <w:pStyle w:val="TableTextEntries"/>
              <w:rPr>
                <w:b w:val="0"/>
              </w:rPr>
            </w:pPr>
            <w:r w:rsidRPr="00745FE3">
              <w:rPr>
                <w:b w:val="0"/>
              </w:rPr>
              <w:t>16 April 2</w:t>
            </w:r>
            <w:r w:rsidR="00F23CA3">
              <w:rPr>
                <w:b w:val="0"/>
              </w:rPr>
              <w:t>0</w:t>
            </w:r>
            <w:r w:rsidRPr="00745FE3">
              <w:rPr>
                <w:b w:val="0"/>
              </w:rPr>
              <w:t>13</w:t>
            </w:r>
          </w:p>
        </w:tc>
        <w:tc>
          <w:tcPr>
            <w:tcW w:w="600" w:type="pct"/>
          </w:tcPr>
          <w:p w:rsidR="000A75BC" w:rsidRPr="00745FE3" w:rsidRDefault="00BC638A" w:rsidP="00071B95">
            <w:pPr>
              <w:pStyle w:val="TableTextEntries"/>
              <w:rPr>
                <w:b w:val="0"/>
              </w:rPr>
            </w:pPr>
            <w:r w:rsidRPr="00745FE3">
              <w:rPr>
                <w:b w:val="0"/>
              </w:rPr>
              <w:t>n</w:t>
            </w:r>
            <w:r w:rsidR="007F6162" w:rsidRPr="00745FE3">
              <w:rPr>
                <w:b w:val="0"/>
              </w:rPr>
              <w:t>ot yet</w:t>
            </w:r>
          </w:p>
        </w:tc>
        <w:tc>
          <w:tcPr>
            <w:tcW w:w="600" w:type="pct"/>
          </w:tcPr>
          <w:p w:rsidR="000A75BC" w:rsidRPr="00745FE3" w:rsidRDefault="007F6162" w:rsidP="00071B95">
            <w:pPr>
              <w:pStyle w:val="TableTextEntries"/>
              <w:rPr>
                <w:b w:val="0"/>
              </w:rPr>
            </w:pPr>
            <w:r w:rsidRPr="00745FE3">
              <w:rPr>
                <w:b w:val="0"/>
              </w:rPr>
              <w:t>No</w:t>
            </w:r>
          </w:p>
        </w:tc>
      </w:tr>
      <w:tr w:rsidR="000A75BC" w:rsidRPr="00745FE3" w:rsidTr="007B265A">
        <w:trPr>
          <w:cnfStyle w:val="100000000000" w:firstRow="1" w:lastRow="0" w:firstColumn="0" w:lastColumn="0" w:oddVBand="0" w:evenVBand="0" w:oddHBand="0" w:evenHBand="0" w:firstRowFirstColumn="0" w:firstRowLastColumn="0" w:lastRowFirstColumn="0" w:lastRowLastColumn="0"/>
        </w:trPr>
        <w:tc>
          <w:tcPr>
            <w:tcW w:w="1000" w:type="pct"/>
          </w:tcPr>
          <w:p w:rsidR="000A75BC" w:rsidRPr="008509B8" w:rsidRDefault="00B76A43" w:rsidP="00071B95">
            <w:pPr>
              <w:pStyle w:val="TableTextEntries"/>
              <w:rPr>
                <w:b w:val="0"/>
              </w:rPr>
            </w:pPr>
            <w:r w:rsidRPr="00745FE3">
              <w:rPr>
                <w:b w:val="0"/>
              </w:rPr>
              <w:t>Landmine Survivor Assistance Program</w:t>
            </w:r>
            <w:r w:rsidR="001448D0" w:rsidRPr="00745FE3">
              <w:rPr>
                <w:b w:val="0"/>
              </w:rPr>
              <w:t>/Cambodia Initiative for Disability Inclusion</w:t>
            </w:r>
          </w:p>
        </w:tc>
        <w:tc>
          <w:tcPr>
            <w:tcW w:w="600" w:type="pct"/>
          </w:tcPr>
          <w:p w:rsidR="000A75BC" w:rsidRPr="00745FE3" w:rsidRDefault="00B76A43" w:rsidP="00071B95">
            <w:pPr>
              <w:pStyle w:val="TableTextEntries"/>
              <w:rPr>
                <w:b w:val="0"/>
              </w:rPr>
            </w:pPr>
            <w:r w:rsidRPr="008509B8">
              <w:rPr>
                <w:b w:val="0"/>
              </w:rPr>
              <w:t>INH188</w:t>
            </w:r>
          </w:p>
        </w:tc>
        <w:tc>
          <w:tcPr>
            <w:tcW w:w="600" w:type="pct"/>
          </w:tcPr>
          <w:p w:rsidR="000A75BC" w:rsidRPr="00745FE3" w:rsidRDefault="00B76A43">
            <w:pPr>
              <w:pStyle w:val="TableTextEntries"/>
              <w:rPr>
                <w:b w:val="0"/>
              </w:rPr>
            </w:pPr>
            <w:r w:rsidRPr="00745FE3">
              <w:rPr>
                <w:b w:val="0"/>
              </w:rPr>
              <w:t xml:space="preserve">Progress </w:t>
            </w:r>
            <w:r w:rsidR="00773F84">
              <w:rPr>
                <w:b w:val="0"/>
              </w:rPr>
              <w:t>r</w:t>
            </w:r>
            <w:r w:rsidR="00773F84" w:rsidRPr="00745FE3">
              <w:rPr>
                <w:b w:val="0"/>
              </w:rPr>
              <w:t>eview</w:t>
            </w:r>
          </w:p>
        </w:tc>
        <w:tc>
          <w:tcPr>
            <w:tcW w:w="600" w:type="pct"/>
          </w:tcPr>
          <w:p w:rsidR="000A75BC" w:rsidRPr="00745FE3" w:rsidRDefault="007F6162" w:rsidP="007F6162">
            <w:pPr>
              <w:pStyle w:val="TableTextEntries"/>
              <w:rPr>
                <w:b w:val="0"/>
              </w:rPr>
            </w:pPr>
            <w:r w:rsidRPr="00745FE3">
              <w:rPr>
                <w:b w:val="0"/>
              </w:rPr>
              <w:t>31 March 2013</w:t>
            </w:r>
          </w:p>
        </w:tc>
        <w:tc>
          <w:tcPr>
            <w:tcW w:w="600" w:type="pct"/>
          </w:tcPr>
          <w:p w:rsidR="000A75BC" w:rsidRPr="00745FE3" w:rsidRDefault="007F6162" w:rsidP="00071B95">
            <w:pPr>
              <w:pStyle w:val="TableTextEntries"/>
              <w:rPr>
                <w:b w:val="0"/>
              </w:rPr>
            </w:pPr>
            <w:r w:rsidRPr="00745FE3">
              <w:rPr>
                <w:b w:val="0"/>
              </w:rPr>
              <w:t xml:space="preserve"> 16 April 2013</w:t>
            </w:r>
          </w:p>
        </w:tc>
        <w:tc>
          <w:tcPr>
            <w:tcW w:w="600" w:type="pct"/>
          </w:tcPr>
          <w:p w:rsidR="000A75BC" w:rsidRPr="00745FE3" w:rsidRDefault="007F6162" w:rsidP="00071B95">
            <w:pPr>
              <w:pStyle w:val="TableTextEntries"/>
              <w:rPr>
                <w:b w:val="0"/>
              </w:rPr>
            </w:pPr>
            <w:r w:rsidRPr="00745FE3">
              <w:rPr>
                <w:b w:val="0"/>
              </w:rPr>
              <w:t>not yet</w:t>
            </w:r>
          </w:p>
        </w:tc>
        <w:tc>
          <w:tcPr>
            <w:tcW w:w="600" w:type="pct"/>
          </w:tcPr>
          <w:p w:rsidR="000A75BC" w:rsidRPr="00745FE3" w:rsidRDefault="00B76A43" w:rsidP="00071B95">
            <w:pPr>
              <w:pStyle w:val="TableTextEntries"/>
              <w:rPr>
                <w:b w:val="0"/>
              </w:rPr>
            </w:pPr>
            <w:r w:rsidRPr="00745FE3">
              <w:rPr>
                <w:b w:val="0"/>
              </w:rPr>
              <w:t>No</w:t>
            </w:r>
          </w:p>
        </w:tc>
      </w:tr>
      <w:tr w:rsidR="000A75BC" w:rsidRPr="00745FE3" w:rsidTr="007B265A">
        <w:trPr>
          <w:cnfStyle w:val="100000000000" w:firstRow="1" w:lastRow="0" w:firstColumn="0" w:lastColumn="0" w:oddVBand="0" w:evenVBand="0" w:oddHBand="0" w:evenHBand="0" w:firstRowFirstColumn="0" w:firstRowLastColumn="0" w:lastRowFirstColumn="0" w:lastRowLastColumn="0"/>
        </w:trPr>
        <w:tc>
          <w:tcPr>
            <w:tcW w:w="1000" w:type="pct"/>
          </w:tcPr>
          <w:p w:rsidR="000A75BC" w:rsidRPr="00745FE3" w:rsidRDefault="00B76A43" w:rsidP="00071B95">
            <w:pPr>
              <w:pStyle w:val="TableTextEntries"/>
              <w:rPr>
                <w:b w:val="0"/>
              </w:rPr>
            </w:pPr>
            <w:r w:rsidRPr="00745FE3">
              <w:rPr>
                <w:b w:val="0"/>
              </w:rPr>
              <w:t>Community Development Fund</w:t>
            </w:r>
          </w:p>
        </w:tc>
        <w:tc>
          <w:tcPr>
            <w:tcW w:w="600" w:type="pct"/>
          </w:tcPr>
          <w:p w:rsidR="000A75BC" w:rsidRPr="00745FE3" w:rsidRDefault="00B76A43" w:rsidP="00071B95">
            <w:pPr>
              <w:pStyle w:val="TableTextEntries"/>
              <w:rPr>
                <w:b w:val="0"/>
              </w:rPr>
            </w:pPr>
            <w:r w:rsidRPr="00745FE3">
              <w:rPr>
                <w:b w:val="0"/>
              </w:rPr>
              <w:t>INJ717</w:t>
            </w:r>
          </w:p>
        </w:tc>
        <w:tc>
          <w:tcPr>
            <w:tcW w:w="600" w:type="pct"/>
          </w:tcPr>
          <w:p w:rsidR="000A75BC" w:rsidRPr="00745FE3" w:rsidRDefault="00B76A43">
            <w:pPr>
              <w:pStyle w:val="TableTextEntries"/>
              <w:rPr>
                <w:b w:val="0"/>
              </w:rPr>
            </w:pPr>
            <w:r w:rsidRPr="00745FE3">
              <w:rPr>
                <w:b w:val="0"/>
              </w:rPr>
              <w:t xml:space="preserve">Independent </w:t>
            </w:r>
            <w:r w:rsidR="00773F84">
              <w:rPr>
                <w:b w:val="0"/>
              </w:rPr>
              <w:t>e</w:t>
            </w:r>
            <w:r w:rsidR="00773F84" w:rsidRPr="00745FE3">
              <w:rPr>
                <w:b w:val="0"/>
              </w:rPr>
              <w:t>valuation</w:t>
            </w:r>
          </w:p>
        </w:tc>
        <w:tc>
          <w:tcPr>
            <w:tcW w:w="600" w:type="pct"/>
          </w:tcPr>
          <w:p w:rsidR="000A75BC" w:rsidRPr="00745FE3" w:rsidRDefault="00B76A43" w:rsidP="00071B95">
            <w:pPr>
              <w:pStyle w:val="TableTextEntries"/>
              <w:rPr>
                <w:b w:val="0"/>
              </w:rPr>
            </w:pPr>
            <w:r w:rsidRPr="00745FE3">
              <w:rPr>
                <w:b w:val="0"/>
              </w:rPr>
              <w:t>April 2013</w:t>
            </w:r>
          </w:p>
        </w:tc>
        <w:tc>
          <w:tcPr>
            <w:tcW w:w="600" w:type="pct"/>
          </w:tcPr>
          <w:p w:rsidR="000A75BC" w:rsidRPr="00745FE3" w:rsidRDefault="00F23CA3" w:rsidP="00071B95">
            <w:pPr>
              <w:pStyle w:val="TableTextEntries"/>
              <w:rPr>
                <w:b w:val="0"/>
              </w:rPr>
            </w:pPr>
            <w:r>
              <w:rPr>
                <w:b w:val="0"/>
              </w:rPr>
              <w:t>–</w:t>
            </w:r>
          </w:p>
        </w:tc>
        <w:tc>
          <w:tcPr>
            <w:tcW w:w="600" w:type="pct"/>
          </w:tcPr>
          <w:p w:rsidR="000A75BC" w:rsidRPr="00745FE3" w:rsidRDefault="00BC638A" w:rsidP="00071B95">
            <w:pPr>
              <w:pStyle w:val="TableTextEntries"/>
              <w:rPr>
                <w:b w:val="0"/>
              </w:rPr>
            </w:pPr>
            <w:r w:rsidRPr="00745FE3">
              <w:rPr>
                <w:b w:val="0"/>
              </w:rPr>
              <w:t>not yet</w:t>
            </w:r>
          </w:p>
        </w:tc>
        <w:tc>
          <w:tcPr>
            <w:tcW w:w="600" w:type="pct"/>
          </w:tcPr>
          <w:p w:rsidR="000A75BC" w:rsidRPr="00745FE3" w:rsidRDefault="00BC638A" w:rsidP="00071B95">
            <w:pPr>
              <w:pStyle w:val="TableTextEntries"/>
              <w:rPr>
                <w:b w:val="0"/>
              </w:rPr>
            </w:pPr>
            <w:r w:rsidRPr="00745FE3">
              <w:rPr>
                <w:b w:val="0"/>
              </w:rPr>
              <w:t>No</w:t>
            </w:r>
          </w:p>
        </w:tc>
      </w:tr>
      <w:tr w:rsidR="000A75BC" w:rsidRPr="00745FE3" w:rsidTr="007B265A">
        <w:trPr>
          <w:cnfStyle w:val="100000000000" w:firstRow="1" w:lastRow="0" w:firstColumn="0" w:lastColumn="0" w:oddVBand="0" w:evenVBand="0" w:oddHBand="0" w:evenHBand="0" w:firstRowFirstColumn="0" w:firstRowLastColumn="0" w:lastRowFirstColumn="0" w:lastRowLastColumn="0"/>
        </w:trPr>
        <w:tc>
          <w:tcPr>
            <w:tcW w:w="1000" w:type="pct"/>
          </w:tcPr>
          <w:p w:rsidR="000A75BC" w:rsidRPr="00745FE3" w:rsidRDefault="00E11853" w:rsidP="00BE5941">
            <w:pPr>
              <w:pStyle w:val="TableTextEntries"/>
              <w:rPr>
                <w:b w:val="0"/>
              </w:rPr>
            </w:pPr>
            <w:r w:rsidRPr="00745FE3">
              <w:rPr>
                <w:b w:val="0"/>
              </w:rPr>
              <w:t>Health</w:t>
            </w:r>
            <w:r w:rsidR="00BE5941" w:rsidRPr="00745FE3">
              <w:rPr>
                <w:b w:val="0"/>
              </w:rPr>
              <w:t>: Midwife Education Project Phase II</w:t>
            </w:r>
          </w:p>
        </w:tc>
        <w:tc>
          <w:tcPr>
            <w:tcW w:w="600" w:type="pct"/>
          </w:tcPr>
          <w:p w:rsidR="000A75BC" w:rsidRPr="00745FE3" w:rsidRDefault="00BE5941" w:rsidP="00071B95">
            <w:pPr>
              <w:pStyle w:val="TableTextEntries"/>
              <w:rPr>
                <w:b w:val="0"/>
              </w:rPr>
            </w:pPr>
            <w:r w:rsidRPr="00745FE3">
              <w:rPr>
                <w:b w:val="0"/>
              </w:rPr>
              <w:t>ING741</w:t>
            </w:r>
          </w:p>
        </w:tc>
        <w:tc>
          <w:tcPr>
            <w:tcW w:w="600" w:type="pct"/>
          </w:tcPr>
          <w:p w:rsidR="000A75BC" w:rsidRPr="00745FE3" w:rsidRDefault="00BE5941">
            <w:pPr>
              <w:pStyle w:val="TableTextEntries"/>
              <w:rPr>
                <w:b w:val="0"/>
              </w:rPr>
            </w:pPr>
            <w:r w:rsidRPr="00745FE3">
              <w:rPr>
                <w:b w:val="0"/>
              </w:rPr>
              <w:t xml:space="preserve">Joint </w:t>
            </w:r>
            <w:r w:rsidR="00773F84">
              <w:rPr>
                <w:b w:val="0"/>
              </w:rPr>
              <w:t>r</w:t>
            </w:r>
            <w:r w:rsidR="00773F84" w:rsidRPr="00745FE3">
              <w:rPr>
                <w:b w:val="0"/>
              </w:rPr>
              <w:t>eview</w:t>
            </w:r>
          </w:p>
        </w:tc>
        <w:tc>
          <w:tcPr>
            <w:tcW w:w="600" w:type="pct"/>
          </w:tcPr>
          <w:p w:rsidR="000A75BC" w:rsidRPr="00745FE3" w:rsidRDefault="00BE5941" w:rsidP="00071B95">
            <w:pPr>
              <w:pStyle w:val="TableTextEntries"/>
              <w:rPr>
                <w:b w:val="0"/>
              </w:rPr>
            </w:pPr>
            <w:r w:rsidRPr="00745FE3">
              <w:rPr>
                <w:b w:val="0"/>
              </w:rPr>
              <w:t>January 2013</w:t>
            </w:r>
          </w:p>
        </w:tc>
        <w:tc>
          <w:tcPr>
            <w:tcW w:w="600" w:type="pct"/>
          </w:tcPr>
          <w:p w:rsidR="000A75BC" w:rsidRPr="00745FE3" w:rsidRDefault="00F23F23" w:rsidP="00071B95">
            <w:pPr>
              <w:pStyle w:val="TableTextEntries"/>
              <w:rPr>
                <w:b w:val="0"/>
              </w:rPr>
            </w:pPr>
            <w:r w:rsidRPr="00745FE3">
              <w:rPr>
                <w:b w:val="0"/>
              </w:rPr>
              <w:t>-</w:t>
            </w:r>
          </w:p>
        </w:tc>
        <w:tc>
          <w:tcPr>
            <w:tcW w:w="600" w:type="pct"/>
          </w:tcPr>
          <w:p w:rsidR="000A75BC" w:rsidRPr="00745FE3" w:rsidRDefault="00E11853" w:rsidP="00071B95">
            <w:pPr>
              <w:pStyle w:val="TableTextEntries"/>
              <w:rPr>
                <w:b w:val="0"/>
              </w:rPr>
            </w:pPr>
            <w:r w:rsidRPr="00745FE3">
              <w:rPr>
                <w:b w:val="0"/>
              </w:rPr>
              <w:t>n/a</w:t>
            </w:r>
          </w:p>
        </w:tc>
        <w:tc>
          <w:tcPr>
            <w:tcW w:w="600" w:type="pct"/>
          </w:tcPr>
          <w:p w:rsidR="000A75BC" w:rsidRPr="00745FE3" w:rsidRDefault="00BE5941" w:rsidP="00071B95">
            <w:pPr>
              <w:pStyle w:val="TableTextEntries"/>
              <w:rPr>
                <w:b w:val="0"/>
              </w:rPr>
            </w:pPr>
            <w:r w:rsidRPr="00745FE3">
              <w:rPr>
                <w:b w:val="0"/>
              </w:rPr>
              <w:t>No</w:t>
            </w:r>
          </w:p>
        </w:tc>
      </w:tr>
      <w:tr w:rsidR="001448D0" w:rsidRPr="00745FE3" w:rsidTr="007B265A">
        <w:trPr>
          <w:cnfStyle w:val="100000000000" w:firstRow="1" w:lastRow="0" w:firstColumn="0" w:lastColumn="0" w:oddVBand="0" w:evenVBand="0" w:oddHBand="0" w:evenHBand="0" w:firstRowFirstColumn="0" w:firstRowLastColumn="0" w:lastRowFirstColumn="0" w:lastRowLastColumn="0"/>
        </w:trPr>
        <w:tc>
          <w:tcPr>
            <w:tcW w:w="1000" w:type="pct"/>
          </w:tcPr>
          <w:p w:rsidR="001448D0" w:rsidRPr="00745FE3" w:rsidRDefault="001448D0" w:rsidP="00E14F32">
            <w:pPr>
              <w:pStyle w:val="TableTextEntries"/>
              <w:rPr>
                <w:b w:val="0"/>
              </w:rPr>
            </w:pPr>
            <w:r w:rsidRPr="00745FE3">
              <w:rPr>
                <w:b w:val="0"/>
              </w:rPr>
              <w:t>Cambodia Water Resources Management Research Capacity Development Program</w:t>
            </w:r>
          </w:p>
        </w:tc>
        <w:tc>
          <w:tcPr>
            <w:tcW w:w="600" w:type="pct"/>
          </w:tcPr>
          <w:p w:rsidR="001448D0" w:rsidRPr="00745FE3" w:rsidRDefault="001448D0" w:rsidP="00E14F32">
            <w:pPr>
              <w:pStyle w:val="TableTextEntries"/>
              <w:rPr>
                <w:b w:val="0"/>
              </w:rPr>
            </w:pPr>
            <w:r w:rsidRPr="00745FE3">
              <w:rPr>
                <w:b w:val="0"/>
              </w:rPr>
              <w:t>ING446</w:t>
            </w:r>
          </w:p>
        </w:tc>
        <w:tc>
          <w:tcPr>
            <w:tcW w:w="600" w:type="pct"/>
          </w:tcPr>
          <w:p w:rsidR="001448D0" w:rsidRPr="00745FE3" w:rsidRDefault="001448D0" w:rsidP="00E14F32">
            <w:pPr>
              <w:pStyle w:val="TableTextEntries"/>
              <w:rPr>
                <w:b w:val="0"/>
              </w:rPr>
            </w:pPr>
            <w:r w:rsidRPr="00745FE3">
              <w:rPr>
                <w:b w:val="0"/>
              </w:rPr>
              <w:t xml:space="preserve">Independent </w:t>
            </w:r>
            <w:r w:rsidR="00773F84" w:rsidRPr="00745FE3">
              <w:rPr>
                <w:b w:val="0"/>
              </w:rPr>
              <w:t>impact assessment</w:t>
            </w:r>
          </w:p>
        </w:tc>
        <w:tc>
          <w:tcPr>
            <w:tcW w:w="600" w:type="pct"/>
          </w:tcPr>
          <w:p w:rsidR="001448D0" w:rsidRPr="00745FE3" w:rsidRDefault="001448D0" w:rsidP="00E14F32">
            <w:pPr>
              <w:pStyle w:val="TableTextEntries"/>
              <w:rPr>
                <w:b w:val="0"/>
              </w:rPr>
            </w:pPr>
            <w:r w:rsidRPr="00745FE3">
              <w:rPr>
                <w:b w:val="0"/>
              </w:rPr>
              <w:t>5 February 2013</w:t>
            </w:r>
          </w:p>
        </w:tc>
        <w:tc>
          <w:tcPr>
            <w:tcW w:w="600" w:type="pct"/>
          </w:tcPr>
          <w:p w:rsidR="001448D0" w:rsidRPr="00745FE3" w:rsidRDefault="001448D0" w:rsidP="00E14F32">
            <w:pPr>
              <w:pStyle w:val="TableTextEntries"/>
              <w:rPr>
                <w:b w:val="0"/>
              </w:rPr>
            </w:pPr>
            <w:r w:rsidRPr="00745FE3">
              <w:rPr>
                <w:b w:val="0"/>
              </w:rPr>
              <w:t>17 June 2013</w:t>
            </w:r>
          </w:p>
        </w:tc>
        <w:tc>
          <w:tcPr>
            <w:tcW w:w="600" w:type="pct"/>
          </w:tcPr>
          <w:p w:rsidR="001448D0" w:rsidRPr="00745FE3" w:rsidRDefault="001448D0" w:rsidP="00E14F32">
            <w:pPr>
              <w:pStyle w:val="TableTextEntries"/>
              <w:rPr>
                <w:b w:val="0"/>
              </w:rPr>
            </w:pPr>
            <w:r w:rsidRPr="00745FE3">
              <w:rPr>
                <w:b w:val="0"/>
              </w:rPr>
              <w:t>Not yet</w:t>
            </w:r>
          </w:p>
        </w:tc>
        <w:tc>
          <w:tcPr>
            <w:tcW w:w="600" w:type="pct"/>
          </w:tcPr>
          <w:p w:rsidR="001448D0" w:rsidRPr="00745FE3" w:rsidRDefault="001448D0" w:rsidP="00E14F32">
            <w:pPr>
              <w:pStyle w:val="TableTextEntries"/>
              <w:rPr>
                <w:b w:val="0"/>
              </w:rPr>
            </w:pPr>
            <w:r w:rsidRPr="00745FE3">
              <w:rPr>
                <w:b w:val="0"/>
              </w:rPr>
              <w:t>No</w:t>
            </w:r>
          </w:p>
        </w:tc>
      </w:tr>
      <w:tr w:rsidR="001448D0" w:rsidRPr="00745FE3" w:rsidTr="007B265A">
        <w:trPr>
          <w:cnfStyle w:val="100000000000" w:firstRow="1" w:lastRow="0" w:firstColumn="0" w:lastColumn="0" w:oddVBand="0" w:evenVBand="0" w:oddHBand="0" w:evenHBand="0" w:firstRowFirstColumn="0" w:firstRowLastColumn="0" w:lastRowFirstColumn="0" w:lastRowLastColumn="0"/>
        </w:trPr>
        <w:tc>
          <w:tcPr>
            <w:tcW w:w="1000" w:type="pct"/>
          </w:tcPr>
          <w:p w:rsidR="001448D0" w:rsidRPr="00745FE3" w:rsidRDefault="001448D0" w:rsidP="00E14F32">
            <w:pPr>
              <w:pStyle w:val="TableTextEntries"/>
              <w:rPr>
                <w:b w:val="0"/>
              </w:rPr>
            </w:pPr>
            <w:r w:rsidRPr="00745FE3">
              <w:rPr>
                <w:b w:val="0"/>
              </w:rPr>
              <w:t>Smallholder Agriculture and Social Protection</w:t>
            </w:r>
          </w:p>
        </w:tc>
        <w:tc>
          <w:tcPr>
            <w:tcW w:w="600" w:type="pct"/>
          </w:tcPr>
          <w:p w:rsidR="001448D0" w:rsidRPr="00745FE3" w:rsidRDefault="001448D0" w:rsidP="00E14F32">
            <w:pPr>
              <w:pStyle w:val="TableTextEntries"/>
              <w:rPr>
                <w:b w:val="0"/>
              </w:rPr>
            </w:pPr>
            <w:r w:rsidRPr="00745FE3">
              <w:rPr>
                <w:b w:val="0"/>
              </w:rPr>
              <w:t>INI617</w:t>
            </w:r>
          </w:p>
        </w:tc>
        <w:tc>
          <w:tcPr>
            <w:tcW w:w="600" w:type="pct"/>
          </w:tcPr>
          <w:p w:rsidR="001448D0" w:rsidRPr="00745FE3" w:rsidRDefault="001448D0" w:rsidP="00E14F32">
            <w:pPr>
              <w:pStyle w:val="TableTextEntries"/>
              <w:rPr>
                <w:b w:val="0"/>
              </w:rPr>
            </w:pPr>
            <w:r w:rsidRPr="00745FE3">
              <w:rPr>
                <w:b w:val="0"/>
              </w:rPr>
              <w:t xml:space="preserve">Independent </w:t>
            </w:r>
            <w:r w:rsidR="00773F84" w:rsidRPr="00745FE3">
              <w:rPr>
                <w:b w:val="0"/>
              </w:rPr>
              <w:t>progress report</w:t>
            </w:r>
          </w:p>
        </w:tc>
        <w:tc>
          <w:tcPr>
            <w:tcW w:w="600" w:type="pct"/>
          </w:tcPr>
          <w:p w:rsidR="001448D0" w:rsidRPr="00745FE3" w:rsidRDefault="001448D0" w:rsidP="00E14F32">
            <w:pPr>
              <w:pStyle w:val="TableTextEntries"/>
              <w:rPr>
                <w:b w:val="0"/>
              </w:rPr>
            </w:pPr>
            <w:r w:rsidRPr="00745FE3">
              <w:rPr>
                <w:b w:val="0"/>
              </w:rPr>
              <w:t>12 March 2013</w:t>
            </w:r>
          </w:p>
        </w:tc>
        <w:tc>
          <w:tcPr>
            <w:tcW w:w="600" w:type="pct"/>
          </w:tcPr>
          <w:p w:rsidR="001448D0" w:rsidRPr="00745FE3" w:rsidRDefault="001448D0" w:rsidP="00E14F32">
            <w:pPr>
              <w:pStyle w:val="TableTextEntries"/>
              <w:rPr>
                <w:b w:val="0"/>
              </w:rPr>
            </w:pPr>
            <w:r w:rsidRPr="00745FE3">
              <w:rPr>
                <w:b w:val="0"/>
              </w:rPr>
              <w:t>11 April 2013</w:t>
            </w:r>
          </w:p>
        </w:tc>
        <w:tc>
          <w:tcPr>
            <w:tcW w:w="600" w:type="pct"/>
          </w:tcPr>
          <w:p w:rsidR="001448D0" w:rsidRPr="00745FE3" w:rsidRDefault="001448D0" w:rsidP="00E14F32">
            <w:pPr>
              <w:pStyle w:val="TableTextEntries"/>
              <w:rPr>
                <w:b w:val="0"/>
              </w:rPr>
            </w:pPr>
            <w:r w:rsidRPr="00745FE3">
              <w:rPr>
                <w:b w:val="0"/>
              </w:rPr>
              <w:t>Not yet</w:t>
            </w:r>
          </w:p>
        </w:tc>
        <w:tc>
          <w:tcPr>
            <w:tcW w:w="600" w:type="pct"/>
          </w:tcPr>
          <w:p w:rsidR="001448D0" w:rsidRPr="00745FE3" w:rsidRDefault="001448D0" w:rsidP="00E14F32">
            <w:pPr>
              <w:pStyle w:val="TableTextEntries"/>
              <w:rPr>
                <w:b w:val="0"/>
              </w:rPr>
            </w:pPr>
            <w:r w:rsidRPr="00745FE3">
              <w:rPr>
                <w:b w:val="0"/>
              </w:rPr>
              <w:t>No</w:t>
            </w:r>
          </w:p>
        </w:tc>
      </w:tr>
      <w:tr w:rsidR="001448D0" w:rsidRPr="00745FE3" w:rsidTr="007B265A">
        <w:trPr>
          <w:cnfStyle w:val="100000000000" w:firstRow="1" w:lastRow="0" w:firstColumn="0" w:lastColumn="0" w:oddVBand="0" w:evenVBand="0" w:oddHBand="0" w:evenHBand="0" w:firstRowFirstColumn="0" w:firstRowLastColumn="0" w:lastRowFirstColumn="0" w:lastRowLastColumn="0"/>
        </w:trPr>
        <w:tc>
          <w:tcPr>
            <w:tcW w:w="1000" w:type="pct"/>
          </w:tcPr>
          <w:p w:rsidR="001448D0" w:rsidRPr="00745FE3" w:rsidRDefault="001448D0" w:rsidP="00E14F32">
            <w:pPr>
              <w:pStyle w:val="TableTextEntries"/>
              <w:rPr>
                <w:b w:val="0"/>
              </w:rPr>
            </w:pPr>
            <w:r w:rsidRPr="00745FE3">
              <w:rPr>
                <w:b w:val="0"/>
              </w:rPr>
              <w:t>Clearing for Results Phase II</w:t>
            </w:r>
          </w:p>
        </w:tc>
        <w:tc>
          <w:tcPr>
            <w:tcW w:w="600" w:type="pct"/>
          </w:tcPr>
          <w:p w:rsidR="001448D0" w:rsidRPr="00745FE3" w:rsidRDefault="001448D0" w:rsidP="00E14F32">
            <w:pPr>
              <w:pStyle w:val="TableTextEntries"/>
              <w:rPr>
                <w:b w:val="0"/>
              </w:rPr>
            </w:pPr>
            <w:r w:rsidRPr="00745FE3">
              <w:rPr>
                <w:b w:val="0"/>
              </w:rPr>
              <w:t>INJ925</w:t>
            </w:r>
          </w:p>
        </w:tc>
        <w:tc>
          <w:tcPr>
            <w:tcW w:w="600" w:type="pct"/>
          </w:tcPr>
          <w:p w:rsidR="001448D0" w:rsidRPr="00745FE3" w:rsidRDefault="001448D0" w:rsidP="00E14F32">
            <w:pPr>
              <w:pStyle w:val="TableTextEntries"/>
              <w:rPr>
                <w:b w:val="0"/>
              </w:rPr>
            </w:pPr>
            <w:r w:rsidRPr="00745FE3">
              <w:rPr>
                <w:b w:val="0"/>
              </w:rPr>
              <w:t xml:space="preserve">Independent </w:t>
            </w:r>
            <w:r w:rsidR="00773F84" w:rsidRPr="00745FE3">
              <w:rPr>
                <w:b w:val="0"/>
              </w:rPr>
              <w:t xml:space="preserve">mid-term review </w:t>
            </w:r>
            <w:r w:rsidRPr="00745FE3">
              <w:rPr>
                <w:b w:val="0"/>
              </w:rPr>
              <w:t>(partner managed)</w:t>
            </w:r>
          </w:p>
        </w:tc>
        <w:tc>
          <w:tcPr>
            <w:tcW w:w="600" w:type="pct"/>
          </w:tcPr>
          <w:p w:rsidR="001448D0" w:rsidRPr="00745FE3" w:rsidRDefault="001448D0" w:rsidP="00E14F32">
            <w:pPr>
              <w:pStyle w:val="TableTextEntries"/>
              <w:rPr>
                <w:b w:val="0"/>
              </w:rPr>
            </w:pPr>
            <w:r w:rsidRPr="00745FE3">
              <w:rPr>
                <w:b w:val="0"/>
              </w:rPr>
              <w:t>19 June 2013</w:t>
            </w:r>
          </w:p>
        </w:tc>
        <w:tc>
          <w:tcPr>
            <w:tcW w:w="600" w:type="pct"/>
          </w:tcPr>
          <w:p w:rsidR="001448D0" w:rsidRPr="00745FE3" w:rsidRDefault="001448D0" w:rsidP="00E14F32">
            <w:pPr>
              <w:pStyle w:val="TableTextEntries"/>
              <w:rPr>
                <w:b w:val="0"/>
              </w:rPr>
            </w:pPr>
            <w:r w:rsidRPr="00745FE3">
              <w:rPr>
                <w:b w:val="0"/>
              </w:rPr>
              <w:t>Not yet</w:t>
            </w:r>
          </w:p>
        </w:tc>
        <w:tc>
          <w:tcPr>
            <w:tcW w:w="600" w:type="pct"/>
          </w:tcPr>
          <w:p w:rsidR="001448D0" w:rsidRPr="00745FE3" w:rsidRDefault="001448D0" w:rsidP="00E14F32">
            <w:pPr>
              <w:pStyle w:val="TableTextEntries"/>
              <w:rPr>
                <w:b w:val="0"/>
              </w:rPr>
            </w:pPr>
            <w:r w:rsidRPr="00745FE3">
              <w:rPr>
                <w:b w:val="0"/>
              </w:rPr>
              <w:t>Not yet</w:t>
            </w:r>
          </w:p>
        </w:tc>
        <w:tc>
          <w:tcPr>
            <w:tcW w:w="600" w:type="pct"/>
          </w:tcPr>
          <w:p w:rsidR="001448D0" w:rsidRPr="00745FE3" w:rsidRDefault="001448D0" w:rsidP="00E14F32">
            <w:pPr>
              <w:pStyle w:val="TableTextEntries"/>
              <w:rPr>
                <w:b w:val="0"/>
              </w:rPr>
            </w:pPr>
            <w:r w:rsidRPr="00745FE3">
              <w:rPr>
                <w:b w:val="0"/>
              </w:rPr>
              <w:t>n/a</w:t>
            </w:r>
          </w:p>
        </w:tc>
      </w:tr>
    </w:tbl>
    <w:p w:rsidR="00071B95" w:rsidRPr="00745FE3" w:rsidRDefault="00071B95" w:rsidP="00866B6E">
      <w:pPr>
        <w:pStyle w:val="Caption"/>
      </w:pPr>
      <w:r w:rsidRPr="00745FE3">
        <w:lastRenderedPageBreak/>
        <w:t xml:space="preserve">List of evaluations planned in the next 12 months </w:t>
      </w:r>
    </w:p>
    <w:tbl>
      <w:tblPr>
        <w:tblStyle w:val="APPR"/>
        <w:tblW w:w="0" w:type="auto"/>
        <w:tblLook w:val="0600" w:firstRow="0" w:lastRow="0" w:firstColumn="0" w:lastColumn="0" w:noHBand="1" w:noVBand="1"/>
      </w:tblPr>
      <w:tblGrid>
        <w:gridCol w:w="2563"/>
        <w:gridCol w:w="28"/>
        <w:gridCol w:w="2398"/>
        <w:gridCol w:w="28"/>
        <w:gridCol w:w="2481"/>
        <w:gridCol w:w="28"/>
        <w:gridCol w:w="2491"/>
        <w:gridCol w:w="28"/>
        <w:gridCol w:w="2530"/>
      </w:tblGrid>
      <w:tr w:rsidR="00071B95" w:rsidRPr="00745FE3" w:rsidTr="000733A2">
        <w:tc>
          <w:tcPr>
            <w:tcW w:w="2521" w:type="dxa"/>
          </w:tcPr>
          <w:p w:rsidR="00071B95" w:rsidRPr="00745FE3" w:rsidRDefault="00071B95">
            <w:pPr>
              <w:pStyle w:val="TableTextColumnHeading"/>
            </w:pPr>
            <w:r w:rsidRPr="00745FE3">
              <w:t xml:space="preserve">Name of </w:t>
            </w:r>
            <w:r w:rsidR="00773F84">
              <w:t>i</w:t>
            </w:r>
            <w:r w:rsidR="00773F84" w:rsidRPr="00745FE3">
              <w:t>nitiative</w:t>
            </w:r>
          </w:p>
        </w:tc>
        <w:tc>
          <w:tcPr>
            <w:tcW w:w="2398" w:type="dxa"/>
            <w:gridSpan w:val="2"/>
          </w:tcPr>
          <w:p w:rsidR="00071B95" w:rsidRPr="00745FE3" w:rsidRDefault="00071B95" w:rsidP="00071B95">
            <w:pPr>
              <w:pStyle w:val="TableTextColumnHeading"/>
            </w:pPr>
            <w:proofErr w:type="spellStart"/>
            <w:r w:rsidRPr="00745FE3">
              <w:t>Aidworks</w:t>
            </w:r>
            <w:proofErr w:type="spellEnd"/>
            <w:r w:rsidRPr="00745FE3">
              <w:t xml:space="preserve"> number</w:t>
            </w:r>
          </w:p>
        </w:tc>
        <w:tc>
          <w:tcPr>
            <w:tcW w:w="2481" w:type="dxa"/>
            <w:gridSpan w:val="2"/>
          </w:tcPr>
          <w:p w:rsidR="00071B95" w:rsidRPr="00745FE3" w:rsidRDefault="00071B95" w:rsidP="00071B95">
            <w:pPr>
              <w:pStyle w:val="TableTextColumnHeading"/>
            </w:pPr>
            <w:r w:rsidRPr="00745FE3">
              <w:t>Type of evaluation</w:t>
            </w:r>
          </w:p>
        </w:tc>
        <w:tc>
          <w:tcPr>
            <w:tcW w:w="2491" w:type="dxa"/>
            <w:gridSpan w:val="2"/>
          </w:tcPr>
          <w:p w:rsidR="00071B95" w:rsidRPr="00745FE3" w:rsidRDefault="00071B95" w:rsidP="00071B95">
            <w:pPr>
              <w:pStyle w:val="TableTextColumnHeading"/>
            </w:pPr>
            <w:r w:rsidRPr="00745FE3">
              <w:t>Purpose of evaluation</w:t>
            </w:r>
            <w:r w:rsidRPr="00745FE3">
              <w:rPr>
                <w:vertAlign w:val="superscript"/>
              </w:rPr>
              <w:footnoteReference w:id="39"/>
            </w:r>
          </w:p>
        </w:tc>
        <w:tc>
          <w:tcPr>
            <w:tcW w:w="2516" w:type="dxa"/>
            <w:gridSpan w:val="2"/>
          </w:tcPr>
          <w:p w:rsidR="00071B95" w:rsidRPr="00745FE3" w:rsidRDefault="00071B95" w:rsidP="00071B95">
            <w:pPr>
              <w:pStyle w:val="TableTextColumnHeading"/>
            </w:pPr>
            <w:r w:rsidRPr="00745FE3">
              <w:t>Expected completion date</w:t>
            </w:r>
          </w:p>
        </w:tc>
      </w:tr>
      <w:tr w:rsidR="00071B95" w:rsidRPr="00745FE3" w:rsidTr="000733A2">
        <w:tc>
          <w:tcPr>
            <w:tcW w:w="2549" w:type="dxa"/>
            <w:gridSpan w:val="2"/>
          </w:tcPr>
          <w:p w:rsidR="00A6775F" w:rsidRPr="00745FE3" w:rsidRDefault="00A6775F" w:rsidP="00A6775F">
            <w:pPr>
              <w:pStyle w:val="TableTextEntries"/>
              <w:rPr>
                <w:bCs/>
              </w:rPr>
            </w:pPr>
            <w:r w:rsidRPr="00745FE3">
              <w:rPr>
                <w:bCs/>
              </w:rPr>
              <w:t xml:space="preserve">Cambodia Communication </w:t>
            </w:r>
          </w:p>
          <w:p w:rsidR="00071B95" w:rsidRPr="00745FE3" w:rsidRDefault="00A6775F" w:rsidP="00A6775F">
            <w:pPr>
              <w:pStyle w:val="TableTextEntries"/>
              <w:rPr>
                <w:bCs/>
              </w:rPr>
            </w:pPr>
            <w:r w:rsidRPr="00745FE3">
              <w:rPr>
                <w:bCs/>
              </w:rPr>
              <w:t xml:space="preserve">Assistance Project </w:t>
            </w:r>
          </w:p>
        </w:tc>
        <w:tc>
          <w:tcPr>
            <w:tcW w:w="2398" w:type="dxa"/>
            <w:gridSpan w:val="2"/>
          </w:tcPr>
          <w:p w:rsidR="00071B95" w:rsidRPr="00745FE3" w:rsidRDefault="00A6775F" w:rsidP="00071B95">
            <w:pPr>
              <w:pStyle w:val="TableTextEntries"/>
              <w:rPr>
                <w:bCs/>
              </w:rPr>
            </w:pPr>
            <w:r w:rsidRPr="00745FE3">
              <w:rPr>
                <w:bCs/>
              </w:rPr>
              <w:t>INK 481</w:t>
            </w:r>
          </w:p>
        </w:tc>
        <w:tc>
          <w:tcPr>
            <w:tcW w:w="2481" w:type="dxa"/>
            <w:gridSpan w:val="2"/>
          </w:tcPr>
          <w:p w:rsidR="00071B95" w:rsidRPr="00745FE3" w:rsidRDefault="00A6775F">
            <w:pPr>
              <w:pStyle w:val="TableTextEntries"/>
              <w:rPr>
                <w:bCs/>
              </w:rPr>
            </w:pPr>
            <w:r w:rsidRPr="00745FE3">
              <w:rPr>
                <w:bCs/>
              </w:rPr>
              <w:t>Mid-</w:t>
            </w:r>
            <w:r w:rsidR="00773F84">
              <w:rPr>
                <w:bCs/>
              </w:rPr>
              <w:t>t</w:t>
            </w:r>
            <w:r w:rsidR="00773F84" w:rsidRPr="00745FE3">
              <w:rPr>
                <w:bCs/>
              </w:rPr>
              <w:t xml:space="preserve">erm </w:t>
            </w:r>
            <w:r w:rsidR="00773F84">
              <w:rPr>
                <w:bCs/>
              </w:rPr>
              <w:t>r</w:t>
            </w:r>
            <w:r w:rsidR="00773F84" w:rsidRPr="00745FE3">
              <w:rPr>
                <w:bCs/>
              </w:rPr>
              <w:t>eview</w:t>
            </w:r>
          </w:p>
        </w:tc>
        <w:tc>
          <w:tcPr>
            <w:tcW w:w="2491" w:type="dxa"/>
            <w:gridSpan w:val="2"/>
          </w:tcPr>
          <w:p w:rsidR="00071B95" w:rsidRPr="00745FE3" w:rsidRDefault="00A6775F" w:rsidP="00071B95">
            <w:pPr>
              <w:pStyle w:val="TableTextEntries"/>
              <w:rPr>
                <w:bCs/>
              </w:rPr>
            </w:pPr>
            <w:r w:rsidRPr="00745FE3">
              <w:rPr>
                <w:bCs/>
              </w:rPr>
              <w:t>To improve existing program and inform a future phase of program</w:t>
            </w:r>
          </w:p>
        </w:tc>
        <w:tc>
          <w:tcPr>
            <w:tcW w:w="2488" w:type="dxa"/>
          </w:tcPr>
          <w:p w:rsidR="00071B95" w:rsidRPr="00745FE3" w:rsidRDefault="00BC73CD" w:rsidP="00071B95">
            <w:pPr>
              <w:pStyle w:val="TableTextEntries"/>
              <w:rPr>
                <w:bCs/>
              </w:rPr>
            </w:pPr>
            <w:r>
              <w:rPr>
                <w:bCs/>
              </w:rPr>
              <w:t>E</w:t>
            </w:r>
            <w:r w:rsidR="00A6775F" w:rsidRPr="00745FE3">
              <w:rPr>
                <w:bCs/>
              </w:rPr>
              <w:t>nd of 2013</w:t>
            </w:r>
          </w:p>
        </w:tc>
      </w:tr>
      <w:tr w:rsidR="00071B95" w:rsidRPr="00745FE3" w:rsidTr="000733A2">
        <w:tc>
          <w:tcPr>
            <w:tcW w:w="2549" w:type="dxa"/>
            <w:gridSpan w:val="2"/>
          </w:tcPr>
          <w:p w:rsidR="00071B95" w:rsidRPr="00745FE3" w:rsidRDefault="000733A2" w:rsidP="00071B95">
            <w:pPr>
              <w:pStyle w:val="TableTextEntries"/>
              <w:rPr>
                <w:bCs/>
              </w:rPr>
            </w:pPr>
            <w:r w:rsidRPr="00745FE3">
              <w:rPr>
                <w:bCs/>
              </w:rPr>
              <w:t>Cambodia Australian Scholarship Initiative</w:t>
            </w:r>
          </w:p>
        </w:tc>
        <w:tc>
          <w:tcPr>
            <w:tcW w:w="2398" w:type="dxa"/>
            <w:gridSpan w:val="2"/>
          </w:tcPr>
          <w:p w:rsidR="00071B95" w:rsidRPr="00745FE3" w:rsidRDefault="000733A2" w:rsidP="00071B95">
            <w:pPr>
              <w:pStyle w:val="TableTextEntries"/>
              <w:rPr>
                <w:bCs/>
              </w:rPr>
            </w:pPr>
            <w:r w:rsidRPr="00745FE3">
              <w:rPr>
                <w:bCs/>
              </w:rPr>
              <w:t>INK 662</w:t>
            </w:r>
          </w:p>
        </w:tc>
        <w:tc>
          <w:tcPr>
            <w:tcW w:w="2481" w:type="dxa"/>
            <w:gridSpan w:val="2"/>
          </w:tcPr>
          <w:p w:rsidR="00071B95" w:rsidRPr="00745FE3" w:rsidRDefault="000733A2">
            <w:pPr>
              <w:pStyle w:val="TableTextEntries"/>
              <w:rPr>
                <w:bCs/>
              </w:rPr>
            </w:pPr>
            <w:r w:rsidRPr="00745FE3">
              <w:rPr>
                <w:bCs/>
              </w:rPr>
              <w:t xml:space="preserve">Tracer </w:t>
            </w:r>
            <w:r w:rsidR="00773F84">
              <w:rPr>
                <w:bCs/>
              </w:rPr>
              <w:t>s</w:t>
            </w:r>
            <w:r w:rsidR="00773F84" w:rsidRPr="00745FE3">
              <w:rPr>
                <w:bCs/>
              </w:rPr>
              <w:t>tudy</w:t>
            </w:r>
          </w:p>
        </w:tc>
        <w:tc>
          <w:tcPr>
            <w:tcW w:w="2491" w:type="dxa"/>
            <w:gridSpan w:val="2"/>
          </w:tcPr>
          <w:p w:rsidR="000733A2" w:rsidRPr="00745FE3" w:rsidRDefault="00BC73CD" w:rsidP="000733A2">
            <w:pPr>
              <w:pStyle w:val="TableTextEntries"/>
              <w:rPr>
                <w:bCs/>
              </w:rPr>
            </w:pPr>
            <w:r>
              <w:rPr>
                <w:bCs/>
              </w:rPr>
              <w:t>T</w:t>
            </w:r>
            <w:r w:rsidRPr="00745FE3">
              <w:rPr>
                <w:bCs/>
              </w:rPr>
              <w:t xml:space="preserve">o </w:t>
            </w:r>
            <w:r w:rsidR="000733A2" w:rsidRPr="00745FE3">
              <w:rPr>
                <w:bCs/>
              </w:rPr>
              <w:t>verify program outcomes</w:t>
            </w:r>
          </w:p>
          <w:p w:rsidR="00071B95" w:rsidRPr="00745FE3" w:rsidRDefault="00071B95" w:rsidP="00071B95">
            <w:pPr>
              <w:pStyle w:val="TableTextEntries"/>
              <w:rPr>
                <w:bCs/>
              </w:rPr>
            </w:pPr>
          </w:p>
        </w:tc>
        <w:tc>
          <w:tcPr>
            <w:tcW w:w="2488" w:type="dxa"/>
          </w:tcPr>
          <w:p w:rsidR="00071B95" w:rsidRPr="00745FE3" w:rsidRDefault="00BC73CD" w:rsidP="00071B95">
            <w:pPr>
              <w:pStyle w:val="TableTextEntries"/>
              <w:rPr>
                <w:bCs/>
              </w:rPr>
            </w:pPr>
            <w:r>
              <w:rPr>
                <w:bCs/>
              </w:rPr>
              <w:t>E</w:t>
            </w:r>
            <w:r w:rsidR="000733A2" w:rsidRPr="00745FE3">
              <w:rPr>
                <w:bCs/>
              </w:rPr>
              <w:t>nd of 2013</w:t>
            </w:r>
          </w:p>
        </w:tc>
      </w:tr>
      <w:tr w:rsidR="001448D0" w:rsidRPr="00745FE3" w:rsidTr="00E14F32">
        <w:tc>
          <w:tcPr>
            <w:tcW w:w="2549" w:type="dxa"/>
            <w:gridSpan w:val="2"/>
          </w:tcPr>
          <w:p w:rsidR="001448D0" w:rsidRPr="00745FE3" w:rsidRDefault="001448D0" w:rsidP="00E14F32">
            <w:pPr>
              <w:pStyle w:val="TableTextEntries"/>
              <w:rPr>
                <w:bCs/>
              </w:rPr>
            </w:pPr>
            <w:r w:rsidRPr="00745FE3">
              <w:rPr>
                <w:bCs/>
              </w:rPr>
              <w:t xml:space="preserve">Cambodia Agricultural Value Chain program </w:t>
            </w:r>
          </w:p>
        </w:tc>
        <w:tc>
          <w:tcPr>
            <w:tcW w:w="2398" w:type="dxa"/>
            <w:gridSpan w:val="2"/>
          </w:tcPr>
          <w:p w:rsidR="001448D0" w:rsidRPr="00745FE3" w:rsidRDefault="001448D0" w:rsidP="00E14F32">
            <w:pPr>
              <w:pStyle w:val="TableTextEntries"/>
              <w:rPr>
                <w:bCs/>
              </w:rPr>
            </w:pPr>
            <w:r w:rsidRPr="00745FE3">
              <w:rPr>
                <w:bCs/>
              </w:rPr>
              <w:t>ING 754</w:t>
            </w:r>
          </w:p>
        </w:tc>
        <w:tc>
          <w:tcPr>
            <w:tcW w:w="2481" w:type="dxa"/>
            <w:gridSpan w:val="2"/>
          </w:tcPr>
          <w:p w:rsidR="001448D0" w:rsidRPr="00745FE3" w:rsidRDefault="00955106">
            <w:pPr>
              <w:pStyle w:val="TableTextEntries"/>
              <w:rPr>
                <w:bCs/>
              </w:rPr>
            </w:pPr>
            <w:r>
              <w:rPr>
                <w:bCs/>
              </w:rPr>
              <w:t>Donor committee for enterprise development</w:t>
            </w:r>
            <w:r w:rsidRPr="00745FE3">
              <w:rPr>
                <w:bCs/>
              </w:rPr>
              <w:t xml:space="preserve"> </w:t>
            </w:r>
            <w:r w:rsidR="00BC73CD">
              <w:rPr>
                <w:bCs/>
              </w:rPr>
              <w:t>r</w:t>
            </w:r>
            <w:r w:rsidR="00BC73CD" w:rsidRPr="00745FE3">
              <w:rPr>
                <w:bCs/>
              </w:rPr>
              <w:t xml:space="preserve">esults </w:t>
            </w:r>
            <w:r w:rsidR="00BC73CD">
              <w:rPr>
                <w:bCs/>
              </w:rPr>
              <w:t>s</w:t>
            </w:r>
            <w:r w:rsidR="00BC73CD" w:rsidRPr="00745FE3">
              <w:rPr>
                <w:bCs/>
              </w:rPr>
              <w:t xml:space="preserve">tandard </w:t>
            </w:r>
            <w:r w:rsidR="001448D0" w:rsidRPr="00745FE3">
              <w:rPr>
                <w:bCs/>
              </w:rPr>
              <w:t>audit</w:t>
            </w:r>
          </w:p>
        </w:tc>
        <w:tc>
          <w:tcPr>
            <w:tcW w:w="2491" w:type="dxa"/>
            <w:gridSpan w:val="2"/>
          </w:tcPr>
          <w:p w:rsidR="001448D0" w:rsidRPr="00745FE3" w:rsidRDefault="001448D0" w:rsidP="00E14F32">
            <w:pPr>
              <w:pStyle w:val="TableTextEntries"/>
              <w:rPr>
                <w:bCs/>
              </w:rPr>
            </w:pPr>
            <w:r w:rsidRPr="00745FE3">
              <w:rPr>
                <w:bCs/>
              </w:rPr>
              <w:t xml:space="preserve">To audit the effectiveness of </w:t>
            </w:r>
            <w:r w:rsidR="00BC73CD" w:rsidRPr="00EE7257">
              <w:rPr>
                <w:bCs/>
                <w:iCs/>
                <w:lang w:val="en-US"/>
              </w:rPr>
              <w:t>Cambodia</w:t>
            </w:r>
            <w:r w:rsidR="00BC73CD" w:rsidRPr="00BC73CD">
              <w:rPr>
                <w:bCs/>
                <w:lang w:val="en-US"/>
              </w:rPr>
              <w:t xml:space="preserve"> Agricultural Value Chain Program </w:t>
            </w:r>
            <w:r w:rsidRPr="00745FE3">
              <w:rPr>
                <w:bCs/>
              </w:rPr>
              <w:t>performance and quality systems and provide recommendations for improvement</w:t>
            </w:r>
          </w:p>
        </w:tc>
        <w:tc>
          <w:tcPr>
            <w:tcW w:w="2488" w:type="dxa"/>
          </w:tcPr>
          <w:p w:rsidR="001448D0" w:rsidRPr="00745FE3" w:rsidRDefault="001448D0" w:rsidP="00E14F32">
            <w:pPr>
              <w:pStyle w:val="TableTextEntries"/>
              <w:rPr>
                <w:bCs/>
              </w:rPr>
            </w:pPr>
            <w:r w:rsidRPr="00745FE3">
              <w:rPr>
                <w:bCs/>
              </w:rPr>
              <w:t>July 2013</w:t>
            </w:r>
          </w:p>
        </w:tc>
      </w:tr>
    </w:tbl>
    <w:p w:rsidR="00071B95" w:rsidRPr="00745FE3" w:rsidRDefault="00071B95" w:rsidP="00071B95">
      <w:pPr>
        <w:rPr>
          <w:b/>
          <w:sz w:val="22"/>
          <w:szCs w:val="22"/>
        </w:rPr>
      </w:pPr>
    </w:p>
    <w:p w:rsidR="003B2D6D" w:rsidRPr="00745FE3" w:rsidRDefault="003B2D6D" w:rsidP="000249ED">
      <w:pPr>
        <w:pStyle w:val="BodyText"/>
        <w:rPr>
          <w:rFonts w:ascii="Franklin Gothic Demi" w:hAnsi="Franklin Gothic Demi" w:cs="Arial"/>
          <w:color w:val="AD495D"/>
          <w:kern w:val="28"/>
          <w:sz w:val="28"/>
          <w:szCs w:val="28"/>
        </w:rPr>
      </w:pPr>
      <w:r w:rsidRPr="00745FE3">
        <w:br w:type="page"/>
      </w:r>
    </w:p>
    <w:p w:rsidR="00346360" w:rsidRPr="001F1D9C" w:rsidRDefault="00346360" w:rsidP="000249ED">
      <w:pPr>
        <w:pStyle w:val="Heading1"/>
      </w:pPr>
      <w:r w:rsidRPr="001F1D9C">
        <w:lastRenderedPageBreak/>
        <w:t>Annex</w:t>
      </w:r>
      <w:r w:rsidR="00476352">
        <w:t xml:space="preserve"> D</w:t>
      </w:r>
    </w:p>
    <w:p w:rsidR="00346360" w:rsidRPr="001F1D9C" w:rsidRDefault="00F23F23" w:rsidP="001F1D9C">
      <w:pPr>
        <w:pStyle w:val="Heading2"/>
      </w:pPr>
      <w:r w:rsidRPr="001F1D9C">
        <w:t>Australia</w:t>
      </w:r>
      <w:r w:rsidR="00AA3099" w:rsidRPr="001F1D9C">
        <w:t>–</w:t>
      </w:r>
      <w:r w:rsidRPr="001F1D9C">
        <w:t>Cambodia Joint Aid Program Strategy 2010</w:t>
      </w:r>
      <w:r w:rsidR="00AA3099" w:rsidRPr="001F1D9C">
        <w:t>–</w:t>
      </w:r>
      <w:r w:rsidRPr="001F1D9C">
        <w:t>2015</w:t>
      </w:r>
      <w:r w:rsidR="00AA3099" w:rsidRPr="001F1D9C">
        <w:t xml:space="preserve"> performance assessment framework</w:t>
      </w:r>
    </w:p>
    <w:tbl>
      <w:tblPr>
        <w:tblStyle w:val="APPR"/>
        <w:tblW w:w="5000" w:type="pct"/>
        <w:tblLayout w:type="fixed"/>
        <w:tblLook w:val="01E0" w:firstRow="1" w:lastRow="1" w:firstColumn="1" w:lastColumn="1" w:noHBand="0" w:noVBand="0"/>
      </w:tblPr>
      <w:tblGrid>
        <w:gridCol w:w="1477"/>
        <w:gridCol w:w="1463"/>
        <w:gridCol w:w="2179"/>
        <w:gridCol w:w="29"/>
        <w:gridCol w:w="2179"/>
        <w:gridCol w:w="29"/>
        <w:gridCol w:w="2179"/>
        <w:gridCol w:w="29"/>
        <w:gridCol w:w="2179"/>
        <w:gridCol w:w="2193"/>
      </w:tblGrid>
      <w:tr w:rsidR="00F96CB2" w:rsidRPr="00745FE3" w:rsidTr="00F96CB2">
        <w:trPr>
          <w:cnfStyle w:val="100000000000" w:firstRow="1" w:lastRow="0" w:firstColumn="0" w:lastColumn="0" w:oddVBand="0" w:evenVBand="0" w:oddHBand="0" w:evenHBand="0" w:firstRowFirstColumn="0" w:firstRowLastColumn="0" w:lastRowFirstColumn="0" w:lastRowLastColumn="0"/>
        </w:trPr>
        <w:tc>
          <w:tcPr>
            <w:tcW w:w="500" w:type="pct"/>
          </w:tcPr>
          <w:p w:rsidR="00410550" w:rsidRPr="00745FE3" w:rsidRDefault="00702E1C" w:rsidP="00F96CB2">
            <w:pPr>
              <w:pStyle w:val="TableTextColumnHeading"/>
              <w:rPr>
                <w:b/>
              </w:rPr>
            </w:pPr>
            <w:r>
              <w:rPr>
                <w:b/>
              </w:rPr>
              <w:t>Cambodian Government</w:t>
            </w:r>
            <w:r w:rsidRPr="00745FE3">
              <w:rPr>
                <w:b/>
              </w:rPr>
              <w:t xml:space="preserve"> </w:t>
            </w:r>
            <w:r w:rsidR="00410550" w:rsidRPr="00745FE3">
              <w:rPr>
                <w:b/>
              </w:rPr>
              <w:t xml:space="preserve">development outcomes 2015 </w:t>
            </w:r>
          </w:p>
        </w:tc>
        <w:tc>
          <w:tcPr>
            <w:tcW w:w="500" w:type="pct"/>
          </w:tcPr>
          <w:p w:rsidR="00410550" w:rsidRPr="00745FE3" w:rsidRDefault="00702E1C" w:rsidP="00F96CB2">
            <w:pPr>
              <w:pStyle w:val="TableTextColumnHeading"/>
              <w:rPr>
                <w:b/>
              </w:rPr>
            </w:pPr>
            <w:r>
              <w:rPr>
                <w:b/>
              </w:rPr>
              <w:t>Australian Government</w:t>
            </w:r>
            <w:r w:rsidRPr="00745FE3">
              <w:rPr>
                <w:b/>
              </w:rPr>
              <w:t xml:space="preserve"> </w:t>
            </w:r>
            <w:r w:rsidR="00410550" w:rsidRPr="00745FE3">
              <w:rPr>
                <w:b/>
              </w:rPr>
              <w:t>country strategy objectives 2015</w:t>
            </w:r>
          </w:p>
        </w:tc>
        <w:tc>
          <w:tcPr>
            <w:tcW w:w="750" w:type="pct"/>
          </w:tcPr>
          <w:p w:rsidR="00410550" w:rsidRPr="00745FE3" w:rsidRDefault="00410550" w:rsidP="00F96CB2">
            <w:pPr>
              <w:pStyle w:val="TableTextColumnHeading"/>
              <w:rPr>
                <w:b/>
              </w:rPr>
            </w:pPr>
            <w:r w:rsidRPr="00745FE3">
              <w:rPr>
                <w:b/>
              </w:rPr>
              <w:t>Strategy objective indicators</w:t>
            </w:r>
          </w:p>
        </w:tc>
        <w:tc>
          <w:tcPr>
            <w:tcW w:w="750" w:type="pct"/>
            <w:gridSpan w:val="2"/>
          </w:tcPr>
          <w:p w:rsidR="00410550" w:rsidRPr="00745FE3" w:rsidRDefault="00410550" w:rsidP="00F96CB2">
            <w:pPr>
              <w:pStyle w:val="TableTextColumnHeading"/>
              <w:rPr>
                <w:b/>
              </w:rPr>
            </w:pPr>
            <w:r w:rsidRPr="00745FE3">
              <w:rPr>
                <w:b/>
              </w:rPr>
              <w:t xml:space="preserve">2011 </w:t>
            </w:r>
            <w:r w:rsidR="00AA3099">
              <w:rPr>
                <w:b/>
              </w:rPr>
              <w:t>m</w:t>
            </w:r>
            <w:r w:rsidR="00AA3099" w:rsidRPr="00745FE3">
              <w:rPr>
                <w:b/>
              </w:rPr>
              <w:t>ilestones</w:t>
            </w:r>
          </w:p>
        </w:tc>
        <w:tc>
          <w:tcPr>
            <w:tcW w:w="750" w:type="pct"/>
            <w:gridSpan w:val="2"/>
          </w:tcPr>
          <w:p w:rsidR="00410550" w:rsidRPr="00745FE3" w:rsidRDefault="00410550" w:rsidP="00F96CB2">
            <w:pPr>
              <w:pStyle w:val="TableTextColumnHeading"/>
              <w:rPr>
                <w:b/>
              </w:rPr>
            </w:pPr>
            <w:r w:rsidRPr="00745FE3">
              <w:rPr>
                <w:b/>
              </w:rPr>
              <w:t xml:space="preserve">2012 </w:t>
            </w:r>
            <w:r w:rsidR="00AA3099">
              <w:rPr>
                <w:b/>
              </w:rPr>
              <w:t>m</w:t>
            </w:r>
            <w:r w:rsidR="00AA3099" w:rsidRPr="00745FE3">
              <w:rPr>
                <w:b/>
              </w:rPr>
              <w:t>ilestones</w:t>
            </w:r>
          </w:p>
        </w:tc>
        <w:tc>
          <w:tcPr>
            <w:tcW w:w="750" w:type="pct"/>
            <w:gridSpan w:val="2"/>
          </w:tcPr>
          <w:p w:rsidR="00410550" w:rsidRPr="00745FE3" w:rsidRDefault="00410550" w:rsidP="00F96CB2">
            <w:pPr>
              <w:pStyle w:val="TableTextColumnHeading"/>
              <w:rPr>
                <w:b/>
              </w:rPr>
            </w:pPr>
            <w:r w:rsidRPr="00745FE3">
              <w:rPr>
                <w:b/>
              </w:rPr>
              <w:t xml:space="preserve">2013 </w:t>
            </w:r>
            <w:r w:rsidR="00AA3099">
              <w:rPr>
                <w:b/>
              </w:rPr>
              <w:t>m</w:t>
            </w:r>
            <w:r w:rsidR="00AA3099" w:rsidRPr="00745FE3">
              <w:rPr>
                <w:b/>
              </w:rPr>
              <w:t>ilestones</w:t>
            </w:r>
          </w:p>
        </w:tc>
        <w:tc>
          <w:tcPr>
            <w:tcW w:w="750" w:type="pct"/>
          </w:tcPr>
          <w:p w:rsidR="00410550" w:rsidRPr="00745FE3" w:rsidRDefault="00AA3099" w:rsidP="00F96CB2">
            <w:pPr>
              <w:pStyle w:val="TableTextColumnHeading"/>
              <w:rPr>
                <w:b/>
              </w:rPr>
            </w:pPr>
            <w:r w:rsidRPr="00745FE3">
              <w:rPr>
                <w:b/>
              </w:rPr>
              <w:t>Australia</w:t>
            </w:r>
            <w:r>
              <w:rPr>
                <w:b/>
              </w:rPr>
              <w:t>n</w:t>
            </w:r>
            <w:r w:rsidRPr="00745FE3">
              <w:rPr>
                <w:b/>
              </w:rPr>
              <w:t xml:space="preserve"> </w:t>
            </w:r>
            <w:r w:rsidR="00410550" w:rsidRPr="00745FE3">
              <w:rPr>
                <w:b/>
              </w:rPr>
              <w:t>Government assistance</w:t>
            </w:r>
          </w:p>
        </w:tc>
      </w:tr>
      <w:tr w:rsidR="00410550" w:rsidRPr="00745FE3" w:rsidTr="00F96CB2">
        <w:trPr>
          <w:tblHeader w:val="0"/>
        </w:trPr>
        <w:tc>
          <w:tcPr>
            <w:tcW w:w="500" w:type="pct"/>
            <w:gridSpan w:val="10"/>
          </w:tcPr>
          <w:p w:rsidR="00410550" w:rsidRPr="00F96CB2" w:rsidRDefault="00AF2826" w:rsidP="00F96CB2">
            <w:pPr>
              <w:pStyle w:val="TableHeading2"/>
              <w:rPr>
                <w:b/>
              </w:rPr>
            </w:pPr>
            <w:r w:rsidRPr="00F96CB2">
              <w:rPr>
                <w:b/>
              </w:rPr>
              <w:t xml:space="preserve">1. </w:t>
            </w:r>
            <w:r w:rsidR="00410550" w:rsidRPr="00F96CB2">
              <w:rPr>
                <w:b/>
              </w:rPr>
              <w:t xml:space="preserve">Rural </w:t>
            </w:r>
            <w:r w:rsidR="00AA3099" w:rsidRPr="00F96CB2">
              <w:rPr>
                <w:b/>
              </w:rPr>
              <w:t>poverty reduction through agricultural development</w:t>
            </w:r>
          </w:p>
        </w:tc>
      </w:tr>
      <w:tr w:rsidR="00F96CB2" w:rsidRPr="00745FE3" w:rsidTr="00F96CB2">
        <w:trPr>
          <w:cnfStyle w:val="000000010000" w:firstRow="0" w:lastRow="0" w:firstColumn="0" w:lastColumn="0" w:oddVBand="0" w:evenVBand="0" w:oddHBand="0" w:evenHBand="1" w:firstRowFirstColumn="0" w:firstRowLastColumn="0" w:lastRowFirstColumn="0" w:lastRowLastColumn="0"/>
          <w:tblHeader w:val="0"/>
        </w:trPr>
        <w:tc>
          <w:tcPr>
            <w:tcW w:w="500" w:type="pct"/>
          </w:tcPr>
          <w:p w:rsidR="00410550" w:rsidRPr="00745FE3" w:rsidRDefault="00410550" w:rsidP="00F96CB2">
            <w:pPr>
              <w:pStyle w:val="TableTextEntries"/>
            </w:pPr>
            <w:r w:rsidRPr="00745FE3">
              <w:t>Accelerated growth in the value of national agricultural production</w:t>
            </w:r>
          </w:p>
          <w:p w:rsidR="00410550" w:rsidRPr="00745FE3" w:rsidRDefault="00410550" w:rsidP="00344808">
            <w:pPr>
              <w:autoSpaceDE w:val="0"/>
              <w:autoSpaceDN w:val="0"/>
              <w:adjustRightInd w:val="0"/>
              <w:rPr>
                <w:rFonts w:ascii="Calibri" w:hAnsi="Calibri" w:cs="Arial"/>
                <w:sz w:val="18"/>
                <w:szCs w:val="18"/>
                <w:u w:val="single"/>
              </w:rPr>
            </w:pPr>
          </w:p>
        </w:tc>
        <w:tc>
          <w:tcPr>
            <w:tcW w:w="500" w:type="pct"/>
          </w:tcPr>
          <w:p w:rsidR="00410550" w:rsidRPr="00745FE3" w:rsidRDefault="00410550" w:rsidP="00F96CB2">
            <w:pPr>
              <w:pStyle w:val="TableTextEntries"/>
            </w:pPr>
            <w:r w:rsidRPr="00745FE3">
              <w:t>1a. Increased value of agricultural production and smallholder income in targeted provinces</w:t>
            </w:r>
          </w:p>
          <w:p w:rsidR="00410550" w:rsidRPr="00745FE3" w:rsidRDefault="00410550" w:rsidP="00344808">
            <w:pPr>
              <w:spacing w:before="60" w:after="60"/>
              <w:rPr>
                <w:rFonts w:ascii="Calibri" w:hAnsi="Calibri" w:cs="Arial"/>
                <w:b/>
                <w:sz w:val="18"/>
                <w:szCs w:val="18"/>
              </w:rPr>
            </w:pPr>
          </w:p>
        </w:tc>
        <w:tc>
          <w:tcPr>
            <w:tcW w:w="750" w:type="pct"/>
            <w:gridSpan w:val="2"/>
          </w:tcPr>
          <w:p w:rsidR="00410550" w:rsidRPr="00745FE3" w:rsidRDefault="00410550" w:rsidP="00F96CB2">
            <w:pPr>
              <w:pStyle w:val="TableListBullet"/>
            </w:pPr>
            <w:r w:rsidRPr="00745FE3">
              <w:t>120</w:t>
            </w:r>
            <w:r w:rsidR="00C67570">
              <w:t xml:space="preserve"> </w:t>
            </w:r>
            <w:r w:rsidRPr="00745FE3">
              <w:t xml:space="preserve">000 poor </w:t>
            </w:r>
            <w:r w:rsidR="006A18D5" w:rsidRPr="00745FE3">
              <w:t xml:space="preserve">men and </w:t>
            </w:r>
            <w:r w:rsidRPr="00745FE3">
              <w:t xml:space="preserve">women farmers reporting rice and vegetable yields increased by </w:t>
            </w:r>
            <w:r w:rsidR="00BC4490">
              <w:t>seven per cent</w:t>
            </w:r>
            <w:r w:rsidR="006A18D5">
              <w:t>.</w:t>
            </w:r>
          </w:p>
          <w:p w:rsidR="00410550" w:rsidRPr="00745FE3" w:rsidRDefault="00410550" w:rsidP="00F96CB2">
            <w:pPr>
              <w:pStyle w:val="TableListBullet"/>
            </w:pPr>
            <w:r w:rsidRPr="00745FE3">
              <w:t>30</w:t>
            </w:r>
            <w:r w:rsidR="00C67570">
              <w:t xml:space="preserve"> </w:t>
            </w:r>
            <w:r w:rsidRPr="00745FE3">
              <w:t>000 hectares of land under improved water management and irrigation</w:t>
            </w:r>
            <w:r w:rsidR="006A18D5">
              <w:t>.</w:t>
            </w:r>
          </w:p>
          <w:p w:rsidR="00410550" w:rsidRPr="00745FE3" w:rsidRDefault="006A18D5" w:rsidP="00BA7026">
            <w:pPr>
              <w:pStyle w:val="TableListBullet"/>
            </w:pPr>
            <w:r>
              <w:t>Cambodian Government</w:t>
            </w:r>
            <w:r w:rsidRPr="00745FE3">
              <w:t xml:space="preserve"> </w:t>
            </w:r>
            <w:r w:rsidR="00410550" w:rsidRPr="00745FE3">
              <w:t xml:space="preserve">and development partners implementing the </w:t>
            </w:r>
            <w:r>
              <w:t>g</w:t>
            </w:r>
            <w:r w:rsidRPr="00745FE3">
              <w:t xml:space="preserve">overnment’s </w:t>
            </w:r>
            <w:r>
              <w:t>s</w:t>
            </w:r>
            <w:r w:rsidRPr="00745FE3">
              <w:t xml:space="preserve">trategy </w:t>
            </w:r>
            <w:r w:rsidR="00410550" w:rsidRPr="00745FE3">
              <w:t xml:space="preserve">for </w:t>
            </w:r>
            <w:r>
              <w:t>a</w:t>
            </w:r>
            <w:r w:rsidRPr="00745FE3">
              <w:t xml:space="preserve">griculture </w:t>
            </w:r>
            <w:r w:rsidR="00410550" w:rsidRPr="00745FE3">
              <w:t xml:space="preserve">and </w:t>
            </w:r>
            <w:r>
              <w:t>w</w:t>
            </w:r>
            <w:r w:rsidRPr="00745FE3">
              <w:t xml:space="preserve">ater </w:t>
            </w:r>
            <w:r w:rsidR="00410550" w:rsidRPr="00745FE3">
              <w:t>in a harmonised and aligned manner</w:t>
            </w:r>
          </w:p>
        </w:tc>
        <w:tc>
          <w:tcPr>
            <w:tcW w:w="750" w:type="pct"/>
            <w:gridSpan w:val="2"/>
          </w:tcPr>
          <w:p w:rsidR="00410550" w:rsidRPr="00745FE3" w:rsidRDefault="00410550" w:rsidP="00F96CB2">
            <w:pPr>
              <w:pStyle w:val="TableListBullet"/>
            </w:pPr>
            <w:r w:rsidRPr="00745FE3">
              <w:t>10 agribusiness partnerships initiated which will lead to improved availability of quality inputs and information for farmers as well as access to processing and final markets.</w:t>
            </w:r>
          </w:p>
          <w:p w:rsidR="00410550" w:rsidRPr="00745FE3" w:rsidRDefault="006A18D5" w:rsidP="00F96CB2">
            <w:pPr>
              <w:pStyle w:val="TableListBullet"/>
            </w:pPr>
            <w:r>
              <w:t>Eight</w:t>
            </w:r>
            <w:r w:rsidRPr="00745FE3">
              <w:t xml:space="preserve"> </w:t>
            </w:r>
            <w:r w:rsidR="00410550" w:rsidRPr="00745FE3">
              <w:t>irrigation infrastructure improvements completed, giving up to 10</w:t>
            </w:r>
            <w:r w:rsidR="00C67570">
              <w:t xml:space="preserve"> </w:t>
            </w:r>
            <w:r w:rsidR="00410550" w:rsidRPr="00745FE3">
              <w:t>000 hectares of land access to irrigation and allowing up to 5000 farmers to plant additional crops during the dry season.</w:t>
            </w:r>
          </w:p>
          <w:p w:rsidR="00410550" w:rsidRPr="00745FE3" w:rsidRDefault="00410550" w:rsidP="00F96CB2">
            <w:pPr>
              <w:pStyle w:val="TableListBullet"/>
            </w:pPr>
            <w:r w:rsidRPr="00745FE3">
              <w:t>4000 farmers trained.</w:t>
            </w:r>
          </w:p>
          <w:p w:rsidR="00410550" w:rsidRPr="00745FE3" w:rsidRDefault="00410550" w:rsidP="00F96CB2">
            <w:pPr>
              <w:pStyle w:val="TableListBullet"/>
            </w:pPr>
            <w:r w:rsidRPr="00745FE3">
              <w:t>Farmer organisation study completed.</w:t>
            </w:r>
          </w:p>
          <w:p w:rsidR="00410550" w:rsidRPr="00745FE3" w:rsidRDefault="00410550" w:rsidP="00F96CB2">
            <w:pPr>
              <w:pStyle w:val="TableListBullet"/>
            </w:pPr>
            <w:r w:rsidRPr="00745FE3">
              <w:t xml:space="preserve">Roadmap </w:t>
            </w:r>
            <w:r w:rsidR="006A18D5" w:rsidRPr="00745FE3">
              <w:t xml:space="preserve">initiated </w:t>
            </w:r>
            <w:r w:rsidRPr="00745FE3">
              <w:t xml:space="preserve">for implementation of the </w:t>
            </w:r>
            <w:r w:rsidR="006A18D5">
              <w:t>g</w:t>
            </w:r>
            <w:r w:rsidR="006A18D5" w:rsidRPr="00745FE3">
              <w:t>overnment’s strategy for agriculture and wate</w:t>
            </w:r>
            <w:r w:rsidRPr="00745FE3">
              <w:t>r.</w:t>
            </w:r>
          </w:p>
        </w:tc>
        <w:tc>
          <w:tcPr>
            <w:tcW w:w="750" w:type="pct"/>
            <w:gridSpan w:val="2"/>
          </w:tcPr>
          <w:p w:rsidR="00410550" w:rsidRPr="00745FE3" w:rsidRDefault="00410550" w:rsidP="00F96CB2">
            <w:pPr>
              <w:pStyle w:val="TableListBullet"/>
            </w:pPr>
            <w:r w:rsidRPr="00745FE3">
              <w:t xml:space="preserve">Partnerships </w:t>
            </w:r>
            <w:r w:rsidR="001F5BEB">
              <w:t xml:space="preserve">in place </w:t>
            </w:r>
            <w:r w:rsidRPr="00745FE3">
              <w:t xml:space="preserve">with 15 companies and associations </w:t>
            </w:r>
            <w:r w:rsidR="006A18D5">
              <w:t xml:space="preserve">to </w:t>
            </w:r>
            <w:r w:rsidRPr="00745FE3">
              <w:t>improve the availability of quality inputs and information for farmers</w:t>
            </w:r>
            <w:r w:rsidR="001F5BEB">
              <w:t>,</w:t>
            </w:r>
            <w:r w:rsidRPr="00745FE3">
              <w:t xml:space="preserve"> as well as access to processing and final markets.</w:t>
            </w:r>
          </w:p>
          <w:p w:rsidR="00410550" w:rsidRPr="00745FE3" w:rsidRDefault="001F5BEB" w:rsidP="00F96CB2">
            <w:pPr>
              <w:pStyle w:val="TableListBullet"/>
            </w:pPr>
            <w:r>
              <w:t>Six</w:t>
            </w:r>
            <w:r w:rsidRPr="00745FE3">
              <w:t xml:space="preserve"> </w:t>
            </w:r>
            <w:r w:rsidR="00410550" w:rsidRPr="00745FE3">
              <w:t>irrigation infrastructure improvements completed, giving up to 8600 hectares of land access to irrigation and allowing up to 6600 farming households to grow additional crops during the dry season.</w:t>
            </w:r>
          </w:p>
          <w:p w:rsidR="00410550" w:rsidRPr="00745FE3" w:rsidRDefault="00410550" w:rsidP="00F96CB2">
            <w:pPr>
              <w:pStyle w:val="TableListBullet"/>
            </w:pPr>
            <w:r w:rsidRPr="00745FE3">
              <w:t>More than 6000 model farmer households trained and sharing their knowledge with an estimated 60</w:t>
            </w:r>
            <w:r w:rsidR="001F5BEB">
              <w:t xml:space="preserve"> </w:t>
            </w:r>
            <w:r w:rsidRPr="00745FE3">
              <w:t>000 other farming households.</w:t>
            </w:r>
          </w:p>
          <w:p w:rsidR="00410550" w:rsidRPr="00745FE3" w:rsidRDefault="00410550" w:rsidP="00F96CB2">
            <w:pPr>
              <w:pStyle w:val="TableListBullet"/>
            </w:pPr>
            <w:r w:rsidRPr="00745FE3">
              <w:t xml:space="preserve">Roadmap </w:t>
            </w:r>
            <w:r w:rsidR="001F5BEB" w:rsidRPr="00745FE3">
              <w:t xml:space="preserve">completed </w:t>
            </w:r>
            <w:r w:rsidRPr="00745FE3">
              <w:t xml:space="preserve">for implementation of the </w:t>
            </w:r>
            <w:r w:rsidR="001F5BEB">
              <w:t>g</w:t>
            </w:r>
            <w:r w:rsidR="001F5BEB" w:rsidRPr="00745FE3">
              <w:t>overnment's strategy for agriculture and water</w:t>
            </w:r>
            <w:r w:rsidRPr="00745FE3">
              <w:t>.</w:t>
            </w:r>
          </w:p>
        </w:tc>
        <w:tc>
          <w:tcPr>
            <w:tcW w:w="750" w:type="pct"/>
          </w:tcPr>
          <w:p w:rsidR="00FC468E" w:rsidRPr="00745FE3" w:rsidRDefault="00FC468E" w:rsidP="00F96CB2">
            <w:pPr>
              <w:pStyle w:val="TableListBullet"/>
            </w:pPr>
            <w:r w:rsidRPr="00745FE3">
              <w:t xml:space="preserve">Partnerships with 22 companies, counterpart ministries and associations </w:t>
            </w:r>
            <w:r w:rsidR="001F5BEB">
              <w:t xml:space="preserve">to </w:t>
            </w:r>
            <w:r w:rsidRPr="00745FE3">
              <w:t>improve the availability of quality inputs and information for farmers</w:t>
            </w:r>
            <w:r w:rsidR="001F5BEB">
              <w:t>,</w:t>
            </w:r>
            <w:r w:rsidRPr="00745FE3">
              <w:t xml:space="preserve"> as well as access to processing and final markets.</w:t>
            </w:r>
          </w:p>
          <w:p w:rsidR="00FC468E" w:rsidRPr="00745FE3" w:rsidRDefault="001F5BEB" w:rsidP="00F96CB2">
            <w:pPr>
              <w:pStyle w:val="TableListBullet"/>
            </w:pPr>
            <w:r>
              <w:t>Seven</w:t>
            </w:r>
            <w:r w:rsidRPr="00745FE3">
              <w:t xml:space="preserve"> </w:t>
            </w:r>
            <w:r w:rsidR="00FC468E" w:rsidRPr="00745FE3">
              <w:t>irrigation infrastructure improvements completed, giving up to 2562 hectares of land access to irrigation and allowing up to 4036 farmer households to plant additional crops each year.</w:t>
            </w:r>
          </w:p>
          <w:p w:rsidR="00410550" w:rsidRPr="00745FE3" w:rsidRDefault="00FC468E" w:rsidP="00F96CB2">
            <w:pPr>
              <w:pStyle w:val="TableListBullet"/>
            </w:pPr>
            <w:r w:rsidRPr="00745FE3">
              <w:t>5700 model farmer households trained</w:t>
            </w:r>
            <w:r w:rsidR="00CD6B2F">
              <w:t xml:space="preserve"> </w:t>
            </w:r>
            <w:r w:rsidRPr="00745FE3">
              <w:t>and sharing their knowledge with an estimated 51</w:t>
            </w:r>
            <w:r w:rsidR="001F5BEB">
              <w:t xml:space="preserve"> </w:t>
            </w:r>
            <w:r w:rsidRPr="00745FE3">
              <w:t>300 other farming households.</w:t>
            </w:r>
          </w:p>
        </w:tc>
        <w:tc>
          <w:tcPr>
            <w:tcW w:w="750" w:type="pct"/>
          </w:tcPr>
          <w:p w:rsidR="00FC468E" w:rsidRPr="00745FE3" w:rsidRDefault="00FC468E" w:rsidP="00F96CB2">
            <w:pPr>
              <w:pStyle w:val="TableListBullet"/>
            </w:pPr>
            <w:r w:rsidRPr="00745FE3">
              <w:t>Implementation of the Cambodia Agricultural Value Chain Program</w:t>
            </w:r>
            <w:r w:rsidR="001F5BEB">
              <w:t>––</w:t>
            </w:r>
            <w:r w:rsidRPr="00745FE3">
              <w:t>Australia’s flagship agricultural development program</w:t>
            </w:r>
            <w:r w:rsidR="00F8444C">
              <w:t>––</w:t>
            </w:r>
            <w:r w:rsidRPr="00745FE3">
              <w:t xml:space="preserve">in Kampong Thom, Takeo and </w:t>
            </w:r>
            <w:proofErr w:type="spellStart"/>
            <w:r w:rsidRPr="00745FE3">
              <w:t>Kampot</w:t>
            </w:r>
            <w:proofErr w:type="spellEnd"/>
            <w:r w:rsidRPr="00745FE3">
              <w:t>.</w:t>
            </w:r>
          </w:p>
          <w:p w:rsidR="00410550" w:rsidRPr="00745FE3" w:rsidRDefault="00FC468E" w:rsidP="00F96CB2">
            <w:pPr>
              <w:pStyle w:val="TableListBullet"/>
            </w:pPr>
            <w:r w:rsidRPr="00745FE3">
              <w:t xml:space="preserve">Analytical support </w:t>
            </w:r>
            <w:r w:rsidR="001F5BEB">
              <w:t>to</w:t>
            </w:r>
            <w:r w:rsidR="001F5BEB" w:rsidRPr="00745FE3">
              <w:t xml:space="preserve"> </w:t>
            </w:r>
            <w:r w:rsidRPr="00745FE3">
              <w:t>implement</w:t>
            </w:r>
            <w:r w:rsidR="001F5BEB">
              <w:t xml:space="preserve"> </w:t>
            </w:r>
            <w:r w:rsidRPr="00745FE3">
              <w:t>policy and institutional reforms and design and evaluat</w:t>
            </w:r>
            <w:r w:rsidR="001F5BEB">
              <w:t xml:space="preserve">e </w:t>
            </w:r>
            <w:r w:rsidRPr="00745FE3">
              <w:t>pilot activities addressing priority constraints in smallholder agriculture through the World Bank.</w:t>
            </w:r>
          </w:p>
        </w:tc>
      </w:tr>
      <w:tr w:rsidR="00F96CB2" w:rsidRPr="00745FE3" w:rsidTr="00F96CB2">
        <w:trPr>
          <w:tblHeader w:val="0"/>
        </w:trPr>
        <w:tc>
          <w:tcPr>
            <w:tcW w:w="500" w:type="pct"/>
          </w:tcPr>
          <w:p w:rsidR="000E20E8" w:rsidRDefault="000E20E8" w:rsidP="00F96CB2">
            <w:pPr>
              <w:pStyle w:val="TableTextEntries"/>
            </w:pPr>
          </w:p>
          <w:p w:rsidR="00410550" w:rsidRPr="00745FE3" w:rsidRDefault="00410550" w:rsidP="00F96CB2">
            <w:pPr>
              <w:pStyle w:val="TableTextEntries"/>
            </w:pPr>
            <w:r w:rsidRPr="00745FE3">
              <w:lastRenderedPageBreak/>
              <w:t>Poor and vulnerable Cambodians will be increasingly protected against chronic poverty and hunger, shocks, destitution and social exclusion</w:t>
            </w:r>
            <w:r w:rsidR="00F8444C">
              <w:t>,</w:t>
            </w:r>
            <w:r w:rsidRPr="00745FE3">
              <w:t xml:space="preserve"> and benefit from investments in their human capital</w:t>
            </w:r>
          </w:p>
        </w:tc>
        <w:tc>
          <w:tcPr>
            <w:tcW w:w="500" w:type="pct"/>
          </w:tcPr>
          <w:p w:rsidR="000E20E8" w:rsidRDefault="000E20E8" w:rsidP="00F96CB2">
            <w:pPr>
              <w:pStyle w:val="TableTextEntries"/>
            </w:pPr>
          </w:p>
          <w:p w:rsidR="00410550" w:rsidRPr="00F96CB2" w:rsidRDefault="00410550" w:rsidP="00F96CB2">
            <w:pPr>
              <w:pStyle w:val="TableTextEntries"/>
            </w:pPr>
            <w:r w:rsidRPr="00F96CB2">
              <w:lastRenderedPageBreak/>
              <w:t>1b. Increased food and livelihood security for the rural poor through social protection and landmine clearance</w:t>
            </w:r>
          </w:p>
        </w:tc>
        <w:tc>
          <w:tcPr>
            <w:tcW w:w="750" w:type="pct"/>
            <w:gridSpan w:val="2"/>
          </w:tcPr>
          <w:p w:rsidR="000E20E8" w:rsidRDefault="000E20E8" w:rsidP="000E20E8">
            <w:pPr>
              <w:pStyle w:val="TableListBullet"/>
              <w:numPr>
                <w:ilvl w:val="0"/>
                <w:numId w:val="0"/>
              </w:numPr>
              <w:ind w:left="227"/>
            </w:pPr>
          </w:p>
          <w:p w:rsidR="00410550" w:rsidRPr="00745FE3" w:rsidRDefault="00410550" w:rsidP="00F96CB2">
            <w:pPr>
              <w:pStyle w:val="TableListBullet"/>
            </w:pPr>
            <w:r w:rsidRPr="00745FE3">
              <w:lastRenderedPageBreak/>
              <w:t>Social protection systems strengthened through improved targeting and safety net support for the poor.</w:t>
            </w:r>
            <w:r w:rsidR="00CD6B2F">
              <w:t xml:space="preserve"> </w:t>
            </w:r>
          </w:p>
          <w:p w:rsidR="00410550" w:rsidRPr="00745FE3" w:rsidRDefault="00410550" w:rsidP="00F96CB2">
            <w:pPr>
              <w:pStyle w:val="TableListBullet"/>
            </w:pPr>
            <w:r w:rsidRPr="00745FE3">
              <w:t xml:space="preserve">Increased food security of vulnerable households through targeted food assistance and livelihood interventions. </w:t>
            </w:r>
          </w:p>
          <w:p w:rsidR="00410550" w:rsidRPr="00745FE3" w:rsidRDefault="00410550" w:rsidP="00F96CB2">
            <w:pPr>
              <w:pStyle w:val="TableListBullet"/>
            </w:pPr>
            <w:r w:rsidRPr="00745FE3">
              <w:t>Substantial progress on clearance of land mines</w:t>
            </w:r>
            <w:r w:rsidR="001F5BEB">
              <w:t xml:space="preserve"> and unexploded ordnance</w:t>
            </w:r>
            <w:r w:rsidR="001F5BEB" w:rsidRPr="00745FE3">
              <w:t xml:space="preserve"> </w:t>
            </w:r>
            <w:r w:rsidRPr="00745FE3">
              <w:t>in priority areas, releasing at least 35 square kilometres of land to poor communities for livelihood purposes</w:t>
            </w:r>
            <w:r w:rsidR="001F5BEB">
              <w:t>.</w:t>
            </w:r>
          </w:p>
        </w:tc>
        <w:tc>
          <w:tcPr>
            <w:tcW w:w="750" w:type="pct"/>
            <w:gridSpan w:val="2"/>
          </w:tcPr>
          <w:p w:rsidR="000E20E8" w:rsidRDefault="000E20E8" w:rsidP="000E20E8">
            <w:pPr>
              <w:pStyle w:val="TableListBullet"/>
              <w:numPr>
                <w:ilvl w:val="0"/>
                <w:numId w:val="0"/>
              </w:numPr>
              <w:ind w:left="227"/>
            </w:pPr>
          </w:p>
          <w:p w:rsidR="00410550" w:rsidRPr="00745FE3" w:rsidRDefault="00410550" w:rsidP="00F96CB2">
            <w:pPr>
              <w:pStyle w:val="TableListBullet"/>
            </w:pPr>
            <w:r w:rsidRPr="00745FE3">
              <w:lastRenderedPageBreak/>
              <w:t>Endorsement of the National Social Protection Strategy.</w:t>
            </w:r>
          </w:p>
          <w:p w:rsidR="00410550" w:rsidRPr="00745FE3" w:rsidRDefault="00410550" w:rsidP="00F96CB2">
            <w:pPr>
              <w:pStyle w:val="TableListBullet"/>
            </w:pPr>
            <w:r w:rsidRPr="00745FE3">
              <w:t>Identification of the poor households targeting mechanism assessed.</w:t>
            </w:r>
          </w:p>
          <w:p w:rsidR="00410550" w:rsidRPr="00745FE3" w:rsidRDefault="00410550" w:rsidP="00F96CB2">
            <w:pPr>
              <w:pStyle w:val="TableListBullet"/>
            </w:pPr>
            <w:r w:rsidRPr="00745FE3">
              <w:t>The food security of over 800</w:t>
            </w:r>
            <w:r w:rsidR="00181239">
              <w:t xml:space="preserve"> </w:t>
            </w:r>
            <w:r w:rsidRPr="00745FE3">
              <w:t>000 vulnerable men and women is improved.</w:t>
            </w:r>
          </w:p>
          <w:p w:rsidR="00410550" w:rsidRPr="00745FE3" w:rsidRDefault="00410550" w:rsidP="00F96CB2">
            <w:pPr>
              <w:pStyle w:val="TableListBullet"/>
            </w:pPr>
            <w:r w:rsidRPr="00745FE3">
              <w:t xml:space="preserve">Design of a new </w:t>
            </w:r>
            <w:r w:rsidR="00181239">
              <w:t>non-government organisation</w:t>
            </w:r>
            <w:r w:rsidR="00181239" w:rsidRPr="00745FE3">
              <w:t xml:space="preserve"> </w:t>
            </w:r>
            <w:r w:rsidRPr="00745FE3">
              <w:t>partnership initiated.</w:t>
            </w:r>
          </w:p>
          <w:p w:rsidR="00410550" w:rsidRPr="00745FE3" w:rsidRDefault="00410550" w:rsidP="00F96CB2">
            <w:pPr>
              <w:pStyle w:val="TableListBullet"/>
            </w:pPr>
            <w:r w:rsidRPr="00745FE3">
              <w:t xml:space="preserve">At least </w:t>
            </w:r>
            <w:r w:rsidR="00181239">
              <w:t>six</w:t>
            </w:r>
            <w:r w:rsidR="00181239" w:rsidRPr="00745FE3">
              <w:t xml:space="preserve"> </w:t>
            </w:r>
            <w:r w:rsidRPr="00745FE3">
              <w:t>square kilometres of high priority land released through clearance or technical survey in support of local development priorities.</w:t>
            </w:r>
            <w:r w:rsidR="00CD6B2F">
              <w:t xml:space="preserve"> </w:t>
            </w:r>
            <w:r w:rsidRPr="00745FE3">
              <w:t xml:space="preserve">Significant amounts of previously suspected land released </w:t>
            </w:r>
            <w:r w:rsidR="00181239">
              <w:t>by</w:t>
            </w:r>
            <w:r w:rsidR="00181239" w:rsidRPr="00745FE3">
              <w:t xml:space="preserve"> </w:t>
            </w:r>
            <w:r w:rsidRPr="00745FE3">
              <w:t>conduct</w:t>
            </w:r>
            <w:r w:rsidR="00181239">
              <w:t>ing</w:t>
            </w:r>
            <w:r w:rsidRPr="00745FE3">
              <w:t xml:space="preserve"> a </w:t>
            </w:r>
            <w:r w:rsidR="00181239">
              <w:t>b</w:t>
            </w:r>
            <w:r w:rsidR="00181239" w:rsidRPr="00745FE3">
              <w:t xml:space="preserve">aseline </w:t>
            </w:r>
            <w:r w:rsidR="00181239">
              <w:t>s</w:t>
            </w:r>
            <w:r w:rsidR="00181239" w:rsidRPr="00745FE3">
              <w:t xml:space="preserve">urvey </w:t>
            </w:r>
            <w:r w:rsidRPr="00745FE3">
              <w:t>to clarify the remaining extent of the mine problem in 21 districts.</w:t>
            </w:r>
          </w:p>
        </w:tc>
        <w:tc>
          <w:tcPr>
            <w:tcW w:w="750" w:type="pct"/>
            <w:gridSpan w:val="2"/>
          </w:tcPr>
          <w:p w:rsidR="000E20E8" w:rsidRDefault="000E20E8" w:rsidP="000E20E8">
            <w:pPr>
              <w:pStyle w:val="TableListBullet"/>
              <w:numPr>
                <w:ilvl w:val="0"/>
                <w:numId w:val="0"/>
              </w:numPr>
              <w:ind w:left="227"/>
            </w:pPr>
          </w:p>
          <w:p w:rsidR="00410550" w:rsidRPr="00745FE3" w:rsidRDefault="00410550" w:rsidP="00F96CB2">
            <w:pPr>
              <w:pStyle w:val="TableListBullet"/>
            </w:pPr>
            <w:r w:rsidRPr="00745FE3">
              <w:lastRenderedPageBreak/>
              <w:t xml:space="preserve">Support provided to implement Cambodia’s National Social Protection Strategy, including: </w:t>
            </w:r>
          </w:p>
          <w:p w:rsidR="00410550" w:rsidRPr="00745FE3" w:rsidRDefault="00410550" w:rsidP="00F96CB2">
            <w:pPr>
              <w:pStyle w:val="TableListBullet2"/>
            </w:pPr>
            <w:r w:rsidRPr="00745FE3">
              <w:t>implement</w:t>
            </w:r>
            <w:r w:rsidR="00181239">
              <w:t xml:space="preserve">ing </w:t>
            </w:r>
            <w:r w:rsidRPr="00745FE3">
              <w:t xml:space="preserve">recommendations to improve the </w:t>
            </w:r>
            <w:r w:rsidR="00181239">
              <w:t>i</w:t>
            </w:r>
            <w:r w:rsidR="00181239" w:rsidRPr="00745FE3">
              <w:t xml:space="preserve">dentification </w:t>
            </w:r>
            <w:r w:rsidRPr="00745FE3">
              <w:t xml:space="preserve">of the </w:t>
            </w:r>
            <w:r w:rsidR="00181239">
              <w:t>p</w:t>
            </w:r>
            <w:r w:rsidR="00181239" w:rsidRPr="00745FE3">
              <w:t xml:space="preserve">oor </w:t>
            </w:r>
            <w:r w:rsidR="00181239">
              <w:t>h</w:t>
            </w:r>
            <w:r w:rsidR="00181239" w:rsidRPr="00745FE3">
              <w:t xml:space="preserve">ouseholds </w:t>
            </w:r>
            <w:r w:rsidRPr="00745FE3">
              <w:t>targeting mechanism</w:t>
            </w:r>
          </w:p>
          <w:p w:rsidR="00410550" w:rsidRPr="00745FE3" w:rsidRDefault="00410550" w:rsidP="00F96CB2">
            <w:pPr>
              <w:pStyle w:val="TableListBullet2"/>
            </w:pPr>
            <w:r w:rsidRPr="00745FE3">
              <w:t>piloting the integration of social protection programs</w:t>
            </w:r>
          </w:p>
          <w:p w:rsidR="00410550" w:rsidRPr="00745FE3" w:rsidRDefault="00410550" w:rsidP="00F96CB2">
            <w:pPr>
              <w:pStyle w:val="TableListBullet2"/>
            </w:pPr>
            <w:r w:rsidRPr="00745FE3">
              <w:t>assess</w:t>
            </w:r>
            <w:r w:rsidR="00181239">
              <w:t xml:space="preserve">ing </w:t>
            </w:r>
            <w:r w:rsidRPr="00745FE3">
              <w:t>effectiveness and efficiency of cash versus food transfers</w:t>
            </w:r>
          </w:p>
          <w:p w:rsidR="00410550" w:rsidRPr="00745FE3" w:rsidRDefault="00410550" w:rsidP="00F96CB2">
            <w:pPr>
              <w:pStyle w:val="TableListBullet2"/>
            </w:pPr>
            <w:proofErr w:type="gramStart"/>
            <w:r w:rsidRPr="00745FE3">
              <w:t>design</w:t>
            </w:r>
            <w:r w:rsidR="00181239">
              <w:t>ing</w:t>
            </w:r>
            <w:proofErr w:type="gramEnd"/>
            <w:r w:rsidR="00181239">
              <w:t xml:space="preserve"> </w:t>
            </w:r>
            <w:r w:rsidRPr="00745FE3">
              <w:t xml:space="preserve">a pilot of cash transfers </w:t>
            </w:r>
            <w:r w:rsidR="00181239">
              <w:t>to</w:t>
            </w:r>
            <w:r w:rsidR="00181239" w:rsidRPr="00745FE3">
              <w:t xml:space="preserve"> </w:t>
            </w:r>
            <w:r w:rsidRPr="00745FE3">
              <w:t xml:space="preserve">support maternal health and child nutrition. </w:t>
            </w:r>
          </w:p>
          <w:p w:rsidR="00410550" w:rsidRPr="00745FE3" w:rsidRDefault="00410550" w:rsidP="00F96CB2">
            <w:pPr>
              <w:pStyle w:val="TableListBullet"/>
            </w:pPr>
            <w:r w:rsidRPr="00745FE3">
              <w:t>At least 12 square kilometres of high priority land released through clearance or technical survey in support of local development priorities.</w:t>
            </w:r>
          </w:p>
        </w:tc>
        <w:tc>
          <w:tcPr>
            <w:tcW w:w="750" w:type="pct"/>
          </w:tcPr>
          <w:p w:rsidR="000E20E8" w:rsidRPr="000E20E8" w:rsidRDefault="000E20E8" w:rsidP="000E20E8">
            <w:pPr>
              <w:pStyle w:val="TableListBullet"/>
              <w:numPr>
                <w:ilvl w:val="0"/>
                <w:numId w:val="0"/>
              </w:numPr>
              <w:ind w:left="227"/>
              <w:rPr>
                <w:rFonts w:cs="Calibri"/>
              </w:rPr>
            </w:pPr>
          </w:p>
          <w:p w:rsidR="00FC468E" w:rsidRPr="00745FE3" w:rsidRDefault="00FC468E" w:rsidP="00F96CB2">
            <w:pPr>
              <w:pStyle w:val="TableListBullet"/>
              <w:rPr>
                <w:rFonts w:cs="Calibri"/>
              </w:rPr>
            </w:pPr>
            <w:r w:rsidRPr="00745FE3">
              <w:lastRenderedPageBreak/>
              <w:t>At least 15 square kilometres of high priority land released through clearance or technical survey in support of local development priorities.</w:t>
            </w:r>
          </w:p>
          <w:p w:rsidR="00FC468E" w:rsidRPr="00745FE3" w:rsidRDefault="00FC468E" w:rsidP="00F96CB2">
            <w:pPr>
              <w:pStyle w:val="TableListBullet"/>
              <w:rPr>
                <w:rFonts w:cs="Calibri"/>
              </w:rPr>
            </w:pPr>
            <w:r w:rsidRPr="00745FE3">
              <w:rPr>
                <w:rFonts w:cs="Calibri"/>
              </w:rPr>
              <w:t>11</w:t>
            </w:r>
            <w:r w:rsidR="00181239">
              <w:rPr>
                <w:rFonts w:cs="Calibri"/>
              </w:rPr>
              <w:t xml:space="preserve"> </w:t>
            </w:r>
            <w:r w:rsidRPr="00745FE3">
              <w:rPr>
                <w:rFonts w:cs="Calibri"/>
              </w:rPr>
              <w:t>250 targeted beneficiaries received food or cash scholarships under the cash-food scholarship pilot</w:t>
            </w:r>
            <w:r w:rsidR="00181239">
              <w:rPr>
                <w:rFonts w:cs="Calibri"/>
              </w:rPr>
              <w:t>.</w:t>
            </w:r>
          </w:p>
          <w:p w:rsidR="00410550" w:rsidRPr="00745FE3" w:rsidRDefault="00181239" w:rsidP="00F96CB2">
            <w:pPr>
              <w:pStyle w:val="TableListBullet"/>
            </w:pPr>
            <w:r w:rsidRPr="00181239">
              <w:rPr>
                <w:rFonts w:cs="Calibri"/>
                <w:lang w:val="en-US"/>
              </w:rPr>
              <w:t>Public Assets and Livelihood Support program</w:t>
            </w:r>
            <w:r>
              <w:rPr>
                <w:rFonts w:cs="Calibri"/>
                <w:lang w:val="en-US"/>
              </w:rPr>
              <w:t xml:space="preserve"> </w:t>
            </w:r>
            <w:r w:rsidR="00FC468E" w:rsidRPr="00745FE3">
              <w:rPr>
                <w:rFonts w:cs="Calibri"/>
              </w:rPr>
              <w:t>pilot and operational guidelines designed</w:t>
            </w:r>
            <w:r>
              <w:rPr>
                <w:rFonts w:cs="Calibri"/>
              </w:rPr>
              <w:t xml:space="preserve"> and</w:t>
            </w:r>
            <w:r w:rsidRPr="00745FE3">
              <w:rPr>
                <w:rFonts w:cs="Calibri"/>
              </w:rPr>
              <w:t xml:space="preserve"> </w:t>
            </w:r>
            <w:r w:rsidR="00FC468E" w:rsidRPr="00745FE3">
              <w:rPr>
                <w:rFonts w:cs="Calibri"/>
              </w:rPr>
              <w:t>600</w:t>
            </w:r>
            <w:r>
              <w:rPr>
                <w:rFonts w:cs="Calibri"/>
              </w:rPr>
              <w:t xml:space="preserve"> mega tonnes </w:t>
            </w:r>
            <w:r w:rsidR="00FC468E" w:rsidRPr="00745FE3">
              <w:rPr>
                <w:rFonts w:cs="Calibri"/>
              </w:rPr>
              <w:t>of rice distributed to target beneficiaries under the pilot.</w:t>
            </w:r>
          </w:p>
        </w:tc>
        <w:tc>
          <w:tcPr>
            <w:tcW w:w="750" w:type="pct"/>
          </w:tcPr>
          <w:p w:rsidR="000E20E8" w:rsidRDefault="000E20E8" w:rsidP="000E20E8">
            <w:pPr>
              <w:pStyle w:val="TableListBullet"/>
              <w:numPr>
                <w:ilvl w:val="0"/>
                <w:numId w:val="0"/>
              </w:numPr>
              <w:ind w:left="227"/>
            </w:pPr>
          </w:p>
          <w:p w:rsidR="00FC468E" w:rsidRPr="00745FE3" w:rsidRDefault="00FC468E" w:rsidP="00F96CB2">
            <w:pPr>
              <w:pStyle w:val="TableListBullet"/>
            </w:pPr>
            <w:r w:rsidRPr="00745FE3">
              <w:lastRenderedPageBreak/>
              <w:t xml:space="preserve">Analytical support </w:t>
            </w:r>
            <w:r w:rsidR="00181239">
              <w:t>provided</w:t>
            </w:r>
            <w:r w:rsidR="00181239" w:rsidRPr="00745FE3">
              <w:t xml:space="preserve"> </w:t>
            </w:r>
            <w:r w:rsidR="00181239">
              <w:t>to</w:t>
            </w:r>
            <w:r w:rsidR="00181239" w:rsidRPr="00745FE3">
              <w:t xml:space="preserve"> </w:t>
            </w:r>
            <w:r w:rsidRPr="00745FE3">
              <w:t>implement</w:t>
            </w:r>
            <w:r w:rsidR="00181239">
              <w:t xml:space="preserve"> </w:t>
            </w:r>
            <w:r w:rsidRPr="00745FE3">
              <w:t>policy and institutional reforms</w:t>
            </w:r>
            <w:r w:rsidR="00181239">
              <w:t>,</w:t>
            </w:r>
            <w:r w:rsidRPr="00745FE3">
              <w:t xml:space="preserve"> </w:t>
            </w:r>
            <w:r w:rsidR="00181239" w:rsidRPr="00745FE3">
              <w:t xml:space="preserve">pilot activities </w:t>
            </w:r>
            <w:r w:rsidRPr="00745FE3">
              <w:t>design</w:t>
            </w:r>
            <w:r w:rsidR="00181239">
              <w:t>ed</w:t>
            </w:r>
            <w:r w:rsidRPr="00745FE3">
              <w:t xml:space="preserve"> and evaluat</w:t>
            </w:r>
            <w:r w:rsidR="00181239">
              <w:t>ed to</w:t>
            </w:r>
            <w:r w:rsidRPr="00745FE3">
              <w:t xml:space="preserve"> address priority constraints in social protection, through the World Bank.</w:t>
            </w:r>
          </w:p>
          <w:p w:rsidR="00FC468E" w:rsidRPr="00745FE3" w:rsidRDefault="00FC468E" w:rsidP="00F96CB2">
            <w:pPr>
              <w:pStyle w:val="TableListBullet"/>
            </w:pPr>
            <w:r w:rsidRPr="00745FE3">
              <w:t>Social protection pilot through World Food Programme</w:t>
            </w:r>
            <w:r w:rsidR="00181239">
              <w:t>.</w:t>
            </w:r>
          </w:p>
          <w:p w:rsidR="00FC468E" w:rsidRPr="00745FE3" w:rsidRDefault="00FC468E" w:rsidP="00F96CB2">
            <w:pPr>
              <w:pStyle w:val="TableListBullet"/>
            </w:pPr>
            <w:r w:rsidRPr="00745FE3">
              <w:t>Clearing for Results (Phase II) program supporting mine/</w:t>
            </w:r>
            <w:r w:rsidR="00181239">
              <w:t>unexploded ordnance</w:t>
            </w:r>
            <w:r w:rsidR="00181239" w:rsidRPr="00745FE3">
              <w:t xml:space="preserve"> </w:t>
            </w:r>
            <w:r w:rsidRPr="00745FE3">
              <w:t xml:space="preserve">clearance and support </w:t>
            </w:r>
            <w:r w:rsidR="00181239">
              <w:t xml:space="preserve">to </w:t>
            </w:r>
            <w:r w:rsidRPr="00745FE3">
              <w:t xml:space="preserve">the Cambodian Mine Action and Victim Assistance Authority through </w:t>
            </w:r>
            <w:r w:rsidR="00181239">
              <w:t xml:space="preserve">the </w:t>
            </w:r>
            <w:r w:rsidRPr="00745FE3">
              <w:t>U</w:t>
            </w:r>
            <w:r w:rsidR="00181239">
              <w:t xml:space="preserve">nited </w:t>
            </w:r>
            <w:r w:rsidRPr="00745FE3">
              <w:t>N</w:t>
            </w:r>
            <w:r w:rsidR="00181239">
              <w:t xml:space="preserve">ations </w:t>
            </w:r>
            <w:r w:rsidRPr="00745FE3">
              <w:t>D</w:t>
            </w:r>
            <w:r w:rsidR="00181239">
              <w:t xml:space="preserve">evelopment </w:t>
            </w:r>
            <w:r w:rsidRPr="00745FE3">
              <w:t>P</w:t>
            </w:r>
            <w:r w:rsidR="00181239">
              <w:t>rogramme</w:t>
            </w:r>
            <w:r w:rsidRPr="00745FE3">
              <w:t>.</w:t>
            </w:r>
          </w:p>
          <w:p w:rsidR="00FC468E" w:rsidRPr="00745FE3" w:rsidRDefault="00181239" w:rsidP="00F96CB2">
            <w:pPr>
              <w:pStyle w:val="TableListBullet"/>
            </w:pPr>
            <w:r>
              <w:t>Non-government organisation</w:t>
            </w:r>
            <w:r w:rsidRPr="00745FE3">
              <w:t xml:space="preserve"> </w:t>
            </w:r>
            <w:r w:rsidR="00FC468E" w:rsidRPr="00745FE3">
              <w:t>partnerships</w:t>
            </w:r>
            <w:r w:rsidR="00BC4490">
              <w:t>,</w:t>
            </w:r>
            <w:r w:rsidR="00FC468E" w:rsidRPr="00745FE3">
              <w:t xml:space="preserve"> which are improving the livelihood security of poor communities.</w:t>
            </w:r>
          </w:p>
          <w:p w:rsidR="00410550" w:rsidRPr="00745FE3" w:rsidRDefault="00FC468E" w:rsidP="00F96CB2">
            <w:pPr>
              <w:pStyle w:val="TableListBullet"/>
            </w:pPr>
            <w:r w:rsidRPr="00745FE3">
              <w:t xml:space="preserve">Cambodia </w:t>
            </w:r>
            <w:r w:rsidR="00181239" w:rsidRPr="00745FE3">
              <w:t>initiative for disability in</w:t>
            </w:r>
            <w:r w:rsidRPr="00745FE3">
              <w:t>clusion activities that improve livelihood and food security of vulnerable people with disabilit</w:t>
            </w:r>
            <w:r w:rsidR="00BC4490">
              <w:t>y</w:t>
            </w:r>
            <w:r w:rsidRPr="00745FE3">
              <w:t xml:space="preserve"> and their families.</w:t>
            </w:r>
          </w:p>
        </w:tc>
      </w:tr>
      <w:tr w:rsidR="00410550" w:rsidRPr="00745FE3" w:rsidTr="00F96CB2">
        <w:trPr>
          <w:cnfStyle w:val="000000010000" w:firstRow="0" w:lastRow="0" w:firstColumn="0" w:lastColumn="0" w:oddVBand="0" w:evenVBand="0" w:oddHBand="0" w:evenHBand="1" w:firstRowFirstColumn="0" w:firstRowLastColumn="0" w:lastRowFirstColumn="0" w:lastRowLastColumn="0"/>
          <w:tblHeader w:val="0"/>
        </w:trPr>
        <w:tc>
          <w:tcPr>
            <w:tcW w:w="500" w:type="pct"/>
            <w:gridSpan w:val="10"/>
          </w:tcPr>
          <w:p w:rsidR="00410550" w:rsidRPr="00F96CB2" w:rsidRDefault="00AF2826" w:rsidP="00F96CB2">
            <w:pPr>
              <w:pStyle w:val="TableHeading2"/>
              <w:rPr>
                <w:b/>
              </w:rPr>
            </w:pPr>
            <w:r w:rsidRPr="00F96CB2">
              <w:rPr>
                <w:b/>
              </w:rPr>
              <w:lastRenderedPageBreak/>
              <w:t xml:space="preserve">2. </w:t>
            </w:r>
            <w:r w:rsidR="00410550" w:rsidRPr="00F96CB2">
              <w:rPr>
                <w:b/>
              </w:rPr>
              <w:t>Health Service Delivery</w:t>
            </w:r>
          </w:p>
        </w:tc>
      </w:tr>
      <w:tr w:rsidR="00F96CB2" w:rsidRPr="00745FE3" w:rsidTr="00F96CB2">
        <w:trPr>
          <w:tblHeader w:val="0"/>
        </w:trPr>
        <w:tc>
          <w:tcPr>
            <w:tcW w:w="500" w:type="pct"/>
          </w:tcPr>
          <w:p w:rsidR="00410550" w:rsidRPr="00745FE3" w:rsidRDefault="00410550" w:rsidP="00F96CB2">
            <w:pPr>
              <w:pStyle w:val="TableTextEntries"/>
            </w:pPr>
            <w:r w:rsidRPr="00745FE3">
              <w:t>Increased access to quality health services for the poor, women and children, progressing</w:t>
            </w:r>
            <w:r w:rsidR="00CD6B2F">
              <w:t xml:space="preserve"> </w:t>
            </w:r>
            <w:r w:rsidRPr="00745FE3">
              <w:t>towards the health MDGs.</w:t>
            </w:r>
          </w:p>
        </w:tc>
        <w:tc>
          <w:tcPr>
            <w:tcW w:w="500" w:type="pct"/>
          </w:tcPr>
          <w:p w:rsidR="00410550" w:rsidRPr="00F96CB2" w:rsidRDefault="00410550" w:rsidP="00F96CB2">
            <w:pPr>
              <w:pStyle w:val="TableTextEntries"/>
            </w:pPr>
            <w:r w:rsidRPr="00F96CB2">
              <w:t xml:space="preserve">2. Increased access to quality health services through improved health management </w:t>
            </w:r>
          </w:p>
        </w:tc>
        <w:tc>
          <w:tcPr>
            <w:tcW w:w="750" w:type="pct"/>
          </w:tcPr>
          <w:p w:rsidR="00410550" w:rsidRPr="00745FE3" w:rsidRDefault="00BC4490" w:rsidP="00F96CB2">
            <w:pPr>
              <w:pStyle w:val="TableListBullet"/>
            </w:pPr>
            <w:r>
              <w:t>N</w:t>
            </w:r>
            <w:r w:rsidRPr="00745FE3">
              <w:t xml:space="preserve">umber </w:t>
            </w:r>
            <w:r w:rsidR="00410550" w:rsidRPr="00745FE3">
              <w:t>of births attended by trained health staff</w:t>
            </w:r>
            <w:r w:rsidR="00F8444C">
              <w:t>.</w:t>
            </w:r>
          </w:p>
          <w:p w:rsidR="00410550" w:rsidRPr="00745FE3" w:rsidRDefault="00BC4490" w:rsidP="00F96CB2">
            <w:pPr>
              <w:pStyle w:val="TableListBullet"/>
            </w:pPr>
            <w:r>
              <w:t>C</w:t>
            </w:r>
            <w:r w:rsidRPr="00745FE3">
              <w:t xml:space="preserve">overage </w:t>
            </w:r>
            <w:r w:rsidR="00410550" w:rsidRPr="00745FE3">
              <w:t>of Health Equity Funds and Community Based Health Insurance</w:t>
            </w:r>
            <w:r w:rsidR="00F8444C">
              <w:t>.</w:t>
            </w:r>
          </w:p>
          <w:p w:rsidR="00410550" w:rsidRPr="00745FE3" w:rsidRDefault="00BC4490" w:rsidP="00F96CB2">
            <w:pPr>
              <w:pStyle w:val="TableListBullet"/>
            </w:pPr>
            <w:r>
              <w:t>N</w:t>
            </w:r>
            <w:r w:rsidRPr="00745FE3">
              <w:t xml:space="preserve">umber </w:t>
            </w:r>
            <w:r w:rsidR="00410550" w:rsidRPr="00745FE3">
              <w:t>of sites offering harm reduction services</w:t>
            </w:r>
            <w:r w:rsidR="00F8444C">
              <w:t>.</w:t>
            </w:r>
          </w:p>
        </w:tc>
        <w:tc>
          <w:tcPr>
            <w:tcW w:w="750" w:type="pct"/>
            <w:gridSpan w:val="2"/>
          </w:tcPr>
          <w:p w:rsidR="00410550" w:rsidRPr="00745FE3" w:rsidRDefault="00410550" w:rsidP="00F96CB2">
            <w:pPr>
              <w:pStyle w:val="TableListBullet"/>
            </w:pPr>
            <w:r w:rsidRPr="00745FE3">
              <w:t>70% of births attended by trained health professionals</w:t>
            </w:r>
            <w:r w:rsidR="001F5BEB">
              <w:t>.</w:t>
            </w:r>
          </w:p>
          <w:p w:rsidR="00410550" w:rsidRPr="00745FE3" w:rsidRDefault="00410550" w:rsidP="00F96CB2">
            <w:pPr>
              <w:pStyle w:val="TableListBullet"/>
            </w:pPr>
            <w:r w:rsidRPr="00745FE3">
              <w:t>80% coverage health equity funds</w:t>
            </w:r>
            <w:r w:rsidR="001F5BEB">
              <w:t>.</w:t>
            </w:r>
          </w:p>
          <w:p w:rsidR="00410550" w:rsidRPr="00745FE3" w:rsidRDefault="001F5BEB" w:rsidP="00F96CB2">
            <w:pPr>
              <w:pStyle w:val="TableListBullet"/>
            </w:pPr>
            <w:r>
              <w:t>Six</w:t>
            </w:r>
            <w:r w:rsidRPr="00745FE3">
              <w:t xml:space="preserve"> needle </w:t>
            </w:r>
            <w:r w:rsidR="00BC4490">
              <w:t>and</w:t>
            </w:r>
            <w:r w:rsidR="00BC4490" w:rsidRPr="00745FE3">
              <w:t xml:space="preserve"> </w:t>
            </w:r>
            <w:r w:rsidRPr="00745FE3">
              <w:t>syringe prog</w:t>
            </w:r>
            <w:r w:rsidR="00410550" w:rsidRPr="00745FE3">
              <w:t xml:space="preserve">ram sites, </w:t>
            </w:r>
            <w:r>
              <w:t>one</w:t>
            </w:r>
            <w:r w:rsidRPr="00745FE3">
              <w:t xml:space="preserve"> </w:t>
            </w:r>
            <w:r w:rsidR="00BC4490" w:rsidRPr="00C67570">
              <w:rPr>
                <w:iCs/>
              </w:rPr>
              <w:t>methadone maintenance therapy</w:t>
            </w:r>
            <w:r w:rsidR="00BC4490" w:rsidRPr="00C67570" w:rsidDel="00BC4490">
              <w:t xml:space="preserve"> </w:t>
            </w:r>
            <w:r w:rsidR="00410550" w:rsidRPr="00745FE3">
              <w:t>site</w:t>
            </w:r>
            <w:r>
              <w:t>.</w:t>
            </w:r>
          </w:p>
        </w:tc>
        <w:tc>
          <w:tcPr>
            <w:tcW w:w="750" w:type="pct"/>
            <w:gridSpan w:val="2"/>
          </w:tcPr>
          <w:p w:rsidR="00410550" w:rsidRPr="00745FE3" w:rsidRDefault="00410550" w:rsidP="00F96CB2">
            <w:pPr>
              <w:pStyle w:val="TableListBullet"/>
            </w:pPr>
            <w:r w:rsidRPr="00745FE3">
              <w:t>281</w:t>
            </w:r>
            <w:r w:rsidR="001F5BEB">
              <w:t xml:space="preserve"> </w:t>
            </w:r>
            <w:r w:rsidRPr="00745FE3">
              <w:t>822 births attended by trained health staff (</w:t>
            </w:r>
            <w:r w:rsidR="00697E76">
              <w:t>Australian</w:t>
            </w:r>
            <w:r w:rsidRPr="00745FE3">
              <w:t xml:space="preserve"> contribution: 17</w:t>
            </w:r>
            <w:r w:rsidR="001F5BEB">
              <w:t xml:space="preserve"> </w:t>
            </w:r>
            <w:r w:rsidRPr="00745FE3">
              <w:t>502)</w:t>
            </w:r>
            <w:r w:rsidR="001F5BEB">
              <w:t>.</w:t>
            </w:r>
          </w:p>
          <w:p w:rsidR="00410550" w:rsidRPr="00745FE3" w:rsidRDefault="00410550" w:rsidP="00F96CB2">
            <w:pPr>
              <w:pStyle w:val="TableListBullet"/>
            </w:pPr>
            <w:r w:rsidRPr="00745FE3">
              <w:t>78% of poor people now able to access health care through the health equity funds</w:t>
            </w:r>
            <w:r w:rsidR="001F5BEB">
              <w:t>.</w:t>
            </w:r>
          </w:p>
          <w:p w:rsidR="00410550" w:rsidRPr="00745FE3" w:rsidRDefault="001F5BEB" w:rsidP="00F96CB2">
            <w:pPr>
              <w:pStyle w:val="TableListBullet"/>
            </w:pPr>
            <w:r>
              <w:t>Four</w:t>
            </w:r>
            <w:r w:rsidRPr="00745FE3">
              <w:t xml:space="preserve"> </w:t>
            </w:r>
            <w:r w:rsidR="00410550" w:rsidRPr="00745FE3">
              <w:t>sites (</w:t>
            </w:r>
            <w:r>
              <w:t>three</w:t>
            </w:r>
            <w:r w:rsidRPr="00745FE3">
              <w:t xml:space="preserve"> needle and syringe prog</w:t>
            </w:r>
            <w:r w:rsidR="00410550" w:rsidRPr="00745FE3">
              <w:t xml:space="preserve">ram and </w:t>
            </w:r>
            <w:r>
              <w:t>one</w:t>
            </w:r>
            <w:r w:rsidRPr="00745FE3">
              <w:t xml:space="preserve"> methadone maintenance therapy</w:t>
            </w:r>
            <w:r w:rsidR="00410550" w:rsidRPr="00745FE3">
              <w:t>) providing harm reduction services for people who inject drugs</w:t>
            </w:r>
            <w:r>
              <w:t>.</w:t>
            </w:r>
          </w:p>
          <w:p w:rsidR="00410550" w:rsidRPr="00745FE3" w:rsidRDefault="001F5BEB" w:rsidP="00F96CB2">
            <w:pPr>
              <w:pStyle w:val="TableListBullet"/>
            </w:pPr>
            <w:r>
              <w:t>Q</w:t>
            </w:r>
            <w:r w:rsidR="00410550" w:rsidRPr="00745FE3">
              <w:t xml:space="preserve">uality </w:t>
            </w:r>
            <w:r>
              <w:t xml:space="preserve">of </w:t>
            </w:r>
            <w:r w:rsidR="00410550" w:rsidRPr="00745FE3">
              <w:t xml:space="preserve">health care </w:t>
            </w:r>
            <w:r>
              <w:t xml:space="preserve">improved by </w:t>
            </w:r>
            <w:r w:rsidR="00410550" w:rsidRPr="00745FE3">
              <w:t xml:space="preserve">supporting pre-service training for midwives through </w:t>
            </w:r>
            <w:r>
              <w:t>seven</w:t>
            </w:r>
            <w:r w:rsidRPr="00745FE3">
              <w:t xml:space="preserve"> </w:t>
            </w:r>
            <w:r w:rsidR="00410550" w:rsidRPr="00745FE3">
              <w:t>Australian volunteer midwives</w:t>
            </w:r>
            <w:r>
              <w:t>,</w:t>
            </w:r>
            <w:r w:rsidR="00410550" w:rsidRPr="00745FE3">
              <w:t xml:space="preserve"> and </w:t>
            </w:r>
            <w:r>
              <w:t xml:space="preserve">by </w:t>
            </w:r>
            <w:r w:rsidR="00410550" w:rsidRPr="00745FE3">
              <w:t>supporting establishment of national medical examinations</w:t>
            </w:r>
            <w:r>
              <w:t>.</w:t>
            </w:r>
          </w:p>
          <w:p w:rsidR="00410550" w:rsidRPr="00745FE3" w:rsidRDefault="00F8444C" w:rsidP="00F96CB2">
            <w:pPr>
              <w:pStyle w:val="TableListBullet"/>
            </w:pPr>
            <w:r>
              <w:t>V</w:t>
            </w:r>
            <w:r w:rsidR="00410550" w:rsidRPr="00745FE3">
              <w:t xml:space="preserve">alue for money assessment of training funded through our program </w:t>
            </w:r>
            <w:r>
              <w:t>c</w:t>
            </w:r>
            <w:r w:rsidRPr="00745FE3">
              <w:t xml:space="preserve">onducted </w:t>
            </w:r>
            <w:r w:rsidR="00410550" w:rsidRPr="00745FE3">
              <w:t>to improve efficiency</w:t>
            </w:r>
            <w:r w:rsidR="001F5BEB">
              <w:t>.</w:t>
            </w:r>
          </w:p>
          <w:p w:rsidR="00410550" w:rsidRPr="00745FE3" w:rsidRDefault="00F8444C" w:rsidP="00F96CB2">
            <w:pPr>
              <w:pStyle w:val="TableListBullet"/>
            </w:pPr>
            <w:r>
              <w:t>J</w:t>
            </w:r>
            <w:r w:rsidRPr="00745FE3">
              <w:t>oint</w:t>
            </w:r>
            <w:r>
              <w:t xml:space="preserve"> w</w:t>
            </w:r>
            <w:r w:rsidR="00410550" w:rsidRPr="00745FE3">
              <w:t>ork</w:t>
            </w:r>
            <w:r>
              <w:t xml:space="preserve"> undertaken </w:t>
            </w:r>
            <w:r w:rsidR="00410550" w:rsidRPr="00745FE3">
              <w:t xml:space="preserve">with other donors to improve budget efficiency in the </w:t>
            </w:r>
            <w:r w:rsidR="001F5BEB">
              <w:t>Ministry of Health</w:t>
            </w:r>
            <w:r w:rsidR="001F5BEB" w:rsidRPr="00745FE3">
              <w:t xml:space="preserve"> </w:t>
            </w:r>
            <w:r w:rsidR="00410550" w:rsidRPr="00745FE3">
              <w:t xml:space="preserve">through </w:t>
            </w:r>
            <w:r w:rsidR="00410550" w:rsidRPr="00745FE3">
              <w:lastRenderedPageBreak/>
              <w:t>targeted discussions around the procurement budget</w:t>
            </w:r>
            <w:r w:rsidR="001F5BEB">
              <w:t>.</w:t>
            </w:r>
          </w:p>
          <w:p w:rsidR="00410550" w:rsidRPr="00745FE3" w:rsidRDefault="00F8444C" w:rsidP="00F96CB2">
            <w:pPr>
              <w:pStyle w:val="TableListBullet"/>
            </w:pPr>
            <w:r>
              <w:t>Q</w:t>
            </w:r>
            <w:r w:rsidR="00410550" w:rsidRPr="00745FE3">
              <w:t xml:space="preserve">uality and accessibility of care </w:t>
            </w:r>
            <w:r>
              <w:t xml:space="preserve">improved </w:t>
            </w:r>
            <w:r w:rsidR="00410550" w:rsidRPr="00745FE3">
              <w:t xml:space="preserve">by supporting the decentralisation of health services through the government’s decentralisation and </w:t>
            </w:r>
            <w:r w:rsidR="00181239" w:rsidRPr="00745FE3">
              <w:t>de</w:t>
            </w:r>
            <w:r w:rsidR="00181239">
              <w:t xml:space="preserve"> </w:t>
            </w:r>
            <w:r w:rsidR="00181239" w:rsidRPr="00745FE3">
              <w:t>concentration</w:t>
            </w:r>
            <w:r w:rsidR="00410550" w:rsidRPr="00745FE3">
              <w:t xml:space="preserve"> process</w:t>
            </w:r>
            <w:r w:rsidR="001F5BEB">
              <w:t>.</w:t>
            </w:r>
          </w:p>
          <w:p w:rsidR="00410550" w:rsidRPr="00745FE3" w:rsidRDefault="00F8444C" w:rsidP="00F96CB2">
            <w:pPr>
              <w:pStyle w:val="TableListBullet"/>
            </w:pPr>
            <w:r>
              <w:t>E</w:t>
            </w:r>
            <w:r w:rsidR="00410550" w:rsidRPr="00745FE3">
              <w:t xml:space="preserve">quitable access to quality services </w:t>
            </w:r>
            <w:r>
              <w:t>s</w:t>
            </w:r>
            <w:r w:rsidRPr="00745FE3">
              <w:t>upport</w:t>
            </w:r>
            <w:r>
              <w:t xml:space="preserve">ed </w:t>
            </w:r>
            <w:r w:rsidR="00410550" w:rsidRPr="00745FE3">
              <w:t xml:space="preserve">by funding </w:t>
            </w:r>
            <w:r w:rsidR="001F5BEB">
              <w:t>non-government organisations</w:t>
            </w:r>
            <w:r w:rsidR="001F5BEB" w:rsidRPr="00745FE3">
              <w:t xml:space="preserve"> </w:t>
            </w:r>
            <w:r w:rsidR="00410550" w:rsidRPr="00745FE3">
              <w:t>to provide maternal and neonatal care and eye care in hard to reach areas</w:t>
            </w:r>
            <w:r w:rsidR="001F5BEB">
              <w:t>.</w:t>
            </w:r>
          </w:p>
        </w:tc>
        <w:tc>
          <w:tcPr>
            <w:tcW w:w="750" w:type="pct"/>
            <w:gridSpan w:val="2"/>
          </w:tcPr>
          <w:p w:rsidR="001B19E4" w:rsidRPr="001B19E4" w:rsidRDefault="00410550" w:rsidP="00F96CB2">
            <w:pPr>
              <w:pStyle w:val="TableListBullet"/>
            </w:pPr>
            <w:r w:rsidRPr="00745FE3">
              <w:lastRenderedPageBreak/>
              <w:t>369</w:t>
            </w:r>
            <w:r w:rsidR="001F5BEB">
              <w:t xml:space="preserve"> </w:t>
            </w:r>
            <w:r w:rsidRPr="00745FE3">
              <w:t xml:space="preserve">690 births attended by trained health staff </w:t>
            </w:r>
            <w:r w:rsidR="001B19E4" w:rsidRPr="001B19E4">
              <w:t>(</w:t>
            </w:r>
            <w:r w:rsidR="00697E76">
              <w:t>Australian</w:t>
            </w:r>
            <w:r w:rsidR="001B19E4" w:rsidRPr="001B19E4">
              <w:t xml:space="preserve"> contribution: 369 690 x 18/371 = 17</w:t>
            </w:r>
            <w:r w:rsidR="00F8444C">
              <w:t xml:space="preserve"> </w:t>
            </w:r>
            <w:r w:rsidR="001B19E4" w:rsidRPr="001B19E4">
              <w:t>936)</w:t>
            </w:r>
            <w:r w:rsidR="00F8444C">
              <w:t>.</w:t>
            </w:r>
          </w:p>
          <w:p w:rsidR="00410550" w:rsidRPr="00745FE3" w:rsidRDefault="00F8444C" w:rsidP="00F96CB2">
            <w:pPr>
              <w:pStyle w:val="TableListBullet"/>
            </w:pPr>
            <w:r>
              <w:t>78%</w:t>
            </w:r>
            <w:r w:rsidR="00410550" w:rsidRPr="00745FE3">
              <w:t xml:space="preserve"> of poor people now able to access health care through the health equity funds</w:t>
            </w:r>
            <w:r>
              <w:t>.</w:t>
            </w:r>
          </w:p>
          <w:p w:rsidR="00410550" w:rsidRPr="00745FE3" w:rsidRDefault="000E0F0C" w:rsidP="00F96CB2">
            <w:pPr>
              <w:pStyle w:val="TableListBullet"/>
            </w:pPr>
            <w:r>
              <w:t>Five</w:t>
            </w:r>
            <w:r w:rsidRPr="00745FE3">
              <w:t xml:space="preserve"> </w:t>
            </w:r>
            <w:r w:rsidR="00410550" w:rsidRPr="00745FE3">
              <w:t>sites (</w:t>
            </w:r>
            <w:r>
              <w:t>four</w:t>
            </w:r>
            <w:r w:rsidRPr="00745FE3">
              <w:t xml:space="preserve"> needle and syringe program and </w:t>
            </w:r>
            <w:r>
              <w:t>one</w:t>
            </w:r>
            <w:r w:rsidRPr="00745FE3">
              <w:t xml:space="preserve"> meth</w:t>
            </w:r>
            <w:r w:rsidR="00410550" w:rsidRPr="00745FE3">
              <w:t xml:space="preserve">adone </w:t>
            </w:r>
            <w:r w:rsidRPr="00745FE3">
              <w:t>maintenance therapy</w:t>
            </w:r>
            <w:r w:rsidR="00410550" w:rsidRPr="00745FE3">
              <w:t>) providing harm reduction services for people who inject drugs</w:t>
            </w:r>
            <w:r>
              <w:t>.</w:t>
            </w:r>
          </w:p>
        </w:tc>
        <w:tc>
          <w:tcPr>
            <w:tcW w:w="750" w:type="pct"/>
          </w:tcPr>
          <w:p w:rsidR="00410550" w:rsidRPr="00745FE3" w:rsidRDefault="00410550" w:rsidP="00F96CB2">
            <w:pPr>
              <w:pStyle w:val="TableListBullet"/>
            </w:pPr>
            <w:r w:rsidRPr="00745FE3">
              <w:t>Harmonise with other donor partners in the Second Health Sector Support Program through the Joint Partnership Interface Group.</w:t>
            </w:r>
          </w:p>
          <w:p w:rsidR="00410550" w:rsidRPr="00745FE3" w:rsidRDefault="00410550" w:rsidP="00F96CB2">
            <w:pPr>
              <w:pStyle w:val="TableListBullet"/>
            </w:pPr>
            <w:r w:rsidRPr="00745FE3">
              <w:t xml:space="preserve">Align with </w:t>
            </w:r>
            <w:r w:rsidR="00196388">
              <w:t>Cambodian Government’s</w:t>
            </w:r>
            <w:r w:rsidR="00196388" w:rsidRPr="00745FE3">
              <w:t xml:space="preserve"> </w:t>
            </w:r>
            <w:r w:rsidRPr="00745FE3">
              <w:t>National Strategic Plan for Health 2008</w:t>
            </w:r>
            <w:r w:rsidR="00196388">
              <w:t>–</w:t>
            </w:r>
            <w:r w:rsidRPr="00745FE3">
              <w:t>2015 and National Strategic Plan for Illicit Drug Related HIV 2008</w:t>
            </w:r>
            <w:r w:rsidR="00196388">
              <w:t>–</w:t>
            </w:r>
            <w:r w:rsidRPr="00745FE3">
              <w:t>2010, and support linkages to the national Public Financial Management and Administrative Reform program</w:t>
            </w:r>
            <w:r w:rsidR="00196388">
              <w:t>.</w:t>
            </w:r>
          </w:p>
          <w:p w:rsidR="00410550" w:rsidRPr="00745FE3" w:rsidRDefault="00410550" w:rsidP="00F96CB2">
            <w:pPr>
              <w:pStyle w:val="TableListBullet"/>
            </w:pPr>
            <w:r w:rsidRPr="00745FE3">
              <w:t xml:space="preserve">Support complementary activities with multilateral and bilateral agencies, </w:t>
            </w:r>
            <w:r w:rsidR="00196388">
              <w:t>non-government organisations</w:t>
            </w:r>
            <w:r w:rsidR="00196388" w:rsidRPr="00745FE3">
              <w:t xml:space="preserve"> </w:t>
            </w:r>
            <w:r w:rsidRPr="00745FE3">
              <w:t xml:space="preserve">and universities that provide evidence or pilot new methods for inclusion in </w:t>
            </w:r>
            <w:r w:rsidR="00196388" w:rsidRPr="00745FE3">
              <w:t xml:space="preserve">Second Health Sector Support Program </w:t>
            </w:r>
            <w:r w:rsidRPr="00745FE3">
              <w:t>and harm reduction activities.</w:t>
            </w:r>
          </w:p>
          <w:p w:rsidR="00410550" w:rsidRPr="00745FE3" w:rsidRDefault="00410550" w:rsidP="00F96CB2">
            <w:pPr>
              <w:pStyle w:val="TableListBullet"/>
            </w:pPr>
            <w:r w:rsidRPr="00745FE3">
              <w:t xml:space="preserve">Policy, advocacy and technical engagement </w:t>
            </w:r>
            <w:r w:rsidRPr="00745FE3">
              <w:lastRenderedPageBreak/>
              <w:t xml:space="preserve">in the joint </w:t>
            </w:r>
            <w:r w:rsidR="00196388">
              <w:t>Cambodian Government–</w:t>
            </w:r>
            <w:r w:rsidRPr="00745FE3">
              <w:t>donor Health Technical Working Group.</w:t>
            </w:r>
          </w:p>
        </w:tc>
      </w:tr>
      <w:tr w:rsidR="00410550" w:rsidRPr="00745FE3" w:rsidTr="00F96CB2">
        <w:trPr>
          <w:cnfStyle w:val="000000010000" w:firstRow="0" w:lastRow="0" w:firstColumn="0" w:lastColumn="0" w:oddVBand="0" w:evenVBand="0" w:oddHBand="0" w:evenHBand="1" w:firstRowFirstColumn="0" w:firstRowLastColumn="0" w:lastRowFirstColumn="0" w:lastRowLastColumn="0"/>
          <w:tblHeader w:val="0"/>
        </w:trPr>
        <w:tc>
          <w:tcPr>
            <w:tcW w:w="500" w:type="pct"/>
            <w:gridSpan w:val="10"/>
          </w:tcPr>
          <w:p w:rsidR="00410550" w:rsidRPr="00F96CB2" w:rsidRDefault="00AF2826" w:rsidP="00F96CB2">
            <w:pPr>
              <w:pStyle w:val="TableHeading2"/>
              <w:rPr>
                <w:b/>
              </w:rPr>
            </w:pPr>
            <w:r w:rsidRPr="00F96CB2">
              <w:rPr>
                <w:b/>
              </w:rPr>
              <w:lastRenderedPageBreak/>
              <w:t xml:space="preserve">3. </w:t>
            </w:r>
            <w:r w:rsidR="00410550" w:rsidRPr="00F96CB2">
              <w:rPr>
                <w:b/>
              </w:rPr>
              <w:t>Infrastructure</w:t>
            </w:r>
          </w:p>
        </w:tc>
      </w:tr>
      <w:tr w:rsidR="00F96CB2" w:rsidRPr="00745FE3" w:rsidTr="00F96CB2">
        <w:trPr>
          <w:tblHeader w:val="0"/>
        </w:trPr>
        <w:tc>
          <w:tcPr>
            <w:tcW w:w="500" w:type="pct"/>
          </w:tcPr>
          <w:p w:rsidR="00410550" w:rsidRPr="00745FE3" w:rsidRDefault="00410550" w:rsidP="00F96CB2">
            <w:pPr>
              <w:pStyle w:val="TableTextEntries"/>
            </w:pPr>
            <w:r w:rsidRPr="00745FE3">
              <w:t>Increase economic activity in targeted areas</w:t>
            </w:r>
          </w:p>
        </w:tc>
        <w:tc>
          <w:tcPr>
            <w:tcW w:w="500" w:type="pct"/>
          </w:tcPr>
          <w:p w:rsidR="00410550" w:rsidRPr="00F96CB2" w:rsidRDefault="00410550" w:rsidP="00F96CB2">
            <w:pPr>
              <w:pStyle w:val="TableTextEntries"/>
            </w:pPr>
            <w:r w:rsidRPr="00F96CB2">
              <w:t>3. Improved transport and energy infrastructure</w:t>
            </w:r>
          </w:p>
        </w:tc>
        <w:tc>
          <w:tcPr>
            <w:tcW w:w="750" w:type="pct"/>
          </w:tcPr>
          <w:p w:rsidR="00410550" w:rsidRPr="00745FE3" w:rsidRDefault="00410550" w:rsidP="00F96CB2">
            <w:pPr>
              <w:pStyle w:val="TableListBullet"/>
            </w:pPr>
            <w:r w:rsidRPr="00745FE3">
              <w:t>Higher traffic volume on improved rural roads</w:t>
            </w:r>
            <w:r w:rsidR="00196388">
              <w:t>.</w:t>
            </w:r>
          </w:p>
          <w:p w:rsidR="00410550" w:rsidRPr="00745FE3" w:rsidRDefault="00410550" w:rsidP="00F96CB2">
            <w:pPr>
              <w:pStyle w:val="TableListBullet"/>
            </w:pPr>
            <w:r w:rsidRPr="00745FE3">
              <w:t>Lower passenger and freight vehicle operating costs</w:t>
            </w:r>
            <w:r w:rsidR="00BC4490">
              <w:t xml:space="preserve"> and</w:t>
            </w:r>
            <w:r w:rsidRPr="00745FE3">
              <w:t xml:space="preserve"> travel times on improved rural roads</w:t>
            </w:r>
            <w:r w:rsidR="00196388">
              <w:t>.</w:t>
            </w:r>
          </w:p>
          <w:p w:rsidR="00410550" w:rsidRPr="00745FE3" w:rsidRDefault="00196388" w:rsidP="00F96CB2">
            <w:pPr>
              <w:pStyle w:val="TableListBullet"/>
            </w:pPr>
            <w:r>
              <w:t>More</w:t>
            </w:r>
            <w:r w:rsidR="00410550" w:rsidRPr="00745FE3">
              <w:t xml:space="preserve"> rural households benefiting from electricity provision</w:t>
            </w:r>
            <w:r>
              <w:t>.</w:t>
            </w:r>
          </w:p>
          <w:p w:rsidR="00410550" w:rsidRPr="00745FE3" w:rsidRDefault="00410550" w:rsidP="00F96CB2">
            <w:pPr>
              <w:pStyle w:val="TableListBullet"/>
            </w:pPr>
            <w:r w:rsidRPr="00745FE3">
              <w:t>Improved arrangements for infrastructure operations and maintenance</w:t>
            </w:r>
            <w:r w:rsidR="00196388">
              <w:t>.</w:t>
            </w:r>
          </w:p>
          <w:p w:rsidR="00410550" w:rsidRPr="00745FE3" w:rsidRDefault="00410550" w:rsidP="00F96CB2">
            <w:pPr>
              <w:pStyle w:val="TableListBullet"/>
            </w:pPr>
            <w:r w:rsidRPr="00745FE3">
              <w:lastRenderedPageBreak/>
              <w:t xml:space="preserve">National railway for freight is operational </w:t>
            </w:r>
            <w:r w:rsidR="00196388">
              <w:t xml:space="preserve">and </w:t>
            </w:r>
            <w:r w:rsidRPr="00745FE3">
              <w:t>competitive with national road transports</w:t>
            </w:r>
            <w:r w:rsidR="00196388">
              <w:t>.</w:t>
            </w:r>
          </w:p>
        </w:tc>
        <w:tc>
          <w:tcPr>
            <w:tcW w:w="750" w:type="pct"/>
            <w:gridSpan w:val="2"/>
          </w:tcPr>
          <w:p w:rsidR="00410550" w:rsidRPr="00745FE3" w:rsidRDefault="00410550" w:rsidP="00F96CB2">
            <w:pPr>
              <w:pStyle w:val="TableListBullet"/>
            </w:pPr>
            <w:r w:rsidRPr="00745FE3">
              <w:lastRenderedPageBreak/>
              <w:t>Commence</w:t>
            </w:r>
            <w:r w:rsidR="00196388">
              <w:t xml:space="preserve"> </w:t>
            </w:r>
            <w:r w:rsidRPr="00745FE3">
              <w:t xml:space="preserve">civil works (15km) </w:t>
            </w:r>
            <w:r w:rsidR="00196388">
              <w:t>on</w:t>
            </w:r>
            <w:r w:rsidR="00196388" w:rsidRPr="00745FE3">
              <w:t xml:space="preserve"> </w:t>
            </w:r>
            <w:r w:rsidRPr="00745FE3">
              <w:t xml:space="preserve">the </w:t>
            </w:r>
            <w:r w:rsidR="00196388">
              <w:t>s</w:t>
            </w:r>
            <w:r w:rsidR="00196388" w:rsidRPr="00745FE3">
              <w:t xml:space="preserve">outhern </w:t>
            </w:r>
            <w:r w:rsidR="00196388">
              <w:t>c</w:t>
            </w:r>
            <w:r w:rsidR="00196388" w:rsidRPr="00745FE3">
              <w:t xml:space="preserve">oastal </w:t>
            </w:r>
            <w:r w:rsidRPr="00745FE3">
              <w:t xml:space="preserve">road, and construction of cross-border facilities in </w:t>
            </w:r>
            <w:proofErr w:type="spellStart"/>
            <w:r w:rsidRPr="00745FE3">
              <w:t>Prek</w:t>
            </w:r>
            <w:proofErr w:type="spellEnd"/>
            <w:r w:rsidRPr="00745FE3">
              <w:t xml:space="preserve"> </w:t>
            </w:r>
            <w:proofErr w:type="spellStart"/>
            <w:r w:rsidRPr="00745FE3">
              <w:t>Chak</w:t>
            </w:r>
            <w:proofErr w:type="spellEnd"/>
            <w:r w:rsidR="00196388">
              <w:t>.</w:t>
            </w:r>
          </w:p>
          <w:p w:rsidR="00410550" w:rsidRPr="00745FE3" w:rsidRDefault="00410550" w:rsidP="00F96CB2">
            <w:pPr>
              <w:pStyle w:val="TableListBullet"/>
            </w:pPr>
            <w:r w:rsidRPr="00745FE3">
              <w:t>Commence</w:t>
            </w:r>
            <w:r w:rsidR="00196388">
              <w:t xml:space="preserve"> </w:t>
            </w:r>
            <w:r w:rsidRPr="00745FE3">
              <w:t>periodic maintenance of 950km of national roads</w:t>
            </w:r>
            <w:r w:rsidR="00196388">
              <w:t>.</w:t>
            </w:r>
          </w:p>
          <w:p w:rsidR="00410550" w:rsidRPr="00745FE3" w:rsidRDefault="00410550" w:rsidP="00F96CB2">
            <w:pPr>
              <w:pStyle w:val="TableListBullet"/>
            </w:pPr>
            <w:r w:rsidRPr="00745FE3">
              <w:t>Finalis</w:t>
            </w:r>
            <w:r w:rsidR="00196388">
              <w:t xml:space="preserve">e </w:t>
            </w:r>
            <w:r w:rsidRPr="00745FE3">
              <w:t>design and approval of supplementary financing to the Rural Electrification and Transmission Project</w:t>
            </w:r>
            <w:r w:rsidR="00196388">
              <w:t>.</w:t>
            </w:r>
          </w:p>
          <w:p w:rsidR="00410550" w:rsidRPr="00745FE3" w:rsidRDefault="00410550" w:rsidP="00F96CB2">
            <w:pPr>
              <w:pStyle w:val="TableListBullet"/>
            </w:pPr>
            <w:r w:rsidRPr="00745FE3">
              <w:t xml:space="preserve">Complete rehabilitation </w:t>
            </w:r>
            <w:r w:rsidRPr="00745FE3">
              <w:lastRenderedPageBreak/>
              <w:t xml:space="preserve">of the </w:t>
            </w:r>
            <w:r w:rsidR="00196388">
              <w:t>s</w:t>
            </w:r>
            <w:r w:rsidR="00196388" w:rsidRPr="00745FE3">
              <w:t xml:space="preserve">outhern </w:t>
            </w:r>
            <w:r w:rsidR="00196388">
              <w:t>l</w:t>
            </w:r>
            <w:r w:rsidR="00196388" w:rsidRPr="00745FE3">
              <w:t xml:space="preserve">ine </w:t>
            </w:r>
            <w:r w:rsidRPr="00745FE3">
              <w:t>railway</w:t>
            </w:r>
            <w:r w:rsidR="00CD6B2F">
              <w:t xml:space="preserve"> </w:t>
            </w:r>
            <w:r w:rsidRPr="00745FE3">
              <w:t xml:space="preserve">(phase 1) and begin rehabilitation of the </w:t>
            </w:r>
            <w:r w:rsidR="00196388">
              <w:t>n</w:t>
            </w:r>
            <w:r w:rsidR="00196388" w:rsidRPr="00745FE3">
              <w:t xml:space="preserve">orthern </w:t>
            </w:r>
            <w:r w:rsidR="00196388">
              <w:t>l</w:t>
            </w:r>
            <w:r w:rsidR="00196388" w:rsidRPr="00745FE3">
              <w:t>ine</w:t>
            </w:r>
            <w:r w:rsidR="002F6A24">
              <w:t>.</w:t>
            </w:r>
          </w:p>
        </w:tc>
        <w:tc>
          <w:tcPr>
            <w:tcW w:w="750" w:type="pct"/>
            <w:gridSpan w:val="2"/>
          </w:tcPr>
          <w:p w:rsidR="00410550" w:rsidRPr="00745FE3" w:rsidRDefault="00410550" w:rsidP="00F96CB2">
            <w:pPr>
              <w:pStyle w:val="TableListBullet"/>
            </w:pPr>
            <w:r w:rsidRPr="00745FE3">
              <w:lastRenderedPageBreak/>
              <w:t>Expanded income restoration program commence</w:t>
            </w:r>
            <w:r w:rsidR="00196388">
              <w:t>d</w:t>
            </w:r>
            <w:r w:rsidRPr="00745FE3">
              <w:t xml:space="preserve"> (rail project)</w:t>
            </w:r>
            <w:r w:rsidR="00196388">
              <w:t>.</w:t>
            </w:r>
          </w:p>
          <w:p w:rsidR="00410550" w:rsidRPr="00745FE3" w:rsidRDefault="00410550" w:rsidP="00F96CB2">
            <w:pPr>
              <w:pStyle w:val="TableListBullet"/>
            </w:pPr>
            <w:r w:rsidRPr="00745FE3">
              <w:t>Clea</w:t>
            </w:r>
            <w:r w:rsidR="00196388">
              <w:t>r</w:t>
            </w:r>
            <w:r w:rsidRPr="00745FE3">
              <w:t xml:space="preserve"> </w:t>
            </w:r>
            <w:r w:rsidR="00196388">
              <w:t>unexploded ordnance</w:t>
            </w:r>
            <w:r w:rsidR="00196388" w:rsidRPr="00745FE3">
              <w:t xml:space="preserve"> </w:t>
            </w:r>
            <w:r w:rsidRPr="00745FE3">
              <w:t>to start civil works (completed)</w:t>
            </w:r>
            <w:r w:rsidR="00196388">
              <w:t>.</w:t>
            </w:r>
          </w:p>
          <w:p w:rsidR="00410550" w:rsidRPr="00745FE3" w:rsidRDefault="00410550" w:rsidP="00F96CB2">
            <w:pPr>
              <w:pStyle w:val="TableListBullet"/>
            </w:pPr>
            <w:r w:rsidRPr="00745FE3">
              <w:t>Award civil work contracts (done)</w:t>
            </w:r>
            <w:r w:rsidR="00196388">
              <w:t>.</w:t>
            </w:r>
          </w:p>
          <w:p w:rsidR="00410550" w:rsidRPr="00745FE3" w:rsidRDefault="00410550" w:rsidP="00F96CB2">
            <w:pPr>
              <w:pStyle w:val="TableListBullet"/>
            </w:pPr>
            <w:r w:rsidRPr="00745FE3">
              <w:t>Upgrad</w:t>
            </w:r>
            <w:r w:rsidR="00196388">
              <w:t>e</w:t>
            </w:r>
            <w:r w:rsidRPr="00745FE3">
              <w:t xml:space="preserve"> and maintain roads in the project target areas (partially completed)</w:t>
            </w:r>
            <w:r w:rsidR="00196388">
              <w:t>.</w:t>
            </w:r>
          </w:p>
          <w:p w:rsidR="00410550" w:rsidRPr="00745FE3" w:rsidRDefault="00F8444C" w:rsidP="00F96CB2">
            <w:pPr>
              <w:pStyle w:val="TableListBullet"/>
            </w:pPr>
            <w:r>
              <w:t>Construct</w:t>
            </w:r>
            <w:r w:rsidR="00410550" w:rsidRPr="00745FE3">
              <w:t xml:space="preserve"> a </w:t>
            </w:r>
            <w:r w:rsidR="00E53DDD">
              <w:t>cross border facility</w:t>
            </w:r>
            <w:r w:rsidR="00E53DDD" w:rsidRPr="00745FE3">
              <w:t xml:space="preserve"> </w:t>
            </w:r>
            <w:r w:rsidR="00410550" w:rsidRPr="00745FE3">
              <w:t xml:space="preserve">to facilitate cross border </w:t>
            </w:r>
            <w:r w:rsidR="00410550" w:rsidRPr="00745FE3">
              <w:lastRenderedPageBreak/>
              <w:t>movement (ongoing)</w:t>
            </w:r>
            <w:r w:rsidR="00196388">
              <w:t>.</w:t>
            </w:r>
          </w:p>
          <w:p w:rsidR="00410550" w:rsidRPr="00745FE3" w:rsidRDefault="00410550" w:rsidP="00F96CB2">
            <w:pPr>
              <w:pStyle w:val="TableListBullet"/>
            </w:pPr>
            <w:r w:rsidRPr="00745FE3">
              <w:t>Implement resettlement plans (ongoing)</w:t>
            </w:r>
          </w:p>
          <w:p w:rsidR="00410550" w:rsidRPr="00745FE3" w:rsidRDefault="00410550" w:rsidP="00F96CB2">
            <w:pPr>
              <w:pStyle w:val="TableListBullet"/>
            </w:pPr>
            <w:r w:rsidRPr="00745FE3">
              <w:t>Implement environment management plan</w:t>
            </w:r>
            <w:r w:rsidR="00196388">
              <w:t>.</w:t>
            </w:r>
          </w:p>
          <w:p w:rsidR="00410550" w:rsidRPr="00745FE3" w:rsidRDefault="00410550" w:rsidP="00F96CB2">
            <w:pPr>
              <w:pStyle w:val="TableListBullet"/>
            </w:pPr>
            <w:r w:rsidRPr="00745FE3">
              <w:t xml:space="preserve">Approve and </w:t>
            </w:r>
            <w:r w:rsidR="00BC4490">
              <w:t>i</w:t>
            </w:r>
            <w:r w:rsidRPr="00745FE3">
              <w:t>mplement income restoration program at resettlement sites</w:t>
            </w:r>
            <w:r w:rsidR="00196388">
              <w:t>.</w:t>
            </w:r>
          </w:p>
          <w:p w:rsidR="00410550" w:rsidRPr="00745FE3" w:rsidRDefault="00410550" w:rsidP="00F96CB2">
            <w:pPr>
              <w:pStyle w:val="TableListBullet"/>
            </w:pPr>
            <w:r w:rsidRPr="00745FE3">
              <w:t>Approve and implement HIV/AIDS, Trafficking Awareness and Prevention Program (ongoing)</w:t>
            </w:r>
            <w:r w:rsidR="00196388">
              <w:t>.</w:t>
            </w:r>
          </w:p>
          <w:p w:rsidR="00410550" w:rsidRPr="00745FE3" w:rsidRDefault="00410550" w:rsidP="00F96CB2">
            <w:pPr>
              <w:pStyle w:val="TableListBullet"/>
            </w:pPr>
            <w:r w:rsidRPr="00745FE3">
              <w:t>Establish project-specific website (done)</w:t>
            </w:r>
            <w:r w:rsidR="00196388">
              <w:t>.</w:t>
            </w:r>
          </w:p>
          <w:p w:rsidR="00410550" w:rsidRPr="00745FE3" w:rsidRDefault="00410550" w:rsidP="00F96CB2">
            <w:pPr>
              <w:pStyle w:val="TableListBullet"/>
            </w:pPr>
            <w:r w:rsidRPr="00745FE3">
              <w:t>Complet</w:t>
            </w:r>
            <w:r w:rsidR="00196388">
              <w:t>e</w:t>
            </w:r>
            <w:r w:rsidR="00F8444C">
              <w:t xml:space="preserve"> road maintenance program for Y</w:t>
            </w:r>
            <w:r w:rsidRPr="00745FE3">
              <w:t xml:space="preserve">ear 2 and </w:t>
            </w:r>
            <w:r w:rsidR="00196388">
              <w:t>start</w:t>
            </w:r>
            <w:r w:rsidR="00196388" w:rsidRPr="00745FE3">
              <w:t xml:space="preserve"> </w:t>
            </w:r>
            <w:r w:rsidRPr="00745FE3">
              <w:t xml:space="preserve">road maintenance program for </w:t>
            </w:r>
            <w:r w:rsidR="00F8444C">
              <w:t>Y</w:t>
            </w:r>
            <w:r w:rsidRPr="00745FE3">
              <w:t>ear 3</w:t>
            </w:r>
            <w:r w:rsidR="00196388">
              <w:t>.</w:t>
            </w:r>
          </w:p>
          <w:p w:rsidR="00410550" w:rsidRPr="00745FE3" w:rsidRDefault="00196388" w:rsidP="00F96CB2">
            <w:pPr>
              <w:pStyle w:val="TableListBullet"/>
            </w:pPr>
            <w:r>
              <w:t>Commence</w:t>
            </w:r>
            <w:r w:rsidRPr="00745FE3">
              <w:t xml:space="preserve"> </w:t>
            </w:r>
            <w:r w:rsidR="00410550" w:rsidRPr="00745FE3">
              <w:t>rural electrification civil works</w:t>
            </w:r>
            <w:r>
              <w:t>.</w:t>
            </w:r>
          </w:p>
        </w:tc>
        <w:tc>
          <w:tcPr>
            <w:tcW w:w="750" w:type="pct"/>
            <w:gridSpan w:val="2"/>
          </w:tcPr>
          <w:p w:rsidR="00410550" w:rsidRPr="00745FE3" w:rsidRDefault="00410550" w:rsidP="00F96CB2">
            <w:pPr>
              <w:pStyle w:val="TableListBullet"/>
            </w:pPr>
            <w:r w:rsidRPr="00745FE3">
              <w:lastRenderedPageBreak/>
              <w:t>Completed the civil works by the contractors as a revised plan</w:t>
            </w:r>
            <w:r w:rsidR="00F8444C">
              <w:t>.</w:t>
            </w:r>
          </w:p>
          <w:p w:rsidR="00410550" w:rsidRPr="00745FE3" w:rsidRDefault="000A2BC3" w:rsidP="00F96CB2">
            <w:pPr>
              <w:pStyle w:val="TableListBullet"/>
            </w:pPr>
            <w:r>
              <w:t xml:space="preserve">One </w:t>
            </w:r>
            <w:r w:rsidR="00410550" w:rsidRPr="00745FE3">
              <w:t>periodic a</w:t>
            </w:r>
            <w:r w:rsidR="00F8444C">
              <w:t>nd routine maintenance contract</w:t>
            </w:r>
            <w:r w:rsidR="00410550" w:rsidRPr="00745FE3">
              <w:t xml:space="preserve"> </w:t>
            </w:r>
            <w:r w:rsidR="00196388" w:rsidRPr="00745FE3">
              <w:t xml:space="preserve">awarded </w:t>
            </w:r>
            <w:r w:rsidR="00410550" w:rsidRPr="00745FE3">
              <w:t>through a competitive bidding process</w:t>
            </w:r>
            <w:r w:rsidR="00196388">
              <w:t>.</w:t>
            </w:r>
          </w:p>
          <w:p w:rsidR="00410550" w:rsidRPr="00745FE3" w:rsidRDefault="00E53DDD" w:rsidP="00F96CB2">
            <w:pPr>
              <w:pStyle w:val="TableListBullet"/>
            </w:pPr>
            <w:r>
              <w:t>100</w:t>
            </w:r>
            <w:r w:rsidRPr="00745FE3">
              <w:t xml:space="preserve"> </w:t>
            </w:r>
            <w:r w:rsidR="00410550" w:rsidRPr="00745FE3">
              <w:t>resettlement cases resolved</w:t>
            </w:r>
            <w:r w:rsidR="00196388">
              <w:t>.</w:t>
            </w:r>
          </w:p>
          <w:p w:rsidR="00410550" w:rsidRPr="000A2BC3" w:rsidRDefault="00E53DDD" w:rsidP="00F96CB2">
            <w:pPr>
              <w:pStyle w:val="TableListBullet"/>
            </w:pPr>
            <w:r>
              <w:t>500</w:t>
            </w:r>
            <w:r w:rsidR="000A2BC3">
              <w:t xml:space="preserve"> </w:t>
            </w:r>
            <w:r w:rsidR="00410550" w:rsidRPr="00745FE3">
              <w:t xml:space="preserve">affected households </w:t>
            </w:r>
            <w:r>
              <w:t xml:space="preserve">accessing low income loan and safety net grant. </w:t>
            </w:r>
          </w:p>
          <w:p w:rsidR="00410550" w:rsidRPr="00745FE3" w:rsidRDefault="00410550" w:rsidP="00F96CB2">
            <w:pPr>
              <w:pStyle w:val="TableListBullet"/>
            </w:pPr>
            <w:r w:rsidRPr="00745FE3">
              <w:t xml:space="preserve">Undertook </w:t>
            </w:r>
            <w:r w:rsidR="00BC4490">
              <w:t>r</w:t>
            </w:r>
            <w:r w:rsidR="00BC4490" w:rsidRPr="00745FE3">
              <w:t xml:space="preserve">oad </w:t>
            </w:r>
            <w:r w:rsidRPr="00745FE3">
              <w:t xml:space="preserve">safety </w:t>
            </w:r>
            <w:r w:rsidRPr="00745FE3">
              <w:lastRenderedPageBreak/>
              <w:t>awareness program</w:t>
            </w:r>
            <w:r w:rsidR="00196388">
              <w:t>.</w:t>
            </w:r>
          </w:p>
          <w:p w:rsidR="00410550" w:rsidRPr="00745FE3" w:rsidRDefault="00410550" w:rsidP="00F96CB2">
            <w:pPr>
              <w:pStyle w:val="TableListBullet"/>
            </w:pPr>
            <w:r w:rsidRPr="00745FE3">
              <w:t>Established market rate for maintenance activities in Cambodia</w:t>
            </w:r>
            <w:r w:rsidR="00196388">
              <w:t>.</w:t>
            </w:r>
          </w:p>
          <w:p w:rsidR="00410550" w:rsidRPr="00745FE3" w:rsidRDefault="00410550" w:rsidP="00F96CB2">
            <w:pPr>
              <w:pStyle w:val="TableListBullet"/>
            </w:pPr>
          </w:p>
        </w:tc>
        <w:tc>
          <w:tcPr>
            <w:tcW w:w="750" w:type="pct"/>
          </w:tcPr>
          <w:p w:rsidR="00410550" w:rsidRPr="00745FE3" w:rsidRDefault="00410550" w:rsidP="00F96CB2">
            <w:pPr>
              <w:pStyle w:val="TableListBullet"/>
            </w:pPr>
            <w:r w:rsidRPr="00745FE3">
              <w:lastRenderedPageBreak/>
              <w:t>Southern Coastal Corridor Project (A</w:t>
            </w:r>
            <w:r w:rsidR="00196388">
              <w:t xml:space="preserve">sian </w:t>
            </w:r>
            <w:r w:rsidRPr="00745FE3">
              <w:t>D</w:t>
            </w:r>
            <w:r w:rsidR="00196388">
              <w:t xml:space="preserve">evelopment </w:t>
            </w:r>
            <w:r w:rsidRPr="00745FE3">
              <w:t>B</w:t>
            </w:r>
            <w:r w:rsidR="00196388">
              <w:t>ank</w:t>
            </w:r>
            <w:r w:rsidRPr="00745FE3">
              <w:t>)</w:t>
            </w:r>
            <w:r w:rsidR="00196388">
              <w:t>.</w:t>
            </w:r>
          </w:p>
          <w:p w:rsidR="00410550" w:rsidRPr="00745FE3" w:rsidRDefault="00410550" w:rsidP="00F96CB2">
            <w:pPr>
              <w:pStyle w:val="TableListBullet"/>
            </w:pPr>
            <w:r w:rsidRPr="00745FE3">
              <w:t>Road Asset Management Project (</w:t>
            </w:r>
            <w:r w:rsidR="00196388" w:rsidRPr="00745FE3">
              <w:t>A</w:t>
            </w:r>
            <w:r w:rsidR="00196388">
              <w:t xml:space="preserve">sian </w:t>
            </w:r>
            <w:r w:rsidR="00196388" w:rsidRPr="00745FE3">
              <w:t>D</w:t>
            </w:r>
            <w:r w:rsidR="00196388">
              <w:t xml:space="preserve">evelopment </w:t>
            </w:r>
            <w:r w:rsidR="00196388" w:rsidRPr="00745FE3">
              <w:t>B</w:t>
            </w:r>
            <w:r w:rsidR="00196388">
              <w:t>ank</w:t>
            </w:r>
            <w:r w:rsidRPr="00745FE3">
              <w:t>)</w:t>
            </w:r>
            <w:r w:rsidR="00196388">
              <w:t>.</w:t>
            </w:r>
          </w:p>
          <w:p w:rsidR="00410550" w:rsidRPr="00745FE3" w:rsidRDefault="00410550" w:rsidP="00F96CB2">
            <w:pPr>
              <w:pStyle w:val="TableListBullet"/>
            </w:pPr>
            <w:r w:rsidRPr="00745FE3">
              <w:t>Rural Electrification and Transmission project (</w:t>
            </w:r>
            <w:r w:rsidR="00196388" w:rsidRPr="00745FE3">
              <w:t>A</w:t>
            </w:r>
            <w:r w:rsidR="00196388">
              <w:t xml:space="preserve">sian </w:t>
            </w:r>
            <w:r w:rsidR="00196388" w:rsidRPr="00745FE3">
              <w:t>D</w:t>
            </w:r>
            <w:r w:rsidR="00196388">
              <w:t xml:space="preserve">evelopment </w:t>
            </w:r>
            <w:r w:rsidR="00196388" w:rsidRPr="00745FE3">
              <w:t>B</w:t>
            </w:r>
            <w:r w:rsidR="00196388">
              <w:t>ank</w:t>
            </w:r>
            <w:r w:rsidRPr="00745FE3">
              <w:t>)</w:t>
            </w:r>
            <w:r w:rsidR="00196388">
              <w:t>.</w:t>
            </w:r>
          </w:p>
          <w:p w:rsidR="00410550" w:rsidRPr="00745FE3" w:rsidRDefault="00ED4566" w:rsidP="00BA7026">
            <w:pPr>
              <w:pStyle w:val="TableListBullet"/>
            </w:pPr>
            <w:r w:rsidRPr="00745FE3">
              <w:t xml:space="preserve">Cambodia Railway </w:t>
            </w:r>
            <w:r w:rsidR="00410550" w:rsidRPr="00745FE3">
              <w:t>Rehabilitation Project (</w:t>
            </w:r>
            <w:r w:rsidR="00196388" w:rsidRPr="00745FE3">
              <w:t>A</w:t>
            </w:r>
            <w:r w:rsidR="00196388">
              <w:t xml:space="preserve">sian </w:t>
            </w:r>
            <w:r w:rsidR="00196388" w:rsidRPr="00745FE3">
              <w:t>D</w:t>
            </w:r>
            <w:r w:rsidR="00196388">
              <w:t xml:space="preserve">evelopment </w:t>
            </w:r>
            <w:r w:rsidR="00196388" w:rsidRPr="00745FE3">
              <w:t>B</w:t>
            </w:r>
            <w:r w:rsidR="00196388">
              <w:t>ank</w:t>
            </w:r>
            <w:r w:rsidR="00410550" w:rsidRPr="00745FE3">
              <w:t>)</w:t>
            </w:r>
            <w:r w:rsidR="00196388">
              <w:t>.</w:t>
            </w:r>
          </w:p>
        </w:tc>
      </w:tr>
      <w:tr w:rsidR="00410550" w:rsidRPr="00745FE3" w:rsidTr="00F96CB2">
        <w:trPr>
          <w:cnfStyle w:val="000000010000" w:firstRow="0" w:lastRow="0" w:firstColumn="0" w:lastColumn="0" w:oddVBand="0" w:evenVBand="0" w:oddHBand="0" w:evenHBand="1" w:firstRowFirstColumn="0" w:firstRowLastColumn="0" w:lastRowFirstColumn="0" w:lastRowLastColumn="0"/>
          <w:tblHeader w:val="0"/>
        </w:trPr>
        <w:tc>
          <w:tcPr>
            <w:tcW w:w="500" w:type="pct"/>
            <w:gridSpan w:val="10"/>
          </w:tcPr>
          <w:p w:rsidR="00410550" w:rsidRPr="00F96CB2" w:rsidRDefault="00AF2826" w:rsidP="00F96CB2">
            <w:pPr>
              <w:pStyle w:val="TableHeading2"/>
              <w:rPr>
                <w:b/>
              </w:rPr>
            </w:pPr>
            <w:r w:rsidRPr="00F96CB2">
              <w:rPr>
                <w:b/>
              </w:rPr>
              <w:lastRenderedPageBreak/>
              <w:t xml:space="preserve">4. </w:t>
            </w:r>
            <w:r w:rsidR="00410550" w:rsidRPr="00F96CB2">
              <w:rPr>
                <w:b/>
              </w:rPr>
              <w:t xml:space="preserve">Law and </w:t>
            </w:r>
            <w:r w:rsidR="00196388" w:rsidRPr="00F96CB2">
              <w:rPr>
                <w:b/>
              </w:rPr>
              <w:t>justice</w:t>
            </w:r>
          </w:p>
        </w:tc>
      </w:tr>
      <w:tr w:rsidR="00F96CB2" w:rsidRPr="00745FE3" w:rsidTr="00F96CB2">
        <w:trPr>
          <w:tblHeader w:val="0"/>
        </w:trPr>
        <w:tc>
          <w:tcPr>
            <w:tcW w:w="500" w:type="pct"/>
            <w:vMerge w:val="restart"/>
          </w:tcPr>
          <w:p w:rsidR="00F00450" w:rsidRPr="00745FE3" w:rsidRDefault="00F00450" w:rsidP="00F96CB2">
            <w:pPr>
              <w:pStyle w:val="TableTextEntries"/>
            </w:pPr>
            <w:r w:rsidRPr="00745FE3">
              <w:t>Prosperous, safe and secure communities in Cambodia</w:t>
            </w:r>
          </w:p>
          <w:p w:rsidR="00F00450" w:rsidRPr="00745FE3" w:rsidRDefault="00F00450" w:rsidP="00F96CB2">
            <w:pPr>
              <w:pStyle w:val="TableTextEntries"/>
            </w:pPr>
          </w:p>
        </w:tc>
        <w:tc>
          <w:tcPr>
            <w:tcW w:w="500" w:type="pct"/>
            <w:vMerge w:val="restart"/>
          </w:tcPr>
          <w:p w:rsidR="00F00450" w:rsidRPr="00F96CB2" w:rsidRDefault="00F00450" w:rsidP="00F96CB2">
            <w:pPr>
              <w:pStyle w:val="TableTextEntries"/>
            </w:pPr>
            <w:r w:rsidRPr="00F96CB2">
              <w:rPr>
                <w:rFonts w:eastAsia="SimSun"/>
              </w:rPr>
              <w:t>4. Women, youth and children are safer and communities have less crime</w:t>
            </w:r>
            <w:r w:rsidR="00196388" w:rsidRPr="00F96CB2">
              <w:rPr>
                <w:rFonts w:eastAsia="SimSun"/>
              </w:rPr>
              <w:t>.</w:t>
            </w:r>
            <w:r w:rsidR="00196388" w:rsidRPr="00F96CB2">
              <w:t xml:space="preserve"> </w:t>
            </w:r>
            <w:r w:rsidRPr="00F96CB2">
              <w:t xml:space="preserve">More effective </w:t>
            </w:r>
            <w:r w:rsidRPr="00F96CB2">
              <w:br/>
              <w:t>non-custodial sentencing system</w:t>
            </w:r>
            <w:r w:rsidR="00196388" w:rsidRPr="00F96CB2">
              <w:t xml:space="preserve">. </w:t>
            </w:r>
            <w:r w:rsidRPr="00F96CB2">
              <w:rPr>
                <w:bCs/>
              </w:rPr>
              <w:t xml:space="preserve">Strengthened </w:t>
            </w:r>
            <w:r w:rsidRPr="00F96CB2">
              <w:rPr>
                <w:bCs/>
              </w:rPr>
              <w:lastRenderedPageBreak/>
              <w:t>evidence-based performance</w:t>
            </w:r>
            <w:r w:rsidRPr="00F96CB2">
              <w:t xml:space="preserve"> management</w:t>
            </w:r>
            <w:r w:rsidR="00196388" w:rsidRPr="00F96CB2">
              <w:t>.</w:t>
            </w:r>
          </w:p>
          <w:p w:rsidR="00F00450" w:rsidRPr="00745FE3" w:rsidRDefault="00F00450" w:rsidP="00F96CB2">
            <w:pPr>
              <w:pStyle w:val="TableTextEntries"/>
              <w:rPr>
                <w:b/>
              </w:rPr>
            </w:pPr>
          </w:p>
        </w:tc>
        <w:tc>
          <w:tcPr>
            <w:tcW w:w="750" w:type="pct"/>
          </w:tcPr>
          <w:p w:rsidR="00F00450" w:rsidRPr="00745FE3" w:rsidRDefault="00F00450" w:rsidP="00F96CB2">
            <w:pPr>
              <w:pStyle w:val="TableListBullet"/>
            </w:pPr>
            <w:r w:rsidRPr="00745FE3">
              <w:lastRenderedPageBreak/>
              <w:t>Australian support will help commune and police posts to prevent crime and assist the formal justice institutions to deal justly with juvenile</w:t>
            </w:r>
            <w:r w:rsidR="00E26D87">
              <w:t>s</w:t>
            </w:r>
            <w:r w:rsidRPr="00745FE3">
              <w:t>, women and other vulnerable groups.</w:t>
            </w:r>
          </w:p>
        </w:tc>
        <w:tc>
          <w:tcPr>
            <w:tcW w:w="750" w:type="pct"/>
            <w:gridSpan w:val="2"/>
          </w:tcPr>
          <w:p w:rsidR="00F00450" w:rsidRPr="00745FE3" w:rsidRDefault="00F00450" w:rsidP="00F96CB2">
            <w:pPr>
              <w:pStyle w:val="TableListBullet"/>
            </w:pPr>
            <w:r w:rsidRPr="00745FE3">
              <w:t>Improved community safety in targeted districts with specific focus on vulnerable group</w:t>
            </w:r>
            <w:r w:rsidR="00C25D44">
              <w:t>s.</w:t>
            </w:r>
          </w:p>
          <w:p w:rsidR="00F00450" w:rsidRPr="00745FE3" w:rsidRDefault="00F00450" w:rsidP="00F96CB2">
            <w:pPr>
              <w:pStyle w:val="TableListBullet"/>
            </w:pPr>
          </w:p>
        </w:tc>
        <w:tc>
          <w:tcPr>
            <w:tcW w:w="750" w:type="pct"/>
            <w:gridSpan w:val="2"/>
          </w:tcPr>
          <w:p w:rsidR="00F00450" w:rsidRPr="00745FE3" w:rsidRDefault="00F00450" w:rsidP="00F96CB2">
            <w:pPr>
              <w:pStyle w:val="TableListBullet"/>
            </w:pPr>
            <w:r w:rsidRPr="00745FE3">
              <w:t>Improved community safety in targeted districts with specific focus on vulnerable group</w:t>
            </w:r>
            <w:r w:rsidR="00C25D44">
              <w:t>s.</w:t>
            </w:r>
          </w:p>
          <w:p w:rsidR="00F00450" w:rsidRPr="00745FE3" w:rsidRDefault="00F00450" w:rsidP="00F96CB2">
            <w:pPr>
              <w:pStyle w:val="TableListBullet"/>
            </w:pPr>
          </w:p>
        </w:tc>
        <w:tc>
          <w:tcPr>
            <w:tcW w:w="750" w:type="pct"/>
            <w:gridSpan w:val="2"/>
          </w:tcPr>
          <w:p w:rsidR="00F00450" w:rsidRPr="00745FE3" w:rsidRDefault="00F00450" w:rsidP="00F96CB2">
            <w:pPr>
              <w:pStyle w:val="TableListBullet"/>
            </w:pPr>
            <w:r w:rsidRPr="00745FE3">
              <w:t>Community security mechanisms better function in targeted districts to improve crime prevention</w:t>
            </w:r>
            <w:r w:rsidR="00C25D44">
              <w:t>.</w:t>
            </w:r>
          </w:p>
          <w:p w:rsidR="00F00450" w:rsidRPr="00745FE3" w:rsidRDefault="00F00450" w:rsidP="00F96CB2">
            <w:pPr>
              <w:pStyle w:val="TableListBullet"/>
            </w:pPr>
            <w:r w:rsidRPr="00745FE3">
              <w:t>Police crime data upgraded/redesigned to serve management and decision making purpose</w:t>
            </w:r>
            <w:r w:rsidR="00C25D44">
              <w:t>.</w:t>
            </w:r>
          </w:p>
        </w:tc>
        <w:tc>
          <w:tcPr>
            <w:tcW w:w="750" w:type="pct"/>
            <w:vMerge w:val="restart"/>
          </w:tcPr>
          <w:p w:rsidR="00F00450" w:rsidRPr="00745FE3" w:rsidRDefault="00C25D44" w:rsidP="00F96CB2">
            <w:pPr>
              <w:pStyle w:val="TableListBullet"/>
            </w:pPr>
            <w:r>
              <w:t>T</w:t>
            </w:r>
            <w:r w:rsidRPr="00745FE3">
              <w:t xml:space="preserve">hrough </w:t>
            </w:r>
            <w:r>
              <w:t xml:space="preserve">the </w:t>
            </w:r>
            <w:r w:rsidRPr="00100EFA">
              <w:rPr>
                <w:iCs/>
                <w:lang w:val="en-US"/>
              </w:rPr>
              <w:t>Cambodia</w:t>
            </w:r>
            <w:r w:rsidRPr="00100EFA">
              <w:rPr>
                <w:lang w:val="en-US"/>
              </w:rPr>
              <w:t xml:space="preserve"> Criminal Justice Assistance Project</w:t>
            </w:r>
            <w:r w:rsidRPr="00745FE3">
              <w:t xml:space="preserve"> </w:t>
            </w:r>
            <w:r w:rsidR="00100EFA" w:rsidRPr="00100EFA">
              <w:t xml:space="preserve">(CCJAP Phase 3) </w:t>
            </w:r>
            <w:r w:rsidR="00F00450" w:rsidRPr="00745FE3">
              <w:t>to June 2016</w:t>
            </w:r>
            <w:r>
              <w:t>, s</w:t>
            </w:r>
            <w:r w:rsidRPr="00745FE3">
              <w:t xml:space="preserve">upport </w:t>
            </w:r>
            <w:r w:rsidR="00F00450" w:rsidRPr="00745FE3">
              <w:t xml:space="preserve">courts, police, prisons, provincial authorities and </w:t>
            </w:r>
            <w:r>
              <w:t>non-government organisations</w:t>
            </w:r>
            <w:r w:rsidRPr="00745FE3">
              <w:t xml:space="preserve"> </w:t>
            </w:r>
            <w:r w:rsidR="00F00450" w:rsidRPr="00745FE3">
              <w:t xml:space="preserve">to improve </w:t>
            </w:r>
            <w:r w:rsidRPr="00745FE3">
              <w:t>community</w:t>
            </w:r>
            <w:r>
              <w:t>-</w:t>
            </w:r>
            <w:r w:rsidR="00F00450" w:rsidRPr="00745FE3">
              <w:lastRenderedPageBreak/>
              <w:t>based justice with a focus on the needs of juveniles and women.</w:t>
            </w:r>
          </w:p>
          <w:p w:rsidR="00F00450" w:rsidRPr="00100EFA" w:rsidRDefault="00F00450" w:rsidP="00F96CB2">
            <w:pPr>
              <w:pStyle w:val="TableListBullet"/>
            </w:pPr>
            <w:r w:rsidRPr="00100EFA">
              <w:t xml:space="preserve">Collaborate with the Australian Federal Police and the </w:t>
            </w:r>
            <w:r w:rsidR="00C25D44" w:rsidRPr="00100EFA">
              <w:t>Attorney-</w:t>
            </w:r>
            <w:r w:rsidRPr="00100EFA">
              <w:t>General’s Dep</w:t>
            </w:r>
            <w:r w:rsidR="00C25D44" w:rsidRPr="00100EFA">
              <w:t>ar</w:t>
            </w:r>
            <w:r w:rsidRPr="00100EFA">
              <w:t>t</w:t>
            </w:r>
            <w:r w:rsidR="00C25D44" w:rsidRPr="00100EFA">
              <w:t>ment</w:t>
            </w:r>
            <w:r w:rsidRPr="00100EFA">
              <w:t xml:space="preserve"> to support police reform through </w:t>
            </w:r>
            <w:r w:rsidR="00C25D44" w:rsidRPr="00100EFA">
              <w:t xml:space="preserve">the </w:t>
            </w:r>
            <w:r w:rsidR="00C25D44" w:rsidRPr="00100EFA">
              <w:rPr>
                <w:iCs/>
                <w:lang w:val="en-US"/>
              </w:rPr>
              <w:t>Cambodia</w:t>
            </w:r>
            <w:r w:rsidR="00C25D44" w:rsidRPr="00100EFA">
              <w:rPr>
                <w:lang w:val="en-US"/>
              </w:rPr>
              <w:t xml:space="preserve"> Criminal Justice Assistance Project</w:t>
            </w:r>
            <w:r w:rsidR="00C25D44" w:rsidRPr="00100EFA">
              <w:t xml:space="preserve"> </w:t>
            </w:r>
            <w:r w:rsidR="00100EFA" w:rsidRPr="00100EFA">
              <w:t xml:space="preserve">(CCJAP Phase 3) </w:t>
            </w:r>
            <w:r w:rsidRPr="00100EFA">
              <w:t>and regional transnational crime activities.</w:t>
            </w:r>
          </w:p>
          <w:p w:rsidR="00F00450" w:rsidRPr="00745FE3" w:rsidRDefault="00C25D44" w:rsidP="00F96CB2">
            <w:pPr>
              <w:pStyle w:val="TableListBullet"/>
            </w:pPr>
            <w:r w:rsidRPr="00100EFA">
              <w:t xml:space="preserve">Through the </w:t>
            </w:r>
            <w:r w:rsidRPr="00100EFA">
              <w:rPr>
                <w:iCs/>
                <w:lang w:val="en-US"/>
              </w:rPr>
              <w:t>Cambodia</w:t>
            </w:r>
            <w:r w:rsidRPr="00100EFA">
              <w:rPr>
                <w:lang w:val="en-US"/>
              </w:rPr>
              <w:t xml:space="preserve"> Criminal Justice Assistance Project,</w:t>
            </w:r>
            <w:r w:rsidRPr="00745FE3">
              <w:t xml:space="preserve"> </w:t>
            </w:r>
            <w:r>
              <w:t>h</w:t>
            </w:r>
            <w:r w:rsidRPr="00745FE3">
              <w:t xml:space="preserve">armonise </w:t>
            </w:r>
            <w:r w:rsidR="00F00450" w:rsidRPr="00745FE3">
              <w:t xml:space="preserve">with other donors </w:t>
            </w:r>
            <w:r>
              <w:t xml:space="preserve">including </w:t>
            </w:r>
            <w:r w:rsidR="000A2BC3">
              <w:t>UN</w:t>
            </w:r>
            <w:r>
              <w:t xml:space="preserve"> </w:t>
            </w:r>
            <w:r w:rsidRPr="00745FE3">
              <w:t>W</w:t>
            </w:r>
            <w:r>
              <w:t>omen and</w:t>
            </w:r>
            <w:r w:rsidR="00F00450" w:rsidRPr="00745FE3">
              <w:t xml:space="preserve"> GIZ, to strengthen the capacity of law enforcement to address violence against women.</w:t>
            </w:r>
          </w:p>
          <w:p w:rsidR="00F00450" w:rsidRPr="00745FE3" w:rsidRDefault="00F00450" w:rsidP="00F96CB2">
            <w:pPr>
              <w:pStyle w:val="TableListBullet"/>
            </w:pPr>
            <w:r w:rsidRPr="00745FE3">
              <w:t xml:space="preserve">Engage </w:t>
            </w:r>
            <w:r w:rsidR="000A2BC3">
              <w:t>I</w:t>
            </w:r>
            <w:r w:rsidR="00955106">
              <w:t>nternational Bridges to Justice</w:t>
            </w:r>
            <w:r w:rsidR="00955106" w:rsidRPr="00745FE3">
              <w:t xml:space="preserve"> </w:t>
            </w:r>
            <w:r w:rsidRPr="00745FE3">
              <w:t xml:space="preserve">to provide legal aid support in all </w:t>
            </w:r>
            <w:r w:rsidR="00C25D44" w:rsidRPr="00745FE3">
              <w:t xml:space="preserve">Cambodia </w:t>
            </w:r>
            <w:r w:rsidRPr="00745FE3">
              <w:t>courts.</w:t>
            </w:r>
          </w:p>
          <w:p w:rsidR="00F00450" w:rsidRPr="00745FE3" w:rsidRDefault="00F00450" w:rsidP="00F96CB2">
            <w:pPr>
              <w:pStyle w:val="TableListBullet"/>
            </w:pPr>
            <w:r w:rsidRPr="00745FE3">
              <w:t xml:space="preserve">Work in partnership with </w:t>
            </w:r>
            <w:r w:rsidR="00955106">
              <w:t>Swedish International Development Agency</w:t>
            </w:r>
            <w:r w:rsidR="00E8062C">
              <w:t xml:space="preserve"> </w:t>
            </w:r>
            <w:r w:rsidRPr="00745FE3">
              <w:t xml:space="preserve">through </w:t>
            </w:r>
            <w:r w:rsidR="00955106">
              <w:t>Transparency International Cambodia</w:t>
            </w:r>
            <w:r w:rsidR="00955106" w:rsidRPr="00745FE3">
              <w:t xml:space="preserve"> </w:t>
            </w:r>
            <w:r w:rsidRPr="00745FE3">
              <w:t xml:space="preserve">to support the </w:t>
            </w:r>
            <w:r w:rsidR="00955106">
              <w:t>Anti</w:t>
            </w:r>
            <w:r w:rsidR="00E8062C">
              <w:t>-</w:t>
            </w:r>
            <w:r w:rsidR="00955106">
              <w:t xml:space="preserve"> Corruption Unit‘s</w:t>
            </w:r>
            <w:r w:rsidR="00955106" w:rsidRPr="00745FE3">
              <w:t xml:space="preserve"> </w:t>
            </w:r>
            <w:r w:rsidRPr="00745FE3">
              <w:t>anti-</w:t>
            </w:r>
            <w:r w:rsidRPr="00745FE3">
              <w:lastRenderedPageBreak/>
              <w:t xml:space="preserve">corruption strategy and </w:t>
            </w:r>
            <w:r w:rsidR="00C25D44">
              <w:t>promote</w:t>
            </w:r>
            <w:r w:rsidR="00C25D44" w:rsidRPr="00745FE3">
              <w:t xml:space="preserve"> </w:t>
            </w:r>
            <w:r w:rsidRPr="00745FE3">
              <w:t>anti-corruption awareness.</w:t>
            </w:r>
          </w:p>
          <w:p w:rsidR="00F00450" w:rsidRPr="00745FE3" w:rsidRDefault="00F00450" w:rsidP="00F96CB2">
            <w:pPr>
              <w:pStyle w:val="TableListBullet"/>
            </w:pPr>
            <w:r w:rsidRPr="00745FE3">
              <w:t>P</w:t>
            </w:r>
            <w:r w:rsidR="00C25D44">
              <w:t>rovide p</w:t>
            </w:r>
            <w:r w:rsidRPr="00745FE3">
              <w:t>olicy and technical engagement in the Legal and Judicial Reform Technical Working Group.</w:t>
            </w:r>
          </w:p>
        </w:tc>
      </w:tr>
      <w:tr w:rsidR="00F96CB2" w:rsidRPr="00745FE3" w:rsidTr="00F96CB2">
        <w:trPr>
          <w:cnfStyle w:val="000000010000" w:firstRow="0" w:lastRow="0" w:firstColumn="0" w:lastColumn="0" w:oddVBand="0" w:evenVBand="0" w:oddHBand="0" w:evenHBand="1" w:firstRowFirstColumn="0" w:firstRowLastColumn="0" w:lastRowFirstColumn="0" w:lastRowLastColumn="0"/>
          <w:tblHeader w:val="0"/>
        </w:trPr>
        <w:tc>
          <w:tcPr>
            <w:tcW w:w="500" w:type="pct"/>
            <w:vMerge/>
          </w:tcPr>
          <w:p w:rsidR="00F00450" w:rsidRPr="00745FE3" w:rsidRDefault="00F00450" w:rsidP="00410550">
            <w:pPr>
              <w:pStyle w:val="NormalWeb"/>
              <w:spacing w:before="40" w:after="40"/>
              <w:rPr>
                <w:rFonts w:ascii="Calibri" w:hAnsi="Calibri" w:cs="Arial"/>
                <w:i/>
                <w:sz w:val="18"/>
                <w:szCs w:val="18"/>
              </w:rPr>
            </w:pPr>
          </w:p>
        </w:tc>
        <w:tc>
          <w:tcPr>
            <w:tcW w:w="500" w:type="pct"/>
            <w:vMerge/>
          </w:tcPr>
          <w:p w:rsidR="00F00450" w:rsidRPr="00745FE3" w:rsidRDefault="00F00450" w:rsidP="00952FDE">
            <w:pPr>
              <w:pStyle w:val="NormalWeb"/>
              <w:spacing w:before="40" w:after="40"/>
              <w:rPr>
                <w:rFonts w:ascii="Calibri" w:hAnsi="Calibri" w:cs="Arial"/>
                <w:b/>
                <w:sz w:val="18"/>
                <w:szCs w:val="18"/>
              </w:rPr>
            </w:pPr>
          </w:p>
        </w:tc>
        <w:tc>
          <w:tcPr>
            <w:tcW w:w="750" w:type="pct"/>
          </w:tcPr>
          <w:p w:rsidR="00F00450" w:rsidRPr="00745FE3" w:rsidRDefault="00F00450" w:rsidP="00F96CB2">
            <w:pPr>
              <w:pStyle w:val="TableListBullet"/>
            </w:pPr>
            <w:r w:rsidRPr="00745FE3">
              <w:t>By 2015, Australia aims to help reduce the number of people in pre-trial detention from 36% of the prison population to 25%</w:t>
            </w:r>
            <w:r w:rsidR="00196388">
              <w:t>,</w:t>
            </w:r>
            <w:r w:rsidRPr="00745FE3">
              <w:t xml:space="preserve"> and increase non-custodial sentencing for petty crime convictions from </w:t>
            </w:r>
            <w:r w:rsidR="00196388">
              <w:t>zero</w:t>
            </w:r>
            <w:r w:rsidR="00196388" w:rsidRPr="00745FE3">
              <w:t xml:space="preserve"> </w:t>
            </w:r>
            <w:r w:rsidRPr="00745FE3">
              <w:t>to 25%.</w:t>
            </w:r>
          </w:p>
        </w:tc>
        <w:tc>
          <w:tcPr>
            <w:tcW w:w="750" w:type="pct"/>
            <w:gridSpan w:val="2"/>
          </w:tcPr>
          <w:p w:rsidR="00F00450" w:rsidRPr="00745FE3" w:rsidRDefault="00F00450" w:rsidP="00F96CB2">
            <w:pPr>
              <w:pStyle w:val="TableListBullet"/>
            </w:pPr>
            <w:r w:rsidRPr="00745FE3">
              <w:t>Alternative sentencing approach established to address overcrowding</w:t>
            </w:r>
            <w:r w:rsidR="00C25D44">
              <w:t>.</w:t>
            </w:r>
          </w:p>
        </w:tc>
        <w:tc>
          <w:tcPr>
            <w:tcW w:w="750" w:type="pct"/>
            <w:gridSpan w:val="2"/>
          </w:tcPr>
          <w:p w:rsidR="00F00450" w:rsidRPr="00745FE3" w:rsidRDefault="00F00450" w:rsidP="00F96CB2">
            <w:pPr>
              <w:pStyle w:val="TableListBullet"/>
            </w:pPr>
            <w:r w:rsidRPr="00745FE3">
              <w:t xml:space="preserve">Guideline for piloting </w:t>
            </w:r>
            <w:r w:rsidR="00ED4566">
              <w:t>a</w:t>
            </w:r>
            <w:r w:rsidRPr="00745FE3">
              <w:t xml:space="preserve">lternative sentencing established and endorsed by </w:t>
            </w:r>
            <w:r w:rsidR="00C25D44">
              <w:t>Ministry of Justice</w:t>
            </w:r>
            <w:r w:rsidR="00C25D44" w:rsidRPr="00745FE3">
              <w:t xml:space="preserve"> </w:t>
            </w:r>
            <w:r w:rsidRPr="00745FE3">
              <w:t>to address overcrowding</w:t>
            </w:r>
            <w:r w:rsidR="00ED4566">
              <w:t>.</w:t>
            </w:r>
            <w:r w:rsidRPr="00745FE3">
              <w:t xml:space="preserve"> </w:t>
            </w:r>
          </w:p>
          <w:p w:rsidR="00F00450" w:rsidRPr="00745FE3" w:rsidRDefault="00F00450" w:rsidP="00F96CB2">
            <w:pPr>
              <w:pStyle w:val="TableListBullet"/>
            </w:pPr>
            <w:r w:rsidRPr="00745FE3">
              <w:t xml:space="preserve">Draft </w:t>
            </w:r>
            <w:r w:rsidR="00ED4566" w:rsidRPr="00745FE3">
              <w:t>prison l</w:t>
            </w:r>
            <w:r w:rsidRPr="00745FE3">
              <w:t>aw approved and enacted.</w:t>
            </w:r>
          </w:p>
        </w:tc>
        <w:tc>
          <w:tcPr>
            <w:tcW w:w="750" w:type="pct"/>
            <w:gridSpan w:val="2"/>
          </w:tcPr>
          <w:p w:rsidR="00F00450" w:rsidRPr="00745FE3" w:rsidRDefault="00F00450" w:rsidP="00F96CB2">
            <w:pPr>
              <w:pStyle w:val="TableListBullet"/>
            </w:pPr>
            <w:r w:rsidRPr="00745FE3">
              <w:t xml:space="preserve">Alternative and non-custodial sentencing piloted in </w:t>
            </w:r>
            <w:r w:rsidR="00ED4566">
              <w:t>two</w:t>
            </w:r>
            <w:r w:rsidR="00ED4566" w:rsidRPr="00745FE3">
              <w:t xml:space="preserve"> </w:t>
            </w:r>
            <w:r w:rsidRPr="00745FE3">
              <w:t>of project targeted provinces.</w:t>
            </w:r>
          </w:p>
        </w:tc>
        <w:tc>
          <w:tcPr>
            <w:tcW w:w="750" w:type="pct"/>
            <w:vMerge/>
          </w:tcPr>
          <w:p w:rsidR="00F00450" w:rsidRPr="00745FE3" w:rsidRDefault="00F00450" w:rsidP="00117369">
            <w:pPr>
              <w:numPr>
                <w:ilvl w:val="0"/>
                <w:numId w:val="19"/>
              </w:numPr>
              <w:tabs>
                <w:tab w:val="clear" w:pos="360"/>
                <w:tab w:val="num" w:pos="72"/>
              </w:tabs>
              <w:spacing w:after="120"/>
              <w:ind w:left="74" w:hanging="142"/>
              <w:rPr>
                <w:rFonts w:ascii="Calibri" w:hAnsi="Calibri" w:cs="Arial"/>
                <w:sz w:val="18"/>
                <w:szCs w:val="18"/>
              </w:rPr>
            </w:pPr>
          </w:p>
        </w:tc>
      </w:tr>
      <w:tr w:rsidR="00F96CB2" w:rsidRPr="006C382A" w:rsidTr="00F96CB2">
        <w:trPr>
          <w:tblHeader w:val="0"/>
        </w:trPr>
        <w:tc>
          <w:tcPr>
            <w:tcW w:w="500" w:type="pct"/>
            <w:vMerge/>
          </w:tcPr>
          <w:p w:rsidR="00F00450" w:rsidRPr="00745FE3" w:rsidRDefault="00F00450" w:rsidP="00410550">
            <w:pPr>
              <w:pStyle w:val="NormalWeb"/>
              <w:spacing w:before="40" w:after="40"/>
              <w:rPr>
                <w:rFonts w:ascii="Calibri" w:hAnsi="Calibri" w:cs="Arial"/>
                <w:i/>
                <w:sz w:val="18"/>
                <w:szCs w:val="18"/>
              </w:rPr>
            </w:pPr>
          </w:p>
        </w:tc>
        <w:tc>
          <w:tcPr>
            <w:tcW w:w="500" w:type="pct"/>
            <w:vMerge/>
          </w:tcPr>
          <w:p w:rsidR="00F00450" w:rsidRPr="00745FE3" w:rsidRDefault="00F00450" w:rsidP="00952FDE">
            <w:pPr>
              <w:pStyle w:val="NormalWeb"/>
              <w:spacing w:before="40" w:after="40"/>
              <w:rPr>
                <w:rFonts w:ascii="Calibri" w:hAnsi="Calibri" w:cs="Arial"/>
                <w:b/>
                <w:sz w:val="18"/>
                <w:szCs w:val="18"/>
              </w:rPr>
            </w:pPr>
          </w:p>
        </w:tc>
        <w:tc>
          <w:tcPr>
            <w:tcW w:w="750" w:type="pct"/>
          </w:tcPr>
          <w:p w:rsidR="00F00450" w:rsidRPr="00745FE3" w:rsidRDefault="00F00450" w:rsidP="00F96CB2">
            <w:pPr>
              <w:pStyle w:val="TableListBullet"/>
            </w:pPr>
            <w:r w:rsidRPr="00745FE3">
              <w:t xml:space="preserve">Between 2012 and 2015, Australia will </w:t>
            </w:r>
            <w:r w:rsidR="00196388">
              <w:t>help</w:t>
            </w:r>
            <w:r w:rsidR="00196388" w:rsidRPr="00745FE3">
              <w:t xml:space="preserve"> </w:t>
            </w:r>
            <w:r w:rsidRPr="00745FE3">
              <w:t xml:space="preserve">Cambodia implement a national crime </w:t>
            </w:r>
            <w:proofErr w:type="gramStart"/>
            <w:r w:rsidRPr="00745FE3">
              <w:t>database,</w:t>
            </w:r>
            <w:proofErr w:type="gramEnd"/>
            <w:r w:rsidRPr="00745FE3">
              <w:t xml:space="preserve"> prison data</w:t>
            </w:r>
            <w:r w:rsidR="00E26D87">
              <w:t>base</w:t>
            </w:r>
            <w:r w:rsidRPr="00745FE3">
              <w:t xml:space="preserve"> and court register to strengthen the administration of law and justice nationwide</w:t>
            </w:r>
            <w:r w:rsidR="00C25D44">
              <w:t>.</w:t>
            </w:r>
          </w:p>
        </w:tc>
        <w:tc>
          <w:tcPr>
            <w:tcW w:w="750" w:type="pct"/>
            <w:gridSpan w:val="2"/>
          </w:tcPr>
          <w:p w:rsidR="00F00450" w:rsidRPr="00745FE3" w:rsidRDefault="00F00450" w:rsidP="00F96CB2">
            <w:pPr>
              <w:pStyle w:val="TableListBullet"/>
            </w:pPr>
            <w:r w:rsidRPr="00745FE3">
              <w:t>Crime data collected nationwide</w:t>
            </w:r>
            <w:r w:rsidR="00C25D44">
              <w:t>.</w:t>
            </w:r>
          </w:p>
        </w:tc>
        <w:tc>
          <w:tcPr>
            <w:tcW w:w="750" w:type="pct"/>
            <w:gridSpan w:val="2"/>
          </w:tcPr>
          <w:p w:rsidR="00F00450" w:rsidRPr="00745FE3" w:rsidRDefault="00F00450" w:rsidP="00F96CB2">
            <w:pPr>
              <w:pStyle w:val="TableListBullet"/>
            </w:pPr>
            <w:r w:rsidRPr="00745FE3">
              <w:t>Government structures to manage crime data of the police, database of court register, criminal case management of Appeal Court and the database of the prison established and strengthened.</w:t>
            </w:r>
          </w:p>
        </w:tc>
        <w:tc>
          <w:tcPr>
            <w:tcW w:w="750" w:type="pct"/>
            <w:gridSpan w:val="2"/>
          </w:tcPr>
          <w:p w:rsidR="00F00450" w:rsidRPr="00745FE3" w:rsidRDefault="00F00450" w:rsidP="00F96CB2">
            <w:pPr>
              <w:pStyle w:val="TableListBullet"/>
            </w:pPr>
            <w:r w:rsidRPr="00745FE3">
              <w:t>Police crime data upgraded to serve management and decision making purpose</w:t>
            </w:r>
            <w:r w:rsidR="00ED4566">
              <w:t>.</w:t>
            </w:r>
          </w:p>
          <w:p w:rsidR="00F00450" w:rsidRPr="00745FE3" w:rsidRDefault="00F00450" w:rsidP="00F96CB2">
            <w:pPr>
              <w:pStyle w:val="TableListBullet"/>
            </w:pPr>
            <w:r w:rsidRPr="00745FE3">
              <w:t>Appeal court databases upgraded to serve management and decision making purpose</w:t>
            </w:r>
            <w:r w:rsidR="00ED4566">
              <w:t>.</w:t>
            </w:r>
          </w:p>
          <w:p w:rsidR="00F00450" w:rsidRPr="00745FE3" w:rsidRDefault="00F00450" w:rsidP="00F96CB2">
            <w:pPr>
              <w:pStyle w:val="TableListBullet"/>
            </w:pPr>
            <w:r w:rsidRPr="00745FE3">
              <w:t>Prison databases upgraded to serve management and decision making purpose</w:t>
            </w:r>
            <w:r w:rsidR="00ED4566">
              <w:t>.</w:t>
            </w:r>
          </w:p>
          <w:p w:rsidR="00F00450" w:rsidRPr="00745FE3" w:rsidRDefault="00F00450" w:rsidP="00F96CB2">
            <w:pPr>
              <w:pStyle w:val="TableListBullet"/>
            </w:pPr>
            <w:r w:rsidRPr="00745FE3">
              <w:t>Court register databases established and piloted</w:t>
            </w:r>
            <w:r w:rsidR="00ED4566">
              <w:t>.</w:t>
            </w:r>
          </w:p>
        </w:tc>
        <w:tc>
          <w:tcPr>
            <w:tcW w:w="750" w:type="pct"/>
            <w:vMerge/>
          </w:tcPr>
          <w:p w:rsidR="00F00450" w:rsidRPr="00745FE3" w:rsidRDefault="00F00450" w:rsidP="00117369">
            <w:pPr>
              <w:numPr>
                <w:ilvl w:val="0"/>
                <w:numId w:val="19"/>
              </w:numPr>
              <w:tabs>
                <w:tab w:val="clear" w:pos="360"/>
                <w:tab w:val="num" w:pos="72"/>
              </w:tabs>
              <w:spacing w:after="120"/>
              <w:ind w:left="74" w:hanging="142"/>
              <w:rPr>
                <w:rFonts w:ascii="Calibri" w:hAnsi="Calibri" w:cs="Arial"/>
                <w:sz w:val="18"/>
                <w:szCs w:val="18"/>
              </w:rPr>
            </w:pPr>
          </w:p>
        </w:tc>
      </w:tr>
    </w:tbl>
    <w:p w:rsidR="00346360" w:rsidRPr="006C382A" w:rsidRDefault="00346360" w:rsidP="00F96CB2">
      <w:pPr>
        <w:rPr>
          <w:b/>
        </w:rPr>
      </w:pPr>
    </w:p>
    <w:sectPr w:rsidR="00346360" w:rsidRPr="006C382A" w:rsidSect="007B265A">
      <w:headerReference w:type="default" r:id="rId21"/>
      <w:footerReference w:type="default" r:id="rId22"/>
      <w:headerReference w:type="first" r:id="rId23"/>
      <w:footerReference w:type="first" r:id="rId24"/>
      <w:pgSz w:w="16839" w:h="11907" w:orient="landscape" w:code="9"/>
      <w:pgMar w:top="1871" w:right="2268" w:bottom="1134"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65A" w:rsidRDefault="007B265A" w:rsidP="0050529F">
      <w:r>
        <w:separator/>
      </w:r>
    </w:p>
    <w:p w:rsidR="007B265A" w:rsidRDefault="007B265A"/>
    <w:p w:rsidR="007B265A" w:rsidRDefault="007B265A"/>
  </w:endnote>
  <w:endnote w:type="continuationSeparator" w:id="0">
    <w:p w:rsidR="007B265A" w:rsidRDefault="007B265A" w:rsidP="0050529F">
      <w:r>
        <w:continuationSeparator/>
      </w:r>
    </w:p>
    <w:p w:rsidR="007B265A" w:rsidRDefault="007B265A"/>
    <w:p w:rsidR="007B265A" w:rsidRDefault="007B2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5A" w:rsidRPr="007B265A" w:rsidRDefault="007B265A" w:rsidP="007B265A">
    <w:pPr>
      <w:pStyle w:val="Footer"/>
      <w:tabs>
        <w:tab w:val="clear" w:pos="4513"/>
        <w:tab w:val="clear" w:pos="9026"/>
        <w:tab w:val="right" w:pos="8278"/>
      </w:tabs>
    </w:pPr>
    <w:r w:rsidRPr="007844C8">
      <w:rPr>
        <w:rFonts w:ascii="Franklin Gothic Medium" w:eastAsia="Times New Roman" w:hAnsi="Franklin Gothic Medium"/>
        <w:sz w:val="14"/>
        <w:szCs w:val="14"/>
      </w:rPr>
      <w:fldChar w:fldCharType="begin"/>
    </w:r>
    <w:r w:rsidRPr="007844C8">
      <w:rPr>
        <w:rFonts w:ascii="Franklin Gothic Medium" w:eastAsia="Times New Roman" w:hAnsi="Franklin Gothic Medium"/>
        <w:sz w:val="14"/>
        <w:szCs w:val="14"/>
      </w:rPr>
      <w:instrText xml:space="preserve"> STYLEREF  Title </w:instrText>
    </w:r>
    <w:r w:rsidRPr="007844C8">
      <w:rPr>
        <w:rFonts w:ascii="Franklin Gothic Medium" w:eastAsia="Times New Roman" w:hAnsi="Franklin Gothic Medium"/>
        <w:sz w:val="14"/>
        <w:szCs w:val="14"/>
      </w:rPr>
      <w:fldChar w:fldCharType="separate"/>
    </w:r>
    <w:r w:rsidR="007844C8">
      <w:rPr>
        <w:rFonts w:ascii="Franklin Gothic Medium" w:eastAsia="Times New Roman" w:hAnsi="Franklin Gothic Medium"/>
        <w:noProof/>
        <w:sz w:val="14"/>
        <w:szCs w:val="14"/>
      </w:rPr>
      <w:t>Aid Program Performance Report 2012−13 Cambodia</w:t>
    </w:r>
    <w:r w:rsidRPr="007844C8">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844C8">
      <w:rPr>
        <w:rFonts w:ascii="Franklin Gothic Medium" w:eastAsia="Times New Roman" w:hAnsi="Franklin Gothic Medium"/>
        <w:noProof/>
        <w:sz w:val="14"/>
        <w:szCs w:val="14"/>
      </w:rPr>
      <w:t>13</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2992" behindDoc="1" locked="0" layoutInCell="1" allowOverlap="1" wp14:anchorId="7A63D699" wp14:editId="632C9993">
              <wp:simplePos x="0" y="0"/>
              <wp:positionH relativeFrom="column">
                <wp:posOffset>0</wp:posOffset>
              </wp:positionH>
              <wp:positionV relativeFrom="paragraph">
                <wp:posOffset>8498840</wp:posOffset>
              </wp:positionV>
              <wp:extent cx="7379970" cy="2181860"/>
              <wp:effectExtent l="0" t="2540" r="1905" b="0"/>
              <wp:wrapNone/>
              <wp:docPr id="1"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O9B9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izvQf&#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1968" behindDoc="1" locked="0" layoutInCell="1" allowOverlap="1" wp14:anchorId="410C8F1E" wp14:editId="19DB4F43">
              <wp:simplePos x="0" y="0"/>
              <wp:positionH relativeFrom="column">
                <wp:posOffset>0</wp:posOffset>
              </wp:positionH>
              <wp:positionV relativeFrom="paragraph">
                <wp:posOffset>8498840</wp:posOffset>
              </wp:positionV>
              <wp:extent cx="7379970" cy="2181860"/>
              <wp:effectExtent l="0" t="2540" r="1905" b="0"/>
              <wp:wrapNone/>
              <wp:docPr id="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7Dph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6Ow6Y&#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5A" w:rsidRPr="007B265A" w:rsidRDefault="007B265A" w:rsidP="007B265A">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844C8">
      <w:rPr>
        <w:rFonts w:ascii="Franklin Gothic Medium" w:eastAsia="Times New Roman" w:hAnsi="Franklin Gothic Medium"/>
        <w:noProof/>
        <w:sz w:val="14"/>
        <w:szCs w:val="14"/>
      </w:rPr>
      <w:t>Aid Program Performance Report 2012−13 Cambodia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844C8">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6064" behindDoc="1" locked="0" layoutInCell="1" allowOverlap="1" wp14:anchorId="65E622A1" wp14:editId="48CB632A">
              <wp:simplePos x="0" y="0"/>
              <wp:positionH relativeFrom="column">
                <wp:posOffset>0</wp:posOffset>
              </wp:positionH>
              <wp:positionV relativeFrom="paragraph">
                <wp:posOffset>8498840</wp:posOffset>
              </wp:positionV>
              <wp:extent cx="7379970" cy="2181860"/>
              <wp:effectExtent l="0" t="2540" r="1905" b="0"/>
              <wp:wrapNone/>
              <wp:docPr id="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oRcV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F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KEXF&#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5040" behindDoc="1" locked="0" layoutInCell="1" allowOverlap="1" wp14:anchorId="3DA81295" wp14:editId="73DDAD2D">
              <wp:simplePos x="0" y="0"/>
              <wp:positionH relativeFrom="column">
                <wp:posOffset>0</wp:posOffset>
              </wp:positionH>
              <wp:positionV relativeFrom="paragraph">
                <wp:posOffset>8498840</wp:posOffset>
              </wp:positionV>
              <wp:extent cx="7379970" cy="2181860"/>
              <wp:effectExtent l="0" t="2540" r="1905" b="0"/>
              <wp:wrapNone/>
              <wp:docPr id="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KaQx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GSmkM&#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5A" w:rsidRPr="007B265A" w:rsidRDefault="007B265A" w:rsidP="007B265A">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844C8">
      <w:rPr>
        <w:rFonts w:ascii="Franklin Gothic Medium" w:eastAsia="Times New Roman" w:hAnsi="Franklin Gothic Medium"/>
        <w:noProof/>
        <w:sz w:val="14"/>
        <w:szCs w:val="14"/>
      </w:rPr>
      <w:t>Aid Program Performance Report 2012−13 Cambodia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844C8">
      <w:rPr>
        <w:rFonts w:ascii="Franklin Gothic Medium" w:eastAsia="Times New Roman" w:hAnsi="Franklin Gothic Medium"/>
        <w:noProof/>
        <w:sz w:val="14"/>
        <w:szCs w:val="14"/>
      </w:rPr>
      <w:t>25</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44256" behindDoc="1" locked="0" layoutInCell="1" allowOverlap="1" wp14:anchorId="12288657" wp14:editId="37B6763F">
              <wp:simplePos x="0" y="0"/>
              <wp:positionH relativeFrom="column">
                <wp:posOffset>0</wp:posOffset>
              </wp:positionH>
              <wp:positionV relativeFrom="paragraph">
                <wp:posOffset>8498840</wp:posOffset>
              </wp:positionV>
              <wp:extent cx="7379970" cy="2181860"/>
              <wp:effectExtent l="0" t="2540" r="1905" b="0"/>
              <wp:wrapNone/>
              <wp:docPr id="4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GHd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ehYflrwV4L+2uBKAqq&#10;GuwBSJyuPUhw/2isOHTwUh7dVnoJ3aYVsQ+ETjRaBfYHAVpw9OTU60KPv5bjqfc/tY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PBh3U&#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43232" behindDoc="1" locked="0" layoutInCell="1" allowOverlap="1" wp14:anchorId="6DE32307" wp14:editId="3DC3C312">
              <wp:simplePos x="0" y="0"/>
              <wp:positionH relativeFrom="column">
                <wp:posOffset>0</wp:posOffset>
              </wp:positionH>
              <wp:positionV relativeFrom="paragraph">
                <wp:posOffset>8498840</wp:posOffset>
              </wp:positionV>
              <wp:extent cx="7379970" cy="2181860"/>
              <wp:effectExtent l="0" t="2540" r="1905" b="0"/>
              <wp:wrapNone/>
              <wp:docPr id="4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vd8B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hS93&#10;w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5A" w:rsidRPr="007B265A" w:rsidRDefault="007B265A" w:rsidP="007B265A">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844C8">
      <w:rPr>
        <w:rFonts w:ascii="Franklin Gothic Medium" w:eastAsia="Times New Roman" w:hAnsi="Franklin Gothic Medium"/>
        <w:noProof/>
        <w:sz w:val="14"/>
        <w:szCs w:val="14"/>
      </w:rPr>
      <w:t>Aid Program Performance Report 2012−13 Cambodia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844C8">
      <w:rPr>
        <w:rFonts w:ascii="Franklin Gothic Medium" w:eastAsia="Times New Roman" w:hAnsi="Franklin Gothic Medium"/>
        <w:noProof/>
        <w:sz w:val="14"/>
        <w:szCs w:val="14"/>
      </w:rPr>
      <w:t>27</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9136" behindDoc="1" locked="0" layoutInCell="1" allowOverlap="1" wp14:anchorId="421487D3" wp14:editId="28AB7482">
              <wp:simplePos x="0" y="0"/>
              <wp:positionH relativeFrom="column">
                <wp:posOffset>0</wp:posOffset>
              </wp:positionH>
              <wp:positionV relativeFrom="paragraph">
                <wp:posOffset>8498840</wp:posOffset>
              </wp:positionV>
              <wp:extent cx="7379970" cy="2181860"/>
              <wp:effectExtent l="0" t="2540" r="1905" b="0"/>
              <wp:wrapNone/>
              <wp:docPr id="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JxQAUUmR6ijI9RRcBaKTI9RRkeoouAtFJke&#10;ooyKLgL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340&#10;/wCQVF/11H8jXSVzfjT/AJBUX/XUfyNcuN/3efodWC/3iHqcLRRRXyR9YFb+itoot/8ASwv2rJwZ&#10;c7PbpWBW/ov9i/Zv9L2/asn/AFudntXThP4nT5nLjP4XX5GjPJrHkt/ZwszAB/y64J/WuQYkuxb7&#10;2efrXYTrrJhb+zmshBjpa4HH41x7Z3Hd1zzW2O3W/wA9vkY4DZ7fLf5iVs+FnK6/AB/EGB/I1jVr&#10;+GP+Rhtv+Bf+gmufC/x4eqOnFfwJ+jPR6KKK+wPk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5vxp/yCov+uo/ka6Sub8af8gqL/rqP5GuXG/7vP0O&#10;rBf7xD1OFooor5I+sCtjTfD9xqFt9p81I4Mkbjknj2rHre0bTNRltvtUF59ngyeck9PYV0YWCnUs&#10;43OfFTcKd1Kw9F0XTWObq6nlHURgoM1gOQzsRnBPGa6241fT4oWhvWOoS4xuMATFcixBYkDAzwK1&#10;xnKrRi16L+mZYNyd5STv3f6aIStfwx/yMNt/wL/0E1kVr+GP+Rhtv+Bf+gmscL/Hh6o2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q3ZXN9C4FnJMD/&#10;AHY8n9KqVv6NrjWdt9kFmZASfni4fmt8Ok56ysYYhtQ0jc0bVtZuY8XtjbvHjlp1Cn/P4VyMgxIw&#10;wBgngV10+jHUoWn+13sHGdl2cj+dcgwwxGc4PWujGqSUU/vfU5sC4tyat6LoJWv4Y/5GG2/4F/6C&#10;ayK1/DH/ACMNt/wL/wBBNc+F/jw9UdO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b+ka4dOsTC9ozREnM0Zw3PvisCtyzk1S90N7C2tBJADy+OeucV0&#10;4WUozbi9bdrnNi4xlBKS0v3sTTDStTy39qXEUh/hnBYfnXPMMMQDnB61L9lnMrxeS/mICWXHIx1z&#10;UNRWqOerjZlUaahdRldBWv4Y/wCRhtv+Bf8AoJrIrX8Mf8jDbf8AAv8A0E08L/Hh6oMV/An6M9Ho&#10;oor7A+Q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m/Gn/IKi/66j+RrpK5vxp/yCov+uo/ka5cb/u8/Q6sF/vEPU4Wiiivkj6wK6ezh1K68P2o05nj&#10;MUj78Hbvycgg98VzFbmn6bfXWnrIb8W1sGIQPIQCe+K6sI3zNJN3XTT8TkxiXKm2lZ9dfwNsafeL&#10;rVvfSKqxmAC5YsACcc/0ri5tvnybPu7jj6ZroG0OZlIOtW7AjkGQ81zrLtdlyDg4yK0xjdkuW3Xe&#10;5ng0ru0r7Lawla/hj/kYbb/gX/oJrIrX8Mf8jDbf8C/9BNYYX+PD1R0Yr+BP0Z6PRRRX2B8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NP+QVF/&#10;11H8jXSVzfjT/kFRf9dR/I1y43/d5+h1YL/eIepwtFFFfJH1gV0draw6j4ft4p7yG3aGRvL3N1BP&#10;ORXOVozWkMOiWtwQTPO7Y54CjiujDy5eZ2uranNiY83Kr2d9C4fD9sAf+JxaH/P1rDZdrFc5wcZF&#10;dKuhaaiwWk9xIL+dNy4Hyg+lc3JGYpXjbqrFT+FXiafIl7tvncnC1edtc1/lYbWv4Y/5GG2/4F/6&#10;CayK1/DH/Iw23/Av/QTWeF/jw9UaYr+BP0Z6PRRRX2B8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XN+NP+QVF/wBdR/I10lc340/5BUX/AF1H8jXL&#10;jf8Ad5+h1YL/AHiHqcLRRRXyR9YFb2kXgezFvcaZJeRQsWQxqSVJ6isGunsptQXw/bf2Up3LI/n7&#10;VySc8fhXXg787fl2vc5MZ8CXn3tYzpdXll137ebfLR/dj5+UAVlyOZJGdurEsfxrsUsro69Dcm2K&#10;xzQD7RxgAkc1x8yqs8ir90MQPpmnioTirye7ZOFqQk7RWyX/AAwytfwx/wAjDbf8C/8AQTWRWv4Y&#10;/wCRhtv+Bf8AoJrLC/x4eqNs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oNMttcuNNj+xThLcMdo3hTnPNc/Wzpmlme0N1c3v2W1DbQSeWPtXThb&#10;udlf5O34nNirKF3b5q/4F+TS/EkkTI91uQjkeb1rF/sq5/s1775PKR9hGec1qPo8NxE507VvPlUZ&#10;8onBI9qwDJIEMZdtuclc8ZrXEKMbcyf33McM5ST5WvusMrX8Mf8AIw23/Av/AEE1kVr+GP8AkYbb&#10;/gX/AKCawwv8eHqjoxX8Cfoz0eiiivsD5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ub8af8gqL/rqP5Gukrm/Gn/IKi/66j+Rrlxv+7z9DqwX+8Q9&#10;ThaKKK+SPrAro7S3tr/w9Dbz30Nu8cjMgZux9RXOVpLbacdEM5uT9tDcRfj/AIV0YZ2ctE1broc+&#10;JV1HVp36K5sabptjYXi3B1e2YoDtAbHOO/NZ19pVrDBLcLqlvK/XYnU/rWNRVSxEHDl5PxZMcPNT&#10;5+f8EFa/hj/kYbb/AIF/6CayK1/DH/Iw23/Av/QTUYX+ND1ReK/gT9Gej0UUV9gfI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340/5BUX/XUfyNdJXN+NP+QVF/11H8jXLjf93n6HVgv94h6nC0UUV8kf&#10;WBXQ2tx/Y+hwXkFvHJPcOwaR1zsAPArnq09M1i5sFMCxpPC5z5TjIz7V0YaahJ3dvPsc+Jg5wVlf&#10;y7mpYaxPrN0tle28MsUgILKmCnHWublUJM6A5CsQDXXo+rXlu4t7CCwiYfNIeDiuPddrspOSDjNb&#10;Yu/LHmbfm1YwwduaXKkl2TuNrX8Mf8jDbf8AAv8A0E1kVr+GP+Rhtv8AgX/oJrDC/wAeHqjo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rodD1mysrU&#10;wSxGKYk/6QqhjXPVrRXaSaG9lHp5km3ZMyrnHOf/AK1dGGm4Tck9bepzYqCnBRa0v3sX7zTrrU1M&#10;ttqi3q9dhbaR+Fc2QVJB6jinIzxvlCysPTgimE55qa1SNR3tZ+pVGnKmuVu66aBWv4Y/5GG2/wCB&#10;f+gmsitfwx/yMNt/wL/0E08L/Hh6oMV/An6M9Hooor7A+Q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m/Gn/IKi/66j+RrpK5vxp/yCov+uo/ka5cb&#10;/u8/Q6sF/vEPU4Wiiivkj6wK6ayur230C2bS4wz+Ywnwm45zx+lczW/pX9vTWIj0/wCWBGPzfKMn&#10;6nrXXhJNTaV9um5yYyKcE3bR9djRjtJW8QQz/ZCsVzBmcbeFJHNclMoSeRV+6rED6Zrp5LXxTJEy&#10;PKSpHOHWuWZSrFW6g4NXjHovda1b1M8GtW+ZPRLQStfwx/yMNt/wL/0E1kVr+GP+Rhtv+Bf+gmsM&#10;L/Hh6o6MV/An6M9Hooor7A+Q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m/Gn/ACCov+uo/ka6Sub8af8AIKi/66j+Rrlxv+7z9DqwX+8Q9ThaKKK+&#10;SPrArprWzvNS8N2yWrmMwyNkFtokBPX8K5mniaQIEEjhQcgBjit6FVU2+ZaNGFelKolyuzTubh8P&#10;6yBnzV/7/wBYLAqzBuoODTvNk/56P/31TKVWcJW5U16u46UJxvztP0VgrY8LjPiC29t3/oJrHrqP&#10;Btkz3ct4wOyNdqn1JrTBQc68Uu5GNmoUJN9jtqKKK+t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n/wAgqL/rqP5GukpkkUcqgSIrgdmGaxr0&#10;/a03C+5rQqeyqKdtjySjFer/AGK1/wCfeL/vgUfYrX/n3i/74FeR/Y8v5/wPX/thfyfieUYoxXq/&#10;2K1/594v++BR9itf+feL/vgUf2PL+f8AAP7YX8n4nlGKVVZjhVJJ7AV6t9itf+feL/vgU5LeGI/J&#10;Ei/RQKFk76z/AAB5wv5PxOB0zwze3zq0qGCHuzDk/QV3lpaQ2VslvAm2NRxU9FelhsHTw693fueb&#10;icXUxD97bsFFFFdZy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8112" behindDoc="1" locked="0" layoutInCell="1" allowOverlap="1" wp14:anchorId="54A1644F" wp14:editId="4E9216AC">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5A" w:rsidRPr="00F96CB2" w:rsidRDefault="007B265A" w:rsidP="00F96CB2">
    <w:pPr>
      <w:tabs>
        <w:tab w:val="left" w:pos="0"/>
        <w:tab w:val="left" w:pos="4155"/>
        <w:tab w:val="right" w:pos="7938"/>
        <w:tab w:val="right" w:pos="14459"/>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86912" behindDoc="1" locked="1" layoutInCell="1" allowOverlap="1" wp14:anchorId="275A18C5" wp14:editId="4674F35D">
              <wp:simplePos x="0" y="0"/>
              <wp:positionH relativeFrom="page">
                <wp:posOffset>0</wp:posOffset>
              </wp:positionH>
              <wp:positionV relativeFrom="page">
                <wp:posOffset>8526145</wp:posOffset>
              </wp:positionV>
              <wp:extent cx="7380000" cy="2181600"/>
              <wp:effectExtent l="0" t="0" r="0" b="9525"/>
              <wp:wrapNone/>
              <wp:docPr id="9" name="Rectangle 9"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AusAID web address graphic" style="position:absolute;margin-left:0;margin-top:671.35pt;width:581.1pt;height:171.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LQWm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CrC0FppQMAANsHAAAOAAAAAAAAAAAAAAAAADwCAABkcnMvZTJvRG9jLnhtbFBLAQItABQA&#10;BgAIAAAAIQBYYLMbugAAACIBAAAZAAAAAAAAAAAAAAAAAA0GAABkcnMvX3JlbHMvZTJvRG9jLnht&#10;bC5yZWxzUEsBAi0AFAAGAAgAAAAhAAa13tD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sidR="00B84A7F">
      <w:rPr>
        <w:rFonts w:ascii="Franklin Gothic Medium" w:eastAsia="Times New Roman" w:hAnsi="Franklin Gothic Medium"/>
        <w:noProof/>
        <w:color w:val="5A9A98"/>
        <w:sz w:val="14"/>
        <w:szCs w:val="14"/>
      </w:rPr>
      <w:t>Aid Program Performance Report 2012−13 Cambodia</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27</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88960" behindDoc="1" locked="0" layoutInCell="1" allowOverlap="1" wp14:anchorId="6656C01E" wp14:editId="29153F1A">
              <wp:simplePos x="0" y="0"/>
              <wp:positionH relativeFrom="column">
                <wp:posOffset>0</wp:posOffset>
              </wp:positionH>
              <wp:positionV relativeFrom="paragraph">
                <wp:posOffset>8498840</wp:posOffset>
              </wp:positionV>
              <wp:extent cx="7379970" cy="2181860"/>
              <wp:effectExtent l="0" t="2540" r="1905" b="0"/>
              <wp:wrapNone/>
              <wp:docPr id="10" name="Rectangle 1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AusAID web address graphic" style="position:absolute;margin-left:0;margin-top:669.2pt;width:581.1pt;height:17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wl7K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YsJey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87936" behindDoc="1" locked="0" layoutInCell="1" allowOverlap="1" wp14:anchorId="2F229A1E" wp14:editId="5D7F4A49">
              <wp:simplePos x="0" y="0"/>
              <wp:positionH relativeFrom="column">
                <wp:posOffset>0</wp:posOffset>
              </wp:positionH>
              <wp:positionV relativeFrom="paragraph">
                <wp:posOffset>8498840</wp:posOffset>
              </wp:positionV>
              <wp:extent cx="7379970" cy="2181860"/>
              <wp:effectExtent l="0" t="2540" r="1905" b="0"/>
              <wp:wrapNone/>
              <wp:docPr id="19" name="Rectangle 19"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alt="AusAID web address graphic" style="position:absolute;margin-left:0;margin-top:669.2pt;width:581.1pt;height:17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FSvVH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5A" w:rsidRPr="007B265A" w:rsidRDefault="007B265A" w:rsidP="007B265A">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844C8">
      <w:rPr>
        <w:rFonts w:ascii="Franklin Gothic Medium" w:eastAsia="Times New Roman" w:hAnsi="Franklin Gothic Medium"/>
        <w:noProof/>
        <w:sz w:val="14"/>
        <w:szCs w:val="14"/>
      </w:rPr>
      <w:t>Aid Program Performance Report 2012−13 Cambodia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844C8">
      <w:rPr>
        <w:rFonts w:ascii="Franklin Gothic Medium" w:eastAsia="Times New Roman" w:hAnsi="Franklin Gothic Medium"/>
        <w:noProof/>
        <w:sz w:val="14"/>
        <w:szCs w:val="14"/>
      </w:rPr>
      <w:t>36</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49376" behindDoc="1" locked="0" layoutInCell="1" allowOverlap="1" wp14:anchorId="175048ED" wp14:editId="7E0A7825">
              <wp:simplePos x="0" y="0"/>
              <wp:positionH relativeFrom="column">
                <wp:posOffset>0</wp:posOffset>
              </wp:positionH>
              <wp:positionV relativeFrom="paragraph">
                <wp:posOffset>8498840</wp:posOffset>
              </wp:positionV>
              <wp:extent cx="7379970" cy="2181860"/>
              <wp:effectExtent l="0" t="2540" r="1905" b="0"/>
              <wp:wrapNone/>
              <wp:docPr id="29"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BCj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ywQo0&#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48352" behindDoc="1" locked="0" layoutInCell="1" allowOverlap="1" wp14:anchorId="72B031A7" wp14:editId="6C6DCA6D">
              <wp:simplePos x="0" y="0"/>
              <wp:positionH relativeFrom="column">
                <wp:posOffset>0</wp:posOffset>
              </wp:positionH>
              <wp:positionV relativeFrom="paragraph">
                <wp:posOffset>8498840</wp:posOffset>
              </wp:positionV>
              <wp:extent cx="7379970" cy="2181860"/>
              <wp:effectExtent l="0" t="2540" r="1905" b="0"/>
              <wp:wrapNone/>
              <wp:docPr id="36"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9C9h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Pv0L&#10;2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5A" w:rsidRPr="004C4A3E" w:rsidRDefault="007B265A" w:rsidP="00F96CB2">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80768" behindDoc="1" locked="1" layoutInCell="1" allowOverlap="1" wp14:anchorId="35374BB0" wp14:editId="255F672C">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sidR="00B84A7F">
      <w:rPr>
        <w:rFonts w:ascii="Franklin Gothic Medium" w:eastAsia="Times New Roman" w:hAnsi="Franklin Gothic Medium"/>
        <w:noProof/>
        <w:color w:val="5A9A98"/>
        <w:sz w:val="14"/>
        <w:szCs w:val="14"/>
      </w:rPr>
      <w:t>Aid Program Performance Report 2012−13 Cambodia</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29</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79744" behindDoc="1" locked="0" layoutInCell="1" allowOverlap="1" wp14:anchorId="6ECB17D0" wp14:editId="005D6FD7">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78720" behindDoc="1" locked="0" layoutInCell="1" allowOverlap="1" wp14:anchorId="1B984687" wp14:editId="3BD65E18">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65A" w:rsidRDefault="007B265A" w:rsidP="0050529F">
      <w:r>
        <w:separator/>
      </w:r>
    </w:p>
    <w:p w:rsidR="007B265A" w:rsidRDefault="007B265A"/>
    <w:p w:rsidR="007B265A" w:rsidRDefault="007B265A"/>
  </w:footnote>
  <w:footnote w:type="continuationSeparator" w:id="0">
    <w:p w:rsidR="007B265A" w:rsidRDefault="007B265A" w:rsidP="0050529F">
      <w:r>
        <w:continuationSeparator/>
      </w:r>
    </w:p>
    <w:p w:rsidR="007B265A" w:rsidRDefault="007B265A"/>
    <w:p w:rsidR="007B265A" w:rsidRDefault="007B265A"/>
  </w:footnote>
  <w:footnote w:id="1">
    <w:p w:rsidR="007B265A" w:rsidRDefault="007B265A" w:rsidP="00F415F1">
      <w:pPr>
        <w:pStyle w:val="FootnoteText"/>
      </w:pPr>
      <w:r w:rsidRPr="00213346">
        <w:rPr>
          <w:rStyle w:val="FootnoteReference"/>
        </w:rPr>
        <w:footnoteRef/>
      </w:r>
      <w:r w:rsidRPr="00213346">
        <w:rPr>
          <w:rStyle w:val="FootnoteReference"/>
        </w:rPr>
        <w:t xml:space="preserve"> </w:t>
      </w:r>
      <w:proofErr w:type="gramStart"/>
      <w:r>
        <w:t>Against diphtheria, whooping cough and tetanus.</w:t>
      </w:r>
      <w:proofErr w:type="gramEnd"/>
    </w:p>
  </w:footnote>
  <w:footnote w:id="2">
    <w:p w:rsidR="007B265A" w:rsidRDefault="007B265A" w:rsidP="007F2100">
      <w:pPr>
        <w:pStyle w:val="FootnoteText"/>
        <w:rPr>
          <w:rFonts w:asciiTheme="minorHAnsi" w:hAnsiTheme="minorHAnsi" w:cstheme="minorBidi"/>
          <w:lang w:eastAsia="en-US"/>
        </w:rPr>
      </w:pPr>
      <w:r>
        <w:rPr>
          <w:rStyle w:val="FootnoteReference"/>
        </w:rPr>
        <w:footnoteRef/>
      </w:r>
      <w:r>
        <w:t xml:space="preserve"> </w:t>
      </w:r>
      <w:proofErr w:type="gramStart"/>
      <w:r>
        <w:t xml:space="preserve">World Bank (2012), </w:t>
      </w:r>
      <w:r>
        <w:rPr>
          <w:i/>
        </w:rPr>
        <w:t>World Bank East Asia and Pacific economic update 2012</w:t>
      </w:r>
      <w:r>
        <w:t>, Volume 2, p.54.</w:t>
      </w:r>
      <w:proofErr w:type="gramEnd"/>
    </w:p>
  </w:footnote>
  <w:footnote w:id="3">
    <w:p w:rsidR="007B265A" w:rsidRDefault="007B265A" w:rsidP="007F2100">
      <w:pPr>
        <w:pStyle w:val="FootnoteText"/>
      </w:pPr>
      <w:r>
        <w:rPr>
          <w:rStyle w:val="FootnoteReference"/>
        </w:rPr>
        <w:footnoteRef/>
      </w:r>
      <w:r>
        <w:t xml:space="preserve"> Cable (2012), </w:t>
      </w:r>
      <w:r>
        <w:rPr>
          <w:i/>
        </w:rPr>
        <w:t>Cambodia: economic update</w:t>
      </w:r>
      <w:r>
        <w:t>.</w:t>
      </w:r>
    </w:p>
  </w:footnote>
  <w:footnote w:id="4">
    <w:p w:rsidR="007B265A" w:rsidRDefault="007B265A" w:rsidP="007F2100">
      <w:pPr>
        <w:pStyle w:val="FootnoteText"/>
      </w:pPr>
      <w:r>
        <w:rPr>
          <w:rStyle w:val="FootnoteReference"/>
        </w:rPr>
        <w:footnoteRef/>
      </w:r>
      <w:r>
        <w:t xml:space="preserve"> International Monetary Fund (2013), </w:t>
      </w:r>
      <w:r>
        <w:rPr>
          <w:i/>
        </w:rPr>
        <w:t xml:space="preserve">Cambodia: 2012 Article 4 </w:t>
      </w:r>
      <w:proofErr w:type="gramStart"/>
      <w:r>
        <w:rPr>
          <w:i/>
        </w:rPr>
        <w:t>Consultation</w:t>
      </w:r>
      <w:proofErr w:type="gramEnd"/>
      <w:r>
        <w:t>. International Monetary Fund Country Report No. 13/2.</w:t>
      </w:r>
    </w:p>
  </w:footnote>
  <w:footnote w:id="5">
    <w:p w:rsidR="007B265A" w:rsidRDefault="007B265A" w:rsidP="007F2100">
      <w:pPr>
        <w:pStyle w:val="FootnoteText"/>
      </w:pPr>
      <w:r>
        <w:rPr>
          <w:rStyle w:val="FootnoteReference"/>
        </w:rPr>
        <w:footnoteRef/>
      </w:r>
      <w:r>
        <w:t xml:space="preserve"> </w:t>
      </w:r>
      <w:r w:rsidRPr="00710C05">
        <w:t>Hill, H</w:t>
      </w:r>
      <w:r>
        <w:t>.</w:t>
      </w:r>
      <w:r w:rsidRPr="00710C05">
        <w:t xml:space="preserve"> and </w:t>
      </w:r>
      <w:proofErr w:type="spellStart"/>
      <w:r w:rsidRPr="00710C05">
        <w:t>Menon</w:t>
      </w:r>
      <w:proofErr w:type="spellEnd"/>
      <w:r>
        <w:t>, J.</w:t>
      </w:r>
      <w:r w:rsidRPr="00710C05">
        <w:t xml:space="preserve"> (2013)</w:t>
      </w:r>
      <w:r w:rsidRPr="00655367">
        <w:rPr>
          <w:i/>
        </w:rPr>
        <w:t xml:space="preserve"> </w:t>
      </w:r>
      <w:r>
        <w:rPr>
          <w:i/>
        </w:rPr>
        <w:t>Cambodia: rapid growth with institutional constraints</w:t>
      </w:r>
      <w:r w:rsidRPr="00710C05">
        <w:t xml:space="preserve">. </w:t>
      </w:r>
      <w:proofErr w:type="gramStart"/>
      <w:r w:rsidRPr="00710C05">
        <w:t>A</w:t>
      </w:r>
      <w:r>
        <w:t xml:space="preserve">sian </w:t>
      </w:r>
      <w:r w:rsidRPr="00710C05">
        <w:t>D</w:t>
      </w:r>
      <w:r>
        <w:t xml:space="preserve">evelopment </w:t>
      </w:r>
      <w:r w:rsidRPr="00710C05">
        <w:t>B</w:t>
      </w:r>
      <w:r>
        <w:t>ank</w:t>
      </w:r>
      <w:r w:rsidRPr="00710C05">
        <w:t xml:space="preserve"> Economics Working Paper Series.</w:t>
      </w:r>
      <w:proofErr w:type="gramEnd"/>
      <w:r>
        <w:t xml:space="preserve"> </w:t>
      </w:r>
      <w:r w:rsidRPr="00710C05">
        <w:t>No.331.</w:t>
      </w:r>
      <w:r>
        <w:t xml:space="preserve"> </w:t>
      </w:r>
    </w:p>
  </w:footnote>
  <w:footnote w:id="6">
    <w:p w:rsidR="007B265A" w:rsidRDefault="007B265A" w:rsidP="007F2100">
      <w:r>
        <w:rPr>
          <w:rStyle w:val="FootnoteReference"/>
        </w:rPr>
        <w:footnoteRef/>
      </w:r>
      <w:r>
        <w:t xml:space="preserve"> </w:t>
      </w:r>
      <w:r w:rsidRPr="00213346">
        <w:rPr>
          <w:rStyle w:val="FootnoteTextChar"/>
          <w:rFonts w:eastAsiaTheme="minorHAnsi"/>
        </w:rPr>
        <w:t xml:space="preserve">Political &amp; Economic Risk Consultancy Ltd, 2012, </w:t>
      </w:r>
      <w:r w:rsidRPr="00213346">
        <w:rPr>
          <w:rStyle w:val="FootnoteTextChar"/>
          <w:rFonts w:eastAsiaTheme="minorHAnsi"/>
          <w:i/>
        </w:rPr>
        <w:t>Review of Cambodian political risks in 2012</w:t>
      </w:r>
      <w:r w:rsidRPr="00213346">
        <w:rPr>
          <w:rStyle w:val="FootnoteTextChar"/>
          <w:rFonts w:eastAsiaTheme="minorHAnsi"/>
        </w:rPr>
        <w:t>.</w:t>
      </w:r>
    </w:p>
  </w:footnote>
  <w:footnote w:id="7">
    <w:p w:rsidR="007B265A" w:rsidRPr="00A8174D" w:rsidRDefault="007B265A" w:rsidP="00FD5BA0">
      <w:pPr>
        <w:rPr>
          <w:szCs w:val="14"/>
        </w:rPr>
      </w:pPr>
      <w:r w:rsidRPr="00710C05">
        <w:rPr>
          <w:rStyle w:val="FootnoteReference"/>
          <w:sz w:val="14"/>
          <w:szCs w:val="14"/>
        </w:rPr>
        <w:footnoteRef/>
      </w:r>
      <w:r w:rsidRPr="00710C05">
        <w:rPr>
          <w:sz w:val="14"/>
          <w:szCs w:val="14"/>
        </w:rPr>
        <w:t xml:space="preserve"> </w:t>
      </w:r>
      <w:r w:rsidRPr="00213346">
        <w:rPr>
          <w:rStyle w:val="FootnoteTextChar"/>
          <w:rFonts w:eastAsia="SimSun"/>
        </w:rPr>
        <w:t>http://www.worldbank.org/en/country/cambodia/overview, viewed on 20 April 2013.</w:t>
      </w:r>
    </w:p>
  </w:footnote>
  <w:footnote w:id="8">
    <w:p w:rsidR="007B265A" w:rsidRPr="00A8174D" w:rsidRDefault="007B265A" w:rsidP="007F2100">
      <w:pPr>
        <w:pStyle w:val="FootnoteText"/>
        <w:rPr>
          <w:b/>
          <w:bCs/>
          <w:szCs w:val="14"/>
        </w:rPr>
      </w:pPr>
      <w:r w:rsidRPr="00FD5BA0">
        <w:rPr>
          <w:rStyle w:val="FootnoteReference"/>
          <w:sz w:val="14"/>
          <w:szCs w:val="14"/>
        </w:rPr>
        <w:footnoteRef/>
      </w:r>
      <w:r w:rsidRPr="00FD5BA0">
        <w:rPr>
          <w:rStyle w:val="FootnoteReference"/>
          <w:sz w:val="14"/>
          <w:szCs w:val="14"/>
        </w:rPr>
        <w:t xml:space="preserve"> </w:t>
      </w:r>
      <w:proofErr w:type="gramStart"/>
      <w:r w:rsidRPr="00FD5BA0">
        <w:rPr>
          <w:rFonts w:ascii="Cambria" w:hAnsi="Cambria" w:cs="Cambria"/>
          <w:color w:val="000000"/>
          <w:szCs w:val="14"/>
        </w:rPr>
        <w:t>Ministry of Health 2013, 2012 Achievement Report and 2013 Work</w:t>
      </w:r>
      <w:r>
        <w:rPr>
          <w:rFonts w:ascii="Cambria" w:hAnsi="Cambria" w:cs="Cambria"/>
          <w:color w:val="000000"/>
          <w:szCs w:val="14"/>
        </w:rPr>
        <w:t xml:space="preserve"> P</w:t>
      </w:r>
      <w:r w:rsidRPr="00FD5BA0">
        <w:rPr>
          <w:rFonts w:ascii="Cambria" w:hAnsi="Cambria" w:cs="Cambria"/>
          <w:color w:val="000000"/>
          <w:szCs w:val="14"/>
        </w:rPr>
        <w:t>lan.</w:t>
      </w:r>
      <w:proofErr w:type="gramEnd"/>
    </w:p>
  </w:footnote>
  <w:footnote w:id="9">
    <w:p w:rsidR="007B265A" w:rsidRPr="00FD5BA0" w:rsidRDefault="007B265A" w:rsidP="009F7712">
      <w:pPr>
        <w:pStyle w:val="FootnoteText"/>
        <w:rPr>
          <w:rFonts w:asciiTheme="minorHAnsi" w:hAnsiTheme="minorHAnsi" w:cstheme="minorBidi"/>
          <w:szCs w:val="14"/>
          <w:lang w:eastAsia="en-US"/>
        </w:rPr>
      </w:pPr>
      <w:r w:rsidRPr="00FD5BA0">
        <w:rPr>
          <w:rStyle w:val="FootnoteReference"/>
          <w:sz w:val="14"/>
          <w:szCs w:val="14"/>
        </w:rPr>
        <w:footnoteRef/>
      </w:r>
      <w:r w:rsidRPr="00FD5BA0">
        <w:rPr>
          <w:szCs w:val="14"/>
        </w:rPr>
        <w:t xml:space="preserve"> International Monetary Fund (2013), </w:t>
      </w:r>
      <w:r w:rsidRPr="00FD5BA0">
        <w:rPr>
          <w:i/>
          <w:szCs w:val="14"/>
        </w:rPr>
        <w:t xml:space="preserve">Cambodia: 2012 Article 4 </w:t>
      </w:r>
      <w:proofErr w:type="gramStart"/>
      <w:r w:rsidRPr="00FD5BA0">
        <w:rPr>
          <w:i/>
          <w:szCs w:val="14"/>
        </w:rPr>
        <w:t>Consultation</w:t>
      </w:r>
      <w:proofErr w:type="gramEnd"/>
      <w:r w:rsidRPr="00FD5BA0">
        <w:rPr>
          <w:szCs w:val="14"/>
        </w:rPr>
        <w:t>.</w:t>
      </w:r>
      <w:r>
        <w:rPr>
          <w:szCs w:val="14"/>
        </w:rPr>
        <w:t xml:space="preserve"> </w:t>
      </w:r>
      <w:r w:rsidRPr="00FD5BA0">
        <w:rPr>
          <w:szCs w:val="14"/>
        </w:rPr>
        <w:t>International Monetary Fund Country Report No. 13/2</w:t>
      </w:r>
      <w:r>
        <w:rPr>
          <w:szCs w:val="14"/>
        </w:rPr>
        <w:t>, p.18.</w:t>
      </w:r>
      <w:r w:rsidRPr="00FD5BA0">
        <w:rPr>
          <w:szCs w:val="14"/>
        </w:rPr>
        <w:t xml:space="preserve"> </w:t>
      </w:r>
    </w:p>
  </w:footnote>
  <w:footnote w:id="10">
    <w:p w:rsidR="007B265A" w:rsidRPr="00A8174D" w:rsidRDefault="007B265A" w:rsidP="009F7712">
      <w:pPr>
        <w:pStyle w:val="FootnoteText"/>
        <w:rPr>
          <w:szCs w:val="14"/>
        </w:rPr>
      </w:pPr>
      <w:r w:rsidRPr="00FD5BA0">
        <w:rPr>
          <w:rStyle w:val="FootnoteReference"/>
          <w:sz w:val="14"/>
          <w:szCs w:val="14"/>
        </w:rPr>
        <w:footnoteRef/>
      </w:r>
      <w:r w:rsidRPr="00FD5BA0">
        <w:rPr>
          <w:szCs w:val="14"/>
        </w:rPr>
        <w:t xml:space="preserve"> </w:t>
      </w:r>
      <w:proofErr w:type="gramStart"/>
      <w:r w:rsidRPr="00FD5BA0">
        <w:rPr>
          <w:color w:val="000000"/>
          <w:szCs w:val="14"/>
        </w:rPr>
        <w:t xml:space="preserve">World Bank, </w:t>
      </w:r>
      <w:r w:rsidRPr="00FD5BA0">
        <w:rPr>
          <w:i/>
          <w:color w:val="000000"/>
          <w:szCs w:val="14"/>
        </w:rPr>
        <w:t xml:space="preserve">World Bank </w:t>
      </w:r>
      <w:r>
        <w:rPr>
          <w:i/>
          <w:color w:val="000000"/>
          <w:szCs w:val="14"/>
        </w:rPr>
        <w:t>d</w:t>
      </w:r>
      <w:r w:rsidRPr="00FD5BA0">
        <w:rPr>
          <w:i/>
          <w:color w:val="000000"/>
          <w:szCs w:val="14"/>
        </w:rPr>
        <w:t xml:space="preserve">evelopment </w:t>
      </w:r>
      <w:r>
        <w:rPr>
          <w:i/>
          <w:color w:val="000000"/>
          <w:szCs w:val="14"/>
        </w:rPr>
        <w:t>i</w:t>
      </w:r>
      <w:r w:rsidRPr="00FD5BA0">
        <w:rPr>
          <w:i/>
          <w:color w:val="000000"/>
          <w:szCs w:val="14"/>
        </w:rPr>
        <w:t>ndicators</w:t>
      </w:r>
      <w:r w:rsidRPr="00FD5BA0">
        <w:rPr>
          <w:color w:val="000000"/>
          <w:szCs w:val="14"/>
        </w:rPr>
        <w:t>, Washington, DC, 2011.</w:t>
      </w:r>
      <w:proofErr w:type="gramEnd"/>
      <w:r w:rsidRPr="00FD5BA0">
        <w:rPr>
          <w:color w:val="000000"/>
          <w:szCs w:val="14"/>
        </w:rPr>
        <w:t xml:space="preserve"> Viewed March 2013, </w:t>
      </w:r>
      <w:hyperlink r:id="rId1" w:history="1">
        <w:r w:rsidRPr="00FD5BA0">
          <w:rPr>
            <w:color w:val="000000"/>
            <w:szCs w:val="14"/>
          </w:rPr>
          <w:t>http://data.worldbank.org/data-catalog/world-development-indicators</w:t>
        </w:r>
      </w:hyperlink>
    </w:p>
  </w:footnote>
  <w:footnote w:id="11">
    <w:p w:rsidR="007B265A" w:rsidRPr="00FD5BA0" w:rsidRDefault="007B265A" w:rsidP="009F7712">
      <w:pPr>
        <w:pStyle w:val="FootnoteText"/>
        <w:rPr>
          <w:szCs w:val="14"/>
        </w:rPr>
      </w:pPr>
      <w:r w:rsidRPr="00FD5BA0">
        <w:rPr>
          <w:rStyle w:val="FootnoteReference"/>
          <w:sz w:val="14"/>
          <w:szCs w:val="14"/>
        </w:rPr>
        <w:footnoteRef/>
      </w:r>
      <w:r w:rsidRPr="00FD5BA0">
        <w:rPr>
          <w:szCs w:val="14"/>
        </w:rPr>
        <w:t xml:space="preserve"> </w:t>
      </w:r>
      <w:proofErr w:type="gramStart"/>
      <w:r w:rsidRPr="00FD5BA0">
        <w:rPr>
          <w:szCs w:val="14"/>
        </w:rPr>
        <w:t xml:space="preserve">World Bank (2012) </w:t>
      </w:r>
      <w:r w:rsidRPr="00FD5BA0">
        <w:rPr>
          <w:i/>
          <w:szCs w:val="14"/>
        </w:rPr>
        <w:t>World Bank East Asia and Pacific economic update 2012</w:t>
      </w:r>
      <w:r w:rsidRPr="00FD5BA0">
        <w:rPr>
          <w:szCs w:val="14"/>
        </w:rPr>
        <w:t>, volume 2, p.54.</w:t>
      </w:r>
      <w:proofErr w:type="gramEnd"/>
    </w:p>
  </w:footnote>
  <w:footnote w:id="12">
    <w:p w:rsidR="007B265A" w:rsidRPr="00A8174D" w:rsidRDefault="007B265A" w:rsidP="000757A1">
      <w:pPr>
        <w:pStyle w:val="FootnoteText"/>
        <w:rPr>
          <w:szCs w:val="14"/>
        </w:rPr>
      </w:pPr>
      <w:r w:rsidRPr="00A8174D">
        <w:rPr>
          <w:rStyle w:val="FootnoteReference"/>
          <w:sz w:val="14"/>
          <w:szCs w:val="14"/>
        </w:rPr>
        <w:footnoteRef/>
      </w:r>
      <w:r w:rsidRPr="00D305A3">
        <w:rPr>
          <w:szCs w:val="14"/>
        </w:rPr>
        <w:t xml:space="preserve"> </w:t>
      </w:r>
      <w:r w:rsidRPr="00FD5BA0">
        <w:rPr>
          <w:i/>
          <w:szCs w:val="14"/>
        </w:rPr>
        <w:t xml:space="preserve">Migration in Cambodia: </w:t>
      </w:r>
      <w:r>
        <w:rPr>
          <w:i/>
          <w:szCs w:val="14"/>
        </w:rPr>
        <w:t>r</w:t>
      </w:r>
      <w:r w:rsidRPr="00FD5BA0">
        <w:rPr>
          <w:i/>
          <w:szCs w:val="14"/>
        </w:rPr>
        <w:t>eport of the Cambodian Rural Urban Migration project</w:t>
      </w:r>
      <w:r w:rsidRPr="00FD5BA0">
        <w:rPr>
          <w:szCs w:val="14"/>
        </w:rPr>
        <w:t>, Ministry of Planning 2012.</w:t>
      </w:r>
    </w:p>
  </w:footnote>
  <w:footnote w:id="13">
    <w:p w:rsidR="007B265A" w:rsidRPr="00A8174D" w:rsidRDefault="007B265A" w:rsidP="009F7712">
      <w:pPr>
        <w:pStyle w:val="FootnoteText"/>
        <w:rPr>
          <w:szCs w:val="14"/>
        </w:rPr>
      </w:pPr>
      <w:r>
        <w:rPr>
          <w:rStyle w:val="FootnoteReference"/>
        </w:rPr>
        <w:footnoteRef/>
      </w:r>
      <w:r>
        <w:t xml:space="preserve"> </w:t>
      </w:r>
      <w:r w:rsidRPr="00FD5BA0">
        <w:rPr>
          <w:i/>
          <w:szCs w:val="14"/>
        </w:rPr>
        <w:t>Migration in Cambodia: report of the Cambodian Rural Urban Migration project</w:t>
      </w:r>
      <w:r w:rsidRPr="00FD5BA0">
        <w:rPr>
          <w:szCs w:val="14"/>
        </w:rPr>
        <w:t>, Ministry of Planning, 2012.</w:t>
      </w:r>
    </w:p>
  </w:footnote>
  <w:footnote w:id="14">
    <w:p w:rsidR="007B265A" w:rsidRPr="00D305A3" w:rsidRDefault="007B265A" w:rsidP="00022B8F">
      <w:pPr>
        <w:pStyle w:val="FootnoteText"/>
        <w:rPr>
          <w:szCs w:val="14"/>
        </w:rPr>
      </w:pPr>
      <w:r w:rsidRPr="00D305A3">
        <w:rPr>
          <w:rStyle w:val="FootnoteReference"/>
          <w:sz w:val="14"/>
          <w:szCs w:val="14"/>
        </w:rPr>
        <w:footnoteRef/>
      </w:r>
      <w:r w:rsidRPr="00D305A3">
        <w:rPr>
          <w:szCs w:val="14"/>
        </w:rPr>
        <w:t xml:space="preserve"> World Health Organization</w:t>
      </w:r>
      <w:r w:rsidRPr="00FD5BA0">
        <w:rPr>
          <w:szCs w:val="14"/>
        </w:rPr>
        <w:t xml:space="preserve">, World Bank, 2011, </w:t>
      </w:r>
      <w:r w:rsidRPr="00FD5BA0">
        <w:rPr>
          <w:i/>
          <w:szCs w:val="14"/>
        </w:rPr>
        <w:t>World report on disability</w:t>
      </w:r>
      <w:r w:rsidRPr="00A8174D">
        <w:rPr>
          <w:szCs w:val="14"/>
        </w:rPr>
        <w:t>.</w:t>
      </w:r>
    </w:p>
  </w:footnote>
  <w:footnote w:id="15">
    <w:p w:rsidR="007B265A" w:rsidRPr="00FD5BA0" w:rsidRDefault="007B265A" w:rsidP="00022B8F">
      <w:pPr>
        <w:pStyle w:val="FootnoteText"/>
        <w:rPr>
          <w:szCs w:val="14"/>
        </w:rPr>
      </w:pPr>
      <w:r w:rsidRPr="00FD5BA0">
        <w:rPr>
          <w:rStyle w:val="FootnoteReference"/>
          <w:sz w:val="14"/>
          <w:szCs w:val="14"/>
        </w:rPr>
        <w:footnoteRef/>
      </w:r>
      <w:r w:rsidRPr="00FD5BA0">
        <w:rPr>
          <w:szCs w:val="14"/>
        </w:rPr>
        <w:t xml:space="preserve"> </w:t>
      </w:r>
      <w:proofErr w:type="gramStart"/>
      <w:r w:rsidRPr="00FD5BA0">
        <w:rPr>
          <w:szCs w:val="14"/>
        </w:rPr>
        <w:t>Based on a population of 14.31 million from 2011 World Bank data (http://data.worldbank.org/country/cambodia).</w:t>
      </w:r>
      <w:proofErr w:type="gramEnd"/>
    </w:p>
  </w:footnote>
  <w:footnote w:id="16">
    <w:p w:rsidR="007B265A" w:rsidRPr="00710C05" w:rsidRDefault="007B265A">
      <w:pPr>
        <w:pStyle w:val="FootnoteText"/>
        <w:rPr>
          <w:szCs w:val="14"/>
        </w:rPr>
      </w:pPr>
      <w:r w:rsidRPr="00710C05">
        <w:rPr>
          <w:rStyle w:val="FootnoteReference"/>
          <w:sz w:val="14"/>
          <w:szCs w:val="14"/>
        </w:rPr>
        <w:footnoteRef/>
      </w:r>
      <w:r w:rsidRPr="00710C05">
        <w:rPr>
          <w:szCs w:val="14"/>
        </w:rPr>
        <w:t xml:space="preserve"> </w:t>
      </w:r>
      <w:proofErr w:type="gramStart"/>
      <w:r w:rsidRPr="00710C05">
        <w:rPr>
          <w:szCs w:val="14"/>
        </w:rPr>
        <w:t>Cambodian Disabled People’s Organisation.</w:t>
      </w:r>
      <w:proofErr w:type="gramEnd"/>
    </w:p>
  </w:footnote>
  <w:footnote w:id="17">
    <w:p w:rsidR="007B265A" w:rsidRPr="00FD5BA0" w:rsidRDefault="007B265A">
      <w:pPr>
        <w:pStyle w:val="FootnoteText"/>
        <w:rPr>
          <w:szCs w:val="14"/>
        </w:rPr>
      </w:pPr>
      <w:r w:rsidRPr="00710C05">
        <w:rPr>
          <w:rStyle w:val="FootnoteReference"/>
          <w:sz w:val="14"/>
          <w:szCs w:val="14"/>
        </w:rPr>
        <w:footnoteRef/>
      </w:r>
      <w:r w:rsidRPr="00FD5BA0">
        <w:rPr>
          <w:szCs w:val="14"/>
        </w:rPr>
        <w:t xml:space="preserve"> </w:t>
      </w:r>
      <w:r w:rsidRPr="00FF39AF">
        <w:rPr>
          <w:rStyle w:val="st"/>
          <w:szCs w:val="14"/>
        </w:rPr>
        <w:t>Cambodia</w:t>
      </w:r>
      <w:r>
        <w:rPr>
          <w:rStyle w:val="st"/>
          <w:szCs w:val="14"/>
        </w:rPr>
        <w:t>n</w:t>
      </w:r>
      <w:r w:rsidRPr="00FF39AF">
        <w:rPr>
          <w:rStyle w:val="st"/>
          <w:szCs w:val="14"/>
        </w:rPr>
        <w:t xml:space="preserve"> </w:t>
      </w:r>
      <w:r w:rsidRPr="00A8174D">
        <w:rPr>
          <w:rStyle w:val="st"/>
          <w:szCs w:val="14"/>
        </w:rPr>
        <w:t xml:space="preserve">Government </w:t>
      </w:r>
      <w:r w:rsidRPr="00D305A3">
        <w:rPr>
          <w:szCs w:val="14"/>
        </w:rPr>
        <w:t>gender assessment 2009</w:t>
      </w:r>
      <w:r w:rsidRPr="00FD5BA0">
        <w:rPr>
          <w:szCs w:val="14"/>
        </w:rPr>
        <w:t xml:space="preserve">, </w:t>
      </w:r>
      <w:r>
        <w:rPr>
          <w:i/>
          <w:szCs w:val="14"/>
        </w:rPr>
        <w:t>Partners for p</w:t>
      </w:r>
      <w:r w:rsidRPr="00000BA0">
        <w:rPr>
          <w:i/>
          <w:szCs w:val="14"/>
        </w:rPr>
        <w:t>revention</w:t>
      </w:r>
      <w:r w:rsidRPr="00FD5BA0">
        <w:rPr>
          <w:szCs w:val="14"/>
        </w:rPr>
        <w:t>.</w:t>
      </w:r>
    </w:p>
  </w:footnote>
  <w:footnote w:id="18">
    <w:p w:rsidR="007B265A" w:rsidRPr="00710C05" w:rsidRDefault="007B265A" w:rsidP="007F2100">
      <w:pPr>
        <w:pStyle w:val="FootnoteText"/>
        <w:rPr>
          <w:szCs w:val="14"/>
        </w:rPr>
      </w:pPr>
      <w:r w:rsidRPr="00FD5BA0">
        <w:rPr>
          <w:rStyle w:val="FootnoteReference"/>
          <w:sz w:val="14"/>
          <w:szCs w:val="14"/>
        </w:rPr>
        <w:footnoteRef/>
      </w:r>
      <w:r w:rsidRPr="00FD5BA0">
        <w:rPr>
          <w:szCs w:val="14"/>
        </w:rPr>
        <w:t xml:space="preserve"> Cambodian Rehabilitation and Development Board and Council for the Development of Cambodia</w:t>
      </w:r>
      <w:r w:rsidRPr="00BD386F">
        <w:rPr>
          <w:szCs w:val="14"/>
        </w:rPr>
        <w:t>,</w:t>
      </w:r>
      <w:r w:rsidRPr="00FD5BA0">
        <w:rPr>
          <w:szCs w:val="14"/>
        </w:rPr>
        <w:t xml:space="preserve"> </w:t>
      </w:r>
      <w:r w:rsidRPr="00FD5BA0">
        <w:rPr>
          <w:i/>
          <w:szCs w:val="14"/>
        </w:rPr>
        <w:t xml:space="preserve">Development cooperation trends in Cambodia and </w:t>
      </w:r>
      <w:r w:rsidRPr="00710C05">
        <w:rPr>
          <w:i/>
          <w:szCs w:val="14"/>
        </w:rPr>
        <w:t>proposals for future monitoring of development partnership</w:t>
      </w:r>
      <w:r w:rsidRPr="00BD386F">
        <w:rPr>
          <w:szCs w:val="14"/>
        </w:rPr>
        <w:t>,</w:t>
      </w:r>
      <w:r w:rsidRPr="00710C05">
        <w:rPr>
          <w:szCs w:val="14"/>
        </w:rPr>
        <w:t xml:space="preserve"> </w:t>
      </w:r>
      <w:r w:rsidRPr="00710C05">
        <w:rPr>
          <w:i/>
          <w:szCs w:val="14"/>
        </w:rPr>
        <w:t>Development Cooperation and Partnerships Strategy (2014</w:t>
      </w:r>
      <w:r w:rsidRPr="00BD386F">
        <w:rPr>
          <w:i/>
          <w:szCs w:val="14"/>
        </w:rPr>
        <w:t>–20</w:t>
      </w:r>
      <w:r w:rsidRPr="00710C05">
        <w:rPr>
          <w:i/>
          <w:szCs w:val="14"/>
        </w:rPr>
        <w:t>18)</w:t>
      </w:r>
      <w:r w:rsidRPr="00BD386F">
        <w:rPr>
          <w:szCs w:val="14"/>
        </w:rPr>
        <w:t>,</w:t>
      </w:r>
      <w:r w:rsidRPr="00710C05">
        <w:rPr>
          <w:szCs w:val="14"/>
        </w:rPr>
        <w:t xml:space="preserve"> Background Paper Number 4</w:t>
      </w:r>
      <w:r w:rsidRPr="00BD386F">
        <w:rPr>
          <w:szCs w:val="14"/>
        </w:rPr>
        <w:t>,</w:t>
      </w:r>
      <w:r w:rsidRPr="00710C05">
        <w:rPr>
          <w:szCs w:val="14"/>
        </w:rPr>
        <w:t xml:space="preserve"> </w:t>
      </w:r>
      <w:r w:rsidRPr="00BD386F">
        <w:rPr>
          <w:szCs w:val="14"/>
        </w:rPr>
        <w:t xml:space="preserve">p.1. </w:t>
      </w:r>
    </w:p>
  </w:footnote>
  <w:footnote w:id="19">
    <w:p w:rsidR="007B265A" w:rsidRPr="00710C05" w:rsidRDefault="007B265A" w:rsidP="007F2100">
      <w:pPr>
        <w:pStyle w:val="FootnoteText"/>
        <w:rPr>
          <w:szCs w:val="14"/>
        </w:rPr>
      </w:pPr>
      <w:r w:rsidRPr="00A8174D">
        <w:rPr>
          <w:rStyle w:val="FootnoteReference"/>
          <w:sz w:val="14"/>
          <w:szCs w:val="14"/>
        </w:rPr>
        <w:footnoteRef/>
      </w:r>
      <w:r w:rsidRPr="00710C05">
        <w:rPr>
          <w:szCs w:val="14"/>
        </w:rPr>
        <w:t xml:space="preserve"> </w:t>
      </w:r>
      <w:proofErr w:type="gramStart"/>
      <w:r w:rsidRPr="00BD386F">
        <w:rPr>
          <w:szCs w:val="14"/>
        </w:rPr>
        <w:t xml:space="preserve">Cambodian Rehabilitation and Development Board </w:t>
      </w:r>
      <w:r w:rsidRPr="00710C05">
        <w:rPr>
          <w:szCs w:val="14"/>
        </w:rPr>
        <w:t xml:space="preserve">and </w:t>
      </w:r>
      <w:r w:rsidRPr="00BD386F">
        <w:rPr>
          <w:szCs w:val="14"/>
        </w:rPr>
        <w:t>Council for the Development</w:t>
      </w:r>
      <w:r w:rsidRPr="00710C05">
        <w:rPr>
          <w:szCs w:val="14"/>
        </w:rPr>
        <w:t>, p.6.</w:t>
      </w:r>
      <w:proofErr w:type="gramEnd"/>
    </w:p>
  </w:footnote>
  <w:footnote w:id="20">
    <w:p w:rsidR="007B265A" w:rsidRPr="00710C05" w:rsidRDefault="007B265A">
      <w:pPr>
        <w:pStyle w:val="FootnoteText"/>
        <w:rPr>
          <w:szCs w:val="14"/>
        </w:rPr>
      </w:pPr>
      <w:r w:rsidRPr="00A8174D">
        <w:rPr>
          <w:rStyle w:val="FootnoteReference"/>
          <w:sz w:val="14"/>
          <w:szCs w:val="14"/>
        </w:rPr>
        <w:footnoteRef/>
      </w:r>
      <w:r w:rsidRPr="00710C05">
        <w:rPr>
          <w:szCs w:val="14"/>
        </w:rPr>
        <w:t xml:space="preserve"> </w:t>
      </w:r>
      <w:proofErr w:type="gramStart"/>
      <w:r w:rsidRPr="00710C05">
        <w:rPr>
          <w:szCs w:val="14"/>
        </w:rPr>
        <w:t>2011 actual disbursement from the Council for the Development of Cambodia.</w:t>
      </w:r>
      <w:proofErr w:type="gramEnd"/>
    </w:p>
  </w:footnote>
  <w:footnote w:id="21">
    <w:p w:rsidR="007B265A" w:rsidRPr="00A8174D" w:rsidRDefault="007B265A" w:rsidP="00B066A8">
      <w:pPr>
        <w:pStyle w:val="FootnoteText"/>
        <w:rPr>
          <w:szCs w:val="14"/>
        </w:rPr>
      </w:pPr>
      <w:r w:rsidRPr="00A8174D">
        <w:rPr>
          <w:rStyle w:val="FootnoteReference"/>
          <w:sz w:val="14"/>
          <w:szCs w:val="14"/>
        </w:rPr>
        <w:footnoteRef/>
      </w:r>
      <w:r w:rsidRPr="00710C05">
        <w:rPr>
          <w:szCs w:val="14"/>
        </w:rPr>
        <w:t xml:space="preserve"> </w:t>
      </w:r>
      <w:r w:rsidRPr="00BD386F">
        <w:rPr>
          <w:szCs w:val="14"/>
        </w:rPr>
        <w:t xml:space="preserve">Cambodian Rehabilitation and Development Board </w:t>
      </w:r>
      <w:r w:rsidRPr="00710C05">
        <w:rPr>
          <w:szCs w:val="14"/>
        </w:rPr>
        <w:t xml:space="preserve">and </w:t>
      </w:r>
      <w:r w:rsidRPr="00BD386F">
        <w:rPr>
          <w:szCs w:val="14"/>
        </w:rPr>
        <w:t xml:space="preserve">Council for the Development </w:t>
      </w:r>
      <w:r w:rsidRPr="00710C05">
        <w:rPr>
          <w:szCs w:val="14"/>
        </w:rPr>
        <w:t>estimate, p.5.</w:t>
      </w:r>
    </w:p>
  </w:footnote>
  <w:footnote w:id="22">
    <w:p w:rsidR="007B265A" w:rsidRDefault="007B265A" w:rsidP="00234875">
      <w:pPr>
        <w:pStyle w:val="FootnoteText"/>
      </w:pPr>
      <w:r>
        <w:rPr>
          <w:rStyle w:val="FootnoteReference"/>
        </w:rPr>
        <w:footnoteRef/>
      </w:r>
      <w:r>
        <w:t xml:space="preserve"> World Bank East Asia Pacific Economic Update, April 2013.</w:t>
      </w:r>
    </w:p>
  </w:footnote>
  <w:footnote w:id="23">
    <w:p w:rsidR="007B265A" w:rsidRDefault="007B265A" w:rsidP="00FA1594">
      <w:pPr>
        <w:pStyle w:val="FootnoteText"/>
        <w:tabs>
          <w:tab w:val="left" w:pos="6779"/>
        </w:tabs>
      </w:pPr>
      <w:r>
        <w:rPr>
          <w:rStyle w:val="FootnoteReference"/>
        </w:rPr>
        <w:footnoteRef/>
      </w:r>
      <w:r>
        <w:t xml:space="preserve"> See performance assessment framework at Annex E for 2015 milestone targets.</w:t>
      </w:r>
      <w:r>
        <w:tab/>
      </w:r>
    </w:p>
  </w:footnote>
  <w:footnote w:id="24">
    <w:p w:rsidR="007B265A" w:rsidRDefault="007B265A" w:rsidP="00635251">
      <w:pPr>
        <w:pStyle w:val="FootnoteText"/>
      </w:pPr>
      <w:r>
        <w:rPr>
          <w:rStyle w:val="FootnoteReference"/>
        </w:rPr>
        <w:footnoteRef/>
      </w:r>
      <w:r>
        <w:t xml:space="preserve"> The 2011 annual program performance report reported changes in health outcomes such as maternal mortality. This data was drawn from the 2010 Cambodia Demographic and Health Survey, which is conducted every five years.</w:t>
      </w:r>
    </w:p>
  </w:footnote>
  <w:footnote w:id="25">
    <w:p w:rsidR="007B265A" w:rsidRDefault="007B265A" w:rsidP="00635251">
      <w:pPr>
        <w:pStyle w:val="FootnoteText"/>
      </w:pPr>
      <w:r>
        <w:rPr>
          <w:rStyle w:val="FootnoteReference"/>
        </w:rPr>
        <w:footnoteRef/>
      </w:r>
      <w:r>
        <w:t xml:space="preserve"> </w:t>
      </w:r>
      <w:r w:rsidRPr="0070445A">
        <w:t>Health Information System</w:t>
      </w:r>
      <w:r>
        <w:t xml:space="preserve"> 2012 data presented at the National Health Congress, 27-28 March 2013, Ministry of Health, Phnom Penh.</w:t>
      </w:r>
    </w:p>
  </w:footnote>
  <w:footnote w:id="26">
    <w:p w:rsidR="00532B9B" w:rsidRDefault="00532B9B">
      <w:pPr>
        <w:pStyle w:val="FootnoteText"/>
      </w:pPr>
      <w:bookmarkStart w:id="0" w:name="_GoBack"/>
      <w:bookmarkEnd w:id="0"/>
      <w:r w:rsidRPr="007844C8">
        <w:rPr>
          <w:rStyle w:val="FootnoteReference"/>
        </w:rPr>
        <w:footnoteRef/>
      </w:r>
      <w:r w:rsidRPr="007844C8">
        <w:t xml:space="preserve"> Prior to 2012-13, Aid Program Performance Reports were called Annual Program Performance Reports</w:t>
      </w:r>
    </w:p>
  </w:footnote>
  <w:footnote w:id="27">
    <w:p w:rsidR="007B265A" w:rsidRDefault="007B265A" w:rsidP="00635251">
      <w:pPr>
        <w:pStyle w:val="FootnoteText"/>
      </w:pPr>
      <w:r>
        <w:rPr>
          <w:rStyle w:val="FootnoteReference"/>
        </w:rPr>
        <w:footnoteRef/>
      </w:r>
      <w:r>
        <w:t xml:space="preserve"> Malaria cases: 62 690 (2011); 45 533 (2012). </w:t>
      </w:r>
    </w:p>
  </w:footnote>
  <w:footnote w:id="28">
    <w:p w:rsidR="007B265A" w:rsidRDefault="007B265A" w:rsidP="00635251">
      <w:pPr>
        <w:pStyle w:val="FootnoteText"/>
      </w:pPr>
      <w:r>
        <w:rPr>
          <w:rStyle w:val="FootnoteReference"/>
        </w:rPr>
        <w:footnoteRef/>
      </w:r>
      <w:r>
        <w:t xml:space="preserve"> </w:t>
      </w:r>
      <w:r w:rsidRPr="00BC50E5">
        <w:t xml:space="preserve">Malaria </w:t>
      </w:r>
      <w:r>
        <w:t>deaths: 93 (2011); 45 (2012).</w:t>
      </w:r>
    </w:p>
  </w:footnote>
  <w:footnote w:id="29">
    <w:p w:rsidR="007B265A" w:rsidRDefault="007B265A" w:rsidP="00E115D8">
      <w:pPr>
        <w:pStyle w:val="FootnoteText"/>
      </w:pPr>
      <w:r>
        <w:rPr>
          <w:rStyle w:val="FootnoteReference"/>
        </w:rPr>
        <w:footnoteRef/>
      </w:r>
      <w:r>
        <w:t xml:space="preserve"> This is discussed in more detail in the risks and management response section below.</w:t>
      </w:r>
    </w:p>
  </w:footnote>
  <w:footnote w:id="30">
    <w:p w:rsidR="007B265A" w:rsidRDefault="007B265A" w:rsidP="00635251">
      <w:pPr>
        <w:pStyle w:val="FootnoteText"/>
      </w:pPr>
      <w:r>
        <w:rPr>
          <w:rStyle w:val="FootnoteReference"/>
        </w:rPr>
        <w:footnoteRef/>
      </w:r>
      <w:r>
        <w:t xml:space="preserve"> </w:t>
      </w:r>
      <w:proofErr w:type="gramStart"/>
      <w:r>
        <w:t>Against diphtheria, whooping cough and tetanus.</w:t>
      </w:r>
      <w:proofErr w:type="gramEnd"/>
    </w:p>
  </w:footnote>
  <w:footnote w:id="31">
    <w:p w:rsidR="007B265A" w:rsidRDefault="007B265A" w:rsidP="00635251">
      <w:pPr>
        <w:pStyle w:val="FootnoteText"/>
      </w:pPr>
      <w:r>
        <w:rPr>
          <w:rStyle w:val="FootnoteReference"/>
        </w:rPr>
        <w:footnoteRef/>
      </w:r>
      <w:r>
        <w:t xml:space="preserve"> </w:t>
      </w:r>
      <w:proofErr w:type="gramStart"/>
      <w:r>
        <w:t>World Health Organization, World Health Statistics 2012.</w:t>
      </w:r>
      <w:proofErr w:type="gramEnd"/>
      <w:r>
        <w:t xml:space="preserve"> </w:t>
      </w:r>
      <w:proofErr w:type="gramStart"/>
      <w:r>
        <w:t>Measured as the highest and lowest wealth quintiles.</w:t>
      </w:r>
      <w:proofErr w:type="gramEnd"/>
    </w:p>
  </w:footnote>
  <w:footnote w:id="32">
    <w:p w:rsidR="007B265A" w:rsidRDefault="007B265A">
      <w:pPr>
        <w:pStyle w:val="FootnoteText"/>
      </w:pPr>
      <w:r>
        <w:rPr>
          <w:rStyle w:val="FootnoteReference"/>
        </w:rPr>
        <w:footnoteRef/>
      </w:r>
      <w:r>
        <w:t xml:space="preserve"> Refer to the performance assessment framework at Annex E for 2015 milestone targets.</w:t>
      </w:r>
    </w:p>
  </w:footnote>
  <w:footnote w:id="33">
    <w:p w:rsidR="007B265A" w:rsidRPr="008660B4" w:rsidRDefault="007B265A" w:rsidP="00847CD7">
      <w:pPr>
        <w:pStyle w:val="BodyText"/>
        <w:rPr>
          <w:szCs w:val="22"/>
        </w:rPr>
      </w:pPr>
      <w:r>
        <w:rPr>
          <w:rStyle w:val="FootnoteReference"/>
        </w:rPr>
        <w:footnoteRef/>
      </w:r>
      <w:r>
        <w:rPr>
          <w:sz w:val="14"/>
          <w:szCs w:val="14"/>
        </w:rPr>
        <w:t xml:space="preserve"> </w:t>
      </w:r>
      <w:r w:rsidRPr="00661ADA">
        <w:rPr>
          <w:rStyle w:val="FootnoteTextChar"/>
        </w:rPr>
        <w:t>Political and Economic Risk Consultancy Ltd, 2012, Review of Cambodian political risks in 2012.</w:t>
      </w:r>
    </w:p>
    <w:p w:rsidR="007B265A" w:rsidRDefault="007B265A" w:rsidP="000B72A8">
      <w:pPr>
        <w:pStyle w:val="FootnoteText"/>
      </w:pPr>
    </w:p>
  </w:footnote>
  <w:footnote w:id="34">
    <w:p w:rsidR="007B265A" w:rsidRDefault="007B265A">
      <w:pPr>
        <w:pStyle w:val="FootnoteText"/>
      </w:pPr>
      <w:r>
        <w:rPr>
          <w:rStyle w:val="FootnoteReference"/>
        </w:rPr>
        <w:footnoteRef/>
      </w:r>
      <w:r>
        <w:t xml:space="preserve"> Refer to the performance assessment framework at Annex E for 2015 milestone targets.</w:t>
      </w:r>
    </w:p>
  </w:footnote>
  <w:footnote w:id="35">
    <w:p w:rsidR="007B265A" w:rsidRDefault="007B265A">
      <w:pPr>
        <w:pStyle w:val="FootnoteText"/>
      </w:pPr>
      <w:r>
        <w:rPr>
          <w:rStyle w:val="FootnoteReference"/>
        </w:rPr>
        <w:footnoteRef/>
      </w:r>
      <w:r>
        <w:t xml:space="preserve">Office of Development Effectiveness (2013), </w:t>
      </w:r>
      <w:r w:rsidRPr="00351BFC">
        <w:rPr>
          <w:i/>
          <w:szCs w:val="14"/>
        </w:rPr>
        <w:t>2012 quality review of annual program performance reports</w:t>
      </w:r>
      <w:r>
        <w:rPr>
          <w:szCs w:val="14"/>
        </w:rPr>
        <w:t>, p.17.</w:t>
      </w:r>
    </w:p>
  </w:footnote>
  <w:footnote w:id="36">
    <w:p w:rsidR="007B265A" w:rsidRDefault="007B265A" w:rsidP="00E06E3B">
      <w:pPr>
        <w:pStyle w:val="FootnoteText"/>
      </w:pPr>
      <w:r>
        <w:rPr>
          <w:rStyle w:val="FootnoteReference"/>
        </w:rPr>
        <w:footnoteRef/>
      </w:r>
      <w:r>
        <w:t xml:space="preserve"> In November 2013 AusAID was integrated into the Department of Foreign Affairs and Trade (DFAT). In this report, ‘AusAID’s is used to refer to the achievements and performance of the program prior to the integration; ‘DFAT’ is used to refer to current and future aid commitments of the integrated department.</w:t>
      </w:r>
    </w:p>
    <w:p w:rsidR="007B265A" w:rsidRDefault="007B265A">
      <w:pPr>
        <w:pStyle w:val="FootnoteText"/>
      </w:pPr>
    </w:p>
  </w:footnote>
  <w:footnote w:id="37">
    <w:p w:rsidR="007B265A" w:rsidRPr="00071B95" w:rsidRDefault="007B265A" w:rsidP="00071B95">
      <w:pPr>
        <w:pStyle w:val="FootnoteText"/>
      </w:pPr>
      <w:r w:rsidRPr="00F77E6A">
        <w:rPr>
          <w:rStyle w:val="FootnoteReference"/>
        </w:rPr>
        <w:footnoteRef/>
      </w:r>
      <w:r w:rsidRPr="00071B95">
        <w:t xml:space="preserve"> ‘</w:t>
      </w:r>
      <w:r>
        <w:t>C</w:t>
      </w:r>
      <w:r w:rsidRPr="00071B95">
        <w:t>ompleted’ means the final version of the report has been received</w:t>
      </w:r>
      <w:r>
        <w:t>.</w:t>
      </w:r>
    </w:p>
  </w:footnote>
  <w:footnote w:id="38">
    <w:p w:rsidR="007B265A" w:rsidRPr="00071B95" w:rsidRDefault="007B265A" w:rsidP="00071B95">
      <w:pPr>
        <w:pStyle w:val="FootnoteText"/>
      </w:pPr>
      <w:r w:rsidRPr="00F77E6A">
        <w:rPr>
          <w:rStyle w:val="FootnoteReference"/>
        </w:rPr>
        <w:footnoteRef/>
      </w:r>
      <w:r w:rsidRPr="00071B95">
        <w:t xml:space="preserve"> </w:t>
      </w:r>
      <w:proofErr w:type="gramStart"/>
      <w:r>
        <w:t>E</w:t>
      </w:r>
      <w:r w:rsidRPr="00071B95">
        <w:t xml:space="preserve">.g. </w:t>
      </w:r>
      <w:r>
        <w:t>m</w:t>
      </w:r>
      <w:r w:rsidRPr="00071B95">
        <w:t xml:space="preserve">id-term review, </w:t>
      </w:r>
      <w:r>
        <w:t>c</w:t>
      </w:r>
      <w:r w:rsidRPr="00071B95">
        <w:t>ompletion report, partner-led evaluation, joint evaluation</w:t>
      </w:r>
      <w:r>
        <w:t>.</w:t>
      </w:r>
      <w:proofErr w:type="gramEnd"/>
    </w:p>
  </w:footnote>
  <w:footnote w:id="39">
    <w:p w:rsidR="007B265A" w:rsidRPr="00551C11" w:rsidRDefault="007B265A" w:rsidP="00071B95">
      <w:pPr>
        <w:pStyle w:val="FootnoteText"/>
      </w:pPr>
      <w:r w:rsidRPr="00F77E6A">
        <w:rPr>
          <w:rStyle w:val="FootnoteReference"/>
        </w:rPr>
        <w:footnoteRef/>
      </w:r>
      <w:r w:rsidRPr="00071B95">
        <w:t xml:space="preserve"> </w:t>
      </w:r>
      <w:proofErr w:type="gramStart"/>
      <w:r>
        <w:t>E</w:t>
      </w:r>
      <w:r w:rsidRPr="00071B95">
        <w:t xml:space="preserve">.g. </w:t>
      </w:r>
      <w:r>
        <w:t>t</w:t>
      </w:r>
      <w:r w:rsidRPr="00071B95">
        <w:t>o inform a future phase of program, to improve existing program; to verify program outcomes</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5A" w:rsidRDefault="007B265A"/>
  <w:p w:rsidR="007B265A" w:rsidRDefault="007B265A">
    <w:r>
      <w:rPr>
        <w:noProof/>
      </w:rPr>
      <w:drawing>
        <wp:anchor distT="0" distB="0" distL="114300" distR="114300" simplePos="0" relativeHeight="251729920" behindDoc="0" locked="0" layoutInCell="1" allowOverlap="1" wp14:anchorId="0379E6C5" wp14:editId="7696CA43">
          <wp:simplePos x="0" y="0"/>
          <wp:positionH relativeFrom="page">
            <wp:align>left</wp:align>
          </wp:positionH>
          <wp:positionV relativeFrom="page">
            <wp:align>top</wp:align>
          </wp:positionV>
          <wp:extent cx="7560000" cy="1440000"/>
          <wp:effectExtent l="0" t="0" r="3175"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5A" w:rsidRDefault="007B265A">
    <w:r>
      <w:rPr>
        <w:noProof/>
      </w:rPr>
      <w:drawing>
        <wp:anchor distT="0" distB="0" distL="114300" distR="114300" simplePos="0" relativeHeight="251741184" behindDoc="0" locked="0" layoutInCell="1" allowOverlap="1" wp14:anchorId="2211E6DF" wp14:editId="23D2C27B">
          <wp:simplePos x="0" y="0"/>
          <wp:positionH relativeFrom="page">
            <wp:align>left</wp:align>
          </wp:positionH>
          <wp:positionV relativeFrom="page">
            <wp:align>top</wp:align>
          </wp:positionV>
          <wp:extent cx="7560000" cy="1890000"/>
          <wp:effectExtent l="0" t="0" r="317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5A" w:rsidRDefault="007B265A"/>
  <w:p w:rsidR="007B265A" w:rsidRDefault="007B265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5A" w:rsidRDefault="007B265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5A" w:rsidRDefault="007B265A"/>
  <w:p w:rsidR="007B265A" w:rsidRDefault="007B265A">
    <w:r>
      <w:rPr>
        <w:noProof/>
      </w:rPr>
      <w:drawing>
        <wp:anchor distT="0" distB="0" distL="114300" distR="114300" simplePos="0" relativeHeight="251746304" behindDoc="0" locked="0" layoutInCell="1" allowOverlap="1" wp14:anchorId="6FE9D84D" wp14:editId="791BECD1">
          <wp:simplePos x="0" y="0"/>
          <wp:positionH relativeFrom="page">
            <wp:align>left</wp:align>
          </wp:positionH>
          <wp:positionV relativeFrom="page">
            <wp:align>top</wp:align>
          </wp:positionV>
          <wp:extent cx="7560000" cy="1440000"/>
          <wp:effectExtent l="0" t="0" r="3175" b="825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5A" w:rsidRDefault="007B265A">
    <w:r>
      <w:rPr>
        <w:noProof/>
      </w:rPr>
      <mc:AlternateContent>
        <mc:Choice Requires="wps">
          <w:drawing>
            <wp:anchor distT="0" distB="0" distL="114300" distR="114300" simplePos="0" relativeHeight="251684864" behindDoc="0" locked="1" layoutInCell="1" allowOverlap="1" wp14:anchorId="6C2E8744" wp14:editId="50083FCD">
              <wp:simplePos x="0" y="0"/>
              <wp:positionH relativeFrom="page">
                <wp:posOffset>0</wp:posOffset>
              </wp:positionH>
              <wp:positionV relativeFrom="page">
                <wp:posOffset>0</wp:posOffset>
              </wp:positionV>
              <wp:extent cx="7560000" cy="1512000"/>
              <wp:effectExtent l="0" t="0" r="3175" b="0"/>
              <wp:wrapTight wrapText="bothSides">
                <wp:wrapPolygon edited="0">
                  <wp:start x="0" y="0"/>
                  <wp:lineTo x="0" y="21228"/>
                  <wp:lineTo x="21555" y="21228"/>
                  <wp:lineTo x="21555" y="0"/>
                  <wp:lineTo x="0" y="0"/>
                </wp:wrapPolygon>
              </wp:wrapTight>
              <wp:docPr id="4" name="Rectangle 4" descr="Australian Aid Factsheets oliv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5120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Australian Aid Factsheets olive-2" style="position:absolute;margin-left:0;margin-top:0;width:595.3pt;height:119.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f6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" stroked="f" strokecolor="#4a7ebb" strokeweight="1.5pt">
              <v:fill r:id="rId2" o:title="Australian Aid Factsheets olive-2" recolor="t" type="frame"/>
              <v:shadow opacity="22938f" offset="0"/>
              <v:textbox inset=",7.2pt,,7.2pt"/>
              <w10:wrap type="tight" anchorx="page" anchory="page"/>
              <w10:anchorlock/>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5A" w:rsidRDefault="007B265A"/>
  <w:p w:rsidR="007B265A" w:rsidRDefault="007B265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5A" w:rsidRDefault="007B26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30B3EA7"/>
    <w:multiLevelType w:val="hybridMultilevel"/>
    <w:tmpl w:val="3B78FF14"/>
    <w:lvl w:ilvl="0" w:tplc="3F66C1D2">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9678E73C">
      <w:start w:val="1"/>
      <w:numFmt w:val="bullet"/>
      <w:lvlText w:val="-"/>
      <w:lvlJc w:val="left"/>
      <w:pPr>
        <w:tabs>
          <w:tab w:val="num" w:pos="1800"/>
        </w:tabs>
        <w:ind w:left="1800" w:hanging="360"/>
      </w:pPr>
      <w:rPr>
        <w:rFonts w:ascii="Arial" w:eastAsia="Times New Roman" w:hAnsi="Arial" w:cs="Arial"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C94141"/>
    <w:multiLevelType w:val="hybridMultilevel"/>
    <w:tmpl w:val="20166352"/>
    <w:lvl w:ilvl="0" w:tplc="BC82471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2B798C"/>
    <w:multiLevelType w:val="hybridMultilevel"/>
    <w:tmpl w:val="E7EAA650"/>
    <w:lvl w:ilvl="0" w:tplc="9678E73C">
      <w:start w:val="1"/>
      <w:numFmt w:val="bullet"/>
      <w:pStyle w:val="ListParagraph"/>
      <w:lvlText w:val="-"/>
      <w:lvlJc w:val="left"/>
      <w:pPr>
        <w:ind w:left="357" w:hanging="360"/>
      </w:pPr>
      <w:rPr>
        <w:rFonts w:ascii="Arial" w:eastAsia="Times New Roman" w:hAnsi="Arial" w:cs="Arial" w:hint="default"/>
        <w:color w:val="auto"/>
        <w:sz w:val="24"/>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8">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28A7559A"/>
    <w:multiLevelType w:val="hybridMultilevel"/>
    <w:tmpl w:val="23EC7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1B1D2A"/>
    <w:multiLevelType w:val="hybridMultilevel"/>
    <w:tmpl w:val="4FEA425E"/>
    <w:lvl w:ilvl="0" w:tplc="71EE501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13">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8">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0">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020CDF"/>
    <w:multiLevelType w:val="hybridMultilevel"/>
    <w:tmpl w:val="DCF4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6"/>
  </w:num>
  <w:num w:numId="4">
    <w:abstractNumId w:val="16"/>
  </w:num>
  <w:num w:numId="5">
    <w:abstractNumId w:val="4"/>
  </w:num>
  <w:num w:numId="6">
    <w:abstractNumId w:val="15"/>
  </w:num>
  <w:num w:numId="7">
    <w:abstractNumId w:val="13"/>
  </w:num>
  <w:num w:numId="8">
    <w:abstractNumId w:val="11"/>
  </w:num>
  <w:num w:numId="9">
    <w:abstractNumId w:val="18"/>
  </w:num>
  <w:num w:numId="10">
    <w:abstractNumId w:val="3"/>
  </w:num>
  <w:num w:numId="11">
    <w:abstractNumId w:val="14"/>
  </w:num>
  <w:num w:numId="12">
    <w:abstractNumId w:val="20"/>
  </w:num>
  <w:num w:numId="13">
    <w:abstractNumId w:val="7"/>
  </w:num>
  <w:num w:numId="14">
    <w:abstractNumId w:val="22"/>
  </w:num>
  <w:num w:numId="15">
    <w:abstractNumId w:val="23"/>
  </w:num>
  <w:num w:numId="16">
    <w:abstractNumId w:val="10"/>
  </w:num>
  <w:num w:numId="17">
    <w:abstractNumId w:val="0"/>
  </w:num>
  <w:num w:numId="18">
    <w:abstractNumId w:val="1"/>
  </w:num>
  <w:num w:numId="19">
    <w:abstractNumId w:val="2"/>
  </w:num>
  <w:num w:numId="20">
    <w:abstractNumId w:val="12"/>
  </w:num>
  <w:num w:numId="21">
    <w:abstractNumId w:val="5"/>
  </w:num>
  <w:num w:numId="22">
    <w:abstractNumId w:val="9"/>
  </w:num>
  <w:num w:numId="23">
    <w:abstractNumId w:val="21"/>
  </w:num>
  <w:num w:numId="2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0BA0"/>
    <w:rsid w:val="00000FAB"/>
    <w:rsid w:val="00002DDC"/>
    <w:rsid w:val="000039CF"/>
    <w:rsid w:val="00004670"/>
    <w:rsid w:val="000054B2"/>
    <w:rsid w:val="00010C43"/>
    <w:rsid w:val="000140B8"/>
    <w:rsid w:val="000143D9"/>
    <w:rsid w:val="00014A06"/>
    <w:rsid w:val="00014A12"/>
    <w:rsid w:val="00014EBE"/>
    <w:rsid w:val="00020121"/>
    <w:rsid w:val="00021A9E"/>
    <w:rsid w:val="00021F54"/>
    <w:rsid w:val="00022B8F"/>
    <w:rsid w:val="00023625"/>
    <w:rsid w:val="000249ED"/>
    <w:rsid w:val="00026E87"/>
    <w:rsid w:val="00030111"/>
    <w:rsid w:val="00031100"/>
    <w:rsid w:val="00033AAC"/>
    <w:rsid w:val="00035E90"/>
    <w:rsid w:val="00037BA3"/>
    <w:rsid w:val="0004015A"/>
    <w:rsid w:val="00044520"/>
    <w:rsid w:val="00046C54"/>
    <w:rsid w:val="000515EA"/>
    <w:rsid w:val="00052527"/>
    <w:rsid w:val="0005631C"/>
    <w:rsid w:val="00061070"/>
    <w:rsid w:val="00061B8A"/>
    <w:rsid w:val="00063AD2"/>
    <w:rsid w:val="00064CDA"/>
    <w:rsid w:val="00065930"/>
    <w:rsid w:val="00067561"/>
    <w:rsid w:val="00071B95"/>
    <w:rsid w:val="000733A2"/>
    <w:rsid w:val="000745E2"/>
    <w:rsid w:val="000757A1"/>
    <w:rsid w:val="00076616"/>
    <w:rsid w:val="000774FD"/>
    <w:rsid w:val="000864F3"/>
    <w:rsid w:val="00086650"/>
    <w:rsid w:val="00090224"/>
    <w:rsid w:val="000946CB"/>
    <w:rsid w:val="00094A52"/>
    <w:rsid w:val="000979A0"/>
    <w:rsid w:val="000A1618"/>
    <w:rsid w:val="000A2BC3"/>
    <w:rsid w:val="000A75BC"/>
    <w:rsid w:val="000B1795"/>
    <w:rsid w:val="000B3121"/>
    <w:rsid w:val="000B72A8"/>
    <w:rsid w:val="000C29BF"/>
    <w:rsid w:val="000C444B"/>
    <w:rsid w:val="000C55F4"/>
    <w:rsid w:val="000C6080"/>
    <w:rsid w:val="000C60A8"/>
    <w:rsid w:val="000D0591"/>
    <w:rsid w:val="000D1688"/>
    <w:rsid w:val="000E0F0C"/>
    <w:rsid w:val="000E1268"/>
    <w:rsid w:val="000E20E8"/>
    <w:rsid w:val="000E7297"/>
    <w:rsid w:val="000E7D3E"/>
    <w:rsid w:val="000F050B"/>
    <w:rsid w:val="000F50AE"/>
    <w:rsid w:val="00100AA2"/>
    <w:rsid w:val="00100EFA"/>
    <w:rsid w:val="0010300E"/>
    <w:rsid w:val="00103D10"/>
    <w:rsid w:val="0011180F"/>
    <w:rsid w:val="00112136"/>
    <w:rsid w:val="00112E97"/>
    <w:rsid w:val="00114137"/>
    <w:rsid w:val="00114F43"/>
    <w:rsid w:val="00116487"/>
    <w:rsid w:val="00117369"/>
    <w:rsid w:val="00120FC7"/>
    <w:rsid w:val="00123260"/>
    <w:rsid w:val="00123375"/>
    <w:rsid w:val="0012414A"/>
    <w:rsid w:val="00127383"/>
    <w:rsid w:val="001313A1"/>
    <w:rsid w:val="00132B53"/>
    <w:rsid w:val="001366B4"/>
    <w:rsid w:val="00137209"/>
    <w:rsid w:val="001401A3"/>
    <w:rsid w:val="00141A30"/>
    <w:rsid w:val="001426EC"/>
    <w:rsid w:val="00142942"/>
    <w:rsid w:val="00142FE5"/>
    <w:rsid w:val="0014411B"/>
    <w:rsid w:val="001448D0"/>
    <w:rsid w:val="001557A2"/>
    <w:rsid w:val="001568B9"/>
    <w:rsid w:val="001612CE"/>
    <w:rsid w:val="0016544D"/>
    <w:rsid w:val="00165B93"/>
    <w:rsid w:val="00165FFB"/>
    <w:rsid w:val="0017099B"/>
    <w:rsid w:val="00173C6E"/>
    <w:rsid w:val="00174E2D"/>
    <w:rsid w:val="00174F50"/>
    <w:rsid w:val="00180B19"/>
    <w:rsid w:val="00181239"/>
    <w:rsid w:val="0018196F"/>
    <w:rsid w:val="001829BB"/>
    <w:rsid w:val="00184432"/>
    <w:rsid w:val="00192498"/>
    <w:rsid w:val="00194806"/>
    <w:rsid w:val="00196388"/>
    <w:rsid w:val="001A068B"/>
    <w:rsid w:val="001B19E4"/>
    <w:rsid w:val="001B1A0C"/>
    <w:rsid w:val="001B2366"/>
    <w:rsid w:val="001B3FE0"/>
    <w:rsid w:val="001B5DFC"/>
    <w:rsid w:val="001B5E92"/>
    <w:rsid w:val="001B7DC6"/>
    <w:rsid w:val="001C0C40"/>
    <w:rsid w:val="001C1EA0"/>
    <w:rsid w:val="001C2EE7"/>
    <w:rsid w:val="001C4E6F"/>
    <w:rsid w:val="001C507E"/>
    <w:rsid w:val="001C700E"/>
    <w:rsid w:val="001C7117"/>
    <w:rsid w:val="001D20FC"/>
    <w:rsid w:val="001D210A"/>
    <w:rsid w:val="001D37AC"/>
    <w:rsid w:val="001E19B2"/>
    <w:rsid w:val="001E2C7D"/>
    <w:rsid w:val="001E41F7"/>
    <w:rsid w:val="001E4579"/>
    <w:rsid w:val="001E797C"/>
    <w:rsid w:val="001F1BB0"/>
    <w:rsid w:val="001F1D9C"/>
    <w:rsid w:val="001F2117"/>
    <w:rsid w:val="001F2B23"/>
    <w:rsid w:val="001F509C"/>
    <w:rsid w:val="001F53E3"/>
    <w:rsid w:val="001F5BEB"/>
    <w:rsid w:val="001F7480"/>
    <w:rsid w:val="00200383"/>
    <w:rsid w:val="0020390F"/>
    <w:rsid w:val="002054F7"/>
    <w:rsid w:val="002115BD"/>
    <w:rsid w:val="002118D1"/>
    <w:rsid w:val="0021193E"/>
    <w:rsid w:val="002126A4"/>
    <w:rsid w:val="00212DBD"/>
    <w:rsid w:val="00213346"/>
    <w:rsid w:val="00213D0D"/>
    <w:rsid w:val="0022168B"/>
    <w:rsid w:val="00221DBC"/>
    <w:rsid w:val="00224AD3"/>
    <w:rsid w:val="00225890"/>
    <w:rsid w:val="00231007"/>
    <w:rsid w:val="00231C7E"/>
    <w:rsid w:val="00231D45"/>
    <w:rsid w:val="00234875"/>
    <w:rsid w:val="00235BB0"/>
    <w:rsid w:val="00235E83"/>
    <w:rsid w:val="00237C4B"/>
    <w:rsid w:val="00246E5F"/>
    <w:rsid w:val="002500C4"/>
    <w:rsid w:val="002500F9"/>
    <w:rsid w:val="00252591"/>
    <w:rsid w:val="00255E33"/>
    <w:rsid w:val="002603B3"/>
    <w:rsid w:val="00260FD2"/>
    <w:rsid w:val="002654CC"/>
    <w:rsid w:val="00270CAB"/>
    <w:rsid w:val="00273952"/>
    <w:rsid w:val="00276861"/>
    <w:rsid w:val="002843D7"/>
    <w:rsid w:val="002849B4"/>
    <w:rsid w:val="002868FA"/>
    <w:rsid w:val="0028744D"/>
    <w:rsid w:val="00291138"/>
    <w:rsid w:val="002A1935"/>
    <w:rsid w:val="002A22F7"/>
    <w:rsid w:val="002A363A"/>
    <w:rsid w:val="002A3896"/>
    <w:rsid w:val="002A66D3"/>
    <w:rsid w:val="002B1158"/>
    <w:rsid w:val="002B433A"/>
    <w:rsid w:val="002B79D4"/>
    <w:rsid w:val="002C39D4"/>
    <w:rsid w:val="002C6EBD"/>
    <w:rsid w:val="002D140A"/>
    <w:rsid w:val="002D1CC3"/>
    <w:rsid w:val="002D462F"/>
    <w:rsid w:val="002D6914"/>
    <w:rsid w:val="002E1573"/>
    <w:rsid w:val="002E30CB"/>
    <w:rsid w:val="002E6A87"/>
    <w:rsid w:val="002F0B8E"/>
    <w:rsid w:val="002F0C22"/>
    <w:rsid w:val="002F479A"/>
    <w:rsid w:val="002F4B82"/>
    <w:rsid w:val="002F5A14"/>
    <w:rsid w:val="002F675E"/>
    <w:rsid w:val="002F6A24"/>
    <w:rsid w:val="002F6D7E"/>
    <w:rsid w:val="002F6F97"/>
    <w:rsid w:val="00301133"/>
    <w:rsid w:val="00303038"/>
    <w:rsid w:val="00303716"/>
    <w:rsid w:val="0030606E"/>
    <w:rsid w:val="003067D4"/>
    <w:rsid w:val="00310426"/>
    <w:rsid w:val="00310501"/>
    <w:rsid w:val="00312452"/>
    <w:rsid w:val="00314EB5"/>
    <w:rsid w:val="00315D13"/>
    <w:rsid w:val="003223F8"/>
    <w:rsid w:val="0032486D"/>
    <w:rsid w:val="00324FD6"/>
    <w:rsid w:val="003260C0"/>
    <w:rsid w:val="00326997"/>
    <w:rsid w:val="00326B5A"/>
    <w:rsid w:val="00327359"/>
    <w:rsid w:val="003327F8"/>
    <w:rsid w:val="00335205"/>
    <w:rsid w:val="00336D7D"/>
    <w:rsid w:val="00341177"/>
    <w:rsid w:val="0034399C"/>
    <w:rsid w:val="00344808"/>
    <w:rsid w:val="00344ADD"/>
    <w:rsid w:val="00345B8E"/>
    <w:rsid w:val="00346119"/>
    <w:rsid w:val="00346360"/>
    <w:rsid w:val="00347E98"/>
    <w:rsid w:val="00351ACA"/>
    <w:rsid w:val="00351BFC"/>
    <w:rsid w:val="00352AE5"/>
    <w:rsid w:val="00352BAB"/>
    <w:rsid w:val="003539C3"/>
    <w:rsid w:val="003553D0"/>
    <w:rsid w:val="00355E03"/>
    <w:rsid w:val="00357AF7"/>
    <w:rsid w:val="00360662"/>
    <w:rsid w:val="00366A28"/>
    <w:rsid w:val="00372E1B"/>
    <w:rsid w:val="003763C7"/>
    <w:rsid w:val="00383294"/>
    <w:rsid w:val="00393152"/>
    <w:rsid w:val="00395CFA"/>
    <w:rsid w:val="003A2D7B"/>
    <w:rsid w:val="003A310C"/>
    <w:rsid w:val="003A3850"/>
    <w:rsid w:val="003A3863"/>
    <w:rsid w:val="003A74BF"/>
    <w:rsid w:val="003B0E31"/>
    <w:rsid w:val="003B17B9"/>
    <w:rsid w:val="003B2D6D"/>
    <w:rsid w:val="003B4AFE"/>
    <w:rsid w:val="003C7721"/>
    <w:rsid w:val="003D081D"/>
    <w:rsid w:val="003D1127"/>
    <w:rsid w:val="003D2F7B"/>
    <w:rsid w:val="003D412A"/>
    <w:rsid w:val="003D5C41"/>
    <w:rsid w:val="003E440C"/>
    <w:rsid w:val="003E4982"/>
    <w:rsid w:val="003F4746"/>
    <w:rsid w:val="00404A44"/>
    <w:rsid w:val="0040512D"/>
    <w:rsid w:val="00410550"/>
    <w:rsid w:val="00413539"/>
    <w:rsid w:val="004138B0"/>
    <w:rsid w:val="004140D0"/>
    <w:rsid w:val="00415A92"/>
    <w:rsid w:val="004169C8"/>
    <w:rsid w:val="004228CD"/>
    <w:rsid w:val="00426354"/>
    <w:rsid w:val="00443639"/>
    <w:rsid w:val="00444CF9"/>
    <w:rsid w:val="00445A3B"/>
    <w:rsid w:val="00445A57"/>
    <w:rsid w:val="004528B7"/>
    <w:rsid w:val="0045295D"/>
    <w:rsid w:val="0045366E"/>
    <w:rsid w:val="00453805"/>
    <w:rsid w:val="004658DC"/>
    <w:rsid w:val="004667E2"/>
    <w:rsid w:val="004669D0"/>
    <w:rsid w:val="004674B0"/>
    <w:rsid w:val="00472D4E"/>
    <w:rsid w:val="00473475"/>
    <w:rsid w:val="00476352"/>
    <w:rsid w:val="00482FBA"/>
    <w:rsid w:val="004963A5"/>
    <w:rsid w:val="0049672C"/>
    <w:rsid w:val="004A2244"/>
    <w:rsid w:val="004A484A"/>
    <w:rsid w:val="004A7400"/>
    <w:rsid w:val="004B17E7"/>
    <w:rsid w:val="004B5412"/>
    <w:rsid w:val="004B68C0"/>
    <w:rsid w:val="004C2468"/>
    <w:rsid w:val="004C24D9"/>
    <w:rsid w:val="004C4A3E"/>
    <w:rsid w:val="004C4C24"/>
    <w:rsid w:val="004C660D"/>
    <w:rsid w:val="004D1529"/>
    <w:rsid w:val="004D19CE"/>
    <w:rsid w:val="004D2AF0"/>
    <w:rsid w:val="004D3C45"/>
    <w:rsid w:val="004D4522"/>
    <w:rsid w:val="004E06B8"/>
    <w:rsid w:val="004E31D3"/>
    <w:rsid w:val="004E5E52"/>
    <w:rsid w:val="004E6400"/>
    <w:rsid w:val="004E6E33"/>
    <w:rsid w:val="004E75BF"/>
    <w:rsid w:val="004E7948"/>
    <w:rsid w:val="004F521E"/>
    <w:rsid w:val="00503974"/>
    <w:rsid w:val="0050499E"/>
    <w:rsid w:val="00504C9F"/>
    <w:rsid w:val="0050529F"/>
    <w:rsid w:val="0050659F"/>
    <w:rsid w:val="00513BD9"/>
    <w:rsid w:val="00513C17"/>
    <w:rsid w:val="00514B5E"/>
    <w:rsid w:val="0052132A"/>
    <w:rsid w:val="0052286C"/>
    <w:rsid w:val="00522AB9"/>
    <w:rsid w:val="00526076"/>
    <w:rsid w:val="00526215"/>
    <w:rsid w:val="005265B9"/>
    <w:rsid w:val="00531992"/>
    <w:rsid w:val="00532408"/>
    <w:rsid w:val="00532B9B"/>
    <w:rsid w:val="005330C4"/>
    <w:rsid w:val="00533533"/>
    <w:rsid w:val="00534B00"/>
    <w:rsid w:val="00535BF3"/>
    <w:rsid w:val="00535E24"/>
    <w:rsid w:val="005440F6"/>
    <w:rsid w:val="005450EE"/>
    <w:rsid w:val="0054557A"/>
    <w:rsid w:val="00546DD6"/>
    <w:rsid w:val="005505F9"/>
    <w:rsid w:val="0055101B"/>
    <w:rsid w:val="0055771D"/>
    <w:rsid w:val="00567FCF"/>
    <w:rsid w:val="005706EC"/>
    <w:rsid w:val="00575295"/>
    <w:rsid w:val="00575C17"/>
    <w:rsid w:val="00575C9E"/>
    <w:rsid w:val="00576A84"/>
    <w:rsid w:val="00580CBA"/>
    <w:rsid w:val="0058185F"/>
    <w:rsid w:val="005828B1"/>
    <w:rsid w:val="00582B1C"/>
    <w:rsid w:val="005845CB"/>
    <w:rsid w:val="0058498A"/>
    <w:rsid w:val="00586350"/>
    <w:rsid w:val="00590D60"/>
    <w:rsid w:val="00592A3D"/>
    <w:rsid w:val="00594C05"/>
    <w:rsid w:val="00594E7B"/>
    <w:rsid w:val="005A18C5"/>
    <w:rsid w:val="005A5C5F"/>
    <w:rsid w:val="005B6354"/>
    <w:rsid w:val="005B7C71"/>
    <w:rsid w:val="005C4A6B"/>
    <w:rsid w:val="005C4FB0"/>
    <w:rsid w:val="005D2A59"/>
    <w:rsid w:val="005D40E6"/>
    <w:rsid w:val="005F0C00"/>
    <w:rsid w:val="005F33F2"/>
    <w:rsid w:val="005F698D"/>
    <w:rsid w:val="006050A9"/>
    <w:rsid w:val="00606B66"/>
    <w:rsid w:val="00610C3C"/>
    <w:rsid w:val="006147F0"/>
    <w:rsid w:val="006164DD"/>
    <w:rsid w:val="00617F30"/>
    <w:rsid w:val="00617FF9"/>
    <w:rsid w:val="00620677"/>
    <w:rsid w:val="00624EA6"/>
    <w:rsid w:val="00627E3D"/>
    <w:rsid w:val="0063399D"/>
    <w:rsid w:val="00635251"/>
    <w:rsid w:val="00635CD6"/>
    <w:rsid w:val="006406B1"/>
    <w:rsid w:val="00642D98"/>
    <w:rsid w:val="00642E50"/>
    <w:rsid w:val="00646049"/>
    <w:rsid w:val="0065079C"/>
    <w:rsid w:val="00650C2F"/>
    <w:rsid w:val="00653334"/>
    <w:rsid w:val="00653807"/>
    <w:rsid w:val="00655367"/>
    <w:rsid w:val="00657108"/>
    <w:rsid w:val="00660A7B"/>
    <w:rsid w:val="00661593"/>
    <w:rsid w:val="00661ADA"/>
    <w:rsid w:val="00663909"/>
    <w:rsid w:val="006671BC"/>
    <w:rsid w:val="00672677"/>
    <w:rsid w:val="00672AD9"/>
    <w:rsid w:val="006744D8"/>
    <w:rsid w:val="00675F6B"/>
    <w:rsid w:val="00677EF0"/>
    <w:rsid w:val="00680679"/>
    <w:rsid w:val="00683FFB"/>
    <w:rsid w:val="006919D3"/>
    <w:rsid w:val="00695279"/>
    <w:rsid w:val="006960A1"/>
    <w:rsid w:val="00697E76"/>
    <w:rsid w:val="006A18D5"/>
    <w:rsid w:val="006A5CCA"/>
    <w:rsid w:val="006A6B3A"/>
    <w:rsid w:val="006A723E"/>
    <w:rsid w:val="006B055B"/>
    <w:rsid w:val="006B082C"/>
    <w:rsid w:val="006B11C4"/>
    <w:rsid w:val="006C1D57"/>
    <w:rsid w:val="006C1F38"/>
    <w:rsid w:val="006C382A"/>
    <w:rsid w:val="006C6800"/>
    <w:rsid w:val="006D24B9"/>
    <w:rsid w:val="006D2E37"/>
    <w:rsid w:val="006E7E9F"/>
    <w:rsid w:val="006E7FA8"/>
    <w:rsid w:val="006F4623"/>
    <w:rsid w:val="006F4B40"/>
    <w:rsid w:val="006F5A97"/>
    <w:rsid w:val="007003F6"/>
    <w:rsid w:val="00701FEA"/>
    <w:rsid w:val="00702E1C"/>
    <w:rsid w:val="00702E2E"/>
    <w:rsid w:val="0070445A"/>
    <w:rsid w:val="007049AC"/>
    <w:rsid w:val="007058BC"/>
    <w:rsid w:val="00706DE1"/>
    <w:rsid w:val="00710C05"/>
    <w:rsid w:val="007110C9"/>
    <w:rsid w:val="007147DD"/>
    <w:rsid w:val="00714BA3"/>
    <w:rsid w:val="00721098"/>
    <w:rsid w:val="00725C1D"/>
    <w:rsid w:val="00731AF9"/>
    <w:rsid w:val="00732B5A"/>
    <w:rsid w:val="00733B75"/>
    <w:rsid w:val="00736B46"/>
    <w:rsid w:val="00741ECA"/>
    <w:rsid w:val="00745074"/>
    <w:rsid w:val="0074517A"/>
    <w:rsid w:val="00745FE3"/>
    <w:rsid w:val="00750405"/>
    <w:rsid w:val="00750E77"/>
    <w:rsid w:val="007514D3"/>
    <w:rsid w:val="007603AF"/>
    <w:rsid w:val="0076047E"/>
    <w:rsid w:val="0076368F"/>
    <w:rsid w:val="00764322"/>
    <w:rsid w:val="00766BCF"/>
    <w:rsid w:val="00767F39"/>
    <w:rsid w:val="007726E1"/>
    <w:rsid w:val="007736B4"/>
    <w:rsid w:val="00773F84"/>
    <w:rsid w:val="00774C9B"/>
    <w:rsid w:val="00774F4B"/>
    <w:rsid w:val="00777BD3"/>
    <w:rsid w:val="00781023"/>
    <w:rsid w:val="007833AE"/>
    <w:rsid w:val="0078366A"/>
    <w:rsid w:val="00784157"/>
    <w:rsid w:val="007844C8"/>
    <w:rsid w:val="00786754"/>
    <w:rsid w:val="00791BA0"/>
    <w:rsid w:val="0079256F"/>
    <w:rsid w:val="007942C1"/>
    <w:rsid w:val="007953F2"/>
    <w:rsid w:val="00796C11"/>
    <w:rsid w:val="007A0139"/>
    <w:rsid w:val="007A0B11"/>
    <w:rsid w:val="007A2AF9"/>
    <w:rsid w:val="007A3C6A"/>
    <w:rsid w:val="007A5821"/>
    <w:rsid w:val="007A5D06"/>
    <w:rsid w:val="007A79A2"/>
    <w:rsid w:val="007B1906"/>
    <w:rsid w:val="007B265A"/>
    <w:rsid w:val="007B315F"/>
    <w:rsid w:val="007B51E2"/>
    <w:rsid w:val="007B72D6"/>
    <w:rsid w:val="007C0647"/>
    <w:rsid w:val="007C0655"/>
    <w:rsid w:val="007C1451"/>
    <w:rsid w:val="007C3C84"/>
    <w:rsid w:val="007D0B3E"/>
    <w:rsid w:val="007D0F8B"/>
    <w:rsid w:val="007D7D5F"/>
    <w:rsid w:val="007E03BA"/>
    <w:rsid w:val="007E0E44"/>
    <w:rsid w:val="007E2A95"/>
    <w:rsid w:val="007E2D09"/>
    <w:rsid w:val="007E5DFA"/>
    <w:rsid w:val="007F13C4"/>
    <w:rsid w:val="007F2100"/>
    <w:rsid w:val="007F2841"/>
    <w:rsid w:val="007F44F8"/>
    <w:rsid w:val="007F5031"/>
    <w:rsid w:val="007F6162"/>
    <w:rsid w:val="00802A66"/>
    <w:rsid w:val="00804EF6"/>
    <w:rsid w:val="00805C5A"/>
    <w:rsid w:val="00810037"/>
    <w:rsid w:val="00821541"/>
    <w:rsid w:val="00821E09"/>
    <w:rsid w:val="0082225D"/>
    <w:rsid w:val="008223DD"/>
    <w:rsid w:val="0082528E"/>
    <w:rsid w:val="00826FA7"/>
    <w:rsid w:val="00830647"/>
    <w:rsid w:val="00830E80"/>
    <w:rsid w:val="0083223A"/>
    <w:rsid w:val="00835CAA"/>
    <w:rsid w:val="00835F44"/>
    <w:rsid w:val="00836117"/>
    <w:rsid w:val="0084129E"/>
    <w:rsid w:val="008435EC"/>
    <w:rsid w:val="00845722"/>
    <w:rsid w:val="00847CD7"/>
    <w:rsid w:val="00847E2B"/>
    <w:rsid w:val="00850454"/>
    <w:rsid w:val="008509B8"/>
    <w:rsid w:val="00852A6A"/>
    <w:rsid w:val="0085521B"/>
    <w:rsid w:val="00862605"/>
    <w:rsid w:val="00862810"/>
    <w:rsid w:val="008636AF"/>
    <w:rsid w:val="00863C13"/>
    <w:rsid w:val="00864CF3"/>
    <w:rsid w:val="00866B6E"/>
    <w:rsid w:val="00866F44"/>
    <w:rsid w:val="0086768C"/>
    <w:rsid w:val="00867729"/>
    <w:rsid w:val="00867C8A"/>
    <w:rsid w:val="008810FA"/>
    <w:rsid w:val="00881F86"/>
    <w:rsid w:val="008840C0"/>
    <w:rsid w:val="00884878"/>
    <w:rsid w:val="00885B9C"/>
    <w:rsid w:val="00886ACB"/>
    <w:rsid w:val="008900BE"/>
    <w:rsid w:val="00893D70"/>
    <w:rsid w:val="008947A8"/>
    <w:rsid w:val="008961E7"/>
    <w:rsid w:val="00896927"/>
    <w:rsid w:val="008973EA"/>
    <w:rsid w:val="00897E16"/>
    <w:rsid w:val="008A0CB2"/>
    <w:rsid w:val="008A144E"/>
    <w:rsid w:val="008A45C9"/>
    <w:rsid w:val="008A5C6F"/>
    <w:rsid w:val="008B20BF"/>
    <w:rsid w:val="008B5F65"/>
    <w:rsid w:val="008C0122"/>
    <w:rsid w:val="008C3AE8"/>
    <w:rsid w:val="008D1B19"/>
    <w:rsid w:val="008D27EF"/>
    <w:rsid w:val="008D2DC8"/>
    <w:rsid w:val="008D34F9"/>
    <w:rsid w:val="008D4407"/>
    <w:rsid w:val="008D528B"/>
    <w:rsid w:val="008D5B7D"/>
    <w:rsid w:val="008D745E"/>
    <w:rsid w:val="008E1919"/>
    <w:rsid w:val="008F06F2"/>
    <w:rsid w:val="008F18E3"/>
    <w:rsid w:val="008F1B6D"/>
    <w:rsid w:val="008F4C4B"/>
    <w:rsid w:val="008F5D80"/>
    <w:rsid w:val="00910DC7"/>
    <w:rsid w:val="009111FE"/>
    <w:rsid w:val="009115A8"/>
    <w:rsid w:val="0091312A"/>
    <w:rsid w:val="00914DE6"/>
    <w:rsid w:val="0091565B"/>
    <w:rsid w:val="00916349"/>
    <w:rsid w:val="00916738"/>
    <w:rsid w:val="009230E0"/>
    <w:rsid w:val="00923D3D"/>
    <w:rsid w:val="00924CCB"/>
    <w:rsid w:val="0092520A"/>
    <w:rsid w:val="0093065E"/>
    <w:rsid w:val="0093145A"/>
    <w:rsid w:val="00931873"/>
    <w:rsid w:val="00932FAD"/>
    <w:rsid w:val="0093357E"/>
    <w:rsid w:val="00937AA1"/>
    <w:rsid w:val="009426DC"/>
    <w:rsid w:val="0094333C"/>
    <w:rsid w:val="00950397"/>
    <w:rsid w:val="00951562"/>
    <w:rsid w:val="00951F3C"/>
    <w:rsid w:val="009524A0"/>
    <w:rsid w:val="00952FDE"/>
    <w:rsid w:val="009534E4"/>
    <w:rsid w:val="00954EF3"/>
    <w:rsid w:val="00955106"/>
    <w:rsid w:val="009628B8"/>
    <w:rsid w:val="00965830"/>
    <w:rsid w:val="00966320"/>
    <w:rsid w:val="009668EF"/>
    <w:rsid w:val="009729A9"/>
    <w:rsid w:val="009741E0"/>
    <w:rsid w:val="0098030D"/>
    <w:rsid w:val="009813FB"/>
    <w:rsid w:val="00981E62"/>
    <w:rsid w:val="00982937"/>
    <w:rsid w:val="00982C0F"/>
    <w:rsid w:val="00983136"/>
    <w:rsid w:val="00984C02"/>
    <w:rsid w:val="00986438"/>
    <w:rsid w:val="00991228"/>
    <w:rsid w:val="009921D1"/>
    <w:rsid w:val="00996390"/>
    <w:rsid w:val="009A1E07"/>
    <w:rsid w:val="009A245C"/>
    <w:rsid w:val="009A28D2"/>
    <w:rsid w:val="009A4850"/>
    <w:rsid w:val="009A4D39"/>
    <w:rsid w:val="009A5975"/>
    <w:rsid w:val="009A6393"/>
    <w:rsid w:val="009A74CE"/>
    <w:rsid w:val="009B142F"/>
    <w:rsid w:val="009B2DB2"/>
    <w:rsid w:val="009B473B"/>
    <w:rsid w:val="009B5190"/>
    <w:rsid w:val="009B654F"/>
    <w:rsid w:val="009C16DF"/>
    <w:rsid w:val="009C2FD9"/>
    <w:rsid w:val="009C31E3"/>
    <w:rsid w:val="009C37E7"/>
    <w:rsid w:val="009C4804"/>
    <w:rsid w:val="009C5B30"/>
    <w:rsid w:val="009D0475"/>
    <w:rsid w:val="009D3524"/>
    <w:rsid w:val="009E0182"/>
    <w:rsid w:val="009E55DF"/>
    <w:rsid w:val="009E59CF"/>
    <w:rsid w:val="009E6780"/>
    <w:rsid w:val="009F17C1"/>
    <w:rsid w:val="009F3243"/>
    <w:rsid w:val="009F4D99"/>
    <w:rsid w:val="009F50F0"/>
    <w:rsid w:val="009F5404"/>
    <w:rsid w:val="009F619F"/>
    <w:rsid w:val="009F7712"/>
    <w:rsid w:val="009F7876"/>
    <w:rsid w:val="00A02393"/>
    <w:rsid w:val="00A03911"/>
    <w:rsid w:val="00A05140"/>
    <w:rsid w:val="00A10DE1"/>
    <w:rsid w:val="00A1157D"/>
    <w:rsid w:val="00A11860"/>
    <w:rsid w:val="00A15550"/>
    <w:rsid w:val="00A15FD6"/>
    <w:rsid w:val="00A17BD2"/>
    <w:rsid w:val="00A22538"/>
    <w:rsid w:val="00A25E03"/>
    <w:rsid w:val="00A277F3"/>
    <w:rsid w:val="00A31853"/>
    <w:rsid w:val="00A34039"/>
    <w:rsid w:val="00A348F8"/>
    <w:rsid w:val="00A3552E"/>
    <w:rsid w:val="00A36768"/>
    <w:rsid w:val="00A40169"/>
    <w:rsid w:val="00A40279"/>
    <w:rsid w:val="00A4070D"/>
    <w:rsid w:val="00A417FA"/>
    <w:rsid w:val="00A42760"/>
    <w:rsid w:val="00A43E8C"/>
    <w:rsid w:val="00A443C7"/>
    <w:rsid w:val="00A526B2"/>
    <w:rsid w:val="00A5551F"/>
    <w:rsid w:val="00A56EBB"/>
    <w:rsid w:val="00A60822"/>
    <w:rsid w:val="00A62D14"/>
    <w:rsid w:val="00A62FF6"/>
    <w:rsid w:val="00A65CAA"/>
    <w:rsid w:val="00A6775F"/>
    <w:rsid w:val="00A71EEE"/>
    <w:rsid w:val="00A75A79"/>
    <w:rsid w:val="00A766FD"/>
    <w:rsid w:val="00A8174D"/>
    <w:rsid w:val="00A820E7"/>
    <w:rsid w:val="00A90743"/>
    <w:rsid w:val="00A90D40"/>
    <w:rsid w:val="00A94EC5"/>
    <w:rsid w:val="00A96C3A"/>
    <w:rsid w:val="00AA0FE5"/>
    <w:rsid w:val="00AA1786"/>
    <w:rsid w:val="00AA3099"/>
    <w:rsid w:val="00AA4F9F"/>
    <w:rsid w:val="00AB3900"/>
    <w:rsid w:val="00AB6438"/>
    <w:rsid w:val="00AB7215"/>
    <w:rsid w:val="00AC56C2"/>
    <w:rsid w:val="00AC5944"/>
    <w:rsid w:val="00AC5E19"/>
    <w:rsid w:val="00AD11AB"/>
    <w:rsid w:val="00AD1420"/>
    <w:rsid w:val="00AD16F9"/>
    <w:rsid w:val="00AD42EE"/>
    <w:rsid w:val="00AD69F7"/>
    <w:rsid w:val="00AE3DCC"/>
    <w:rsid w:val="00AE5070"/>
    <w:rsid w:val="00AE5C52"/>
    <w:rsid w:val="00AE6771"/>
    <w:rsid w:val="00AE6C66"/>
    <w:rsid w:val="00AF045F"/>
    <w:rsid w:val="00AF0B29"/>
    <w:rsid w:val="00AF0FA2"/>
    <w:rsid w:val="00AF0FDD"/>
    <w:rsid w:val="00AF1CB0"/>
    <w:rsid w:val="00AF2826"/>
    <w:rsid w:val="00AF5D66"/>
    <w:rsid w:val="00B01CE6"/>
    <w:rsid w:val="00B066A8"/>
    <w:rsid w:val="00B10C43"/>
    <w:rsid w:val="00B14948"/>
    <w:rsid w:val="00B17A9D"/>
    <w:rsid w:val="00B21C2F"/>
    <w:rsid w:val="00B21F27"/>
    <w:rsid w:val="00B2764E"/>
    <w:rsid w:val="00B279FE"/>
    <w:rsid w:val="00B302F1"/>
    <w:rsid w:val="00B30E77"/>
    <w:rsid w:val="00B3307A"/>
    <w:rsid w:val="00B33F27"/>
    <w:rsid w:val="00B3400A"/>
    <w:rsid w:val="00B3463D"/>
    <w:rsid w:val="00B367D4"/>
    <w:rsid w:val="00B42423"/>
    <w:rsid w:val="00B4307B"/>
    <w:rsid w:val="00B4387D"/>
    <w:rsid w:val="00B456CC"/>
    <w:rsid w:val="00B473C1"/>
    <w:rsid w:val="00B478EF"/>
    <w:rsid w:val="00B50E1A"/>
    <w:rsid w:val="00B51BAD"/>
    <w:rsid w:val="00B52811"/>
    <w:rsid w:val="00B55BE3"/>
    <w:rsid w:val="00B56551"/>
    <w:rsid w:val="00B56DC6"/>
    <w:rsid w:val="00B57AE9"/>
    <w:rsid w:val="00B57C1A"/>
    <w:rsid w:val="00B60C5A"/>
    <w:rsid w:val="00B638BD"/>
    <w:rsid w:val="00B65EB5"/>
    <w:rsid w:val="00B66660"/>
    <w:rsid w:val="00B66B40"/>
    <w:rsid w:val="00B6765D"/>
    <w:rsid w:val="00B71B19"/>
    <w:rsid w:val="00B72969"/>
    <w:rsid w:val="00B72CEC"/>
    <w:rsid w:val="00B730C7"/>
    <w:rsid w:val="00B76A43"/>
    <w:rsid w:val="00B76AB0"/>
    <w:rsid w:val="00B775AB"/>
    <w:rsid w:val="00B80707"/>
    <w:rsid w:val="00B80904"/>
    <w:rsid w:val="00B84A7F"/>
    <w:rsid w:val="00B86360"/>
    <w:rsid w:val="00B87675"/>
    <w:rsid w:val="00B93271"/>
    <w:rsid w:val="00B94814"/>
    <w:rsid w:val="00B95043"/>
    <w:rsid w:val="00BA3026"/>
    <w:rsid w:val="00BA3EFF"/>
    <w:rsid w:val="00BA4972"/>
    <w:rsid w:val="00BA5FE7"/>
    <w:rsid w:val="00BA6B2A"/>
    <w:rsid w:val="00BA7026"/>
    <w:rsid w:val="00BB1C24"/>
    <w:rsid w:val="00BB1DBA"/>
    <w:rsid w:val="00BB2219"/>
    <w:rsid w:val="00BB2408"/>
    <w:rsid w:val="00BB4101"/>
    <w:rsid w:val="00BB533B"/>
    <w:rsid w:val="00BC4490"/>
    <w:rsid w:val="00BC638A"/>
    <w:rsid w:val="00BC6774"/>
    <w:rsid w:val="00BC6EEF"/>
    <w:rsid w:val="00BC73CD"/>
    <w:rsid w:val="00BC7980"/>
    <w:rsid w:val="00BD1F6D"/>
    <w:rsid w:val="00BD386F"/>
    <w:rsid w:val="00BD4D43"/>
    <w:rsid w:val="00BD5EE4"/>
    <w:rsid w:val="00BE0D5C"/>
    <w:rsid w:val="00BE298B"/>
    <w:rsid w:val="00BE2F72"/>
    <w:rsid w:val="00BE5476"/>
    <w:rsid w:val="00BE5941"/>
    <w:rsid w:val="00BE65E4"/>
    <w:rsid w:val="00BF0AA7"/>
    <w:rsid w:val="00BF2045"/>
    <w:rsid w:val="00BF2F97"/>
    <w:rsid w:val="00BF682D"/>
    <w:rsid w:val="00BF69F3"/>
    <w:rsid w:val="00C006C0"/>
    <w:rsid w:val="00C00765"/>
    <w:rsid w:val="00C051AC"/>
    <w:rsid w:val="00C06287"/>
    <w:rsid w:val="00C14D48"/>
    <w:rsid w:val="00C15D6E"/>
    <w:rsid w:val="00C20D5E"/>
    <w:rsid w:val="00C230EE"/>
    <w:rsid w:val="00C23583"/>
    <w:rsid w:val="00C23C9E"/>
    <w:rsid w:val="00C23DF1"/>
    <w:rsid w:val="00C244EC"/>
    <w:rsid w:val="00C25D44"/>
    <w:rsid w:val="00C310F4"/>
    <w:rsid w:val="00C31597"/>
    <w:rsid w:val="00C36C67"/>
    <w:rsid w:val="00C4066A"/>
    <w:rsid w:val="00C40D0E"/>
    <w:rsid w:val="00C44F21"/>
    <w:rsid w:val="00C469FC"/>
    <w:rsid w:val="00C52113"/>
    <w:rsid w:val="00C56BAB"/>
    <w:rsid w:val="00C60D92"/>
    <w:rsid w:val="00C65930"/>
    <w:rsid w:val="00C67570"/>
    <w:rsid w:val="00C7032D"/>
    <w:rsid w:val="00C7100A"/>
    <w:rsid w:val="00C75AB0"/>
    <w:rsid w:val="00C80282"/>
    <w:rsid w:val="00C82AA4"/>
    <w:rsid w:val="00C8305C"/>
    <w:rsid w:val="00C92A34"/>
    <w:rsid w:val="00C95691"/>
    <w:rsid w:val="00CA1ECD"/>
    <w:rsid w:val="00CA4588"/>
    <w:rsid w:val="00CA4C7F"/>
    <w:rsid w:val="00CA699E"/>
    <w:rsid w:val="00CB01FA"/>
    <w:rsid w:val="00CC07AF"/>
    <w:rsid w:val="00CC290B"/>
    <w:rsid w:val="00CC5D3C"/>
    <w:rsid w:val="00CD0FA4"/>
    <w:rsid w:val="00CD232A"/>
    <w:rsid w:val="00CD3ED1"/>
    <w:rsid w:val="00CD4F7F"/>
    <w:rsid w:val="00CD6B2F"/>
    <w:rsid w:val="00CE15A0"/>
    <w:rsid w:val="00CE16F7"/>
    <w:rsid w:val="00CE4EC5"/>
    <w:rsid w:val="00CE6E3F"/>
    <w:rsid w:val="00CF09A9"/>
    <w:rsid w:val="00CF1215"/>
    <w:rsid w:val="00CF2AC0"/>
    <w:rsid w:val="00CF39FF"/>
    <w:rsid w:val="00CF5974"/>
    <w:rsid w:val="00CF7372"/>
    <w:rsid w:val="00D0608D"/>
    <w:rsid w:val="00D0648C"/>
    <w:rsid w:val="00D06E87"/>
    <w:rsid w:val="00D06EFC"/>
    <w:rsid w:val="00D11192"/>
    <w:rsid w:val="00D1197E"/>
    <w:rsid w:val="00D11FA8"/>
    <w:rsid w:val="00D15DE2"/>
    <w:rsid w:val="00D1619E"/>
    <w:rsid w:val="00D16E86"/>
    <w:rsid w:val="00D23DAA"/>
    <w:rsid w:val="00D242FB"/>
    <w:rsid w:val="00D27E09"/>
    <w:rsid w:val="00D305A3"/>
    <w:rsid w:val="00D33DA7"/>
    <w:rsid w:val="00D37D86"/>
    <w:rsid w:val="00D472D8"/>
    <w:rsid w:val="00D47442"/>
    <w:rsid w:val="00D53376"/>
    <w:rsid w:val="00D552B9"/>
    <w:rsid w:val="00D55F1E"/>
    <w:rsid w:val="00D55F48"/>
    <w:rsid w:val="00D56FF4"/>
    <w:rsid w:val="00D62113"/>
    <w:rsid w:val="00D647F6"/>
    <w:rsid w:val="00D648F4"/>
    <w:rsid w:val="00D648F8"/>
    <w:rsid w:val="00D671C9"/>
    <w:rsid w:val="00D67EC6"/>
    <w:rsid w:val="00D72336"/>
    <w:rsid w:val="00D74036"/>
    <w:rsid w:val="00D803B1"/>
    <w:rsid w:val="00D808EE"/>
    <w:rsid w:val="00D8221C"/>
    <w:rsid w:val="00D82E3E"/>
    <w:rsid w:val="00D93663"/>
    <w:rsid w:val="00D94097"/>
    <w:rsid w:val="00D97240"/>
    <w:rsid w:val="00DA41B7"/>
    <w:rsid w:val="00DA57F5"/>
    <w:rsid w:val="00DA7DA7"/>
    <w:rsid w:val="00DB0CB2"/>
    <w:rsid w:val="00DC3C75"/>
    <w:rsid w:val="00DC6027"/>
    <w:rsid w:val="00DC79D3"/>
    <w:rsid w:val="00DD5723"/>
    <w:rsid w:val="00DE06B2"/>
    <w:rsid w:val="00DE2F48"/>
    <w:rsid w:val="00DE55E6"/>
    <w:rsid w:val="00DE62BF"/>
    <w:rsid w:val="00DE67BB"/>
    <w:rsid w:val="00DE6A16"/>
    <w:rsid w:val="00DF1ADF"/>
    <w:rsid w:val="00DF2CBD"/>
    <w:rsid w:val="00DF3C47"/>
    <w:rsid w:val="00DF46DF"/>
    <w:rsid w:val="00DF7659"/>
    <w:rsid w:val="00E04482"/>
    <w:rsid w:val="00E06E3B"/>
    <w:rsid w:val="00E07968"/>
    <w:rsid w:val="00E115D8"/>
    <w:rsid w:val="00E11853"/>
    <w:rsid w:val="00E14F32"/>
    <w:rsid w:val="00E161CC"/>
    <w:rsid w:val="00E179BB"/>
    <w:rsid w:val="00E21DB7"/>
    <w:rsid w:val="00E2267F"/>
    <w:rsid w:val="00E239C3"/>
    <w:rsid w:val="00E24AD4"/>
    <w:rsid w:val="00E26B58"/>
    <w:rsid w:val="00E26D87"/>
    <w:rsid w:val="00E27C9F"/>
    <w:rsid w:val="00E30662"/>
    <w:rsid w:val="00E32F59"/>
    <w:rsid w:val="00E3335C"/>
    <w:rsid w:val="00E33F57"/>
    <w:rsid w:val="00E41B8A"/>
    <w:rsid w:val="00E42114"/>
    <w:rsid w:val="00E4340A"/>
    <w:rsid w:val="00E45654"/>
    <w:rsid w:val="00E456E1"/>
    <w:rsid w:val="00E51617"/>
    <w:rsid w:val="00E518F4"/>
    <w:rsid w:val="00E53DDD"/>
    <w:rsid w:val="00E56811"/>
    <w:rsid w:val="00E6139F"/>
    <w:rsid w:val="00E61E1E"/>
    <w:rsid w:val="00E62387"/>
    <w:rsid w:val="00E62B6A"/>
    <w:rsid w:val="00E64B3B"/>
    <w:rsid w:val="00E701DC"/>
    <w:rsid w:val="00E71A05"/>
    <w:rsid w:val="00E736F1"/>
    <w:rsid w:val="00E76507"/>
    <w:rsid w:val="00E8062C"/>
    <w:rsid w:val="00E81BFD"/>
    <w:rsid w:val="00E862F0"/>
    <w:rsid w:val="00E8767D"/>
    <w:rsid w:val="00E90B9D"/>
    <w:rsid w:val="00E923F1"/>
    <w:rsid w:val="00E92745"/>
    <w:rsid w:val="00E93C81"/>
    <w:rsid w:val="00E975B5"/>
    <w:rsid w:val="00EA264C"/>
    <w:rsid w:val="00EA45C2"/>
    <w:rsid w:val="00EB3D8A"/>
    <w:rsid w:val="00EB4972"/>
    <w:rsid w:val="00EB4AF9"/>
    <w:rsid w:val="00EB711D"/>
    <w:rsid w:val="00EC1EFC"/>
    <w:rsid w:val="00ED2536"/>
    <w:rsid w:val="00ED4566"/>
    <w:rsid w:val="00ED4A62"/>
    <w:rsid w:val="00ED4B7F"/>
    <w:rsid w:val="00ED566F"/>
    <w:rsid w:val="00EE0E84"/>
    <w:rsid w:val="00EE16BB"/>
    <w:rsid w:val="00EE21AA"/>
    <w:rsid w:val="00EE308D"/>
    <w:rsid w:val="00EE44C9"/>
    <w:rsid w:val="00EE4ABA"/>
    <w:rsid w:val="00EE6519"/>
    <w:rsid w:val="00EE7257"/>
    <w:rsid w:val="00EE78B4"/>
    <w:rsid w:val="00EF045E"/>
    <w:rsid w:val="00EF2769"/>
    <w:rsid w:val="00EF4DF3"/>
    <w:rsid w:val="00F00450"/>
    <w:rsid w:val="00F0191C"/>
    <w:rsid w:val="00F01D35"/>
    <w:rsid w:val="00F0799D"/>
    <w:rsid w:val="00F13CD6"/>
    <w:rsid w:val="00F209D8"/>
    <w:rsid w:val="00F23CA3"/>
    <w:rsid w:val="00F23F23"/>
    <w:rsid w:val="00F2604C"/>
    <w:rsid w:val="00F26AF6"/>
    <w:rsid w:val="00F27ED1"/>
    <w:rsid w:val="00F30889"/>
    <w:rsid w:val="00F33E36"/>
    <w:rsid w:val="00F415F1"/>
    <w:rsid w:val="00F416A3"/>
    <w:rsid w:val="00F45D79"/>
    <w:rsid w:val="00F46297"/>
    <w:rsid w:val="00F5172B"/>
    <w:rsid w:val="00F53655"/>
    <w:rsid w:val="00F555BB"/>
    <w:rsid w:val="00F6071E"/>
    <w:rsid w:val="00F60B79"/>
    <w:rsid w:val="00F611D3"/>
    <w:rsid w:val="00F65284"/>
    <w:rsid w:val="00F65E36"/>
    <w:rsid w:val="00F711FF"/>
    <w:rsid w:val="00F71512"/>
    <w:rsid w:val="00F738FE"/>
    <w:rsid w:val="00F749A5"/>
    <w:rsid w:val="00F74E05"/>
    <w:rsid w:val="00F74E6E"/>
    <w:rsid w:val="00F74FA5"/>
    <w:rsid w:val="00F757D4"/>
    <w:rsid w:val="00F765E2"/>
    <w:rsid w:val="00F77572"/>
    <w:rsid w:val="00F77E6A"/>
    <w:rsid w:val="00F80A15"/>
    <w:rsid w:val="00F81D93"/>
    <w:rsid w:val="00F8444C"/>
    <w:rsid w:val="00F86C62"/>
    <w:rsid w:val="00F86ECD"/>
    <w:rsid w:val="00F9111F"/>
    <w:rsid w:val="00F93164"/>
    <w:rsid w:val="00F940A3"/>
    <w:rsid w:val="00F9413F"/>
    <w:rsid w:val="00F94D21"/>
    <w:rsid w:val="00F952EE"/>
    <w:rsid w:val="00F96CB2"/>
    <w:rsid w:val="00FA11D0"/>
    <w:rsid w:val="00FA1594"/>
    <w:rsid w:val="00FA15F1"/>
    <w:rsid w:val="00FA20C0"/>
    <w:rsid w:val="00FA3562"/>
    <w:rsid w:val="00FA406D"/>
    <w:rsid w:val="00FA4570"/>
    <w:rsid w:val="00FB1D1E"/>
    <w:rsid w:val="00FB1F60"/>
    <w:rsid w:val="00FB41E6"/>
    <w:rsid w:val="00FB72CE"/>
    <w:rsid w:val="00FC19A6"/>
    <w:rsid w:val="00FC3C87"/>
    <w:rsid w:val="00FC468E"/>
    <w:rsid w:val="00FC4AA1"/>
    <w:rsid w:val="00FC5DD2"/>
    <w:rsid w:val="00FD5BA0"/>
    <w:rsid w:val="00FD7B3E"/>
    <w:rsid w:val="00FE1536"/>
    <w:rsid w:val="00FE246D"/>
    <w:rsid w:val="00FE25EE"/>
    <w:rsid w:val="00FE3321"/>
    <w:rsid w:val="00FE4491"/>
    <w:rsid w:val="00FE6446"/>
    <w:rsid w:val="00FF2D07"/>
    <w:rsid w:val="00FF6CE4"/>
  </w:rsids>
  <m:mathPr>
    <m:mathFont m:val="Cambria Math"/>
    <m:brkBin m:val="before"/>
    <m:brkBinSub m:val="--"/>
    <m:smallFrac m:val="0"/>
    <m:dispDef/>
    <m:lMargin m:val="0"/>
    <m:rMargin m:val="0"/>
    <m:defJc m:val="centerGroup"/>
    <m:wrapIndent m:val="1440"/>
    <m:intLim m:val="subSup"/>
    <m:naryLim m:val="undOvr"/>
  </m:mathPr>
  <w:themeFontLang w:val="en-AU"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uiPriority="0" w:qFormat="1"/>
    <w:lsdException w:name="table of figures"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B0"/>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BF2045"/>
    <w:pPr>
      <w:keepNext w:val="0"/>
      <w:numPr>
        <w:ilvl w:val="2"/>
      </w:numPr>
      <w:spacing w:before="300" w:after="0" w:line="260" w:lineRule="atLeast"/>
      <w:ind w:right="0"/>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BF2045"/>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7B265A"/>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A90743"/>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A90743"/>
    <w:rPr>
      <w:rFonts w:ascii="Arial" w:eastAsia="Times New Roman" w:hAnsi="Arial" w:cs="Times New Roman"/>
      <w:color w:val="AD495D"/>
      <w:spacing w:val="-10"/>
      <w:kern w:val="28"/>
      <w:sz w:val="40"/>
      <w:szCs w:val="20"/>
    </w:rPr>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qFormat/>
    <w:rsid w:val="00BF2045"/>
    <w:pPr>
      <w:keepNext/>
      <w:spacing w:before="12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8E1919"/>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8E1919"/>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locked/>
    <w:rsid w:val="00BF2045"/>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213346"/>
    <w:pPr>
      <w:spacing w:after="0"/>
      <w:contextualSpacing/>
    </w:pPr>
    <w:rPr>
      <w:sz w:val="16"/>
      <w:szCs w:val="20"/>
    </w:rPr>
  </w:style>
  <w:style w:type="character" w:customStyle="1" w:styleId="FootnoteTextChar">
    <w:name w:val="Footnote Text Char"/>
    <w:basedOn w:val="DefaultParagraphFont"/>
    <w:link w:val="FootnoteText"/>
    <w:uiPriority w:val="99"/>
    <w:rsid w:val="00213346"/>
    <w:rPr>
      <w:rFonts w:ascii="Times New Roman" w:eastAsia="Times New Roman" w:hAnsi="Times New Roman" w:cs="Times New Roman"/>
      <w:sz w:val="16"/>
      <w:szCs w:val="20"/>
    </w:rPr>
  </w:style>
  <w:style w:type="character" w:styleId="FootnoteReference">
    <w:name w:val="footnote reference"/>
    <w:uiPriority w:val="99"/>
    <w:rsid w:val="00213346"/>
    <w:rPr>
      <w:rFonts w:ascii="Times New Roman" w:hAnsi="Times New Roman"/>
      <w:caps w:val="0"/>
      <w:smallCaps w:val="0"/>
      <w:strike w:val="0"/>
      <w:dstrike w:val="0"/>
      <w:vanish w:val="0"/>
      <w:w w:val="100"/>
      <w:position w:val="0"/>
      <w:sz w:val="16"/>
      <w:szCs w:val="12"/>
      <w:vertAlign w:val="superscript"/>
    </w:rPr>
  </w:style>
  <w:style w:type="paragraph" w:customStyle="1" w:styleId="CharChar6">
    <w:name w:val="Char Char6"/>
    <w:basedOn w:val="Normal"/>
    <w:semiHidden/>
    <w:rsid w:val="00B3400A"/>
    <w:pPr>
      <w:spacing w:before="180" w:line="280" w:lineRule="atLeast"/>
    </w:pPr>
    <w:rPr>
      <w:rFonts w:ascii="Arial" w:eastAsia="Times New Roman" w:hAnsi="Arial"/>
      <w:sz w:val="22"/>
      <w:szCs w:val="20"/>
      <w:lang w:eastAsia="en-US"/>
    </w:rPr>
  </w:style>
  <w:style w:type="paragraph" w:customStyle="1" w:styleId="CharChar61">
    <w:name w:val="Char Char61"/>
    <w:basedOn w:val="Normal"/>
    <w:semiHidden/>
    <w:rsid w:val="00346360"/>
    <w:pPr>
      <w:spacing w:before="180" w:line="280" w:lineRule="atLeast"/>
    </w:pPr>
    <w:rPr>
      <w:rFonts w:ascii="Arial" w:eastAsia="Times New Roman" w:hAnsi="Arial"/>
      <w:sz w:val="22"/>
      <w:szCs w:val="20"/>
      <w:lang w:eastAsia="en-US"/>
    </w:rPr>
  </w:style>
  <w:style w:type="paragraph" w:customStyle="1" w:styleId="CharChar62">
    <w:name w:val="Char Char62"/>
    <w:basedOn w:val="Normal"/>
    <w:semiHidden/>
    <w:rsid w:val="00410550"/>
    <w:pPr>
      <w:spacing w:before="180" w:line="280" w:lineRule="atLeast"/>
    </w:pPr>
    <w:rPr>
      <w:rFonts w:ascii="Arial" w:eastAsia="Times New Roman" w:hAnsi="Arial"/>
      <w:sz w:val="22"/>
      <w:szCs w:val="20"/>
      <w:lang w:eastAsia="en-US"/>
    </w:rPr>
  </w:style>
  <w:style w:type="paragraph" w:styleId="NormalWeb">
    <w:name w:val="Normal (Web)"/>
    <w:basedOn w:val="Normal"/>
    <w:uiPriority w:val="99"/>
    <w:rsid w:val="00410550"/>
    <w:pPr>
      <w:spacing w:before="100" w:beforeAutospacing="1" w:after="100" w:afterAutospacing="1"/>
    </w:pPr>
    <w:rPr>
      <w:rFonts w:eastAsia="Times New Roman"/>
      <w:sz w:val="24"/>
    </w:rPr>
  </w:style>
  <w:style w:type="character" w:customStyle="1" w:styleId="st">
    <w:name w:val="st"/>
    <w:basedOn w:val="DefaultParagraphFont"/>
    <w:rsid w:val="00231007"/>
  </w:style>
  <w:style w:type="character" w:styleId="Emphasis">
    <w:name w:val="Emphasis"/>
    <w:basedOn w:val="DefaultParagraphFont"/>
    <w:uiPriority w:val="20"/>
    <w:qFormat/>
    <w:rsid w:val="00231007"/>
    <w:rPr>
      <w:i/>
      <w:iCs/>
    </w:rPr>
  </w:style>
  <w:style w:type="paragraph" w:styleId="Header">
    <w:name w:val="header"/>
    <w:basedOn w:val="Normal"/>
    <w:link w:val="HeaderChar"/>
    <w:uiPriority w:val="99"/>
    <w:unhideWhenUsed/>
    <w:rsid w:val="00B42423"/>
    <w:pPr>
      <w:tabs>
        <w:tab w:val="center" w:pos="4513"/>
        <w:tab w:val="right" w:pos="9026"/>
      </w:tabs>
    </w:pPr>
  </w:style>
  <w:style w:type="character" w:customStyle="1" w:styleId="HeaderChar">
    <w:name w:val="Header Char"/>
    <w:basedOn w:val="DefaultParagraphFont"/>
    <w:link w:val="Header"/>
    <w:uiPriority w:val="99"/>
    <w:rsid w:val="00B42423"/>
    <w:rPr>
      <w:rFonts w:ascii="Times New Roman" w:eastAsia="SimSu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uiPriority="0" w:qFormat="1"/>
    <w:lsdException w:name="table of figures"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B0"/>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BF2045"/>
    <w:pPr>
      <w:keepNext w:val="0"/>
      <w:numPr>
        <w:ilvl w:val="2"/>
      </w:numPr>
      <w:spacing w:before="300" w:after="0" w:line="260" w:lineRule="atLeast"/>
      <w:ind w:right="0"/>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BF2045"/>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7B265A"/>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A90743"/>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A90743"/>
    <w:rPr>
      <w:rFonts w:ascii="Arial" w:eastAsia="Times New Roman" w:hAnsi="Arial" w:cs="Times New Roman"/>
      <w:color w:val="AD495D"/>
      <w:spacing w:val="-10"/>
      <w:kern w:val="28"/>
      <w:sz w:val="40"/>
      <w:szCs w:val="20"/>
    </w:rPr>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qFormat/>
    <w:rsid w:val="00BF2045"/>
    <w:pPr>
      <w:keepNext/>
      <w:spacing w:before="12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8E1919"/>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8E1919"/>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locked/>
    <w:rsid w:val="00BF2045"/>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213346"/>
    <w:pPr>
      <w:spacing w:after="0"/>
      <w:contextualSpacing/>
    </w:pPr>
    <w:rPr>
      <w:sz w:val="16"/>
      <w:szCs w:val="20"/>
    </w:rPr>
  </w:style>
  <w:style w:type="character" w:customStyle="1" w:styleId="FootnoteTextChar">
    <w:name w:val="Footnote Text Char"/>
    <w:basedOn w:val="DefaultParagraphFont"/>
    <w:link w:val="FootnoteText"/>
    <w:uiPriority w:val="99"/>
    <w:rsid w:val="00213346"/>
    <w:rPr>
      <w:rFonts w:ascii="Times New Roman" w:eastAsia="Times New Roman" w:hAnsi="Times New Roman" w:cs="Times New Roman"/>
      <w:sz w:val="16"/>
      <w:szCs w:val="20"/>
    </w:rPr>
  </w:style>
  <w:style w:type="character" w:styleId="FootnoteReference">
    <w:name w:val="footnote reference"/>
    <w:uiPriority w:val="99"/>
    <w:rsid w:val="00213346"/>
    <w:rPr>
      <w:rFonts w:ascii="Times New Roman" w:hAnsi="Times New Roman"/>
      <w:caps w:val="0"/>
      <w:smallCaps w:val="0"/>
      <w:strike w:val="0"/>
      <w:dstrike w:val="0"/>
      <w:vanish w:val="0"/>
      <w:w w:val="100"/>
      <w:position w:val="0"/>
      <w:sz w:val="16"/>
      <w:szCs w:val="12"/>
      <w:vertAlign w:val="superscript"/>
    </w:rPr>
  </w:style>
  <w:style w:type="paragraph" w:customStyle="1" w:styleId="CharChar6">
    <w:name w:val="Char Char6"/>
    <w:basedOn w:val="Normal"/>
    <w:semiHidden/>
    <w:rsid w:val="00B3400A"/>
    <w:pPr>
      <w:spacing w:before="180" w:line="280" w:lineRule="atLeast"/>
    </w:pPr>
    <w:rPr>
      <w:rFonts w:ascii="Arial" w:eastAsia="Times New Roman" w:hAnsi="Arial"/>
      <w:sz w:val="22"/>
      <w:szCs w:val="20"/>
      <w:lang w:eastAsia="en-US"/>
    </w:rPr>
  </w:style>
  <w:style w:type="paragraph" w:customStyle="1" w:styleId="CharChar61">
    <w:name w:val="Char Char61"/>
    <w:basedOn w:val="Normal"/>
    <w:semiHidden/>
    <w:rsid w:val="00346360"/>
    <w:pPr>
      <w:spacing w:before="180" w:line="280" w:lineRule="atLeast"/>
    </w:pPr>
    <w:rPr>
      <w:rFonts w:ascii="Arial" w:eastAsia="Times New Roman" w:hAnsi="Arial"/>
      <w:sz w:val="22"/>
      <w:szCs w:val="20"/>
      <w:lang w:eastAsia="en-US"/>
    </w:rPr>
  </w:style>
  <w:style w:type="paragraph" w:customStyle="1" w:styleId="CharChar62">
    <w:name w:val="Char Char62"/>
    <w:basedOn w:val="Normal"/>
    <w:semiHidden/>
    <w:rsid w:val="00410550"/>
    <w:pPr>
      <w:spacing w:before="180" w:line="280" w:lineRule="atLeast"/>
    </w:pPr>
    <w:rPr>
      <w:rFonts w:ascii="Arial" w:eastAsia="Times New Roman" w:hAnsi="Arial"/>
      <w:sz w:val="22"/>
      <w:szCs w:val="20"/>
      <w:lang w:eastAsia="en-US"/>
    </w:rPr>
  </w:style>
  <w:style w:type="paragraph" w:styleId="NormalWeb">
    <w:name w:val="Normal (Web)"/>
    <w:basedOn w:val="Normal"/>
    <w:uiPriority w:val="99"/>
    <w:rsid w:val="00410550"/>
    <w:pPr>
      <w:spacing w:before="100" w:beforeAutospacing="1" w:after="100" w:afterAutospacing="1"/>
    </w:pPr>
    <w:rPr>
      <w:rFonts w:eastAsia="Times New Roman"/>
      <w:sz w:val="24"/>
    </w:rPr>
  </w:style>
  <w:style w:type="character" w:customStyle="1" w:styleId="st">
    <w:name w:val="st"/>
    <w:basedOn w:val="DefaultParagraphFont"/>
    <w:rsid w:val="00231007"/>
  </w:style>
  <w:style w:type="character" w:styleId="Emphasis">
    <w:name w:val="Emphasis"/>
    <w:basedOn w:val="DefaultParagraphFont"/>
    <w:uiPriority w:val="20"/>
    <w:qFormat/>
    <w:rsid w:val="00231007"/>
    <w:rPr>
      <w:i/>
      <w:iCs/>
    </w:rPr>
  </w:style>
  <w:style w:type="paragraph" w:styleId="Header">
    <w:name w:val="header"/>
    <w:basedOn w:val="Normal"/>
    <w:link w:val="HeaderChar"/>
    <w:uiPriority w:val="99"/>
    <w:unhideWhenUsed/>
    <w:rsid w:val="00B42423"/>
    <w:pPr>
      <w:tabs>
        <w:tab w:val="center" w:pos="4513"/>
        <w:tab w:val="right" w:pos="9026"/>
      </w:tabs>
    </w:pPr>
  </w:style>
  <w:style w:type="character" w:customStyle="1" w:styleId="HeaderChar">
    <w:name w:val="Header Char"/>
    <w:basedOn w:val="DefaultParagraphFont"/>
    <w:link w:val="Header"/>
    <w:uiPriority w:val="99"/>
    <w:rsid w:val="00B42423"/>
    <w:rPr>
      <w:rFonts w:ascii="Times New Roman" w:eastAsia="SimSu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2980">
      <w:bodyDiv w:val="1"/>
      <w:marLeft w:val="0"/>
      <w:marRight w:val="0"/>
      <w:marTop w:val="0"/>
      <w:marBottom w:val="0"/>
      <w:divBdr>
        <w:top w:val="none" w:sz="0" w:space="0" w:color="auto"/>
        <w:left w:val="none" w:sz="0" w:space="0" w:color="auto"/>
        <w:bottom w:val="none" w:sz="0" w:space="0" w:color="auto"/>
        <w:right w:val="none" w:sz="0" w:space="0" w:color="auto"/>
      </w:divBdr>
    </w:div>
    <w:div w:id="196235026">
      <w:bodyDiv w:val="1"/>
      <w:marLeft w:val="0"/>
      <w:marRight w:val="0"/>
      <w:marTop w:val="0"/>
      <w:marBottom w:val="0"/>
      <w:divBdr>
        <w:top w:val="none" w:sz="0" w:space="0" w:color="auto"/>
        <w:left w:val="none" w:sz="0" w:space="0" w:color="auto"/>
        <w:bottom w:val="none" w:sz="0" w:space="0" w:color="auto"/>
        <w:right w:val="none" w:sz="0" w:space="0" w:color="auto"/>
      </w:divBdr>
    </w:div>
    <w:div w:id="198013603">
      <w:bodyDiv w:val="1"/>
      <w:marLeft w:val="0"/>
      <w:marRight w:val="0"/>
      <w:marTop w:val="0"/>
      <w:marBottom w:val="0"/>
      <w:divBdr>
        <w:top w:val="none" w:sz="0" w:space="0" w:color="auto"/>
        <w:left w:val="none" w:sz="0" w:space="0" w:color="auto"/>
        <w:bottom w:val="none" w:sz="0" w:space="0" w:color="auto"/>
        <w:right w:val="none" w:sz="0" w:space="0" w:color="auto"/>
      </w:divBdr>
    </w:div>
    <w:div w:id="318265554">
      <w:bodyDiv w:val="1"/>
      <w:marLeft w:val="0"/>
      <w:marRight w:val="0"/>
      <w:marTop w:val="0"/>
      <w:marBottom w:val="0"/>
      <w:divBdr>
        <w:top w:val="none" w:sz="0" w:space="0" w:color="auto"/>
        <w:left w:val="none" w:sz="0" w:space="0" w:color="auto"/>
        <w:bottom w:val="none" w:sz="0" w:space="0" w:color="auto"/>
        <w:right w:val="none" w:sz="0" w:space="0" w:color="auto"/>
      </w:divBdr>
    </w:div>
    <w:div w:id="324750364">
      <w:bodyDiv w:val="1"/>
      <w:marLeft w:val="0"/>
      <w:marRight w:val="0"/>
      <w:marTop w:val="0"/>
      <w:marBottom w:val="0"/>
      <w:divBdr>
        <w:top w:val="none" w:sz="0" w:space="0" w:color="auto"/>
        <w:left w:val="none" w:sz="0" w:space="0" w:color="auto"/>
        <w:bottom w:val="none" w:sz="0" w:space="0" w:color="auto"/>
        <w:right w:val="none" w:sz="0" w:space="0" w:color="auto"/>
      </w:divBdr>
    </w:div>
    <w:div w:id="609095363">
      <w:bodyDiv w:val="1"/>
      <w:marLeft w:val="0"/>
      <w:marRight w:val="0"/>
      <w:marTop w:val="0"/>
      <w:marBottom w:val="0"/>
      <w:divBdr>
        <w:top w:val="none" w:sz="0" w:space="0" w:color="auto"/>
        <w:left w:val="none" w:sz="0" w:space="0" w:color="auto"/>
        <w:bottom w:val="none" w:sz="0" w:space="0" w:color="auto"/>
        <w:right w:val="none" w:sz="0" w:space="0" w:color="auto"/>
      </w:divBdr>
    </w:div>
    <w:div w:id="611522732">
      <w:bodyDiv w:val="1"/>
      <w:marLeft w:val="0"/>
      <w:marRight w:val="0"/>
      <w:marTop w:val="0"/>
      <w:marBottom w:val="0"/>
      <w:divBdr>
        <w:top w:val="none" w:sz="0" w:space="0" w:color="auto"/>
        <w:left w:val="none" w:sz="0" w:space="0" w:color="auto"/>
        <w:bottom w:val="none" w:sz="0" w:space="0" w:color="auto"/>
        <w:right w:val="none" w:sz="0" w:space="0" w:color="auto"/>
      </w:divBdr>
      <w:divsChild>
        <w:div w:id="57635375">
          <w:marLeft w:val="547"/>
          <w:marRight w:val="0"/>
          <w:marTop w:val="77"/>
          <w:marBottom w:val="113"/>
          <w:divBdr>
            <w:top w:val="none" w:sz="0" w:space="0" w:color="auto"/>
            <w:left w:val="none" w:sz="0" w:space="0" w:color="auto"/>
            <w:bottom w:val="none" w:sz="0" w:space="0" w:color="auto"/>
            <w:right w:val="none" w:sz="0" w:space="0" w:color="auto"/>
          </w:divBdr>
        </w:div>
        <w:div w:id="1096290898">
          <w:marLeft w:val="547"/>
          <w:marRight w:val="0"/>
          <w:marTop w:val="77"/>
          <w:marBottom w:val="113"/>
          <w:divBdr>
            <w:top w:val="none" w:sz="0" w:space="0" w:color="auto"/>
            <w:left w:val="none" w:sz="0" w:space="0" w:color="auto"/>
            <w:bottom w:val="none" w:sz="0" w:space="0" w:color="auto"/>
            <w:right w:val="none" w:sz="0" w:space="0" w:color="auto"/>
          </w:divBdr>
        </w:div>
        <w:div w:id="1295137689">
          <w:marLeft w:val="547"/>
          <w:marRight w:val="0"/>
          <w:marTop w:val="77"/>
          <w:marBottom w:val="113"/>
          <w:divBdr>
            <w:top w:val="none" w:sz="0" w:space="0" w:color="auto"/>
            <w:left w:val="none" w:sz="0" w:space="0" w:color="auto"/>
            <w:bottom w:val="none" w:sz="0" w:space="0" w:color="auto"/>
            <w:right w:val="none" w:sz="0" w:space="0" w:color="auto"/>
          </w:divBdr>
        </w:div>
        <w:div w:id="1495682939">
          <w:marLeft w:val="547"/>
          <w:marRight w:val="0"/>
          <w:marTop w:val="77"/>
          <w:marBottom w:val="113"/>
          <w:divBdr>
            <w:top w:val="none" w:sz="0" w:space="0" w:color="auto"/>
            <w:left w:val="none" w:sz="0" w:space="0" w:color="auto"/>
            <w:bottom w:val="none" w:sz="0" w:space="0" w:color="auto"/>
            <w:right w:val="none" w:sz="0" w:space="0" w:color="auto"/>
          </w:divBdr>
        </w:div>
        <w:div w:id="1794473942">
          <w:marLeft w:val="547"/>
          <w:marRight w:val="0"/>
          <w:marTop w:val="77"/>
          <w:marBottom w:val="113"/>
          <w:divBdr>
            <w:top w:val="none" w:sz="0" w:space="0" w:color="auto"/>
            <w:left w:val="none" w:sz="0" w:space="0" w:color="auto"/>
            <w:bottom w:val="none" w:sz="0" w:space="0" w:color="auto"/>
            <w:right w:val="none" w:sz="0" w:space="0" w:color="auto"/>
          </w:divBdr>
        </w:div>
        <w:div w:id="1823042668">
          <w:marLeft w:val="547"/>
          <w:marRight w:val="0"/>
          <w:marTop w:val="77"/>
          <w:marBottom w:val="113"/>
          <w:divBdr>
            <w:top w:val="none" w:sz="0" w:space="0" w:color="auto"/>
            <w:left w:val="none" w:sz="0" w:space="0" w:color="auto"/>
            <w:bottom w:val="none" w:sz="0" w:space="0" w:color="auto"/>
            <w:right w:val="none" w:sz="0" w:space="0" w:color="auto"/>
          </w:divBdr>
        </w:div>
        <w:div w:id="1838115105">
          <w:marLeft w:val="547"/>
          <w:marRight w:val="0"/>
          <w:marTop w:val="77"/>
          <w:marBottom w:val="113"/>
          <w:divBdr>
            <w:top w:val="none" w:sz="0" w:space="0" w:color="auto"/>
            <w:left w:val="none" w:sz="0" w:space="0" w:color="auto"/>
            <w:bottom w:val="none" w:sz="0" w:space="0" w:color="auto"/>
            <w:right w:val="none" w:sz="0" w:space="0" w:color="auto"/>
          </w:divBdr>
        </w:div>
      </w:divsChild>
    </w:div>
    <w:div w:id="719747168">
      <w:bodyDiv w:val="1"/>
      <w:marLeft w:val="0"/>
      <w:marRight w:val="0"/>
      <w:marTop w:val="0"/>
      <w:marBottom w:val="0"/>
      <w:divBdr>
        <w:top w:val="none" w:sz="0" w:space="0" w:color="auto"/>
        <w:left w:val="none" w:sz="0" w:space="0" w:color="auto"/>
        <w:bottom w:val="none" w:sz="0" w:space="0" w:color="auto"/>
        <w:right w:val="none" w:sz="0" w:space="0" w:color="auto"/>
      </w:divBdr>
    </w:div>
    <w:div w:id="721098674">
      <w:bodyDiv w:val="1"/>
      <w:marLeft w:val="0"/>
      <w:marRight w:val="0"/>
      <w:marTop w:val="0"/>
      <w:marBottom w:val="0"/>
      <w:divBdr>
        <w:top w:val="none" w:sz="0" w:space="0" w:color="auto"/>
        <w:left w:val="none" w:sz="0" w:space="0" w:color="auto"/>
        <w:bottom w:val="none" w:sz="0" w:space="0" w:color="auto"/>
        <w:right w:val="none" w:sz="0" w:space="0" w:color="auto"/>
      </w:divBdr>
    </w:div>
    <w:div w:id="824012220">
      <w:bodyDiv w:val="1"/>
      <w:marLeft w:val="0"/>
      <w:marRight w:val="0"/>
      <w:marTop w:val="0"/>
      <w:marBottom w:val="0"/>
      <w:divBdr>
        <w:top w:val="none" w:sz="0" w:space="0" w:color="auto"/>
        <w:left w:val="none" w:sz="0" w:space="0" w:color="auto"/>
        <w:bottom w:val="none" w:sz="0" w:space="0" w:color="auto"/>
        <w:right w:val="none" w:sz="0" w:space="0" w:color="auto"/>
      </w:divBdr>
    </w:div>
    <w:div w:id="958604906">
      <w:bodyDiv w:val="1"/>
      <w:marLeft w:val="0"/>
      <w:marRight w:val="0"/>
      <w:marTop w:val="0"/>
      <w:marBottom w:val="0"/>
      <w:divBdr>
        <w:top w:val="none" w:sz="0" w:space="0" w:color="auto"/>
        <w:left w:val="none" w:sz="0" w:space="0" w:color="auto"/>
        <w:bottom w:val="none" w:sz="0" w:space="0" w:color="auto"/>
        <w:right w:val="none" w:sz="0" w:space="0" w:color="auto"/>
      </w:divBdr>
    </w:div>
    <w:div w:id="1033070310">
      <w:bodyDiv w:val="1"/>
      <w:marLeft w:val="0"/>
      <w:marRight w:val="0"/>
      <w:marTop w:val="0"/>
      <w:marBottom w:val="0"/>
      <w:divBdr>
        <w:top w:val="none" w:sz="0" w:space="0" w:color="auto"/>
        <w:left w:val="none" w:sz="0" w:space="0" w:color="auto"/>
        <w:bottom w:val="none" w:sz="0" w:space="0" w:color="auto"/>
        <w:right w:val="none" w:sz="0" w:space="0" w:color="auto"/>
      </w:divBdr>
    </w:div>
    <w:div w:id="1136338718">
      <w:bodyDiv w:val="1"/>
      <w:marLeft w:val="0"/>
      <w:marRight w:val="0"/>
      <w:marTop w:val="0"/>
      <w:marBottom w:val="0"/>
      <w:divBdr>
        <w:top w:val="none" w:sz="0" w:space="0" w:color="auto"/>
        <w:left w:val="none" w:sz="0" w:space="0" w:color="auto"/>
        <w:bottom w:val="none" w:sz="0" w:space="0" w:color="auto"/>
        <w:right w:val="none" w:sz="0" w:space="0" w:color="auto"/>
      </w:divBdr>
    </w:div>
    <w:div w:id="1182743309">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537541606">
      <w:bodyDiv w:val="1"/>
      <w:marLeft w:val="0"/>
      <w:marRight w:val="0"/>
      <w:marTop w:val="0"/>
      <w:marBottom w:val="0"/>
      <w:divBdr>
        <w:top w:val="none" w:sz="0" w:space="0" w:color="auto"/>
        <w:left w:val="none" w:sz="0" w:space="0" w:color="auto"/>
        <w:bottom w:val="none" w:sz="0" w:space="0" w:color="auto"/>
        <w:right w:val="none" w:sz="0" w:space="0" w:color="auto"/>
      </w:divBdr>
    </w:div>
    <w:div w:id="1544634807">
      <w:bodyDiv w:val="1"/>
      <w:marLeft w:val="0"/>
      <w:marRight w:val="0"/>
      <w:marTop w:val="0"/>
      <w:marBottom w:val="0"/>
      <w:divBdr>
        <w:top w:val="none" w:sz="0" w:space="0" w:color="auto"/>
        <w:left w:val="none" w:sz="0" w:space="0" w:color="auto"/>
        <w:bottom w:val="none" w:sz="0" w:space="0" w:color="auto"/>
        <w:right w:val="none" w:sz="0" w:space="0" w:color="auto"/>
      </w:divBdr>
    </w:div>
    <w:div w:id="1714651080">
      <w:bodyDiv w:val="1"/>
      <w:marLeft w:val="0"/>
      <w:marRight w:val="0"/>
      <w:marTop w:val="0"/>
      <w:marBottom w:val="0"/>
      <w:divBdr>
        <w:top w:val="none" w:sz="0" w:space="0" w:color="auto"/>
        <w:left w:val="none" w:sz="0" w:space="0" w:color="auto"/>
        <w:bottom w:val="none" w:sz="0" w:space="0" w:color="auto"/>
        <w:right w:val="none" w:sz="0" w:space="0" w:color="auto"/>
      </w:divBdr>
      <w:divsChild>
        <w:div w:id="83495954">
          <w:marLeft w:val="547"/>
          <w:marRight w:val="0"/>
          <w:marTop w:val="96"/>
          <w:marBottom w:val="240"/>
          <w:divBdr>
            <w:top w:val="none" w:sz="0" w:space="0" w:color="auto"/>
            <w:left w:val="none" w:sz="0" w:space="0" w:color="auto"/>
            <w:bottom w:val="none" w:sz="0" w:space="0" w:color="auto"/>
            <w:right w:val="none" w:sz="0" w:space="0" w:color="auto"/>
          </w:divBdr>
        </w:div>
        <w:div w:id="1141650803">
          <w:marLeft w:val="547"/>
          <w:marRight w:val="0"/>
          <w:marTop w:val="96"/>
          <w:marBottom w:val="240"/>
          <w:divBdr>
            <w:top w:val="none" w:sz="0" w:space="0" w:color="auto"/>
            <w:left w:val="none" w:sz="0" w:space="0" w:color="auto"/>
            <w:bottom w:val="none" w:sz="0" w:space="0" w:color="auto"/>
            <w:right w:val="none" w:sz="0" w:space="0" w:color="auto"/>
          </w:divBdr>
        </w:div>
        <w:div w:id="1314531430">
          <w:marLeft w:val="547"/>
          <w:marRight w:val="0"/>
          <w:marTop w:val="96"/>
          <w:marBottom w:val="240"/>
          <w:divBdr>
            <w:top w:val="none" w:sz="0" w:space="0" w:color="auto"/>
            <w:left w:val="none" w:sz="0" w:space="0" w:color="auto"/>
            <w:bottom w:val="none" w:sz="0" w:space="0" w:color="auto"/>
            <w:right w:val="none" w:sz="0" w:space="0" w:color="auto"/>
          </w:divBdr>
        </w:div>
      </w:divsChild>
    </w:div>
    <w:div w:id="1804927817">
      <w:bodyDiv w:val="1"/>
      <w:marLeft w:val="0"/>
      <w:marRight w:val="0"/>
      <w:marTop w:val="0"/>
      <w:marBottom w:val="0"/>
      <w:divBdr>
        <w:top w:val="none" w:sz="0" w:space="0" w:color="auto"/>
        <w:left w:val="none" w:sz="0" w:space="0" w:color="auto"/>
        <w:bottom w:val="none" w:sz="0" w:space="0" w:color="auto"/>
        <w:right w:val="none" w:sz="0" w:space="0" w:color="auto"/>
      </w:divBdr>
    </w:div>
    <w:div w:id="1812554216">
      <w:bodyDiv w:val="1"/>
      <w:marLeft w:val="0"/>
      <w:marRight w:val="0"/>
      <w:marTop w:val="0"/>
      <w:marBottom w:val="0"/>
      <w:divBdr>
        <w:top w:val="none" w:sz="0" w:space="0" w:color="auto"/>
        <w:left w:val="none" w:sz="0" w:space="0" w:color="auto"/>
        <w:bottom w:val="none" w:sz="0" w:space="0" w:color="auto"/>
        <w:right w:val="none" w:sz="0" w:space="0" w:color="auto"/>
      </w:divBdr>
    </w:div>
    <w:div w:id="196098991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198870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data.worldbank.org/data-catalog/world-development-indica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D097AA-54CD-4694-A749-4D133C423E9D}"/>
</file>

<file path=customXml/itemProps2.xml><?xml version="1.0" encoding="utf-8"?>
<ds:datastoreItem xmlns:ds="http://schemas.openxmlformats.org/officeDocument/2006/customXml" ds:itemID="{57DF5F66-DADB-4C9B-8B45-0F9BE8D61301}"/>
</file>

<file path=customXml/itemProps3.xml><?xml version="1.0" encoding="utf-8"?>
<ds:datastoreItem xmlns:ds="http://schemas.openxmlformats.org/officeDocument/2006/customXml" ds:itemID="{2EEEB5F2-C77F-46BF-ABDA-CC00070DE710}"/>
</file>

<file path=customXml/itemProps4.xml><?xml version="1.0" encoding="utf-8"?>
<ds:datastoreItem xmlns:ds="http://schemas.openxmlformats.org/officeDocument/2006/customXml" ds:itemID="{5916C5F5-CDC6-427F-87D5-B8D5C4B265D6}"/>
</file>

<file path=docProps/app.xml><?xml version="1.0" encoding="utf-8"?>
<Properties xmlns="http://schemas.openxmlformats.org/officeDocument/2006/extended-properties" xmlns:vt="http://schemas.openxmlformats.org/officeDocument/2006/docPropsVTypes">
  <Template>Normal.dotm</Template>
  <TotalTime>0</TotalTime>
  <Pages>36</Pages>
  <Words>14856</Words>
  <Characters>84683</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2013-11-19T21:56:00Z</dcterms:created>
  <dcterms:modified xsi:type="dcterms:W3CDTF">2014-01-30T04:49:00Z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310700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