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57" w:rsidRPr="00346320" w:rsidRDefault="00932594" w:rsidP="00932594">
      <w:pPr>
        <w:pStyle w:val="Title"/>
        <w:tabs>
          <w:tab w:val="right" w:pos="7938"/>
        </w:tabs>
        <w:spacing w:before="240"/>
        <w:rPr>
          <w:color w:val="993366"/>
        </w:rPr>
      </w:pPr>
      <w:r>
        <w:rPr>
          <w:noProof/>
          <w:color w:val="993366"/>
          <w:spacing w:val="-200"/>
          <w:sz w:val="2"/>
          <w:szCs w:val="2"/>
          <w:lang w:val="en-US" w:eastAsia="en-US"/>
        </w:rPr>
        <w:drawing>
          <wp:anchor distT="0" distB="0" distL="114300" distR="114300" simplePos="0" relativeHeight="251657728" behindDoc="1" locked="0" layoutInCell="1" allowOverlap="1">
            <wp:simplePos x="0" y="0"/>
            <wp:positionH relativeFrom="page">
              <wp:posOffset>152400</wp:posOffset>
            </wp:positionH>
            <wp:positionV relativeFrom="page">
              <wp:posOffset>152400</wp:posOffset>
            </wp:positionV>
            <wp:extent cx="7560310" cy="3024505"/>
            <wp:effectExtent l="0" t="0" r="2540" b="4445"/>
            <wp:wrapNone/>
            <wp:docPr id="12" name="Picture 3" descr="Austo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oralian Govern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33" w:rsidRPr="00346320">
        <w:rPr>
          <w:color w:val="993366"/>
        </w:rPr>
        <w:t>Bu</w:t>
      </w:r>
      <w:bookmarkStart w:id="0" w:name="_GoBack"/>
      <w:bookmarkEnd w:id="0"/>
      <w:r w:rsidR="007D1F33" w:rsidRPr="00346320">
        <w:rPr>
          <w:color w:val="993366"/>
        </w:rPr>
        <w:t xml:space="preserve">rma Development Cooperation </w:t>
      </w:r>
      <w:r w:rsidR="00346320" w:rsidRPr="00346320">
        <w:rPr>
          <w:color w:val="993366"/>
        </w:rPr>
        <w:t>Report 2010</w:t>
      </w:r>
    </w:p>
    <w:p w:rsidR="004B6157" w:rsidRPr="00346320" w:rsidRDefault="00346320">
      <w:pPr>
        <w:pStyle w:val="Date"/>
        <w:rPr>
          <w:color w:val="993366"/>
        </w:rPr>
      </w:pPr>
      <w:r w:rsidRPr="00346320">
        <w:rPr>
          <w:color w:val="993366"/>
        </w:rPr>
        <w:t xml:space="preserve">August </w:t>
      </w:r>
      <w:r w:rsidR="0067202D" w:rsidRPr="00346320">
        <w:rPr>
          <w:color w:val="993366"/>
        </w:rPr>
        <w:t>2011</w:t>
      </w:r>
    </w:p>
    <w:p w:rsidR="00D04DD6" w:rsidRDefault="00D04DD6" w:rsidP="00FD496F">
      <w:pPr>
        <w:pStyle w:val="Heading1"/>
        <w:spacing w:before="0"/>
      </w:pPr>
      <w:bookmarkStart w:id="1" w:name="_Toc360980578"/>
      <w:r>
        <w:t>Summary</w:t>
      </w:r>
      <w:bookmarkEnd w:id="1"/>
    </w:p>
    <w:p w:rsidR="004F722F" w:rsidRDefault="004F722F">
      <w:pPr>
        <w:pStyle w:val="TOCHeading"/>
      </w:pPr>
      <w:r>
        <w:t>Contents</w:t>
      </w:r>
    </w:p>
    <w:p w:rsidR="004F722F" w:rsidRDefault="004F722F">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980578" w:history="1">
        <w:r w:rsidRPr="0008384D">
          <w:rPr>
            <w:rStyle w:val="Hyperlink"/>
            <w:noProof/>
          </w:rPr>
          <w:t>Summary</w:t>
        </w:r>
        <w:r>
          <w:rPr>
            <w:noProof/>
            <w:webHidden/>
          </w:rPr>
          <w:tab/>
        </w:r>
        <w:r>
          <w:rPr>
            <w:rStyle w:val="Hyperlink"/>
            <w:noProof/>
            <w:rtl/>
          </w:rPr>
          <w:fldChar w:fldCharType="begin"/>
        </w:r>
        <w:r>
          <w:rPr>
            <w:noProof/>
            <w:webHidden/>
          </w:rPr>
          <w:instrText xml:space="preserve"> PAGEREF _Toc360980578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4F722F" w:rsidRDefault="004F722F">
      <w:pPr>
        <w:pStyle w:val="TOC1"/>
        <w:rPr>
          <w:rFonts w:ascii="Calibri" w:hAnsi="Calibri" w:cs="Arial"/>
          <w:noProof/>
          <w:color w:val="auto"/>
          <w:sz w:val="22"/>
          <w:szCs w:val="22"/>
          <w:lang w:val="en-US" w:eastAsia="en-US"/>
        </w:rPr>
      </w:pPr>
      <w:hyperlink w:anchor="_Toc360980579" w:history="1">
        <w:r w:rsidRPr="0008384D">
          <w:rPr>
            <w:rStyle w:val="Hyperlink"/>
            <w:noProof/>
          </w:rPr>
          <w:t>Context</w:t>
        </w:r>
        <w:r>
          <w:rPr>
            <w:noProof/>
            <w:webHidden/>
          </w:rPr>
          <w:tab/>
        </w:r>
        <w:r>
          <w:rPr>
            <w:rStyle w:val="Hyperlink"/>
            <w:noProof/>
            <w:rtl/>
          </w:rPr>
          <w:fldChar w:fldCharType="begin"/>
        </w:r>
        <w:r>
          <w:rPr>
            <w:noProof/>
            <w:webHidden/>
          </w:rPr>
          <w:instrText xml:space="preserve"> PAGEREF _Toc360980579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4F722F" w:rsidRDefault="004F722F">
      <w:pPr>
        <w:pStyle w:val="TOC1"/>
        <w:rPr>
          <w:rFonts w:ascii="Calibri" w:hAnsi="Calibri" w:cs="Arial"/>
          <w:noProof/>
          <w:color w:val="auto"/>
          <w:sz w:val="22"/>
          <w:szCs w:val="22"/>
          <w:lang w:val="en-US" w:eastAsia="en-US"/>
        </w:rPr>
      </w:pPr>
      <w:hyperlink w:anchor="_Toc360980580" w:history="1">
        <w:r w:rsidRPr="0008384D">
          <w:rPr>
            <w:rStyle w:val="Hyperlink"/>
            <w:noProof/>
          </w:rPr>
          <w:t>Australian aid to Burma</w:t>
        </w:r>
        <w:r>
          <w:rPr>
            <w:noProof/>
            <w:webHidden/>
          </w:rPr>
          <w:tab/>
        </w:r>
        <w:r>
          <w:rPr>
            <w:rStyle w:val="Hyperlink"/>
            <w:noProof/>
            <w:rtl/>
          </w:rPr>
          <w:fldChar w:fldCharType="begin"/>
        </w:r>
        <w:r>
          <w:rPr>
            <w:noProof/>
            <w:webHidden/>
          </w:rPr>
          <w:instrText xml:space="preserve"> PAGEREF _Toc360980580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4F722F" w:rsidRDefault="004F722F">
      <w:pPr>
        <w:pStyle w:val="TOC1"/>
        <w:rPr>
          <w:rFonts w:ascii="Calibri" w:hAnsi="Calibri" w:cs="Arial"/>
          <w:noProof/>
          <w:color w:val="auto"/>
          <w:sz w:val="22"/>
          <w:szCs w:val="22"/>
          <w:lang w:val="en-US" w:eastAsia="en-US"/>
        </w:rPr>
      </w:pPr>
      <w:hyperlink w:anchor="_Toc360980581" w:history="1">
        <w:r w:rsidRPr="0008384D">
          <w:rPr>
            <w:rStyle w:val="Hyperlink"/>
            <w:noProof/>
          </w:rPr>
          <w:t>How Australia delivers the aid program</w:t>
        </w:r>
        <w:r>
          <w:rPr>
            <w:noProof/>
            <w:webHidden/>
          </w:rPr>
          <w:tab/>
        </w:r>
        <w:r>
          <w:rPr>
            <w:rStyle w:val="Hyperlink"/>
            <w:noProof/>
            <w:rtl/>
          </w:rPr>
          <w:fldChar w:fldCharType="begin"/>
        </w:r>
        <w:r>
          <w:rPr>
            <w:noProof/>
            <w:webHidden/>
          </w:rPr>
          <w:instrText xml:space="preserve"> PAGEREF _Toc360980581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4F722F" w:rsidRDefault="004F722F">
      <w:pPr>
        <w:pStyle w:val="TOC1"/>
        <w:rPr>
          <w:rFonts w:ascii="Calibri" w:hAnsi="Calibri" w:cs="Arial"/>
          <w:noProof/>
          <w:color w:val="auto"/>
          <w:sz w:val="22"/>
          <w:szCs w:val="22"/>
          <w:lang w:val="en-US" w:eastAsia="en-US"/>
        </w:rPr>
      </w:pPr>
      <w:hyperlink w:anchor="_Toc360980582" w:history="1">
        <w:r w:rsidRPr="0008384D">
          <w:rPr>
            <w:rStyle w:val="Hyperlink"/>
            <w:noProof/>
          </w:rPr>
          <w:t>Program objectives</w:t>
        </w:r>
        <w:r>
          <w:rPr>
            <w:noProof/>
            <w:webHidden/>
          </w:rPr>
          <w:tab/>
        </w:r>
        <w:r>
          <w:rPr>
            <w:rStyle w:val="Hyperlink"/>
            <w:noProof/>
            <w:rtl/>
          </w:rPr>
          <w:fldChar w:fldCharType="begin"/>
        </w:r>
        <w:r>
          <w:rPr>
            <w:noProof/>
            <w:webHidden/>
          </w:rPr>
          <w:instrText xml:space="preserve"> PAGEREF _Toc360980582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4F722F" w:rsidRDefault="004F722F">
      <w:pPr>
        <w:pStyle w:val="TOC1"/>
        <w:rPr>
          <w:rFonts w:ascii="Calibri" w:hAnsi="Calibri" w:cs="Arial"/>
          <w:noProof/>
          <w:color w:val="auto"/>
          <w:sz w:val="22"/>
          <w:szCs w:val="22"/>
          <w:lang w:val="en-US" w:eastAsia="en-US"/>
        </w:rPr>
      </w:pPr>
      <w:hyperlink w:anchor="_Toc360980583" w:history="1">
        <w:r w:rsidRPr="0008384D">
          <w:rPr>
            <w:rStyle w:val="Hyperlink"/>
            <w:noProof/>
          </w:rPr>
          <w:t>Progress against objectives</w:t>
        </w:r>
        <w:r>
          <w:rPr>
            <w:noProof/>
            <w:webHidden/>
          </w:rPr>
          <w:tab/>
        </w:r>
        <w:r>
          <w:rPr>
            <w:rStyle w:val="Hyperlink"/>
            <w:noProof/>
            <w:rtl/>
          </w:rPr>
          <w:fldChar w:fldCharType="begin"/>
        </w:r>
        <w:r>
          <w:rPr>
            <w:noProof/>
            <w:webHidden/>
          </w:rPr>
          <w:instrText xml:space="preserve"> PAGEREF _Toc360980583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4F722F" w:rsidRDefault="004F722F">
      <w:pPr>
        <w:pStyle w:val="TOC2"/>
        <w:rPr>
          <w:rFonts w:ascii="Calibri" w:hAnsi="Calibri" w:cs="Arial"/>
          <w:noProof/>
          <w:color w:val="auto"/>
          <w:sz w:val="22"/>
          <w:szCs w:val="22"/>
          <w:lang w:val="en-US" w:eastAsia="en-US"/>
        </w:rPr>
      </w:pPr>
      <w:hyperlink w:anchor="_Toc360980584" w:history="1">
        <w:r w:rsidRPr="0008384D">
          <w:rPr>
            <w:rStyle w:val="Hyperlink"/>
            <w:noProof/>
          </w:rPr>
          <w:t>Objective 1: Reduce the burden of HIV/AIDS, Tuberculosis</w:t>
        </w:r>
        <w:r w:rsidRPr="0008384D">
          <w:rPr>
            <w:rStyle w:val="Hyperlink"/>
            <w:rFonts w:ascii="Georgia" w:hAnsi="Georgia"/>
            <w:noProof/>
          </w:rPr>
          <w:t xml:space="preserve"> </w:t>
        </w:r>
        <w:r w:rsidRPr="0008384D">
          <w:rPr>
            <w:rStyle w:val="Hyperlink"/>
            <w:noProof/>
          </w:rPr>
          <w:t>and malaria</w:t>
        </w:r>
        <w:r>
          <w:rPr>
            <w:noProof/>
            <w:webHidden/>
          </w:rPr>
          <w:tab/>
        </w:r>
        <w:r>
          <w:rPr>
            <w:rStyle w:val="Hyperlink"/>
            <w:noProof/>
            <w:rtl/>
          </w:rPr>
          <w:fldChar w:fldCharType="begin"/>
        </w:r>
        <w:r>
          <w:rPr>
            <w:noProof/>
            <w:webHidden/>
          </w:rPr>
          <w:instrText xml:space="preserve"> PAGEREF _Toc360980584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rsidR="004F722F" w:rsidRDefault="004F722F">
      <w:pPr>
        <w:pStyle w:val="TOC2"/>
        <w:rPr>
          <w:rFonts w:ascii="Calibri" w:hAnsi="Calibri" w:cs="Arial"/>
          <w:noProof/>
          <w:color w:val="auto"/>
          <w:sz w:val="22"/>
          <w:szCs w:val="22"/>
          <w:lang w:val="en-US" w:eastAsia="en-US"/>
        </w:rPr>
      </w:pPr>
      <w:hyperlink w:anchor="_Toc360980585" w:history="1">
        <w:r w:rsidRPr="0008384D">
          <w:rPr>
            <w:rStyle w:val="Hyperlink"/>
            <w:noProof/>
          </w:rPr>
          <w:t>Objective 2: Improve the delivery of basic health services</w:t>
        </w:r>
        <w:r>
          <w:rPr>
            <w:noProof/>
            <w:webHidden/>
          </w:rPr>
          <w:tab/>
        </w:r>
        <w:r>
          <w:rPr>
            <w:rStyle w:val="Hyperlink"/>
            <w:noProof/>
            <w:rtl/>
          </w:rPr>
          <w:fldChar w:fldCharType="begin"/>
        </w:r>
        <w:r>
          <w:rPr>
            <w:noProof/>
            <w:webHidden/>
          </w:rPr>
          <w:instrText xml:space="preserve"> PAGEREF _Toc360980585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rsidR="004F722F" w:rsidRDefault="004F722F">
      <w:pPr>
        <w:pStyle w:val="TOC2"/>
        <w:rPr>
          <w:rFonts w:ascii="Calibri" w:hAnsi="Calibri" w:cs="Arial"/>
          <w:noProof/>
          <w:color w:val="auto"/>
          <w:sz w:val="22"/>
          <w:szCs w:val="22"/>
          <w:lang w:val="en-US" w:eastAsia="en-US"/>
        </w:rPr>
      </w:pPr>
      <w:hyperlink w:anchor="_Toc360980586" w:history="1">
        <w:r w:rsidRPr="0008384D">
          <w:rPr>
            <w:rStyle w:val="Hyperlink"/>
            <w:noProof/>
          </w:rPr>
          <w:t>Objective 3: Improve access to and quality of basic education</w:t>
        </w:r>
        <w:r>
          <w:rPr>
            <w:noProof/>
            <w:webHidden/>
          </w:rPr>
          <w:tab/>
        </w:r>
        <w:r>
          <w:rPr>
            <w:rStyle w:val="Hyperlink"/>
            <w:noProof/>
            <w:rtl/>
          </w:rPr>
          <w:fldChar w:fldCharType="begin"/>
        </w:r>
        <w:r>
          <w:rPr>
            <w:noProof/>
            <w:webHidden/>
          </w:rPr>
          <w:instrText xml:space="preserve"> PAGEREF _Toc360980586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4F722F" w:rsidRDefault="004F722F">
      <w:pPr>
        <w:pStyle w:val="TOC2"/>
        <w:rPr>
          <w:rFonts w:ascii="Calibri" w:hAnsi="Calibri" w:cs="Arial"/>
          <w:noProof/>
          <w:color w:val="auto"/>
          <w:sz w:val="22"/>
          <w:szCs w:val="22"/>
          <w:lang w:val="en-US" w:eastAsia="en-US"/>
        </w:rPr>
      </w:pPr>
      <w:hyperlink w:anchor="_Toc360980587" w:history="1">
        <w:r w:rsidRPr="0008384D">
          <w:rPr>
            <w:rStyle w:val="Hyperlink"/>
            <w:noProof/>
          </w:rPr>
          <w:t>Objective 4: Improved food and livelihoods security</w:t>
        </w:r>
        <w:r>
          <w:rPr>
            <w:noProof/>
            <w:webHidden/>
          </w:rPr>
          <w:tab/>
        </w:r>
        <w:r>
          <w:rPr>
            <w:rStyle w:val="Hyperlink"/>
            <w:noProof/>
            <w:rtl/>
          </w:rPr>
          <w:fldChar w:fldCharType="begin"/>
        </w:r>
        <w:r>
          <w:rPr>
            <w:noProof/>
            <w:webHidden/>
          </w:rPr>
          <w:instrText xml:space="preserve"> PAGEREF _Toc360980587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4F722F" w:rsidRDefault="004F722F">
      <w:pPr>
        <w:pStyle w:val="TOC2"/>
        <w:rPr>
          <w:rFonts w:ascii="Calibri" w:hAnsi="Calibri" w:cs="Arial"/>
          <w:noProof/>
          <w:color w:val="auto"/>
          <w:sz w:val="22"/>
          <w:szCs w:val="22"/>
          <w:lang w:val="en-US" w:eastAsia="en-US"/>
        </w:rPr>
      </w:pPr>
      <w:hyperlink w:anchor="_Toc360980588" w:history="1">
        <w:r w:rsidRPr="0008384D">
          <w:rPr>
            <w:rStyle w:val="Hyperlink"/>
            <w:noProof/>
          </w:rPr>
          <w:t>Objective 5: Addressing the needs of vulnerable people</w:t>
        </w:r>
        <w:r>
          <w:rPr>
            <w:noProof/>
            <w:webHidden/>
          </w:rPr>
          <w:tab/>
        </w:r>
        <w:r>
          <w:rPr>
            <w:rStyle w:val="Hyperlink"/>
            <w:noProof/>
            <w:rtl/>
          </w:rPr>
          <w:fldChar w:fldCharType="begin"/>
        </w:r>
        <w:r>
          <w:rPr>
            <w:noProof/>
            <w:webHidden/>
          </w:rPr>
          <w:instrText xml:space="preserve"> PAGEREF _Toc360980588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4F722F" w:rsidRDefault="004F722F">
      <w:pPr>
        <w:pStyle w:val="TOC2"/>
        <w:rPr>
          <w:rFonts w:ascii="Calibri" w:hAnsi="Calibri" w:cs="Arial"/>
          <w:noProof/>
          <w:color w:val="auto"/>
          <w:sz w:val="22"/>
          <w:szCs w:val="22"/>
          <w:lang w:val="en-US" w:eastAsia="en-US"/>
        </w:rPr>
      </w:pPr>
      <w:hyperlink w:anchor="_Toc360980589" w:history="1">
        <w:r w:rsidRPr="0008384D">
          <w:rPr>
            <w:rStyle w:val="Hyperlink"/>
            <w:noProof/>
          </w:rPr>
          <w:t>Program-wide initiatives</w:t>
        </w:r>
        <w:r>
          <w:rPr>
            <w:noProof/>
            <w:webHidden/>
          </w:rPr>
          <w:tab/>
        </w:r>
        <w:r>
          <w:rPr>
            <w:rStyle w:val="Hyperlink"/>
            <w:noProof/>
            <w:rtl/>
          </w:rPr>
          <w:fldChar w:fldCharType="begin"/>
        </w:r>
        <w:r>
          <w:rPr>
            <w:noProof/>
            <w:webHidden/>
          </w:rPr>
          <w:instrText xml:space="preserve"> PAGEREF _Toc360980589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4F722F" w:rsidRDefault="004F722F">
      <w:pPr>
        <w:pStyle w:val="TOC2"/>
        <w:rPr>
          <w:rFonts w:ascii="Calibri" w:hAnsi="Calibri" w:cs="Arial"/>
          <w:noProof/>
          <w:color w:val="auto"/>
          <w:sz w:val="22"/>
          <w:szCs w:val="22"/>
          <w:lang w:val="en-US" w:eastAsia="en-US"/>
        </w:rPr>
      </w:pPr>
      <w:hyperlink w:anchor="_Toc360980590" w:history="1">
        <w:r w:rsidRPr="0008384D">
          <w:rPr>
            <w:rStyle w:val="Hyperlink"/>
            <w:noProof/>
          </w:rPr>
          <w:t>Regional programs</w:t>
        </w:r>
        <w:r>
          <w:rPr>
            <w:noProof/>
            <w:webHidden/>
          </w:rPr>
          <w:tab/>
        </w:r>
        <w:r>
          <w:rPr>
            <w:rStyle w:val="Hyperlink"/>
            <w:noProof/>
            <w:rtl/>
          </w:rPr>
          <w:fldChar w:fldCharType="begin"/>
        </w:r>
        <w:r>
          <w:rPr>
            <w:noProof/>
            <w:webHidden/>
          </w:rPr>
          <w:instrText xml:space="preserve"> PAGEREF _Toc360980590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rsidR="004F722F" w:rsidRDefault="004F722F">
      <w:pPr>
        <w:pStyle w:val="TOC1"/>
        <w:rPr>
          <w:rFonts w:ascii="Calibri" w:hAnsi="Calibri" w:cs="Arial"/>
          <w:noProof/>
          <w:color w:val="auto"/>
          <w:sz w:val="22"/>
          <w:szCs w:val="22"/>
          <w:lang w:val="en-US" w:eastAsia="en-US"/>
        </w:rPr>
      </w:pPr>
      <w:hyperlink w:anchor="_Toc360980591" w:history="1">
        <w:r w:rsidRPr="0008384D">
          <w:rPr>
            <w:rStyle w:val="Hyperlink"/>
            <w:noProof/>
          </w:rPr>
          <w:t>Program quality</w:t>
        </w:r>
        <w:r>
          <w:rPr>
            <w:noProof/>
            <w:webHidden/>
          </w:rPr>
          <w:tab/>
        </w:r>
        <w:r>
          <w:rPr>
            <w:rStyle w:val="Hyperlink"/>
            <w:noProof/>
            <w:rtl/>
          </w:rPr>
          <w:fldChar w:fldCharType="begin"/>
        </w:r>
        <w:r>
          <w:rPr>
            <w:noProof/>
            <w:webHidden/>
          </w:rPr>
          <w:instrText xml:space="preserve"> PAGEREF _Toc360980591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rsidR="004F722F" w:rsidRDefault="004F722F">
      <w:pPr>
        <w:pStyle w:val="TOC1"/>
        <w:rPr>
          <w:rFonts w:ascii="Calibri" w:hAnsi="Calibri" w:cs="Arial"/>
          <w:noProof/>
          <w:color w:val="auto"/>
          <w:sz w:val="22"/>
          <w:szCs w:val="22"/>
          <w:lang w:val="en-US" w:eastAsia="en-US"/>
        </w:rPr>
      </w:pPr>
      <w:hyperlink w:anchor="_Toc360980592" w:history="1">
        <w:r w:rsidRPr="0008384D">
          <w:rPr>
            <w:rStyle w:val="Hyperlink"/>
            <w:noProof/>
          </w:rPr>
          <w:t>Next steps</w:t>
        </w:r>
        <w:r>
          <w:rPr>
            <w:noProof/>
            <w:webHidden/>
          </w:rPr>
          <w:tab/>
        </w:r>
        <w:r>
          <w:rPr>
            <w:rStyle w:val="Hyperlink"/>
            <w:noProof/>
            <w:rtl/>
          </w:rPr>
          <w:fldChar w:fldCharType="begin"/>
        </w:r>
        <w:r>
          <w:rPr>
            <w:noProof/>
            <w:webHidden/>
          </w:rPr>
          <w:instrText xml:space="preserve"> PAGEREF _Toc360980592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4F722F" w:rsidRDefault="004F722F">
      <w:r>
        <w:fldChar w:fldCharType="end"/>
      </w:r>
    </w:p>
    <w:p w:rsidR="00B5786D" w:rsidRPr="002E7CB4" w:rsidRDefault="004F722F" w:rsidP="00E922B1">
      <w:pPr>
        <w:spacing w:before="120" w:after="120" w:line="240" w:lineRule="exact"/>
        <w:ind w:right="-340"/>
        <w:rPr>
          <w:rFonts w:ascii="Georgia" w:hAnsi="Georgia"/>
          <w:szCs w:val="20"/>
        </w:rPr>
      </w:pPr>
      <w:r>
        <w:rPr>
          <w:rFonts w:ascii="Georgia" w:hAnsi="Georgia"/>
          <w:szCs w:val="20"/>
        </w:rPr>
        <w:br w:type="page"/>
      </w:r>
      <w:r w:rsidR="00B5786D" w:rsidRPr="002E7CB4">
        <w:rPr>
          <w:rFonts w:ascii="Georgia" w:hAnsi="Georgia"/>
          <w:szCs w:val="20"/>
        </w:rPr>
        <w:lastRenderedPageBreak/>
        <w:t xml:space="preserve">This report summarises the progress </w:t>
      </w:r>
      <w:r w:rsidR="00630F7D">
        <w:rPr>
          <w:rFonts w:ascii="Georgia" w:hAnsi="Georgia"/>
          <w:szCs w:val="20"/>
        </w:rPr>
        <w:t xml:space="preserve">made </w:t>
      </w:r>
      <w:r w:rsidR="00B5786D" w:rsidRPr="002E7CB4">
        <w:rPr>
          <w:rFonts w:ascii="Georgia" w:hAnsi="Georgia"/>
          <w:szCs w:val="20"/>
        </w:rPr>
        <w:t>in 2010 towards the objectives of</w:t>
      </w:r>
      <w:r w:rsidR="002E3E10" w:rsidRPr="002E7CB4">
        <w:rPr>
          <w:rFonts w:ascii="Georgia" w:hAnsi="Georgia"/>
          <w:szCs w:val="20"/>
        </w:rPr>
        <w:t xml:space="preserve"> Australia’s aid program in</w:t>
      </w:r>
      <w:r w:rsidR="00B5786D" w:rsidRPr="002E7CB4">
        <w:rPr>
          <w:rFonts w:ascii="Georgia" w:hAnsi="Georgia"/>
          <w:szCs w:val="20"/>
        </w:rPr>
        <w:t xml:space="preserve"> Burma. The program provide</w:t>
      </w:r>
      <w:r w:rsidR="000744FD">
        <w:rPr>
          <w:rFonts w:ascii="Georgia" w:hAnsi="Georgia"/>
          <w:szCs w:val="20"/>
        </w:rPr>
        <w:t>s</w:t>
      </w:r>
      <w:r w:rsidR="00B5786D" w:rsidRPr="002E7CB4">
        <w:rPr>
          <w:rFonts w:ascii="Georgia" w:hAnsi="Georgia"/>
          <w:szCs w:val="20"/>
        </w:rPr>
        <w:t xml:space="preserve"> development assistance that complements bilateral programs and supports regional objectives. </w:t>
      </w:r>
    </w:p>
    <w:p w:rsidR="00386A82" w:rsidRDefault="001B0EE1" w:rsidP="001B0EE1">
      <w:pPr>
        <w:spacing w:before="120" w:after="120" w:line="240" w:lineRule="exact"/>
        <w:ind w:right="-340"/>
        <w:rPr>
          <w:rFonts w:ascii="Georgia" w:hAnsi="Georgia"/>
          <w:szCs w:val="20"/>
        </w:rPr>
      </w:pPr>
      <w:r w:rsidRPr="002E7CB4">
        <w:rPr>
          <w:rFonts w:ascii="Georgia" w:hAnsi="Georgia"/>
          <w:szCs w:val="20"/>
        </w:rPr>
        <w:t xml:space="preserve">Australia’s aid to Burma is undergoing a major transition from a primarily humanitarian approach to a significantly increased program that incorporates a focus on long-term development outcomes.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This is </w:t>
      </w:r>
      <w:r w:rsidR="00386A82">
        <w:rPr>
          <w:rFonts w:ascii="Georgia" w:hAnsi="Georgia"/>
          <w:szCs w:val="20"/>
        </w:rPr>
        <w:t xml:space="preserve">the </w:t>
      </w:r>
      <w:r w:rsidR="005D6CB9" w:rsidRPr="005D6CB9">
        <w:rPr>
          <w:rFonts w:ascii="Georgia" w:hAnsi="Georgia"/>
          <w:szCs w:val="20"/>
        </w:rPr>
        <w:t>Australian Agency for International Development’s (</w:t>
      </w:r>
      <w:r w:rsidRPr="005D6CB9">
        <w:rPr>
          <w:rFonts w:ascii="Georgia" w:hAnsi="Georgia"/>
          <w:szCs w:val="20"/>
        </w:rPr>
        <w:t>AusAID</w:t>
      </w:r>
      <w:r w:rsidR="005D6CB9" w:rsidRPr="005D6CB9">
        <w:rPr>
          <w:rFonts w:ascii="Georgia" w:hAnsi="Georgia"/>
          <w:szCs w:val="20"/>
        </w:rPr>
        <w:t>)</w:t>
      </w:r>
      <w:r w:rsidRPr="002E7CB4">
        <w:rPr>
          <w:rFonts w:ascii="Georgia" w:hAnsi="Georgia"/>
          <w:szCs w:val="20"/>
        </w:rPr>
        <w:t xml:space="preserve"> first </w:t>
      </w:r>
      <w:r w:rsidR="00386A82">
        <w:rPr>
          <w:rFonts w:ascii="Georgia" w:hAnsi="Georgia"/>
          <w:szCs w:val="20"/>
        </w:rPr>
        <w:t>a</w:t>
      </w:r>
      <w:r w:rsidRPr="002E7CB4">
        <w:rPr>
          <w:rFonts w:ascii="Georgia" w:hAnsi="Georgia"/>
          <w:szCs w:val="20"/>
        </w:rPr>
        <w:t xml:space="preserve">nnual </w:t>
      </w:r>
      <w:r w:rsidR="00386A82">
        <w:rPr>
          <w:rFonts w:ascii="Georgia" w:hAnsi="Georgia"/>
          <w:szCs w:val="20"/>
        </w:rPr>
        <w:t xml:space="preserve">Development Cooperation </w:t>
      </w:r>
      <w:r w:rsidRPr="002E7CB4">
        <w:rPr>
          <w:rFonts w:ascii="Georgia" w:hAnsi="Georgia"/>
          <w:szCs w:val="20"/>
        </w:rPr>
        <w:t xml:space="preserve">Report for the Burma </w:t>
      </w:r>
      <w:r w:rsidR="00386A82">
        <w:rPr>
          <w:rFonts w:ascii="Georgia" w:hAnsi="Georgia"/>
          <w:szCs w:val="20"/>
        </w:rPr>
        <w:t>aid p</w:t>
      </w:r>
      <w:r w:rsidRPr="002E7CB4">
        <w:rPr>
          <w:rFonts w:ascii="Georgia" w:hAnsi="Georgia"/>
          <w:szCs w:val="20"/>
        </w:rPr>
        <w:t>rogram</w:t>
      </w:r>
      <w:r w:rsidR="00386A82">
        <w:rPr>
          <w:rFonts w:ascii="Georgia" w:hAnsi="Georgia"/>
          <w:szCs w:val="20"/>
        </w:rPr>
        <w:t>. I</w:t>
      </w:r>
      <w:r w:rsidRPr="002E7CB4">
        <w:rPr>
          <w:rFonts w:ascii="Georgia" w:hAnsi="Georgia"/>
          <w:szCs w:val="20"/>
        </w:rPr>
        <w:t>t assesses performance against the objectives identified in the Ministerial Statement on Burma (February 2010)</w:t>
      </w:r>
      <w:r w:rsidR="000744FD">
        <w:rPr>
          <w:rStyle w:val="FootnoteReference"/>
        </w:rPr>
        <w:footnoteReference w:id="2"/>
      </w:r>
      <w:r w:rsidRPr="002E7CB4">
        <w:rPr>
          <w:rFonts w:ascii="Georgia" w:hAnsi="Georgia"/>
          <w:szCs w:val="20"/>
        </w:rPr>
        <w:t xml:space="preserve"> . </w:t>
      </w:r>
    </w:p>
    <w:p w:rsidR="00254243" w:rsidRPr="002E7CB4" w:rsidRDefault="002E7CB4" w:rsidP="00254243">
      <w:pPr>
        <w:pStyle w:val="Heading1"/>
        <w:spacing w:before="240" w:after="120"/>
        <w:ind w:left="0"/>
        <w:rPr>
          <w:color w:val="800000"/>
        </w:rPr>
      </w:pPr>
      <w:bookmarkStart w:id="2" w:name="_Toc360980579"/>
      <w:r>
        <w:rPr>
          <w:color w:val="800000"/>
        </w:rPr>
        <w:t>C</w:t>
      </w:r>
      <w:r w:rsidR="00254243" w:rsidRPr="002E7CB4">
        <w:rPr>
          <w:color w:val="800000"/>
        </w:rPr>
        <w:t>ontext</w:t>
      </w:r>
      <w:bookmarkEnd w:id="2"/>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At the time of </w:t>
      </w:r>
      <w:r w:rsidR="00386A82">
        <w:rPr>
          <w:rFonts w:ascii="Georgia" w:hAnsi="Georgia"/>
          <w:szCs w:val="20"/>
        </w:rPr>
        <w:t>I</w:t>
      </w:r>
      <w:r w:rsidRPr="002E7CB4">
        <w:rPr>
          <w:rFonts w:ascii="Georgia" w:hAnsi="Georgia"/>
          <w:szCs w:val="20"/>
        </w:rPr>
        <w:t xml:space="preserve">ndependence in </w:t>
      </w:r>
      <w:r w:rsidRPr="002E7CB4">
        <w:rPr>
          <w:szCs w:val="20"/>
        </w:rPr>
        <w:t>1948</w:t>
      </w:r>
      <w:r w:rsidRPr="002E7CB4">
        <w:rPr>
          <w:rFonts w:ascii="Georgia" w:hAnsi="Georgia"/>
          <w:szCs w:val="20"/>
        </w:rPr>
        <w:t xml:space="preserve"> Burma was expected to become one of the most prosperous countries in Asia due to its geographic location, abundant natural resources and comparatively strong human resource base. Today most Burmese are desperately poor. Health and education outcomes are among the worst in the region</w:t>
      </w:r>
      <w:r w:rsidR="00EC0F65">
        <w:rPr>
          <w:rFonts w:ascii="Georgia" w:hAnsi="Georgia"/>
          <w:szCs w:val="20"/>
        </w:rPr>
        <w:t>,</w:t>
      </w:r>
      <w:r w:rsidRPr="002E7CB4">
        <w:rPr>
          <w:rFonts w:ascii="Georgia" w:hAnsi="Georgia"/>
          <w:szCs w:val="20"/>
        </w:rPr>
        <w:t xml:space="preserve"> governance is poor and human capital has declined across all sectors of society. Official Burmese economic and social data is highly unreliable and evidence assembled from a range of other sources</w:t>
      </w:r>
      <w:r w:rsidRPr="002E7CB4">
        <w:t xml:space="preserve"> </w:t>
      </w:r>
      <w:r w:rsidRPr="002E7CB4">
        <w:rPr>
          <w:rFonts w:ascii="Georgia" w:hAnsi="Georgia"/>
          <w:szCs w:val="20"/>
        </w:rPr>
        <w:t>suggests that Burma</w:t>
      </w:r>
      <w:r w:rsidR="00386A82">
        <w:rPr>
          <w:rFonts w:ascii="Georgia" w:hAnsi="Georgia"/>
          <w:szCs w:val="20"/>
        </w:rPr>
        <w:t xml:space="preserve"> </w:t>
      </w:r>
      <w:r w:rsidRPr="002E7CB4">
        <w:rPr>
          <w:rFonts w:ascii="Georgia" w:hAnsi="Georgia"/>
          <w:szCs w:val="20"/>
        </w:rPr>
        <w:t xml:space="preserve">is not on track to achieve key </w:t>
      </w:r>
      <w:r w:rsidR="005D6CB9" w:rsidRPr="005D6CB9">
        <w:rPr>
          <w:rFonts w:ascii="Georgia" w:hAnsi="Georgia"/>
          <w:szCs w:val="20"/>
        </w:rPr>
        <w:t xml:space="preserve">Millennium Development </w:t>
      </w:r>
      <w:r w:rsidR="005D6CB9" w:rsidRPr="004851F2">
        <w:rPr>
          <w:rFonts w:ascii="Georgia" w:hAnsi="Georgia"/>
          <w:szCs w:val="20"/>
        </w:rPr>
        <w:t xml:space="preserve">Goals </w:t>
      </w:r>
      <w:r w:rsidR="004851F2" w:rsidRPr="004851F2">
        <w:rPr>
          <w:rFonts w:ascii="Georgia" w:hAnsi="Georgia"/>
          <w:szCs w:val="20"/>
        </w:rPr>
        <w:t>(</w:t>
      </w:r>
      <w:r w:rsidRPr="004851F2">
        <w:rPr>
          <w:rFonts w:ascii="Georgia" w:hAnsi="Georgia"/>
          <w:szCs w:val="20"/>
        </w:rPr>
        <w:t>MDG</w:t>
      </w:r>
      <w:r w:rsidR="004851F2" w:rsidRPr="004851F2">
        <w:rPr>
          <w:rFonts w:ascii="Georgia" w:hAnsi="Georgia"/>
          <w:szCs w:val="20"/>
        </w:rPr>
        <w:t>)</w:t>
      </w:r>
      <w:r w:rsidRPr="004851F2">
        <w:rPr>
          <w:rFonts w:ascii="Georgia" w:hAnsi="Georgia"/>
          <w:szCs w:val="20"/>
        </w:rPr>
        <w:t xml:space="preserve"> targets</w:t>
      </w:r>
      <w:r w:rsidRPr="002E7CB4">
        <w:rPr>
          <w:rFonts w:ascii="Georgia" w:hAnsi="Georgia"/>
          <w:szCs w:val="20"/>
        </w:rPr>
        <w:t xml:space="preserve">. In contrast to its neighbours Burma continues to slide further into poverty.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Burma is one of the most ethnically diverse countries in the region. Many ethnic groups, particularly in border areas, live in difficult economic and political situations exacerbated by ongoing armed conflict. It is in these areas that some of the worst poverty, human rights abuses and disenfranchisement occur. This has resulted in </w:t>
      </w:r>
      <w:r w:rsidR="00386A82">
        <w:rPr>
          <w:rFonts w:ascii="Georgia" w:hAnsi="Georgia"/>
          <w:szCs w:val="20"/>
        </w:rPr>
        <w:t xml:space="preserve">Burmese </w:t>
      </w:r>
      <w:r w:rsidRPr="002E7CB4">
        <w:rPr>
          <w:rFonts w:ascii="Georgia" w:hAnsi="Georgia"/>
          <w:szCs w:val="20"/>
        </w:rPr>
        <w:t>refugee</w:t>
      </w:r>
      <w:r w:rsidR="00386A82">
        <w:rPr>
          <w:rFonts w:ascii="Georgia" w:hAnsi="Georgia"/>
          <w:szCs w:val="20"/>
        </w:rPr>
        <w:t>s moving to</w:t>
      </w:r>
      <w:r w:rsidRPr="002E7CB4">
        <w:rPr>
          <w:rFonts w:ascii="Georgia" w:hAnsi="Georgia"/>
          <w:szCs w:val="20"/>
        </w:rPr>
        <w:t xml:space="preserve"> Thailand and Bangladesh.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Burma is prone to natural disasters and communities are highly vulnerable to the effects. The Irrawaddy Delta is still recovering from the devastation caused by Cyclone Nargis</w:t>
      </w:r>
      <w:r w:rsidR="00386A82">
        <w:rPr>
          <w:rFonts w:ascii="Georgia" w:hAnsi="Georgia"/>
          <w:szCs w:val="20"/>
        </w:rPr>
        <w:t xml:space="preserve">, </w:t>
      </w:r>
      <w:r w:rsidRPr="002E7CB4">
        <w:rPr>
          <w:rFonts w:ascii="Georgia" w:hAnsi="Georgia"/>
          <w:szCs w:val="20"/>
        </w:rPr>
        <w:t xml:space="preserve">which struck in May 2008. In </w:t>
      </w:r>
      <w:r w:rsidR="00386A82">
        <w:rPr>
          <w:rFonts w:ascii="Georgia" w:hAnsi="Georgia"/>
          <w:szCs w:val="20"/>
        </w:rPr>
        <w:t xml:space="preserve">June </w:t>
      </w:r>
      <w:r w:rsidRPr="002E7CB4">
        <w:rPr>
          <w:rFonts w:ascii="Georgia" w:hAnsi="Georgia"/>
          <w:szCs w:val="20"/>
        </w:rPr>
        <w:t>2010 Rakhine State was severely affected by floods and Cyclone Giri</w:t>
      </w:r>
      <w:r w:rsidR="00386A82">
        <w:rPr>
          <w:rFonts w:ascii="Georgia" w:hAnsi="Georgia"/>
          <w:szCs w:val="20"/>
        </w:rPr>
        <w:t xml:space="preserve">, which hit in </w:t>
      </w:r>
      <w:r w:rsidRPr="002E7CB4">
        <w:rPr>
          <w:rFonts w:ascii="Georgia" w:hAnsi="Georgia"/>
          <w:szCs w:val="20"/>
        </w:rPr>
        <w:t>October</w:t>
      </w:r>
      <w:r w:rsidR="00386A82">
        <w:rPr>
          <w:rFonts w:ascii="Georgia" w:hAnsi="Georgia"/>
          <w:szCs w:val="20"/>
        </w:rPr>
        <w:t>, killed</w:t>
      </w:r>
      <w:r w:rsidRPr="002E7CB4">
        <w:rPr>
          <w:rFonts w:ascii="Georgia" w:hAnsi="Georgia"/>
          <w:szCs w:val="20"/>
        </w:rPr>
        <w:t xml:space="preserve"> </w:t>
      </w:r>
      <w:r w:rsidR="00181B24">
        <w:rPr>
          <w:rFonts w:ascii="Georgia" w:hAnsi="Georgia"/>
          <w:szCs w:val="20"/>
        </w:rPr>
        <w:t>more than</w:t>
      </w:r>
      <w:r w:rsidRPr="002E7CB4">
        <w:rPr>
          <w:rFonts w:ascii="Georgia" w:hAnsi="Georgia"/>
          <w:szCs w:val="20"/>
        </w:rPr>
        <w:t xml:space="preserve"> 100 people and </w:t>
      </w:r>
      <w:r w:rsidR="00386A82">
        <w:rPr>
          <w:rFonts w:ascii="Georgia" w:hAnsi="Georgia"/>
          <w:szCs w:val="20"/>
        </w:rPr>
        <w:t xml:space="preserve">caused </w:t>
      </w:r>
      <w:r w:rsidRPr="002E7CB4">
        <w:rPr>
          <w:rFonts w:ascii="Georgia" w:hAnsi="Georgia"/>
          <w:szCs w:val="20"/>
        </w:rPr>
        <w:t xml:space="preserve">widespread damage to crops, homes and infrastructure. </w:t>
      </w:r>
    </w:p>
    <w:p w:rsidR="001B0EE1" w:rsidRPr="002E7CB4" w:rsidRDefault="001B0EE1" w:rsidP="001B0EE1">
      <w:pPr>
        <w:spacing w:before="120" w:after="120" w:line="240" w:lineRule="exact"/>
        <w:ind w:right="-340"/>
      </w:pPr>
      <w:r w:rsidRPr="002E7CB4">
        <w:rPr>
          <w:rFonts w:ascii="Georgia" w:hAnsi="Georgia"/>
          <w:szCs w:val="20"/>
        </w:rPr>
        <w:t xml:space="preserve">While reliable data is difficult to obtain, </w:t>
      </w:r>
      <w:r w:rsidR="002D3003" w:rsidRPr="002E7CB4">
        <w:rPr>
          <w:rFonts w:ascii="Georgia" w:hAnsi="Georgia"/>
          <w:szCs w:val="20"/>
        </w:rPr>
        <w:t xml:space="preserve">Burma has one of the lowest levels of public social sector expenditure. </w:t>
      </w:r>
      <w:r w:rsidRPr="002E7CB4">
        <w:rPr>
          <w:rFonts w:ascii="Georgia" w:hAnsi="Georgia"/>
          <w:szCs w:val="20"/>
        </w:rPr>
        <w:t>At the heart of the development challenges in Burma is a sustained lack of political will to provide the right policy settings and essential services for economic development and poverty reduction. This</w:t>
      </w:r>
      <w:r w:rsidR="00386A82">
        <w:rPr>
          <w:rFonts w:ascii="Georgia" w:hAnsi="Georgia"/>
          <w:szCs w:val="20"/>
        </w:rPr>
        <w:t>,</w:t>
      </w:r>
      <w:r w:rsidRPr="002E7CB4">
        <w:rPr>
          <w:rFonts w:ascii="Georgia" w:hAnsi="Georgia"/>
          <w:szCs w:val="20"/>
        </w:rPr>
        <w:t xml:space="preserve"> however</w:t>
      </w:r>
      <w:r w:rsidR="00386A82">
        <w:rPr>
          <w:rFonts w:ascii="Georgia" w:hAnsi="Georgia"/>
          <w:szCs w:val="20"/>
        </w:rPr>
        <w:t>,</w:t>
      </w:r>
      <w:r w:rsidRPr="002E7CB4">
        <w:rPr>
          <w:rFonts w:ascii="Georgia" w:hAnsi="Georgia"/>
          <w:szCs w:val="20"/>
        </w:rPr>
        <w:t xml:space="preserve"> masks a deep decline in human and organisational capacity that would inhibit reforms even if the </w:t>
      </w:r>
      <w:r w:rsidR="00386A82">
        <w:rPr>
          <w:rFonts w:ascii="Georgia" w:hAnsi="Georgia"/>
          <w:szCs w:val="20"/>
        </w:rPr>
        <w:t>Burmese G</w:t>
      </w:r>
      <w:r w:rsidRPr="002E7CB4">
        <w:rPr>
          <w:rFonts w:ascii="Georgia" w:hAnsi="Georgia"/>
          <w:szCs w:val="20"/>
        </w:rPr>
        <w:t xml:space="preserve">overnment changed its approach. </w:t>
      </w:r>
    </w:p>
    <w:p w:rsidR="006A62D4" w:rsidRPr="005F4B65" w:rsidRDefault="006A62D4" w:rsidP="00932594">
      <w:pPr>
        <w:pStyle w:val="H1"/>
        <w:spacing w:before="360"/>
      </w:pPr>
      <w:bookmarkStart w:id="3" w:name="_Toc360980580"/>
      <w:r w:rsidRPr="005F4B65">
        <w:t xml:space="preserve">Australian aid </w:t>
      </w:r>
      <w:r w:rsidR="00B4444E" w:rsidRPr="005F4B65">
        <w:t xml:space="preserve">to </w:t>
      </w:r>
      <w:r w:rsidRPr="005F4B65">
        <w:t>Burma</w:t>
      </w:r>
      <w:bookmarkEnd w:id="3"/>
    </w:p>
    <w:p w:rsidR="001B0EE1" w:rsidRPr="002E7CB4" w:rsidRDefault="002D3003" w:rsidP="001B0EE1">
      <w:pPr>
        <w:spacing w:before="120" w:after="120" w:line="240" w:lineRule="exact"/>
        <w:ind w:right="-340"/>
        <w:rPr>
          <w:rFonts w:ascii="Georgia" w:hAnsi="Georgia"/>
          <w:szCs w:val="20"/>
        </w:rPr>
      </w:pPr>
      <w:r w:rsidRPr="002D3003">
        <w:rPr>
          <w:rFonts w:ascii="Georgia" w:hAnsi="Georgia"/>
          <w:szCs w:val="20"/>
        </w:rPr>
        <w:t>Australia is the second largest donor to Burma</w:t>
      </w:r>
      <w:r w:rsidR="001B0EE1" w:rsidRPr="002E7CB4">
        <w:rPr>
          <w:rFonts w:ascii="Georgia" w:hAnsi="Georgia"/>
          <w:szCs w:val="20"/>
        </w:rPr>
        <w:t>. Total Australian aid in 2010</w:t>
      </w:r>
      <w:r w:rsidR="00B42E92">
        <w:rPr>
          <w:rFonts w:ascii="Georgia" w:hAnsi="Georgia"/>
          <w:szCs w:val="20"/>
        </w:rPr>
        <w:t>–</w:t>
      </w:r>
      <w:r w:rsidR="001B0EE1" w:rsidRPr="002E7CB4">
        <w:rPr>
          <w:rFonts w:ascii="Georgia" w:hAnsi="Georgia"/>
          <w:szCs w:val="20"/>
        </w:rPr>
        <w:t>11 was $49.1</w:t>
      </w:r>
      <w:r w:rsidR="00386A82">
        <w:rPr>
          <w:rFonts w:ascii="Georgia" w:hAnsi="Georgia"/>
          <w:szCs w:val="20"/>
        </w:rPr>
        <w:t> </w:t>
      </w:r>
      <w:proofErr w:type="gramStart"/>
      <w:r w:rsidR="001B0EE1" w:rsidRPr="002E7CB4">
        <w:rPr>
          <w:rFonts w:ascii="Georgia" w:hAnsi="Georgia"/>
          <w:szCs w:val="20"/>
        </w:rPr>
        <w:t>million,</w:t>
      </w:r>
      <w:proofErr w:type="gramEnd"/>
      <w:r w:rsidR="001B0EE1" w:rsidRPr="002E7CB4">
        <w:rPr>
          <w:rFonts w:ascii="Georgia" w:hAnsi="Georgia"/>
          <w:szCs w:val="20"/>
        </w:rPr>
        <w:t xml:space="preserve"> approximately 18 per cent of total aid flows to Burma</w:t>
      </w:r>
      <w:r w:rsidR="001B0EE1" w:rsidRPr="002E7CB4">
        <w:rPr>
          <w:rStyle w:val="FootnoteReference"/>
        </w:rPr>
        <w:footnoteReference w:id="3"/>
      </w:r>
      <w:r w:rsidR="00B42E92">
        <w:rPr>
          <w:rFonts w:ascii="Georgia" w:hAnsi="Georgia"/>
          <w:szCs w:val="20"/>
        </w:rPr>
        <w:t>—</w:t>
      </w:r>
      <w:r w:rsidR="001B0EE1" w:rsidRPr="002E7CB4">
        <w:rPr>
          <w:rFonts w:ascii="Georgia" w:hAnsi="Georgia"/>
          <w:szCs w:val="20"/>
        </w:rPr>
        <w:t>up from $29</w:t>
      </w:r>
      <w:r w:rsidR="00386A82">
        <w:rPr>
          <w:rFonts w:ascii="Georgia" w:hAnsi="Georgia"/>
          <w:szCs w:val="20"/>
        </w:rPr>
        <w:t> </w:t>
      </w:r>
      <w:r w:rsidR="001B0EE1" w:rsidRPr="002E7CB4">
        <w:rPr>
          <w:rFonts w:ascii="Georgia" w:hAnsi="Georgia"/>
          <w:szCs w:val="20"/>
        </w:rPr>
        <w:t xml:space="preserve">million the year before. The </w:t>
      </w:r>
      <w:r w:rsidR="00386A82">
        <w:rPr>
          <w:rFonts w:ascii="Georgia" w:hAnsi="Georgia"/>
          <w:szCs w:val="20"/>
        </w:rPr>
        <w:t xml:space="preserve">February 2010 </w:t>
      </w:r>
      <w:r w:rsidR="001B0EE1" w:rsidRPr="002E7CB4">
        <w:rPr>
          <w:rFonts w:ascii="Georgia" w:hAnsi="Georgia"/>
          <w:szCs w:val="20"/>
        </w:rPr>
        <w:t xml:space="preserve">Ministerial Statement announced that the Burma program would transition from primarily humanitarian assistance to a broader development program </w:t>
      </w:r>
      <w:r w:rsidR="00386A82">
        <w:rPr>
          <w:rFonts w:ascii="Georgia" w:hAnsi="Georgia"/>
          <w:szCs w:val="20"/>
        </w:rPr>
        <w:t>designed</w:t>
      </w:r>
      <w:r w:rsidR="001B0EE1" w:rsidRPr="002E7CB4">
        <w:rPr>
          <w:rFonts w:ascii="Georgia" w:hAnsi="Georgia"/>
          <w:szCs w:val="20"/>
        </w:rPr>
        <w:t xml:space="preserve"> to achieve long-term poverty reduction in</w:t>
      </w:r>
      <w:r w:rsidR="00386A82">
        <w:rPr>
          <w:rFonts w:ascii="Georgia" w:hAnsi="Georgia"/>
          <w:szCs w:val="20"/>
        </w:rPr>
        <w:t xml:space="preserve"> line with progress towards</w:t>
      </w:r>
      <w:r w:rsidR="001B0EE1" w:rsidRPr="002E7CB4">
        <w:rPr>
          <w:rFonts w:ascii="Georgia" w:hAnsi="Georgia"/>
          <w:szCs w:val="20"/>
        </w:rPr>
        <w:t xml:space="preserve"> the MDGs. The program also include</w:t>
      </w:r>
      <w:r w:rsidR="003C17C0">
        <w:rPr>
          <w:rFonts w:ascii="Georgia" w:hAnsi="Georgia"/>
          <w:szCs w:val="20"/>
        </w:rPr>
        <w:t>s</w:t>
      </w:r>
      <w:r w:rsidR="001B0EE1" w:rsidRPr="002E7CB4">
        <w:rPr>
          <w:rFonts w:ascii="Georgia" w:hAnsi="Georgia"/>
          <w:szCs w:val="20"/>
        </w:rPr>
        <w:t xml:space="preserve"> capacity building elements to help address the long-term challenges facing the Burmese people.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lastRenderedPageBreak/>
        <w:t>Other major D</w:t>
      </w:r>
      <w:r w:rsidR="00386A82">
        <w:rPr>
          <w:rFonts w:ascii="Georgia" w:hAnsi="Georgia"/>
          <w:szCs w:val="20"/>
        </w:rPr>
        <w:t>evelopment Assistance Committee</w:t>
      </w:r>
      <w:r w:rsidRPr="002E7CB4">
        <w:rPr>
          <w:rFonts w:ascii="Georgia" w:hAnsi="Georgia"/>
          <w:szCs w:val="20"/>
        </w:rPr>
        <w:t xml:space="preserve"> donors </w:t>
      </w:r>
      <w:r w:rsidR="00CD426A">
        <w:rPr>
          <w:rFonts w:ascii="Georgia" w:hAnsi="Georgia"/>
          <w:szCs w:val="20"/>
        </w:rPr>
        <w:t xml:space="preserve">of the </w:t>
      </w:r>
      <w:r w:rsidR="00CD426A" w:rsidRPr="00CD426A">
        <w:rPr>
          <w:rFonts w:ascii="Georgia" w:hAnsi="Georgia"/>
          <w:szCs w:val="20"/>
        </w:rPr>
        <w:t>Organisation for Economic Co-operation and Development</w:t>
      </w:r>
      <w:r w:rsidR="00CD426A">
        <w:rPr>
          <w:rFonts w:ascii="Georgia" w:hAnsi="Georgia"/>
          <w:szCs w:val="20"/>
        </w:rPr>
        <w:t xml:space="preserve"> (OECD) </w:t>
      </w:r>
      <w:r w:rsidRPr="002E7CB4">
        <w:rPr>
          <w:rFonts w:ascii="Georgia" w:hAnsi="Georgia"/>
          <w:szCs w:val="20"/>
        </w:rPr>
        <w:t>include the European Commission (US</w:t>
      </w:r>
      <w:r w:rsidR="00B42E92">
        <w:rPr>
          <w:rFonts w:ascii="Georgia" w:hAnsi="Georgia"/>
          <w:szCs w:val="20"/>
        </w:rPr>
        <w:t>$</w:t>
      </w:r>
      <w:r w:rsidRPr="002E7CB4">
        <w:rPr>
          <w:rFonts w:ascii="Georgia" w:hAnsi="Georgia"/>
          <w:szCs w:val="20"/>
        </w:rPr>
        <w:t>76.8</w:t>
      </w:r>
      <w:r w:rsidR="00386A82">
        <w:rPr>
          <w:rFonts w:ascii="Georgia" w:hAnsi="Georgia"/>
          <w:szCs w:val="20"/>
        </w:rPr>
        <w:t> </w:t>
      </w:r>
      <w:r w:rsidRPr="002E7CB4">
        <w:rPr>
          <w:rFonts w:ascii="Georgia" w:hAnsi="Georgia"/>
          <w:szCs w:val="20"/>
        </w:rPr>
        <w:t>m</w:t>
      </w:r>
      <w:r w:rsidR="00386A82">
        <w:rPr>
          <w:rFonts w:ascii="Georgia" w:hAnsi="Georgia"/>
          <w:szCs w:val="20"/>
        </w:rPr>
        <w:t>illion</w:t>
      </w:r>
      <w:r w:rsidRPr="002E7CB4">
        <w:rPr>
          <w:rFonts w:ascii="Georgia" w:hAnsi="Georgia"/>
          <w:szCs w:val="20"/>
        </w:rPr>
        <w:t xml:space="preserve"> in 2009), the United Kingdom (US</w:t>
      </w:r>
      <w:r w:rsidR="00B42E92">
        <w:rPr>
          <w:rFonts w:ascii="Georgia" w:hAnsi="Georgia"/>
          <w:szCs w:val="20"/>
        </w:rPr>
        <w:t>$</w:t>
      </w:r>
      <w:r w:rsidRPr="002E7CB4">
        <w:rPr>
          <w:rFonts w:ascii="Georgia" w:hAnsi="Georgia"/>
          <w:szCs w:val="20"/>
        </w:rPr>
        <w:t>53.1</w:t>
      </w:r>
      <w:r w:rsidR="00386A82">
        <w:rPr>
          <w:rFonts w:ascii="Georgia" w:hAnsi="Georgia"/>
          <w:szCs w:val="20"/>
        </w:rPr>
        <w:t> </w:t>
      </w:r>
      <w:r w:rsidRPr="002E7CB4">
        <w:rPr>
          <w:rFonts w:ascii="Georgia" w:hAnsi="Georgia"/>
          <w:szCs w:val="20"/>
        </w:rPr>
        <w:t>m</w:t>
      </w:r>
      <w:r w:rsidR="00386A82">
        <w:rPr>
          <w:rFonts w:ascii="Georgia" w:hAnsi="Georgia"/>
          <w:szCs w:val="20"/>
        </w:rPr>
        <w:t>illion</w:t>
      </w:r>
      <w:r w:rsidRPr="002E7CB4">
        <w:rPr>
          <w:rFonts w:ascii="Georgia" w:hAnsi="Georgia"/>
          <w:szCs w:val="20"/>
        </w:rPr>
        <w:t xml:space="preserve"> in 2009), Japan (US</w:t>
      </w:r>
      <w:r w:rsidR="00B42E92">
        <w:rPr>
          <w:rFonts w:ascii="Georgia" w:hAnsi="Georgia"/>
          <w:szCs w:val="20"/>
        </w:rPr>
        <w:t>$</w:t>
      </w:r>
      <w:r w:rsidRPr="002E7CB4">
        <w:rPr>
          <w:rFonts w:ascii="Georgia" w:hAnsi="Georgia"/>
          <w:szCs w:val="20"/>
        </w:rPr>
        <w:t>48.3</w:t>
      </w:r>
      <w:r w:rsidR="00386A82">
        <w:rPr>
          <w:rFonts w:ascii="Georgia" w:hAnsi="Georgia"/>
          <w:szCs w:val="20"/>
        </w:rPr>
        <w:t> </w:t>
      </w:r>
      <w:r w:rsidRPr="002E7CB4">
        <w:rPr>
          <w:rFonts w:ascii="Georgia" w:hAnsi="Georgia"/>
          <w:szCs w:val="20"/>
        </w:rPr>
        <w:t>m</w:t>
      </w:r>
      <w:r w:rsidR="00386A82">
        <w:rPr>
          <w:rFonts w:ascii="Georgia" w:hAnsi="Georgia"/>
          <w:szCs w:val="20"/>
        </w:rPr>
        <w:t>illion</w:t>
      </w:r>
      <w:r w:rsidRPr="002E7CB4">
        <w:rPr>
          <w:rFonts w:ascii="Georgia" w:hAnsi="Georgia"/>
          <w:szCs w:val="20"/>
        </w:rPr>
        <w:t xml:space="preserve"> in 2009), and the United States (US</w:t>
      </w:r>
      <w:r w:rsidR="00B42E92">
        <w:rPr>
          <w:rFonts w:ascii="Georgia" w:hAnsi="Georgia"/>
          <w:szCs w:val="20"/>
        </w:rPr>
        <w:t>$</w:t>
      </w:r>
      <w:r w:rsidRPr="002E7CB4">
        <w:rPr>
          <w:rFonts w:ascii="Georgia" w:hAnsi="Georgia"/>
          <w:szCs w:val="20"/>
        </w:rPr>
        <w:t>35.2</w:t>
      </w:r>
      <w:r w:rsidR="00386A82">
        <w:rPr>
          <w:rFonts w:ascii="Georgia" w:hAnsi="Georgia"/>
          <w:szCs w:val="20"/>
        </w:rPr>
        <w:t> </w:t>
      </w:r>
      <w:r w:rsidRPr="002E7CB4">
        <w:rPr>
          <w:rFonts w:ascii="Georgia" w:hAnsi="Georgia"/>
          <w:szCs w:val="20"/>
        </w:rPr>
        <w:t>m</w:t>
      </w:r>
      <w:r w:rsidR="00386A82">
        <w:rPr>
          <w:rFonts w:ascii="Georgia" w:hAnsi="Georgia"/>
          <w:szCs w:val="20"/>
        </w:rPr>
        <w:t>illion</w:t>
      </w:r>
      <w:r w:rsidRPr="002E7CB4">
        <w:rPr>
          <w:rFonts w:ascii="Georgia" w:hAnsi="Georgia"/>
          <w:szCs w:val="20"/>
        </w:rPr>
        <w:t xml:space="preserve"> in 2009)</w:t>
      </w:r>
      <w:r w:rsidR="00181B24">
        <w:rPr>
          <w:rFonts w:ascii="Georgia" w:hAnsi="Georgia"/>
          <w:szCs w:val="20"/>
        </w:rPr>
        <w:t>.</w:t>
      </w:r>
      <w:r w:rsidRPr="002E7CB4">
        <w:rPr>
          <w:rStyle w:val="FootnoteReference"/>
        </w:rPr>
        <w:footnoteReference w:id="4"/>
      </w:r>
      <w:r w:rsidRPr="002E7CB4">
        <w:rPr>
          <w:rFonts w:ascii="Georgia" w:hAnsi="Georgia"/>
          <w:szCs w:val="20"/>
        </w:rPr>
        <w:t xml:space="preserve"> Smaller, specialised programs are also maintained by Denmark, Norway and Sweden. Most of these donors operate under restricted mandates to provide only humanitarian support targeting immediate needs in health, livelihoods</w:t>
      </w:r>
      <w:r w:rsidR="00386A82">
        <w:rPr>
          <w:rFonts w:ascii="Georgia" w:hAnsi="Georgia"/>
          <w:szCs w:val="20"/>
        </w:rPr>
        <w:t>,</w:t>
      </w:r>
      <w:r w:rsidRPr="002E7CB4">
        <w:rPr>
          <w:rFonts w:ascii="Georgia" w:hAnsi="Georgia"/>
          <w:szCs w:val="20"/>
        </w:rPr>
        <w:t xml:space="preserve"> food security, education and protection.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Levels of aid and investment from non-traditional donors such as China, India and the Republic of Korea have been increasing over recent years. These donors work directly with the Burmese authorities, especially on large-scale infrastructure.</w:t>
      </w:r>
      <w:r w:rsidRPr="002E7CB4">
        <w:rPr>
          <w:rStyle w:val="FootnoteReference"/>
        </w:rPr>
        <w:footnoteReference w:id="5"/>
      </w:r>
      <w:r w:rsidRPr="002E7CB4">
        <w:rPr>
          <w:rFonts w:ascii="Georgia" w:hAnsi="Georgia"/>
          <w:szCs w:val="20"/>
        </w:rPr>
        <w:t xml:space="preserve"> </w:t>
      </w:r>
    </w:p>
    <w:p w:rsidR="001B0EE1" w:rsidRDefault="006A3664" w:rsidP="001B0EE1">
      <w:pPr>
        <w:spacing w:before="120" w:after="120" w:line="240" w:lineRule="exact"/>
        <w:ind w:right="-340"/>
        <w:rPr>
          <w:rFonts w:ascii="Georgia" w:hAnsi="Georgia"/>
          <w:szCs w:val="20"/>
        </w:rPr>
      </w:pPr>
      <w:r>
        <w:rPr>
          <w:rFonts w:ascii="Georgia" w:hAnsi="Georgia"/>
          <w:szCs w:val="20"/>
        </w:rPr>
        <w:t xml:space="preserve">Key global development organisations either do not operate </w:t>
      </w:r>
      <w:r w:rsidR="00A23B8F">
        <w:rPr>
          <w:rFonts w:ascii="Georgia" w:hAnsi="Georgia"/>
          <w:szCs w:val="20"/>
        </w:rPr>
        <w:t xml:space="preserve">in Burma </w:t>
      </w:r>
      <w:r>
        <w:rPr>
          <w:rFonts w:ascii="Georgia" w:hAnsi="Georgia"/>
          <w:szCs w:val="20"/>
        </w:rPr>
        <w:t xml:space="preserve">or </w:t>
      </w:r>
      <w:r w:rsidR="00A23B8F">
        <w:rPr>
          <w:rFonts w:ascii="Georgia" w:hAnsi="Georgia"/>
          <w:szCs w:val="20"/>
        </w:rPr>
        <w:t xml:space="preserve">operate under </w:t>
      </w:r>
      <w:r>
        <w:rPr>
          <w:rFonts w:ascii="Georgia" w:hAnsi="Georgia"/>
          <w:szCs w:val="20"/>
        </w:rPr>
        <w:t>limited mandates</w:t>
      </w:r>
      <w:r w:rsidR="00A23B8F">
        <w:rPr>
          <w:rFonts w:ascii="Georgia" w:hAnsi="Georgia"/>
          <w:szCs w:val="20"/>
        </w:rPr>
        <w:t>.</w:t>
      </w:r>
      <w:r>
        <w:rPr>
          <w:rFonts w:ascii="Georgia" w:hAnsi="Georgia"/>
          <w:szCs w:val="20"/>
        </w:rPr>
        <w:t xml:space="preserve"> </w:t>
      </w:r>
      <w:r w:rsidR="001B0EE1" w:rsidRPr="004851F2">
        <w:rPr>
          <w:rFonts w:ascii="Georgia" w:hAnsi="Georgia"/>
          <w:szCs w:val="20"/>
        </w:rPr>
        <w:t>The World Bank, Asian Development Bank and</w:t>
      </w:r>
      <w:r w:rsidR="001B0EE1" w:rsidRPr="002E7CB4">
        <w:rPr>
          <w:rFonts w:ascii="Georgia" w:hAnsi="Georgia"/>
          <w:szCs w:val="20"/>
        </w:rPr>
        <w:t xml:space="preserve"> International Monetary Fund</w:t>
      </w:r>
      <w:r w:rsidR="00953AB0">
        <w:rPr>
          <w:rFonts w:ascii="Georgia" w:hAnsi="Georgia"/>
          <w:szCs w:val="20"/>
        </w:rPr>
        <w:t>, for example,</w:t>
      </w:r>
      <w:r w:rsidR="001B0EE1" w:rsidRPr="002E7CB4">
        <w:rPr>
          <w:rFonts w:ascii="Georgia" w:hAnsi="Georgia"/>
          <w:szCs w:val="20"/>
        </w:rPr>
        <w:t xml:space="preserve"> do not engage directly in Burma. Sixteen </w:t>
      </w:r>
      <w:r w:rsidR="004851F2">
        <w:rPr>
          <w:rFonts w:ascii="Georgia" w:hAnsi="Georgia"/>
          <w:szCs w:val="20"/>
        </w:rPr>
        <w:t xml:space="preserve">United </w:t>
      </w:r>
      <w:r w:rsidR="004851F2" w:rsidRPr="004851F2">
        <w:rPr>
          <w:rFonts w:ascii="Georgia" w:hAnsi="Georgia"/>
          <w:szCs w:val="20"/>
        </w:rPr>
        <w:t>Nations (</w:t>
      </w:r>
      <w:r w:rsidR="001B0EE1" w:rsidRPr="004851F2">
        <w:rPr>
          <w:rFonts w:ascii="Georgia" w:hAnsi="Georgia"/>
          <w:szCs w:val="20"/>
        </w:rPr>
        <w:t>UN</w:t>
      </w:r>
      <w:r w:rsidR="004851F2" w:rsidRPr="004851F2">
        <w:rPr>
          <w:rFonts w:ascii="Georgia" w:hAnsi="Georgia"/>
          <w:szCs w:val="20"/>
        </w:rPr>
        <w:t>)</w:t>
      </w:r>
      <w:r w:rsidR="001B0EE1" w:rsidRPr="002E7CB4">
        <w:rPr>
          <w:rFonts w:ascii="Georgia" w:hAnsi="Georgia"/>
          <w:szCs w:val="20"/>
        </w:rPr>
        <w:t xml:space="preserve"> agencies are active in Burma</w:t>
      </w:r>
      <w:r w:rsidR="003B7BFE">
        <w:rPr>
          <w:rFonts w:ascii="Georgia" w:hAnsi="Georgia"/>
          <w:szCs w:val="20"/>
        </w:rPr>
        <w:t xml:space="preserve">. However </w:t>
      </w:r>
      <w:r w:rsidR="00953AB0">
        <w:rPr>
          <w:rFonts w:ascii="Georgia" w:hAnsi="Georgia"/>
          <w:szCs w:val="20"/>
        </w:rPr>
        <w:t>s</w:t>
      </w:r>
      <w:r w:rsidR="001B0EE1" w:rsidRPr="002E7CB4">
        <w:rPr>
          <w:rFonts w:ascii="Georgia" w:hAnsi="Georgia"/>
          <w:szCs w:val="20"/>
        </w:rPr>
        <w:t>ome, such as</w:t>
      </w:r>
      <w:r w:rsidR="00953AB0">
        <w:rPr>
          <w:rFonts w:ascii="Georgia" w:hAnsi="Georgia"/>
          <w:szCs w:val="20"/>
        </w:rPr>
        <w:t xml:space="preserve"> the </w:t>
      </w:r>
      <w:r w:rsidR="004851F2" w:rsidRPr="004851F2">
        <w:rPr>
          <w:rFonts w:ascii="Georgia" w:hAnsi="Georgia"/>
          <w:szCs w:val="20"/>
        </w:rPr>
        <w:t>United Nations Development Program</w:t>
      </w:r>
      <w:r w:rsidR="004851F2">
        <w:rPr>
          <w:rFonts w:ascii="Georgia" w:hAnsi="Georgia"/>
          <w:szCs w:val="20"/>
        </w:rPr>
        <w:t>me</w:t>
      </w:r>
      <w:r w:rsidR="001B0EE1" w:rsidRPr="002E7CB4">
        <w:rPr>
          <w:rFonts w:ascii="Georgia" w:hAnsi="Georgia"/>
          <w:szCs w:val="20"/>
        </w:rPr>
        <w:t xml:space="preserve">, operate under mandates </w:t>
      </w:r>
      <w:r w:rsidR="003B7BFE">
        <w:rPr>
          <w:rFonts w:ascii="Georgia" w:hAnsi="Georgia"/>
          <w:szCs w:val="20"/>
        </w:rPr>
        <w:t xml:space="preserve">that </w:t>
      </w:r>
      <w:r w:rsidR="001B0EE1" w:rsidRPr="002E7CB4">
        <w:rPr>
          <w:rFonts w:ascii="Georgia" w:hAnsi="Georgia"/>
          <w:szCs w:val="20"/>
        </w:rPr>
        <w:t xml:space="preserve">restrict their focus and engagement with central government. </w:t>
      </w:r>
      <w:r w:rsidR="003B7BFE" w:rsidRPr="002E7CB4">
        <w:rPr>
          <w:rFonts w:ascii="Georgia" w:hAnsi="Georgia"/>
          <w:szCs w:val="20"/>
        </w:rPr>
        <w:t xml:space="preserve">This limits the availability of experienced partners, technical expertise and </w:t>
      </w:r>
      <w:r w:rsidR="003B7BFE">
        <w:rPr>
          <w:rFonts w:ascii="Georgia" w:hAnsi="Georgia"/>
          <w:szCs w:val="20"/>
        </w:rPr>
        <w:t xml:space="preserve">the </w:t>
      </w:r>
      <w:r w:rsidR="003B7BFE" w:rsidRPr="002E7CB4">
        <w:rPr>
          <w:rFonts w:ascii="Georgia" w:hAnsi="Georgia"/>
          <w:szCs w:val="20"/>
        </w:rPr>
        <w:t>overall levels of aid funding.</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Country ownership of development is weak and the regime is suspicious of the motives of donors to establish a presence and bring aid into Burma. </w:t>
      </w:r>
      <w:r w:rsidR="00953AB0">
        <w:rPr>
          <w:rFonts w:ascii="Georgia" w:hAnsi="Georgia"/>
          <w:szCs w:val="20"/>
        </w:rPr>
        <w:t>In</w:t>
      </w:r>
      <w:r w:rsidR="00953AB0" w:rsidRPr="002E7CB4">
        <w:rPr>
          <w:rFonts w:ascii="Georgia" w:hAnsi="Georgia"/>
          <w:szCs w:val="20"/>
        </w:rPr>
        <w:t xml:space="preserve"> </w:t>
      </w:r>
      <w:r w:rsidRPr="002E7CB4">
        <w:rPr>
          <w:rFonts w:ascii="Georgia" w:hAnsi="Georgia"/>
          <w:szCs w:val="20"/>
        </w:rPr>
        <w:t xml:space="preserve">the absence of a government-led consultative process on development priorities, close coordination with other donors and implementing partners </w:t>
      </w:r>
      <w:r w:rsidR="00953AB0">
        <w:rPr>
          <w:rFonts w:ascii="Georgia" w:hAnsi="Georgia"/>
          <w:szCs w:val="20"/>
        </w:rPr>
        <w:t>is particularly</w:t>
      </w:r>
      <w:r w:rsidRPr="002E7CB4">
        <w:rPr>
          <w:rFonts w:ascii="Georgia" w:hAnsi="Georgia"/>
          <w:szCs w:val="20"/>
        </w:rPr>
        <w:t xml:space="preserve"> importan</w:t>
      </w:r>
      <w:r w:rsidR="00953AB0">
        <w:rPr>
          <w:rFonts w:ascii="Georgia" w:hAnsi="Georgia"/>
          <w:szCs w:val="20"/>
        </w:rPr>
        <w:t xml:space="preserve">t </w:t>
      </w:r>
      <w:r w:rsidRPr="002E7CB4">
        <w:rPr>
          <w:rFonts w:ascii="Georgia" w:hAnsi="Georgia"/>
          <w:szCs w:val="20"/>
        </w:rPr>
        <w:t xml:space="preserve">in Burma. Currently donors work effectively together through multi-donor funds targeting health, education, livelihoods and food security. They also consult regularly </w:t>
      </w:r>
      <w:r w:rsidR="00DF0F5F">
        <w:rPr>
          <w:rFonts w:ascii="Georgia" w:hAnsi="Georgia"/>
          <w:szCs w:val="20"/>
        </w:rPr>
        <w:t xml:space="preserve">with one another </w:t>
      </w:r>
      <w:r w:rsidRPr="002E7CB4">
        <w:rPr>
          <w:rFonts w:ascii="Georgia" w:hAnsi="Georgia"/>
          <w:szCs w:val="20"/>
        </w:rPr>
        <w:t>to discuss aid effectiveness</w:t>
      </w:r>
      <w:r w:rsidR="00953AB0">
        <w:rPr>
          <w:rFonts w:ascii="Georgia" w:hAnsi="Georgia"/>
          <w:szCs w:val="20"/>
        </w:rPr>
        <w:t>,</w:t>
      </w:r>
      <w:r w:rsidRPr="002E7CB4">
        <w:rPr>
          <w:rFonts w:ascii="Georgia" w:hAnsi="Georgia"/>
          <w:szCs w:val="20"/>
        </w:rPr>
        <w:t xml:space="preserve"> program</w:t>
      </w:r>
      <w:r w:rsidR="00953AB0">
        <w:rPr>
          <w:rFonts w:ascii="Georgia" w:hAnsi="Georgia"/>
          <w:szCs w:val="20"/>
        </w:rPr>
        <w:t>m</w:t>
      </w:r>
      <w:r w:rsidRPr="002E7CB4">
        <w:rPr>
          <w:rFonts w:ascii="Georgia" w:hAnsi="Georgia"/>
          <w:szCs w:val="20"/>
        </w:rPr>
        <w:t xml:space="preserve">ing and policy issues. Multi-donor </w:t>
      </w:r>
      <w:r w:rsidR="000E3B29">
        <w:rPr>
          <w:rFonts w:ascii="Georgia" w:hAnsi="Georgia"/>
          <w:szCs w:val="20"/>
        </w:rPr>
        <w:t xml:space="preserve">arrangements </w:t>
      </w:r>
      <w:r w:rsidR="00953AB0">
        <w:rPr>
          <w:rFonts w:ascii="Georgia" w:hAnsi="Georgia"/>
          <w:szCs w:val="20"/>
        </w:rPr>
        <w:t>consolidate</w:t>
      </w:r>
      <w:r w:rsidRPr="002E7CB4">
        <w:rPr>
          <w:rFonts w:ascii="Georgia" w:hAnsi="Georgia"/>
          <w:szCs w:val="20"/>
        </w:rPr>
        <w:t xml:space="preserve"> available fund</w:t>
      </w:r>
      <w:r w:rsidR="00953AB0">
        <w:rPr>
          <w:rFonts w:ascii="Georgia" w:hAnsi="Georgia"/>
          <w:szCs w:val="20"/>
        </w:rPr>
        <w:t>s, enabling</w:t>
      </w:r>
      <w:r w:rsidRPr="002E7CB4">
        <w:rPr>
          <w:rFonts w:ascii="Georgia" w:hAnsi="Georgia"/>
          <w:szCs w:val="20"/>
        </w:rPr>
        <w:t xml:space="preserve"> programs to be delivered country-wide, using the broad networks and experience of UN agencies and </w:t>
      </w:r>
      <w:r w:rsidR="004851F2" w:rsidRPr="004851F2">
        <w:rPr>
          <w:rFonts w:ascii="Georgia" w:hAnsi="Georgia"/>
          <w:szCs w:val="20"/>
        </w:rPr>
        <w:t>non-government organisation (</w:t>
      </w:r>
      <w:r w:rsidRPr="004851F2">
        <w:rPr>
          <w:rFonts w:ascii="Georgia" w:hAnsi="Georgia"/>
          <w:szCs w:val="20"/>
        </w:rPr>
        <w:t>NGOs</w:t>
      </w:r>
      <w:r w:rsidR="004851F2">
        <w:rPr>
          <w:rFonts w:ascii="Georgia" w:hAnsi="Georgia"/>
          <w:szCs w:val="20"/>
        </w:rPr>
        <w:t>)</w:t>
      </w:r>
      <w:r w:rsidRPr="002E7CB4">
        <w:rPr>
          <w:rFonts w:ascii="Georgia" w:hAnsi="Georgia"/>
          <w:szCs w:val="20"/>
        </w:rPr>
        <w:t>.</w:t>
      </w:r>
    </w:p>
    <w:p w:rsidR="006A62D4" w:rsidRPr="002E7CB4" w:rsidRDefault="006A62D4" w:rsidP="002E7CB4">
      <w:pPr>
        <w:pStyle w:val="Heading1"/>
        <w:spacing w:before="240" w:after="120"/>
        <w:ind w:left="0"/>
        <w:rPr>
          <w:color w:val="800000"/>
        </w:rPr>
      </w:pPr>
      <w:bookmarkStart w:id="4" w:name="_Toc360980581"/>
      <w:r w:rsidRPr="002E7CB4">
        <w:rPr>
          <w:color w:val="800000"/>
        </w:rPr>
        <w:t xml:space="preserve">How </w:t>
      </w:r>
      <w:r w:rsidR="00CD426A">
        <w:rPr>
          <w:color w:val="800000"/>
        </w:rPr>
        <w:t xml:space="preserve">Australia </w:t>
      </w:r>
      <w:r w:rsidRPr="002E7CB4">
        <w:rPr>
          <w:color w:val="800000"/>
        </w:rPr>
        <w:t>deliver</w:t>
      </w:r>
      <w:r w:rsidR="00CD426A">
        <w:rPr>
          <w:color w:val="800000"/>
        </w:rPr>
        <w:t>s</w:t>
      </w:r>
      <w:r w:rsidRPr="002E7CB4">
        <w:rPr>
          <w:color w:val="800000"/>
        </w:rPr>
        <w:t xml:space="preserve"> the aid program</w:t>
      </w:r>
      <w:bookmarkEnd w:id="4"/>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Australia delivers its </w:t>
      </w:r>
      <w:r w:rsidR="00953AB0">
        <w:rPr>
          <w:rFonts w:ascii="Georgia" w:hAnsi="Georgia"/>
          <w:szCs w:val="20"/>
        </w:rPr>
        <w:t xml:space="preserve">aid </w:t>
      </w:r>
      <w:r w:rsidRPr="002E7CB4">
        <w:rPr>
          <w:rFonts w:ascii="Georgia" w:hAnsi="Georgia"/>
          <w:szCs w:val="20"/>
        </w:rPr>
        <w:t xml:space="preserve">assistance </w:t>
      </w:r>
      <w:r w:rsidR="00953AB0">
        <w:rPr>
          <w:rFonts w:ascii="Georgia" w:hAnsi="Georgia"/>
          <w:szCs w:val="20"/>
        </w:rPr>
        <w:t xml:space="preserve">to Burma </w:t>
      </w:r>
      <w:r w:rsidRPr="002E7CB4">
        <w:rPr>
          <w:rFonts w:ascii="Georgia" w:hAnsi="Georgia"/>
          <w:szCs w:val="20"/>
        </w:rPr>
        <w:t xml:space="preserve">primarily through multilateral organisations, regional institutions and international </w:t>
      </w:r>
      <w:r w:rsidR="00953AB0">
        <w:rPr>
          <w:rFonts w:ascii="Georgia" w:hAnsi="Georgia"/>
          <w:szCs w:val="20"/>
        </w:rPr>
        <w:t>NGOs</w:t>
      </w:r>
      <w:r w:rsidRPr="002E7CB4">
        <w:rPr>
          <w:rFonts w:ascii="Georgia" w:hAnsi="Georgia"/>
          <w:szCs w:val="20"/>
        </w:rPr>
        <w:t>. Our assistance does not flow through Burmese government systems. This is consistent with the way most international aid to Burma is provided</w:t>
      </w:r>
      <w:r w:rsidR="000E3B29">
        <w:rPr>
          <w:rFonts w:ascii="Georgia" w:hAnsi="Georgia"/>
          <w:szCs w:val="20"/>
        </w:rPr>
        <w:t xml:space="preserve"> and is appropriate given the political landscape</w:t>
      </w:r>
      <w:r w:rsidRPr="002E7CB4">
        <w:rPr>
          <w:rFonts w:ascii="Georgia" w:hAnsi="Georgia"/>
          <w:szCs w:val="20"/>
        </w:rPr>
        <w:t xml:space="preserve">. Australia </w:t>
      </w:r>
      <w:r w:rsidR="00953AB0">
        <w:rPr>
          <w:rFonts w:ascii="Georgia" w:hAnsi="Georgia"/>
          <w:szCs w:val="20"/>
        </w:rPr>
        <w:t xml:space="preserve">therefore </w:t>
      </w:r>
      <w:r w:rsidRPr="002E7CB4">
        <w:rPr>
          <w:rFonts w:ascii="Georgia" w:hAnsi="Georgia"/>
          <w:szCs w:val="20"/>
        </w:rPr>
        <w:t xml:space="preserve">cooperates closely with like-minded donors, such as the United Kingdom and the European Union, to extend our reach and share information and resources. While aid activities </w:t>
      </w:r>
      <w:r w:rsidR="00BD0FB1">
        <w:rPr>
          <w:rFonts w:ascii="Georgia" w:hAnsi="Georgia"/>
          <w:szCs w:val="20"/>
        </w:rPr>
        <w:t>require</w:t>
      </w:r>
      <w:r w:rsidRPr="002E7CB4">
        <w:rPr>
          <w:rFonts w:ascii="Georgia" w:hAnsi="Georgia"/>
          <w:szCs w:val="20"/>
        </w:rPr>
        <w:t xml:space="preserve"> the formal approval of Burmese authorities, the </w:t>
      </w:r>
      <w:r w:rsidR="00BD0FB1">
        <w:rPr>
          <w:rFonts w:ascii="Georgia" w:hAnsi="Georgia"/>
          <w:szCs w:val="20"/>
        </w:rPr>
        <w:t xml:space="preserve">chosen </w:t>
      </w:r>
      <w:r w:rsidRPr="002E7CB4">
        <w:rPr>
          <w:rFonts w:ascii="Georgia" w:hAnsi="Georgia"/>
          <w:szCs w:val="20"/>
        </w:rPr>
        <w:t xml:space="preserve">delivery methods help to ensure that aid </w:t>
      </w:r>
      <w:r w:rsidR="00BD0FB1">
        <w:rPr>
          <w:rFonts w:ascii="Georgia" w:hAnsi="Georgia"/>
          <w:szCs w:val="20"/>
        </w:rPr>
        <w:t xml:space="preserve">actually </w:t>
      </w:r>
      <w:r w:rsidRPr="002E7CB4">
        <w:rPr>
          <w:rFonts w:ascii="Georgia" w:hAnsi="Georgia"/>
          <w:szCs w:val="20"/>
        </w:rPr>
        <w:t xml:space="preserve">reaches the people of Burma. </w:t>
      </w:r>
    </w:p>
    <w:p w:rsidR="0067202D" w:rsidRPr="002E7CB4" w:rsidRDefault="007245F8" w:rsidP="002E7CB4">
      <w:pPr>
        <w:pStyle w:val="Heading1"/>
        <w:spacing w:before="240" w:after="120"/>
        <w:ind w:left="0"/>
        <w:rPr>
          <w:color w:val="800000"/>
        </w:rPr>
      </w:pPr>
      <w:bookmarkStart w:id="5" w:name="_Toc360980582"/>
      <w:r w:rsidRPr="002E7CB4">
        <w:rPr>
          <w:color w:val="800000"/>
        </w:rPr>
        <w:t>P</w:t>
      </w:r>
      <w:r w:rsidR="004559D3" w:rsidRPr="002E7CB4">
        <w:rPr>
          <w:color w:val="800000"/>
        </w:rPr>
        <w:t>rogram</w:t>
      </w:r>
      <w:r w:rsidR="009069E7" w:rsidRPr="002E7CB4">
        <w:rPr>
          <w:color w:val="800000"/>
        </w:rPr>
        <w:t xml:space="preserve"> </w:t>
      </w:r>
      <w:r w:rsidR="00181B24">
        <w:rPr>
          <w:color w:val="800000"/>
        </w:rPr>
        <w:t>o</w:t>
      </w:r>
      <w:r w:rsidR="0067202D" w:rsidRPr="002E7CB4">
        <w:rPr>
          <w:color w:val="800000"/>
        </w:rPr>
        <w:t>bjectives</w:t>
      </w:r>
      <w:bookmarkEnd w:id="5"/>
    </w:p>
    <w:p w:rsidR="0029088B" w:rsidRDefault="001B0EE1" w:rsidP="001B0EE1">
      <w:pPr>
        <w:spacing w:before="120" w:after="120" w:line="240" w:lineRule="exact"/>
        <w:ind w:right="-340"/>
        <w:rPr>
          <w:rFonts w:ascii="Georgia" w:hAnsi="Georgia"/>
          <w:szCs w:val="20"/>
        </w:rPr>
      </w:pPr>
      <w:r w:rsidRPr="002E7CB4">
        <w:rPr>
          <w:rFonts w:ascii="Georgia" w:hAnsi="Georgia"/>
          <w:szCs w:val="20"/>
        </w:rPr>
        <w:t xml:space="preserve">Like many international donors, Australia limits its </w:t>
      </w:r>
      <w:r w:rsidR="00E25F2B">
        <w:rPr>
          <w:rFonts w:ascii="Georgia" w:hAnsi="Georgia"/>
          <w:szCs w:val="20"/>
        </w:rPr>
        <w:t xml:space="preserve">aid </w:t>
      </w:r>
      <w:r w:rsidRPr="002E7CB4">
        <w:rPr>
          <w:rFonts w:ascii="Georgia" w:hAnsi="Georgia"/>
          <w:szCs w:val="20"/>
        </w:rPr>
        <w:t>assistance</w:t>
      </w:r>
      <w:r w:rsidR="00E25F2B">
        <w:rPr>
          <w:rFonts w:ascii="Georgia" w:hAnsi="Georgia"/>
          <w:szCs w:val="20"/>
        </w:rPr>
        <w:t xml:space="preserve"> in Burma</w:t>
      </w:r>
      <w:r w:rsidRPr="002E7CB4">
        <w:rPr>
          <w:rFonts w:ascii="Georgia" w:hAnsi="Georgia"/>
          <w:szCs w:val="20"/>
        </w:rPr>
        <w:t xml:space="preserve"> to help</w:t>
      </w:r>
      <w:r w:rsidR="00E25F2B">
        <w:rPr>
          <w:rFonts w:ascii="Georgia" w:hAnsi="Georgia"/>
          <w:szCs w:val="20"/>
        </w:rPr>
        <w:t>ing the people with their</w:t>
      </w:r>
      <w:r w:rsidRPr="002E7CB4">
        <w:rPr>
          <w:rFonts w:ascii="Georgia" w:hAnsi="Georgia"/>
          <w:szCs w:val="20"/>
        </w:rPr>
        <w:t xml:space="preserve"> pressing and essential needs. </w:t>
      </w:r>
      <w:r w:rsidR="00E25F2B">
        <w:rPr>
          <w:rFonts w:ascii="Georgia" w:hAnsi="Georgia"/>
          <w:szCs w:val="20"/>
        </w:rPr>
        <w:t>In 2010, t</w:t>
      </w:r>
      <w:r w:rsidRPr="002E7CB4">
        <w:rPr>
          <w:rFonts w:ascii="Georgia" w:hAnsi="Georgia"/>
          <w:szCs w:val="20"/>
        </w:rPr>
        <w:t>he program targeted the alleviation of critical needs in health (especially for mothers and children), education and food security.</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However, humanitarian aid alone will not help Burma move towards long-term poverty reduction. In recognition of the prolonged nature of the </w:t>
      </w:r>
      <w:r w:rsidR="00E25F2B">
        <w:rPr>
          <w:rFonts w:ascii="Georgia" w:hAnsi="Georgia"/>
          <w:szCs w:val="20"/>
        </w:rPr>
        <w:t xml:space="preserve">country’s </w:t>
      </w:r>
      <w:r w:rsidRPr="002E7CB4">
        <w:rPr>
          <w:rFonts w:ascii="Georgia" w:hAnsi="Georgia"/>
          <w:szCs w:val="20"/>
        </w:rPr>
        <w:t xml:space="preserve">humanitarian crisis, the decline in human capital and </w:t>
      </w:r>
      <w:r w:rsidR="00E25F2B">
        <w:rPr>
          <w:rFonts w:ascii="Georgia" w:hAnsi="Georgia"/>
          <w:szCs w:val="20"/>
        </w:rPr>
        <w:t xml:space="preserve">the need </w:t>
      </w:r>
      <w:r w:rsidRPr="002E7CB4">
        <w:rPr>
          <w:rFonts w:ascii="Georgia" w:hAnsi="Georgia"/>
          <w:szCs w:val="20"/>
        </w:rPr>
        <w:t xml:space="preserve">to help address the MDGs and other development </w:t>
      </w:r>
      <w:r w:rsidR="00E25F2B">
        <w:rPr>
          <w:rFonts w:ascii="Georgia" w:hAnsi="Georgia"/>
          <w:szCs w:val="20"/>
        </w:rPr>
        <w:t>priorities</w:t>
      </w:r>
      <w:r w:rsidRPr="002E7CB4">
        <w:rPr>
          <w:rFonts w:ascii="Georgia" w:hAnsi="Georgia"/>
          <w:szCs w:val="20"/>
        </w:rPr>
        <w:t xml:space="preserve">, the Ministerial Statement on Burma (2010) shifted the policy framework for Australian assistance to include broad-based development objectives. During 2010 Australia’s </w:t>
      </w:r>
      <w:r w:rsidRPr="002E7CB4">
        <w:rPr>
          <w:rFonts w:ascii="Georgia" w:hAnsi="Georgia"/>
          <w:szCs w:val="20"/>
        </w:rPr>
        <w:lastRenderedPageBreak/>
        <w:t xml:space="preserve">program </w:t>
      </w:r>
      <w:r w:rsidR="0029088B">
        <w:rPr>
          <w:rFonts w:ascii="Georgia" w:hAnsi="Georgia"/>
          <w:szCs w:val="20"/>
        </w:rPr>
        <w:t>made</w:t>
      </w:r>
      <w:r w:rsidRPr="002E7CB4">
        <w:rPr>
          <w:rFonts w:ascii="Georgia" w:hAnsi="Georgia"/>
          <w:szCs w:val="20"/>
        </w:rPr>
        <w:t xml:space="preserve"> a transition </w:t>
      </w:r>
      <w:r w:rsidR="0029088B">
        <w:rPr>
          <w:rFonts w:ascii="Georgia" w:hAnsi="Georgia"/>
          <w:szCs w:val="20"/>
        </w:rPr>
        <w:t>to</w:t>
      </w:r>
      <w:r w:rsidRPr="002E7CB4">
        <w:rPr>
          <w:rFonts w:ascii="Georgia" w:hAnsi="Georgia"/>
          <w:szCs w:val="20"/>
        </w:rPr>
        <w:t xml:space="preserve"> inc</w:t>
      </w:r>
      <w:r w:rsidR="004E63B7">
        <w:rPr>
          <w:rFonts w:ascii="Georgia" w:hAnsi="Georgia"/>
          <w:szCs w:val="20"/>
        </w:rPr>
        <w:t>orporate a focus on long-term development outcomes.</w:t>
      </w:r>
      <w:r w:rsidR="004E63B7" w:rsidRPr="002E7CB4" w:rsidDel="004E63B7">
        <w:rPr>
          <w:rFonts w:ascii="Georgia" w:hAnsi="Georgia"/>
          <w:szCs w:val="20"/>
        </w:rPr>
        <w:t xml:space="preserve"> </w:t>
      </w:r>
      <w:r w:rsidRPr="002E7CB4">
        <w:rPr>
          <w:rFonts w:ascii="Georgia" w:hAnsi="Georgia"/>
          <w:szCs w:val="20"/>
        </w:rPr>
        <w:t xml:space="preserve">This </w:t>
      </w:r>
      <w:r w:rsidR="001E1B02">
        <w:rPr>
          <w:rFonts w:ascii="Georgia" w:hAnsi="Georgia"/>
          <w:szCs w:val="20"/>
        </w:rPr>
        <w:t>Development Cooperation Reports covers</w:t>
      </w:r>
      <w:r w:rsidRPr="002E7CB4">
        <w:rPr>
          <w:rFonts w:ascii="Georgia" w:hAnsi="Georgia"/>
          <w:szCs w:val="20"/>
        </w:rPr>
        <w:t xml:space="preserve"> progress against the five </w:t>
      </w:r>
      <w:r w:rsidR="002D3003">
        <w:rPr>
          <w:rFonts w:ascii="Georgia" w:hAnsi="Georgia"/>
          <w:szCs w:val="20"/>
        </w:rPr>
        <w:t>priorities</w:t>
      </w:r>
      <w:r w:rsidR="000D732A">
        <w:rPr>
          <w:rFonts w:ascii="Georgia" w:hAnsi="Georgia"/>
          <w:szCs w:val="20"/>
        </w:rPr>
        <w:t xml:space="preserve"> in Table 1.</w:t>
      </w:r>
      <w:r w:rsidRPr="002E7CB4">
        <w:rPr>
          <w:rFonts w:ascii="Georgia" w:hAnsi="Georgia"/>
          <w:szCs w:val="20"/>
        </w:rPr>
        <w:t xml:space="preserve"> </w:t>
      </w:r>
    </w:p>
    <w:p w:rsidR="00FA6F23" w:rsidRPr="005A24A9" w:rsidRDefault="00FA6F23" w:rsidP="00FA6F23">
      <w:pPr>
        <w:pStyle w:val="Caption"/>
        <w:rPr>
          <w:color w:val="0000FF"/>
        </w:rPr>
      </w:pPr>
      <w:r w:rsidRPr="002E7CB4">
        <w:t xml:space="preserve">Table 1: </w:t>
      </w:r>
      <w:r w:rsidRPr="005A24A9">
        <w:rPr>
          <w:color w:val="0000FF"/>
        </w:rPr>
        <w:t>Estimated expenditure in 2010</w:t>
      </w:r>
      <w:r w:rsidR="00B42E92" w:rsidRPr="005A24A9">
        <w:rPr>
          <w:color w:val="0000FF"/>
        </w:rPr>
        <w:t>–</w:t>
      </w:r>
      <w:r w:rsidRPr="005A24A9">
        <w:rPr>
          <w:color w:val="0000FF"/>
        </w:rPr>
        <w:t>11</w:t>
      </w:r>
    </w:p>
    <w:tbl>
      <w:tblPr>
        <w:tblW w:w="8040" w:type="dxa"/>
        <w:tblInd w:w="57" w:type="dxa"/>
        <w:tblLayout w:type="fixed"/>
        <w:tblLook w:val="0000" w:firstRow="0" w:lastRow="0" w:firstColumn="0" w:lastColumn="0" w:noHBand="0" w:noVBand="0"/>
      </w:tblPr>
      <w:tblGrid>
        <w:gridCol w:w="5520"/>
        <w:gridCol w:w="840"/>
        <w:gridCol w:w="1680"/>
      </w:tblGrid>
      <w:tr w:rsidR="00FA6F23" w:rsidRPr="002E7CB4" w:rsidTr="005F4B65">
        <w:tblPrEx>
          <w:tblCellMar>
            <w:top w:w="0" w:type="dxa"/>
            <w:bottom w:w="0" w:type="dxa"/>
          </w:tblCellMar>
        </w:tblPrEx>
        <w:trPr>
          <w:cantSplit/>
          <w:tblHeader/>
        </w:trPr>
        <w:tc>
          <w:tcPr>
            <w:tcW w:w="5520" w:type="dxa"/>
            <w:tcBorders>
              <w:top w:val="single" w:sz="12" w:space="0" w:color="auto"/>
              <w:bottom w:val="single" w:sz="2" w:space="0" w:color="auto"/>
            </w:tcBorders>
            <w:shd w:val="clear" w:color="auto" w:fill="auto"/>
            <w:tcMar>
              <w:left w:w="57" w:type="dxa"/>
              <w:right w:w="57" w:type="dxa"/>
            </w:tcMar>
          </w:tcPr>
          <w:p w:rsidR="00FA6F23" w:rsidRPr="002E7CB4" w:rsidRDefault="00FA6F23" w:rsidP="00AB49E2">
            <w:pPr>
              <w:pStyle w:val="TableDataColumnHeading"/>
              <w:jc w:val="left"/>
            </w:pPr>
          </w:p>
        </w:tc>
        <w:tc>
          <w:tcPr>
            <w:tcW w:w="840" w:type="dxa"/>
            <w:tcBorders>
              <w:top w:val="single" w:sz="12" w:space="0" w:color="auto"/>
              <w:bottom w:val="single" w:sz="2" w:space="0" w:color="auto"/>
            </w:tcBorders>
            <w:shd w:val="clear" w:color="auto" w:fill="auto"/>
            <w:tcMar>
              <w:left w:w="57" w:type="dxa"/>
              <w:right w:w="57" w:type="dxa"/>
            </w:tcMar>
          </w:tcPr>
          <w:p w:rsidR="00FA6F23" w:rsidRPr="002E7CB4" w:rsidRDefault="00FA6F23" w:rsidP="00AB49E2">
            <w:pPr>
              <w:pStyle w:val="TableDataColumnHeading"/>
              <w:jc w:val="center"/>
            </w:pPr>
            <w:r w:rsidRPr="002E7CB4">
              <w:t xml:space="preserve">$ </w:t>
            </w:r>
            <w:r w:rsidR="001E1B02">
              <w:t>m</w:t>
            </w:r>
            <w:r w:rsidR="00D34A7C">
              <w:t>illion</w:t>
            </w:r>
          </w:p>
        </w:tc>
        <w:tc>
          <w:tcPr>
            <w:tcW w:w="1680" w:type="dxa"/>
            <w:tcBorders>
              <w:top w:val="single" w:sz="12" w:space="0" w:color="auto"/>
              <w:bottom w:val="single" w:sz="2" w:space="0" w:color="auto"/>
            </w:tcBorders>
            <w:shd w:val="clear" w:color="auto" w:fill="auto"/>
            <w:tcMar>
              <w:left w:w="57" w:type="dxa"/>
              <w:right w:w="57" w:type="dxa"/>
            </w:tcMar>
          </w:tcPr>
          <w:p w:rsidR="00FA6F23" w:rsidRPr="002E7CB4" w:rsidRDefault="00FA6F23" w:rsidP="00AB49E2">
            <w:pPr>
              <w:pStyle w:val="TableDataColumnHeading"/>
            </w:pPr>
            <w:r w:rsidRPr="002E7CB4">
              <w:t>Approximate % of bilateral program</w:t>
            </w:r>
          </w:p>
        </w:tc>
      </w:tr>
      <w:tr w:rsidR="00FA6F23" w:rsidRPr="00D34A7C" w:rsidTr="00932594">
        <w:tblPrEx>
          <w:tblCellMar>
            <w:top w:w="0" w:type="dxa"/>
            <w:bottom w:w="0" w:type="dxa"/>
          </w:tblCellMar>
        </w:tblPrEx>
        <w:trPr>
          <w:cantSplit/>
        </w:trPr>
        <w:tc>
          <w:tcPr>
            <w:tcW w:w="5520" w:type="dxa"/>
            <w:tcBorders>
              <w:bottom w:val="single" w:sz="12" w:space="0" w:color="auto"/>
            </w:tcBorders>
            <w:shd w:val="clear" w:color="auto" w:fill="auto"/>
            <w:tcMar>
              <w:left w:w="57" w:type="dxa"/>
              <w:right w:w="57" w:type="dxa"/>
            </w:tcMar>
          </w:tcPr>
          <w:p w:rsidR="00FA6F23" w:rsidRPr="00D34A7C" w:rsidRDefault="00FA6F23" w:rsidP="00D34A7C">
            <w:pPr>
              <w:pStyle w:val="TableDataEntries"/>
              <w:keepLines w:val="0"/>
              <w:jc w:val="left"/>
            </w:pPr>
            <w:r w:rsidRPr="00D34A7C">
              <w:t xml:space="preserve">Objective 1: Reduce the burden of HIV/AIDS, </w:t>
            </w:r>
            <w:r w:rsidR="004851F2" w:rsidRPr="00D34A7C">
              <w:t>TB</w:t>
            </w:r>
            <w:r w:rsidRPr="00D34A7C">
              <w:t xml:space="preserve"> and malaria</w:t>
            </w:r>
          </w:p>
          <w:p w:rsidR="00FA6F23" w:rsidRPr="00D34A7C" w:rsidRDefault="00FA6F23" w:rsidP="00D34A7C">
            <w:pPr>
              <w:pStyle w:val="TableDataEntries"/>
              <w:keepLines w:val="0"/>
              <w:jc w:val="left"/>
            </w:pPr>
            <w:r w:rsidRPr="00D34A7C">
              <w:t>Objective 2: Improve the delivery of basic health services</w:t>
            </w:r>
            <w:r w:rsidRPr="00D34A7C" w:rsidDel="002C3A23">
              <w:t xml:space="preserve"> </w:t>
            </w:r>
          </w:p>
          <w:p w:rsidR="00FA6F23" w:rsidRPr="00D34A7C" w:rsidRDefault="00FA6F23" w:rsidP="00D34A7C">
            <w:pPr>
              <w:pStyle w:val="TableDataEntries"/>
              <w:keepLines w:val="0"/>
              <w:jc w:val="left"/>
            </w:pPr>
            <w:r w:rsidRPr="00D34A7C">
              <w:t>Objective 3: Improve access to and quality of basic education</w:t>
            </w:r>
          </w:p>
          <w:p w:rsidR="00FA6F23" w:rsidRPr="00D34A7C" w:rsidRDefault="00FA6F23" w:rsidP="00D34A7C">
            <w:pPr>
              <w:pStyle w:val="TableDataEntries"/>
              <w:keepLines w:val="0"/>
              <w:jc w:val="left"/>
            </w:pPr>
            <w:r w:rsidRPr="00D34A7C">
              <w:t>Objective 4: Improve food and livelihoods security</w:t>
            </w:r>
          </w:p>
          <w:p w:rsidR="00FA6F23" w:rsidRPr="002E7CB4" w:rsidRDefault="00FA6F23" w:rsidP="00D34A7C">
            <w:pPr>
              <w:pStyle w:val="TableDataEntries"/>
              <w:keepLines w:val="0"/>
              <w:jc w:val="left"/>
              <w:rPr>
                <w:sz w:val="18"/>
                <w:szCs w:val="18"/>
              </w:rPr>
            </w:pPr>
            <w:r w:rsidRPr="00D34A7C">
              <w:t>Objective 5: Address the needs of vulnerable people.</w:t>
            </w:r>
          </w:p>
        </w:tc>
        <w:tc>
          <w:tcPr>
            <w:tcW w:w="840" w:type="dxa"/>
            <w:tcBorders>
              <w:bottom w:val="single" w:sz="12" w:space="0" w:color="auto"/>
            </w:tcBorders>
            <w:shd w:val="clear" w:color="auto" w:fill="auto"/>
            <w:tcMar>
              <w:left w:w="57" w:type="dxa"/>
              <w:right w:w="57" w:type="dxa"/>
            </w:tcMar>
          </w:tcPr>
          <w:p w:rsidR="00FA6F23" w:rsidRPr="00D34A7C" w:rsidRDefault="00FA6F23" w:rsidP="00D34A7C">
            <w:pPr>
              <w:pStyle w:val="TableDataEntries"/>
              <w:keepLines w:val="0"/>
            </w:pPr>
            <w:r w:rsidRPr="00D34A7C">
              <w:t>8.1</w:t>
            </w:r>
          </w:p>
          <w:p w:rsidR="00FA6F23" w:rsidRPr="00D34A7C" w:rsidRDefault="00FA6F23" w:rsidP="00D34A7C">
            <w:pPr>
              <w:pStyle w:val="TableDataEntries"/>
              <w:keepLines w:val="0"/>
            </w:pPr>
            <w:r w:rsidRPr="00D34A7C">
              <w:t>8.2</w:t>
            </w:r>
          </w:p>
          <w:p w:rsidR="00FA6F23" w:rsidRPr="00D34A7C" w:rsidRDefault="001E1B02" w:rsidP="00D34A7C">
            <w:pPr>
              <w:pStyle w:val="TableDataEntries"/>
              <w:keepLines w:val="0"/>
            </w:pPr>
            <w:r w:rsidRPr="00D34A7C">
              <w:t xml:space="preserve">  </w:t>
            </w:r>
            <w:r w:rsidR="00FC7878" w:rsidRPr="00D34A7C">
              <w:t xml:space="preserve">        </w:t>
            </w:r>
            <w:r w:rsidR="00FA6F23" w:rsidRPr="00D34A7C">
              <w:t>5</w:t>
            </w:r>
            <w:r w:rsidR="00FC7878" w:rsidRPr="00D34A7C">
              <w:t>.0</w:t>
            </w:r>
          </w:p>
          <w:p w:rsidR="00FA6F23" w:rsidRPr="00D34A7C" w:rsidRDefault="00FA6F23" w:rsidP="00D34A7C">
            <w:pPr>
              <w:pStyle w:val="TableDataEntries"/>
              <w:keepLines w:val="0"/>
            </w:pPr>
            <w:r w:rsidRPr="00D34A7C">
              <w:t>11.4</w:t>
            </w:r>
          </w:p>
          <w:p w:rsidR="00FA6F23" w:rsidRPr="00D34A7C" w:rsidRDefault="00FA6F23" w:rsidP="00D34A7C">
            <w:pPr>
              <w:pStyle w:val="TableDataEntries"/>
              <w:keepLines w:val="0"/>
            </w:pPr>
            <w:r w:rsidRPr="00D34A7C">
              <w:t xml:space="preserve">3.4  </w:t>
            </w:r>
          </w:p>
        </w:tc>
        <w:tc>
          <w:tcPr>
            <w:tcW w:w="1680" w:type="dxa"/>
            <w:tcBorders>
              <w:bottom w:val="single" w:sz="12" w:space="0" w:color="auto"/>
            </w:tcBorders>
            <w:shd w:val="clear" w:color="auto" w:fill="auto"/>
            <w:tcMar>
              <w:left w:w="57" w:type="dxa"/>
              <w:right w:w="57" w:type="dxa"/>
            </w:tcMar>
          </w:tcPr>
          <w:p w:rsidR="00FA6F23" w:rsidRPr="00D34A7C" w:rsidRDefault="00FA6F23" w:rsidP="00D34A7C">
            <w:pPr>
              <w:pStyle w:val="TableDataEntries"/>
              <w:keepLines w:val="0"/>
            </w:pPr>
            <w:r w:rsidRPr="00D34A7C">
              <w:t xml:space="preserve"> 19</w:t>
            </w:r>
          </w:p>
          <w:p w:rsidR="00FA6F23" w:rsidRPr="00D34A7C" w:rsidRDefault="00B42E92" w:rsidP="00D34A7C">
            <w:pPr>
              <w:pStyle w:val="TableDataEntries"/>
              <w:keepLines w:val="0"/>
            </w:pPr>
            <w:r w:rsidRPr="00D34A7C">
              <w:t>19</w:t>
            </w:r>
          </w:p>
          <w:p w:rsidR="00FA6F23" w:rsidRPr="00D34A7C" w:rsidRDefault="00B42E92" w:rsidP="00D34A7C">
            <w:pPr>
              <w:pStyle w:val="TableDataEntries"/>
              <w:keepLines w:val="0"/>
            </w:pPr>
            <w:r w:rsidRPr="00D34A7C">
              <w:t>12</w:t>
            </w:r>
          </w:p>
          <w:p w:rsidR="00FA6F23" w:rsidRPr="00D34A7C" w:rsidRDefault="00B42E92" w:rsidP="00D34A7C">
            <w:pPr>
              <w:pStyle w:val="TableDataEntries"/>
              <w:keepLines w:val="0"/>
            </w:pPr>
            <w:r w:rsidRPr="00D34A7C">
              <w:t>27</w:t>
            </w:r>
          </w:p>
          <w:p w:rsidR="00FA6F23" w:rsidRPr="00D34A7C" w:rsidRDefault="00B42E92" w:rsidP="00D34A7C">
            <w:pPr>
              <w:pStyle w:val="TableDataEntries"/>
              <w:keepLines w:val="0"/>
            </w:pPr>
            <w:r w:rsidRPr="00D34A7C">
              <w:t>8</w:t>
            </w:r>
            <w:r w:rsidR="00FA6F23" w:rsidRPr="00D34A7C">
              <w:t xml:space="preserve"> </w:t>
            </w:r>
          </w:p>
        </w:tc>
      </w:tr>
    </w:tbl>
    <w:p w:rsidR="0067202D" w:rsidRPr="005F4B65" w:rsidRDefault="00FA6F23" w:rsidP="00932594">
      <w:pPr>
        <w:pStyle w:val="H1"/>
        <w:spacing w:before="360"/>
      </w:pPr>
      <w:bookmarkStart w:id="6" w:name="_Toc360980583"/>
      <w:r w:rsidRPr="005F4B65">
        <w:t>Progress against objectives</w:t>
      </w:r>
      <w:bookmarkEnd w:id="6"/>
    </w:p>
    <w:p w:rsidR="001B0EE1" w:rsidRDefault="000D732A" w:rsidP="00932594">
      <w:pPr>
        <w:spacing w:before="120" w:after="360" w:line="240" w:lineRule="exact"/>
        <w:ind w:right="-340"/>
        <w:rPr>
          <w:rFonts w:ascii="Georgia" w:hAnsi="Georgia"/>
          <w:szCs w:val="20"/>
        </w:rPr>
      </w:pPr>
      <w:r>
        <w:rPr>
          <w:rFonts w:ascii="Georgia" w:hAnsi="Georgia"/>
          <w:szCs w:val="20"/>
        </w:rPr>
        <w:t>T</w:t>
      </w:r>
      <w:r w:rsidR="001B0EE1" w:rsidRPr="002E7CB4">
        <w:rPr>
          <w:rFonts w:ascii="Georgia" w:hAnsi="Georgia"/>
          <w:szCs w:val="20"/>
        </w:rPr>
        <w:t xml:space="preserve">he results of activities in 2010 </w:t>
      </w:r>
      <w:r>
        <w:rPr>
          <w:rFonts w:ascii="Georgia" w:hAnsi="Georgia"/>
          <w:szCs w:val="20"/>
        </w:rPr>
        <w:t>are assessed in this performance assessment</w:t>
      </w:r>
      <w:r w:rsidR="001B0EE1" w:rsidRPr="002E7CB4">
        <w:rPr>
          <w:rFonts w:ascii="Georgia" w:hAnsi="Georgia"/>
          <w:szCs w:val="20"/>
        </w:rPr>
        <w:t xml:space="preserve">. Where our assistance to Burma is provided through large multi-donor funds that operate on a large scale, Australia’s performance is assessed on </w:t>
      </w:r>
      <w:r w:rsidR="00E80195">
        <w:rPr>
          <w:rFonts w:ascii="Georgia" w:hAnsi="Georgia"/>
          <w:szCs w:val="20"/>
        </w:rPr>
        <w:t xml:space="preserve">the </w:t>
      </w:r>
      <w:r w:rsidR="001B0EE1" w:rsidRPr="002E7CB4">
        <w:rPr>
          <w:rFonts w:ascii="Georgia" w:hAnsi="Georgia"/>
          <w:szCs w:val="20"/>
        </w:rPr>
        <w:t>fund</w:t>
      </w:r>
      <w:r w:rsidR="00E80195">
        <w:rPr>
          <w:rFonts w:ascii="Georgia" w:hAnsi="Georgia"/>
          <w:szCs w:val="20"/>
        </w:rPr>
        <w:t>’s</w:t>
      </w:r>
      <w:r w:rsidR="001B0EE1" w:rsidRPr="002E7CB4">
        <w:rPr>
          <w:rFonts w:ascii="Georgia" w:hAnsi="Georgia"/>
          <w:szCs w:val="20"/>
        </w:rPr>
        <w:t xml:space="preserve"> performance as a whole. The results for activities where Australia has sole responsibility, and the roles played by Australia in the governance of funds management and sector influencing</w:t>
      </w:r>
      <w:r w:rsidR="00E80195">
        <w:rPr>
          <w:rFonts w:ascii="Georgia" w:hAnsi="Georgia"/>
          <w:szCs w:val="20"/>
        </w:rPr>
        <w:t>,</w:t>
      </w:r>
      <w:r w:rsidR="001B0EE1" w:rsidRPr="002E7CB4">
        <w:rPr>
          <w:rFonts w:ascii="Georgia" w:hAnsi="Georgia"/>
          <w:szCs w:val="20"/>
        </w:rPr>
        <w:t xml:space="preserve"> are also discussed. This assessment describe</w:t>
      </w:r>
      <w:r w:rsidR="003C17C0">
        <w:rPr>
          <w:rFonts w:ascii="Georgia" w:hAnsi="Georgia"/>
          <w:szCs w:val="20"/>
        </w:rPr>
        <w:t>s</w:t>
      </w:r>
      <w:r w:rsidR="001B0EE1" w:rsidRPr="002E7CB4">
        <w:rPr>
          <w:rFonts w:ascii="Georgia" w:hAnsi="Georgia"/>
          <w:szCs w:val="20"/>
        </w:rPr>
        <w:t xml:space="preserve"> the steps underway to move towards the new </w:t>
      </w:r>
      <w:r w:rsidR="002C4D78" w:rsidRPr="002E7CB4">
        <w:rPr>
          <w:rFonts w:ascii="Georgia" w:hAnsi="Georgia"/>
          <w:szCs w:val="20"/>
        </w:rPr>
        <w:t>policy framework</w:t>
      </w:r>
      <w:r w:rsidR="002C4D78">
        <w:rPr>
          <w:rFonts w:ascii="Georgia" w:hAnsi="Georgia"/>
          <w:szCs w:val="20"/>
        </w:rPr>
        <w:t xml:space="preserve"> focusing</w:t>
      </w:r>
      <w:r w:rsidR="002C4D78" w:rsidRPr="002E7CB4">
        <w:rPr>
          <w:rFonts w:ascii="Georgia" w:hAnsi="Georgia"/>
          <w:szCs w:val="20"/>
        </w:rPr>
        <w:t xml:space="preserve"> on sustainable long-term development outcomes.</w:t>
      </w:r>
    </w:p>
    <w:p w:rsidR="00183D2C" w:rsidRPr="005A24A9" w:rsidRDefault="00183D2C" w:rsidP="001B0EE1">
      <w:pPr>
        <w:pStyle w:val="Caption"/>
        <w:rPr>
          <w:color w:val="0000FF"/>
        </w:rPr>
      </w:pPr>
      <w:r w:rsidRPr="002E7CB4">
        <w:t xml:space="preserve">Table </w:t>
      </w:r>
      <w:r w:rsidR="00FA6F23" w:rsidRPr="002E7CB4">
        <w:t>2</w:t>
      </w:r>
      <w:r w:rsidRPr="002E7CB4">
        <w:t xml:space="preserve">: </w:t>
      </w:r>
      <w:r w:rsidR="003616A1" w:rsidRPr="005A24A9">
        <w:rPr>
          <w:color w:val="0000FF"/>
        </w:rPr>
        <w:t xml:space="preserve">Rating of the program’s progress in 2010 towards the </w:t>
      </w:r>
      <w:r w:rsidR="001E1B02" w:rsidRPr="005A24A9">
        <w:rPr>
          <w:color w:val="0000FF"/>
        </w:rPr>
        <w:t>o</w:t>
      </w:r>
      <w:r w:rsidRPr="005A24A9">
        <w:rPr>
          <w:color w:val="0000FF"/>
        </w:rPr>
        <w:t>bjective</w:t>
      </w:r>
      <w:r w:rsidR="001E1B02" w:rsidRPr="005A24A9">
        <w:rPr>
          <w:color w:val="0000FF"/>
        </w:rPr>
        <w:t>s</w:t>
      </w:r>
      <w:r w:rsidR="003616A1" w:rsidRPr="005A24A9">
        <w:rPr>
          <w:color w:val="0000FF"/>
        </w:rPr>
        <w:t xml:space="preserve"> of the Burma program</w:t>
      </w:r>
    </w:p>
    <w:tbl>
      <w:tblPr>
        <w:tblW w:w="0" w:type="auto"/>
        <w:tblBorders>
          <w:top w:val="single" w:sz="4" w:space="0" w:color="auto"/>
        </w:tblBorders>
        <w:tblLook w:val="01E0" w:firstRow="1" w:lastRow="1" w:firstColumn="1" w:lastColumn="1" w:noHBand="0" w:noVBand="0"/>
      </w:tblPr>
      <w:tblGrid>
        <w:gridCol w:w="6588"/>
        <w:gridCol w:w="1566"/>
      </w:tblGrid>
      <w:tr w:rsidR="001B0EE1" w:rsidRPr="002E7CB4" w:rsidTr="003B34FE">
        <w:tc>
          <w:tcPr>
            <w:tcW w:w="6588" w:type="dxa"/>
            <w:tcBorders>
              <w:top w:val="single" w:sz="4" w:space="0" w:color="auto"/>
              <w:bottom w:val="single" w:sz="4" w:space="0" w:color="auto"/>
            </w:tcBorders>
            <w:shd w:val="clear" w:color="auto" w:fill="auto"/>
          </w:tcPr>
          <w:p w:rsidR="001B0EE1" w:rsidRPr="003B34FE" w:rsidRDefault="001B0EE1" w:rsidP="00F63A0F">
            <w:pPr>
              <w:pStyle w:val="BodyText"/>
              <w:rPr>
                <w:sz w:val="20"/>
                <w:szCs w:val="20"/>
              </w:rPr>
            </w:pPr>
            <w:r w:rsidRPr="003B34FE">
              <w:rPr>
                <w:sz w:val="20"/>
                <w:szCs w:val="20"/>
              </w:rPr>
              <w:t xml:space="preserve">Objective </w:t>
            </w:r>
          </w:p>
        </w:tc>
        <w:tc>
          <w:tcPr>
            <w:tcW w:w="1566" w:type="dxa"/>
            <w:tcBorders>
              <w:top w:val="single" w:sz="4" w:space="0" w:color="auto"/>
              <w:bottom w:val="single" w:sz="4" w:space="0" w:color="auto"/>
            </w:tcBorders>
            <w:shd w:val="clear" w:color="auto" w:fill="auto"/>
          </w:tcPr>
          <w:p w:rsidR="001B0EE1" w:rsidRPr="003B34FE" w:rsidRDefault="001B0EE1" w:rsidP="00F63A0F">
            <w:pPr>
              <w:pStyle w:val="BodyText"/>
              <w:rPr>
                <w:sz w:val="20"/>
                <w:szCs w:val="20"/>
              </w:rPr>
            </w:pPr>
            <w:r w:rsidRPr="003B34FE">
              <w:rPr>
                <w:sz w:val="20"/>
                <w:szCs w:val="20"/>
              </w:rPr>
              <w:t>Rating in 2010</w:t>
            </w:r>
          </w:p>
        </w:tc>
      </w:tr>
      <w:tr w:rsidR="001B0EE1" w:rsidRPr="002E7CB4" w:rsidTr="003B34FE">
        <w:tc>
          <w:tcPr>
            <w:tcW w:w="6588" w:type="dxa"/>
            <w:tcBorders>
              <w:top w:val="single" w:sz="4" w:space="0" w:color="auto"/>
              <w:bottom w:val="single" w:sz="4" w:space="0" w:color="auto"/>
            </w:tcBorders>
            <w:shd w:val="clear" w:color="auto" w:fill="auto"/>
          </w:tcPr>
          <w:p w:rsidR="001B0EE1" w:rsidRPr="00D34A7C" w:rsidRDefault="001B0EE1" w:rsidP="00D34A7C">
            <w:pPr>
              <w:pStyle w:val="TableTextEntries"/>
              <w:keepNext/>
            </w:pPr>
            <w:r w:rsidRPr="00D34A7C">
              <w:t xml:space="preserve">Objective 1: Reduce the burden of HIV/AIDS, </w:t>
            </w:r>
            <w:r w:rsidR="004851F2" w:rsidRPr="00D34A7C">
              <w:t>TB</w:t>
            </w:r>
            <w:r w:rsidRPr="00D34A7C">
              <w:t xml:space="preserve"> and malaria</w:t>
            </w:r>
          </w:p>
          <w:p w:rsidR="001B0EE1" w:rsidRPr="00D34A7C" w:rsidRDefault="001B0EE1" w:rsidP="00D34A7C">
            <w:pPr>
              <w:pStyle w:val="TableTextEntries"/>
              <w:keepNext/>
            </w:pPr>
            <w:r w:rsidRPr="00D34A7C">
              <w:t xml:space="preserve">Objective 2: Improve the delivery of basic health services           </w:t>
            </w:r>
          </w:p>
          <w:p w:rsidR="001B0EE1" w:rsidRPr="00D34A7C" w:rsidRDefault="001B0EE1" w:rsidP="00D34A7C">
            <w:pPr>
              <w:pStyle w:val="TableTextEntries"/>
              <w:keepNext/>
            </w:pPr>
            <w:r w:rsidRPr="00D34A7C">
              <w:t xml:space="preserve">Objective 3: Improve access to and quality of basic education          </w:t>
            </w:r>
          </w:p>
          <w:p w:rsidR="001B0EE1" w:rsidRPr="00D34A7C" w:rsidRDefault="001B0EE1" w:rsidP="00D34A7C">
            <w:pPr>
              <w:pStyle w:val="TableTextEntries"/>
              <w:keepNext/>
            </w:pPr>
            <w:r w:rsidRPr="00D34A7C">
              <w:t xml:space="preserve">Objective 4: Improve food and livelihoods security              </w:t>
            </w:r>
          </w:p>
          <w:p w:rsidR="001B0EE1" w:rsidRPr="002E7CB4" w:rsidRDefault="001B0EE1" w:rsidP="00D34A7C">
            <w:pPr>
              <w:pStyle w:val="TableTextEntries"/>
              <w:keepNext/>
            </w:pPr>
            <w:r w:rsidRPr="00D34A7C">
              <w:t>Objective 5: Address the needs of vulnerable people</w:t>
            </w:r>
          </w:p>
        </w:tc>
        <w:tc>
          <w:tcPr>
            <w:tcW w:w="1566" w:type="dxa"/>
            <w:tcBorders>
              <w:top w:val="single" w:sz="4" w:space="0" w:color="auto"/>
              <w:bottom w:val="single" w:sz="4" w:space="0" w:color="auto"/>
            </w:tcBorders>
            <w:shd w:val="clear" w:color="auto" w:fill="auto"/>
          </w:tcPr>
          <w:p w:rsidR="001B0EE1" w:rsidRPr="003C17C0" w:rsidRDefault="00932594" w:rsidP="003C17C0">
            <w:pPr>
              <w:pStyle w:val="TableDataEntries"/>
              <w:keepLines w:val="0"/>
              <w:jc w:val="center"/>
              <w:rPr>
                <w:color w:val="FFC000"/>
              </w:rPr>
            </w:pPr>
            <w:r>
              <w:rPr>
                <w:rFonts w:ascii="Georgia" w:hAnsi="Georgia"/>
                <w:noProof/>
                <w:color w:val="FF9900"/>
                <w:sz w:val="16"/>
                <w:szCs w:val="16"/>
                <w:lang w:val="en-US"/>
              </w:rPr>
              <w:drawing>
                <wp:inline distT="0" distB="0" distL="0" distR="0">
                  <wp:extent cx="99060" cy="99060"/>
                  <wp:effectExtent l="0" t="0" r="0" b="0"/>
                  <wp:docPr id="11" name="Picture 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3C17C0" w:rsidRDefault="00932594" w:rsidP="00D34A7C">
            <w:pPr>
              <w:pStyle w:val="TableDataEntries"/>
              <w:keepLines w:val="0"/>
              <w:jc w:val="center"/>
              <w:rPr>
                <w:rFonts w:ascii="Georgia" w:hAnsi="Georgia"/>
                <w:color w:val="FF9900"/>
                <w:sz w:val="16"/>
                <w:szCs w:val="16"/>
              </w:rPr>
            </w:pPr>
            <w:r>
              <w:rPr>
                <w:rFonts w:ascii="Georgia" w:hAnsi="Georgia"/>
                <w:noProof/>
                <w:color w:val="FF9900"/>
                <w:sz w:val="16"/>
                <w:szCs w:val="16"/>
                <w:lang w:val="en-US"/>
              </w:rPr>
              <w:drawing>
                <wp:inline distT="0" distB="0" distL="0" distR="0">
                  <wp:extent cx="99060" cy="99060"/>
                  <wp:effectExtent l="0" t="0" r="0" b="0"/>
                  <wp:docPr id="10" name="Picture 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3C17C0" w:rsidRDefault="00932594" w:rsidP="00D34A7C">
            <w:pPr>
              <w:pStyle w:val="TableDataEntries"/>
              <w:keepLines w:val="0"/>
              <w:jc w:val="center"/>
              <w:rPr>
                <w:rFonts w:ascii="Georgia" w:hAnsi="Georgia"/>
                <w:color w:val="FF9900"/>
                <w:sz w:val="16"/>
                <w:szCs w:val="16"/>
              </w:rPr>
            </w:pPr>
            <w:r>
              <w:rPr>
                <w:rFonts w:ascii="Georgia" w:hAnsi="Georgia"/>
                <w:noProof/>
                <w:color w:val="FF9900"/>
                <w:sz w:val="16"/>
                <w:szCs w:val="16"/>
                <w:lang w:val="en-US"/>
              </w:rPr>
              <w:drawing>
                <wp:inline distT="0" distB="0" distL="0" distR="0">
                  <wp:extent cx="99060" cy="99060"/>
                  <wp:effectExtent l="0" t="0" r="0" b="0"/>
                  <wp:docPr id="9" name="Picture 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3C17C0" w:rsidRDefault="00932594" w:rsidP="00D34A7C">
            <w:pPr>
              <w:pStyle w:val="TableDataEntries"/>
              <w:keepLines w:val="0"/>
              <w:jc w:val="center"/>
              <w:rPr>
                <w:rFonts w:ascii="Georgia" w:hAnsi="Georgia"/>
                <w:color w:val="FF9900"/>
                <w:sz w:val="16"/>
                <w:szCs w:val="16"/>
              </w:rPr>
            </w:pPr>
            <w:r>
              <w:rPr>
                <w:rFonts w:ascii="Georgia" w:hAnsi="Georgia"/>
                <w:noProof/>
                <w:color w:val="FF9900"/>
                <w:sz w:val="16"/>
                <w:szCs w:val="16"/>
                <w:lang w:val="en-US"/>
              </w:rPr>
              <w:drawing>
                <wp:inline distT="0" distB="0" distL="0" distR="0">
                  <wp:extent cx="99060" cy="99060"/>
                  <wp:effectExtent l="0" t="0" r="0" b="0"/>
                  <wp:docPr id="4" name="Picture 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1B0EE1" w:rsidRPr="002E7CB4" w:rsidRDefault="00932594" w:rsidP="00D34A7C">
            <w:pPr>
              <w:pStyle w:val="TableDataEntries"/>
              <w:keepLines w:val="0"/>
              <w:jc w:val="center"/>
            </w:pPr>
            <w:r>
              <w:rPr>
                <w:rFonts w:ascii="Georgia" w:hAnsi="Georgia"/>
                <w:noProof/>
                <w:color w:val="FF9900"/>
                <w:sz w:val="16"/>
                <w:szCs w:val="16"/>
                <w:lang w:val="en-US"/>
              </w:rPr>
              <w:drawing>
                <wp:inline distT="0" distB="0" distL="0" distR="0">
                  <wp:extent cx="99060" cy="99060"/>
                  <wp:effectExtent l="0" t="0" r="0" b="0"/>
                  <wp:docPr id="5" name="Picture 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r>
    </w:tbl>
    <w:p w:rsidR="001B0EE1" w:rsidRPr="002E7CB4" w:rsidRDefault="001B0EE1" w:rsidP="001B0EE1">
      <w:pPr>
        <w:pStyle w:val="Note"/>
        <w:keepNext/>
      </w:pPr>
      <w:r w:rsidRPr="002E7CB4">
        <w:t xml:space="preserve">Note: </w:t>
      </w:r>
    </w:p>
    <w:p w:rsidR="003C17C0" w:rsidRPr="002E7CB4" w:rsidRDefault="00932594" w:rsidP="003C17C0">
      <w:pPr>
        <w:pStyle w:val="Note"/>
        <w:keepNext/>
        <w:spacing w:before="0" w:line="240" w:lineRule="exact"/>
        <w:rPr>
          <w:rFonts w:ascii="Georgia" w:hAnsi="Georgia"/>
          <w:sz w:val="16"/>
          <w:szCs w:val="16"/>
        </w:rPr>
      </w:pPr>
      <w:r>
        <w:rPr>
          <w:rFonts w:ascii="Franklin Gothic Demi" w:hAnsi="Franklin Gothic Demi"/>
          <w:noProof/>
          <w:color w:val="99CC00"/>
          <w:sz w:val="16"/>
          <w:szCs w:val="16"/>
          <w:lang w:val="en-US"/>
        </w:rPr>
        <w:drawing>
          <wp:inline distT="0" distB="0" distL="0" distR="0">
            <wp:extent cx="99060" cy="99060"/>
            <wp:effectExtent l="0" t="0" r="0" b="0"/>
            <wp:docPr id="6" name="Picture 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3C17C0" w:rsidRPr="002E7CB4">
        <w:rPr>
          <w:rFonts w:ascii="Franklin Gothic Demi" w:eastAsia="Arial Unicode MS" w:hAnsi="Arial Unicode MS" w:cs="Arial Unicode MS"/>
          <w:sz w:val="16"/>
          <w:szCs w:val="16"/>
        </w:rPr>
        <w:t> </w:t>
      </w:r>
      <w:r w:rsidR="003C17C0" w:rsidRPr="002E7CB4">
        <w:rPr>
          <w:rFonts w:ascii="Georgia" w:hAnsi="Georgia"/>
          <w:sz w:val="16"/>
          <w:szCs w:val="16"/>
        </w:rPr>
        <w:t>The objective is on track to be fully achieved</w:t>
      </w:r>
    </w:p>
    <w:p w:rsidR="003C17C0" w:rsidRPr="002E7CB4" w:rsidRDefault="00932594" w:rsidP="003C17C0">
      <w:pPr>
        <w:pStyle w:val="TableTextEntries"/>
        <w:spacing w:before="0" w:after="0" w:line="240" w:lineRule="exact"/>
        <w:rPr>
          <w:rFonts w:ascii="Georgia" w:hAnsi="Georgia"/>
          <w:sz w:val="16"/>
          <w:szCs w:val="16"/>
        </w:rPr>
      </w:pPr>
      <w:r>
        <w:rPr>
          <w:rFonts w:ascii="Georgia" w:hAnsi="Georgia"/>
          <w:noProof/>
          <w:color w:val="FF9900"/>
          <w:sz w:val="16"/>
          <w:szCs w:val="16"/>
          <w:lang w:val="en-US"/>
        </w:rPr>
        <w:drawing>
          <wp:inline distT="0" distB="0" distL="0" distR="0">
            <wp:extent cx="99060" cy="99060"/>
            <wp:effectExtent l="0" t="0" r="0" b="0"/>
            <wp:docPr id="7" name="Picture 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3C17C0" w:rsidRPr="002E7CB4">
        <w:rPr>
          <w:rFonts w:ascii="Georgia" w:eastAsia="Arial Unicode MS" w:hAnsi="Arial Unicode MS" w:cs="Arial Unicode MS"/>
          <w:sz w:val="16"/>
          <w:szCs w:val="16"/>
        </w:rPr>
        <w:t> </w:t>
      </w:r>
      <w:r w:rsidR="003C17C0" w:rsidRPr="002E7CB4">
        <w:rPr>
          <w:rFonts w:ascii="Georgia" w:hAnsi="Georgia"/>
          <w:sz w:val="16"/>
          <w:szCs w:val="16"/>
        </w:rPr>
        <w:t>The objective will be partly achieved</w:t>
      </w:r>
    </w:p>
    <w:p w:rsidR="003C17C0" w:rsidRPr="002E7CB4" w:rsidRDefault="00932594" w:rsidP="003C17C0">
      <w:pPr>
        <w:pStyle w:val="BodyText"/>
        <w:spacing w:before="0" w:after="0" w:line="240" w:lineRule="exact"/>
        <w:rPr>
          <w:sz w:val="16"/>
          <w:szCs w:val="16"/>
        </w:rPr>
      </w:pPr>
      <w:r>
        <w:rPr>
          <w:noProof/>
          <w:color w:val="FF0000"/>
          <w:sz w:val="16"/>
          <w:szCs w:val="16"/>
          <w:lang w:val="en-US" w:eastAsia="en-US"/>
        </w:rPr>
        <w:drawing>
          <wp:inline distT="0" distB="0" distL="0" distR="0">
            <wp:extent cx="99060" cy="99060"/>
            <wp:effectExtent l="0" t="0" r="0" b="0"/>
            <wp:docPr id="8" name="Picture 8"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3C17C0" w:rsidRPr="002E7CB4">
        <w:rPr>
          <w:rFonts w:eastAsia="Arial Unicode MS" w:hAnsi="Arial Unicode MS" w:cs="Arial Unicode MS"/>
          <w:sz w:val="16"/>
          <w:szCs w:val="16"/>
        </w:rPr>
        <w:t> </w:t>
      </w:r>
      <w:r w:rsidR="003C17C0" w:rsidRPr="002E7CB4">
        <w:rPr>
          <w:sz w:val="16"/>
          <w:szCs w:val="16"/>
        </w:rPr>
        <w:t>The objective is unlikely to be achieved</w:t>
      </w:r>
    </w:p>
    <w:p w:rsidR="0067202D" w:rsidRPr="002E7CB4" w:rsidRDefault="0067202D" w:rsidP="00932594">
      <w:pPr>
        <w:pStyle w:val="Heading2"/>
        <w:tabs>
          <w:tab w:val="left" w:pos="1920"/>
        </w:tabs>
        <w:spacing w:before="600" w:after="120" w:line="320" w:lineRule="atLeast"/>
        <w:ind w:left="0"/>
        <w:rPr>
          <w:kern w:val="0"/>
        </w:rPr>
      </w:pPr>
      <w:bookmarkStart w:id="7" w:name="_Toc360980584"/>
      <w:r w:rsidRPr="002E7CB4">
        <w:rPr>
          <w:kern w:val="0"/>
        </w:rPr>
        <w:t xml:space="preserve">Objective 1: Reduce the burden of HIV/AIDS, </w:t>
      </w:r>
      <w:r w:rsidR="004851F2">
        <w:rPr>
          <w:kern w:val="0"/>
        </w:rPr>
        <w:t>T</w:t>
      </w:r>
      <w:r w:rsidR="00941DB5" w:rsidRPr="00941DB5">
        <w:rPr>
          <w:kern w:val="0"/>
        </w:rPr>
        <w:t>uberculosis</w:t>
      </w:r>
      <w:r w:rsidR="00941DB5">
        <w:rPr>
          <w:rFonts w:ascii="Georgia" w:hAnsi="Georgia"/>
          <w:szCs w:val="20"/>
        </w:rPr>
        <w:t xml:space="preserve"> </w:t>
      </w:r>
      <w:r w:rsidRPr="002E7CB4">
        <w:rPr>
          <w:kern w:val="0"/>
        </w:rPr>
        <w:t>and malaria</w:t>
      </w:r>
      <w:bookmarkEnd w:id="7"/>
    </w:p>
    <w:p w:rsidR="00085594" w:rsidRPr="002E7CB4" w:rsidRDefault="0067202D" w:rsidP="00502123">
      <w:pPr>
        <w:pStyle w:val="Heading2"/>
        <w:tabs>
          <w:tab w:val="left" w:pos="1920"/>
        </w:tabs>
        <w:spacing w:before="0" w:after="120" w:line="320" w:lineRule="atLeast"/>
        <w:ind w:left="0"/>
        <w:rPr>
          <w:kern w:val="0"/>
        </w:rPr>
      </w:pPr>
      <w:bookmarkStart w:id="8" w:name="_Toc360980585"/>
      <w:r w:rsidRPr="002E7CB4">
        <w:rPr>
          <w:kern w:val="0"/>
        </w:rPr>
        <w:t>Objective 2: Improve the delivery of basic health services</w:t>
      </w:r>
      <w:bookmarkEnd w:id="8"/>
    </w:p>
    <w:p w:rsidR="00BB4DD6" w:rsidRDefault="00385E4A" w:rsidP="001B0EE1">
      <w:pPr>
        <w:spacing w:before="120" w:after="120" w:line="240" w:lineRule="exact"/>
        <w:ind w:right="-340"/>
        <w:rPr>
          <w:rFonts w:ascii="Georgia" w:hAnsi="Georgia"/>
          <w:szCs w:val="20"/>
        </w:rPr>
      </w:pPr>
      <w:r>
        <w:rPr>
          <w:rFonts w:ascii="Georgia" w:hAnsi="Georgia"/>
          <w:szCs w:val="20"/>
        </w:rPr>
        <w:t>As o</w:t>
      </w:r>
      <w:r w:rsidR="00BB4DD6">
        <w:rPr>
          <w:rFonts w:ascii="Georgia" w:hAnsi="Georgia"/>
          <w:szCs w:val="20"/>
        </w:rPr>
        <w:t xml:space="preserve">bjectives 1 and 2 are </w:t>
      </w:r>
      <w:r w:rsidR="004D55A2">
        <w:rPr>
          <w:rFonts w:ascii="Georgia" w:hAnsi="Georgia"/>
          <w:szCs w:val="20"/>
        </w:rPr>
        <w:t xml:space="preserve">closely </w:t>
      </w:r>
      <w:r>
        <w:rPr>
          <w:rFonts w:ascii="Georgia" w:hAnsi="Georgia"/>
          <w:szCs w:val="20"/>
        </w:rPr>
        <w:t xml:space="preserve">related they </w:t>
      </w:r>
      <w:r w:rsidR="004D55A2">
        <w:rPr>
          <w:rFonts w:ascii="Georgia" w:hAnsi="Georgia"/>
          <w:szCs w:val="20"/>
        </w:rPr>
        <w:t xml:space="preserve">are </w:t>
      </w:r>
      <w:r w:rsidR="00BB4DD6">
        <w:rPr>
          <w:rFonts w:ascii="Georgia" w:hAnsi="Georgia"/>
          <w:szCs w:val="20"/>
        </w:rPr>
        <w:t>reported together.</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The health of the Burmese people is poor. Large numbers of people are </w:t>
      </w:r>
      <w:r w:rsidR="00E80195">
        <w:rPr>
          <w:rFonts w:ascii="Georgia" w:hAnsi="Georgia"/>
          <w:szCs w:val="20"/>
        </w:rPr>
        <w:t xml:space="preserve">regularly </w:t>
      </w:r>
      <w:r w:rsidRPr="002E7CB4">
        <w:rPr>
          <w:rFonts w:ascii="Georgia" w:hAnsi="Georgia"/>
          <w:szCs w:val="20"/>
        </w:rPr>
        <w:t xml:space="preserve">dying from easily preventable illness and diseases. One in 12 children </w:t>
      </w:r>
      <w:proofErr w:type="gramStart"/>
      <w:r w:rsidRPr="002E7CB4">
        <w:rPr>
          <w:rFonts w:ascii="Georgia" w:hAnsi="Georgia"/>
          <w:szCs w:val="20"/>
        </w:rPr>
        <w:t>die</w:t>
      </w:r>
      <w:proofErr w:type="gramEnd"/>
      <w:r w:rsidRPr="002E7CB4">
        <w:rPr>
          <w:rFonts w:ascii="Georgia" w:hAnsi="Georgia"/>
          <w:szCs w:val="20"/>
        </w:rPr>
        <w:t xml:space="preserve"> before</w:t>
      </w:r>
      <w:r w:rsidR="00E80195">
        <w:rPr>
          <w:rFonts w:ascii="Georgia" w:hAnsi="Georgia"/>
          <w:szCs w:val="20"/>
        </w:rPr>
        <w:t xml:space="preserve"> they reach the age of</w:t>
      </w:r>
      <w:r w:rsidRPr="002E7CB4">
        <w:rPr>
          <w:rFonts w:ascii="Georgia" w:hAnsi="Georgia"/>
          <w:szCs w:val="20"/>
        </w:rPr>
        <w:t xml:space="preserve"> five years</w:t>
      </w:r>
      <w:r w:rsidR="00E80195">
        <w:rPr>
          <w:rFonts w:ascii="Georgia" w:hAnsi="Georgia"/>
          <w:szCs w:val="20"/>
        </w:rPr>
        <w:t>,</w:t>
      </w:r>
      <w:r w:rsidRPr="002E7CB4">
        <w:rPr>
          <w:rFonts w:ascii="Georgia" w:hAnsi="Georgia"/>
          <w:szCs w:val="20"/>
        </w:rPr>
        <w:t xml:space="preserve"> mostly from pneumonia, diarrhoea and malaria. Communicable diseases</w:t>
      </w:r>
      <w:r w:rsidR="00DF4B0D">
        <w:rPr>
          <w:rStyle w:val="FootnoteReference"/>
        </w:rPr>
        <w:footnoteReference w:id="6"/>
      </w:r>
      <w:r w:rsidRPr="002E7CB4">
        <w:rPr>
          <w:rFonts w:ascii="Georgia" w:hAnsi="Georgia"/>
          <w:szCs w:val="20"/>
        </w:rPr>
        <w:t xml:space="preserve"> such as HIV/AIDS, </w:t>
      </w:r>
      <w:r w:rsidR="00941DB5">
        <w:rPr>
          <w:rFonts w:ascii="Georgia" w:hAnsi="Georgia"/>
          <w:szCs w:val="20"/>
        </w:rPr>
        <w:t xml:space="preserve">tuberculosis (TB) </w:t>
      </w:r>
      <w:r w:rsidRPr="002E7CB4">
        <w:rPr>
          <w:rFonts w:ascii="Georgia" w:hAnsi="Georgia"/>
          <w:szCs w:val="20"/>
        </w:rPr>
        <w:t>and malaria</w:t>
      </w:r>
      <w:r w:rsidR="00E80195">
        <w:rPr>
          <w:rFonts w:ascii="Georgia" w:hAnsi="Georgia"/>
          <w:szCs w:val="20"/>
        </w:rPr>
        <w:t>,</w:t>
      </w:r>
      <w:r w:rsidRPr="002E7CB4">
        <w:rPr>
          <w:rFonts w:ascii="Georgia" w:hAnsi="Georgia"/>
          <w:szCs w:val="20"/>
        </w:rPr>
        <w:t xml:space="preserve"> are a major health concern</w:t>
      </w:r>
      <w:r w:rsidR="00181B24">
        <w:rPr>
          <w:rFonts w:ascii="Georgia" w:hAnsi="Georgia"/>
          <w:szCs w:val="20"/>
        </w:rPr>
        <w:t>.</w:t>
      </w:r>
      <w:r w:rsidRPr="002E7CB4">
        <w:rPr>
          <w:rStyle w:val="FootnoteReference"/>
        </w:rPr>
        <w:footnoteReference w:id="7"/>
      </w:r>
      <w:r w:rsidRPr="002E7CB4">
        <w:rPr>
          <w:rFonts w:ascii="Georgia" w:hAnsi="Georgia"/>
          <w:szCs w:val="20"/>
        </w:rPr>
        <w:t xml:space="preserve"> The Burmese health </w:t>
      </w:r>
      <w:r w:rsidRPr="002E7CB4">
        <w:rPr>
          <w:rFonts w:ascii="Georgia" w:hAnsi="Georgia"/>
          <w:szCs w:val="20"/>
        </w:rPr>
        <w:lastRenderedPageBreak/>
        <w:t xml:space="preserve">system is ill equipped and underfunded to address these </w:t>
      </w:r>
      <w:r w:rsidR="00E80195">
        <w:rPr>
          <w:rFonts w:ascii="Georgia" w:hAnsi="Georgia"/>
          <w:szCs w:val="20"/>
        </w:rPr>
        <w:t>concerns</w:t>
      </w:r>
      <w:r w:rsidR="00181B24">
        <w:rPr>
          <w:rFonts w:ascii="Georgia" w:hAnsi="Georgia"/>
          <w:szCs w:val="20"/>
        </w:rPr>
        <w:t>.</w:t>
      </w:r>
      <w:r w:rsidRPr="002E7CB4">
        <w:rPr>
          <w:rStyle w:val="FootnoteReference"/>
        </w:rPr>
        <w:footnoteReference w:id="8"/>
      </w:r>
      <w:r w:rsidRPr="002E7CB4">
        <w:rPr>
          <w:rFonts w:ascii="Georgia" w:hAnsi="Georgia"/>
          <w:szCs w:val="20"/>
        </w:rPr>
        <w:t xml:space="preserve"> Although public expenditure in health increased between 2002 and 2007, the government spend on health is </w:t>
      </w:r>
      <w:r w:rsidR="00E80195">
        <w:rPr>
          <w:rFonts w:ascii="Georgia" w:hAnsi="Georgia"/>
          <w:szCs w:val="20"/>
        </w:rPr>
        <w:t xml:space="preserve">only </w:t>
      </w:r>
      <w:r w:rsidRPr="002E7CB4">
        <w:rPr>
          <w:rFonts w:ascii="Georgia" w:hAnsi="Georgia"/>
          <w:szCs w:val="20"/>
        </w:rPr>
        <w:t xml:space="preserve">approximately </w:t>
      </w:r>
      <w:r w:rsidR="004E08C0">
        <w:rPr>
          <w:rFonts w:ascii="Georgia" w:hAnsi="Georgia"/>
          <w:szCs w:val="20"/>
        </w:rPr>
        <w:t>one</w:t>
      </w:r>
      <w:r w:rsidR="00E80195" w:rsidRPr="002E7CB4">
        <w:rPr>
          <w:rFonts w:ascii="Georgia" w:hAnsi="Georgia"/>
          <w:szCs w:val="20"/>
        </w:rPr>
        <w:t xml:space="preserve"> </w:t>
      </w:r>
      <w:r w:rsidRPr="002E7CB4">
        <w:rPr>
          <w:rFonts w:ascii="Georgia" w:hAnsi="Georgia"/>
          <w:szCs w:val="20"/>
        </w:rPr>
        <w:t>per cent of GDP</w:t>
      </w:r>
      <w:r w:rsidR="00B42E92">
        <w:rPr>
          <w:rFonts w:ascii="Georgia" w:hAnsi="Georgia"/>
          <w:szCs w:val="20"/>
        </w:rPr>
        <w:t>—</w:t>
      </w:r>
      <w:r w:rsidRPr="002E7CB4">
        <w:rPr>
          <w:rFonts w:ascii="Georgia" w:hAnsi="Georgia"/>
          <w:szCs w:val="20"/>
        </w:rPr>
        <w:t xml:space="preserve">one of the lowest in the world.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Health is a priority for Australia’s aid program to Burma and Australia is one of the largest and most influential donors to the health sector. The program has largely focused on MDG</w:t>
      </w:r>
      <w:r w:rsidR="00E80195">
        <w:rPr>
          <w:rFonts w:ascii="Georgia" w:hAnsi="Georgia"/>
          <w:szCs w:val="20"/>
        </w:rPr>
        <w:t> </w:t>
      </w:r>
      <w:r w:rsidRPr="002E7CB4">
        <w:rPr>
          <w:rFonts w:ascii="Georgia" w:hAnsi="Georgia"/>
          <w:szCs w:val="20"/>
        </w:rPr>
        <w:t xml:space="preserve">6 </w:t>
      </w:r>
      <w:r w:rsidR="00E80195">
        <w:rPr>
          <w:rFonts w:ascii="Georgia" w:hAnsi="Georgia"/>
          <w:szCs w:val="20"/>
        </w:rPr>
        <w:t>—</w:t>
      </w:r>
      <w:r w:rsidRPr="002E7CB4">
        <w:rPr>
          <w:rFonts w:ascii="Georgia" w:hAnsi="Georgia"/>
          <w:szCs w:val="20"/>
        </w:rPr>
        <w:t>reducing the burden of communicable diseases. On a smaller scale Australia has supported maternal and child health and infectious diseases</w:t>
      </w:r>
      <w:r w:rsidR="00DF4B0D">
        <w:rPr>
          <w:rStyle w:val="FootnoteReference"/>
        </w:rPr>
        <w:footnoteReference w:id="9"/>
      </w:r>
      <w:r w:rsidRPr="002E7CB4">
        <w:rPr>
          <w:rFonts w:ascii="Georgia" w:hAnsi="Georgia"/>
          <w:szCs w:val="20"/>
        </w:rPr>
        <w:t xml:space="preserve"> initiatives. </w:t>
      </w:r>
    </w:p>
    <w:p w:rsidR="001B0EE1" w:rsidRPr="002E7CB4" w:rsidRDefault="00BB4DD6" w:rsidP="001B0EE1">
      <w:pPr>
        <w:spacing w:before="120" w:after="120" w:line="240" w:lineRule="exact"/>
        <w:ind w:right="-340"/>
        <w:rPr>
          <w:rFonts w:ascii="Georgia" w:hAnsi="Georgia"/>
          <w:szCs w:val="20"/>
        </w:rPr>
      </w:pPr>
      <w:r>
        <w:rPr>
          <w:rFonts w:ascii="Georgia" w:hAnsi="Georgia"/>
          <w:szCs w:val="20"/>
        </w:rPr>
        <w:t>F</w:t>
      </w:r>
      <w:r w:rsidRPr="002E7CB4">
        <w:rPr>
          <w:rFonts w:ascii="Georgia" w:hAnsi="Georgia"/>
          <w:szCs w:val="20"/>
        </w:rPr>
        <w:t>ollowing the withdrawal of the Global Fund to Fight AIDS, T</w:t>
      </w:r>
      <w:r>
        <w:rPr>
          <w:rFonts w:ascii="Georgia" w:hAnsi="Georgia"/>
          <w:szCs w:val="20"/>
        </w:rPr>
        <w:t>uberculosis</w:t>
      </w:r>
      <w:r w:rsidRPr="002E7CB4">
        <w:rPr>
          <w:rFonts w:ascii="Georgia" w:hAnsi="Georgia"/>
          <w:szCs w:val="20"/>
        </w:rPr>
        <w:t xml:space="preserve"> and </w:t>
      </w:r>
      <w:r>
        <w:rPr>
          <w:rFonts w:ascii="Georgia" w:hAnsi="Georgia"/>
          <w:szCs w:val="20"/>
        </w:rPr>
        <w:t>M</w:t>
      </w:r>
      <w:r w:rsidRPr="002E7CB4">
        <w:rPr>
          <w:rFonts w:ascii="Georgia" w:hAnsi="Georgia"/>
          <w:szCs w:val="20"/>
        </w:rPr>
        <w:t>alaria</w:t>
      </w:r>
      <w:r>
        <w:rPr>
          <w:rFonts w:ascii="Georgia" w:hAnsi="Georgia"/>
          <w:szCs w:val="20"/>
        </w:rPr>
        <w:t>, t</w:t>
      </w:r>
      <w:r w:rsidR="001B0EE1" w:rsidRPr="002E7CB4">
        <w:rPr>
          <w:rFonts w:ascii="Georgia" w:hAnsi="Georgia"/>
          <w:szCs w:val="20"/>
        </w:rPr>
        <w:t>he Three Diseases Fund (</w:t>
      </w:r>
      <w:r w:rsidR="001B0EE1" w:rsidRPr="004851F2">
        <w:rPr>
          <w:sz w:val="22"/>
          <w:szCs w:val="22"/>
        </w:rPr>
        <w:t>3</w:t>
      </w:r>
      <w:r w:rsidR="001B0EE1" w:rsidRPr="004851F2">
        <w:rPr>
          <w:rFonts w:ascii="Georgia" w:hAnsi="Georgia"/>
          <w:szCs w:val="20"/>
        </w:rPr>
        <w:t>DF</w:t>
      </w:r>
      <w:r w:rsidR="001B0EE1" w:rsidRPr="002E7CB4">
        <w:rPr>
          <w:rFonts w:ascii="Georgia" w:hAnsi="Georgia"/>
          <w:szCs w:val="20"/>
        </w:rPr>
        <w:t>) was established</w:t>
      </w:r>
      <w:r w:rsidRPr="00BB4DD6">
        <w:rPr>
          <w:rFonts w:ascii="Georgia" w:hAnsi="Georgia"/>
          <w:szCs w:val="20"/>
        </w:rPr>
        <w:t xml:space="preserve"> </w:t>
      </w:r>
      <w:r>
        <w:rPr>
          <w:rFonts w:ascii="Georgia" w:hAnsi="Georgia"/>
          <w:szCs w:val="20"/>
        </w:rPr>
        <w:t>a</w:t>
      </w:r>
      <w:r w:rsidRPr="002E7CB4">
        <w:rPr>
          <w:rFonts w:ascii="Georgia" w:hAnsi="Georgia"/>
          <w:szCs w:val="20"/>
        </w:rPr>
        <w:t>s a multi-donor fund</w:t>
      </w:r>
      <w:r>
        <w:rPr>
          <w:rFonts w:ascii="Georgia" w:hAnsi="Georgia"/>
          <w:szCs w:val="20"/>
        </w:rPr>
        <w:t xml:space="preserve"> </w:t>
      </w:r>
      <w:r w:rsidR="001B0EE1" w:rsidRPr="002E7CB4">
        <w:rPr>
          <w:rFonts w:ascii="Georgia" w:hAnsi="Georgia"/>
          <w:szCs w:val="20"/>
        </w:rPr>
        <w:t>in 2006</w:t>
      </w:r>
      <w:r w:rsidR="002F104A">
        <w:rPr>
          <w:rFonts w:ascii="Georgia" w:hAnsi="Georgia"/>
          <w:szCs w:val="20"/>
        </w:rPr>
        <w:t xml:space="preserve"> t</w:t>
      </w:r>
      <w:r>
        <w:rPr>
          <w:rFonts w:ascii="Georgia" w:hAnsi="Georgia"/>
          <w:szCs w:val="20"/>
        </w:rPr>
        <w:t xml:space="preserve">o </w:t>
      </w:r>
      <w:r w:rsidRPr="002E7CB4">
        <w:rPr>
          <w:rFonts w:ascii="Georgia" w:hAnsi="Georgia"/>
          <w:szCs w:val="20"/>
        </w:rPr>
        <w:t>avert deaths and reduc</w:t>
      </w:r>
      <w:r w:rsidR="002F104A">
        <w:rPr>
          <w:rFonts w:ascii="Georgia" w:hAnsi="Georgia"/>
          <w:szCs w:val="20"/>
        </w:rPr>
        <w:t>e</w:t>
      </w:r>
      <w:r w:rsidRPr="002E7CB4">
        <w:rPr>
          <w:rFonts w:ascii="Georgia" w:hAnsi="Georgia"/>
          <w:szCs w:val="20"/>
        </w:rPr>
        <w:t xml:space="preserve"> illness due to HIV/AIDS</w:t>
      </w:r>
      <w:r w:rsidRPr="004851F2">
        <w:rPr>
          <w:rFonts w:ascii="Georgia" w:hAnsi="Georgia"/>
          <w:szCs w:val="20"/>
        </w:rPr>
        <w:t>, TB and</w:t>
      </w:r>
      <w:r w:rsidRPr="002E7CB4">
        <w:rPr>
          <w:rFonts w:ascii="Georgia" w:hAnsi="Georgia"/>
          <w:szCs w:val="20"/>
        </w:rPr>
        <w:t xml:space="preserve"> malaria.</w:t>
      </w:r>
      <w:r w:rsidR="001B0EE1" w:rsidRPr="002E7CB4">
        <w:rPr>
          <w:rFonts w:ascii="Georgia" w:hAnsi="Georgia"/>
          <w:szCs w:val="20"/>
        </w:rPr>
        <w:t xml:space="preserve"> To increase geographic coverage and access to remote communities, </w:t>
      </w:r>
      <w:r w:rsidR="001B0EE1" w:rsidRPr="002E7CB4">
        <w:rPr>
          <w:sz w:val="22"/>
          <w:szCs w:val="22"/>
        </w:rPr>
        <w:t>3</w:t>
      </w:r>
      <w:r w:rsidR="001B0EE1" w:rsidRPr="002E7CB4">
        <w:rPr>
          <w:rFonts w:ascii="Georgia" w:hAnsi="Georgia"/>
          <w:szCs w:val="20"/>
        </w:rPr>
        <w:t xml:space="preserve">DF works with implementing partners </w:t>
      </w:r>
      <w:r w:rsidR="00E80195">
        <w:rPr>
          <w:rFonts w:ascii="Georgia" w:hAnsi="Georgia"/>
          <w:szCs w:val="20"/>
        </w:rPr>
        <w:t>such as</w:t>
      </w:r>
      <w:r w:rsidR="00E80195" w:rsidRPr="002E7CB4">
        <w:rPr>
          <w:rFonts w:ascii="Georgia" w:hAnsi="Georgia"/>
          <w:szCs w:val="20"/>
        </w:rPr>
        <w:t xml:space="preserve"> </w:t>
      </w:r>
      <w:r w:rsidR="001B0EE1" w:rsidRPr="002E7CB4">
        <w:rPr>
          <w:rFonts w:ascii="Georgia" w:hAnsi="Georgia"/>
          <w:szCs w:val="20"/>
        </w:rPr>
        <w:t>UN agencies (to deliver national programs with the Ministry of Health), international and local NGOs and community</w:t>
      </w:r>
      <w:r w:rsidR="00E80195">
        <w:rPr>
          <w:rFonts w:ascii="Georgia" w:hAnsi="Georgia"/>
          <w:szCs w:val="20"/>
        </w:rPr>
        <w:t>-</w:t>
      </w:r>
      <w:r w:rsidR="001B0EE1" w:rsidRPr="002E7CB4">
        <w:rPr>
          <w:rFonts w:ascii="Georgia" w:hAnsi="Georgia"/>
          <w:szCs w:val="20"/>
        </w:rPr>
        <w:t xml:space="preserve">based organisations.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The </w:t>
      </w:r>
      <w:r w:rsidRPr="002E7CB4">
        <w:rPr>
          <w:sz w:val="22"/>
          <w:szCs w:val="22"/>
        </w:rPr>
        <w:t>3</w:t>
      </w:r>
      <w:r w:rsidRPr="002E7CB4">
        <w:rPr>
          <w:rFonts w:ascii="Georgia" w:hAnsi="Georgia"/>
          <w:szCs w:val="20"/>
        </w:rPr>
        <w:t>DF is on track and meeting expectations. Key achievements include:</w:t>
      </w:r>
    </w:p>
    <w:p w:rsidR="001B0EE1" w:rsidRPr="002E7CB4" w:rsidRDefault="00E80195" w:rsidP="001B0EE1">
      <w:pPr>
        <w:pStyle w:val="ListBullet"/>
        <w:numPr>
          <w:ilvl w:val="0"/>
          <w:numId w:val="19"/>
        </w:numPr>
        <w:spacing w:line="240" w:lineRule="atLeast"/>
        <w:rPr>
          <w:sz w:val="20"/>
          <w:szCs w:val="20"/>
        </w:rPr>
      </w:pPr>
      <w:r>
        <w:rPr>
          <w:sz w:val="20"/>
          <w:szCs w:val="20"/>
        </w:rPr>
        <w:t>d</w:t>
      </w:r>
      <w:r w:rsidR="001B0EE1" w:rsidRPr="002E7CB4">
        <w:rPr>
          <w:sz w:val="20"/>
          <w:szCs w:val="20"/>
        </w:rPr>
        <w:t>istribut</w:t>
      </w:r>
      <w:r>
        <w:rPr>
          <w:sz w:val="20"/>
          <w:szCs w:val="20"/>
        </w:rPr>
        <w:t>ed</w:t>
      </w:r>
      <w:r w:rsidR="001B0EE1" w:rsidRPr="002E7CB4">
        <w:rPr>
          <w:sz w:val="20"/>
          <w:szCs w:val="20"/>
        </w:rPr>
        <w:t xml:space="preserve"> 7.5</w:t>
      </w:r>
      <w:r>
        <w:rPr>
          <w:sz w:val="20"/>
          <w:szCs w:val="20"/>
        </w:rPr>
        <w:t> </w:t>
      </w:r>
      <w:r w:rsidR="001B0EE1" w:rsidRPr="002E7CB4">
        <w:rPr>
          <w:sz w:val="20"/>
          <w:szCs w:val="20"/>
        </w:rPr>
        <w:t>million needles to injecting drug users and 46</w:t>
      </w:r>
      <w:r>
        <w:rPr>
          <w:sz w:val="20"/>
          <w:szCs w:val="20"/>
        </w:rPr>
        <w:t> </w:t>
      </w:r>
      <w:r w:rsidR="001B0EE1" w:rsidRPr="002E7CB4">
        <w:rPr>
          <w:sz w:val="20"/>
          <w:szCs w:val="20"/>
        </w:rPr>
        <w:t>million condo</w:t>
      </w:r>
      <w:r w:rsidR="00B42E92">
        <w:rPr>
          <w:sz w:val="20"/>
          <w:szCs w:val="20"/>
        </w:rPr>
        <w:t>ms to reduce the spread of HIV</w:t>
      </w:r>
    </w:p>
    <w:p w:rsidR="001B0EE1" w:rsidRPr="002E7CB4" w:rsidRDefault="00E80195" w:rsidP="001B0EE1">
      <w:pPr>
        <w:pStyle w:val="ListBullet"/>
        <w:numPr>
          <w:ilvl w:val="0"/>
          <w:numId w:val="19"/>
        </w:numPr>
        <w:spacing w:line="240" w:lineRule="atLeast"/>
        <w:rPr>
          <w:sz w:val="20"/>
          <w:szCs w:val="20"/>
        </w:rPr>
      </w:pPr>
      <w:r>
        <w:rPr>
          <w:sz w:val="20"/>
          <w:szCs w:val="20"/>
        </w:rPr>
        <w:t>successful t</w:t>
      </w:r>
      <w:r w:rsidR="001B0EE1" w:rsidRPr="002E7CB4">
        <w:rPr>
          <w:sz w:val="20"/>
          <w:szCs w:val="20"/>
        </w:rPr>
        <w:t>reat</w:t>
      </w:r>
      <w:r w:rsidR="00583E4E">
        <w:rPr>
          <w:sz w:val="20"/>
          <w:szCs w:val="20"/>
        </w:rPr>
        <w:t xml:space="preserve">ment of </w:t>
      </w:r>
      <w:r w:rsidR="001B0EE1" w:rsidRPr="002E7CB4">
        <w:rPr>
          <w:sz w:val="20"/>
          <w:szCs w:val="20"/>
        </w:rPr>
        <w:t xml:space="preserve"> almost 110</w:t>
      </w:r>
      <w:r w:rsidR="00B42E92">
        <w:rPr>
          <w:sz w:val="20"/>
          <w:szCs w:val="20"/>
        </w:rPr>
        <w:t> </w:t>
      </w:r>
      <w:r w:rsidR="001B0EE1" w:rsidRPr="002E7CB4">
        <w:rPr>
          <w:sz w:val="20"/>
          <w:szCs w:val="20"/>
        </w:rPr>
        <w:t>000 new sputum smear positive TB cases</w:t>
      </w:r>
    </w:p>
    <w:p w:rsidR="001B0EE1" w:rsidRPr="002E7CB4" w:rsidRDefault="00E80195" w:rsidP="001B0EE1">
      <w:pPr>
        <w:pStyle w:val="ListBullet"/>
        <w:numPr>
          <w:ilvl w:val="0"/>
          <w:numId w:val="19"/>
        </w:numPr>
        <w:spacing w:line="240" w:lineRule="atLeast"/>
        <w:rPr>
          <w:sz w:val="20"/>
          <w:szCs w:val="20"/>
        </w:rPr>
      </w:pPr>
      <w:r>
        <w:rPr>
          <w:sz w:val="20"/>
          <w:szCs w:val="20"/>
        </w:rPr>
        <w:t>d</w:t>
      </w:r>
      <w:r w:rsidR="001B0EE1" w:rsidRPr="002E7CB4">
        <w:rPr>
          <w:sz w:val="20"/>
          <w:szCs w:val="20"/>
        </w:rPr>
        <w:t>etect</w:t>
      </w:r>
      <w:r>
        <w:rPr>
          <w:sz w:val="20"/>
          <w:szCs w:val="20"/>
        </w:rPr>
        <w:t>ed</w:t>
      </w:r>
      <w:r w:rsidR="001B0EE1" w:rsidRPr="002E7CB4">
        <w:rPr>
          <w:sz w:val="20"/>
          <w:szCs w:val="20"/>
        </w:rPr>
        <w:t xml:space="preserve"> </w:t>
      </w:r>
      <w:r w:rsidR="00181B24">
        <w:rPr>
          <w:sz w:val="20"/>
          <w:szCs w:val="20"/>
        </w:rPr>
        <w:t>more than</w:t>
      </w:r>
      <w:r w:rsidR="001B0EE1" w:rsidRPr="002E7CB4">
        <w:rPr>
          <w:sz w:val="20"/>
          <w:szCs w:val="20"/>
        </w:rPr>
        <w:t xml:space="preserve"> 117</w:t>
      </w:r>
      <w:r w:rsidR="00B42E92">
        <w:rPr>
          <w:sz w:val="20"/>
          <w:szCs w:val="20"/>
        </w:rPr>
        <w:t> </w:t>
      </w:r>
      <w:r w:rsidR="001B0EE1" w:rsidRPr="002E7CB4">
        <w:rPr>
          <w:sz w:val="20"/>
          <w:szCs w:val="20"/>
        </w:rPr>
        <w:t>000 new pul</w:t>
      </w:r>
      <w:r w:rsidR="00B42E92">
        <w:rPr>
          <w:sz w:val="20"/>
          <w:szCs w:val="20"/>
        </w:rPr>
        <w:t>monary TB smear positive cases</w:t>
      </w:r>
    </w:p>
    <w:p w:rsidR="001B0EE1" w:rsidRPr="002E7CB4" w:rsidRDefault="00E80195" w:rsidP="001B0EE1">
      <w:pPr>
        <w:pStyle w:val="ListBullet"/>
        <w:numPr>
          <w:ilvl w:val="0"/>
          <w:numId w:val="19"/>
        </w:numPr>
        <w:spacing w:line="240" w:lineRule="atLeast"/>
        <w:rPr>
          <w:sz w:val="20"/>
          <w:szCs w:val="20"/>
        </w:rPr>
      </w:pPr>
      <w:r>
        <w:rPr>
          <w:sz w:val="20"/>
          <w:szCs w:val="20"/>
        </w:rPr>
        <w:t>confirmed and treated a</w:t>
      </w:r>
      <w:r w:rsidR="001B0EE1" w:rsidRPr="002E7CB4">
        <w:rPr>
          <w:sz w:val="20"/>
          <w:szCs w:val="20"/>
        </w:rPr>
        <w:t xml:space="preserve">round 1.4 million cases of </w:t>
      </w:r>
      <w:r w:rsidR="00B42E92">
        <w:rPr>
          <w:sz w:val="20"/>
          <w:szCs w:val="20"/>
        </w:rPr>
        <w:t>malaria</w:t>
      </w:r>
    </w:p>
    <w:p w:rsidR="001B0EE1" w:rsidRPr="002E7CB4" w:rsidRDefault="00E80195" w:rsidP="001B0EE1">
      <w:pPr>
        <w:pStyle w:val="ListBullet"/>
        <w:numPr>
          <w:ilvl w:val="0"/>
          <w:numId w:val="19"/>
        </w:numPr>
        <w:spacing w:line="240" w:lineRule="atLeast"/>
        <w:rPr>
          <w:sz w:val="20"/>
          <w:szCs w:val="20"/>
        </w:rPr>
      </w:pPr>
      <w:proofErr w:type="gramStart"/>
      <w:r>
        <w:rPr>
          <w:sz w:val="20"/>
          <w:szCs w:val="20"/>
        </w:rPr>
        <w:t>provided</w:t>
      </w:r>
      <w:proofErr w:type="gramEnd"/>
      <w:r>
        <w:rPr>
          <w:sz w:val="20"/>
          <w:szCs w:val="20"/>
        </w:rPr>
        <w:t xml:space="preserve"> a</w:t>
      </w:r>
      <w:r w:rsidR="001B0EE1" w:rsidRPr="002E7CB4">
        <w:rPr>
          <w:sz w:val="20"/>
          <w:szCs w:val="20"/>
        </w:rPr>
        <w:t>ntiretroviral treatment to almost 16</w:t>
      </w:r>
      <w:r w:rsidR="00B42E92">
        <w:rPr>
          <w:sz w:val="20"/>
          <w:szCs w:val="20"/>
        </w:rPr>
        <w:t> </w:t>
      </w:r>
      <w:r w:rsidR="001B0EE1" w:rsidRPr="002E7CB4">
        <w:rPr>
          <w:sz w:val="20"/>
          <w:szCs w:val="20"/>
        </w:rPr>
        <w:t>000 people</w:t>
      </w:r>
      <w:r w:rsidR="00941DB5">
        <w:rPr>
          <w:sz w:val="20"/>
          <w:szCs w:val="20"/>
        </w:rPr>
        <w:t xml:space="preserve"> with HIV/AIDS</w:t>
      </w:r>
      <w:r w:rsidR="001B0EE1" w:rsidRPr="002E7CB4">
        <w:rPr>
          <w:sz w:val="20"/>
          <w:szCs w:val="20"/>
        </w:rPr>
        <w:t>.</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The success of the </w:t>
      </w:r>
      <w:r w:rsidRPr="002E7CB4">
        <w:rPr>
          <w:sz w:val="22"/>
          <w:szCs w:val="22"/>
        </w:rPr>
        <w:t>3</w:t>
      </w:r>
      <w:r w:rsidRPr="002E7CB4">
        <w:rPr>
          <w:rFonts w:ascii="Georgia" w:hAnsi="Georgia"/>
          <w:szCs w:val="20"/>
        </w:rPr>
        <w:t>DF goes beyond containing the</w:t>
      </w:r>
      <w:r w:rsidR="00E80195">
        <w:rPr>
          <w:rFonts w:ascii="Georgia" w:hAnsi="Georgia"/>
          <w:szCs w:val="20"/>
        </w:rPr>
        <w:t>se</w:t>
      </w:r>
      <w:r w:rsidRPr="002E7CB4">
        <w:rPr>
          <w:rFonts w:ascii="Georgia" w:hAnsi="Georgia"/>
          <w:szCs w:val="20"/>
        </w:rPr>
        <w:t xml:space="preserve"> three diseases. </w:t>
      </w:r>
      <w:r w:rsidR="00E80195">
        <w:rPr>
          <w:rFonts w:ascii="Georgia" w:hAnsi="Georgia"/>
          <w:szCs w:val="20"/>
        </w:rPr>
        <w:t>S</w:t>
      </w:r>
      <w:r w:rsidRPr="002E7CB4">
        <w:rPr>
          <w:rFonts w:ascii="Georgia" w:hAnsi="Georgia"/>
          <w:szCs w:val="20"/>
        </w:rPr>
        <w:t xml:space="preserve">everal indirect benefits have had significant positive impact on the health sector and </w:t>
      </w:r>
      <w:r w:rsidR="00E80195">
        <w:rPr>
          <w:rFonts w:ascii="Georgia" w:hAnsi="Georgia"/>
          <w:szCs w:val="20"/>
        </w:rPr>
        <w:t xml:space="preserve">on </w:t>
      </w:r>
      <w:r w:rsidRPr="002E7CB4">
        <w:rPr>
          <w:rFonts w:ascii="Georgia" w:hAnsi="Georgia"/>
          <w:szCs w:val="20"/>
        </w:rPr>
        <w:t xml:space="preserve">the nature of development partner engagement in Burma. </w:t>
      </w:r>
      <w:r w:rsidR="00E80195">
        <w:rPr>
          <w:rFonts w:ascii="Georgia" w:hAnsi="Georgia"/>
          <w:szCs w:val="20"/>
        </w:rPr>
        <w:t xml:space="preserve">Examples </w:t>
      </w:r>
      <w:r w:rsidRPr="002E7CB4">
        <w:rPr>
          <w:rFonts w:ascii="Georgia" w:hAnsi="Georgia"/>
          <w:szCs w:val="20"/>
        </w:rPr>
        <w:t>include:</w:t>
      </w:r>
    </w:p>
    <w:p w:rsidR="001B0EE1" w:rsidRPr="002E7CB4" w:rsidRDefault="00E80195" w:rsidP="001B0EE1">
      <w:pPr>
        <w:pStyle w:val="ListBullet"/>
        <w:numPr>
          <w:ilvl w:val="0"/>
          <w:numId w:val="19"/>
        </w:numPr>
        <w:spacing w:line="240" w:lineRule="atLeast"/>
        <w:rPr>
          <w:sz w:val="20"/>
          <w:szCs w:val="20"/>
        </w:rPr>
      </w:pPr>
      <w:r>
        <w:rPr>
          <w:sz w:val="20"/>
          <w:szCs w:val="20"/>
        </w:rPr>
        <w:t>g</w:t>
      </w:r>
      <w:r w:rsidR="001B0EE1" w:rsidRPr="002E7CB4">
        <w:rPr>
          <w:sz w:val="20"/>
          <w:szCs w:val="20"/>
        </w:rPr>
        <w:t xml:space="preserve">reater and more inclusive engagement and </w:t>
      </w:r>
      <w:r>
        <w:rPr>
          <w:sz w:val="20"/>
          <w:szCs w:val="20"/>
        </w:rPr>
        <w:t>discussion</w:t>
      </w:r>
      <w:r w:rsidRPr="002E7CB4">
        <w:rPr>
          <w:sz w:val="20"/>
          <w:szCs w:val="20"/>
        </w:rPr>
        <w:t xml:space="preserve"> </w:t>
      </w:r>
      <w:r w:rsidR="001B0EE1" w:rsidRPr="002E7CB4">
        <w:rPr>
          <w:sz w:val="20"/>
          <w:szCs w:val="20"/>
        </w:rPr>
        <w:t>with the Bu</w:t>
      </w:r>
      <w:r w:rsidR="00B42E92">
        <w:rPr>
          <w:sz w:val="20"/>
          <w:szCs w:val="20"/>
        </w:rPr>
        <w:t>rmese authorities at all levels</w:t>
      </w:r>
    </w:p>
    <w:p w:rsidR="001B0EE1" w:rsidRPr="002E7CB4" w:rsidRDefault="00E80195" w:rsidP="001B0EE1">
      <w:pPr>
        <w:pStyle w:val="ListBullet"/>
        <w:numPr>
          <w:ilvl w:val="0"/>
          <w:numId w:val="19"/>
        </w:numPr>
        <w:spacing w:line="240" w:lineRule="atLeast"/>
        <w:rPr>
          <w:sz w:val="20"/>
          <w:szCs w:val="20"/>
        </w:rPr>
      </w:pPr>
      <w:r>
        <w:rPr>
          <w:sz w:val="20"/>
          <w:szCs w:val="20"/>
        </w:rPr>
        <w:t>i</w:t>
      </w:r>
      <w:r w:rsidR="001B0EE1" w:rsidRPr="002E7CB4">
        <w:rPr>
          <w:sz w:val="20"/>
          <w:szCs w:val="20"/>
        </w:rPr>
        <w:t xml:space="preserve">mproved understanding of the actual disease burden among </w:t>
      </w:r>
      <w:r w:rsidR="00C2199D">
        <w:rPr>
          <w:sz w:val="20"/>
          <w:szCs w:val="20"/>
        </w:rPr>
        <w:t xml:space="preserve">Burmese </w:t>
      </w:r>
      <w:r w:rsidR="001B0EE1" w:rsidRPr="002E7CB4">
        <w:rPr>
          <w:sz w:val="20"/>
          <w:szCs w:val="20"/>
        </w:rPr>
        <w:t>authorities and international and national implementing partners</w:t>
      </w:r>
      <w:r w:rsidR="00C2199D">
        <w:rPr>
          <w:sz w:val="20"/>
          <w:szCs w:val="20"/>
        </w:rPr>
        <w:t>,</w:t>
      </w:r>
      <w:r w:rsidR="001B0EE1" w:rsidRPr="002E7CB4">
        <w:rPr>
          <w:sz w:val="20"/>
          <w:szCs w:val="20"/>
        </w:rPr>
        <w:t xml:space="preserve"> through small-scale research and surveillance of TB and HIV to identify ar</w:t>
      </w:r>
      <w:r w:rsidR="00B42E92">
        <w:rPr>
          <w:sz w:val="20"/>
          <w:szCs w:val="20"/>
        </w:rPr>
        <w:t>eas and groups at greatest risk</w:t>
      </w:r>
    </w:p>
    <w:p w:rsidR="001B0EE1" w:rsidRPr="002E7CB4" w:rsidRDefault="00C2199D" w:rsidP="001B0EE1">
      <w:pPr>
        <w:pStyle w:val="ListBullet"/>
        <w:numPr>
          <w:ilvl w:val="0"/>
          <w:numId w:val="19"/>
        </w:numPr>
        <w:spacing w:line="240" w:lineRule="atLeast"/>
        <w:rPr>
          <w:sz w:val="20"/>
          <w:szCs w:val="20"/>
        </w:rPr>
      </w:pPr>
      <w:proofErr w:type="gramStart"/>
      <w:r>
        <w:rPr>
          <w:sz w:val="20"/>
          <w:szCs w:val="20"/>
        </w:rPr>
        <w:t>e</w:t>
      </w:r>
      <w:r w:rsidR="001B0EE1" w:rsidRPr="002E7CB4">
        <w:rPr>
          <w:sz w:val="20"/>
          <w:szCs w:val="20"/>
        </w:rPr>
        <w:t>nhanced</w:t>
      </w:r>
      <w:proofErr w:type="gramEnd"/>
      <w:r w:rsidR="001B0EE1" w:rsidRPr="002E7CB4">
        <w:rPr>
          <w:sz w:val="20"/>
          <w:szCs w:val="20"/>
        </w:rPr>
        <w:t xml:space="preserve"> capacity of health staff, including in the public sector below township level.</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Australian support to improve the quality of health services includes initiatives to increase access to essential maternal and child health care services (incorporating nutrition and immunisation) in areas severely affected by Cyclone Nargis</w:t>
      </w:r>
      <w:r w:rsidR="00C2199D">
        <w:rPr>
          <w:rFonts w:ascii="Georgia" w:hAnsi="Georgia"/>
          <w:szCs w:val="20"/>
        </w:rPr>
        <w:t>,</w:t>
      </w:r>
      <w:r w:rsidRPr="002E7CB4">
        <w:rPr>
          <w:rFonts w:ascii="Georgia" w:hAnsi="Georgia"/>
          <w:szCs w:val="20"/>
        </w:rPr>
        <w:t xml:space="preserve"> through the Health Post-Nargis Response and Preparedness Plan (</w:t>
      </w:r>
      <w:r w:rsidRPr="004851F2">
        <w:rPr>
          <w:rFonts w:ascii="Georgia" w:hAnsi="Georgia"/>
          <w:szCs w:val="20"/>
        </w:rPr>
        <w:t>PONREPP).</w:t>
      </w:r>
      <w:r w:rsidRPr="002E7CB4">
        <w:rPr>
          <w:rFonts w:ascii="Georgia" w:hAnsi="Georgia"/>
          <w:szCs w:val="20"/>
        </w:rPr>
        <w:t xml:space="preserve"> </w:t>
      </w:r>
      <w:r w:rsidR="00941DB5">
        <w:rPr>
          <w:rFonts w:ascii="Georgia" w:hAnsi="Georgia"/>
          <w:szCs w:val="20"/>
        </w:rPr>
        <w:t>T</w:t>
      </w:r>
      <w:r w:rsidRPr="002E7CB4">
        <w:rPr>
          <w:rFonts w:ascii="Georgia" w:hAnsi="Georgia"/>
          <w:szCs w:val="20"/>
        </w:rPr>
        <w:t xml:space="preserve">his program only </w:t>
      </w:r>
      <w:r w:rsidR="00C2199D">
        <w:rPr>
          <w:rFonts w:ascii="Georgia" w:hAnsi="Georgia"/>
          <w:szCs w:val="20"/>
        </w:rPr>
        <w:t>started</w:t>
      </w:r>
      <w:r w:rsidR="00C2199D" w:rsidRPr="002E7CB4">
        <w:rPr>
          <w:rFonts w:ascii="Georgia" w:hAnsi="Georgia"/>
          <w:szCs w:val="20"/>
        </w:rPr>
        <w:t xml:space="preserve"> </w:t>
      </w:r>
      <w:r w:rsidRPr="002E7CB4">
        <w:rPr>
          <w:rFonts w:ascii="Georgia" w:hAnsi="Georgia"/>
          <w:szCs w:val="20"/>
        </w:rPr>
        <w:t>in 2010</w:t>
      </w:r>
      <w:r w:rsidR="00C2199D">
        <w:rPr>
          <w:rFonts w:ascii="Georgia" w:hAnsi="Georgia"/>
          <w:szCs w:val="20"/>
        </w:rPr>
        <w:t>—so</w:t>
      </w:r>
      <w:r w:rsidRPr="002E7CB4">
        <w:rPr>
          <w:rFonts w:ascii="Georgia" w:hAnsi="Georgia"/>
          <w:szCs w:val="20"/>
        </w:rPr>
        <w:t xml:space="preserve"> clear results are not yet available</w:t>
      </w:r>
      <w:r w:rsidR="00941DB5">
        <w:rPr>
          <w:rFonts w:ascii="Georgia" w:hAnsi="Georgia"/>
          <w:szCs w:val="20"/>
        </w:rPr>
        <w:t xml:space="preserve">. However, </w:t>
      </w:r>
      <w:r w:rsidRPr="002E7CB4">
        <w:rPr>
          <w:rFonts w:ascii="Georgia" w:hAnsi="Georgia"/>
          <w:szCs w:val="20"/>
        </w:rPr>
        <w:t xml:space="preserve">the process of engagement with the Ministry of Health and township health authorities </w:t>
      </w:r>
      <w:r w:rsidR="00C2199D">
        <w:rPr>
          <w:rFonts w:ascii="Georgia" w:hAnsi="Georgia"/>
          <w:szCs w:val="20"/>
        </w:rPr>
        <w:t>led so</w:t>
      </w:r>
      <w:r w:rsidRPr="002E7CB4">
        <w:rPr>
          <w:rFonts w:ascii="Georgia" w:hAnsi="Georgia"/>
          <w:szCs w:val="20"/>
        </w:rPr>
        <w:t xml:space="preserve"> some key policy changes in the health sector, including:</w:t>
      </w:r>
    </w:p>
    <w:p w:rsidR="001B0EE1" w:rsidRPr="002E7CB4" w:rsidRDefault="00C2199D" w:rsidP="001B0EE1">
      <w:pPr>
        <w:pStyle w:val="ListBullet"/>
        <w:numPr>
          <w:ilvl w:val="0"/>
          <w:numId w:val="19"/>
        </w:numPr>
        <w:spacing w:line="240" w:lineRule="atLeast"/>
        <w:rPr>
          <w:sz w:val="20"/>
          <w:szCs w:val="20"/>
        </w:rPr>
      </w:pPr>
      <w:r>
        <w:rPr>
          <w:sz w:val="20"/>
          <w:szCs w:val="20"/>
        </w:rPr>
        <w:t>a</w:t>
      </w:r>
      <w:r w:rsidR="001B0EE1" w:rsidRPr="002E7CB4">
        <w:rPr>
          <w:sz w:val="20"/>
          <w:szCs w:val="20"/>
        </w:rPr>
        <w:t>greement for community health workers in Health PONREPP townships to use pre-referral antibiotics which will have an important impact on childhood pneumonia, one of the biggest killers of children under five</w:t>
      </w:r>
      <w:r>
        <w:rPr>
          <w:sz w:val="20"/>
          <w:szCs w:val="20"/>
        </w:rPr>
        <w:t xml:space="preserve"> years of age</w:t>
      </w:r>
    </w:p>
    <w:p w:rsidR="001B0EE1" w:rsidRPr="002E7CB4" w:rsidRDefault="00C2199D" w:rsidP="001B0EE1">
      <w:pPr>
        <w:pStyle w:val="ListBullet"/>
        <w:numPr>
          <w:ilvl w:val="0"/>
          <w:numId w:val="19"/>
        </w:numPr>
        <w:spacing w:line="240" w:lineRule="atLeast"/>
        <w:rPr>
          <w:sz w:val="20"/>
          <w:szCs w:val="20"/>
        </w:rPr>
      </w:pPr>
      <w:proofErr w:type="gramStart"/>
      <w:r>
        <w:rPr>
          <w:sz w:val="20"/>
          <w:szCs w:val="20"/>
        </w:rPr>
        <w:t>b</w:t>
      </w:r>
      <w:r w:rsidR="001B0EE1" w:rsidRPr="002E7CB4">
        <w:rPr>
          <w:sz w:val="20"/>
          <w:szCs w:val="20"/>
        </w:rPr>
        <w:t>etter</w:t>
      </w:r>
      <w:proofErr w:type="gramEnd"/>
      <w:r w:rsidR="001B0EE1" w:rsidRPr="002E7CB4">
        <w:rPr>
          <w:sz w:val="20"/>
          <w:szCs w:val="20"/>
        </w:rPr>
        <w:t xml:space="preserve"> guidelines on referral for emergency obstetric care.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Australian assistance for building community and civil society capacity to deliver services has contributed to: improved responses to HIV; mobilisation of marginalised ethnic communities </w:t>
      </w:r>
      <w:r w:rsidRPr="002E7CB4">
        <w:rPr>
          <w:rFonts w:ascii="Georgia" w:hAnsi="Georgia"/>
          <w:szCs w:val="20"/>
        </w:rPr>
        <w:lastRenderedPageBreak/>
        <w:t>to participate</w:t>
      </w:r>
      <w:r w:rsidR="00C2199D">
        <w:rPr>
          <w:rFonts w:ascii="Georgia" w:hAnsi="Georgia"/>
          <w:szCs w:val="20"/>
        </w:rPr>
        <w:t xml:space="preserve"> in</w:t>
      </w:r>
      <w:r w:rsidRPr="002E7CB4">
        <w:rPr>
          <w:rFonts w:ascii="Georgia" w:hAnsi="Georgia"/>
          <w:szCs w:val="20"/>
        </w:rPr>
        <w:t xml:space="preserve"> and lead health interventions</w:t>
      </w:r>
      <w:r w:rsidR="006B6E3A">
        <w:rPr>
          <w:rFonts w:ascii="Georgia" w:hAnsi="Georgia"/>
          <w:szCs w:val="20"/>
        </w:rPr>
        <w:t xml:space="preserve">; </w:t>
      </w:r>
      <w:r w:rsidRPr="002E7CB4">
        <w:rPr>
          <w:rFonts w:ascii="Georgia" w:hAnsi="Georgia"/>
          <w:szCs w:val="20"/>
        </w:rPr>
        <w:t xml:space="preserve">and accessible sexual and reproductive health services to increase the adoption of safer sexual and reproductive health practices.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To address critical water, sanitation and hygiene needs in areas where Cyclone Nargis destroyed almost the entire water supply and sanitation infrastructure, AusAID supported the Nargis </w:t>
      </w:r>
      <w:r w:rsidR="004851F2" w:rsidRPr="004851F2">
        <w:rPr>
          <w:rFonts w:ascii="Georgia" w:hAnsi="Georgia"/>
          <w:szCs w:val="20"/>
          <w:lang w:val="en-US"/>
        </w:rPr>
        <w:t xml:space="preserve">Water, Sanitation and Hygiene </w:t>
      </w:r>
      <w:r w:rsidRPr="002E7CB4">
        <w:rPr>
          <w:rFonts w:ascii="Georgia" w:hAnsi="Georgia"/>
          <w:szCs w:val="20"/>
        </w:rPr>
        <w:t xml:space="preserve">projects delivered by international NGOs and UN agencies. Key achievements of these activities include: </w:t>
      </w:r>
    </w:p>
    <w:p w:rsidR="001B0EE1" w:rsidRPr="002E7CB4" w:rsidRDefault="00C2199D" w:rsidP="001B0EE1">
      <w:pPr>
        <w:pStyle w:val="ListBullet"/>
        <w:numPr>
          <w:ilvl w:val="0"/>
          <w:numId w:val="19"/>
        </w:numPr>
        <w:spacing w:line="240" w:lineRule="atLeast"/>
        <w:rPr>
          <w:sz w:val="20"/>
          <w:szCs w:val="20"/>
        </w:rPr>
      </w:pPr>
      <w:r>
        <w:rPr>
          <w:sz w:val="20"/>
          <w:szCs w:val="20"/>
        </w:rPr>
        <w:t>providing s</w:t>
      </w:r>
      <w:r w:rsidR="001B0EE1" w:rsidRPr="002E7CB4">
        <w:rPr>
          <w:sz w:val="20"/>
          <w:szCs w:val="20"/>
        </w:rPr>
        <w:t>afe drinking water to more than 93</w:t>
      </w:r>
      <w:r w:rsidR="00B42E92">
        <w:rPr>
          <w:sz w:val="20"/>
          <w:szCs w:val="20"/>
        </w:rPr>
        <w:t> </w:t>
      </w:r>
      <w:r w:rsidR="001B0EE1" w:rsidRPr="002E7CB4">
        <w:rPr>
          <w:sz w:val="20"/>
          <w:szCs w:val="20"/>
        </w:rPr>
        <w:t>000 people, rehabilitati</w:t>
      </w:r>
      <w:r>
        <w:rPr>
          <w:sz w:val="20"/>
          <w:szCs w:val="20"/>
        </w:rPr>
        <w:t>ng</w:t>
      </w:r>
      <w:r w:rsidR="001B0EE1" w:rsidRPr="002E7CB4">
        <w:rPr>
          <w:sz w:val="20"/>
          <w:szCs w:val="20"/>
        </w:rPr>
        <w:t xml:space="preserve"> </w:t>
      </w:r>
      <w:r w:rsidR="00181B24">
        <w:rPr>
          <w:sz w:val="20"/>
          <w:szCs w:val="20"/>
        </w:rPr>
        <w:t>more than</w:t>
      </w:r>
      <w:r w:rsidR="001B0EE1" w:rsidRPr="002E7CB4">
        <w:rPr>
          <w:sz w:val="20"/>
          <w:szCs w:val="20"/>
        </w:rPr>
        <w:t xml:space="preserve"> 100 existing ponds</w:t>
      </w:r>
      <w:r w:rsidR="00A23B8F">
        <w:rPr>
          <w:sz w:val="20"/>
          <w:szCs w:val="20"/>
        </w:rPr>
        <w:t xml:space="preserve">, </w:t>
      </w:r>
      <w:r>
        <w:rPr>
          <w:sz w:val="20"/>
          <w:szCs w:val="20"/>
        </w:rPr>
        <w:t>building</w:t>
      </w:r>
      <w:r w:rsidRPr="002E7CB4">
        <w:rPr>
          <w:sz w:val="20"/>
          <w:szCs w:val="20"/>
        </w:rPr>
        <w:t xml:space="preserve"> </w:t>
      </w:r>
      <w:r w:rsidR="001B0EE1" w:rsidRPr="002E7CB4">
        <w:rPr>
          <w:sz w:val="20"/>
          <w:szCs w:val="20"/>
        </w:rPr>
        <w:t>20 new ponds to improve access to clean drinking water</w:t>
      </w:r>
      <w:r>
        <w:rPr>
          <w:sz w:val="20"/>
          <w:szCs w:val="20"/>
        </w:rPr>
        <w:t>,</w:t>
      </w:r>
      <w:r w:rsidR="001B0EE1" w:rsidRPr="002E7CB4">
        <w:rPr>
          <w:sz w:val="20"/>
          <w:szCs w:val="20"/>
        </w:rPr>
        <w:t xml:space="preserve"> and </w:t>
      </w:r>
      <w:r>
        <w:rPr>
          <w:sz w:val="20"/>
          <w:szCs w:val="20"/>
        </w:rPr>
        <w:t>building</w:t>
      </w:r>
      <w:r w:rsidR="001B0EE1" w:rsidRPr="002E7CB4">
        <w:rPr>
          <w:sz w:val="20"/>
          <w:szCs w:val="20"/>
        </w:rPr>
        <w:t xml:space="preserve"> almost 3</w:t>
      </w:r>
      <w:r w:rsidR="00B42E92">
        <w:rPr>
          <w:sz w:val="20"/>
          <w:szCs w:val="20"/>
        </w:rPr>
        <w:t> 500 latrines</w:t>
      </w:r>
      <w:r w:rsidR="001B0EE1" w:rsidRPr="002E7CB4">
        <w:rPr>
          <w:sz w:val="20"/>
          <w:szCs w:val="20"/>
        </w:rPr>
        <w:t xml:space="preserve"> </w:t>
      </w:r>
    </w:p>
    <w:p w:rsidR="001B0EE1" w:rsidRPr="002E7CB4" w:rsidRDefault="00C2199D" w:rsidP="001B0EE1">
      <w:pPr>
        <w:pStyle w:val="ListBullet"/>
        <w:numPr>
          <w:ilvl w:val="0"/>
          <w:numId w:val="19"/>
        </w:numPr>
        <w:spacing w:line="240" w:lineRule="atLeast"/>
        <w:rPr>
          <w:sz w:val="20"/>
          <w:szCs w:val="20"/>
        </w:rPr>
      </w:pPr>
      <w:r>
        <w:rPr>
          <w:sz w:val="20"/>
          <w:szCs w:val="20"/>
        </w:rPr>
        <w:t xml:space="preserve">forming </w:t>
      </w:r>
      <w:r w:rsidR="00A23B8F">
        <w:rPr>
          <w:sz w:val="20"/>
          <w:szCs w:val="20"/>
        </w:rPr>
        <w:t>and</w:t>
      </w:r>
      <w:r w:rsidR="001B0EE1" w:rsidRPr="002E7CB4">
        <w:rPr>
          <w:sz w:val="20"/>
          <w:szCs w:val="20"/>
        </w:rPr>
        <w:t xml:space="preserve"> strengthening community-based water committees to identify the most vulnerable households, </w:t>
      </w:r>
      <w:r>
        <w:rPr>
          <w:sz w:val="20"/>
          <w:szCs w:val="20"/>
        </w:rPr>
        <w:t>help</w:t>
      </w:r>
      <w:r w:rsidRPr="002E7CB4">
        <w:rPr>
          <w:sz w:val="20"/>
          <w:szCs w:val="20"/>
        </w:rPr>
        <w:t xml:space="preserve"> </w:t>
      </w:r>
      <w:r w:rsidR="001B0EE1" w:rsidRPr="002E7CB4">
        <w:rPr>
          <w:sz w:val="20"/>
          <w:szCs w:val="20"/>
        </w:rPr>
        <w:t>with water distribution and</w:t>
      </w:r>
      <w:r w:rsidR="00B42E92">
        <w:rPr>
          <w:sz w:val="20"/>
          <w:szCs w:val="20"/>
        </w:rPr>
        <w:t xml:space="preserve"> develop water safety plans</w:t>
      </w:r>
    </w:p>
    <w:p w:rsidR="001B0EE1" w:rsidRPr="002E7CB4" w:rsidRDefault="00C2199D" w:rsidP="001B0EE1">
      <w:pPr>
        <w:pStyle w:val="ListBullet"/>
        <w:numPr>
          <w:ilvl w:val="0"/>
          <w:numId w:val="19"/>
        </w:numPr>
        <w:spacing w:line="240" w:lineRule="atLeast"/>
        <w:rPr>
          <w:sz w:val="20"/>
          <w:szCs w:val="20"/>
        </w:rPr>
      </w:pPr>
      <w:proofErr w:type="gramStart"/>
      <w:r>
        <w:rPr>
          <w:sz w:val="20"/>
          <w:szCs w:val="20"/>
        </w:rPr>
        <w:t>providing</w:t>
      </w:r>
      <w:proofErr w:type="gramEnd"/>
      <w:r>
        <w:rPr>
          <w:sz w:val="20"/>
          <w:szCs w:val="20"/>
        </w:rPr>
        <w:t xml:space="preserve"> training on h</w:t>
      </w:r>
      <w:r w:rsidR="001B0EE1" w:rsidRPr="002E7CB4">
        <w:rPr>
          <w:sz w:val="20"/>
          <w:szCs w:val="20"/>
        </w:rPr>
        <w:t xml:space="preserve">ealth and hygiene for </w:t>
      </w:r>
      <w:r w:rsidR="00181B24">
        <w:rPr>
          <w:sz w:val="20"/>
          <w:szCs w:val="20"/>
        </w:rPr>
        <w:t>more than</w:t>
      </w:r>
      <w:r w:rsidR="001B0EE1" w:rsidRPr="002E7CB4">
        <w:rPr>
          <w:sz w:val="20"/>
          <w:szCs w:val="20"/>
        </w:rPr>
        <w:t xml:space="preserve"> 17</w:t>
      </w:r>
      <w:r w:rsidR="00B42E92">
        <w:rPr>
          <w:sz w:val="20"/>
          <w:szCs w:val="20"/>
        </w:rPr>
        <w:t> </w:t>
      </w:r>
      <w:r w:rsidR="001B0EE1" w:rsidRPr="002E7CB4">
        <w:rPr>
          <w:sz w:val="20"/>
          <w:szCs w:val="20"/>
        </w:rPr>
        <w:t>000 people</w:t>
      </w:r>
      <w:r>
        <w:rPr>
          <w:sz w:val="20"/>
          <w:szCs w:val="20"/>
        </w:rPr>
        <w:t>,</w:t>
      </w:r>
      <w:r w:rsidR="001B0EE1" w:rsidRPr="002E7CB4">
        <w:rPr>
          <w:sz w:val="20"/>
          <w:szCs w:val="20"/>
        </w:rPr>
        <w:t xml:space="preserve"> to improve hygiene practices</w:t>
      </w:r>
      <w:r>
        <w:rPr>
          <w:sz w:val="20"/>
          <w:szCs w:val="20"/>
        </w:rPr>
        <w:t>—</w:t>
      </w:r>
      <w:r w:rsidR="001B0EE1" w:rsidRPr="002E7CB4">
        <w:rPr>
          <w:sz w:val="20"/>
          <w:szCs w:val="20"/>
        </w:rPr>
        <w:t xml:space="preserve"> including hand-washing </w:t>
      </w:r>
      <w:r>
        <w:rPr>
          <w:sz w:val="20"/>
          <w:szCs w:val="20"/>
        </w:rPr>
        <w:t>before collecting</w:t>
      </w:r>
      <w:r w:rsidR="001B0EE1" w:rsidRPr="002E7CB4">
        <w:rPr>
          <w:sz w:val="20"/>
          <w:szCs w:val="20"/>
        </w:rPr>
        <w:t xml:space="preserve"> water, cleaning water receptacles and cleaning ceramic water filters.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The </w:t>
      </w:r>
      <w:r w:rsidRPr="002E7CB4">
        <w:rPr>
          <w:sz w:val="22"/>
          <w:szCs w:val="22"/>
        </w:rPr>
        <w:t>3</w:t>
      </w:r>
      <w:r w:rsidRPr="002E7CB4">
        <w:rPr>
          <w:rFonts w:ascii="Georgia" w:hAnsi="Georgia"/>
          <w:szCs w:val="20"/>
        </w:rPr>
        <w:t>DF has demonstrated it is possible to provide health services in Burma despite the operating environment constraints. Th</w:t>
      </w:r>
      <w:r w:rsidR="00C2199D">
        <w:rPr>
          <w:rFonts w:ascii="Georgia" w:hAnsi="Georgia"/>
          <w:szCs w:val="20"/>
        </w:rPr>
        <w:t xml:space="preserve">e fund </w:t>
      </w:r>
      <w:r w:rsidRPr="002E7CB4">
        <w:rPr>
          <w:rFonts w:ascii="Georgia" w:hAnsi="Georgia"/>
          <w:szCs w:val="20"/>
        </w:rPr>
        <w:t xml:space="preserve">has leveraged additional donor resources for health and was instrumental in the return of other donors such as the </w:t>
      </w:r>
      <w:r w:rsidR="000A7ABD" w:rsidRPr="000A7ABD">
        <w:rPr>
          <w:rFonts w:ascii="Georgia" w:hAnsi="Georgia"/>
          <w:szCs w:val="20"/>
        </w:rPr>
        <w:t>Global Fund to Fight AIDS, TB and Malaria</w:t>
      </w:r>
      <w:r w:rsidR="00C2199D">
        <w:rPr>
          <w:rFonts w:ascii="Georgia" w:hAnsi="Georgia"/>
          <w:szCs w:val="20"/>
        </w:rPr>
        <w:t>. This in turn has allowed</w:t>
      </w:r>
      <w:r w:rsidRPr="002E7CB4">
        <w:rPr>
          <w:rFonts w:ascii="Georgia" w:hAnsi="Georgia"/>
          <w:szCs w:val="20"/>
        </w:rPr>
        <w:t xml:space="preserve"> donors to expand their focus from communicable diseases to other areas of the health sector. Australia’s future engagement in the sector will build on the strengths of current programs, including the 3DF and Health PONREPP models. Both these funds operate </w:t>
      </w:r>
      <w:r w:rsidRPr="000A7ABD">
        <w:rPr>
          <w:rFonts w:ascii="Georgia" w:hAnsi="Georgia"/>
          <w:szCs w:val="20"/>
        </w:rPr>
        <w:t xml:space="preserve">within the </w:t>
      </w:r>
      <w:r w:rsidR="000A7ABD" w:rsidRPr="000A7ABD">
        <w:rPr>
          <w:rFonts w:ascii="Georgia" w:hAnsi="Georgia"/>
          <w:bCs/>
          <w:szCs w:val="20"/>
        </w:rPr>
        <w:t>European Union</w:t>
      </w:r>
      <w:r w:rsidR="000A7ABD" w:rsidRPr="000A7ABD">
        <w:rPr>
          <w:rFonts w:ascii="Georgia" w:hAnsi="Georgia"/>
          <w:szCs w:val="20"/>
        </w:rPr>
        <w:t xml:space="preserve"> </w:t>
      </w:r>
      <w:r w:rsidRPr="000A7ABD">
        <w:rPr>
          <w:rFonts w:ascii="Georgia" w:hAnsi="Georgia"/>
          <w:szCs w:val="20"/>
        </w:rPr>
        <w:t>Common</w:t>
      </w:r>
      <w:r w:rsidRPr="002E7CB4">
        <w:rPr>
          <w:rFonts w:ascii="Georgia" w:hAnsi="Georgia"/>
          <w:szCs w:val="20"/>
        </w:rPr>
        <w:t xml:space="preserve"> Position</w:t>
      </w:r>
      <w:r w:rsidR="00BB508C">
        <w:rPr>
          <w:rStyle w:val="FootnoteReference"/>
        </w:rPr>
        <w:footnoteReference w:id="10"/>
      </w:r>
      <w:r w:rsidRPr="002E7CB4">
        <w:rPr>
          <w:rFonts w:ascii="Georgia" w:hAnsi="Georgia"/>
          <w:szCs w:val="20"/>
        </w:rPr>
        <w:t xml:space="preserve"> a</w:t>
      </w:r>
      <w:r w:rsidR="00C2199D">
        <w:rPr>
          <w:rFonts w:ascii="Georgia" w:hAnsi="Georgia"/>
          <w:szCs w:val="20"/>
        </w:rPr>
        <w:t>nd</w:t>
      </w:r>
      <w:r w:rsidRPr="002E7CB4">
        <w:rPr>
          <w:rFonts w:ascii="Georgia" w:hAnsi="Georgia"/>
          <w:szCs w:val="20"/>
        </w:rPr>
        <w:t xml:space="preserve"> Australia’s policy position</w:t>
      </w:r>
      <w:r w:rsidR="00C2199D">
        <w:rPr>
          <w:rFonts w:ascii="Georgia" w:hAnsi="Georgia"/>
          <w:szCs w:val="20"/>
        </w:rPr>
        <w:t xml:space="preserve">, which </w:t>
      </w:r>
      <w:r w:rsidRPr="002E7CB4">
        <w:rPr>
          <w:rFonts w:ascii="Georgia" w:hAnsi="Georgia"/>
          <w:szCs w:val="20"/>
        </w:rPr>
        <w:t xml:space="preserve">now </w:t>
      </w:r>
      <w:r w:rsidR="00385E4A">
        <w:rPr>
          <w:rFonts w:ascii="Georgia" w:hAnsi="Georgia"/>
          <w:szCs w:val="20"/>
        </w:rPr>
        <w:t>pays</w:t>
      </w:r>
      <w:r w:rsidR="00385E4A" w:rsidRPr="002E7CB4">
        <w:rPr>
          <w:rFonts w:ascii="Georgia" w:hAnsi="Georgia"/>
          <w:szCs w:val="20"/>
        </w:rPr>
        <w:t xml:space="preserve"> </w:t>
      </w:r>
      <w:r w:rsidRPr="002E7CB4">
        <w:rPr>
          <w:rFonts w:ascii="Georgia" w:hAnsi="Georgia"/>
          <w:szCs w:val="20"/>
        </w:rPr>
        <w:t xml:space="preserve">greater </w:t>
      </w:r>
      <w:r w:rsidR="00385E4A">
        <w:rPr>
          <w:rFonts w:ascii="Georgia" w:hAnsi="Georgia"/>
          <w:szCs w:val="20"/>
        </w:rPr>
        <w:t xml:space="preserve">attention to </w:t>
      </w:r>
      <w:r w:rsidRPr="002E7CB4">
        <w:rPr>
          <w:rFonts w:ascii="Georgia" w:hAnsi="Georgia"/>
          <w:szCs w:val="20"/>
        </w:rPr>
        <w:t xml:space="preserve">long-term capacity building and system strengthening. </w:t>
      </w:r>
    </w:p>
    <w:p w:rsidR="001B0EE1" w:rsidRPr="002E7CB4" w:rsidRDefault="001B0EE1" w:rsidP="001B0EE1">
      <w:pPr>
        <w:spacing w:before="120" w:after="120" w:line="240" w:lineRule="exact"/>
        <w:ind w:right="-340"/>
        <w:rPr>
          <w:rFonts w:ascii="Georgia" w:hAnsi="Georgia"/>
          <w:szCs w:val="20"/>
        </w:rPr>
      </w:pPr>
      <w:r w:rsidRPr="002E7CB4">
        <w:rPr>
          <w:rFonts w:ascii="Georgia" w:hAnsi="Georgia"/>
          <w:szCs w:val="20"/>
        </w:rPr>
        <w:t xml:space="preserve">New initiatives will focus on improving the health of mothers, babies and children by increasing access </w:t>
      </w:r>
      <w:r w:rsidR="0077382F">
        <w:rPr>
          <w:rFonts w:ascii="Georgia" w:hAnsi="Georgia"/>
          <w:szCs w:val="20"/>
        </w:rPr>
        <w:t>to</w:t>
      </w:r>
      <w:r w:rsidR="0077382F" w:rsidRPr="002E7CB4">
        <w:rPr>
          <w:rFonts w:ascii="Georgia" w:hAnsi="Georgia"/>
          <w:szCs w:val="20"/>
        </w:rPr>
        <w:t xml:space="preserve"> </w:t>
      </w:r>
      <w:r w:rsidRPr="002E7CB4">
        <w:rPr>
          <w:rFonts w:ascii="Georgia" w:hAnsi="Georgia"/>
          <w:szCs w:val="20"/>
        </w:rPr>
        <w:t>high</w:t>
      </w:r>
      <w:r w:rsidR="0077382F">
        <w:rPr>
          <w:rFonts w:ascii="Georgia" w:hAnsi="Georgia"/>
          <w:szCs w:val="20"/>
        </w:rPr>
        <w:t>-</w:t>
      </w:r>
      <w:r w:rsidRPr="002E7CB4">
        <w:rPr>
          <w:rFonts w:ascii="Georgia" w:hAnsi="Georgia"/>
          <w:szCs w:val="20"/>
        </w:rPr>
        <w:t xml:space="preserve">quality health services for all. </w:t>
      </w:r>
      <w:r w:rsidR="0077382F">
        <w:rPr>
          <w:rFonts w:ascii="Georgia" w:hAnsi="Georgia"/>
          <w:szCs w:val="20"/>
        </w:rPr>
        <w:t>Initiatives</w:t>
      </w:r>
      <w:r w:rsidR="0077382F" w:rsidRPr="002E7CB4">
        <w:rPr>
          <w:rFonts w:ascii="Georgia" w:hAnsi="Georgia"/>
          <w:szCs w:val="20"/>
        </w:rPr>
        <w:t xml:space="preserve"> </w:t>
      </w:r>
      <w:r w:rsidRPr="002E7CB4">
        <w:rPr>
          <w:rFonts w:ascii="Georgia" w:hAnsi="Georgia"/>
          <w:szCs w:val="20"/>
        </w:rPr>
        <w:t xml:space="preserve">will address constraints in the Burmese health system, including service delivery, human resources and program coordination, in line with the Ministerial Statement. </w:t>
      </w:r>
    </w:p>
    <w:p w:rsidR="00085594" w:rsidRPr="002E7CB4" w:rsidRDefault="0067202D" w:rsidP="00502123">
      <w:pPr>
        <w:pStyle w:val="Heading2"/>
        <w:tabs>
          <w:tab w:val="left" w:pos="1920"/>
        </w:tabs>
        <w:spacing w:before="0" w:after="120" w:line="320" w:lineRule="atLeast"/>
        <w:ind w:left="0"/>
        <w:rPr>
          <w:kern w:val="0"/>
        </w:rPr>
      </w:pPr>
      <w:bookmarkStart w:id="9" w:name="_Toc360980586"/>
      <w:r w:rsidRPr="002E7CB4">
        <w:rPr>
          <w:kern w:val="0"/>
        </w:rPr>
        <w:t>Objective 3: Improve access to and quality of basic education</w:t>
      </w:r>
      <w:bookmarkEnd w:id="9"/>
      <w:r w:rsidR="00085594" w:rsidRPr="002E7CB4">
        <w:rPr>
          <w:kern w:val="0"/>
        </w:rPr>
        <w:t xml:space="preserve"> </w:t>
      </w:r>
    </w:p>
    <w:p w:rsidR="000E55ED" w:rsidRPr="002E7CB4" w:rsidRDefault="000E55ED" w:rsidP="000E55ED">
      <w:pPr>
        <w:spacing w:before="240" w:after="120" w:line="240" w:lineRule="exact"/>
        <w:ind w:right="-340"/>
        <w:rPr>
          <w:rFonts w:ascii="Georgia" w:hAnsi="Georgia"/>
          <w:szCs w:val="20"/>
        </w:rPr>
      </w:pPr>
      <w:r w:rsidRPr="002E7CB4">
        <w:rPr>
          <w:rFonts w:ascii="Georgia" w:hAnsi="Georgia"/>
          <w:szCs w:val="20"/>
        </w:rPr>
        <w:t xml:space="preserve">Extremely low </w:t>
      </w:r>
      <w:r w:rsidR="00583E4E">
        <w:rPr>
          <w:rFonts w:ascii="Georgia" w:hAnsi="Georgia"/>
          <w:szCs w:val="20"/>
        </w:rPr>
        <w:t xml:space="preserve">government </w:t>
      </w:r>
      <w:r w:rsidRPr="002E7CB4">
        <w:rPr>
          <w:rFonts w:ascii="Georgia" w:hAnsi="Georgia"/>
          <w:szCs w:val="20"/>
        </w:rPr>
        <w:t xml:space="preserve">investment in education in Burma has prevented the achievement of quality basic education for many of </w:t>
      </w:r>
      <w:r w:rsidR="0077382F">
        <w:rPr>
          <w:rFonts w:ascii="Georgia" w:hAnsi="Georgia"/>
          <w:szCs w:val="20"/>
        </w:rPr>
        <w:t>the country’s</w:t>
      </w:r>
      <w:r w:rsidR="0077382F" w:rsidRPr="002E7CB4">
        <w:rPr>
          <w:rFonts w:ascii="Georgia" w:hAnsi="Georgia"/>
          <w:szCs w:val="20"/>
        </w:rPr>
        <w:t xml:space="preserve"> </w:t>
      </w:r>
      <w:r w:rsidRPr="002E7CB4">
        <w:rPr>
          <w:rFonts w:ascii="Georgia" w:hAnsi="Georgia"/>
          <w:szCs w:val="20"/>
        </w:rPr>
        <w:t>18</w:t>
      </w:r>
      <w:r w:rsidR="0077382F">
        <w:rPr>
          <w:rFonts w:ascii="Georgia" w:hAnsi="Georgia"/>
          <w:szCs w:val="20"/>
        </w:rPr>
        <w:t> </w:t>
      </w:r>
      <w:r w:rsidRPr="002E7CB4">
        <w:rPr>
          <w:rFonts w:ascii="Georgia" w:hAnsi="Georgia"/>
          <w:szCs w:val="20"/>
        </w:rPr>
        <w:t>million children. While the net enrolment rate is high</w:t>
      </w:r>
      <w:r w:rsidR="0077382F">
        <w:rPr>
          <w:rFonts w:ascii="Georgia" w:hAnsi="Georgia"/>
          <w:szCs w:val="20"/>
        </w:rPr>
        <w:t>—</w:t>
      </w:r>
      <w:r w:rsidRPr="002E7CB4">
        <w:rPr>
          <w:rFonts w:ascii="Georgia" w:hAnsi="Georgia"/>
          <w:szCs w:val="20"/>
        </w:rPr>
        <w:t>at more than 80 per cent</w:t>
      </w:r>
      <w:r w:rsidR="0077382F">
        <w:rPr>
          <w:rFonts w:ascii="Georgia" w:hAnsi="Georgia"/>
          <w:szCs w:val="20"/>
        </w:rPr>
        <w:t>—</w:t>
      </w:r>
      <w:r w:rsidRPr="002E7CB4">
        <w:rPr>
          <w:rFonts w:ascii="Georgia" w:hAnsi="Georgia"/>
          <w:szCs w:val="20"/>
        </w:rPr>
        <w:t>and</w:t>
      </w:r>
      <w:r w:rsidR="0077382F">
        <w:rPr>
          <w:rFonts w:ascii="Georgia" w:hAnsi="Georgia"/>
          <w:szCs w:val="20"/>
        </w:rPr>
        <w:t xml:space="preserve"> while</w:t>
      </w:r>
      <w:r w:rsidRPr="002E7CB4">
        <w:rPr>
          <w:rFonts w:ascii="Georgia" w:hAnsi="Georgia"/>
          <w:szCs w:val="20"/>
        </w:rPr>
        <w:t xml:space="preserve"> there is gender parity for primary education enrolment, school completion rates are low. Burma is one of the few countries </w:t>
      </w:r>
      <w:r w:rsidR="0077382F">
        <w:rPr>
          <w:rFonts w:ascii="Georgia" w:hAnsi="Georgia"/>
          <w:szCs w:val="20"/>
        </w:rPr>
        <w:t xml:space="preserve">in the world </w:t>
      </w:r>
      <w:r w:rsidRPr="002E7CB4">
        <w:rPr>
          <w:rFonts w:ascii="Georgia" w:hAnsi="Georgia"/>
          <w:szCs w:val="20"/>
        </w:rPr>
        <w:t>where the current generation of school children will be less educated than their parents and grandparents. The low allocation of public resources to the education sector (around 1.3 per cent of GDP)</w:t>
      </w:r>
      <w:r w:rsidR="0077382F">
        <w:rPr>
          <w:rFonts w:ascii="Georgia" w:hAnsi="Georgia"/>
          <w:szCs w:val="20"/>
        </w:rPr>
        <w:t xml:space="preserve"> has created a huge</w:t>
      </w:r>
      <w:r w:rsidRPr="002E7CB4">
        <w:rPr>
          <w:rFonts w:ascii="Georgia" w:hAnsi="Georgia"/>
          <w:szCs w:val="20"/>
        </w:rPr>
        <w:t xml:space="preserve"> gap between </w:t>
      </w:r>
      <w:r w:rsidR="0077382F">
        <w:rPr>
          <w:rFonts w:ascii="Georgia" w:hAnsi="Georgia"/>
          <w:szCs w:val="20"/>
        </w:rPr>
        <w:t xml:space="preserve">the </w:t>
      </w:r>
      <w:r w:rsidRPr="002E7CB4">
        <w:rPr>
          <w:rFonts w:ascii="Georgia" w:hAnsi="Georgia"/>
          <w:szCs w:val="20"/>
        </w:rPr>
        <w:t>demand for</w:t>
      </w:r>
      <w:r w:rsidR="0077382F">
        <w:rPr>
          <w:rFonts w:ascii="Georgia" w:hAnsi="Georgia"/>
          <w:szCs w:val="20"/>
        </w:rPr>
        <w:t>,</w:t>
      </w:r>
      <w:r w:rsidRPr="002E7CB4">
        <w:rPr>
          <w:rFonts w:ascii="Georgia" w:hAnsi="Georgia"/>
          <w:szCs w:val="20"/>
        </w:rPr>
        <w:t xml:space="preserve"> and the ability to offer</w:t>
      </w:r>
      <w:r w:rsidR="0077382F">
        <w:rPr>
          <w:rFonts w:ascii="Georgia" w:hAnsi="Georgia"/>
          <w:szCs w:val="20"/>
        </w:rPr>
        <w:t>,</w:t>
      </w:r>
      <w:r w:rsidRPr="002E7CB4">
        <w:rPr>
          <w:rFonts w:ascii="Georgia" w:hAnsi="Georgia"/>
          <w:szCs w:val="20"/>
        </w:rPr>
        <w:t xml:space="preserve"> quality education services. The lack of </w:t>
      </w:r>
      <w:r w:rsidR="0077382F">
        <w:rPr>
          <w:rFonts w:ascii="Georgia" w:hAnsi="Georgia"/>
          <w:szCs w:val="20"/>
        </w:rPr>
        <w:t>government investment means</w:t>
      </w:r>
      <w:r w:rsidRPr="002E7CB4">
        <w:rPr>
          <w:rFonts w:ascii="Georgia" w:hAnsi="Georgia"/>
          <w:szCs w:val="20"/>
        </w:rPr>
        <w:t xml:space="preserve"> families </w:t>
      </w:r>
      <w:r w:rsidR="0077382F">
        <w:rPr>
          <w:rFonts w:ascii="Georgia" w:hAnsi="Georgia"/>
          <w:szCs w:val="20"/>
        </w:rPr>
        <w:t>have t</w:t>
      </w:r>
      <w:r w:rsidRPr="002E7CB4">
        <w:rPr>
          <w:rFonts w:ascii="Georgia" w:hAnsi="Georgia"/>
          <w:szCs w:val="20"/>
        </w:rPr>
        <w:t>o share the cost of schooling, a burden which disproportionally affects the poorest families.</w:t>
      </w:r>
    </w:p>
    <w:p w:rsidR="000E55ED" w:rsidRPr="002E7CB4" w:rsidRDefault="000E55ED" w:rsidP="000E55ED">
      <w:pPr>
        <w:spacing w:before="120" w:after="120" w:line="240" w:lineRule="exact"/>
        <w:ind w:right="-340"/>
        <w:rPr>
          <w:rFonts w:ascii="Georgia" w:hAnsi="Georgia"/>
          <w:szCs w:val="20"/>
        </w:rPr>
      </w:pPr>
      <w:r w:rsidRPr="002E7CB4">
        <w:rPr>
          <w:rFonts w:ascii="Georgia" w:hAnsi="Georgia"/>
          <w:szCs w:val="20"/>
        </w:rPr>
        <w:t xml:space="preserve">Since 2006 Australia’s support to the education sector has mostly been through the Multi-Donor Education </w:t>
      </w:r>
      <w:r w:rsidRPr="000A7ABD">
        <w:rPr>
          <w:rFonts w:ascii="Georgia" w:hAnsi="Georgia"/>
          <w:szCs w:val="20"/>
        </w:rPr>
        <w:t>Fund (MDEF) which</w:t>
      </w:r>
      <w:r w:rsidRPr="002E7CB4">
        <w:rPr>
          <w:rFonts w:ascii="Georgia" w:hAnsi="Georgia"/>
          <w:szCs w:val="20"/>
        </w:rPr>
        <w:t xml:space="preserve"> forms part of</w:t>
      </w:r>
      <w:r w:rsidR="0077382F">
        <w:rPr>
          <w:rFonts w:ascii="Georgia" w:hAnsi="Georgia"/>
          <w:szCs w:val="20"/>
        </w:rPr>
        <w:t xml:space="preserve"> the</w:t>
      </w:r>
      <w:r w:rsidRPr="002E7CB4">
        <w:rPr>
          <w:rFonts w:ascii="Georgia" w:hAnsi="Georgia"/>
          <w:szCs w:val="20"/>
        </w:rPr>
        <w:t xml:space="preserve"> </w:t>
      </w:r>
      <w:r w:rsidR="000A7ABD" w:rsidRPr="000A7ABD">
        <w:rPr>
          <w:rFonts w:ascii="Georgia" w:hAnsi="Georgia"/>
          <w:szCs w:val="20"/>
        </w:rPr>
        <w:t>United Nations Children's Fund</w:t>
      </w:r>
      <w:r w:rsidR="000A7ABD">
        <w:rPr>
          <w:rFonts w:ascii="Georgia" w:hAnsi="Georgia"/>
          <w:szCs w:val="20"/>
        </w:rPr>
        <w:t>’s</w:t>
      </w:r>
      <w:r w:rsidR="000A7ABD" w:rsidRPr="000A7ABD">
        <w:rPr>
          <w:rFonts w:ascii="Georgia" w:hAnsi="Georgia"/>
          <w:szCs w:val="20"/>
        </w:rPr>
        <w:t xml:space="preserve"> </w:t>
      </w:r>
      <w:r w:rsidR="000A7ABD">
        <w:rPr>
          <w:rFonts w:ascii="Georgia" w:hAnsi="Georgia"/>
          <w:szCs w:val="20"/>
        </w:rPr>
        <w:t>(</w:t>
      </w:r>
      <w:r w:rsidRPr="002E7CB4">
        <w:rPr>
          <w:rFonts w:ascii="Georgia" w:hAnsi="Georgia"/>
          <w:szCs w:val="20"/>
        </w:rPr>
        <w:t>UNICEF</w:t>
      </w:r>
      <w:r w:rsidR="000A7ABD">
        <w:rPr>
          <w:rFonts w:ascii="Georgia" w:hAnsi="Georgia"/>
          <w:szCs w:val="20"/>
        </w:rPr>
        <w:t>)</w:t>
      </w:r>
      <w:r w:rsidRPr="002E7CB4">
        <w:rPr>
          <w:rFonts w:ascii="Georgia" w:hAnsi="Georgia"/>
          <w:szCs w:val="20"/>
        </w:rPr>
        <w:t xml:space="preserve"> overall education program in Burma. </w:t>
      </w:r>
      <w:r w:rsidR="00DE222C" w:rsidRPr="002E7CB4">
        <w:rPr>
          <w:rFonts w:ascii="Georgia" w:hAnsi="Georgia"/>
          <w:szCs w:val="20"/>
        </w:rPr>
        <w:t xml:space="preserve">MDEF is on track and meeting expectations. </w:t>
      </w:r>
      <w:r w:rsidR="00DE222C">
        <w:rPr>
          <w:rFonts w:ascii="Georgia" w:hAnsi="Georgia"/>
          <w:szCs w:val="20"/>
        </w:rPr>
        <w:t>It</w:t>
      </w:r>
      <w:r w:rsidRPr="002E7CB4">
        <w:rPr>
          <w:rFonts w:ascii="Georgia" w:hAnsi="Georgia"/>
          <w:szCs w:val="20"/>
        </w:rPr>
        <w:t xml:space="preserve"> aims to increase equitable access to, and </w:t>
      </w:r>
      <w:r w:rsidR="0077382F">
        <w:rPr>
          <w:rFonts w:ascii="Georgia" w:hAnsi="Georgia"/>
          <w:szCs w:val="20"/>
        </w:rPr>
        <w:t xml:space="preserve">the </w:t>
      </w:r>
      <w:r w:rsidRPr="002E7CB4">
        <w:rPr>
          <w:rFonts w:ascii="Georgia" w:hAnsi="Georgia"/>
          <w:szCs w:val="20"/>
        </w:rPr>
        <w:t>quality of, early childhood development and basic education with extended learning opportunities for all children, especially in disadvantaged and hard</w:t>
      </w:r>
      <w:r w:rsidR="0077382F">
        <w:rPr>
          <w:rFonts w:ascii="Georgia" w:hAnsi="Georgia"/>
          <w:szCs w:val="20"/>
        </w:rPr>
        <w:t>-</w:t>
      </w:r>
      <w:r w:rsidRPr="002E7CB4">
        <w:rPr>
          <w:rFonts w:ascii="Georgia" w:hAnsi="Georgia"/>
          <w:szCs w:val="20"/>
        </w:rPr>
        <w:t>to</w:t>
      </w:r>
      <w:r w:rsidR="0077382F">
        <w:rPr>
          <w:rFonts w:ascii="Georgia" w:hAnsi="Georgia"/>
          <w:szCs w:val="20"/>
        </w:rPr>
        <w:t>-</w:t>
      </w:r>
      <w:r w:rsidRPr="002E7CB4">
        <w:rPr>
          <w:rFonts w:ascii="Georgia" w:hAnsi="Georgia"/>
          <w:szCs w:val="20"/>
        </w:rPr>
        <w:t>reach communities. MDEF provides school supplies and materials direct to children (attending state, community and monastic schools) and funds capacity development for monastic and community teachers. UNICEF helps to strengthen the capacity of state education service delivery</w:t>
      </w:r>
      <w:r w:rsidR="0077382F">
        <w:rPr>
          <w:rFonts w:ascii="Georgia" w:hAnsi="Georgia"/>
          <w:szCs w:val="20"/>
        </w:rPr>
        <w:t>,</w:t>
      </w:r>
      <w:r w:rsidRPr="002E7CB4">
        <w:rPr>
          <w:rFonts w:ascii="Georgia" w:hAnsi="Georgia"/>
          <w:szCs w:val="20"/>
        </w:rPr>
        <w:t xml:space="preserve"> especially through teacher training and township</w:t>
      </w:r>
      <w:r w:rsidR="0077382F">
        <w:rPr>
          <w:rFonts w:ascii="Georgia" w:hAnsi="Georgia"/>
          <w:szCs w:val="20"/>
        </w:rPr>
        <w:t>-</w:t>
      </w:r>
      <w:r w:rsidRPr="002E7CB4">
        <w:rPr>
          <w:rFonts w:ascii="Georgia" w:hAnsi="Georgia"/>
          <w:szCs w:val="20"/>
        </w:rPr>
        <w:lastRenderedPageBreak/>
        <w:t>level planning and management. Donors have to date been restricted in their ability to fund these activities. Australia’s expanded mandate to focus on capacity building will be implemented through the second phase of MDEF, due to start in 2012.</w:t>
      </w:r>
    </w:p>
    <w:p w:rsidR="000E55ED" w:rsidRPr="002E7CB4" w:rsidRDefault="000E55ED" w:rsidP="000E55ED">
      <w:pPr>
        <w:spacing w:before="120" w:after="120" w:line="240" w:lineRule="exact"/>
        <w:ind w:right="-340"/>
        <w:rPr>
          <w:rFonts w:ascii="Georgia" w:hAnsi="Georgia"/>
          <w:szCs w:val="20"/>
        </w:rPr>
      </w:pPr>
      <w:r w:rsidRPr="002E7CB4">
        <w:rPr>
          <w:rFonts w:ascii="Georgia" w:hAnsi="Georgia"/>
          <w:szCs w:val="20"/>
        </w:rPr>
        <w:t>Since 2006, MDEF has improved access to education for more than 609</w:t>
      </w:r>
      <w:r w:rsidR="00B42E92">
        <w:rPr>
          <w:rFonts w:ascii="Georgia" w:hAnsi="Georgia"/>
          <w:szCs w:val="20"/>
        </w:rPr>
        <w:t> </w:t>
      </w:r>
      <w:r w:rsidRPr="002E7CB4">
        <w:rPr>
          <w:rFonts w:ascii="Georgia" w:hAnsi="Georgia"/>
          <w:szCs w:val="20"/>
        </w:rPr>
        <w:t>000 children in 4046</w:t>
      </w:r>
      <w:r w:rsidR="0077382F">
        <w:rPr>
          <w:rFonts w:ascii="Georgia" w:hAnsi="Georgia"/>
          <w:szCs w:val="20"/>
        </w:rPr>
        <w:t> </w:t>
      </w:r>
      <w:r w:rsidRPr="002E7CB4">
        <w:rPr>
          <w:rFonts w:ascii="Georgia" w:hAnsi="Georgia"/>
          <w:szCs w:val="20"/>
        </w:rPr>
        <w:t>primary schools in 25 townships. This coverage represents roughly 10 per cent of primary schools in Burma. Around 918</w:t>
      </w:r>
      <w:r w:rsidR="00B42E92">
        <w:rPr>
          <w:rFonts w:ascii="Georgia" w:hAnsi="Georgia"/>
          <w:szCs w:val="20"/>
        </w:rPr>
        <w:t> </w:t>
      </w:r>
      <w:r w:rsidRPr="002E7CB4">
        <w:rPr>
          <w:rFonts w:ascii="Georgia" w:hAnsi="Georgia"/>
          <w:szCs w:val="20"/>
        </w:rPr>
        <w:t>000 children have received essential learning packages to support their schooling</w:t>
      </w:r>
      <w:r w:rsidR="0077382F">
        <w:rPr>
          <w:rFonts w:ascii="Georgia" w:hAnsi="Georgia"/>
          <w:szCs w:val="20"/>
        </w:rPr>
        <w:t>,</w:t>
      </w:r>
      <w:r w:rsidRPr="002E7CB4">
        <w:rPr>
          <w:rFonts w:ascii="Georgia" w:hAnsi="Georgia"/>
          <w:szCs w:val="20"/>
        </w:rPr>
        <w:t xml:space="preserve"> and school environments have been improved</w:t>
      </w:r>
      <w:r w:rsidR="0077382F">
        <w:rPr>
          <w:rFonts w:ascii="Georgia" w:hAnsi="Georgia"/>
          <w:szCs w:val="20"/>
        </w:rPr>
        <w:t>—</w:t>
      </w:r>
      <w:r w:rsidRPr="002E7CB4">
        <w:rPr>
          <w:rFonts w:ascii="Georgia" w:hAnsi="Georgia"/>
          <w:szCs w:val="20"/>
        </w:rPr>
        <w:t>including school sanitation through the installation of 5700 sanitary latrines in 1</w:t>
      </w:r>
      <w:r w:rsidR="00B42E92">
        <w:rPr>
          <w:rFonts w:ascii="Georgia" w:hAnsi="Georgia"/>
          <w:szCs w:val="20"/>
        </w:rPr>
        <w:t>222</w:t>
      </w:r>
      <w:r w:rsidR="0077382F">
        <w:rPr>
          <w:rFonts w:ascii="Georgia" w:hAnsi="Georgia"/>
          <w:szCs w:val="20"/>
        </w:rPr>
        <w:t> </w:t>
      </w:r>
      <w:r w:rsidR="00B42E92">
        <w:rPr>
          <w:rFonts w:ascii="Georgia" w:hAnsi="Georgia"/>
          <w:szCs w:val="20"/>
        </w:rPr>
        <w:t xml:space="preserve">schools. </w:t>
      </w:r>
      <w:r w:rsidR="00181B24">
        <w:rPr>
          <w:rFonts w:ascii="Georgia" w:hAnsi="Georgia"/>
          <w:szCs w:val="20"/>
        </w:rPr>
        <w:t>More than</w:t>
      </w:r>
      <w:r w:rsidR="00B42E92">
        <w:rPr>
          <w:rFonts w:ascii="Georgia" w:hAnsi="Georgia"/>
          <w:szCs w:val="20"/>
        </w:rPr>
        <w:t xml:space="preserve"> 239 </w:t>
      </w:r>
      <w:r w:rsidRPr="002E7CB4">
        <w:rPr>
          <w:rFonts w:ascii="Georgia" w:hAnsi="Georgia"/>
          <w:szCs w:val="20"/>
        </w:rPr>
        <w:t xml:space="preserve">000 children received early childhood development opportunities. A Child Friendly School Study conducted in May 2010 found 76 per cent of target children entering grade </w:t>
      </w:r>
      <w:r w:rsidR="00A92D99">
        <w:rPr>
          <w:rFonts w:ascii="Georgia" w:hAnsi="Georgia"/>
          <w:szCs w:val="20"/>
        </w:rPr>
        <w:t>one</w:t>
      </w:r>
      <w:r w:rsidRPr="002E7CB4">
        <w:rPr>
          <w:rFonts w:ascii="Georgia" w:hAnsi="Georgia"/>
          <w:szCs w:val="20"/>
        </w:rPr>
        <w:t xml:space="preserve"> </w:t>
      </w:r>
      <w:r w:rsidR="0077382F">
        <w:rPr>
          <w:rFonts w:ascii="Georgia" w:hAnsi="Georgia"/>
          <w:szCs w:val="20"/>
        </w:rPr>
        <w:t xml:space="preserve">are </w:t>
      </w:r>
      <w:r w:rsidRPr="002E7CB4">
        <w:rPr>
          <w:rFonts w:ascii="Georgia" w:hAnsi="Georgia"/>
          <w:szCs w:val="20"/>
        </w:rPr>
        <w:t>continu</w:t>
      </w:r>
      <w:r w:rsidR="0077382F">
        <w:rPr>
          <w:rFonts w:ascii="Georgia" w:hAnsi="Georgia"/>
          <w:szCs w:val="20"/>
        </w:rPr>
        <w:t>ing</w:t>
      </w:r>
      <w:r w:rsidRPr="002E7CB4">
        <w:rPr>
          <w:rFonts w:ascii="Georgia" w:hAnsi="Georgia"/>
          <w:szCs w:val="20"/>
        </w:rPr>
        <w:t xml:space="preserve"> to the final grade of the primary cycle (five), compared to 62</w:t>
      </w:r>
      <w:r w:rsidR="0077382F">
        <w:rPr>
          <w:rFonts w:ascii="Georgia" w:hAnsi="Georgia"/>
          <w:szCs w:val="20"/>
        </w:rPr>
        <w:t> </w:t>
      </w:r>
      <w:r w:rsidRPr="002E7CB4">
        <w:rPr>
          <w:rFonts w:ascii="Georgia" w:hAnsi="Georgia"/>
          <w:szCs w:val="20"/>
        </w:rPr>
        <w:t xml:space="preserve">per cent three years earlier. The year saw steady progress towards results with </w:t>
      </w:r>
      <w:r w:rsidR="0077382F">
        <w:rPr>
          <w:rFonts w:ascii="Georgia" w:hAnsi="Georgia"/>
          <w:szCs w:val="20"/>
        </w:rPr>
        <w:t>the</w:t>
      </w:r>
      <w:r w:rsidRPr="002E7CB4">
        <w:rPr>
          <w:rFonts w:ascii="Georgia" w:hAnsi="Georgia"/>
          <w:szCs w:val="20"/>
        </w:rPr>
        <w:t xml:space="preserve"> strengthening</w:t>
      </w:r>
      <w:r w:rsidR="0077382F">
        <w:rPr>
          <w:rFonts w:ascii="Georgia" w:hAnsi="Georgia"/>
          <w:szCs w:val="20"/>
        </w:rPr>
        <w:t xml:space="preserve"> of</w:t>
      </w:r>
      <w:r w:rsidRPr="002E7CB4">
        <w:rPr>
          <w:rFonts w:ascii="Georgia" w:hAnsi="Georgia"/>
          <w:szCs w:val="20"/>
        </w:rPr>
        <w:t xml:space="preserve"> head masters, teachers and partners’ capacity to improve quality of service delivery in schools. </w:t>
      </w:r>
      <w:r w:rsidR="0077382F">
        <w:rPr>
          <w:rFonts w:ascii="Georgia" w:hAnsi="Georgia"/>
          <w:szCs w:val="20"/>
        </w:rPr>
        <w:t>The year</w:t>
      </w:r>
      <w:r w:rsidR="0077382F" w:rsidRPr="002E7CB4">
        <w:rPr>
          <w:rFonts w:ascii="Georgia" w:hAnsi="Georgia"/>
          <w:szCs w:val="20"/>
        </w:rPr>
        <w:t xml:space="preserve"> </w:t>
      </w:r>
      <w:r w:rsidRPr="002E7CB4">
        <w:rPr>
          <w:rFonts w:ascii="Georgia" w:hAnsi="Georgia"/>
          <w:szCs w:val="20"/>
        </w:rPr>
        <w:t>also marked the end of the 2006</w:t>
      </w:r>
      <w:r w:rsidR="00B42E92">
        <w:rPr>
          <w:rFonts w:ascii="Georgia" w:hAnsi="Georgia"/>
          <w:szCs w:val="20"/>
        </w:rPr>
        <w:t>–</w:t>
      </w:r>
      <w:r w:rsidRPr="000A7ABD">
        <w:rPr>
          <w:rFonts w:ascii="Georgia" w:hAnsi="Georgia"/>
          <w:szCs w:val="20"/>
        </w:rPr>
        <w:t xml:space="preserve">10 UNICEF </w:t>
      </w:r>
      <w:r w:rsidR="0077382F">
        <w:rPr>
          <w:rFonts w:ascii="Georgia" w:hAnsi="Georgia"/>
          <w:szCs w:val="20"/>
        </w:rPr>
        <w:t>c</w:t>
      </w:r>
      <w:r w:rsidRPr="000A7ABD">
        <w:rPr>
          <w:rFonts w:ascii="Georgia" w:hAnsi="Georgia"/>
          <w:szCs w:val="20"/>
        </w:rPr>
        <w:t>ountry</w:t>
      </w:r>
      <w:r w:rsidRPr="002E7CB4">
        <w:rPr>
          <w:rFonts w:ascii="Georgia" w:hAnsi="Georgia"/>
          <w:szCs w:val="20"/>
        </w:rPr>
        <w:t xml:space="preserve"> </w:t>
      </w:r>
      <w:r w:rsidR="0077382F">
        <w:rPr>
          <w:rFonts w:ascii="Georgia" w:hAnsi="Georgia"/>
          <w:szCs w:val="20"/>
        </w:rPr>
        <w:t>p</w:t>
      </w:r>
      <w:r w:rsidRPr="002E7CB4">
        <w:rPr>
          <w:rFonts w:ascii="Georgia" w:hAnsi="Georgia"/>
          <w:szCs w:val="20"/>
        </w:rPr>
        <w:t>rogramme and</w:t>
      </w:r>
      <w:r w:rsidR="0077382F">
        <w:rPr>
          <w:rFonts w:ascii="Georgia" w:hAnsi="Georgia"/>
          <w:szCs w:val="20"/>
        </w:rPr>
        <w:t xml:space="preserve"> the</w:t>
      </w:r>
      <w:r w:rsidRPr="002E7CB4">
        <w:rPr>
          <w:rFonts w:ascii="Georgia" w:hAnsi="Georgia"/>
          <w:szCs w:val="20"/>
        </w:rPr>
        <w:t xml:space="preserve"> preparation of the next </w:t>
      </w:r>
      <w:r w:rsidR="0077382F">
        <w:rPr>
          <w:rFonts w:ascii="Georgia" w:hAnsi="Georgia"/>
          <w:szCs w:val="20"/>
        </w:rPr>
        <w:t>c</w:t>
      </w:r>
      <w:r w:rsidRPr="002E7CB4">
        <w:rPr>
          <w:rFonts w:ascii="Georgia" w:hAnsi="Georgia"/>
          <w:szCs w:val="20"/>
        </w:rPr>
        <w:t xml:space="preserve">ountry </w:t>
      </w:r>
      <w:r w:rsidR="0077382F">
        <w:rPr>
          <w:rFonts w:ascii="Georgia" w:hAnsi="Georgia"/>
          <w:szCs w:val="20"/>
        </w:rPr>
        <w:t>p</w:t>
      </w:r>
      <w:r w:rsidRPr="002E7CB4">
        <w:rPr>
          <w:rFonts w:ascii="Georgia" w:hAnsi="Georgia"/>
          <w:szCs w:val="20"/>
        </w:rPr>
        <w:t>rogramme</w:t>
      </w:r>
      <w:r w:rsidR="00583E4E">
        <w:rPr>
          <w:rFonts w:ascii="Georgia" w:hAnsi="Georgia"/>
          <w:szCs w:val="20"/>
        </w:rPr>
        <w:t xml:space="preserve"> for the period </w:t>
      </w:r>
      <w:r w:rsidRPr="002E7CB4">
        <w:rPr>
          <w:rFonts w:ascii="Georgia" w:hAnsi="Georgia"/>
          <w:szCs w:val="20"/>
        </w:rPr>
        <w:t>2011</w:t>
      </w:r>
      <w:r w:rsidR="00B42E92">
        <w:rPr>
          <w:rFonts w:ascii="Georgia" w:hAnsi="Georgia"/>
          <w:szCs w:val="20"/>
        </w:rPr>
        <w:t>–</w:t>
      </w:r>
      <w:r w:rsidRPr="002E7CB4">
        <w:rPr>
          <w:rFonts w:ascii="Georgia" w:hAnsi="Georgia"/>
          <w:szCs w:val="20"/>
        </w:rPr>
        <w:t xml:space="preserve">15. </w:t>
      </w:r>
    </w:p>
    <w:p w:rsidR="00BD0FB1" w:rsidRDefault="000E55ED" w:rsidP="000E55ED">
      <w:pPr>
        <w:spacing w:before="120" w:after="120" w:line="240" w:lineRule="exact"/>
        <w:ind w:right="-340"/>
        <w:rPr>
          <w:rFonts w:ascii="Georgia" w:hAnsi="Georgia"/>
          <w:szCs w:val="20"/>
        </w:rPr>
      </w:pPr>
      <w:r w:rsidRPr="002E7CB4">
        <w:rPr>
          <w:rFonts w:ascii="Georgia" w:hAnsi="Georgia"/>
          <w:szCs w:val="20"/>
        </w:rPr>
        <w:t xml:space="preserve">Despite </w:t>
      </w:r>
      <w:r w:rsidR="00DE222C">
        <w:rPr>
          <w:rFonts w:ascii="Georgia" w:hAnsi="Georgia"/>
          <w:szCs w:val="20"/>
        </w:rPr>
        <w:t>its many</w:t>
      </w:r>
      <w:r w:rsidR="00DE222C" w:rsidRPr="002E7CB4">
        <w:rPr>
          <w:rFonts w:ascii="Georgia" w:hAnsi="Georgia"/>
          <w:szCs w:val="20"/>
        </w:rPr>
        <w:t xml:space="preserve"> </w:t>
      </w:r>
      <w:r w:rsidRPr="002E7CB4">
        <w:rPr>
          <w:rFonts w:ascii="Georgia" w:hAnsi="Georgia"/>
          <w:szCs w:val="20"/>
        </w:rPr>
        <w:t>achievements and primary school coverage, MDEF</w:t>
      </w:r>
      <w:r w:rsidR="00DE222C">
        <w:rPr>
          <w:rFonts w:ascii="Georgia" w:hAnsi="Georgia"/>
          <w:szCs w:val="20"/>
        </w:rPr>
        <w:t>’s impact</w:t>
      </w:r>
      <w:r w:rsidRPr="002E7CB4">
        <w:rPr>
          <w:rFonts w:ascii="Georgia" w:hAnsi="Georgia"/>
          <w:szCs w:val="20"/>
        </w:rPr>
        <w:t xml:space="preserve"> is limited</w:t>
      </w:r>
      <w:r w:rsidR="00DE222C">
        <w:rPr>
          <w:rFonts w:ascii="Georgia" w:hAnsi="Georgia"/>
          <w:szCs w:val="20"/>
        </w:rPr>
        <w:t>,</w:t>
      </w:r>
      <w:r w:rsidRPr="002E7CB4">
        <w:rPr>
          <w:rFonts w:ascii="Georgia" w:hAnsi="Georgia"/>
          <w:szCs w:val="20"/>
        </w:rPr>
        <w:t xml:space="preserve"> in part because donors</w:t>
      </w:r>
      <w:r w:rsidR="00AC1A65">
        <w:rPr>
          <w:rFonts w:ascii="Georgia" w:hAnsi="Georgia"/>
          <w:szCs w:val="20"/>
        </w:rPr>
        <w:t xml:space="preserve"> have had restrictions placed on the breadth of their work across the sector</w:t>
      </w:r>
      <w:r w:rsidR="006D6DCD">
        <w:rPr>
          <w:rFonts w:ascii="Georgia" w:hAnsi="Georgia"/>
          <w:szCs w:val="20"/>
        </w:rPr>
        <w:t xml:space="preserve"> by the Burmese government</w:t>
      </w:r>
      <w:r w:rsidR="0019312D">
        <w:rPr>
          <w:rFonts w:ascii="Georgia" w:hAnsi="Georgia"/>
          <w:szCs w:val="20"/>
        </w:rPr>
        <w:t>.</w:t>
      </w:r>
      <w:r w:rsidR="006D6DCD">
        <w:rPr>
          <w:rFonts w:ascii="Georgia" w:hAnsi="Georgia"/>
          <w:szCs w:val="20"/>
        </w:rPr>
        <w:t xml:space="preserve"> </w:t>
      </w:r>
      <w:r w:rsidR="00AC1A65">
        <w:rPr>
          <w:rFonts w:ascii="Georgia" w:hAnsi="Georgia"/>
          <w:szCs w:val="20"/>
        </w:rPr>
        <w:t>However, we believe</w:t>
      </w:r>
      <w:r w:rsidR="009F49CF">
        <w:rPr>
          <w:rFonts w:ascii="Georgia" w:hAnsi="Georgia"/>
          <w:szCs w:val="20"/>
        </w:rPr>
        <w:t xml:space="preserve"> the improving political situation in Burma will provide</w:t>
      </w:r>
      <w:r w:rsidR="00AC1A65">
        <w:rPr>
          <w:rFonts w:ascii="Georgia" w:hAnsi="Georgia"/>
          <w:szCs w:val="20"/>
        </w:rPr>
        <w:t xml:space="preserve"> </w:t>
      </w:r>
      <w:r w:rsidR="00AF40FF">
        <w:rPr>
          <w:rFonts w:ascii="Georgia" w:hAnsi="Georgia"/>
          <w:szCs w:val="20"/>
        </w:rPr>
        <w:t>opportunities</w:t>
      </w:r>
      <w:r w:rsidR="00C97EDF">
        <w:rPr>
          <w:rFonts w:ascii="Georgia" w:hAnsi="Georgia"/>
          <w:szCs w:val="20"/>
        </w:rPr>
        <w:t xml:space="preserve"> to </w:t>
      </w:r>
      <w:r w:rsidR="00185A8C">
        <w:rPr>
          <w:rFonts w:ascii="Georgia" w:hAnsi="Georgia"/>
          <w:szCs w:val="20"/>
        </w:rPr>
        <w:t xml:space="preserve">engage more broadly with </w:t>
      </w:r>
      <w:r w:rsidR="00985B28">
        <w:rPr>
          <w:rFonts w:ascii="Georgia" w:hAnsi="Georgia"/>
          <w:szCs w:val="20"/>
        </w:rPr>
        <w:t>both the formal and monastic school system in the coming year</w:t>
      </w:r>
      <w:r w:rsidR="00AF40FF">
        <w:rPr>
          <w:rFonts w:ascii="Georgia" w:hAnsi="Georgia"/>
          <w:szCs w:val="20"/>
        </w:rPr>
        <w:t xml:space="preserve">. </w:t>
      </w:r>
      <w:r w:rsidR="000E7D3C" w:rsidRPr="002E7CB4">
        <w:rPr>
          <w:rFonts w:ascii="Georgia" w:hAnsi="Georgia"/>
          <w:szCs w:val="20"/>
        </w:rPr>
        <w:t xml:space="preserve">Australia </w:t>
      </w:r>
      <w:r w:rsidR="000E7D3C">
        <w:rPr>
          <w:rFonts w:ascii="Georgia" w:hAnsi="Georgia"/>
          <w:szCs w:val="20"/>
        </w:rPr>
        <w:t>will</w:t>
      </w:r>
      <w:r w:rsidR="000E7D3C" w:rsidRPr="002E7CB4">
        <w:rPr>
          <w:rFonts w:ascii="Georgia" w:hAnsi="Georgia"/>
          <w:szCs w:val="20"/>
        </w:rPr>
        <w:t xml:space="preserve"> take a lead role in education</w:t>
      </w:r>
      <w:r w:rsidR="00BD0FB1">
        <w:rPr>
          <w:rFonts w:ascii="Georgia" w:hAnsi="Georgia"/>
          <w:szCs w:val="20"/>
        </w:rPr>
        <w:t>. F</w:t>
      </w:r>
      <w:r w:rsidR="00DE222C">
        <w:rPr>
          <w:rFonts w:ascii="Georgia" w:hAnsi="Georgia"/>
          <w:szCs w:val="20"/>
        </w:rPr>
        <w:t>unding for</w:t>
      </w:r>
      <w:r w:rsidRPr="002E7CB4">
        <w:rPr>
          <w:rFonts w:ascii="Georgia" w:hAnsi="Georgia"/>
          <w:szCs w:val="20"/>
        </w:rPr>
        <w:t xml:space="preserve"> capacity building for Burmese teachers and education officials at township levels will complement UNICEF’s work. </w:t>
      </w:r>
    </w:p>
    <w:p w:rsidR="000E55ED" w:rsidRPr="002E7CB4" w:rsidRDefault="000E55ED" w:rsidP="000E55ED">
      <w:pPr>
        <w:spacing w:before="120" w:after="120" w:line="240" w:lineRule="exact"/>
        <w:ind w:right="-340"/>
        <w:rPr>
          <w:rFonts w:ascii="Georgia" w:hAnsi="Georgia"/>
          <w:szCs w:val="20"/>
        </w:rPr>
      </w:pPr>
      <w:r w:rsidRPr="002E7CB4">
        <w:rPr>
          <w:rFonts w:ascii="Georgia" w:hAnsi="Georgia"/>
          <w:szCs w:val="20"/>
        </w:rPr>
        <w:t>A full re-design of multi-donor support to UNICEF in the education sector is underway</w:t>
      </w:r>
      <w:r w:rsidR="00DE222C">
        <w:rPr>
          <w:rFonts w:ascii="Georgia" w:hAnsi="Georgia"/>
          <w:szCs w:val="20"/>
        </w:rPr>
        <w:t>, including identifying</w:t>
      </w:r>
      <w:r w:rsidRPr="002E7CB4">
        <w:rPr>
          <w:rFonts w:ascii="Georgia" w:hAnsi="Georgia"/>
          <w:szCs w:val="20"/>
        </w:rPr>
        <w:t xml:space="preserve"> where improvements can be made. AusAID is contributing to this design by funding two international education experts and participating throughout the in-county mission and design formulation. The design </w:t>
      </w:r>
      <w:r w:rsidR="00DE222C">
        <w:rPr>
          <w:rFonts w:ascii="Georgia" w:hAnsi="Georgia"/>
          <w:szCs w:val="20"/>
        </w:rPr>
        <w:t xml:space="preserve">process </w:t>
      </w:r>
      <w:r w:rsidRPr="002E7CB4">
        <w:rPr>
          <w:rFonts w:ascii="Georgia" w:hAnsi="Georgia"/>
          <w:szCs w:val="20"/>
        </w:rPr>
        <w:t>will analys</w:t>
      </w:r>
      <w:r w:rsidR="00DE222C">
        <w:rPr>
          <w:rFonts w:ascii="Georgia" w:hAnsi="Georgia"/>
          <w:szCs w:val="20"/>
        </w:rPr>
        <w:t>e</w:t>
      </w:r>
      <w:r w:rsidRPr="002E7CB4">
        <w:rPr>
          <w:rFonts w:ascii="Georgia" w:hAnsi="Georgia"/>
          <w:szCs w:val="20"/>
        </w:rPr>
        <w:t xml:space="preserve"> how to involve </w:t>
      </w:r>
      <w:r w:rsidR="000A7ABD" w:rsidRPr="000A7ABD">
        <w:rPr>
          <w:rFonts w:ascii="Georgia" w:hAnsi="Georgia"/>
          <w:szCs w:val="20"/>
        </w:rPr>
        <w:t xml:space="preserve">international </w:t>
      </w:r>
      <w:r w:rsidR="00DE222C">
        <w:rPr>
          <w:rFonts w:ascii="Georgia" w:hAnsi="Georgia"/>
          <w:szCs w:val="20"/>
        </w:rPr>
        <w:t>NGOs</w:t>
      </w:r>
      <w:r w:rsidRPr="000A7ABD">
        <w:rPr>
          <w:rFonts w:ascii="Georgia" w:hAnsi="Georgia"/>
          <w:szCs w:val="20"/>
        </w:rPr>
        <w:t xml:space="preserve"> in implement</w:t>
      </w:r>
      <w:r w:rsidR="00DE222C">
        <w:rPr>
          <w:rFonts w:ascii="Georgia" w:hAnsi="Georgia"/>
          <w:szCs w:val="20"/>
        </w:rPr>
        <w:t>ing</w:t>
      </w:r>
      <w:r w:rsidRPr="002E7CB4">
        <w:rPr>
          <w:rFonts w:ascii="Georgia" w:hAnsi="Georgia"/>
          <w:szCs w:val="20"/>
        </w:rPr>
        <w:t xml:space="preserve"> the multi-donor fund and </w:t>
      </w:r>
      <w:r w:rsidR="00DE222C">
        <w:rPr>
          <w:rFonts w:ascii="Georgia" w:hAnsi="Georgia"/>
          <w:szCs w:val="20"/>
        </w:rPr>
        <w:t>will provide</w:t>
      </w:r>
      <w:r w:rsidRPr="002E7CB4">
        <w:rPr>
          <w:rFonts w:ascii="Georgia" w:hAnsi="Georgia"/>
          <w:szCs w:val="20"/>
        </w:rPr>
        <w:t xml:space="preserve"> options for donors to support capacity building, including teacher training.</w:t>
      </w:r>
    </w:p>
    <w:p w:rsidR="000E55ED" w:rsidRPr="002E7CB4" w:rsidRDefault="000E55ED" w:rsidP="000E55ED">
      <w:pPr>
        <w:spacing w:before="120" w:after="120" w:line="240" w:lineRule="exact"/>
        <w:ind w:right="-340"/>
        <w:rPr>
          <w:rFonts w:ascii="Georgia" w:hAnsi="Georgia"/>
          <w:szCs w:val="20"/>
        </w:rPr>
      </w:pPr>
      <w:r w:rsidRPr="002E7CB4">
        <w:rPr>
          <w:rFonts w:ascii="Georgia" w:hAnsi="Georgia"/>
          <w:szCs w:val="20"/>
        </w:rPr>
        <w:t>Australia also provided direct grants to three NGOs</w:t>
      </w:r>
      <w:r w:rsidR="00B42E92">
        <w:rPr>
          <w:rFonts w:ascii="Georgia" w:hAnsi="Georgia"/>
          <w:szCs w:val="20"/>
        </w:rPr>
        <w:t>—</w:t>
      </w:r>
      <w:r w:rsidR="000E7D3C">
        <w:rPr>
          <w:rFonts w:ascii="Georgia" w:hAnsi="Georgia"/>
          <w:szCs w:val="20"/>
        </w:rPr>
        <w:t xml:space="preserve">the </w:t>
      </w:r>
      <w:r w:rsidRPr="002E7CB4">
        <w:rPr>
          <w:rFonts w:ascii="Georgia" w:hAnsi="Georgia"/>
          <w:szCs w:val="20"/>
        </w:rPr>
        <w:t>Burnet Institute, Save the Children and World Vision</w:t>
      </w:r>
      <w:r w:rsidR="00B42E92">
        <w:rPr>
          <w:rFonts w:ascii="Georgia" w:hAnsi="Georgia"/>
          <w:szCs w:val="20"/>
        </w:rPr>
        <w:t>—</w:t>
      </w:r>
      <w:r w:rsidRPr="002E7CB4">
        <w:rPr>
          <w:rFonts w:ascii="Georgia" w:hAnsi="Georgia"/>
          <w:szCs w:val="20"/>
        </w:rPr>
        <w:t xml:space="preserve">to implement education projects in the Irrawaddy Delta following Cyclone Nargis. These NGOs have </w:t>
      </w:r>
      <w:r w:rsidR="00DE222C">
        <w:rPr>
          <w:rFonts w:ascii="Georgia" w:hAnsi="Georgia"/>
          <w:szCs w:val="20"/>
        </w:rPr>
        <w:t xml:space="preserve">so far </w:t>
      </w:r>
      <w:r w:rsidRPr="002E7CB4">
        <w:rPr>
          <w:rFonts w:ascii="Georgia" w:hAnsi="Georgia"/>
          <w:szCs w:val="20"/>
        </w:rPr>
        <w:t xml:space="preserve">helped 3435 children attend </w:t>
      </w:r>
      <w:r w:rsidR="00DE222C">
        <w:rPr>
          <w:rFonts w:ascii="Georgia" w:hAnsi="Georgia"/>
          <w:szCs w:val="20"/>
        </w:rPr>
        <w:t>e</w:t>
      </w:r>
      <w:r w:rsidRPr="002E7CB4">
        <w:rPr>
          <w:rFonts w:ascii="Georgia" w:hAnsi="Georgia"/>
          <w:szCs w:val="20"/>
        </w:rPr>
        <w:t xml:space="preserve">arly </w:t>
      </w:r>
      <w:r w:rsidR="00DE222C">
        <w:rPr>
          <w:rFonts w:ascii="Georgia" w:hAnsi="Georgia"/>
          <w:szCs w:val="20"/>
        </w:rPr>
        <w:t>c</w:t>
      </w:r>
      <w:r w:rsidRPr="002E7CB4">
        <w:rPr>
          <w:rFonts w:ascii="Georgia" w:hAnsi="Georgia"/>
          <w:szCs w:val="20"/>
        </w:rPr>
        <w:t xml:space="preserve">hildhood </w:t>
      </w:r>
      <w:r w:rsidR="00DE222C">
        <w:rPr>
          <w:rFonts w:ascii="Georgia" w:hAnsi="Georgia"/>
          <w:szCs w:val="20"/>
        </w:rPr>
        <w:t>c</w:t>
      </w:r>
      <w:r w:rsidRPr="002E7CB4">
        <w:rPr>
          <w:rFonts w:ascii="Georgia" w:hAnsi="Georgia"/>
          <w:szCs w:val="20"/>
        </w:rPr>
        <w:t xml:space="preserve">are and </w:t>
      </w:r>
      <w:r w:rsidR="00DE222C">
        <w:rPr>
          <w:rFonts w:ascii="Georgia" w:hAnsi="Georgia"/>
          <w:szCs w:val="20"/>
        </w:rPr>
        <w:t>d</w:t>
      </w:r>
      <w:r w:rsidRPr="002E7CB4">
        <w:rPr>
          <w:rFonts w:ascii="Georgia" w:hAnsi="Georgia"/>
          <w:szCs w:val="20"/>
        </w:rPr>
        <w:t>evelopment centres and provided 4911 children with schools supplies. While UNICEF is the only partner with large</w:t>
      </w:r>
      <w:r w:rsidR="00DE222C">
        <w:rPr>
          <w:rFonts w:ascii="Georgia" w:hAnsi="Georgia"/>
          <w:szCs w:val="20"/>
        </w:rPr>
        <w:t>-</w:t>
      </w:r>
      <w:r w:rsidRPr="002E7CB4">
        <w:rPr>
          <w:rFonts w:ascii="Georgia" w:hAnsi="Georgia"/>
          <w:szCs w:val="20"/>
        </w:rPr>
        <w:t xml:space="preserve">scale access into the formal education sector in Burma, </w:t>
      </w:r>
      <w:r w:rsidR="00DE222C">
        <w:rPr>
          <w:rFonts w:ascii="Georgia" w:hAnsi="Georgia"/>
          <w:szCs w:val="20"/>
        </w:rPr>
        <w:t xml:space="preserve">international </w:t>
      </w:r>
      <w:r w:rsidRPr="002E7CB4">
        <w:rPr>
          <w:rFonts w:ascii="Georgia" w:hAnsi="Georgia"/>
          <w:szCs w:val="20"/>
        </w:rPr>
        <w:t>NGOs play a niche role in early childhood development, monastic and community education. Donors are encouraging UNICEF and NGOs to work together to design a comprehensive approach to education in Burma.</w:t>
      </w:r>
    </w:p>
    <w:p w:rsidR="00085594" w:rsidRPr="002E7CB4" w:rsidRDefault="0067202D" w:rsidP="00932594">
      <w:pPr>
        <w:pStyle w:val="Heading2"/>
        <w:tabs>
          <w:tab w:val="left" w:pos="1920"/>
        </w:tabs>
        <w:spacing w:before="360" w:after="120" w:line="320" w:lineRule="atLeast"/>
        <w:ind w:left="0"/>
        <w:rPr>
          <w:kern w:val="0"/>
        </w:rPr>
      </w:pPr>
      <w:bookmarkStart w:id="10" w:name="_Toc360980587"/>
      <w:r w:rsidRPr="002E7CB4">
        <w:rPr>
          <w:kern w:val="0"/>
        </w:rPr>
        <w:t>Objective 4: Improved food and livelihoods securit</w:t>
      </w:r>
      <w:r w:rsidR="00085594" w:rsidRPr="002E7CB4">
        <w:rPr>
          <w:kern w:val="0"/>
        </w:rPr>
        <w:t>y</w:t>
      </w:r>
      <w:bookmarkEnd w:id="10"/>
      <w:r w:rsidR="00085594" w:rsidRPr="002E7CB4">
        <w:rPr>
          <w:kern w:val="0"/>
        </w:rPr>
        <w:t xml:space="preserve"> </w:t>
      </w:r>
    </w:p>
    <w:p w:rsidR="005E5E0B" w:rsidRPr="002E7CB4" w:rsidRDefault="005E5E0B" w:rsidP="005E5E0B">
      <w:pPr>
        <w:spacing w:before="240" w:after="120" w:line="240" w:lineRule="exact"/>
        <w:ind w:right="-340"/>
        <w:rPr>
          <w:rFonts w:ascii="Georgia" w:hAnsi="Georgia"/>
          <w:szCs w:val="20"/>
        </w:rPr>
      </w:pPr>
      <w:r w:rsidRPr="002E7CB4">
        <w:rPr>
          <w:rFonts w:ascii="Georgia" w:hAnsi="Georgia"/>
          <w:szCs w:val="20"/>
        </w:rPr>
        <w:t>An estimated one</w:t>
      </w:r>
      <w:r w:rsidR="00DE222C">
        <w:rPr>
          <w:rFonts w:ascii="Georgia" w:hAnsi="Georgia"/>
          <w:szCs w:val="20"/>
        </w:rPr>
        <w:t>-</w:t>
      </w:r>
      <w:r w:rsidRPr="002E7CB4">
        <w:rPr>
          <w:rFonts w:ascii="Georgia" w:hAnsi="Georgia"/>
          <w:szCs w:val="20"/>
        </w:rPr>
        <w:t>third of the Burmese population live below the poverty line and five million people</w:t>
      </w:r>
      <w:r w:rsidR="00376630">
        <w:rPr>
          <w:rFonts w:ascii="Georgia" w:hAnsi="Georgia"/>
          <w:szCs w:val="20"/>
        </w:rPr>
        <w:t xml:space="preserve"> </w:t>
      </w:r>
      <w:r w:rsidR="00146566">
        <w:rPr>
          <w:rFonts w:ascii="Georgia" w:hAnsi="Georgia"/>
          <w:szCs w:val="20"/>
        </w:rPr>
        <w:t xml:space="preserve">do not have </w:t>
      </w:r>
      <w:r w:rsidR="00146566" w:rsidRPr="00224939">
        <w:rPr>
          <w:rFonts w:ascii="Georgia" w:hAnsi="Georgia"/>
          <w:szCs w:val="20"/>
        </w:rPr>
        <w:t>access to sufficient, safe, nutritious food to maintain a healthy and active life</w:t>
      </w:r>
      <w:r w:rsidRPr="002E7CB4">
        <w:rPr>
          <w:rFonts w:ascii="Georgia" w:hAnsi="Georgia"/>
          <w:szCs w:val="20"/>
        </w:rPr>
        <w:t xml:space="preserve">. Unfavourable economic policies, vagaries of weather, </w:t>
      </w:r>
      <w:r w:rsidR="00376630">
        <w:rPr>
          <w:rFonts w:ascii="Georgia" w:hAnsi="Georgia"/>
          <w:szCs w:val="20"/>
        </w:rPr>
        <w:t xml:space="preserve">limited </w:t>
      </w:r>
      <w:r w:rsidRPr="002E7CB4">
        <w:rPr>
          <w:rFonts w:ascii="Georgia" w:hAnsi="Georgia"/>
          <w:szCs w:val="20"/>
        </w:rPr>
        <w:t xml:space="preserve">social cohesion and the marginalisation of some sectors of the population adversely affect livelihood opportunities and adequate access to food. </w:t>
      </w:r>
      <w:r w:rsidR="00181B24">
        <w:rPr>
          <w:rFonts w:ascii="Georgia" w:hAnsi="Georgia"/>
          <w:szCs w:val="20"/>
        </w:rPr>
        <w:t>More than</w:t>
      </w:r>
      <w:r w:rsidRPr="002E7CB4">
        <w:rPr>
          <w:rFonts w:ascii="Georgia" w:hAnsi="Georgia"/>
          <w:szCs w:val="20"/>
        </w:rPr>
        <w:t xml:space="preserve"> 60</w:t>
      </w:r>
      <w:r w:rsidR="00DE222C">
        <w:rPr>
          <w:rFonts w:ascii="Georgia" w:hAnsi="Georgia"/>
          <w:szCs w:val="20"/>
        </w:rPr>
        <w:t> </w:t>
      </w:r>
      <w:r w:rsidRPr="002E7CB4">
        <w:rPr>
          <w:rFonts w:ascii="Georgia" w:hAnsi="Georgia"/>
          <w:szCs w:val="20"/>
        </w:rPr>
        <w:t>per</w:t>
      </w:r>
      <w:r w:rsidR="00DE222C">
        <w:rPr>
          <w:rFonts w:ascii="Georgia" w:hAnsi="Georgia"/>
          <w:szCs w:val="20"/>
        </w:rPr>
        <w:t> </w:t>
      </w:r>
      <w:r w:rsidRPr="002E7CB4">
        <w:rPr>
          <w:rFonts w:ascii="Georgia" w:hAnsi="Georgia"/>
          <w:szCs w:val="20"/>
        </w:rPr>
        <w:t>cent of the Burmese population rel</w:t>
      </w:r>
      <w:r w:rsidR="00B82E8C">
        <w:rPr>
          <w:rFonts w:ascii="Georgia" w:hAnsi="Georgia"/>
          <w:szCs w:val="20"/>
        </w:rPr>
        <w:t>ies</w:t>
      </w:r>
      <w:r w:rsidRPr="002E7CB4">
        <w:rPr>
          <w:rFonts w:ascii="Georgia" w:hAnsi="Georgia"/>
          <w:szCs w:val="20"/>
        </w:rPr>
        <w:t xml:space="preserve"> on agriculture for employment and income.</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 xml:space="preserve">One way in which Australia is addressing food and livelihood insecurity in Burma is through contributions to the Livelihoods and Food Security Trust Fund </w:t>
      </w:r>
      <w:r w:rsidRPr="000A7ABD">
        <w:rPr>
          <w:rFonts w:ascii="Georgia" w:hAnsi="Georgia"/>
          <w:szCs w:val="20"/>
        </w:rPr>
        <w:t>(LIFT),</w:t>
      </w:r>
      <w:r w:rsidRPr="002E7CB4">
        <w:rPr>
          <w:rFonts w:ascii="Georgia" w:hAnsi="Georgia"/>
          <w:szCs w:val="20"/>
        </w:rPr>
        <w:t xml:space="preserve"> a multi-donor fund operat</w:t>
      </w:r>
      <w:r w:rsidR="00DE222C">
        <w:rPr>
          <w:rFonts w:ascii="Georgia" w:hAnsi="Georgia"/>
          <w:szCs w:val="20"/>
        </w:rPr>
        <w:t>ing</w:t>
      </w:r>
      <w:r w:rsidRPr="002E7CB4">
        <w:rPr>
          <w:rFonts w:ascii="Georgia" w:hAnsi="Georgia"/>
          <w:szCs w:val="20"/>
        </w:rPr>
        <w:t xml:space="preserve"> across </w:t>
      </w:r>
      <w:r w:rsidR="00DE222C">
        <w:rPr>
          <w:rFonts w:ascii="Georgia" w:hAnsi="Georgia"/>
          <w:szCs w:val="20"/>
        </w:rPr>
        <w:t>the country</w:t>
      </w:r>
      <w:r w:rsidRPr="002E7CB4">
        <w:rPr>
          <w:rFonts w:ascii="Georgia" w:hAnsi="Georgia"/>
          <w:szCs w:val="20"/>
        </w:rPr>
        <w:t xml:space="preserve">. Through our position on the LIFT Board, Australia is well placed to take a direct leadership role and influence food and livelihoods security. Since </w:t>
      </w:r>
      <w:r w:rsidR="00DE222C">
        <w:rPr>
          <w:rFonts w:ascii="Georgia" w:hAnsi="Georgia"/>
          <w:szCs w:val="20"/>
        </w:rPr>
        <w:t>the beginning of</w:t>
      </w:r>
      <w:r w:rsidRPr="002E7CB4">
        <w:rPr>
          <w:rFonts w:ascii="Georgia" w:hAnsi="Georgia"/>
          <w:szCs w:val="20"/>
        </w:rPr>
        <w:t xml:space="preserve"> 2010, LIFT has </w:t>
      </w:r>
      <w:r w:rsidR="00DE222C">
        <w:rPr>
          <w:rFonts w:ascii="Georgia" w:hAnsi="Georgia"/>
          <w:szCs w:val="20"/>
        </w:rPr>
        <w:t xml:space="preserve">already </w:t>
      </w:r>
      <w:r w:rsidRPr="002E7CB4">
        <w:rPr>
          <w:rFonts w:ascii="Georgia" w:hAnsi="Georgia"/>
          <w:szCs w:val="20"/>
        </w:rPr>
        <w:t>delivered:</w:t>
      </w:r>
    </w:p>
    <w:p w:rsidR="005E5E0B" w:rsidRPr="002E7CB4" w:rsidRDefault="00DE222C" w:rsidP="005E5E0B">
      <w:pPr>
        <w:pStyle w:val="ListBullet"/>
        <w:numPr>
          <w:ilvl w:val="0"/>
          <w:numId w:val="19"/>
        </w:numPr>
        <w:spacing w:line="240" w:lineRule="atLeast"/>
        <w:rPr>
          <w:sz w:val="20"/>
          <w:szCs w:val="20"/>
        </w:rPr>
      </w:pPr>
      <w:r>
        <w:rPr>
          <w:sz w:val="20"/>
          <w:szCs w:val="20"/>
        </w:rPr>
        <w:t>f</w:t>
      </w:r>
      <w:r w:rsidR="005E5E0B" w:rsidRPr="002E7CB4">
        <w:rPr>
          <w:sz w:val="20"/>
          <w:szCs w:val="20"/>
        </w:rPr>
        <w:t>inancial or in</w:t>
      </w:r>
      <w:r>
        <w:rPr>
          <w:sz w:val="20"/>
          <w:szCs w:val="20"/>
        </w:rPr>
        <w:t>-</w:t>
      </w:r>
      <w:r w:rsidR="005E5E0B" w:rsidRPr="002E7CB4">
        <w:rPr>
          <w:sz w:val="20"/>
          <w:szCs w:val="20"/>
        </w:rPr>
        <w:t>kind support to 34</w:t>
      </w:r>
      <w:r w:rsidR="00B42E92">
        <w:rPr>
          <w:sz w:val="20"/>
          <w:szCs w:val="20"/>
        </w:rPr>
        <w:t> </w:t>
      </w:r>
      <w:r w:rsidR="005E5E0B" w:rsidRPr="002E7CB4">
        <w:rPr>
          <w:sz w:val="20"/>
          <w:szCs w:val="20"/>
        </w:rPr>
        <w:t>279 farming households to increase production (buffalo, power tillers, seeds, fertil</w:t>
      </w:r>
      <w:r w:rsidR="00B42E92">
        <w:rPr>
          <w:sz w:val="20"/>
          <w:szCs w:val="20"/>
        </w:rPr>
        <w:t>iser, pesticides and capital)</w:t>
      </w:r>
    </w:p>
    <w:p w:rsidR="005E5E0B" w:rsidRPr="002E7CB4" w:rsidRDefault="00DE222C" w:rsidP="005E5E0B">
      <w:pPr>
        <w:pStyle w:val="ListBullet"/>
        <w:numPr>
          <w:ilvl w:val="0"/>
          <w:numId w:val="19"/>
        </w:numPr>
        <w:spacing w:line="240" w:lineRule="atLeast"/>
        <w:rPr>
          <w:sz w:val="20"/>
          <w:szCs w:val="20"/>
        </w:rPr>
      </w:pPr>
      <w:r>
        <w:rPr>
          <w:sz w:val="20"/>
          <w:szCs w:val="20"/>
        </w:rPr>
        <w:lastRenderedPageBreak/>
        <w:t>t</w:t>
      </w:r>
      <w:r w:rsidR="005E5E0B" w:rsidRPr="002E7CB4">
        <w:rPr>
          <w:sz w:val="20"/>
          <w:szCs w:val="20"/>
        </w:rPr>
        <w:t>echnical training to 10</w:t>
      </w:r>
      <w:r w:rsidR="00B42E92">
        <w:rPr>
          <w:sz w:val="20"/>
          <w:szCs w:val="20"/>
        </w:rPr>
        <w:t> </w:t>
      </w:r>
      <w:r w:rsidR="005E5E0B" w:rsidRPr="002E7CB4">
        <w:rPr>
          <w:sz w:val="20"/>
          <w:szCs w:val="20"/>
        </w:rPr>
        <w:t>720 farmers, skills</w:t>
      </w:r>
      <w:r>
        <w:rPr>
          <w:sz w:val="20"/>
          <w:szCs w:val="20"/>
        </w:rPr>
        <w:t>-</w:t>
      </w:r>
      <w:r w:rsidR="005E5E0B" w:rsidRPr="002E7CB4">
        <w:rPr>
          <w:sz w:val="20"/>
          <w:szCs w:val="20"/>
        </w:rPr>
        <w:t>based training to 12</w:t>
      </w:r>
      <w:r w:rsidR="00B42E92">
        <w:rPr>
          <w:sz w:val="20"/>
          <w:szCs w:val="20"/>
        </w:rPr>
        <w:t> </w:t>
      </w:r>
      <w:r w:rsidR="005E5E0B" w:rsidRPr="002E7CB4">
        <w:rPr>
          <w:sz w:val="20"/>
          <w:szCs w:val="20"/>
        </w:rPr>
        <w:t xml:space="preserve">556 people </w:t>
      </w:r>
      <w:r>
        <w:rPr>
          <w:sz w:val="20"/>
          <w:szCs w:val="20"/>
        </w:rPr>
        <w:br/>
      </w:r>
      <w:r w:rsidR="005E5E0B" w:rsidRPr="002E7CB4">
        <w:rPr>
          <w:sz w:val="20"/>
          <w:szCs w:val="20"/>
        </w:rPr>
        <w:t>(31 per</w:t>
      </w:r>
      <w:r w:rsidR="00B42E92">
        <w:rPr>
          <w:sz w:val="20"/>
          <w:szCs w:val="20"/>
        </w:rPr>
        <w:t xml:space="preserve"> </w:t>
      </w:r>
      <w:r w:rsidR="005E5E0B" w:rsidRPr="002E7CB4">
        <w:rPr>
          <w:sz w:val="20"/>
          <w:szCs w:val="20"/>
        </w:rPr>
        <w:t>cent female) and 176</w:t>
      </w:r>
      <w:r w:rsidR="00B42E92">
        <w:rPr>
          <w:sz w:val="20"/>
          <w:szCs w:val="20"/>
        </w:rPr>
        <w:t> </w:t>
      </w:r>
      <w:r w:rsidR="005E5E0B" w:rsidRPr="002E7CB4">
        <w:rPr>
          <w:sz w:val="20"/>
          <w:szCs w:val="20"/>
        </w:rPr>
        <w:t xml:space="preserve">325 person days of work targeting landless and poor households to develop </w:t>
      </w:r>
      <w:r w:rsidR="00B42E92">
        <w:rPr>
          <w:sz w:val="20"/>
          <w:szCs w:val="20"/>
        </w:rPr>
        <w:t>community</w:t>
      </w:r>
      <w:r>
        <w:rPr>
          <w:sz w:val="20"/>
          <w:szCs w:val="20"/>
        </w:rPr>
        <w:t>-</w:t>
      </w:r>
      <w:r w:rsidR="00B42E92">
        <w:rPr>
          <w:sz w:val="20"/>
          <w:szCs w:val="20"/>
        </w:rPr>
        <w:t>based infrastructure</w:t>
      </w:r>
    </w:p>
    <w:p w:rsidR="00DE222C" w:rsidRDefault="00DE222C" w:rsidP="005E5E0B">
      <w:pPr>
        <w:pStyle w:val="ListBullet"/>
        <w:numPr>
          <w:ilvl w:val="0"/>
          <w:numId w:val="19"/>
        </w:numPr>
        <w:spacing w:line="240" w:lineRule="atLeast"/>
        <w:rPr>
          <w:sz w:val="20"/>
          <w:szCs w:val="20"/>
        </w:rPr>
      </w:pPr>
      <w:r>
        <w:rPr>
          <w:sz w:val="20"/>
          <w:szCs w:val="20"/>
        </w:rPr>
        <w:t>g</w:t>
      </w:r>
      <w:r w:rsidR="005E5E0B" w:rsidRPr="002E7CB4">
        <w:rPr>
          <w:sz w:val="20"/>
          <w:szCs w:val="20"/>
        </w:rPr>
        <w:t xml:space="preserve">rants to 5331 household </w:t>
      </w:r>
      <w:r>
        <w:rPr>
          <w:sz w:val="20"/>
          <w:szCs w:val="20"/>
        </w:rPr>
        <w:t>to be used for</w:t>
      </w:r>
      <w:r w:rsidR="005E5E0B" w:rsidRPr="002E7CB4">
        <w:rPr>
          <w:sz w:val="20"/>
          <w:szCs w:val="20"/>
        </w:rPr>
        <w:t xml:space="preserve"> income generation</w:t>
      </w:r>
    </w:p>
    <w:p w:rsidR="005E5E0B" w:rsidRPr="002E7CB4" w:rsidRDefault="00DE222C" w:rsidP="005E5E0B">
      <w:pPr>
        <w:pStyle w:val="ListBullet"/>
        <w:numPr>
          <w:ilvl w:val="0"/>
          <w:numId w:val="19"/>
        </w:numPr>
        <w:spacing w:line="240" w:lineRule="atLeast"/>
        <w:rPr>
          <w:sz w:val="20"/>
          <w:szCs w:val="20"/>
        </w:rPr>
      </w:pPr>
      <w:proofErr w:type="gramStart"/>
      <w:r>
        <w:rPr>
          <w:sz w:val="20"/>
          <w:szCs w:val="20"/>
        </w:rPr>
        <w:t>grants</w:t>
      </w:r>
      <w:proofErr w:type="gramEnd"/>
      <w:r>
        <w:rPr>
          <w:sz w:val="20"/>
          <w:szCs w:val="20"/>
        </w:rPr>
        <w:t xml:space="preserve"> </w:t>
      </w:r>
      <w:r w:rsidR="005E5E0B" w:rsidRPr="002E7CB4">
        <w:rPr>
          <w:sz w:val="20"/>
          <w:szCs w:val="20"/>
        </w:rPr>
        <w:t>to 5637 households with malnourished children (62 per</w:t>
      </w:r>
      <w:r w:rsidR="00B42E92">
        <w:rPr>
          <w:sz w:val="20"/>
          <w:szCs w:val="20"/>
        </w:rPr>
        <w:t xml:space="preserve"> </w:t>
      </w:r>
      <w:r w:rsidR="005E5E0B" w:rsidRPr="002E7CB4">
        <w:rPr>
          <w:sz w:val="20"/>
          <w:szCs w:val="20"/>
        </w:rPr>
        <w:t xml:space="preserve">cent </w:t>
      </w:r>
      <w:r>
        <w:rPr>
          <w:sz w:val="20"/>
          <w:szCs w:val="20"/>
        </w:rPr>
        <w:t>female</w:t>
      </w:r>
      <w:r w:rsidRPr="002E7CB4">
        <w:rPr>
          <w:sz w:val="20"/>
          <w:szCs w:val="20"/>
        </w:rPr>
        <w:t xml:space="preserve"> </w:t>
      </w:r>
      <w:r w:rsidR="005E5E0B" w:rsidRPr="002E7CB4">
        <w:rPr>
          <w:sz w:val="20"/>
          <w:szCs w:val="20"/>
        </w:rPr>
        <w:t>beneficiaries).</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Australia also funds the Rakhine Rural Household Livelihood Security Project (2004</w:t>
      </w:r>
      <w:r w:rsidR="00B42E92">
        <w:rPr>
          <w:rFonts w:ascii="Georgia" w:hAnsi="Georgia"/>
          <w:szCs w:val="20"/>
        </w:rPr>
        <w:t>–</w:t>
      </w:r>
      <w:r w:rsidRPr="002E7CB4">
        <w:rPr>
          <w:rFonts w:ascii="Georgia" w:hAnsi="Georgia"/>
          <w:szCs w:val="20"/>
        </w:rPr>
        <w:t xml:space="preserve">11), implemented by CARE, to meet the basic needs of vulnerable people in northern Rakhine State. A key success of </w:t>
      </w:r>
      <w:r w:rsidR="00DE222C">
        <w:rPr>
          <w:rFonts w:ascii="Georgia" w:hAnsi="Georgia"/>
          <w:szCs w:val="20"/>
        </w:rPr>
        <w:t>the p</w:t>
      </w:r>
      <w:r w:rsidR="000A7ABD" w:rsidRPr="000A7ABD">
        <w:rPr>
          <w:rFonts w:ascii="Georgia" w:hAnsi="Georgia"/>
          <w:szCs w:val="20"/>
        </w:rPr>
        <w:t xml:space="preserve">roject </w:t>
      </w:r>
      <w:r w:rsidRPr="002E7CB4">
        <w:rPr>
          <w:rFonts w:ascii="Georgia" w:hAnsi="Georgia"/>
          <w:szCs w:val="20"/>
        </w:rPr>
        <w:t>has been Forestry Department certification for 2700 households (largely Rohingya</w:t>
      </w:r>
      <w:r w:rsidR="00DE222C">
        <w:rPr>
          <w:rFonts w:ascii="Georgia" w:hAnsi="Georgia"/>
          <w:szCs w:val="20"/>
        </w:rPr>
        <w:t xml:space="preserve"> and</w:t>
      </w:r>
      <w:r w:rsidRPr="002E7CB4">
        <w:rPr>
          <w:rFonts w:ascii="Georgia" w:hAnsi="Georgia"/>
          <w:szCs w:val="20"/>
        </w:rPr>
        <w:t xml:space="preserve"> including 68 women</w:t>
      </w:r>
      <w:r w:rsidR="00DE222C">
        <w:rPr>
          <w:rFonts w:ascii="Georgia" w:hAnsi="Georgia"/>
          <w:szCs w:val="20"/>
        </w:rPr>
        <w:t>-</w:t>
      </w:r>
      <w:r w:rsidRPr="002E7CB4">
        <w:rPr>
          <w:rFonts w:ascii="Georgia" w:hAnsi="Georgia"/>
          <w:szCs w:val="20"/>
        </w:rPr>
        <w:t xml:space="preserve">headed households) as the legal custodians of land for forestry </w:t>
      </w:r>
      <w:r w:rsidR="00DE222C" w:rsidRPr="002E7CB4">
        <w:rPr>
          <w:rFonts w:ascii="Georgia" w:hAnsi="Georgia"/>
          <w:szCs w:val="20"/>
        </w:rPr>
        <w:t>plot</w:t>
      </w:r>
      <w:r w:rsidR="00DE222C">
        <w:rPr>
          <w:rFonts w:ascii="Georgia" w:hAnsi="Georgia"/>
          <w:szCs w:val="20"/>
        </w:rPr>
        <w:t>s, which are expected to provide</w:t>
      </w:r>
      <w:r w:rsidRPr="002E7CB4">
        <w:rPr>
          <w:rFonts w:ascii="Georgia" w:hAnsi="Georgia"/>
          <w:szCs w:val="20"/>
        </w:rPr>
        <w:t xml:space="preserve"> a source of income for at least 30 years. </w:t>
      </w:r>
    </w:p>
    <w:p w:rsidR="005E5E0B" w:rsidRPr="002E7CB4" w:rsidRDefault="005E5E0B" w:rsidP="005E5E0B">
      <w:pPr>
        <w:spacing w:before="120" w:after="120" w:line="240" w:lineRule="exact"/>
        <w:ind w:right="-342"/>
        <w:rPr>
          <w:rFonts w:ascii="Georgia" w:hAnsi="Georgia"/>
          <w:szCs w:val="20"/>
        </w:rPr>
      </w:pPr>
      <w:r w:rsidRPr="002E7CB4">
        <w:rPr>
          <w:rFonts w:ascii="Georgia" w:hAnsi="Georgia"/>
          <w:szCs w:val="20"/>
        </w:rPr>
        <w:t>As part of the NGO cooperation program</w:t>
      </w:r>
      <w:r w:rsidR="00D1611F">
        <w:rPr>
          <w:rFonts w:ascii="Georgia" w:hAnsi="Georgia"/>
          <w:szCs w:val="20"/>
        </w:rPr>
        <w:t>,</w:t>
      </w:r>
      <w:r w:rsidRPr="002E7CB4">
        <w:rPr>
          <w:rFonts w:ascii="Georgia" w:hAnsi="Georgia"/>
          <w:szCs w:val="20"/>
        </w:rPr>
        <w:t xml:space="preserve"> Periodic Funding for Humanitarian Assistance to Burma, AusAID funds CARE to deliver the Southern Chin Livelihood Security Project (2007</w:t>
      </w:r>
      <w:r w:rsidR="00B42E92">
        <w:rPr>
          <w:rFonts w:ascii="Georgia" w:hAnsi="Georgia"/>
          <w:szCs w:val="20"/>
        </w:rPr>
        <w:t>–</w:t>
      </w:r>
      <w:r w:rsidRPr="002E7CB4">
        <w:rPr>
          <w:rFonts w:ascii="Georgia" w:hAnsi="Georgia"/>
          <w:szCs w:val="20"/>
        </w:rPr>
        <w:t>11) in 62 villages in Mindat Township and 17 Villages in Rezua, Matupi Townships. The project is:</w:t>
      </w:r>
    </w:p>
    <w:p w:rsidR="005E5E0B" w:rsidRPr="002E7CB4" w:rsidRDefault="00D1611F" w:rsidP="005E5E0B">
      <w:pPr>
        <w:pStyle w:val="ListBullet"/>
        <w:numPr>
          <w:ilvl w:val="0"/>
          <w:numId w:val="19"/>
        </w:numPr>
        <w:spacing w:line="240" w:lineRule="atLeast"/>
        <w:rPr>
          <w:sz w:val="20"/>
          <w:szCs w:val="20"/>
        </w:rPr>
      </w:pPr>
      <w:r>
        <w:rPr>
          <w:sz w:val="20"/>
          <w:szCs w:val="20"/>
        </w:rPr>
        <w:t>i</w:t>
      </w:r>
      <w:r w:rsidR="005E5E0B" w:rsidRPr="002E7CB4">
        <w:rPr>
          <w:sz w:val="20"/>
          <w:szCs w:val="20"/>
        </w:rPr>
        <w:t>ncreasing cultivation of market potential crops and livestock and creating link</w:t>
      </w:r>
      <w:r>
        <w:rPr>
          <w:sz w:val="20"/>
          <w:szCs w:val="20"/>
        </w:rPr>
        <w:t>s</w:t>
      </w:r>
      <w:r w:rsidR="005E5E0B" w:rsidRPr="002E7CB4">
        <w:rPr>
          <w:sz w:val="20"/>
          <w:szCs w:val="20"/>
        </w:rPr>
        <w:t xml:space="preserve"> amo</w:t>
      </w:r>
      <w:r w:rsidR="00B42E92">
        <w:rPr>
          <w:sz w:val="20"/>
          <w:szCs w:val="20"/>
        </w:rPr>
        <w:t>ng market stakeholders</w:t>
      </w:r>
    </w:p>
    <w:p w:rsidR="005E5E0B" w:rsidRPr="002E7CB4" w:rsidRDefault="00D1611F" w:rsidP="005E5E0B">
      <w:pPr>
        <w:pStyle w:val="ListBullet"/>
        <w:numPr>
          <w:ilvl w:val="0"/>
          <w:numId w:val="19"/>
        </w:numPr>
        <w:spacing w:line="240" w:lineRule="atLeast"/>
        <w:rPr>
          <w:sz w:val="20"/>
          <w:szCs w:val="20"/>
        </w:rPr>
      </w:pPr>
      <w:r>
        <w:rPr>
          <w:sz w:val="20"/>
          <w:szCs w:val="20"/>
        </w:rPr>
        <w:t>in</w:t>
      </w:r>
      <w:r w:rsidRPr="002E7CB4">
        <w:rPr>
          <w:sz w:val="20"/>
          <w:szCs w:val="20"/>
        </w:rPr>
        <w:t xml:space="preserve">creasing </w:t>
      </w:r>
      <w:r w:rsidR="005E5E0B" w:rsidRPr="002E7CB4">
        <w:rPr>
          <w:sz w:val="20"/>
          <w:szCs w:val="20"/>
        </w:rPr>
        <w:t xml:space="preserve">agricultural production </w:t>
      </w:r>
      <w:r>
        <w:rPr>
          <w:sz w:val="20"/>
          <w:szCs w:val="20"/>
        </w:rPr>
        <w:t>by introducing</w:t>
      </w:r>
      <w:r w:rsidR="005E5E0B" w:rsidRPr="002E7CB4">
        <w:rPr>
          <w:sz w:val="20"/>
          <w:szCs w:val="20"/>
        </w:rPr>
        <w:t xml:space="preserve"> new crops</w:t>
      </w:r>
      <w:r>
        <w:rPr>
          <w:sz w:val="20"/>
          <w:szCs w:val="20"/>
        </w:rPr>
        <w:t xml:space="preserve"> and improving</w:t>
      </w:r>
      <w:r w:rsidR="00B42E92">
        <w:rPr>
          <w:sz w:val="20"/>
          <w:szCs w:val="20"/>
        </w:rPr>
        <w:t xml:space="preserve"> varieties and technologies</w:t>
      </w:r>
    </w:p>
    <w:p w:rsidR="005E5E0B" w:rsidRPr="002E7CB4" w:rsidRDefault="00D1611F" w:rsidP="005E5E0B">
      <w:pPr>
        <w:pStyle w:val="ListBullet"/>
        <w:numPr>
          <w:ilvl w:val="0"/>
          <w:numId w:val="19"/>
        </w:numPr>
        <w:spacing w:line="240" w:lineRule="atLeast"/>
        <w:rPr>
          <w:sz w:val="20"/>
          <w:szCs w:val="20"/>
        </w:rPr>
      </w:pPr>
      <w:r>
        <w:rPr>
          <w:sz w:val="20"/>
          <w:szCs w:val="20"/>
        </w:rPr>
        <w:t>e</w:t>
      </w:r>
      <w:r w:rsidR="005E5E0B" w:rsidRPr="002E7CB4">
        <w:rPr>
          <w:sz w:val="20"/>
          <w:szCs w:val="20"/>
        </w:rPr>
        <w:t>stablishing village savings and loans associations to support new i</w:t>
      </w:r>
      <w:r w:rsidR="00B42E92">
        <w:rPr>
          <w:sz w:val="20"/>
          <w:szCs w:val="20"/>
        </w:rPr>
        <w:t>ncome</w:t>
      </w:r>
      <w:r>
        <w:rPr>
          <w:sz w:val="20"/>
          <w:szCs w:val="20"/>
        </w:rPr>
        <w:t>-</w:t>
      </w:r>
      <w:r w:rsidR="00B42E92">
        <w:rPr>
          <w:sz w:val="20"/>
          <w:szCs w:val="20"/>
        </w:rPr>
        <w:t>generation opportunities</w:t>
      </w:r>
    </w:p>
    <w:p w:rsidR="005E5E0B" w:rsidRPr="002E7CB4" w:rsidRDefault="00D1611F" w:rsidP="005E5E0B">
      <w:pPr>
        <w:pStyle w:val="ListBullet"/>
        <w:numPr>
          <w:ilvl w:val="0"/>
          <w:numId w:val="19"/>
        </w:numPr>
        <w:spacing w:line="240" w:lineRule="atLeast"/>
        <w:rPr>
          <w:sz w:val="20"/>
          <w:szCs w:val="20"/>
        </w:rPr>
      </w:pPr>
      <w:r>
        <w:rPr>
          <w:sz w:val="20"/>
          <w:szCs w:val="20"/>
        </w:rPr>
        <w:t>i</w:t>
      </w:r>
      <w:r w:rsidR="005E5E0B" w:rsidRPr="002E7CB4">
        <w:rPr>
          <w:sz w:val="20"/>
          <w:szCs w:val="20"/>
        </w:rPr>
        <w:t>mproving household hyg</w:t>
      </w:r>
      <w:r w:rsidR="00B42E92">
        <w:rPr>
          <w:sz w:val="20"/>
          <w:szCs w:val="20"/>
        </w:rPr>
        <w:t>iene and malaria prevention</w:t>
      </w:r>
    </w:p>
    <w:p w:rsidR="005E5E0B" w:rsidRPr="002E7CB4" w:rsidRDefault="00D1611F" w:rsidP="005E5E0B">
      <w:pPr>
        <w:pStyle w:val="ListBullet"/>
        <w:numPr>
          <w:ilvl w:val="0"/>
          <w:numId w:val="19"/>
        </w:numPr>
        <w:spacing w:line="240" w:lineRule="atLeast"/>
        <w:rPr>
          <w:sz w:val="20"/>
          <w:szCs w:val="20"/>
        </w:rPr>
      </w:pPr>
      <w:proofErr w:type="gramStart"/>
      <w:r>
        <w:rPr>
          <w:sz w:val="20"/>
          <w:szCs w:val="20"/>
        </w:rPr>
        <w:t>s</w:t>
      </w:r>
      <w:r w:rsidR="005E5E0B" w:rsidRPr="002E7CB4">
        <w:rPr>
          <w:sz w:val="20"/>
          <w:szCs w:val="20"/>
        </w:rPr>
        <w:t>upporting</w:t>
      </w:r>
      <w:proofErr w:type="gramEnd"/>
      <w:r w:rsidR="005E5E0B" w:rsidRPr="002E7CB4">
        <w:rPr>
          <w:sz w:val="20"/>
          <w:szCs w:val="20"/>
        </w:rPr>
        <w:t xml:space="preserve"> community</w:t>
      </w:r>
      <w:r>
        <w:rPr>
          <w:sz w:val="20"/>
          <w:szCs w:val="20"/>
        </w:rPr>
        <w:t>-</w:t>
      </w:r>
      <w:r w:rsidR="005E5E0B" w:rsidRPr="002E7CB4">
        <w:rPr>
          <w:sz w:val="20"/>
          <w:szCs w:val="20"/>
        </w:rPr>
        <w:t xml:space="preserve">based organisations to facilitate and mobilise community activities. </w:t>
      </w:r>
    </w:p>
    <w:p w:rsidR="005E5E0B" w:rsidRPr="001F5502" w:rsidRDefault="005E5E0B" w:rsidP="001F5502">
      <w:pPr>
        <w:spacing w:before="120" w:after="120" w:line="240" w:lineRule="exact"/>
        <w:ind w:right="-342"/>
        <w:rPr>
          <w:rFonts w:ascii="Georgia" w:hAnsi="Georgia"/>
          <w:szCs w:val="20"/>
        </w:rPr>
      </w:pPr>
      <w:r w:rsidRPr="001F5502">
        <w:rPr>
          <w:rFonts w:ascii="Georgia" w:hAnsi="Georgia"/>
          <w:szCs w:val="20"/>
        </w:rPr>
        <w:t xml:space="preserve">Achievements </w:t>
      </w:r>
      <w:r w:rsidR="00376630" w:rsidRPr="001F5502">
        <w:rPr>
          <w:rFonts w:ascii="Georgia" w:hAnsi="Georgia"/>
          <w:szCs w:val="20"/>
        </w:rPr>
        <w:t xml:space="preserve">for the target areas </w:t>
      </w:r>
      <w:r w:rsidRPr="001F5502">
        <w:rPr>
          <w:rFonts w:ascii="Georgia" w:hAnsi="Georgia"/>
          <w:szCs w:val="20"/>
        </w:rPr>
        <w:t xml:space="preserve">include: </w:t>
      </w:r>
    </w:p>
    <w:p w:rsidR="002D3003" w:rsidRDefault="00D1611F" w:rsidP="00376630">
      <w:pPr>
        <w:pStyle w:val="ListBullet"/>
        <w:numPr>
          <w:ilvl w:val="0"/>
          <w:numId w:val="19"/>
        </w:numPr>
        <w:spacing w:line="240" w:lineRule="atLeast"/>
        <w:rPr>
          <w:sz w:val="20"/>
          <w:szCs w:val="20"/>
        </w:rPr>
      </w:pPr>
      <w:r w:rsidRPr="00376630">
        <w:rPr>
          <w:sz w:val="20"/>
          <w:szCs w:val="20"/>
        </w:rPr>
        <w:t>a</w:t>
      </w:r>
      <w:r w:rsidR="005E5E0B" w:rsidRPr="00376630">
        <w:rPr>
          <w:sz w:val="20"/>
          <w:szCs w:val="20"/>
        </w:rPr>
        <w:t xml:space="preserve"> 26 per cent reduction in the incidence of la</w:t>
      </w:r>
      <w:r w:rsidR="00B42E92" w:rsidRPr="00376630">
        <w:rPr>
          <w:sz w:val="20"/>
          <w:szCs w:val="20"/>
        </w:rPr>
        <w:t>ndlessness and land-poverty</w:t>
      </w:r>
    </w:p>
    <w:p w:rsidR="005E5E0B" w:rsidRPr="00376630" w:rsidRDefault="00D1611F" w:rsidP="00376630">
      <w:pPr>
        <w:pStyle w:val="ListBullet"/>
        <w:numPr>
          <w:ilvl w:val="0"/>
          <w:numId w:val="19"/>
        </w:numPr>
        <w:spacing w:line="240" w:lineRule="atLeast"/>
        <w:rPr>
          <w:sz w:val="20"/>
          <w:szCs w:val="20"/>
        </w:rPr>
      </w:pPr>
      <w:proofErr w:type="gramStart"/>
      <w:r w:rsidRPr="00376630">
        <w:rPr>
          <w:sz w:val="20"/>
          <w:szCs w:val="20"/>
        </w:rPr>
        <w:t>y</w:t>
      </w:r>
      <w:r w:rsidR="005E5E0B" w:rsidRPr="00376630">
        <w:rPr>
          <w:sz w:val="20"/>
          <w:szCs w:val="20"/>
        </w:rPr>
        <w:t>ear</w:t>
      </w:r>
      <w:r w:rsidRPr="00376630">
        <w:rPr>
          <w:sz w:val="20"/>
          <w:szCs w:val="20"/>
        </w:rPr>
        <w:t>-</w:t>
      </w:r>
      <w:r w:rsidR="005E5E0B" w:rsidRPr="00376630">
        <w:rPr>
          <w:sz w:val="20"/>
          <w:szCs w:val="20"/>
        </w:rPr>
        <w:t>round</w:t>
      </w:r>
      <w:proofErr w:type="gramEnd"/>
      <w:r w:rsidR="005E5E0B" w:rsidRPr="00376630">
        <w:rPr>
          <w:sz w:val="20"/>
          <w:szCs w:val="20"/>
        </w:rPr>
        <w:t xml:space="preserve"> access to clean water for 91 per cent households.</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 xml:space="preserve">AusAID also supports the World Food Programme to provide food assistance to meet immediate needs, improve the nutritional status of targeted women, girls and boys and to re-establish the livelihoods of vulnerable populations </w:t>
      </w:r>
      <w:r w:rsidR="000E7D3C">
        <w:rPr>
          <w:rFonts w:ascii="Georgia" w:hAnsi="Georgia"/>
          <w:szCs w:val="20"/>
        </w:rPr>
        <w:t>b</w:t>
      </w:r>
      <w:r w:rsidR="00D1611F">
        <w:rPr>
          <w:rFonts w:ascii="Georgia" w:hAnsi="Georgia"/>
          <w:szCs w:val="20"/>
        </w:rPr>
        <w:t>y</w:t>
      </w:r>
      <w:r w:rsidR="00D1611F" w:rsidRPr="002E7CB4">
        <w:rPr>
          <w:rFonts w:ascii="Georgia" w:hAnsi="Georgia"/>
          <w:szCs w:val="20"/>
        </w:rPr>
        <w:t xml:space="preserve"> </w:t>
      </w:r>
      <w:r w:rsidRPr="002E7CB4">
        <w:rPr>
          <w:rFonts w:ascii="Georgia" w:hAnsi="Georgia"/>
          <w:szCs w:val="20"/>
        </w:rPr>
        <w:t xml:space="preserve">increasing education levels, improving market opportunities for small farmers and building the capacity of development partners. </w:t>
      </w:r>
    </w:p>
    <w:p w:rsidR="005E5E0B" w:rsidRPr="002E7CB4" w:rsidRDefault="00FE461F" w:rsidP="005E5E0B">
      <w:pPr>
        <w:spacing w:before="120" w:after="120" w:line="240" w:lineRule="exact"/>
        <w:ind w:right="-342"/>
        <w:rPr>
          <w:rFonts w:ascii="Georgia" w:hAnsi="Georgia"/>
          <w:szCs w:val="20"/>
        </w:rPr>
      </w:pPr>
      <w:r>
        <w:rPr>
          <w:rFonts w:ascii="Georgia" w:hAnsi="Georgia"/>
          <w:szCs w:val="20"/>
        </w:rPr>
        <w:t>To</w:t>
      </w:r>
      <w:r w:rsidR="00BD0FB1" w:rsidRPr="002E7CB4">
        <w:rPr>
          <w:rFonts w:ascii="Georgia" w:hAnsi="Georgia"/>
          <w:szCs w:val="20"/>
        </w:rPr>
        <w:t xml:space="preserve"> implement </w:t>
      </w:r>
      <w:r w:rsidR="00BD0FB1">
        <w:rPr>
          <w:rFonts w:ascii="Georgia" w:hAnsi="Georgia"/>
          <w:szCs w:val="20"/>
        </w:rPr>
        <w:t>Australia’s</w:t>
      </w:r>
      <w:r w:rsidR="00BD0FB1" w:rsidRPr="002E7CB4">
        <w:rPr>
          <w:rFonts w:ascii="Georgia" w:hAnsi="Georgia"/>
          <w:szCs w:val="20"/>
        </w:rPr>
        <w:t xml:space="preserve"> four-year</w:t>
      </w:r>
      <w:r w:rsidR="00BD0FB1">
        <w:rPr>
          <w:rFonts w:ascii="Georgia" w:hAnsi="Georgia"/>
          <w:szCs w:val="20"/>
        </w:rPr>
        <w:t>,</w:t>
      </w:r>
      <w:r w:rsidR="00BD0FB1" w:rsidRPr="002E7CB4">
        <w:rPr>
          <w:rFonts w:ascii="Georgia" w:hAnsi="Georgia"/>
          <w:szCs w:val="20"/>
        </w:rPr>
        <w:t xml:space="preserve"> $20 million commitment to livelihoods and food security in Burma</w:t>
      </w:r>
      <w:r w:rsidR="00BD0FB1">
        <w:rPr>
          <w:rFonts w:ascii="Georgia" w:hAnsi="Georgia"/>
          <w:szCs w:val="20"/>
        </w:rPr>
        <w:t xml:space="preserve">, </w:t>
      </w:r>
      <w:r w:rsidR="00787F36" w:rsidRPr="002E7CB4">
        <w:rPr>
          <w:rFonts w:ascii="Georgia" w:hAnsi="Georgia"/>
          <w:szCs w:val="20"/>
        </w:rPr>
        <w:t>AusAID</w:t>
      </w:r>
      <w:r w:rsidR="00787F36">
        <w:rPr>
          <w:rFonts w:ascii="Georgia" w:hAnsi="Georgia"/>
          <w:szCs w:val="20"/>
        </w:rPr>
        <w:t xml:space="preserve"> expects to</w:t>
      </w:r>
      <w:r w:rsidR="00787F36" w:rsidRPr="002E7CB4">
        <w:rPr>
          <w:rFonts w:ascii="Georgia" w:hAnsi="Georgia"/>
          <w:szCs w:val="20"/>
        </w:rPr>
        <w:t xml:space="preserve"> continue contributing to LIFT and supporting </w:t>
      </w:r>
      <w:r w:rsidR="00787F36" w:rsidRPr="000A7ABD">
        <w:rPr>
          <w:rFonts w:ascii="Georgia" w:hAnsi="Georgia"/>
          <w:szCs w:val="20"/>
        </w:rPr>
        <w:t xml:space="preserve">World Food Programme </w:t>
      </w:r>
      <w:r w:rsidR="00787F36" w:rsidRPr="002E7CB4">
        <w:rPr>
          <w:rFonts w:ascii="Georgia" w:hAnsi="Georgia"/>
          <w:szCs w:val="20"/>
        </w:rPr>
        <w:t>and NGO programs</w:t>
      </w:r>
      <w:r w:rsidR="00787F36">
        <w:rPr>
          <w:rFonts w:ascii="Georgia" w:hAnsi="Georgia"/>
          <w:szCs w:val="20"/>
        </w:rPr>
        <w:t xml:space="preserve">. </w:t>
      </w:r>
      <w:r w:rsidR="005E5E0B" w:rsidRPr="002E7CB4">
        <w:rPr>
          <w:rFonts w:ascii="Georgia" w:hAnsi="Georgia"/>
          <w:szCs w:val="20"/>
        </w:rPr>
        <w:t xml:space="preserve">AusAID will also work with The Australian Centre for International Agricultural Research to build agricultural expertise and help farmers improve their crop yields. </w:t>
      </w:r>
    </w:p>
    <w:p w:rsidR="0067202D" w:rsidRDefault="0067202D" w:rsidP="00932594">
      <w:pPr>
        <w:pStyle w:val="Heading2"/>
        <w:tabs>
          <w:tab w:val="left" w:pos="1920"/>
        </w:tabs>
        <w:spacing w:before="360" w:after="120" w:line="320" w:lineRule="atLeast"/>
        <w:ind w:left="0"/>
        <w:rPr>
          <w:kern w:val="0"/>
        </w:rPr>
      </w:pPr>
      <w:bookmarkStart w:id="11" w:name="_Toc360980588"/>
      <w:r w:rsidRPr="002E7CB4">
        <w:rPr>
          <w:kern w:val="0"/>
        </w:rPr>
        <w:t>Objective 5</w:t>
      </w:r>
      <w:r w:rsidRPr="00E26EFC">
        <w:rPr>
          <w:kern w:val="0"/>
        </w:rPr>
        <w:t>: Addressing the needs of vulnerable</w:t>
      </w:r>
      <w:r w:rsidRPr="002E7CB4">
        <w:rPr>
          <w:kern w:val="0"/>
        </w:rPr>
        <w:t xml:space="preserve"> people</w:t>
      </w:r>
      <w:bookmarkEnd w:id="11"/>
      <w:r w:rsidRPr="002E7CB4">
        <w:rPr>
          <w:kern w:val="0"/>
        </w:rPr>
        <w:t xml:space="preserve"> </w:t>
      </w:r>
    </w:p>
    <w:p w:rsidR="005E5E0B" w:rsidRPr="002E7CB4" w:rsidRDefault="005E5E0B" w:rsidP="005E5E0B">
      <w:pPr>
        <w:spacing w:before="240" w:after="120" w:line="240" w:lineRule="exact"/>
        <w:ind w:right="-340"/>
        <w:rPr>
          <w:rFonts w:ascii="Georgia" w:hAnsi="Georgia"/>
          <w:szCs w:val="20"/>
        </w:rPr>
      </w:pPr>
      <w:r w:rsidRPr="002E7CB4">
        <w:rPr>
          <w:rFonts w:ascii="Georgia" w:hAnsi="Georgia"/>
          <w:szCs w:val="20"/>
        </w:rPr>
        <w:t>Achievements against this objective are particularly difficult to measure and further consideration will be given to how best to represent and measure the</w:t>
      </w:r>
      <w:r w:rsidR="00E26EFC">
        <w:rPr>
          <w:rFonts w:ascii="Georgia" w:hAnsi="Georgia"/>
          <w:szCs w:val="20"/>
        </w:rPr>
        <w:t>m</w:t>
      </w:r>
      <w:r w:rsidRPr="002E7CB4">
        <w:rPr>
          <w:rFonts w:ascii="Georgia" w:hAnsi="Georgia"/>
          <w:szCs w:val="20"/>
        </w:rPr>
        <w:t xml:space="preserve"> </w:t>
      </w:r>
      <w:r w:rsidR="00E26EFC">
        <w:rPr>
          <w:rFonts w:ascii="Georgia" w:hAnsi="Georgia"/>
          <w:szCs w:val="20"/>
        </w:rPr>
        <w:t>during</w:t>
      </w:r>
      <w:r w:rsidR="00E26EFC" w:rsidRPr="002E7CB4">
        <w:rPr>
          <w:rFonts w:ascii="Georgia" w:hAnsi="Georgia"/>
          <w:szCs w:val="20"/>
        </w:rPr>
        <w:t xml:space="preserve"> </w:t>
      </w:r>
      <w:r w:rsidRPr="002E7CB4">
        <w:rPr>
          <w:rFonts w:ascii="Georgia" w:hAnsi="Georgia"/>
          <w:szCs w:val="20"/>
        </w:rPr>
        <w:t xml:space="preserve">the development of the country </w:t>
      </w:r>
      <w:r w:rsidR="00FE461F">
        <w:rPr>
          <w:rFonts w:ascii="Georgia" w:hAnsi="Georgia"/>
          <w:szCs w:val="20"/>
        </w:rPr>
        <w:t xml:space="preserve">performance </w:t>
      </w:r>
      <w:r w:rsidRPr="002E7CB4">
        <w:rPr>
          <w:rFonts w:ascii="Georgia" w:hAnsi="Georgia"/>
          <w:szCs w:val="20"/>
        </w:rPr>
        <w:t>framework for Burma.</w:t>
      </w:r>
    </w:p>
    <w:p w:rsidR="005E5E0B" w:rsidRDefault="005E5E0B" w:rsidP="005E5E0B">
      <w:pPr>
        <w:spacing w:before="120" w:after="120" w:line="240" w:lineRule="exact"/>
        <w:ind w:right="-340"/>
        <w:rPr>
          <w:rFonts w:ascii="Georgia" w:hAnsi="Georgia"/>
          <w:szCs w:val="20"/>
        </w:rPr>
      </w:pPr>
      <w:r w:rsidRPr="002E7CB4">
        <w:rPr>
          <w:rFonts w:ascii="Georgia" w:hAnsi="Georgia"/>
          <w:szCs w:val="20"/>
        </w:rPr>
        <w:t xml:space="preserve">Many vulnerable people inside Burma and on its borders face threats to their safety and dignity. They require assistance and protection from harm. The human rights situation is dire and years of state neglect have impacted negatively on most of </w:t>
      </w:r>
      <w:r w:rsidR="00E26EFC">
        <w:rPr>
          <w:rFonts w:ascii="Georgia" w:hAnsi="Georgia"/>
          <w:szCs w:val="20"/>
        </w:rPr>
        <w:t>the</w:t>
      </w:r>
      <w:r w:rsidR="00E26EFC" w:rsidRPr="002E7CB4">
        <w:rPr>
          <w:rFonts w:ascii="Georgia" w:hAnsi="Georgia"/>
          <w:szCs w:val="20"/>
        </w:rPr>
        <w:t xml:space="preserve"> </w:t>
      </w:r>
      <w:r w:rsidRPr="002E7CB4">
        <w:rPr>
          <w:rFonts w:ascii="Georgia" w:hAnsi="Georgia"/>
          <w:szCs w:val="20"/>
        </w:rPr>
        <w:t xml:space="preserve">population. Some groups are </w:t>
      </w:r>
      <w:r w:rsidR="00E26EFC">
        <w:rPr>
          <w:rFonts w:ascii="Georgia" w:hAnsi="Georgia"/>
          <w:szCs w:val="20"/>
        </w:rPr>
        <w:t>especially</w:t>
      </w:r>
      <w:r w:rsidR="00E26EFC" w:rsidRPr="002E7CB4">
        <w:rPr>
          <w:rFonts w:ascii="Georgia" w:hAnsi="Georgia"/>
          <w:szCs w:val="20"/>
        </w:rPr>
        <w:t xml:space="preserve"> </w:t>
      </w:r>
      <w:r w:rsidRPr="002E7CB4">
        <w:rPr>
          <w:rFonts w:ascii="Georgia" w:hAnsi="Georgia"/>
          <w:szCs w:val="20"/>
        </w:rPr>
        <w:t>vulnerable</w:t>
      </w:r>
      <w:r w:rsidR="00E26EFC">
        <w:rPr>
          <w:rFonts w:ascii="Georgia" w:hAnsi="Georgia"/>
          <w:szCs w:val="20"/>
        </w:rPr>
        <w:t>,</w:t>
      </w:r>
      <w:r w:rsidRPr="002E7CB4">
        <w:rPr>
          <w:rFonts w:ascii="Georgia" w:hAnsi="Georgia"/>
          <w:szCs w:val="20"/>
        </w:rPr>
        <w:t xml:space="preserve"> including ethnic minority groups, internally displaced people, </w:t>
      </w:r>
      <w:proofErr w:type="gramStart"/>
      <w:r w:rsidRPr="002E7CB4">
        <w:rPr>
          <w:rFonts w:ascii="Georgia" w:hAnsi="Georgia"/>
          <w:szCs w:val="20"/>
        </w:rPr>
        <w:t>refugees</w:t>
      </w:r>
      <w:proofErr w:type="gramEnd"/>
      <w:r w:rsidRPr="002E7CB4">
        <w:rPr>
          <w:rFonts w:ascii="Georgia" w:hAnsi="Georgia"/>
          <w:szCs w:val="20"/>
        </w:rPr>
        <w:t xml:space="preserve">, </w:t>
      </w:r>
      <w:r w:rsidR="00676FD8">
        <w:rPr>
          <w:rFonts w:ascii="Georgia" w:hAnsi="Georgia"/>
          <w:szCs w:val="20"/>
        </w:rPr>
        <w:t xml:space="preserve">people with disabilities, </w:t>
      </w:r>
      <w:r w:rsidRPr="002E7CB4">
        <w:rPr>
          <w:rFonts w:ascii="Georgia" w:hAnsi="Georgia"/>
          <w:szCs w:val="20"/>
        </w:rPr>
        <w:t xml:space="preserve">children and women. </w:t>
      </w:r>
      <w:r w:rsidR="00E26EFC">
        <w:rPr>
          <w:rFonts w:ascii="Georgia" w:hAnsi="Georgia"/>
          <w:szCs w:val="20"/>
        </w:rPr>
        <w:t xml:space="preserve">A number of the programs Australia funds to support vulnerable people in Burma are discussed throughout this report. In </w:t>
      </w:r>
      <w:r w:rsidR="00E26EFC">
        <w:rPr>
          <w:rFonts w:ascii="Georgia" w:hAnsi="Georgia"/>
          <w:szCs w:val="20"/>
        </w:rPr>
        <w:lastRenderedPageBreak/>
        <w:t xml:space="preserve">addition, </w:t>
      </w:r>
      <w:r w:rsidRPr="002E7CB4">
        <w:rPr>
          <w:rFonts w:ascii="Georgia" w:hAnsi="Georgia"/>
          <w:szCs w:val="20"/>
        </w:rPr>
        <w:t>Australia funds initiatives to</w:t>
      </w:r>
      <w:r w:rsidR="00E26EFC">
        <w:rPr>
          <w:rFonts w:ascii="Georgia" w:hAnsi="Georgia"/>
          <w:szCs w:val="20"/>
        </w:rPr>
        <w:t xml:space="preserve"> specifically</w:t>
      </w:r>
      <w:r w:rsidRPr="002E7CB4">
        <w:rPr>
          <w:rFonts w:ascii="Georgia" w:hAnsi="Georgia"/>
          <w:szCs w:val="20"/>
        </w:rPr>
        <w:t xml:space="preserve"> support vulnerable refugees who have fled into Thailand and vulnerable children inside </w:t>
      </w:r>
      <w:r w:rsidR="00E26EFC">
        <w:rPr>
          <w:rFonts w:ascii="Georgia" w:hAnsi="Georgia"/>
          <w:szCs w:val="20"/>
        </w:rPr>
        <w:t>the country</w:t>
      </w:r>
      <w:r w:rsidRPr="002E7CB4">
        <w:rPr>
          <w:rFonts w:ascii="Georgia" w:hAnsi="Georgia"/>
          <w:szCs w:val="20"/>
        </w:rPr>
        <w:t>.</w:t>
      </w:r>
    </w:p>
    <w:p w:rsidR="0067202D" w:rsidRPr="005F4B65" w:rsidRDefault="0067202D" w:rsidP="005F4B65">
      <w:pPr>
        <w:pStyle w:val="H3"/>
      </w:pPr>
      <w:r w:rsidRPr="005F4B65">
        <w:t>Thai</w:t>
      </w:r>
      <w:r w:rsidR="00AF40FF" w:rsidRPr="005F4B65">
        <w:t>-</w:t>
      </w:r>
      <w:r w:rsidRPr="005F4B65">
        <w:t>Burma border</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Ethnic</w:t>
      </w:r>
      <w:r w:rsidR="00676FD8">
        <w:rPr>
          <w:rFonts w:ascii="Georgia" w:hAnsi="Georgia"/>
          <w:szCs w:val="20"/>
        </w:rPr>
        <w:t>-</w:t>
      </w:r>
      <w:r w:rsidRPr="002E7CB4">
        <w:rPr>
          <w:rFonts w:ascii="Georgia" w:hAnsi="Georgia"/>
          <w:szCs w:val="20"/>
        </w:rPr>
        <w:t>minority</w:t>
      </w:r>
      <w:r w:rsidR="00676FD8">
        <w:rPr>
          <w:rFonts w:ascii="Georgia" w:hAnsi="Georgia"/>
          <w:szCs w:val="20"/>
        </w:rPr>
        <w:t xml:space="preserve"> </w:t>
      </w:r>
      <w:r w:rsidRPr="002E7CB4">
        <w:rPr>
          <w:rFonts w:ascii="Georgia" w:hAnsi="Georgia"/>
          <w:szCs w:val="20"/>
        </w:rPr>
        <w:t xml:space="preserve">populated parts of Burma have been affected by armed conflict since </w:t>
      </w:r>
      <w:r w:rsidR="00E26EFC">
        <w:rPr>
          <w:rFonts w:ascii="Georgia" w:hAnsi="Georgia"/>
          <w:szCs w:val="20"/>
        </w:rPr>
        <w:t>I</w:t>
      </w:r>
      <w:r w:rsidRPr="002E7CB4">
        <w:rPr>
          <w:rFonts w:ascii="Georgia" w:hAnsi="Georgia"/>
          <w:szCs w:val="20"/>
        </w:rPr>
        <w:t>ndependence in 1948 and refugees have been fleeing from Burma into Thailand seeking asylum for more than 26 years. T</w:t>
      </w:r>
      <w:r w:rsidR="00E26EFC">
        <w:rPr>
          <w:rFonts w:ascii="Georgia" w:hAnsi="Georgia"/>
          <w:szCs w:val="20"/>
        </w:rPr>
        <w:t>en</w:t>
      </w:r>
      <w:r w:rsidR="00A66045" w:rsidRPr="002E7CB4">
        <w:rPr>
          <w:rFonts w:ascii="Georgia" w:hAnsi="Georgia"/>
          <w:szCs w:val="20"/>
        </w:rPr>
        <w:t xml:space="preserve"> </w:t>
      </w:r>
      <w:r w:rsidRPr="002E7CB4">
        <w:rPr>
          <w:rFonts w:ascii="Georgia" w:hAnsi="Georgia"/>
          <w:szCs w:val="20"/>
        </w:rPr>
        <w:t>refugee camps</w:t>
      </w:r>
      <w:r w:rsidR="00E26EFC">
        <w:rPr>
          <w:rFonts w:ascii="Georgia" w:hAnsi="Georgia"/>
          <w:szCs w:val="20"/>
        </w:rPr>
        <w:t xml:space="preserve"> are</w:t>
      </w:r>
      <w:r w:rsidRPr="002E7CB4">
        <w:rPr>
          <w:rFonts w:ascii="Georgia" w:hAnsi="Georgia"/>
          <w:szCs w:val="20"/>
        </w:rPr>
        <w:t xml:space="preserve"> located along the Thai side of the Thai</w:t>
      </w:r>
      <w:r w:rsidR="00AF40FF">
        <w:rPr>
          <w:rFonts w:ascii="Georgia" w:hAnsi="Georgia"/>
          <w:szCs w:val="20"/>
        </w:rPr>
        <w:t>-</w:t>
      </w:r>
      <w:r w:rsidRPr="002E7CB4">
        <w:rPr>
          <w:rFonts w:ascii="Georgia" w:hAnsi="Georgia"/>
          <w:szCs w:val="20"/>
        </w:rPr>
        <w:t>Burma border which house around 140</w:t>
      </w:r>
      <w:r w:rsidR="00B42E92">
        <w:rPr>
          <w:rFonts w:ascii="Georgia" w:hAnsi="Georgia"/>
          <w:szCs w:val="20"/>
        </w:rPr>
        <w:t> </w:t>
      </w:r>
      <w:r w:rsidRPr="002E7CB4">
        <w:rPr>
          <w:rFonts w:ascii="Georgia" w:hAnsi="Georgia"/>
          <w:szCs w:val="20"/>
        </w:rPr>
        <w:t>000 Burmese refugees. The camps are highly dependent on support from the international community. Continued low-level armed conflict in the border areas has maintained the need for the camps.</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In 2010 support along the border was provided through t</w:t>
      </w:r>
      <w:r w:rsidR="000A7ABD">
        <w:rPr>
          <w:rFonts w:ascii="Georgia" w:hAnsi="Georgia"/>
          <w:szCs w:val="20"/>
        </w:rPr>
        <w:t>he Thai</w:t>
      </w:r>
      <w:r w:rsidR="002D3003">
        <w:rPr>
          <w:rFonts w:ascii="Georgia" w:hAnsi="Georgia"/>
          <w:szCs w:val="20"/>
        </w:rPr>
        <w:t xml:space="preserve">land </w:t>
      </w:r>
      <w:r w:rsidR="000A7ABD">
        <w:rPr>
          <w:rFonts w:ascii="Georgia" w:hAnsi="Georgia"/>
          <w:szCs w:val="20"/>
        </w:rPr>
        <w:t>Burma Border Consortium</w:t>
      </w:r>
      <w:r w:rsidRPr="002E7CB4">
        <w:rPr>
          <w:rFonts w:ascii="Georgia" w:hAnsi="Georgia"/>
          <w:szCs w:val="20"/>
        </w:rPr>
        <w:t xml:space="preserve">, Australian NGOs and Australian volunteers. Along with support from other donors, </w:t>
      </w:r>
      <w:r w:rsidR="00E26EFC">
        <w:rPr>
          <w:rFonts w:ascii="Georgia" w:hAnsi="Georgia"/>
          <w:szCs w:val="20"/>
        </w:rPr>
        <w:t>the c</w:t>
      </w:r>
      <w:r w:rsidR="000A7ABD" w:rsidRPr="000A7ABD">
        <w:rPr>
          <w:rFonts w:ascii="Georgia" w:hAnsi="Georgia"/>
          <w:szCs w:val="20"/>
        </w:rPr>
        <w:t xml:space="preserve">onsortium </w:t>
      </w:r>
      <w:r w:rsidRPr="002E7CB4">
        <w:rPr>
          <w:rFonts w:ascii="Georgia" w:hAnsi="Georgia"/>
          <w:szCs w:val="20"/>
        </w:rPr>
        <w:t>provided humanitarian services including basic food supplies (</w:t>
      </w:r>
      <w:r w:rsidR="00E26EFC">
        <w:rPr>
          <w:rFonts w:ascii="Georgia" w:hAnsi="Georgia"/>
          <w:szCs w:val="20"/>
        </w:rPr>
        <w:t>such as</w:t>
      </w:r>
      <w:r w:rsidR="00E26EFC" w:rsidRPr="002E7CB4">
        <w:rPr>
          <w:rFonts w:ascii="Georgia" w:hAnsi="Georgia"/>
          <w:szCs w:val="20"/>
        </w:rPr>
        <w:t xml:space="preserve"> </w:t>
      </w:r>
      <w:r w:rsidRPr="002E7CB4">
        <w:rPr>
          <w:rFonts w:ascii="Georgia" w:hAnsi="Georgia"/>
          <w:szCs w:val="20"/>
        </w:rPr>
        <w:t>supplementary feeding for particularly vulnerable refugees and provision of nursery school lunches for children under five), emergency shelter</w:t>
      </w:r>
      <w:r w:rsidR="00E26EFC">
        <w:rPr>
          <w:rFonts w:ascii="Georgia" w:hAnsi="Georgia"/>
          <w:szCs w:val="20"/>
        </w:rPr>
        <w:t>,</w:t>
      </w:r>
      <w:r w:rsidRPr="002E7CB4">
        <w:rPr>
          <w:rFonts w:ascii="Georgia" w:hAnsi="Georgia"/>
          <w:szCs w:val="20"/>
        </w:rPr>
        <w:t xml:space="preserve"> and basic non-food items (</w:t>
      </w:r>
      <w:r w:rsidR="00E26EFC">
        <w:rPr>
          <w:rFonts w:ascii="Georgia" w:hAnsi="Georgia"/>
          <w:szCs w:val="20"/>
        </w:rPr>
        <w:t>such as</w:t>
      </w:r>
      <w:r w:rsidR="00E26EFC" w:rsidRPr="002E7CB4">
        <w:rPr>
          <w:rFonts w:ascii="Georgia" w:hAnsi="Georgia"/>
          <w:szCs w:val="20"/>
        </w:rPr>
        <w:t xml:space="preserve"> </w:t>
      </w:r>
      <w:r w:rsidRPr="002E7CB4">
        <w:rPr>
          <w:rFonts w:ascii="Georgia" w:hAnsi="Georgia"/>
          <w:szCs w:val="20"/>
        </w:rPr>
        <w:t>cooking fuel, pots, clothes and blankets) to all refugees living in the camps. Local community organisations in Thailand were supported through Australian NGOs to provide basic health care, promote women’s equal participation in decision</w:t>
      </w:r>
      <w:r w:rsidR="00E26EFC">
        <w:rPr>
          <w:rFonts w:ascii="Georgia" w:hAnsi="Georgia"/>
          <w:szCs w:val="20"/>
        </w:rPr>
        <w:t xml:space="preserve"> </w:t>
      </w:r>
      <w:r w:rsidRPr="002E7CB4">
        <w:rPr>
          <w:rFonts w:ascii="Georgia" w:hAnsi="Georgia"/>
          <w:szCs w:val="20"/>
        </w:rPr>
        <w:t>making, raise awareness of issues of sexual and gender</w:t>
      </w:r>
      <w:r w:rsidR="00E26EFC">
        <w:rPr>
          <w:rFonts w:ascii="Georgia" w:hAnsi="Georgia"/>
          <w:szCs w:val="20"/>
        </w:rPr>
        <w:t>-</w:t>
      </w:r>
      <w:r w:rsidRPr="002E7CB4">
        <w:rPr>
          <w:rFonts w:ascii="Georgia" w:hAnsi="Georgia"/>
          <w:szCs w:val="20"/>
        </w:rPr>
        <w:t xml:space="preserve">based violence and </w:t>
      </w:r>
      <w:r w:rsidR="00E26EFC">
        <w:rPr>
          <w:rFonts w:ascii="Georgia" w:hAnsi="Georgia"/>
          <w:szCs w:val="20"/>
        </w:rPr>
        <w:t xml:space="preserve">provide </w:t>
      </w:r>
      <w:r w:rsidRPr="002E7CB4">
        <w:rPr>
          <w:rFonts w:ascii="Georgia" w:hAnsi="Georgia"/>
          <w:szCs w:val="20"/>
        </w:rPr>
        <w:t xml:space="preserve">skills training for women. Nine </w:t>
      </w:r>
      <w:r w:rsidR="00B00784">
        <w:rPr>
          <w:rFonts w:ascii="Georgia" w:hAnsi="Georgia"/>
          <w:szCs w:val="20"/>
        </w:rPr>
        <w:t xml:space="preserve">Australian </w:t>
      </w:r>
      <w:r w:rsidRPr="002E7CB4">
        <w:rPr>
          <w:rFonts w:ascii="Georgia" w:hAnsi="Georgia"/>
          <w:szCs w:val="20"/>
        </w:rPr>
        <w:t>volunteers were placed with various organisations along the border to work on health and governances issues.</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 xml:space="preserve">Towards the end of 2010 Australia broadened the number of </w:t>
      </w:r>
      <w:r w:rsidR="00E26EFC">
        <w:rPr>
          <w:rFonts w:ascii="Georgia" w:hAnsi="Georgia"/>
          <w:szCs w:val="20"/>
        </w:rPr>
        <w:t xml:space="preserve">international </w:t>
      </w:r>
      <w:r w:rsidRPr="002E7CB4">
        <w:rPr>
          <w:rFonts w:ascii="Georgia" w:hAnsi="Georgia"/>
          <w:szCs w:val="20"/>
        </w:rPr>
        <w:t xml:space="preserve">NGO partners we work with and tripled our assistance to the </w:t>
      </w:r>
      <w:r w:rsidR="00E26EFC">
        <w:rPr>
          <w:rFonts w:ascii="Georgia" w:hAnsi="Georgia"/>
          <w:szCs w:val="20"/>
        </w:rPr>
        <w:t xml:space="preserve">needs of those living along the </w:t>
      </w:r>
      <w:r w:rsidRPr="002E7CB4">
        <w:rPr>
          <w:rFonts w:ascii="Georgia" w:hAnsi="Georgia"/>
          <w:szCs w:val="20"/>
        </w:rPr>
        <w:t xml:space="preserve">border. </w:t>
      </w:r>
      <w:r w:rsidR="00E26EFC">
        <w:rPr>
          <w:rFonts w:ascii="Georgia" w:hAnsi="Georgia"/>
          <w:szCs w:val="20"/>
        </w:rPr>
        <w:t>A</w:t>
      </w:r>
      <w:r w:rsidRPr="002E7CB4">
        <w:rPr>
          <w:rFonts w:ascii="Georgia" w:hAnsi="Georgia"/>
          <w:szCs w:val="20"/>
        </w:rPr>
        <w:t xml:space="preserve">rrangements are governed by multi-year agreements which help </w:t>
      </w:r>
      <w:r w:rsidR="00E26EFC">
        <w:rPr>
          <w:rFonts w:ascii="Georgia" w:hAnsi="Georgia"/>
          <w:szCs w:val="20"/>
        </w:rPr>
        <w:t>provide</w:t>
      </w:r>
      <w:r w:rsidR="00E26EFC" w:rsidRPr="002E7CB4">
        <w:rPr>
          <w:rFonts w:ascii="Georgia" w:hAnsi="Georgia"/>
          <w:szCs w:val="20"/>
        </w:rPr>
        <w:t xml:space="preserve"> </w:t>
      </w:r>
      <w:r w:rsidRPr="002E7CB4">
        <w:rPr>
          <w:rFonts w:ascii="Georgia" w:hAnsi="Georgia"/>
          <w:szCs w:val="20"/>
        </w:rPr>
        <w:t>continuity planning of assistance</w:t>
      </w:r>
      <w:r w:rsidR="00E26EFC">
        <w:rPr>
          <w:rFonts w:ascii="Georgia" w:hAnsi="Georgia"/>
          <w:szCs w:val="20"/>
        </w:rPr>
        <w:t xml:space="preserve"> and continued</w:t>
      </w:r>
      <w:r w:rsidRPr="002E7CB4">
        <w:rPr>
          <w:rFonts w:ascii="Georgia" w:hAnsi="Georgia"/>
          <w:szCs w:val="20"/>
        </w:rPr>
        <w:t xml:space="preserve"> support</w:t>
      </w:r>
      <w:r w:rsidR="00E26EFC">
        <w:rPr>
          <w:rFonts w:ascii="Georgia" w:hAnsi="Georgia"/>
          <w:szCs w:val="20"/>
        </w:rPr>
        <w:t xml:space="preserve"> for</w:t>
      </w:r>
      <w:r w:rsidRPr="002E7CB4">
        <w:rPr>
          <w:rFonts w:ascii="Georgia" w:hAnsi="Georgia"/>
          <w:szCs w:val="20"/>
        </w:rPr>
        <w:t xml:space="preserve"> the basic needs of refugees</w:t>
      </w:r>
      <w:r w:rsidR="00E26EFC">
        <w:rPr>
          <w:rFonts w:ascii="Georgia" w:hAnsi="Georgia"/>
          <w:szCs w:val="20"/>
        </w:rPr>
        <w:t>. This longer-term funding</w:t>
      </w:r>
      <w:r w:rsidRPr="002E7CB4">
        <w:rPr>
          <w:rFonts w:ascii="Georgia" w:hAnsi="Georgia"/>
          <w:szCs w:val="20"/>
        </w:rPr>
        <w:t xml:space="preserve"> </w:t>
      </w:r>
      <w:r w:rsidR="00E26EFC">
        <w:rPr>
          <w:rFonts w:ascii="Georgia" w:hAnsi="Georgia"/>
          <w:szCs w:val="20"/>
        </w:rPr>
        <w:t xml:space="preserve">is </w:t>
      </w:r>
      <w:r w:rsidRPr="002E7CB4">
        <w:rPr>
          <w:rFonts w:ascii="Georgia" w:hAnsi="Georgia"/>
          <w:szCs w:val="20"/>
        </w:rPr>
        <w:t xml:space="preserve">also </w:t>
      </w:r>
      <w:r w:rsidR="00E26EFC">
        <w:rPr>
          <w:rFonts w:ascii="Georgia" w:hAnsi="Georgia"/>
          <w:szCs w:val="20"/>
        </w:rPr>
        <w:t>used to</w:t>
      </w:r>
      <w:r w:rsidRPr="002E7CB4">
        <w:rPr>
          <w:rFonts w:ascii="Georgia" w:hAnsi="Georgia"/>
          <w:szCs w:val="20"/>
        </w:rPr>
        <w:t xml:space="preserve"> build the capacity of refugees and displaced people to </w:t>
      </w:r>
      <w:r w:rsidR="00E26EFC">
        <w:rPr>
          <w:rFonts w:ascii="Georgia" w:hAnsi="Georgia"/>
          <w:szCs w:val="20"/>
        </w:rPr>
        <w:t>become self-reliant by developing and using</w:t>
      </w:r>
      <w:r w:rsidR="00E26EFC" w:rsidRPr="002E7CB4">
        <w:rPr>
          <w:rFonts w:ascii="Georgia" w:hAnsi="Georgia"/>
          <w:szCs w:val="20"/>
        </w:rPr>
        <w:t xml:space="preserve"> </w:t>
      </w:r>
      <w:r w:rsidRPr="002E7CB4">
        <w:rPr>
          <w:rFonts w:ascii="Georgia" w:hAnsi="Georgia"/>
          <w:szCs w:val="20"/>
        </w:rPr>
        <w:t xml:space="preserve">their own resources. This includes, skills training for healthcare workers to support health care at the Mae Tao Clinic and vocational training in three refugee camps to provide livelihoods opportunities. </w:t>
      </w:r>
    </w:p>
    <w:p w:rsidR="0067202D" w:rsidRPr="005F4B65" w:rsidRDefault="0067202D" w:rsidP="005F4B65">
      <w:pPr>
        <w:pStyle w:val="H3"/>
      </w:pPr>
      <w:r w:rsidRPr="005F4B65">
        <w:t xml:space="preserve">Juvenile </w:t>
      </w:r>
      <w:r w:rsidR="005D6CB9" w:rsidRPr="005F4B65">
        <w:t>j</w:t>
      </w:r>
      <w:r w:rsidRPr="005F4B65">
        <w:t>ustice</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 xml:space="preserve">The situation of vulnerable children in Burma remains volatile, with the declining socio-economic situation resulting in a deterioration of services for children. Children </w:t>
      </w:r>
      <w:r w:rsidR="00A14C87">
        <w:rPr>
          <w:rFonts w:ascii="Georgia" w:hAnsi="Georgia"/>
          <w:szCs w:val="20"/>
        </w:rPr>
        <w:t xml:space="preserve">in poor families </w:t>
      </w:r>
      <w:r w:rsidRPr="002E7CB4">
        <w:rPr>
          <w:rFonts w:ascii="Georgia" w:hAnsi="Georgia"/>
          <w:szCs w:val="20"/>
        </w:rPr>
        <w:t>are often the first to suffer</w:t>
      </w:r>
      <w:r w:rsidR="00A14C87">
        <w:rPr>
          <w:rFonts w:ascii="Georgia" w:hAnsi="Georgia"/>
          <w:szCs w:val="20"/>
        </w:rPr>
        <w:t>, finding</w:t>
      </w:r>
      <w:r w:rsidRPr="002E7CB4">
        <w:rPr>
          <w:rFonts w:ascii="Georgia" w:hAnsi="Georgia"/>
          <w:szCs w:val="20"/>
        </w:rPr>
        <w:t xml:space="preserve"> themselves in extreme conditions and exposed to exploitation, neglect, physical and emotional abuse. Australia has supported UNICEF since 2005 to enhance knowledge, skills, practices and procedures on juvenile justice, child protection and social work to contribute to a strengthened protective environment for children (including children in conflict with the law, child victims and witnesses). </w:t>
      </w:r>
    </w:p>
    <w:p w:rsidR="005E5E0B" w:rsidRPr="002E7CB4" w:rsidRDefault="005E5E0B" w:rsidP="005E5E0B">
      <w:pPr>
        <w:spacing w:before="120" w:after="120" w:line="240" w:lineRule="exact"/>
        <w:ind w:right="-340"/>
        <w:rPr>
          <w:rFonts w:ascii="Georgia" w:hAnsi="Georgia"/>
          <w:szCs w:val="20"/>
        </w:rPr>
      </w:pPr>
      <w:r w:rsidRPr="002E7CB4">
        <w:rPr>
          <w:rFonts w:ascii="Georgia" w:hAnsi="Georgia"/>
          <w:szCs w:val="20"/>
        </w:rPr>
        <w:t xml:space="preserve">Key achievements in 2010 included further strengthening the juvenile justice sector through continued capacity building of the police force and Supreme Court; </w:t>
      </w:r>
      <w:r w:rsidR="00A14C87">
        <w:rPr>
          <w:rFonts w:ascii="Georgia" w:hAnsi="Georgia"/>
          <w:szCs w:val="20"/>
        </w:rPr>
        <w:t xml:space="preserve">establishing </w:t>
      </w:r>
      <w:r w:rsidRPr="002E7CB4">
        <w:rPr>
          <w:rFonts w:ascii="Georgia" w:hAnsi="Georgia"/>
          <w:szCs w:val="20"/>
        </w:rPr>
        <w:t>two juvenile courts in Rangoon and Mandalay; provi</w:t>
      </w:r>
      <w:r w:rsidR="00A14C87">
        <w:rPr>
          <w:rFonts w:ascii="Georgia" w:hAnsi="Georgia"/>
          <w:szCs w:val="20"/>
        </w:rPr>
        <w:t>ding</w:t>
      </w:r>
      <w:r w:rsidRPr="002E7CB4">
        <w:rPr>
          <w:rFonts w:ascii="Georgia" w:hAnsi="Georgia"/>
          <w:szCs w:val="20"/>
        </w:rPr>
        <w:t xml:space="preserve"> legal aid to children and families in contact with the law (children as victims, offenders and witnesses); setting up community based child protection and referral systems for complicated child protection cases; and strengthening coordination between key agencies on child protection. </w:t>
      </w:r>
    </w:p>
    <w:p w:rsidR="0067202D" w:rsidRPr="002E7CB4" w:rsidRDefault="0067202D" w:rsidP="00932594">
      <w:pPr>
        <w:pStyle w:val="Heading2"/>
        <w:tabs>
          <w:tab w:val="left" w:pos="1920"/>
        </w:tabs>
        <w:spacing w:before="360" w:after="120" w:line="320" w:lineRule="atLeast"/>
        <w:ind w:left="0"/>
        <w:rPr>
          <w:kern w:val="0"/>
        </w:rPr>
      </w:pPr>
      <w:bookmarkStart w:id="12" w:name="_Toc360980589"/>
      <w:r w:rsidRPr="002E7CB4">
        <w:rPr>
          <w:kern w:val="0"/>
        </w:rPr>
        <w:t>Program-wide initiatives</w:t>
      </w:r>
      <w:bookmarkEnd w:id="12"/>
    </w:p>
    <w:p w:rsidR="0067202D" w:rsidRPr="005F4B65" w:rsidRDefault="0067202D" w:rsidP="005F4B65">
      <w:pPr>
        <w:pStyle w:val="H3"/>
      </w:pPr>
      <w:r w:rsidRPr="005F4B65">
        <w:t xml:space="preserve">Emergency </w:t>
      </w:r>
      <w:r w:rsidR="005D6CB9" w:rsidRPr="005F4B65">
        <w:t>r</w:t>
      </w:r>
      <w:r w:rsidRPr="005F4B65">
        <w:t>esponses</w:t>
      </w:r>
    </w:p>
    <w:p w:rsidR="002E3E10" w:rsidRDefault="002E3E10" w:rsidP="002E3E10">
      <w:pPr>
        <w:spacing w:before="120" w:after="120" w:line="240" w:lineRule="exact"/>
        <w:ind w:right="-340"/>
        <w:rPr>
          <w:rFonts w:ascii="Georgia" w:hAnsi="Georgia"/>
          <w:szCs w:val="20"/>
        </w:rPr>
      </w:pPr>
      <w:r w:rsidRPr="002E7CB4">
        <w:rPr>
          <w:rFonts w:ascii="Georgia" w:hAnsi="Georgia"/>
          <w:szCs w:val="20"/>
        </w:rPr>
        <w:t>Burma is a country prone to natural disasters. In 2010 Australia supported humanitarian responses to disasters and AusAID expects to continue this part of the Burma program in coming years.</w:t>
      </w:r>
    </w:p>
    <w:p w:rsidR="0067202D" w:rsidRPr="005F4B65" w:rsidRDefault="0067202D" w:rsidP="005F4B65">
      <w:pPr>
        <w:pStyle w:val="H3"/>
      </w:pPr>
      <w:r w:rsidRPr="005F4B65">
        <w:t xml:space="preserve">Cyclone Nargis </w:t>
      </w:r>
    </w:p>
    <w:p w:rsidR="002E3E10" w:rsidRPr="002E7CB4" w:rsidRDefault="002E3E10" w:rsidP="002E3E10">
      <w:pPr>
        <w:spacing w:before="120" w:after="120" w:line="240" w:lineRule="exact"/>
        <w:ind w:right="-340"/>
        <w:rPr>
          <w:rFonts w:ascii="Georgia" w:hAnsi="Georgia"/>
          <w:szCs w:val="20"/>
        </w:rPr>
      </w:pPr>
      <w:r w:rsidRPr="002E7CB4">
        <w:rPr>
          <w:rFonts w:ascii="Georgia" w:hAnsi="Georgia"/>
          <w:szCs w:val="20"/>
        </w:rPr>
        <w:lastRenderedPageBreak/>
        <w:t xml:space="preserve">Cyclone Nargis (May 2008) caused massive destruction in the Irrawaddy Delta and Rangoon regions. The United Nations estimated the death toll </w:t>
      </w:r>
      <w:r w:rsidR="00A14C87">
        <w:rPr>
          <w:rFonts w:ascii="Georgia" w:hAnsi="Georgia"/>
          <w:szCs w:val="20"/>
        </w:rPr>
        <w:t>at</w:t>
      </w:r>
      <w:r w:rsidR="00A14C87" w:rsidRPr="002E7CB4">
        <w:rPr>
          <w:rFonts w:ascii="Georgia" w:hAnsi="Georgia"/>
          <w:szCs w:val="20"/>
        </w:rPr>
        <w:t xml:space="preserve"> </w:t>
      </w:r>
      <w:r w:rsidRPr="002E7CB4">
        <w:rPr>
          <w:rFonts w:ascii="Georgia" w:hAnsi="Georgia"/>
          <w:szCs w:val="20"/>
        </w:rPr>
        <w:t>more than 140</w:t>
      </w:r>
      <w:r w:rsidR="00181B24">
        <w:rPr>
          <w:rFonts w:ascii="Georgia" w:hAnsi="Georgia"/>
          <w:szCs w:val="20"/>
        </w:rPr>
        <w:t> </w:t>
      </w:r>
      <w:r w:rsidRPr="002E7CB4">
        <w:rPr>
          <w:rFonts w:ascii="Georgia" w:hAnsi="Georgia"/>
          <w:szCs w:val="20"/>
        </w:rPr>
        <w:t>000, with a further 2.4 million people severely affected. Some 450</w:t>
      </w:r>
      <w:r w:rsidR="00181B24">
        <w:rPr>
          <w:rFonts w:ascii="Georgia" w:hAnsi="Georgia"/>
          <w:szCs w:val="20"/>
        </w:rPr>
        <w:t> </w:t>
      </w:r>
      <w:r w:rsidRPr="002E7CB4">
        <w:rPr>
          <w:rFonts w:ascii="Georgia" w:hAnsi="Georgia"/>
          <w:szCs w:val="20"/>
        </w:rPr>
        <w:t>000 houses were destroyed, as were 60 per cent of schools and 75 per cent of health facilities. Following interventions by the UN Secretary General, the Burmese regime relaxed restrictions to allow humanitarian aid workers to access areas affected by Cyclone Nargis. Australia’s $65</w:t>
      </w:r>
      <w:r w:rsidR="00A14C87">
        <w:rPr>
          <w:rFonts w:ascii="Georgia" w:hAnsi="Georgia"/>
          <w:szCs w:val="20"/>
        </w:rPr>
        <w:t> </w:t>
      </w:r>
      <w:r w:rsidRPr="002E7CB4">
        <w:rPr>
          <w:rFonts w:ascii="Georgia" w:hAnsi="Georgia"/>
          <w:szCs w:val="20"/>
        </w:rPr>
        <w:t>million assistance package (2008</w:t>
      </w:r>
      <w:r w:rsidR="00181B24">
        <w:rPr>
          <w:rFonts w:ascii="Georgia" w:hAnsi="Georgia"/>
          <w:szCs w:val="20"/>
        </w:rPr>
        <w:t>–</w:t>
      </w:r>
      <w:r w:rsidRPr="002E7CB4">
        <w:rPr>
          <w:rFonts w:ascii="Georgia" w:hAnsi="Georgia"/>
          <w:szCs w:val="20"/>
        </w:rPr>
        <w:t xml:space="preserve">10) supported emergency efforts (food, shelter, water and sanitation) and restoration of livelihoods and food security. </w:t>
      </w:r>
    </w:p>
    <w:p w:rsidR="0067202D" w:rsidRPr="005F4B65" w:rsidRDefault="0067202D" w:rsidP="005F4B65">
      <w:pPr>
        <w:pStyle w:val="H3"/>
      </w:pPr>
      <w:r w:rsidRPr="005F4B65">
        <w:t xml:space="preserve">Northern Rakhine State </w:t>
      </w:r>
      <w:r w:rsidR="005D6CB9" w:rsidRPr="005F4B65">
        <w:t>f</w:t>
      </w:r>
      <w:r w:rsidRPr="005F4B65">
        <w:t>loods</w:t>
      </w:r>
    </w:p>
    <w:p w:rsidR="002E3E10" w:rsidRPr="002E7CB4" w:rsidRDefault="002E3E10" w:rsidP="002E3E10">
      <w:pPr>
        <w:spacing w:before="120" w:after="120" w:line="240" w:lineRule="exact"/>
        <w:ind w:right="-340"/>
        <w:rPr>
          <w:rFonts w:ascii="Georgia" w:hAnsi="Georgia"/>
          <w:szCs w:val="20"/>
        </w:rPr>
      </w:pPr>
      <w:r w:rsidRPr="002E7CB4">
        <w:rPr>
          <w:rFonts w:ascii="Georgia" w:hAnsi="Georgia"/>
          <w:szCs w:val="20"/>
        </w:rPr>
        <w:t xml:space="preserve">Widespread flooding and landslides killed 68 people, destroyed houses and bridges and contaminated </w:t>
      </w:r>
      <w:r w:rsidR="00181B24">
        <w:rPr>
          <w:rFonts w:ascii="Georgia" w:hAnsi="Georgia"/>
          <w:szCs w:val="20"/>
        </w:rPr>
        <w:t>more than</w:t>
      </w:r>
      <w:r w:rsidRPr="002E7CB4">
        <w:rPr>
          <w:rFonts w:ascii="Georgia" w:hAnsi="Georgia"/>
          <w:szCs w:val="20"/>
        </w:rPr>
        <w:t xml:space="preserve"> 300 ponds and 500 public and private wells in Northern Rakhine State in Western Burma (June 2010). Australia’s $3 million assistance gave households access to clean water and sanitation facilities, increase</w:t>
      </w:r>
      <w:r w:rsidR="00A14C87">
        <w:rPr>
          <w:rFonts w:ascii="Georgia" w:hAnsi="Georgia"/>
          <w:szCs w:val="20"/>
        </w:rPr>
        <w:t>d</w:t>
      </w:r>
      <w:r w:rsidRPr="002E7CB4">
        <w:rPr>
          <w:rFonts w:ascii="Georgia" w:hAnsi="Georgia"/>
          <w:szCs w:val="20"/>
        </w:rPr>
        <w:t xml:space="preserve"> community knowledge to prevent water borne disease outbreaks and increase</w:t>
      </w:r>
      <w:r w:rsidR="00A14C87">
        <w:rPr>
          <w:rFonts w:ascii="Georgia" w:hAnsi="Georgia"/>
          <w:szCs w:val="20"/>
        </w:rPr>
        <w:t>d</w:t>
      </w:r>
      <w:r w:rsidRPr="002E7CB4">
        <w:rPr>
          <w:rFonts w:ascii="Georgia" w:hAnsi="Georgia"/>
          <w:szCs w:val="20"/>
        </w:rPr>
        <w:t xml:space="preserve"> household preparedness for future disasters.</w:t>
      </w:r>
    </w:p>
    <w:p w:rsidR="0067202D" w:rsidRPr="005F4B65" w:rsidRDefault="0067202D" w:rsidP="005F4B65">
      <w:pPr>
        <w:pStyle w:val="H3"/>
      </w:pPr>
      <w:r w:rsidRPr="005F4B65">
        <w:t>Cyclone Giri</w:t>
      </w:r>
    </w:p>
    <w:p w:rsidR="003074C9" w:rsidRPr="002E7CB4" w:rsidRDefault="003074C9" w:rsidP="003074C9">
      <w:pPr>
        <w:spacing w:before="120" w:after="120" w:line="240" w:lineRule="exact"/>
        <w:ind w:right="-340"/>
        <w:rPr>
          <w:rFonts w:ascii="Georgia" w:hAnsi="Georgia"/>
          <w:szCs w:val="20"/>
        </w:rPr>
      </w:pPr>
      <w:r w:rsidRPr="002E7CB4">
        <w:rPr>
          <w:rFonts w:ascii="Georgia" w:hAnsi="Georgia"/>
          <w:szCs w:val="20"/>
        </w:rPr>
        <w:t>In Rakhine State in the Southwest of Burma, Cyclone Giri (October 2010) killed 45</w:t>
      </w:r>
      <w:r w:rsidR="00A14C87">
        <w:rPr>
          <w:rFonts w:ascii="Georgia" w:hAnsi="Georgia"/>
          <w:szCs w:val="20"/>
        </w:rPr>
        <w:t> </w:t>
      </w:r>
      <w:r w:rsidRPr="002E7CB4">
        <w:rPr>
          <w:rFonts w:ascii="Georgia" w:hAnsi="Georgia"/>
          <w:szCs w:val="20"/>
        </w:rPr>
        <w:t>people and at least 260</w:t>
      </w:r>
      <w:r w:rsidR="00181B24">
        <w:rPr>
          <w:rFonts w:ascii="Georgia" w:hAnsi="Georgia"/>
          <w:szCs w:val="20"/>
        </w:rPr>
        <w:t> </w:t>
      </w:r>
      <w:r w:rsidRPr="002E7CB4">
        <w:rPr>
          <w:rFonts w:ascii="Georgia" w:hAnsi="Georgia"/>
          <w:szCs w:val="20"/>
        </w:rPr>
        <w:t>000 people were severely affected by widespread damage to houses, crops, schools, roads and bridges. Australia provided $3 million for emergency assistance to help affected communities and families recover from the disaster and provide essential food, shelter, clean water and sanitation.</w:t>
      </w:r>
    </w:p>
    <w:p w:rsidR="0067202D" w:rsidRPr="005F4B65" w:rsidRDefault="0067202D" w:rsidP="005F4B65">
      <w:pPr>
        <w:pStyle w:val="H3"/>
      </w:pPr>
      <w:r w:rsidRPr="005F4B65">
        <w:t xml:space="preserve">Civil </w:t>
      </w:r>
      <w:r w:rsidR="005D6CB9" w:rsidRPr="005F4B65">
        <w:t>s</w:t>
      </w:r>
      <w:r w:rsidRPr="005F4B65">
        <w:t>ociety</w:t>
      </w:r>
    </w:p>
    <w:p w:rsidR="003074C9" w:rsidRPr="002E7CB4" w:rsidRDefault="003074C9" w:rsidP="003074C9">
      <w:pPr>
        <w:spacing w:before="120" w:after="120" w:line="240" w:lineRule="exact"/>
        <w:ind w:right="-340"/>
        <w:rPr>
          <w:rFonts w:ascii="Georgia" w:hAnsi="Georgia"/>
          <w:szCs w:val="20"/>
        </w:rPr>
      </w:pPr>
      <w:r w:rsidRPr="002E7CB4">
        <w:rPr>
          <w:rFonts w:ascii="Georgia" w:hAnsi="Georgia"/>
          <w:szCs w:val="20"/>
        </w:rPr>
        <w:t xml:space="preserve">The period of military rule in Burma has been largely characterised by the repression of civil society. Despite the very limited freedoms afforded by military rule, civil society networks and organisations have continued to function. Recent developments in civil society have been influenced by the 2008 Cyclone Nargis disaster. The Nargis relief and recovery effort gave </w:t>
      </w:r>
      <w:r w:rsidR="00A16392">
        <w:rPr>
          <w:rFonts w:ascii="Georgia" w:hAnsi="Georgia"/>
          <w:szCs w:val="20"/>
        </w:rPr>
        <w:t>Burmese civil society</w:t>
      </w:r>
      <w:r w:rsidRPr="002E7CB4">
        <w:rPr>
          <w:rFonts w:ascii="Georgia" w:hAnsi="Georgia"/>
          <w:szCs w:val="20"/>
        </w:rPr>
        <w:t xml:space="preserve"> organisations the opportunity to gain experience in managing the humanitarian response, increased their access to funding opportunities and increased their visibility </w:t>
      </w:r>
      <w:r w:rsidR="00676FD8">
        <w:rPr>
          <w:rFonts w:ascii="Georgia" w:hAnsi="Georgia"/>
          <w:szCs w:val="20"/>
        </w:rPr>
        <w:t>domestically</w:t>
      </w:r>
      <w:r w:rsidRPr="002E7CB4">
        <w:rPr>
          <w:rFonts w:ascii="Georgia" w:hAnsi="Georgia"/>
          <w:szCs w:val="20"/>
        </w:rPr>
        <w:t xml:space="preserve"> and internationally. It also sparked interest on the part of </w:t>
      </w:r>
      <w:r w:rsidR="00A14C87">
        <w:rPr>
          <w:rFonts w:ascii="Georgia" w:hAnsi="Georgia"/>
          <w:szCs w:val="20"/>
        </w:rPr>
        <w:t xml:space="preserve">international </w:t>
      </w:r>
      <w:r w:rsidRPr="002E7CB4">
        <w:rPr>
          <w:rFonts w:ascii="Georgia" w:hAnsi="Georgia"/>
          <w:szCs w:val="20"/>
        </w:rPr>
        <w:t>NGOs, donors, and multilateral</w:t>
      </w:r>
      <w:r w:rsidR="00A14C87">
        <w:rPr>
          <w:rFonts w:ascii="Georgia" w:hAnsi="Georgia"/>
          <w:szCs w:val="20"/>
        </w:rPr>
        <w:t xml:space="preserve"> organisation</w:t>
      </w:r>
      <w:r w:rsidRPr="002E7CB4">
        <w:rPr>
          <w:rFonts w:ascii="Georgia" w:hAnsi="Georgia"/>
          <w:szCs w:val="20"/>
        </w:rPr>
        <w:t>s to work with Burmese civil society organisations. Since then, civil society has grown significantly in human and financial resources</w:t>
      </w:r>
      <w:r w:rsidRPr="002E7CB4">
        <w:rPr>
          <w:rStyle w:val="FootnoteReference"/>
        </w:rPr>
        <w:footnoteReference w:id="11"/>
      </w:r>
      <w:r w:rsidRPr="002E7CB4">
        <w:rPr>
          <w:rFonts w:ascii="Georgia" w:hAnsi="Georgia"/>
          <w:szCs w:val="20"/>
        </w:rPr>
        <w:t xml:space="preserve"> and now seek</w:t>
      </w:r>
      <w:r w:rsidR="00A14C87">
        <w:rPr>
          <w:rFonts w:ascii="Georgia" w:hAnsi="Georgia"/>
          <w:szCs w:val="20"/>
        </w:rPr>
        <w:t>s</w:t>
      </w:r>
      <w:r w:rsidRPr="002E7CB4">
        <w:rPr>
          <w:rFonts w:ascii="Georgia" w:hAnsi="Georgia"/>
          <w:szCs w:val="20"/>
        </w:rPr>
        <w:t xml:space="preserve"> to use </w:t>
      </w:r>
      <w:r w:rsidR="00A14C87">
        <w:rPr>
          <w:rFonts w:ascii="Georgia" w:hAnsi="Georgia"/>
          <w:szCs w:val="20"/>
        </w:rPr>
        <w:t>its</w:t>
      </w:r>
      <w:r w:rsidR="00A14C87" w:rsidRPr="002E7CB4">
        <w:rPr>
          <w:rFonts w:ascii="Georgia" w:hAnsi="Georgia"/>
          <w:szCs w:val="20"/>
        </w:rPr>
        <w:t xml:space="preserve"> </w:t>
      </w:r>
      <w:r w:rsidRPr="002E7CB4">
        <w:rPr>
          <w:rFonts w:ascii="Georgia" w:hAnsi="Georgia"/>
          <w:szCs w:val="20"/>
        </w:rPr>
        <w:t>skills to address other humanitarian and development challenges in the country.</w:t>
      </w:r>
      <w:r w:rsidRPr="002E7CB4">
        <w:rPr>
          <w:rStyle w:val="FootnoteReference"/>
        </w:rPr>
        <w:footnoteReference w:id="12"/>
      </w:r>
      <w:r w:rsidRPr="002E7CB4">
        <w:rPr>
          <w:rFonts w:ascii="Georgia" w:hAnsi="Georgia"/>
          <w:szCs w:val="20"/>
        </w:rPr>
        <w:t xml:space="preserve"> </w:t>
      </w:r>
    </w:p>
    <w:p w:rsidR="003074C9" w:rsidRDefault="00676FD8" w:rsidP="003074C9">
      <w:pPr>
        <w:spacing w:before="120" w:after="120" w:line="240" w:lineRule="exact"/>
        <w:ind w:right="-340"/>
        <w:rPr>
          <w:rFonts w:ascii="Georgia" w:hAnsi="Georgia"/>
          <w:szCs w:val="20"/>
        </w:rPr>
      </w:pPr>
      <w:r>
        <w:rPr>
          <w:rFonts w:ascii="Georgia" w:hAnsi="Georgia"/>
          <w:szCs w:val="20"/>
        </w:rPr>
        <w:t xml:space="preserve">In line with </w:t>
      </w:r>
      <w:r w:rsidRPr="002E7CB4">
        <w:rPr>
          <w:rFonts w:ascii="Georgia" w:hAnsi="Georgia"/>
          <w:szCs w:val="20"/>
        </w:rPr>
        <w:t>The Ministerial Statement on Burma (2010)</w:t>
      </w:r>
      <w:r>
        <w:rPr>
          <w:rFonts w:ascii="Georgia" w:hAnsi="Georgia"/>
          <w:szCs w:val="20"/>
        </w:rPr>
        <w:t xml:space="preserve">, </w:t>
      </w:r>
      <w:r w:rsidR="003074C9" w:rsidRPr="002E7CB4">
        <w:rPr>
          <w:rFonts w:ascii="Georgia" w:hAnsi="Georgia"/>
          <w:szCs w:val="20"/>
        </w:rPr>
        <w:t xml:space="preserve">AusAID </w:t>
      </w:r>
      <w:r w:rsidR="00B00784">
        <w:rPr>
          <w:rFonts w:ascii="Georgia" w:hAnsi="Georgia"/>
          <w:szCs w:val="20"/>
        </w:rPr>
        <w:t xml:space="preserve">continues to </w:t>
      </w:r>
      <w:r w:rsidR="003074C9" w:rsidRPr="002E7CB4">
        <w:rPr>
          <w:rFonts w:ascii="Georgia" w:hAnsi="Georgia"/>
          <w:szCs w:val="20"/>
        </w:rPr>
        <w:t xml:space="preserve">support civil society through the Periodic Support for Humanitarian Assistance to Burma mechanism and through supporting </w:t>
      </w:r>
      <w:r w:rsidR="00BE6D6C">
        <w:rPr>
          <w:rFonts w:ascii="Georgia" w:hAnsi="Georgia"/>
          <w:szCs w:val="20"/>
        </w:rPr>
        <w:t>t</w:t>
      </w:r>
      <w:r w:rsidR="00BE6D6C" w:rsidRPr="00BE6D6C">
        <w:rPr>
          <w:rFonts w:ascii="Georgia" w:hAnsi="Georgia"/>
          <w:szCs w:val="20"/>
        </w:rPr>
        <w:t>he Paung Ku development approach of micro-grants, mentoring and technical support to meet local communities’ needs</w:t>
      </w:r>
      <w:r w:rsidR="00BE6D6C">
        <w:rPr>
          <w:rFonts w:ascii="Arial" w:hAnsi="Arial" w:cs="Arial"/>
          <w:szCs w:val="20"/>
          <w:lang w:val="en-US"/>
        </w:rPr>
        <w:t xml:space="preserve">. </w:t>
      </w:r>
      <w:r w:rsidR="003074C9" w:rsidRPr="002E7CB4">
        <w:rPr>
          <w:rFonts w:ascii="Georgia" w:hAnsi="Georgia"/>
          <w:szCs w:val="20"/>
        </w:rPr>
        <w:t xml:space="preserve">Paung Ku works with </w:t>
      </w:r>
      <w:r w:rsidR="00181B24">
        <w:rPr>
          <w:rFonts w:ascii="Georgia" w:hAnsi="Georgia"/>
          <w:szCs w:val="20"/>
        </w:rPr>
        <w:t>more than</w:t>
      </w:r>
      <w:r w:rsidR="003074C9" w:rsidRPr="002E7CB4">
        <w:rPr>
          <w:rFonts w:ascii="Georgia" w:hAnsi="Georgia"/>
          <w:szCs w:val="20"/>
        </w:rPr>
        <w:t xml:space="preserve"> 500 local groups to disburse more than US</w:t>
      </w:r>
      <w:r w:rsidR="00181B24">
        <w:rPr>
          <w:rFonts w:ascii="Georgia" w:hAnsi="Georgia"/>
          <w:szCs w:val="20"/>
        </w:rPr>
        <w:t>$</w:t>
      </w:r>
      <w:r w:rsidR="003074C9" w:rsidRPr="002E7CB4">
        <w:rPr>
          <w:rFonts w:ascii="Georgia" w:hAnsi="Georgia"/>
          <w:szCs w:val="20"/>
        </w:rPr>
        <w:t xml:space="preserve">2 million worth of grants and supports </w:t>
      </w:r>
      <w:r w:rsidR="00181B24">
        <w:rPr>
          <w:rFonts w:ascii="Georgia" w:hAnsi="Georgia"/>
          <w:szCs w:val="20"/>
        </w:rPr>
        <w:t>more than</w:t>
      </w:r>
      <w:r w:rsidR="003074C9" w:rsidRPr="002E7CB4">
        <w:rPr>
          <w:rFonts w:ascii="Georgia" w:hAnsi="Georgia"/>
          <w:szCs w:val="20"/>
        </w:rPr>
        <w:t xml:space="preserve"> 100 local organisations through capacity building and mentoring. </w:t>
      </w:r>
    </w:p>
    <w:p w:rsidR="0067202D" w:rsidRPr="002E7CB4" w:rsidRDefault="0067202D" w:rsidP="00932594">
      <w:pPr>
        <w:pStyle w:val="Heading2"/>
        <w:tabs>
          <w:tab w:val="left" w:pos="1920"/>
        </w:tabs>
        <w:spacing w:before="360" w:after="120" w:line="320" w:lineRule="atLeast"/>
        <w:ind w:left="0"/>
        <w:rPr>
          <w:kern w:val="0"/>
        </w:rPr>
      </w:pPr>
      <w:bookmarkStart w:id="13" w:name="_Toc360980590"/>
      <w:r w:rsidRPr="002E7CB4">
        <w:rPr>
          <w:kern w:val="0"/>
        </w:rPr>
        <w:t>Regional programs</w:t>
      </w:r>
      <w:bookmarkEnd w:id="13"/>
      <w:r w:rsidRPr="002E7CB4">
        <w:rPr>
          <w:kern w:val="0"/>
        </w:rPr>
        <w:t xml:space="preserve"> </w:t>
      </w:r>
    </w:p>
    <w:p w:rsidR="000C3490" w:rsidRPr="002E7CB4" w:rsidRDefault="000C3490" w:rsidP="000C3490">
      <w:pPr>
        <w:spacing w:before="120" w:after="120" w:line="240" w:lineRule="exact"/>
        <w:ind w:right="-340"/>
        <w:rPr>
          <w:rFonts w:ascii="Georgia" w:hAnsi="Georgia"/>
          <w:szCs w:val="20"/>
        </w:rPr>
      </w:pPr>
      <w:r w:rsidRPr="002E7CB4">
        <w:rPr>
          <w:rFonts w:ascii="Georgia" w:hAnsi="Georgia"/>
          <w:szCs w:val="20"/>
        </w:rPr>
        <w:t xml:space="preserve">Burma is included in several AusAID programs that support regional institutions </w:t>
      </w:r>
      <w:r w:rsidR="001D5B24">
        <w:rPr>
          <w:rFonts w:ascii="Georgia" w:hAnsi="Georgia"/>
          <w:szCs w:val="20"/>
        </w:rPr>
        <w:t>tackling</w:t>
      </w:r>
      <w:r w:rsidRPr="002E7CB4">
        <w:rPr>
          <w:rFonts w:ascii="Georgia" w:hAnsi="Georgia"/>
          <w:szCs w:val="20"/>
        </w:rPr>
        <w:t xml:space="preserve"> economic integration, security and transboundary challenges including emerging infectious diseases, people trafficking, HIV/AIDS and illicit drugs. </w:t>
      </w:r>
    </w:p>
    <w:p w:rsidR="000C3490" w:rsidRPr="002E7CB4" w:rsidRDefault="000C3490" w:rsidP="000C3490">
      <w:pPr>
        <w:spacing w:before="120" w:after="120" w:line="240" w:lineRule="exact"/>
        <w:ind w:right="-340"/>
        <w:rPr>
          <w:rFonts w:ascii="Georgia" w:hAnsi="Georgia"/>
          <w:szCs w:val="20"/>
        </w:rPr>
      </w:pPr>
      <w:r w:rsidRPr="002E7CB4">
        <w:rPr>
          <w:rFonts w:ascii="Georgia" w:hAnsi="Georgia"/>
          <w:szCs w:val="20"/>
        </w:rPr>
        <w:lastRenderedPageBreak/>
        <w:t xml:space="preserve">The $66.7 million </w:t>
      </w:r>
      <w:r w:rsidR="000A7ABD" w:rsidRPr="000A7ABD">
        <w:rPr>
          <w:rFonts w:ascii="Georgia" w:hAnsi="Georgia"/>
          <w:szCs w:val="20"/>
        </w:rPr>
        <w:t xml:space="preserve">Association of Southeast Asian Nations </w:t>
      </w:r>
      <w:r w:rsidRPr="002E7CB4">
        <w:rPr>
          <w:rFonts w:ascii="Georgia" w:hAnsi="Georgia"/>
          <w:szCs w:val="20"/>
        </w:rPr>
        <w:t>Australian Development Corporation Phase II (2008</w:t>
      </w:r>
      <w:r w:rsidR="00181B24">
        <w:rPr>
          <w:rFonts w:ascii="Georgia" w:hAnsi="Georgia"/>
          <w:szCs w:val="20"/>
        </w:rPr>
        <w:t>–</w:t>
      </w:r>
      <w:r w:rsidRPr="002E7CB4">
        <w:rPr>
          <w:rFonts w:ascii="Georgia" w:hAnsi="Georgia"/>
          <w:szCs w:val="20"/>
        </w:rPr>
        <w:t xml:space="preserve">15) capacity building program supports </w:t>
      </w:r>
      <w:r w:rsidR="001D5B24">
        <w:rPr>
          <w:rFonts w:ascii="Georgia" w:hAnsi="Georgia"/>
          <w:szCs w:val="20"/>
        </w:rPr>
        <w:t xml:space="preserve">the </w:t>
      </w:r>
      <w:r w:rsidR="000A7ABD" w:rsidRPr="000A7ABD">
        <w:rPr>
          <w:rFonts w:ascii="Georgia" w:hAnsi="Georgia"/>
          <w:szCs w:val="20"/>
        </w:rPr>
        <w:t xml:space="preserve">Association of Southeast Asian Nations </w:t>
      </w:r>
      <w:r w:rsidR="001D5B24">
        <w:rPr>
          <w:rFonts w:ascii="Georgia" w:hAnsi="Georgia"/>
          <w:szCs w:val="20"/>
        </w:rPr>
        <w:t xml:space="preserve">to </w:t>
      </w:r>
      <w:r w:rsidRPr="002E7CB4">
        <w:rPr>
          <w:rFonts w:ascii="Georgia" w:hAnsi="Georgia"/>
          <w:szCs w:val="20"/>
        </w:rPr>
        <w:t xml:space="preserve">implement its economic integration policies. </w:t>
      </w:r>
    </w:p>
    <w:p w:rsidR="000C3490" w:rsidRPr="002E7CB4" w:rsidRDefault="000C3490" w:rsidP="000C3490">
      <w:pPr>
        <w:spacing w:before="120" w:after="120" w:line="240" w:lineRule="exact"/>
        <w:ind w:right="-340"/>
        <w:rPr>
          <w:rFonts w:ascii="Georgia" w:hAnsi="Georgia"/>
          <w:szCs w:val="20"/>
        </w:rPr>
      </w:pPr>
      <w:r w:rsidRPr="002E7CB4">
        <w:rPr>
          <w:rFonts w:ascii="Georgia" w:hAnsi="Georgia"/>
          <w:szCs w:val="20"/>
        </w:rPr>
        <w:t>The Asia Regional Trafficking in Persons Project</w:t>
      </w:r>
      <w:r w:rsidR="001D5B24">
        <w:rPr>
          <w:rFonts w:ascii="Georgia" w:hAnsi="Georgia"/>
          <w:szCs w:val="20"/>
        </w:rPr>
        <w:t>—</w:t>
      </w:r>
      <w:r w:rsidRPr="002E7CB4">
        <w:rPr>
          <w:rFonts w:ascii="Georgia" w:hAnsi="Georgia"/>
          <w:szCs w:val="20"/>
        </w:rPr>
        <w:t>a $21</w:t>
      </w:r>
      <w:r w:rsidR="001D5B24">
        <w:rPr>
          <w:rFonts w:ascii="Georgia" w:hAnsi="Georgia"/>
          <w:szCs w:val="20"/>
        </w:rPr>
        <w:t>-</w:t>
      </w:r>
      <w:r w:rsidRPr="002E7CB4">
        <w:rPr>
          <w:rFonts w:ascii="Georgia" w:hAnsi="Georgia"/>
          <w:szCs w:val="20"/>
        </w:rPr>
        <w:t>million</w:t>
      </w:r>
      <w:r w:rsidR="001D5B24">
        <w:rPr>
          <w:rFonts w:ascii="Georgia" w:hAnsi="Georgia"/>
          <w:szCs w:val="20"/>
        </w:rPr>
        <w:t>,</w:t>
      </w:r>
      <w:r w:rsidRPr="002E7CB4">
        <w:rPr>
          <w:rFonts w:ascii="Georgia" w:hAnsi="Georgia"/>
          <w:szCs w:val="20"/>
        </w:rPr>
        <w:t xml:space="preserve"> five</w:t>
      </w:r>
      <w:r w:rsidR="001D5B24">
        <w:rPr>
          <w:rFonts w:ascii="Georgia" w:hAnsi="Georgia"/>
          <w:szCs w:val="20"/>
        </w:rPr>
        <w:t>-</w:t>
      </w:r>
      <w:r w:rsidRPr="002E7CB4">
        <w:rPr>
          <w:rFonts w:ascii="Georgia" w:hAnsi="Georgia"/>
          <w:szCs w:val="20"/>
        </w:rPr>
        <w:t>year initiative</w:t>
      </w:r>
      <w:r w:rsidR="001D5B24">
        <w:rPr>
          <w:rFonts w:ascii="Georgia" w:hAnsi="Georgia"/>
          <w:szCs w:val="20"/>
        </w:rPr>
        <w:t>,</w:t>
      </w:r>
      <w:r w:rsidRPr="002E7CB4">
        <w:rPr>
          <w:rFonts w:ascii="Georgia" w:hAnsi="Georgia"/>
          <w:szCs w:val="20"/>
        </w:rPr>
        <w:t xml:space="preserve"> contribute</w:t>
      </w:r>
      <w:r w:rsidR="001D5B24">
        <w:rPr>
          <w:rFonts w:ascii="Georgia" w:hAnsi="Georgia"/>
          <w:szCs w:val="20"/>
        </w:rPr>
        <w:t>s</w:t>
      </w:r>
      <w:r w:rsidRPr="002E7CB4">
        <w:rPr>
          <w:rFonts w:ascii="Georgia" w:hAnsi="Georgia"/>
          <w:szCs w:val="20"/>
        </w:rPr>
        <w:t xml:space="preserve"> to </w:t>
      </w:r>
      <w:r w:rsidR="001D5B24">
        <w:rPr>
          <w:rFonts w:ascii="Georgia" w:hAnsi="Georgia"/>
          <w:szCs w:val="20"/>
        </w:rPr>
        <w:t>stopping</w:t>
      </w:r>
      <w:r w:rsidRPr="002E7CB4">
        <w:rPr>
          <w:rFonts w:ascii="Georgia" w:hAnsi="Georgia"/>
          <w:szCs w:val="20"/>
        </w:rPr>
        <w:t xml:space="preserve"> human trafficking </w:t>
      </w:r>
      <w:r w:rsidR="001D5B24">
        <w:rPr>
          <w:rFonts w:ascii="Georgia" w:hAnsi="Georgia"/>
          <w:szCs w:val="20"/>
        </w:rPr>
        <w:t>by</w:t>
      </w:r>
      <w:r w:rsidR="001D5B24" w:rsidRPr="002E7CB4">
        <w:rPr>
          <w:rFonts w:ascii="Georgia" w:hAnsi="Georgia"/>
          <w:szCs w:val="20"/>
        </w:rPr>
        <w:t xml:space="preserve"> </w:t>
      </w:r>
      <w:r w:rsidRPr="002E7CB4">
        <w:rPr>
          <w:rFonts w:ascii="Georgia" w:hAnsi="Georgia"/>
          <w:szCs w:val="20"/>
        </w:rPr>
        <w:t>building the capacity of government criminal justice agencies, strengthening national law enforcement, judicial and prosecutorial functions</w:t>
      </w:r>
      <w:r w:rsidR="001D5B24">
        <w:rPr>
          <w:rFonts w:ascii="Georgia" w:hAnsi="Georgia"/>
          <w:szCs w:val="20"/>
        </w:rPr>
        <w:t>,</w:t>
      </w:r>
      <w:r w:rsidRPr="002E7CB4">
        <w:rPr>
          <w:rFonts w:ascii="Georgia" w:hAnsi="Georgia"/>
          <w:szCs w:val="20"/>
        </w:rPr>
        <w:t xml:space="preserve"> and encouraging bilateral and regional cooperation.</w:t>
      </w:r>
    </w:p>
    <w:p w:rsidR="000C3490" w:rsidRPr="002E7CB4" w:rsidRDefault="000C3490" w:rsidP="000C3490">
      <w:pPr>
        <w:spacing w:before="120" w:after="120" w:line="240" w:lineRule="exact"/>
        <w:ind w:right="-340"/>
        <w:rPr>
          <w:rFonts w:ascii="Georgia" w:hAnsi="Georgia"/>
          <w:szCs w:val="20"/>
        </w:rPr>
      </w:pPr>
      <w:r w:rsidRPr="002E7CB4">
        <w:rPr>
          <w:rFonts w:ascii="Georgia" w:hAnsi="Georgia"/>
          <w:szCs w:val="20"/>
        </w:rPr>
        <w:t>The HIV/AIDS Asia Regional Program (2007</w:t>
      </w:r>
      <w:r w:rsidR="00181B24">
        <w:rPr>
          <w:rFonts w:ascii="Georgia" w:hAnsi="Georgia"/>
          <w:szCs w:val="20"/>
        </w:rPr>
        <w:t>–</w:t>
      </w:r>
      <w:r w:rsidRPr="002E7CB4">
        <w:rPr>
          <w:rFonts w:ascii="Georgia" w:hAnsi="Georgia"/>
          <w:szCs w:val="20"/>
        </w:rPr>
        <w:t xml:space="preserve">15) is a $19.3 million program </w:t>
      </w:r>
      <w:r w:rsidR="00F26702">
        <w:rPr>
          <w:rFonts w:ascii="Georgia" w:hAnsi="Georgia"/>
          <w:szCs w:val="20"/>
        </w:rPr>
        <w:t xml:space="preserve">concerned with </w:t>
      </w:r>
      <w:r w:rsidR="00F26702" w:rsidRPr="00F26702">
        <w:rPr>
          <w:rFonts w:ascii="Georgia" w:hAnsi="Georgia"/>
          <w:szCs w:val="20"/>
        </w:rPr>
        <w:t>reducing the spread of HIV associated with drug use among men and women in the South East Asia region</w:t>
      </w:r>
      <w:r w:rsidR="00F26702">
        <w:rPr>
          <w:rFonts w:ascii="Georgia" w:hAnsi="Georgia"/>
          <w:szCs w:val="20"/>
        </w:rPr>
        <w:t>.</w:t>
      </w:r>
      <w:r w:rsidRPr="002E7CB4">
        <w:rPr>
          <w:rFonts w:ascii="Georgia" w:hAnsi="Georgia"/>
          <w:szCs w:val="20"/>
        </w:rPr>
        <w:t xml:space="preserve"> Within Burma, </w:t>
      </w:r>
      <w:r w:rsidR="000A7ABD">
        <w:rPr>
          <w:rFonts w:ascii="Georgia" w:hAnsi="Georgia"/>
          <w:szCs w:val="20"/>
        </w:rPr>
        <w:t>t</w:t>
      </w:r>
      <w:r w:rsidR="000A7ABD" w:rsidRPr="000A7ABD">
        <w:rPr>
          <w:rFonts w:ascii="Georgia" w:hAnsi="Georgia"/>
          <w:szCs w:val="20"/>
        </w:rPr>
        <w:t xml:space="preserve">he Program </w:t>
      </w:r>
      <w:r w:rsidRPr="002E7CB4">
        <w:rPr>
          <w:rFonts w:ascii="Georgia" w:hAnsi="Georgia"/>
          <w:szCs w:val="20"/>
        </w:rPr>
        <w:t xml:space="preserve">operates in </w:t>
      </w:r>
      <w:r w:rsidR="001D5B24">
        <w:rPr>
          <w:rFonts w:ascii="Georgia" w:hAnsi="Georgia"/>
          <w:szCs w:val="20"/>
        </w:rPr>
        <w:t>10</w:t>
      </w:r>
      <w:r w:rsidR="00E71483">
        <w:rPr>
          <w:rFonts w:ascii="Georgia" w:hAnsi="Georgia"/>
          <w:szCs w:val="20"/>
        </w:rPr>
        <w:t> </w:t>
      </w:r>
      <w:r w:rsidRPr="002E7CB4">
        <w:rPr>
          <w:rFonts w:ascii="Georgia" w:hAnsi="Georgia"/>
          <w:szCs w:val="20"/>
        </w:rPr>
        <w:t>sites. </w:t>
      </w:r>
    </w:p>
    <w:p w:rsidR="0067202D" w:rsidRPr="005F4B65" w:rsidRDefault="0067202D" w:rsidP="005F4B65">
      <w:pPr>
        <w:pStyle w:val="H3"/>
      </w:pPr>
      <w:r w:rsidRPr="005F4B65">
        <w:t>Scholarships</w:t>
      </w:r>
    </w:p>
    <w:p w:rsidR="000C3490" w:rsidRPr="002E7CB4" w:rsidRDefault="000C3490" w:rsidP="000C3490">
      <w:pPr>
        <w:spacing w:before="120" w:after="120" w:line="240" w:lineRule="exact"/>
        <w:ind w:right="-340"/>
        <w:rPr>
          <w:rFonts w:ascii="Georgia" w:hAnsi="Georgia"/>
          <w:szCs w:val="20"/>
        </w:rPr>
      </w:pPr>
      <w:r w:rsidRPr="002E7CB4">
        <w:rPr>
          <w:rFonts w:ascii="Georgia" w:hAnsi="Georgia"/>
          <w:szCs w:val="20"/>
        </w:rPr>
        <w:t xml:space="preserve">As part of the 2011 academic year scholarships pilot program, </w:t>
      </w:r>
      <w:r w:rsidR="001D5B24">
        <w:rPr>
          <w:rFonts w:ascii="Georgia" w:hAnsi="Georgia"/>
          <w:szCs w:val="20"/>
        </w:rPr>
        <w:t>10</w:t>
      </w:r>
      <w:r w:rsidR="001D5B24" w:rsidRPr="002E7CB4">
        <w:rPr>
          <w:rFonts w:ascii="Georgia" w:hAnsi="Georgia"/>
          <w:szCs w:val="20"/>
        </w:rPr>
        <w:t xml:space="preserve"> </w:t>
      </w:r>
      <w:r w:rsidRPr="002E7CB4">
        <w:rPr>
          <w:rFonts w:ascii="Georgia" w:hAnsi="Georgia"/>
          <w:szCs w:val="20"/>
        </w:rPr>
        <w:t xml:space="preserve">postgraduate students </w:t>
      </w:r>
      <w:r w:rsidR="001D5B24">
        <w:rPr>
          <w:rFonts w:ascii="Georgia" w:hAnsi="Georgia"/>
          <w:szCs w:val="20"/>
        </w:rPr>
        <w:t>started</w:t>
      </w:r>
      <w:r w:rsidR="001D5B24" w:rsidRPr="002E7CB4">
        <w:rPr>
          <w:rFonts w:ascii="Georgia" w:hAnsi="Georgia"/>
          <w:szCs w:val="20"/>
        </w:rPr>
        <w:t xml:space="preserve"> </w:t>
      </w:r>
      <w:r w:rsidRPr="002E7CB4">
        <w:rPr>
          <w:rFonts w:ascii="Georgia" w:hAnsi="Georgia"/>
          <w:szCs w:val="20"/>
        </w:rPr>
        <w:t>study at Australian universities to</w:t>
      </w:r>
      <w:r w:rsidR="001D5B24">
        <w:rPr>
          <w:rFonts w:ascii="Georgia" w:hAnsi="Georgia"/>
          <w:szCs w:val="20"/>
        </w:rPr>
        <w:t xml:space="preserve"> gain knowledge and skills they can transfer to their country once they have returned home. This includes</w:t>
      </w:r>
      <w:r w:rsidRPr="002E7CB4">
        <w:rPr>
          <w:rFonts w:ascii="Georgia" w:hAnsi="Georgia"/>
          <w:szCs w:val="20"/>
        </w:rPr>
        <w:t xml:space="preserve"> strengthen</w:t>
      </w:r>
      <w:r w:rsidR="001D5B24">
        <w:rPr>
          <w:rFonts w:ascii="Georgia" w:hAnsi="Georgia"/>
          <w:szCs w:val="20"/>
        </w:rPr>
        <w:t>ing</w:t>
      </w:r>
      <w:r w:rsidRPr="002E7CB4">
        <w:rPr>
          <w:rFonts w:ascii="Georgia" w:hAnsi="Georgia"/>
          <w:szCs w:val="20"/>
        </w:rPr>
        <w:t xml:space="preserve"> essential service delivery. In future, topic</w:t>
      </w:r>
      <w:r w:rsidR="001D5B24">
        <w:rPr>
          <w:rFonts w:ascii="Georgia" w:hAnsi="Georgia"/>
          <w:szCs w:val="20"/>
        </w:rPr>
        <w:t>s</w:t>
      </w:r>
      <w:r w:rsidRPr="002E7CB4">
        <w:rPr>
          <w:rFonts w:ascii="Georgia" w:hAnsi="Georgia"/>
          <w:szCs w:val="20"/>
        </w:rPr>
        <w:t xml:space="preserve"> of study will be more closely aligned with the </w:t>
      </w:r>
      <w:r w:rsidR="001D5B24">
        <w:rPr>
          <w:rFonts w:ascii="Georgia" w:hAnsi="Georgia"/>
          <w:szCs w:val="20"/>
        </w:rPr>
        <w:t xml:space="preserve">Burma </w:t>
      </w:r>
      <w:r w:rsidRPr="002E7CB4">
        <w:rPr>
          <w:rFonts w:ascii="Georgia" w:hAnsi="Georgia"/>
          <w:szCs w:val="20"/>
        </w:rPr>
        <w:t xml:space="preserve">program sectors of health, education and food security. </w:t>
      </w:r>
    </w:p>
    <w:p w:rsidR="000C3490" w:rsidRPr="002E7CB4" w:rsidRDefault="00FA6242" w:rsidP="000C3490">
      <w:pPr>
        <w:pStyle w:val="Heading1"/>
        <w:spacing w:before="360" w:after="120"/>
        <w:ind w:left="0"/>
        <w:rPr>
          <w:color w:val="800000"/>
        </w:rPr>
      </w:pPr>
      <w:bookmarkStart w:id="14" w:name="_Toc360980591"/>
      <w:r w:rsidRPr="002E7CB4">
        <w:rPr>
          <w:color w:val="800000"/>
        </w:rPr>
        <w:t xml:space="preserve">Program </w:t>
      </w:r>
      <w:r w:rsidR="005D6CB9">
        <w:rPr>
          <w:color w:val="800000"/>
        </w:rPr>
        <w:t>q</w:t>
      </w:r>
      <w:r w:rsidR="000C3490" w:rsidRPr="002E7CB4">
        <w:rPr>
          <w:color w:val="800000"/>
        </w:rPr>
        <w:t>uality</w:t>
      </w:r>
      <w:bookmarkEnd w:id="14"/>
    </w:p>
    <w:p w:rsidR="00FA6242" w:rsidRPr="002E7CB4" w:rsidRDefault="00FA6242" w:rsidP="00FA6242">
      <w:pPr>
        <w:spacing w:before="120" w:after="120" w:line="240" w:lineRule="exact"/>
        <w:ind w:right="-340"/>
        <w:rPr>
          <w:rFonts w:ascii="Georgia" w:hAnsi="Georgia"/>
          <w:szCs w:val="20"/>
        </w:rPr>
      </w:pPr>
      <w:r w:rsidRPr="002E7CB4">
        <w:rPr>
          <w:rFonts w:ascii="Georgia" w:hAnsi="Georgia"/>
          <w:szCs w:val="20"/>
        </w:rPr>
        <w:t xml:space="preserve">This is the first </w:t>
      </w:r>
      <w:r w:rsidR="000B3686">
        <w:rPr>
          <w:rFonts w:ascii="Georgia" w:hAnsi="Georgia"/>
          <w:szCs w:val="20"/>
        </w:rPr>
        <w:t xml:space="preserve">Development Cooperation Report </w:t>
      </w:r>
      <w:r w:rsidRPr="002E7CB4">
        <w:rPr>
          <w:rFonts w:ascii="Georgia" w:hAnsi="Georgia"/>
          <w:szCs w:val="20"/>
        </w:rPr>
        <w:t xml:space="preserve">for </w:t>
      </w:r>
      <w:r w:rsidR="001D5B24">
        <w:rPr>
          <w:rFonts w:ascii="Georgia" w:hAnsi="Georgia"/>
          <w:szCs w:val="20"/>
        </w:rPr>
        <w:t>Australia’s aid program in</w:t>
      </w:r>
      <w:r w:rsidR="001D5B24" w:rsidRPr="002E7CB4">
        <w:rPr>
          <w:rFonts w:ascii="Georgia" w:hAnsi="Georgia"/>
          <w:szCs w:val="20"/>
        </w:rPr>
        <w:t xml:space="preserve"> </w:t>
      </w:r>
      <w:r w:rsidRPr="002E7CB4">
        <w:rPr>
          <w:rFonts w:ascii="Georgia" w:hAnsi="Georgia"/>
          <w:szCs w:val="20"/>
        </w:rPr>
        <w:t xml:space="preserve">Burma. </w:t>
      </w:r>
      <w:r w:rsidR="001D5B24">
        <w:rPr>
          <w:rFonts w:ascii="Georgia" w:hAnsi="Georgia"/>
          <w:szCs w:val="20"/>
        </w:rPr>
        <w:t xml:space="preserve">Australia relies on the </w:t>
      </w:r>
      <w:r w:rsidRPr="002E7CB4">
        <w:rPr>
          <w:rFonts w:ascii="Georgia" w:hAnsi="Georgia"/>
          <w:szCs w:val="20"/>
        </w:rPr>
        <w:t xml:space="preserve">performance management systems </w:t>
      </w:r>
      <w:r w:rsidR="006B7D8E">
        <w:rPr>
          <w:rFonts w:ascii="Georgia" w:hAnsi="Georgia"/>
          <w:szCs w:val="20"/>
        </w:rPr>
        <w:t xml:space="preserve">that </w:t>
      </w:r>
      <w:r w:rsidR="001D5B24">
        <w:rPr>
          <w:rFonts w:ascii="Georgia" w:hAnsi="Georgia"/>
          <w:szCs w:val="20"/>
        </w:rPr>
        <w:t xml:space="preserve">implementing partners have in place </w:t>
      </w:r>
      <w:r w:rsidRPr="002E7CB4">
        <w:rPr>
          <w:rFonts w:ascii="Georgia" w:hAnsi="Georgia"/>
          <w:szCs w:val="20"/>
        </w:rPr>
        <w:t>and AusAID</w:t>
      </w:r>
      <w:r w:rsidR="001D5B24">
        <w:rPr>
          <w:rFonts w:ascii="Georgia" w:hAnsi="Georgia"/>
          <w:szCs w:val="20"/>
        </w:rPr>
        <w:t>’s</w:t>
      </w:r>
      <w:r w:rsidRPr="002E7CB4">
        <w:rPr>
          <w:rFonts w:ascii="Georgia" w:hAnsi="Georgia"/>
          <w:szCs w:val="20"/>
        </w:rPr>
        <w:t xml:space="preserve"> </w:t>
      </w:r>
      <w:r w:rsidR="000B3686">
        <w:rPr>
          <w:rFonts w:ascii="Georgia" w:hAnsi="Georgia"/>
          <w:szCs w:val="20"/>
        </w:rPr>
        <w:t>internal quality assessment system</w:t>
      </w:r>
      <w:r w:rsidRPr="002E7CB4">
        <w:rPr>
          <w:rFonts w:ascii="Georgia" w:hAnsi="Georgia"/>
          <w:szCs w:val="20"/>
        </w:rPr>
        <w:t xml:space="preserve"> </w:t>
      </w:r>
      <w:r w:rsidR="001D5B24">
        <w:rPr>
          <w:rFonts w:ascii="Georgia" w:hAnsi="Georgia"/>
          <w:szCs w:val="20"/>
        </w:rPr>
        <w:t>to measure and evaluate</w:t>
      </w:r>
      <w:r w:rsidR="001D5B24" w:rsidRPr="002E7CB4">
        <w:rPr>
          <w:rFonts w:ascii="Georgia" w:hAnsi="Georgia"/>
          <w:szCs w:val="20"/>
        </w:rPr>
        <w:t xml:space="preserve"> </w:t>
      </w:r>
      <w:r w:rsidRPr="002E7CB4">
        <w:rPr>
          <w:rFonts w:ascii="Georgia" w:hAnsi="Georgia"/>
          <w:szCs w:val="20"/>
        </w:rPr>
        <w:t xml:space="preserve">all monitorable activities. </w:t>
      </w:r>
    </w:p>
    <w:p w:rsidR="00FA6242" w:rsidRDefault="001D5B24" w:rsidP="00F94B8B">
      <w:pPr>
        <w:spacing w:before="120" w:after="120" w:line="240" w:lineRule="exact"/>
        <w:ind w:right="-340"/>
        <w:rPr>
          <w:rFonts w:ascii="Georgia" w:hAnsi="Georgia"/>
          <w:szCs w:val="20"/>
        </w:rPr>
      </w:pPr>
      <w:r>
        <w:rPr>
          <w:rFonts w:ascii="Georgia" w:hAnsi="Georgia"/>
          <w:szCs w:val="20"/>
        </w:rPr>
        <w:t>Table 6</w:t>
      </w:r>
      <w:r w:rsidR="00F94B8B" w:rsidRPr="00F94B8B">
        <w:rPr>
          <w:rFonts w:ascii="Georgia" w:hAnsi="Georgia"/>
          <w:szCs w:val="20"/>
        </w:rPr>
        <w:t xml:space="preserve"> </w:t>
      </w:r>
      <w:r w:rsidR="00F94B8B">
        <w:rPr>
          <w:rFonts w:ascii="Georgia" w:hAnsi="Georgia"/>
          <w:szCs w:val="20"/>
        </w:rPr>
        <w:t>provides the q</w:t>
      </w:r>
      <w:r w:rsidR="00F94B8B" w:rsidRPr="002E7CB4">
        <w:rPr>
          <w:rFonts w:ascii="Georgia" w:hAnsi="Georgia"/>
          <w:szCs w:val="20"/>
        </w:rPr>
        <w:t>uality rating</w:t>
      </w:r>
      <w:r w:rsidR="00F94B8B">
        <w:rPr>
          <w:rFonts w:ascii="Georgia" w:hAnsi="Georgia"/>
          <w:szCs w:val="20"/>
        </w:rPr>
        <w:t xml:space="preserve"> scores</w:t>
      </w:r>
      <w:r w:rsidR="00F94B8B" w:rsidRPr="002E7CB4">
        <w:rPr>
          <w:rFonts w:ascii="Georgia" w:hAnsi="Georgia"/>
          <w:szCs w:val="20"/>
        </w:rPr>
        <w:t xml:space="preserve"> for </w:t>
      </w:r>
      <w:r w:rsidR="00F94B8B">
        <w:rPr>
          <w:rFonts w:ascii="Georgia" w:hAnsi="Georgia"/>
          <w:szCs w:val="20"/>
        </w:rPr>
        <w:t xml:space="preserve">the program’s </w:t>
      </w:r>
      <w:r w:rsidR="00F94B8B" w:rsidRPr="002E7CB4">
        <w:rPr>
          <w:rFonts w:ascii="Georgia" w:hAnsi="Georgia"/>
          <w:szCs w:val="20"/>
        </w:rPr>
        <w:t>six main activities</w:t>
      </w:r>
      <w:r w:rsidR="00F94B8B">
        <w:rPr>
          <w:rFonts w:ascii="Georgia" w:hAnsi="Georgia"/>
          <w:szCs w:val="20"/>
        </w:rPr>
        <w:t>.</w:t>
      </w:r>
      <w:r w:rsidR="00FA6242" w:rsidRPr="002E7CB4">
        <w:rPr>
          <w:rFonts w:ascii="Georgia" w:hAnsi="Georgia"/>
          <w:szCs w:val="20"/>
        </w:rPr>
        <w:t xml:space="preserve"> </w:t>
      </w:r>
      <w:r w:rsidR="00F94B8B">
        <w:rPr>
          <w:rFonts w:ascii="Georgia" w:hAnsi="Georgia"/>
          <w:szCs w:val="20"/>
        </w:rPr>
        <w:t xml:space="preserve">These scores have been derived from findings of implementing partners and AusAID. </w:t>
      </w:r>
      <w:r w:rsidR="002A31AC">
        <w:rPr>
          <w:rFonts w:ascii="Georgia" w:hAnsi="Georgia"/>
          <w:szCs w:val="20"/>
        </w:rPr>
        <w:t>Overall, the quality ratings are reasonable g</w:t>
      </w:r>
      <w:r w:rsidR="002A31AC" w:rsidRPr="002E7CB4">
        <w:rPr>
          <w:rFonts w:ascii="Georgia" w:hAnsi="Georgia"/>
          <w:szCs w:val="20"/>
        </w:rPr>
        <w:t>iven the difficult working environment in Burma</w:t>
      </w:r>
      <w:r w:rsidR="00FA6242" w:rsidRPr="002E7CB4">
        <w:rPr>
          <w:rFonts w:ascii="Georgia" w:hAnsi="Georgia"/>
          <w:szCs w:val="20"/>
        </w:rPr>
        <w:t xml:space="preserve">. </w:t>
      </w:r>
      <w:r>
        <w:rPr>
          <w:rFonts w:ascii="Georgia" w:hAnsi="Georgia"/>
          <w:szCs w:val="20"/>
        </w:rPr>
        <w:t>A</w:t>
      </w:r>
      <w:r w:rsidR="00FA6242" w:rsidRPr="002E7CB4">
        <w:rPr>
          <w:rFonts w:ascii="Georgia" w:hAnsi="Georgia"/>
          <w:szCs w:val="20"/>
        </w:rPr>
        <w:t xml:space="preserve">ctivities implemented in 2010 were relevant to the needs of the Burmese people and priority development outcomes </w:t>
      </w:r>
      <w:r w:rsidR="00FC7878">
        <w:rPr>
          <w:rFonts w:ascii="Georgia" w:hAnsi="Georgia"/>
          <w:szCs w:val="20"/>
        </w:rPr>
        <w:t>were</w:t>
      </w:r>
      <w:r w:rsidR="00FC7878" w:rsidRPr="002E7CB4">
        <w:rPr>
          <w:rFonts w:ascii="Georgia" w:hAnsi="Georgia"/>
          <w:szCs w:val="20"/>
        </w:rPr>
        <w:t xml:space="preserve"> </w:t>
      </w:r>
      <w:r w:rsidR="00FA6242" w:rsidRPr="002E7CB4">
        <w:rPr>
          <w:rFonts w:ascii="Georgia" w:hAnsi="Georgia"/>
          <w:szCs w:val="20"/>
        </w:rPr>
        <w:t xml:space="preserve">aligned with the objectives and priorities of the Ministerial Statement. </w:t>
      </w:r>
      <w:r w:rsidR="00FC7878">
        <w:rPr>
          <w:rFonts w:ascii="Georgia" w:hAnsi="Georgia"/>
          <w:szCs w:val="20"/>
        </w:rPr>
        <w:t xml:space="preserve">Also, </w:t>
      </w:r>
      <w:r w:rsidR="00FA6242" w:rsidRPr="002E7CB4">
        <w:rPr>
          <w:rFonts w:ascii="Georgia" w:hAnsi="Georgia"/>
          <w:szCs w:val="20"/>
        </w:rPr>
        <w:t xml:space="preserve">objectives </w:t>
      </w:r>
      <w:r w:rsidR="00FC7878">
        <w:rPr>
          <w:rFonts w:ascii="Georgia" w:hAnsi="Georgia"/>
          <w:szCs w:val="20"/>
        </w:rPr>
        <w:t xml:space="preserve">for specific activities </w:t>
      </w:r>
      <w:r w:rsidR="00FA6242" w:rsidRPr="002E7CB4">
        <w:rPr>
          <w:rFonts w:ascii="Georgia" w:hAnsi="Georgia"/>
          <w:szCs w:val="20"/>
        </w:rPr>
        <w:t xml:space="preserve">were clearly defined and highly relevant to addressing essential needs. </w:t>
      </w:r>
    </w:p>
    <w:p w:rsidR="00104729" w:rsidRPr="002E7CB4" w:rsidRDefault="00104729" w:rsidP="00104729">
      <w:pPr>
        <w:spacing w:before="240" w:after="120" w:line="240" w:lineRule="exact"/>
        <w:ind w:right="-340"/>
        <w:rPr>
          <w:rFonts w:ascii="Georgia" w:hAnsi="Georgia"/>
          <w:szCs w:val="20"/>
        </w:rPr>
      </w:pPr>
      <w:r w:rsidRPr="002E7CB4">
        <w:rPr>
          <w:rFonts w:ascii="Georgia" w:hAnsi="Georgia"/>
          <w:szCs w:val="20"/>
        </w:rPr>
        <w:t>The efficiency scores demonstrate that the Burma program has been efficiently delivered</w:t>
      </w:r>
      <w:r>
        <w:rPr>
          <w:rFonts w:ascii="Georgia" w:hAnsi="Georgia"/>
          <w:szCs w:val="20"/>
        </w:rPr>
        <w:t xml:space="preserve"> and</w:t>
      </w:r>
      <w:r w:rsidRPr="002E7CB4">
        <w:rPr>
          <w:rFonts w:ascii="Georgia" w:hAnsi="Georgia"/>
          <w:szCs w:val="20"/>
        </w:rPr>
        <w:t xml:space="preserve"> in a timely manner. Implementation progress is tracking well, meeting key milestones and operating within </w:t>
      </w:r>
      <w:r>
        <w:rPr>
          <w:rFonts w:ascii="Georgia" w:hAnsi="Georgia"/>
          <w:szCs w:val="20"/>
        </w:rPr>
        <w:t>b</w:t>
      </w:r>
      <w:r w:rsidRPr="002E7CB4">
        <w:rPr>
          <w:rFonts w:ascii="Georgia" w:hAnsi="Georgia"/>
          <w:szCs w:val="20"/>
        </w:rPr>
        <w:t xml:space="preserve">udget. Despite being complex to set up, multi-donor funds have proven to be an efficient way of delivering aid in </w:t>
      </w:r>
      <w:r>
        <w:rPr>
          <w:rFonts w:ascii="Georgia" w:hAnsi="Georgia"/>
          <w:szCs w:val="20"/>
        </w:rPr>
        <w:t xml:space="preserve">the </w:t>
      </w:r>
      <w:r w:rsidRPr="002E7CB4">
        <w:rPr>
          <w:rFonts w:ascii="Georgia" w:hAnsi="Georgia"/>
          <w:szCs w:val="20"/>
        </w:rPr>
        <w:t>challenging circumstances</w:t>
      </w:r>
      <w:r>
        <w:rPr>
          <w:rFonts w:ascii="Georgia" w:hAnsi="Georgia"/>
          <w:szCs w:val="20"/>
        </w:rPr>
        <w:t xml:space="preserve"> of Burma</w:t>
      </w:r>
      <w:r w:rsidRPr="002E7CB4">
        <w:rPr>
          <w:rFonts w:ascii="Georgia" w:hAnsi="Georgia"/>
          <w:szCs w:val="20"/>
        </w:rPr>
        <w:t>. Results demonstrate it is possible to deliver quality aid in spite of</w:t>
      </w:r>
      <w:r>
        <w:rPr>
          <w:rFonts w:ascii="Georgia" w:hAnsi="Georgia"/>
          <w:szCs w:val="20"/>
        </w:rPr>
        <w:t xml:space="preserve"> a</w:t>
      </w:r>
      <w:r w:rsidRPr="002E7CB4">
        <w:rPr>
          <w:rFonts w:ascii="Georgia" w:hAnsi="Georgia"/>
          <w:szCs w:val="20"/>
        </w:rPr>
        <w:t xml:space="preserve"> </w:t>
      </w:r>
      <w:r>
        <w:rPr>
          <w:rFonts w:ascii="Georgia" w:hAnsi="Georgia"/>
          <w:szCs w:val="20"/>
        </w:rPr>
        <w:t>constrained</w:t>
      </w:r>
      <w:r w:rsidRPr="002E7CB4">
        <w:rPr>
          <w:rFonts w:ascii="Georgia" w:hAnsi="Georgia"/>
          <w:szCs w:val="20"/>
        </w:rPr>
        <w:t xml:space="preserve"> operating environment.</w:t>
      </w:r>
    </w:p>
    <w:p w:rsidR="00104729" w:rsidRPr="002E7CB4" w:rsidRDefault="00104729" w:rsidP="00104729">
      <w:pPr>
        <w:spacing w:before="120" w:after="120" w:line="240" w:lineRule="exact"/>
        <w:ind w:right="-340"/>
        <w:rPr>
          <w:rFonts w:ascii="Georgia" w:hAnsi="Georgia"/>
          <w:szCs w:val="20"/>
        </w:rPr>
      </w:pPr>
      <w:r>
        <w:rPr>
          <w:rFonts w:ascii="Georgia" w:hAnsi="Georgia"/>
          <w:szCs w:val="20"/>
        </w:rPr>
        <w:t>M</w:t>
      </w:r>
      <w:r w:rsidRPr="002E7CB4">
        <w:rPr>
          <w:rFonts w:ascii="Georgia" w:hAnsi="Georgia"/>
          <w:szCs w:val="20"/>
        </w:rPr>
        <w:t xml:space="preserve">onitoring and evaluation scores show that </w:t>
      </w:r>
      <w:r>
        <w:rPr>
          <w:rFonts w:ascii="Georgia" w:hAnsi="Georgia"/>
          <w:szCs w:val="20"/>
        </w:rPr>
        <w:t xml:space="preserve">insufficient </w:t>
      </w:r>
      <w:r w:rsidRPr="002E7CB4">
        <w:rPr>
          <w:rFonts w:ascii="Georgia" w:hAnsi="Georgia"/>
          <w:szCs w:val="20"/>
        </w:rPr>
        <w:t xml:space="preserve">attention </w:t>
      </w:r>
      <w:r>
        <w:rPr>
          <w:rFonts w:ascii="Georgia" w:hAnsi="Georgia"/>
          <w:szCs w:val="20"/>
        </w:rPr>
        <w:t xml:space="preserve">has been paid </w:t>
      </w:r>
      <w:r w:rsidRPr="002E7CB4">
        <w:rPr>
          <w:rFonts w:ascii="Georgia" w:hAnsi="Georgia"/>
          <w:szCs w:val="20"/>
        </w:rPr>
        <w:t xml:space="preserve">to </w:t>
      </w:r>
      <w:r>
        <w:rPr>
          <w:rFonts w:ascii="Georgia" w:hAnsi="Georgia"/>
          <w:szCs w:val="20"/>
        </w:rPr>
        <w:t xml:space="preserve">collecting and assessing </w:t>
      </w:r>
      <w:r w:rsidRPr="002E7CB4">
        <w:rPr>
          <w:rFonts w:ascii="Georgia" w:hAnsi="Georgia"/>
          <w:szCs w:val="20"/>
        </w:rPr>
        <w:t>performance information</w:t>
      </w:r>
      <w:r>
        <w:rPr>
          <w:rFonts w:ascii="Georgia" w:hAnsi="Georgia"/>
          <w:szCs w:val="20"/>
        </w:rPr>
        <w:t xml:space="preserve"> and this</w:t>
      </w:r>
      <w:r w:rsidRPr="002E7CB4">
        <w:rPr>
          <w:rFonts w:ascii="Georgia" w:hAnsi="Georgia"/>
          <w:szCs w:val="20"/>
        </w:rPr>
        <w:t xml:space="preserve"> limit</w:t>
      </w:r>
      <w:r>
        <w:rPr>
          <w:rFonts w:ascii="Georgia" w:hAnsi="Georgia"/>
          <w:szCs w:val="20"/>
        </w:rPr>
        <w:t>s</w:t>
      </w:r>
      <w:r w:rsidRPr="002E7CB4">
        <w:rPr>
          <w:rFonts w:ascii="Georgia" w:hAnsi="Georgia"/>
          <w:szCs w:val="20"/>
        </w:rPr>
        <w:t xml:space="preserve"> the program</w:t>
      </w:r>
      <w:r w:rsidR="008B0B5E">
        <w:rPr>
          <w:rFonts w:ascii="Georgia" w:hAnsi="Georgia"/>
          <w:szCs w:val="20"/>
        </w:rPr>
        <w:t>s</w:t>
      </w:r>
      <w:r>
        <w:rPr>
          <w:rFonts w:ascii="Georgia" w:hAnsi="Georgia"/>
          <w:szCs w:val="20"/>
        </w:rPr>
        <w:t>’</w:t>
      </w:r>
      <w:r w:rsidRPr="002E7CB4">
        <w:rPr>
          <w:rFonts w:ascii="Georgia" w:hAnsi="Georgia"/>
          <w:szCs w:val="20"/>
        </w:rPr>
        <w:t xml:space="preserve"> ability to demonstrate aid effectiveness</w:t>
      </w:r>
      <w:r>
        <w:rPr>
          <w:rFonts w:ascii="Georgia" w:hAnsi="Georgia"/>
          <w:szCs w:val="20"/>
        </w:rPr>
        <w:t xml:space="preserve">. </w:t>
      </w:r>
      <w:r w:rsidRPr="002E7CB4">
        <w:rPr>
          <w:rFonts w:ascii="Georgia" w:hAnsi="Georgia"/>
          <w:szCs w:val="20"/>
        </w:rPr>
        <w:t>Undertaking rigorous evaluation</w:t>
      </w:r>
      <w:r w:rsidRPr="002E7CB4" w:rsidDel="00D750C9">
        <w:rPr>
          <w:rFonts w:ascii="Georgia" w:hAnsi="Georgia"/>
          <w:szCs w:val="20"/>
        </w:rPr>
        <w:t xml:space="preserve"> </w:t>
      </w:r>
      <w:r w:rsidRPr="002E7CB4">
        <w:rPr>
          <w:rFonts w:ascii="Georgia" w:hAnsi="Georgia"/>
          <w:szCs w:val="20"/>
        </w:rPr>
        <w:t xml:space="preserve">has been difficult because of a lack of reliable national data and socio-economic statistics in Burma. </w:t>
      </w:r>
      <w:r>
        <w:rPr>
          <w:rFonts w:ascii="Georgia" w:hAnsi="Georgia"/>
          <w:szCs w:val="20"/>
        </w:rPr>
        <w:t xml:space="preserve">Also, </w:t>
      </w:r>
      <w:r w:rsidRPr="002E7CB4">
        <w:rPr>
          <w:rFonts w:ascii="Georgia" w:hAnsi="Georgia"/>
          <w:szCs w:val="20"/>
        </w:rPr>
        <w:t>the absence of a performance assessment framework</w:t>
      </w:r>
      <w:r>
        <w:rPr>
          <w:rFonts w:ascii="Georgia" w:hAnsi="Georgia"/>
          <w:szCs w:val="20"/>
        </w:rPr>
        <w:t xml:space="preserve"> for the program</w:t>
      </w:r>
      <w:r w:rsidRPr="002E7CB4">
        <w:rPr>
          <w:rFonts w:ascii="Georgia" w:hAnsi="Georgia"/>
          <w:szCs w:val="20"/>
        </w:rPr>
        <w:t xml:space="preserve"> </w:t>
      </w:r>
      <w:r>
        <w:rPr>
          <w:rFonts w:ascii="Georgia" w:hAnsi="Georgia"/>
          <w:szCs w:val="20"/>
        </w:rPr>
        <w:t xml:space="preserve">has resulted in a reliance </w:t>
      </w:r>
      <w:r w:rsidRPr="002E7CB4">
        <w:rPr>
          <w:rFonts w:ascii="Georgia" w:hAnsi="Georgia"/>
          <w:szCs w:val="20"/>
        </w:rPr>
        <w:t xml:space="preserve">on the monitoring and evaluation </w:t>
      </w:r>
      <w:r>
        <w:rPr>
          <w:rFonts w:ascii="Georgia" w:hAnsi="Georgia"/>
          <w:szCs w:val="20"/>
        </w:rPr>
        <w:t>efforts</w:t>
      </w:r>
      <w:r w:rsidRPr="002E7CB4">
        <w:rPr>
          <w:rFonts w:ascii="Georgia" w:hAnsi="Georgia"/>
          <w:szCs w:val="20"/>
        </w:rPr>
        <w:t xml:space="preserve"> of the multi-donor fund or implementing partner</w:t>
      </w:r>
      <w:r>
        <w:rPr>
          <w:rFonts w:ascii="Georgia" w:hAnsi="Georgia"/>
          <w:szCs w:val="20"/>
        </w:rPr>
        <w:t>s</w:t>
      </w:r>
      <w:r w:rsidRPr="002E7CB4">
        <w:rPr>
          <w:rFonts w:ascii="Georgia" w:hAnsi="Georgia"/>
          <w:szCs w:val="20"/>
        </w:rPr>
        <w:t>.</w:t>
      </w:r>
      <w:r>
        <w:rPr>
          <w:rFonts w:ascii="Georgia" w:hAnsi="Georgia"/>
          <w:szCs w:val="20"/>
        </w:rPr>
        <w:t xml:space="preserve"> </w:t>
      </w:r>
    </w:p>
    <w:p w:rsidR="006B7C1A" w:rsidRDefault="002E7CB4" w:rsidP="006B7C1A">
      <w:pPr>
        <w:pStyle w:val="Caption"/>
        <w:rPr>
          <w:color w:val="0000FF"/>
        </w:rPr>
      </w:pPr>
      <w:r w:rsidRPr="002E7CB4">
        <w:t xml:space="preserve">Table </w:t>
      </w:r>
      <w:r w:rsidR="002A31AC">
        <w:t>3</w:t>
      </w:r>
      <w:r w:rsidRPr="002E7CB4">
        <w:t xml:space="preserve">: </w:t>
      </w:r>
      <w:r w:rsidRPr="005A24A9">
        <w:rPr>
          <w:color w:val="0000FF"/>
        </w:rPr>
        <w:t xml:space="preserve">Quality </w:t>
      </w:r>
      <w:r w:rsidR="00FC7878" w:rsidRPr="005A24A9">
        <w:rPr>
          <w:color w:val="0000FF"/>
        </w:rPr>
        <w:t xml:space="preserve">at implementation </w:t>
      </w:r>
      <w:r w:rsidRPr="005A24A9">
        <w:rPr>
          <w:color w:val="0000FF"/>
        </w:rPr>
        <w:t>ratings</w:t>
      </w:r>
      <w:r w:rsidR="00FC7878" w:rsidRPr="005A24A9">
        <w:rPr>
          <w:color w:val="0000FF"/>
        </w:rPr>
        <w:t xml:space="preserve"> against the six main activities of Australia’s aid program in Burma</w:t>
      </w:r>
    </w:p>
    <w:p w:rsidR="006B7C1A" w:rsidRDefault="006B7C1A" w:rsidP="006B7C1A">
      <w:pPr>
        <w:pStyle w:val="BodyText"/>
      </w:pPr>
      <w:r>
        <w:br w:type="page"/>
      </w:r>
    </w:p>
    <w:tbl>
      <w:tblPr>
        <w:tblW w:w="8405" w:type="dxa"/>
        <w:tblInd w:w="103" w:type="dxa"/>
        <w:tblLook w:val="0000" w:firstRow="0" w:lastRow="0" w:firstColumn="0" w:lastColumn="0" w:noHBand="0" w:noVBand="0"/>
      </w:tblPr>
      <w:tblGrid>
        <w:gridCol w:w="3845"/>
        <w:gridCol w:w="840"/>
        <w:gridCol w:w="720"/>
        <w:gridCol w:w="720"/>
        <w:gridCol w:w="720"/>
        <w:gridCol w:w="720"/>
        <w:gridCol w:w="840"/>
        <w:tblGridChange w:id="15">
          <w:tblGrid>
            <w:gridCol w:w="3845"/>
            <w:gridCol w:w="840"/>
            <w:gridCol w:w="720"/>
            <w:gridCol w:w="720"/>
            <w:gridCol w:w="720"/>
            <w:gridCol w:w="720"/>
            <w:gridCol w:w="840"/>
          </w:tblGrid>
        </w:tblGridChange>
      </w:tblGrid>
      <w:tr w:rsidR="006B7C1A" w:rsidRPr="002E7CB4" w:rsidTr="006B7C1A">
        <w:trPr>
          <w:trHeight w:val="1695"/>
          <w:tblHeader/>
        </w:trPr>
        <w:tc>
          <w:tcPr>
            <w:tcW w:w="3845" w:type="dxa"/>
            <w:tcBorders>
              <w:top w:val="single" w:sz="8" w:space="0" w:color="auto"/>
              <w:left w:val="single" w:sz="4" w:space="0" w:color="auto"/>
              <w:bottom w:val="nil"/>
              <w:right w:val="single" w:sz="4" w:space="0" w:color="auto"/>
            </w:tcBorders>
            <w:shd w:val="clear" w:color="auto" w:fill="CCCCFF"/>
            <w:vAlign w:val="bottom"/>
          </w:tcPr>
          <w:p w:rsidR="006B7C1A" w:rsidRPr="002E7CB4" w:rsidRDefault="006B7C1A" w:rsidP="00166C70">
            <w:pPr>
              <w:jc w:val="center"/>
              <w:rPr>
                <w:rFonts w:ascii="Arial" w:hAnsi="Arial" w:cs="Arial"/>
                <w:b/>
                <w:bCs/>
                <w:color w:val="333399"/>
                <w:sz w:val="22"/>
                <w:szCs w:val="22"/>
              </w:rPr>
            </w:pPr>
            <w:r w:rsidRPr="002E7CB4">
              <w:rPr>
                <w:rFonts w:ascii="Arial" w:hAnsi="Arial" w:cs="Arial"/>
                <w:b/>
                <w:bCs/>
                <w:color w:val="333399"/>
                <w:sz w:val="22"/>
                <w:szCs w:val="22"/>
              </w:rPr>
              <w:lastRenderedPageBreak/>
              <w:t xml:space="preserve">Initiative </w:t>
            </w:r>
            <w:r>
              <w:rPr>
                <w:rFonts w:ascii="Arial" w:hAnsi="Arial" w:cs="Arial"/>
                <w:b/>
                <w:bCs/>
                <w:color w:val="333399"/>
                <w:sz w:val="22"/>
                <w:szCs w:val="22"/>
              </w:rPr>
              <w:t>n</w:t>
            </w:r>
            <w:r w:rsidRPr="002E7CB4">
              <w:rPr>
                <w:rFonts w:ascii="Arial" w:hAnsi="Arial" w:cs="Arial"/>
                <w:b/>
                <w:bCs/>
                <w:color w:val="333399"/>
                <w:sz w:val="22"/>
                <w:szCs w:val="22"/>
              </w:rPr>
              <w:t>ame</w:t>
            </w:r>
          </w:p>
        </w:tc>
        <w:tc>
          <w:tcPr>
            <w:tcW w:w="840" w:type="dxa"/>
            <w:tcBorders>
              <w:top w:val="single" w:sz="8" w:space="0" w:color="auto"/>
              <w:left w:val="nil"/>
              <w:bottom w:val="nil"/>
              <w:right w:val="nil"/>
            </w:tcBorders>
            <w:shd w:val="clear" w:color="auto" w:fill="CCCCFF"/>
            <w:textDirection w:val="btLr"/>
            <w:vAlign w:val="bottom"/>
          </w:tcPr>
          <w:p w:rsidR="006B7C1A" w:rsidRPr="002E7CB4" w:rsidRDefault="006B7C1A" w:rsidP="00166C70">
            <w:pPr>
              <w:jc w:val="center"/>
              <w:rPr>
                <w:rFonts w:ascii="Arial" w:hAnsi="Arial" w:cs="Arial"/>
                <w:b/>
                <w:bCs/>
                <w:color w:val="333399"/>
                <w:sz w:val="22"/>
                <w:szCs w:val="22"/>
              </w:rPr>
            </w:pPr>
            <w:r w:rsidRPr="002E7CB4">
              <w:rPr>
                <w:rFonts w:ascii="Arial" w:hAnsi="Arial" w:cs="Arial"/>
                <w:b/>
                <w:bCs/>
                <w:color w:val="333399"/>
                <w:sz w:val="22"/>
                <w:szCs w:val="22"/>
              </w:rPr>
              <w:t>Relevance</w:t>
            </w:r>
          </w:p>
        </w:tc>
        <w:tc>
          <w:tcPr>
            <w:tcW w:w="720" w:type="dxa"/>
            <w:tcBorders>
              <w:top w:val="single" w:sz="8" w:space="0" w:color="auto"/>
              <w:left w:val="single" w:sz="4" w:space="0" w:color="auto"/>
              <w:bottom w:val="nil"/>
              <w:right w:val="nil"/>
            </w:tcBorders>
            <w:shd w:val="clear" w:color="auto" w:fill="CCCCFF"/>
            <w:textDirection w:val="btLr"/>
            <w:vAlign w:val="bottom"/>
          </w:tcPr>
          <w:p w:rsidR="006B7C1A" w:rsidRPr="002E7CB4" w:rsidRDefault="006B7C1A" w:rsidP="00166C70">
            <w:pPr>
              <w:jc w:val="center"/>
              <w:rPr>
                <w:rFonts w:ascii="Arial" w:hAnsi="Arial" w:cs="Arial"/>
                <w:b/>
                <w:bCs/>
                <w:color w:val="333399"/>
                <w:sz w:val="22"/>
                <w:szCs w:val="22"/>
              </w:rPr>
            </w:pPr>
            <w:r w:rsidRPr="002E7CB4">
              <w:rPr>
                <w:rFonts w:ascii="Arial" w:hAnsi="Arial" w:cs="Arial"/>
                <w:b/>
                <w:bCs/>
                <w:color w:val="333399"/>
                <w:sz w:val="22"/>
                <w:szCs w:val="22"/>
              </w:rPr>
              <w:t>Effectiveness</w:t>
            </w:r>
          </w:p>
        </w:tc>
        <w:tc>
          <w:tcPr>
            <w:tcW w:w="720" w:type="dxa"/>
            <w:tcBorders>
              <w:top w:val="single" w:sz="8" w:space="0" w:color="auto"/>
              <w:left w:val="single" w:sz="4" w:space="0" w:color="auto"/>
              <w:bottom w:val="nil"/>
              <w:right w:val="nil"/>
            </w:tcBorders>
            <w:shd w:val="clear" w:color="auto" w:fill="CCCCFF"/>
            <w:textDirection w:val="btLr"/>
            <w:vAlign w:val="bottom"/>
          </w:tcPr>
          <w:p w:rsidR="006B7C1A" w:rsidRPr="002E7CB4" w:rsidRDefault="006B7C1A" w:rsidP="00166C70">
            <w:pPr>
              <w:jc w:val="center"/>
              <w:rPr>
                <w:rFonts w:ascii="Arial" w:hAnsi="Arial" w:cs="Arial"/>
                <w:b/>
                <w:bCs/>
                <w:color w:val="333399"/>
                <w:sz w:val="22"/>
                <w:szCs w:val="22"/>
              </w:rPr>
            </w:pPr>
            <w:r w:rsidRPr="002E7CB4">
              <w:rPr>
                <w:rFonts w:ascii="Arial" w:hAnsi="Arial" w:cs="Arial"/>
                <w:b/>
                <w:bCs/>
                <w:color w:val="333399"/>
                <w:sz w:val="22"/>
                <w:szCs w:val="22"/>
              </w:rPr>
              <w:t>Efficiency</w:t>
            </w:r>
          </w:p>
        </w:tc>
        <w:tc>
          <w:tcPr>
            <w:tcW w:w="720" w:type="dxa"/>
            <w:tcBorders>
              <w:top w:val="single" w:sz="8" w:space="0" w:color="auto"/>
              <w:left w:val="single" w:sz="4" w:space="0" w:color="auto"/>
              <w:bottom w:val="nil"/>
              <w:right w:val="nil"/>
            </w:tcBorders>
            <w:shd w:val="clear" w:color="auto" w:fill="CCCCFF"/>
            <w:textDirection w:val="btLr"/>
            <w:vAlign w:val="bottom"/>
          </w:tcPr>
          <w:p w:rsidR="006B7C1A" w:rsidRPr="002E7CB4" w:rsidRDefault="006B7C1A" w:rsidP="00166C70">
            <w:pPr>
              <w:jc w:val="center"/>
              <w:rPr>
                <w:rFonts w:ascii="Arial" w:hAnsi="Arial" w:cs="Arial"/>
                <w:b/>
                <w:bCs/>
                <w:color w:val="333399"/>
                <w:sz w:val="22"/>
                <w:szCs w:val="22"/>
              </w:rPr>
            </w:pPr>
            <w:r w:rsidRPr="002E7CB4">
              <w:rPr>
                <w:rFonts w:ascii="Arial" w:hAnsi="Arial" w:cs="Arial"/>
                <w:b/>
                <w:bCs/>
                <w:color w:val="333399"/>
                <w:sz w:val="22"/>
                <w:szCs w:val="22"/>
              </w:rPr>
              <w:t xml:space="preserve">Monitoring and </w:t>
            </w:r>
            <w:r>
              <w:rPr>
                <w:rFonts w:ascii="Arial" w:hAnsi="Arial" w:cs="Arial"/>
                <w:b/>
                <w:bCs/>
                <w:color w:val="333399"/>
                <w:sz w:val="22"/>
                <w:szCs w:val="22"/>
              </w:rPr>
              <w:t>e</w:t>
            </w:r>
            <w:r w:rsidRPr="002E7CB4">
              <w:rPr>
                <w:rFonts w:ascii="Arial" w:hAnsi="Arial" w:cs="Arial"/>
                <w:b/>
                <w:bCs/>
                <w:color w:val="333399"/>
                <w:sz w:val="22"/>
                <w:szCs w:val="22"/>
              </w:rPr>
              <w:t>valuation</w:t>
            </w:r>
          </w:p>
        </w:tc>
        <w:tc>
          <w:tcPr>
            <w:tcW w:w="720" w:type="dxa"/>
            <w:tcBorders>
              <w:top w:val="single" w:sz="8" w:space="0" w:color="auto"/>
              <w:left w:val="single" w:sz="4" w:space="0" w:color="auto"/>
              <w:bottom w:val="nil"/>
              <w:right w:val="nil"/>
            </w:tcBorders>
            <w:shd w:val="clear" w:color="auto" w:fill="CCCCFF"/>
            <w:textDirection w:val="btLr"/>
            <w:vAlign w:val="bottom"/>
          </w:tcPr>
          <w:p w:rsidR="006B7C1A" w:rsidRPr="002E7CB4" w:rsidRDefault="006B7C1A" w:rsidP="00166C70">
            <w:pPr>
              <w:jc w:val="center"/>
              <w:rPr>
                <w:rFonts w:ascii="Arial" w:hAnsi="Arial" w:cs="Arial"/>
                <w:b/>
                <w:bCs/>
                <w:color w:val="333399"/>
                <w:sz w:val="22"/>
                <w:szCs w:val="22"/>
              </w:rPr>
            </w:pPr>
            <w:r w:rsidRPr="002E7CB4">
              <w:rPr>
                <w:rFonts w:ascii="Arial" w:hAnsi="Arial" w:cs="Arial"/>
                <w:b/>
                <w:bCs/>
                <w:color w:val="333399"/>
                <w:sz w:val="22"/>
                <w:szCs w:val="22"/>
              </w:rPr>
              <w:t>Sustainability</w:t>
            </w:r>
          </w:p>
        </w:tc>
        <w:tc>
          <w:tcPr>
            <w:tcW w:w="840" w:type="dxa"/>
            <w:tcBorders>
              <w:top w:val="single" w:sz="8" w:space="0" w:color="auto"/>
              <w:left w:val="single" w:sz="4" w:space="0" w:color="auto"/>
              <w:bottom w:val="nil"/>
              <w:right w:val="single" w:sz="8" w:space="0" w:color="auto"/>
            </w:tcBorders>
            <w:shd w:val="clear" w:color="auto" w:fill="CCCCFF"/>
            <w:textDirection w:val="btLr"/>
            <w:vAlign w:val="bottom"/>
          </w:tcPr>
          <w:p w:rsidR="006B7C1A" w:rsidRPr="002E7CB4" w:rsidRDefault="006B7C1A" w:rsidP="00166C70">
            <w:pPr>
              <w:jc w:val="center"/>
              <w:rPr>
                <w:rFonts w:ascii="Arial" w:hAnsi="Arial" w:cs="Arial"/>
                <w:b/>
                <w:bCs/>
                <w:color w:val="333399"/>
                <w:sz w:val="22"/>
                <w:szCs w:val="22"/>
              </w:rPr>
            </w:pPr>
            <w:r w:rsidRPr="002E7CB4">
              <w:rPr>
                <w:rFonts w:ascii="Arial" w:hAnsi="Arial" w:cs="Arial"/>
                <w:b/>
                <w:bCs/>
                <w:color w:val="333399"/>
                <w:sz w:val="22"/>
                <w:szCs w:val="22"/>
              </w:rPr>
              <w:t xml:space="preserve">Gender </w:t>
            </w:r>
            <w:r>
              <w:rPr>
                <w:rFonts w:ascii="Arial" w:hAnsi="Arial" w:cs="Arial"/>
                <w:b/>
                <w:bCs/>
                <w:color w:val="333399"/>
                <w:sz w:val="22"/>
                <w:szCs w:val="22"/>
              </w:rPr>
              <w:t>e</w:t>
            </w:r>
            <w:r w:rsidRPr="002E7CB4">
              <w:rPr>
                <w:rFonts w:ascii="Arial" w:hAnsi="Arial" w:cs="Arial"/>
                <w:b/>
                <w:bCs/>
                <w:color w:val="333399"/>
                <w:sz w:val="22"/>
                <w:szCs w:val="22"/>
              </w:rPr>
              <w:t>quality</w:t>
            </w:r>
          </w:p>
        </w:tc>
      </w:tr>
      <w:tr w:rsidR="006B7C1A" w:rsidRPr="00095ABC" w:rsidTr="00932594">
        <w:trPr>
          <w:cantSplit/>
          <w:trHeight w:val="25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C1A" w:rsidRPr="00095ABC" w:rsidRDefault="006B7C1A" w:rsidP="00166C70">
            <w:pPr>
              <w:pStyle w:val="TableTextEntries"/>
              <w:keepNext/>
            </w:pPr>
            <w:r w:rsidRPr="00095ABC">
              <w:t>Rakhine Rural Household Livelihood Security</w:t>
            </w:r>
          </w:p>
        </w:tc>
        <w:tc>
          <w:tcPr>
            <w:tcW w:w="840" w:type="dxa"/>
            <w:tcBorders>
              <w:top w:val="single" w:sz="4" w:space="0" w:color="auto"/>
              <w:left w:val="nil"/>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6</w:t>
            </w:r>
          </w:p>
        </w:tc>
        <w:tc>
          <w:tcPr>
            <w:tcW w:w="720" w:type="dxa"/>
            <w:tcBorders>
              <w:top w:val="single" w:sz="4" w:space="0" w:color="auto"/>
              <w:left w:val="nil"/>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720" w:type="dxa"/>
            <w:tcBorders>
              <w:top w:val="single" w:sz="4" w:space="0" w:color="auto"/>
              <w:left w:val="nil"/>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nil"/>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nil"/>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840" w:type="dxa"/>
            <w:tcBorders>
              <w:top w:val="single" w:sz="4" w:space="0" w:color="auto"/>
              <w:left w:val="nil"/>
              <w:bottom w:val="single" w:sz="4" w:space="0" w:color="auto"/>
              <w:right w:val="single" w:sz="8" w:space="0" w:color="auto"/>
            </w:tcBorders>
            <w:shd w:val="clear" w:color="auto" w:fill="99CC00"/>
            <w:noWrap/>
            <w:vAlign w:val="bottom"/>
          </w:tcPr>
          <w:p w:rsidR="006B7C1A" w:rsidRPr="00095ABC" w:rsidRDefault="006B7C1A" w:rsidP="00166C70">
            <w:pPr>
              <w:pStyle w:val="TableTextEntries"/>
              <w:keepNext/>
              <w:jc w:val="center"/>
            </w:pPr>
            <w:r w:rsidRPr="00095ABC">
              <w:t>5</w:t>
            </w:r>
          </w:p>
        </w:tc>
      </w:tr>
      <w:tr w:rsidR="006B7C1A" w:rsidRPr="00095ABC" w:rsidTr="00932594">
        <w:trPr>
          <w:cantSplit/>
          <w:trHeight w:val="255"/>
        </w:trPr>
        <w:tc>
          <w:tcPr>
            <w:tcW w:w="3845" w:type="dxa"/>
            <w:tcBorders>
              <w:top w:val="nil"/>
              <w:left w:val="single" w:sz="4" w:space="0" w:color="auto"/>
              <w:bottom w:val="single" w:sz="4" w:space="0" w:color="auto"/>
              <w:right w:val="single" w:sz="4" w:space="0" w:color="auto"/>
            </w:tcBorders>
            <w:shd w:val="clear" w:color="auto" w:fill="auto"/>
            <w:noWrap/>
            <w:vAlign w:val="bottom"/>
          </w:tcPr>
          <w:p w:rsidR="006B7C1A" w:rsidRPr="00095ABC" w:rsidRDefault="006B7C1A" w:rsidP="00166C70">
            <w:pPr>
              <w:pStyle w:val="TableTextEntries"/>
              <w:keepNext/>
            </w:pPr>
            <w:r w:rsidRPr="00095ABC">
              <w:t>Three Diseases Fund 2</w:t>
            </w:r>
          </w:p>
        </w:tc>
        <w:tc>
          <w:tcPr>
            <w:tcW w:w="84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6</w:t>
            </w:r>
          </w:p>
        </w:tc>
        <w:tc>
          <w:tcPr>
            <w:tcW w:w="72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840" w:type="dxa"/>
            <w:tcBorders>
              <w:top w:val="single" w:sz="4" w:space="0" w:color="auto"/>
              <w:left w:val="single" w:sz="4" w:space="0" w:color="auto"/>
              <w:bottom w:val="single" w:sz="4" w:space="0" w:color="auto"/>
              <w:right w:val="single" w:sz="8" w:space="0" w:color="auto"/>
            </w:tcBorders>
            <w:shd w:val="clear" w:color="auto" w:fill="99CC00"/>
            <w:noWrap/>
            <w:vAlign w:val="bottom"/>
          </w:tcPr>
          <w:p w:rsidR="006B7C1A" w:rsidRPr="00095ABC" w:rsidRDefault="006B7C1A" w:rsidP="00166C70">
            <w:pPr>
              <w:pStyle w:val="TableTextEntries"/>
              <w:keepNext/>
              <w:jc w:val="center"/>
            </w:pPr>
            <w:r w:rsidRPr="00095ABC">
              <w:t>5</w:t>
            </w:r>
          </w:p>
        </w:tc>
      </w:tr>
      <w:tr w:rsidR="006B7C1A" w:rsidRPr="00095ABC" w:rsidTr="00932594">
        <w:trPr>
          <w:cantSplit/>
          <w:trHeight w:val="255"/>
        </w:trPr>
        <w:tc>
          <w:tcPr>
            <w:tcW w:w="3845" w:type="dxa"/>
            <w:tcBorders>
              <w:top w:val="nil"/>
              <w:left w:val="single" w:sz="4" w:space="0" w:color="auto"/>
              <w:bottom w:val="single" w:sz="4" w:space="0" w:color="auto"/>
              <w:right w:val="single" w:sz="4" w:space="0" w:color="auto"/>
            </w:tcBorders>
            <w:shd w:val="clear" w:color="auto" w:fill="auto"/>
            <w:noWrap/>
            <w:vAlign w:val="bottom"/>
          </w:tcPr>
          <w:p w:rsidR="006B7C1A" w:rsidRPr="00095ABC" w:rsidRDefault="006B7C1A" w:rsidP="00166C70">
            <w:pPr>
              <w:pStyle w:val="TableTextEntries"/>
              <w:keepNext/>
            </w:pPr>
            <w:r w:rsidRPr="00095ABC">
              <w:t>UNICEF Improving Access to Quality Basic Education</w:t>
            </w:r>
          </w:p>
        </w:tc>
        <w:tc>
          <w:tcPr>
            <w:tcW w:w="84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FF9900"/>
            <w:noWrap/>
            <w:vAlign w:val="bottom"/>
          </w:tcPr>
          <w:p w:rsidR="006B7C1A" w:rsidRPr="00095ABC" w:rsidRDefault="006B7C1A" w:rsidP="00166C70">
            <w:pPr>
              <w:pStyle w:val="TableTextEntries"/>
              <w:keepNext/>
              <w:jc w:val="center"/>
            </w:pPr>
            <w:r w:rsidRPr="00095ABC">
              <w:t>3</w:t>
            </w:r>
          </w:p>
        </w:tc>
        <w:tc>
          <w:tcPr>
            <w:tcW w:w="72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720" w:type="dxa"/>
            <w:tcBorders>
              <w:top w:val="nil"/>
              <w:left w:val="nil"/>
              <w:bottom w:val="single" w:sz="4" w:space="0" w:color="auto"/>
              <w:right w:val="single" w:sz="4" w:space="0" w:color="auto"/>
            </w:tcBorders>
            <w:shd w:val="clear" w:color="auto" w:fill="FF0000"/>
            <w:noWrap/>
            <w:vAlign w:val="bottom"/>
          </w:tcPr>
          <w:p w:rsidR="006B7C1A" w:rsidRPr="00095ABC" w:rsidRDefault="006B7C1A" w:rsidP="00166C70">
            <w:pPr>
              <w:pStyle w:val="TableTextEntries"/>
              <w:keepNext/>
              <w:jc w:val="center"/>
            </w:pPr>
            <w:r w:rsidRPr="00095ABC">
              <w:t>2</w:t>
            </w:r>
          </w:p>
        </w:tc>
        <w:tc>
          <w:tcPr>
            <w:tcW w:w="720" w:type="dxa"/>
            <w:tcBorders>
              <w:top w:val="single" w:sz="4" w:space="0" w:color="auto"/>
              <w:left w:val="single" w:sz="4" w:space="0" w:color="auto"/>
              <w:bottom w:val="single" w:sz="4" w:space="0" w:color="auto"/>
              <w:right w:val="single" w:sz="4" w:space="0" w:color="auto"/>
            </w:tcBorders>
            <w:shd w:val="clear" w:color="auto" w:fill="FF9900"/>
            <w:noWrap/>
            <w:vAlign w:val="bottom"/>
          </w:tcPr>
          <w:p w:rsidR="006B7C1A" w:rsidRPr="00095ABC" w:rsidRDefault="006B7C1A" w:rsidP="00166C70">
            <w:pPr>
              <w:pStyle w:val="TableTextEntries"/>
              <w:keepNext/>
              <w:jc w:val="center"/>
            </w:pPr>
            <w:r w:rsidRPr="00095ABC">
              <w:t>3</w:t>
            </w:r>
          </w:p>
        </w:tc>
        <w:tc>
          <w:tcPr>
            <w:tcW w:w="840" w:type="dxa"/>
            <w:tcBorders>
              <w:top w:val="single" w:sz="4" w:space="0" w:color="auto"/>
              <w:left w:val="single" w:sz="4" w:space="0" w:color="auto"/>
              <w:bottom w:val="single" w:sz="4" w:space="0" w:color="auto"/>
              <w:right w:val="single" w:sz="8" w:space="0" w:color="auto"/>
            </w:tcBorders>
            <w:shd w:val="clear" w:color="auto" w:fill="FF9900"/>
            <w:noWrap/>
            <w:vAlign w:val="bottom"/>
          </w:tcPr>
          <w:p w:rsidR="006B7C1A" w:rsidRPr="00095ABC" w:rsidRDefault="006B7C1A" w:rsidP="00166C70">
            <w:pPr>
              <w:pStyle w:val="TableTextEntries"/>
              <w:keepNext/>
              <w:jc w:val="center"/>
            </w:pPr>
            <w:r w:rsidRPr="00095ABC">
              <w:t>3</w:t>
            </w:r>
          </w:p>
        </w:tc>
      </w:tr>
      <w:tr w:rsidR="006B7C1A" w:rsidRPr="00095ABC" w:rsidTr="00932594">
        <w:trPr>
          <w:cantSplit/>
          <w:trHeight w:val="255"/>
        </w:trPr>
        <w:tc>
          <w:tcPr>
            <w:tcW w:w="3845" w:type="dxa"/>
            <w:tcBorders>
              <w:top w:val="nil"/>
              <w:left w:val="single" w:sz="4" w:space="0" w:color="auto"/>
              <w:bottom w:val="single" w:sz="4" w:space="0" w:color="auto"/>
              <w:right w:val="single" w:sz="4" w:space="0" w:color="auto"/>
            </w:tcBorders>
            <w:shd w:val="clear" w:color="auto" w:fill="auto"/>
            <w:noWrap/>
            <w:vAlign w:val="bottom"/>
          </w:tcPr>
          <w:p w:rsidR="006B7C1A" w:rsidRPr="00095ABC" w:rsidRDefault="006B7C1A" w:rsidP="00166C70">
            <w:pPr>
              <w:pStyle w:val="TableTextEntries"/>
              <w:keepNext/>
            </w:pPr>
            <w:r w:rsidRPr="00095ABC">
              <w:t>Livelihoods and Food Security Trust Fund</w:t>
            </w:r>
          </w:p>
        </w:tc>
        <w:tc>
          <w:tcPr>
            <w:tcW w:w="84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FF9900"/>
            <w:noWrap/>
            <w:vAlign w:val="bottom"/>
          </w:tcPr>
          <w:p w:rsidR="006B7C1A" w:rsidRPr="00095ABC" w:rsidRDefault="006B7C1A" w:rsidP="00166C70">
            <w:pPr>
              <w:pStyle w:val="TableTextEntries"/>
              <w:keepNext/>
              <w:jc w:val="center"/>
            </w:pPr>
            <w:r w:rsidRPr="00095ABC">
              <w:t>3</w:t>
            </w:r>
          </w:p>
        </w:tc>
        <w:tc>
          <w:tcPr>
            <w:tcW w:w="72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FF9900"/>
            <w:noWrap/>
            <w:vAlign w:val="bottom"/>
          </w:tcPr>
          <w:p w:rsidR="006B7C1A" w:rsidRPr="00095ABC" w:rsidRDefault="006B7C1A" w:rsidP="00166C70">
            <w:pPr>
              <w:pStyle w:val="TableTextEntries"/>
              <w:keepNext/>
              <w:jc w:val="center"/>
            </w:pPr>
            <w:r w:rsidRPr="00095ABC">
              <w:t>3</w:t>
            </w:r>
          </w:p>
        </w:tc>
        <w:tc>
          <w:tcPr>
            <w:tcW w:w="720" w:type="dxa"/>
            <w:tcBorders>
              <w:top w:val="nil"/>
              <w:left w:val="nil"/>
              <w:bottom w:val="single" w:sz="4" w:space="0" w:color="auto"/>
              <w:right w:val="single" w:sz="4" w:space="0" w:color="auto"/>
            </w:tcBorders>
            <w:shd w:val="clear" w:color="auto" w:fill="FF0000"/>
            <w:noWrap/>
            <w:vAlign w:val="bottom"/>
          </w:tcPr>
          <w:p w:rsidR="006B7C1A" w:rsidRPr="00095ABC" w:rsidRDefault="006B7C1A" w:rsidP="00166C70">
            <w:pPr>
              <w:pStyle w:val="TableTextEntries"/>
              <w:keepNext/>
              <w:jc w:val="center"/>
            </w:pPr>
            <w:r w:rsidRPr="00095ABC">
              <w:t>2</w:t>
            </w:r>
          </w:p>
        </w:tc>
        <w:tc>
          <w:tcPr>
            <w:tcW w:w="840" w:type="dxa"/>
            <w:tcBorders>
              <w:top w:val="nil"/>
              <w:left w:val="nil"/>
              <w:bottom w:val="single" w:sz="4" w:space="0" w:color="auto"/>
              <w:right w:val="single" w:sz="8" w:space="0" w:color="auto"/>
            </w:tcBorders>
            <w:shd w:val="clear" w:color="auto" w:fill="FF0000"/>
            <w:noWrap/>
            <w:vAlign w:val="bottom"/>
          </w:tcPr>
          <w:p w:rsidR="006B7C1A" w:rsidRPr="00095ABC" w:rsidRDefault="006B7C1A" w:rsidP="00166C70">
            <w:pPr>
              <w:pStyle w:val="TableTextEntries"/>
              <w:keepNext/>
              <w:jc w:val="center"/>
            </w:pPr>
            <w:r w:rsidRPr="00095ABC">
              <w:t>2</w:t>
            </w:r>
          </w:p>
        </w:tc>
      </w:tr>
      <w:tr w:rsidR="006B7C1A" w:rsidRPr="00095ABC" w:rsidTr="00932594">
        <w:trPr>
          <w:cantSplit/>
          <w:trHeight w:val="255"/>
        </w:trPr>
        <w:tc>
          <w:tcPr>
            <w:tcW w:w="3845" w:type="dxa"/>
            <w:tcBorders>
              <w:top w:val="nil"/>
              <w:left w:val="single" w:sz="4" w:space="0" w:color="auto"/>
              <w:bottom w:val="single" w:sz="4" w:space="0" w:color="auto"/>
              <w:right w:val="single" w:sz="4" w:space="0" w:color="auto"/>
            </w:tcBorders>
            <w:shd w:val="clear" w:color="auto" w:fill="auto"/>
            <w:noWrap/>
            <w:vAlign w:val="bottom"/>
          </w:tcPr>
          <w:p w:rsidR="006B7C1A" w:rsidRPr="00095ABC" w:rsidRDefault="006B7C1A" w:rsidP="00166C70">
            <w:pPr>
              <w:pStyle w:val="TableTextEntries"/>
              <w:keepNext/>
            </w:pPr>
            <w:r w:rsidRPr="00095ABC">
              <w:t>Improving Access to Maternal and Child Healthcare</w:t>
            </w:r>
          </w:p>
        </w:tc>
        <w:tc>
          <w:tcPr>
            <w:tcW w:w="84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720" w:type="dxa"/>
            <w:tcBorders>
              <w:top w:val="single" w:sz="4" w:space="0" w:color="auto"/>
              <w:left w:val="single" w:sz="4" w:space="0" w:color="auto"/>
              <w:bottom w:val="single" w:sz="4" w:space="0" w:color="auto"/>
              <w:right w:val="single" w:sz="4" w:space="0" w:color="auto"/>
            </w:tcBorders>
            <w:shd w:val="clear" w:color="auto" w:fill="FF9900"/>
            <w:noWrap/>
            <w:vAlign w:val="bottom"/>
          </w:tcPr>
          <w:p w:rsidR="006B7C1A" w:rsidRPr="00095ABC" w:rsidRDefault="006B7C1A" w:rsidP="00166C70">
            <w:pPr>
              <w:pStyle w:val="TableTextEntries"/>
              <w:keepNext/>
              <w:jc w:val="center"/>
            </w:pPr>
            <w:r w:rsidRPr="00095ABC">
              <w:t>3</w:t>
            </w:r>
          </w:p>
        </w:tc>
        <w:tc>
          <w:tcPr>
            <w:tcW w:w="72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FF9900"/>
            <w:noWrap/>
            <w:vAlign w:val="bottom"/>
          </w:tcPr>
          <w:p w:rsidR="006B7C1A" w:rsidRPr="00095ABC" w:rsidRDefault="006B7C1A" w:rsidP="00166C70">
            <w:pPr>
              <w:pStyle w:val="TableTextEntries"/>
              <w:keepNext/>
              <w:jc w:val="center"/>
            </w:pPr>
            <w:r w:rsidRPr="00095ABC">
              <w:t>3</w:t>
            </w:r>
          </w:p>
        </w:tc>
        <w:tc>
          <w:tcPr>
            <w:tcW w:w="840" w:type="dxa"/>
            <w:tcBorders>
              <w:top w:val="single" w:sz="4" w:space="0" w:color="auto"/>
              <w:left w:val="single" w:sz="4" w:space="0" w:color="auto"/>
              <w:bottom w:val="single" w:sz="4" w:space="0" w:color="auto"/>
              <w:right w:val="single" w:sz="8" w:space="0" w:color="auto"/>
            </w:tcBorders>
            <w:shd w:val="clear" w:color="auto" w:fill="FFCC00"/>
            <w:noWrap/>
            <w:vAlign w:val="bottom"/>
          </w:tcPr>
          <w:p w:rsidR="006B7C1A" w:rsidRPr="00095ABC" w:rsidRDefault="006B7C1A" w:rsidP="00166C70">
            <w:pPr>
              <w:pStyle w:val="TableTextEntries"/>
              <w:keepNext/>
              <w:jc w:val="center"/>
            </w:pPr>
            <w:r w:rsidRPr="00095ABC">
              <w:t>4</w:t>
            </w:r>
          </w:p>
        </w:tc>
      </w:tr>
      <w:tr w:rsidR="006B7C1A" w:rsidRPr="00095ABC" w:rsidTr="00932594">
        <w:trPr>
          <w:cantSplit/>
          <w:trHeight w:val="255"/>
        </w:trPr>
        <w:tc>
          <w:tcPr>
            <w:tcW w:w="3845" w:type="dxa"/>
            <w:tcBorders>
              <w:top w:val="nil"/>
              <w:left w:val="single" w:sz="4" w:space="0" w:color="auto"/>
              <w:bottom w:val="single" w:sz="4" w:space="0" w:color="auto"/>
              <w:right w:val="single" w:sz="4" w:space="0" w:color="auto"/>
            </w:tcBorders>
            <w:shd w:val="clear" w:color="auto" w:fill="auto"/>
            <w:noWrap/>
            <w:vAlign w:val="bottom"/>
          </w:tcPr>
          <w:p w:rsidR="006B7C1A" w:rsidRPr="00095ABC" w:rsidRDefault="006B7C1A" w:rsidP="00166C70">
            <w:pPr>
              <w:pStyle w:val="TableTextEntries"/>
              <w:keepNext/>
            </w:pPr>
            <w:r w:rsidRPr="00095ABC">
              <w:t xml:space="preserve">Cyclone Nargis Water, Sanitation and Hygiene </w:t>
            </w:r>
          </w:p>
        </w:tc>
        <w:tc>
          <w:tcPr>
            <w:tcW w:w="840"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6B7C1A" w:rsidRPr="00095ABC" w:rsidRDefault="006B7C1A" w:rsidP="00166C70">
            <w:pPr>
              <w:pStyle w:val="TableTextEntries"/>
              <w:keepNext/>
              <w:jc w:val="center"/>
            </w:pPr>
            <w:r w:rsidRPr="00095ABC">
              <w:t>5</w:t>
            </w:r>
          </w:p>
        </w:tc>
        <w:tc>
          <w:tcPr>
            <w:tcW w:w="72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72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72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72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6B7C1A" w:rsidRPr="00095ABC" w:rsidRDefault="006B7C1A" w:rsidP="00166C70">
            <w:pPr>
              <w:pStyle w:val="TableTextEntries"/>
              <w:keepNext/>
              <w:jc w:val="center"/>
            </w:pPr>
            <w:r w:rsidRPr="00095ABC">
              <w:t>4</w:t>
            </w:r>
          </w:p>
        </w:tc>
        <w:tc>
          <w:tcPr>
            <w:tcW w:w="840" w:type="dxa"/>
            <w:tcBorders>
              <w:top w:val="single" w:sz="4" w:space="0" w:color="auto"/>
              <w:left w:val="single" w:sz="4" w:space="0" w:color="auto"/>
              <w:bottom w:val="single" w:sz="4" w:space="0" w:color="auto"/>
              <w:right w:val="single" w:sz="8" w:space="0" w:color="auto"/>
            </w:tcBorders>
            <w:shd w:val="clear" w:color="auto" w:fill="FF9900"/>
            <w:noWrap/>
            <w:vAlign w:val="bottom"/>
          </w:tcPr>
          <w:p w:rsidR="006B7C1A" w:rsidRPr="00095ABC" w:rsidRDefault="006B7C1A" w:rsidP="00166C70">
            <w:pPr>
              <w:pStyle w:val="TableTextEntries"/>
              <w:keepNext/>
              <w:jc w:val="center"/>
            </w:pPr>
            <w:r w:rsidRPr="00095ABC">
              <w:t>3</w:t>
            </w:r>
          </w:p>
        </w:tc>
      </w:tr>
    </w:tbl>
    <w:p w:rsidR="00FA6242" w:rsidRPr="006B7C1A" w:rsidRDefault="00FA6242" w:rsidP="006B7C1A">
      <w:pPr>
        <w:pStyle w:val="BodyText"/>
      </w:pPr>
      <w:r w:rsidRPr="002E7CB4">
        <w:rPr>
          <w:szCs w:val="20"/>
        </w:rPr>
        <w:t xml:space="preserve">As the program focus shifts to a longer-term perspective, rigorous monitoring and evaluation systems will </w:t>
      </w:r>
      <w:r w:rsidR="00FC7878">
        <w:rPr>
          <w:szCs w:val="20"/>
        </w:rPr>
        <w:t>become even more</w:t>
      </w:r>
      <w:r w:rsidRPr="002E7CB4">
        <w:rPr>
          <w:szCs w:val="20"/>
        </w:rPr>
        <w:t xml:space="preserve"> important. The program will work with fund man</w:t>
      </w:r>
      <w:r w:rsidR="00FC7878">
        <w:rPr>
          <w:szCs w:val="20"/>
        </w:rPr>
        <w:t>a</w:t>
      </w:r>
      <w:r w:rsidRPr="002E7CB4">
        <w:rPr>
          <w:szCs w:val="20"/>
        </w:rPr>
        <w:t xml:space="preserve">gers and implementing partners to </w:t>
      </w:r>
      <w:r w:rsidR="007B1930" w:rsidRPr="002E7CB4">
        <w:rPr>
          <w:szCs w:val="20"/>
        </w:rPr>
        <w:t xml:space="preserve">improve the </w:t>
      </w:r>
      <w:r w:rsidR="007B1930">
        <w:rPr>
          <w:szCs w:val="20"/>
        </w:rPr>
        <w:t>usefulness</w:t>
      </w:r>
      <w:r w:rsidR="007B1930" w:rsidRPr="002E7CB4">
        <w:rPr>
          <w:szCs w:val="20"/>
        </w:rPr>
        <w:t xml:space="preserve"> of </w:t>
      </w:r>
      <w:r w:rsidR="007B1930">
        <w:rPr>
          <w:szCs w:val="20"/>
        </w:rPr>
        <w:t xml:space="preserve">performance </w:t>
      </w:r>
      <w:r w:rsidR="007B1930" w:rsidRPr="002E7CB4">
        <w:rPr>
          <w:szCs w:val="20"/>
        </w:rPr>
        <w:t xml:space="preserve">reporting and </w:t>
      </w:r>
      <w:r w:rsidRPr="002E7CB4">
        <w:rPr>
          <w:szCs w:val="20"/>
        </w:rPr>
        <w:t xml:space="preserve">ensure the type of information and quality of evidence satisfies all donor partners. </w:t>
      </w:r>
    </w:p>
    <w:p w:rsidR="00FA6242" w:rsidRPr="002E7CB4" w:rsidRDefault="00FA6242" w:rsidP="00FA6242">
      <w:pPr>
        <w:spacing w:before="120" w:after="120" w:line="240" w:lineRule="exact"/>
        <w:ind w:right="-340"/>
        <w:rPr>
          <w:rFonts w:ascii="Georgia" w:hAnsi="Georgia"/>
          <w:szCs w:val="20"/>
        </w:rPr>
      </w:pPr>
      <w:r w:rsidRPr="002E7CB4">
        <w:rPr>
          <w:rFonts w:ascii="Georgia" w:hAnsi="Georgia"/>
          <w:szCs w:val="20"/>
        </w:rPr>
        <w:t xml:space="preserve">Across the activities, sustainability received a moderate rating. Truly sustainable development outcomes may be difficult to achieve in Burma, particularly given the limited investment in social sectors by the Burmese authorities. Attention to sustainable long-term development outcomes </w:t>
      </w:r>
      <w:r w:rsidR="00FC7878">
        <w:rPr>
          <w:rFonts w:ascii="Georgia" w:hAnsi="Georgia"/>
          <w:szCs w:val="20"/>
        </w:rPr>
        <w:t>will continue to</w:t>
      </w:r>
      <w:r w:rsidR="00FC7878" w:rsidRPr="002E7CB4">
        <w:rPr>
          <w:rFonts w:ascii="Georgia" w:hAnsi="Georgia"/>
          <w:szCs w:val="20"/>
        </w:rPr>
        <w:t xml:space="preserve"> </w:t>
      </w:r>
      <w:r w:rsidRPr="002E7CB4">
        <w:rPr>
          <w:rFonts w:ascii="Georgia" w:hAnsi="Georgia"/>
          <w:szCs w:val="20"/>
        </w:rPr>
        <w:t xml:space="preserve">become more meaningful as </w:t>
      </w:r>
      <w:r w:rsidR="00FC7878">
        <w:rPr>
          <w:rFonts w:ascii="Georgia" w:hAnsi="Georgia"/>
          <w:szCs w:val="20"/>
        </w:rPr>
        <w:t>Australia’s aid program in Burma</w:t>
      </w:r>
      <w:r w:rsidR="00FC7878" w:rsidRPr="002E7CB4">
        <w:rPr>
          <w:rFonts w:ascii="Georgia" w:hAnsi="Georgia"/>
          <w:szCs w:val="20"/>
        </w:rPr>
        <w:t xml:space="preserve"> </w:t>
      </w:r>
      <w:r w:rsidRPr="002E7CB4">
        <w:rPr>
          <w:rFonts w:ascii="Georgia" w:hAnsi="Georgia"/>
          <w:szCs w:val="20"/>
        </w:rPr>
        <w:t>transitions to broad</w:t>
      </w:r>
      <w:r w:rsidR="004E63B7">
        <w:rPr>
          <w:rFonts w:ascii="Georgia" w:hAnsi="Georgia"/>
          <w:szCs w:val="20"/>
        </w:rPr>
        <w:t>er</w:t>
      </w:r>
      <w:r w:rsidRPr="002E7CB4">
        <w:rPr>
          <w:rFonts w:ascii="Georgia" w:hAnsi="Georgia"/>
          <w:szCs w:val="20"/>
        </w:rPr>
        <w:t xml:space="preserve"> development </w:t>
      </w:r>
      <w:r w:rsidR="004E63B7">
        <w:rPr>
          <w:rFonts w:ascii="Georgia" w:hAnsi="Georgia"/>
          <w:szCs w:val="20"/>
        </w:rPr>
        <w:t>outcomes</w:t>
      </w:r>
      <w:r w:rsidRPr="002E7CB4">
        <w:rPr>
          <w:rFonts w:ascii="Georgia" w:hAnsi="Georgia"/>
          <w:szCs w:val="20"/>
        </w:rPr>
        <w:t xml:space="preserve">. Strategies for sustainability and how </w:t>
      </w:r>
      <w:r w:rsidR="00FC7878">
        <w:rPr>
          <w:rFonts w:ascii="Georgia" w:hAnsi="Georgia"/>
          <w:szCs w:val="20"/>
        </w:rPr>
        <w:t>this</w:t>
      </w:r>
      <w:r w:rsidR="00FC7878" w:rsidRPr="002E7CB4">
        <w:rPr>
          <w:rFonts w:ascii="Georgia" w:hAnsi="Georgia"/>
          <w:szCs w:val="20"/>
        </w:rPr>
        <w:t xml:space="preserve"> </w:t>
      </w:r>
      <w:r w:rsidRPr="002E7CB4">
        <w:rPr>
          <w:rFonts w:ascii="Georgia" w:hAnsi="Georgia"/>
          <w:szCs w:val="20"/>
        </w:rPr>
        <w:t>will be measured in the Burma program will be identified through the</w:t>
      </w:r>
      <w:r w:rsidR="00FC7878">
        <w:rPr>
          <w:rFonts w:ascii="Georgia" w:hAnsi="Georgia"/>
          <w:szCs w:val="20"/>
        </w:rPr>
        <w:t xml:space="preserve"> upcoming</w:t>
      </w:r>
      <w:r w:rsidRPr="002E7CB4">
        <w:rPr>
          <w:rFonts w:ascii="Georgia" w:hAnsi="Georgia"/>
          <w:szCs w:val="20"/>
        </w:rPr>
        <w:t xml:space="preserve"> development of the </w:t>
      </w:r>
      <w:r w:rsidR="00FC7878">
        <w:rPr>
          <w:rFonts w:ascii="Georgia" w:hAnsi="Georgia"/>
          <w:szCs w:val="20"/>
        </w:rPr>
        <w:t>performance assessment f</w:t>
      </w:r>
      <w:r w:rsidRPr="002E7CB4">
        <w:rPr>
          <w:rFonts w:ascii="Georgia" w:hAnsi="Georgia"/>
          <w:szCs w:val="20"/>
        </w:rPr>
        <w:t xml:space="preserve">ramework document. </w:t>
      </w:r>
    </w:p>
    <w:p w:rsidR="00FA6242" w:rsidRDefault="00FA6242" w:rsidP="00C36F3A">
      <w:pPr>
        <w:spacing w:before="120" w:after="120" w:line="240" w:lineRule="exact"/>
        <w:ind w:right="-340"/>
        <w:rPr>
          <w:rFonts w:ascii="Georgia" w:hAnsi="Georgia"/>
          <w:szCs w:val="20"/>
        </w:rPr>
      </w:pPr>
      <w:r w:rsidRPr="00C36F3A">
        <w:rPr>
          <w:rFonts w:ascii="Georgia" w:hAnsi="Georgia"/>
          <w:szCs w:val="20"/>
        </w:rPr>
        <w:t>Although the situation for women continues to improve in Burma</w:t>
      </w:r>
      <w:r w:rsidR="00FC7878">
        <w:rPr>
          <w:rFonts w:ascii="Georgia" w:hAnsi="Georgia"/>
          <w:szCs w:val="20"/>
        </w:rPr>
        <w:t>,</w:t>
      </w:r>
      <w:r w:rsidRPr="00C36F3A">
        <w:rPr>
          <w:rFonts w:ascii="Georgia" w:hAnsi="Georgia"/>
          <w:szCs w:val="20"/>
        </w:rPr>
        <w:t xml:space="preserve"> with greater opportunities in education and better access to health care, the quality rating for gender equality is mixed across the program. </w:t>
      </w:r>
      <w:r w:rsidR="00FC7878">
        <w:rPr>
          <w:rFonts w:ascii="Georgia" w:hAnsi="Georgia"/>
          <w:szCs w:val="20"/>
        </w:rPr>
        <w:t>C</w:t>
      </w:r>
      <w:r w:rsidRPr="00C36F3A">
        <w:rPr>
          <w:rFonts w:ascii="Georgia" w:hAnsi="Georgia"/>
          <w:szCs w:val="20"/>
        </w:rPr>
        <w:t xml:space="preserve">oncerted effort is still needed to overcome </w:t>
      </w:r>
      <w:r w:rsidR="00FC7878">
        <w:rPr>
          <w:rFonts w:ascii="Georgia" w:hAnsi="Georgia"/>
          <w:szCs w:val="20"/>
        </w:rPr>
        <w:t xml:space="preserve">the </w:t>
      </w:r>
      <w:r w:rsidRPr="00C36F3A">
        <w:rPr>
          <w:rFonts w:ascii="Georgia" w:hAnsi="Georgia"/>
          <w:szCs w:val="20"/>
        </w:rPr>
        <w:t>persistent challenges</w:t>
      </w:r>
      <w:r w:rsidR="00FC7878">
        <w:rPr>
          <w:rFonts w:ascii="Georgia" w:hAnsi="Georgia"/>
          <w:szCs w:val="20"/>
        </w:rPr>
        <w:t xml:space="preserve"> faced in reducing</w:t>
      </w:r>
      <w:r w:rsidRPr="00C36F3A">
        <w:rPr>
          <w:rFonts w:ascii="Georgia" w:hAnsi="Georgia"/>
          <w:szCs w:val="20"/>
        </w:rPr>
        <w:t xml:space="preserve"> the vulnerability of women and girls to poverty, gender-based violence and human-trafficking. </w:t>
      </w:r>
    </w:p>
    <w:p w:rsidR="008E5656" w:rsidRDefault="008E5656" w:rsidP="008E5656">
      <w:pPr>
        <w:pStyle w:val="Heading1"/>
        <w:spacing w:before="360" w:after="120"/>
        <w:ind w:left="0"/>
        <w:rPr>
          <w:color w:val="800000"/>
        </w:rPr>
      </w:pPr>
      <w:bookmarkStart w:id="16" w:name="_Toc360980592"/>
      <w:r>
        <w:rPr>
          <w:color w:val="800000"/>
        </w:rPr>
        <w:t>Next steps</w:t>
      </w:r>
      <w:bookmarkEnd w:id="16"/>
    </w:p>
    <w:p w:rsidR="00B17C44" w:rsidRPr="007B1930" w:rsidRDefault="00B17C44" w:rsidP="007B1930">
      <w:pPr>
        <w:spacing w:before="120" w:after="120" w:line="240" w:lineRule="exact"/>
        <w:ind w:right="-340"/>
        <w:rPr>
          <w:rFonts w:ascii="Georgia" w:hAnsi="Georgia"/>
          <w:szCs w:val="20"/>
        </w:rPr>
      </w:pPr>
      <w:r w:rsidRPr="007B1930">
        <w:rPr>
          <w:rFonts w:ascii="Georgia" w:hAnsi="Georgia"/>
          <w:szCs w:val="20"/>
        </w:rPr>
        <w:t>Th</w:t>
      </w:r>
      <w:r w:rsidR="002D3003">
        <w:rPr>
          <w:rFonts w:ascii="Georgia" w:hAnsi="Georgia"/>
          <w:szCs w:val="20"/>
        </w:rPr>
        <w:t xml:space="preserve">e coming years are expected to bring </w:t>
      </w:r>
      <w:r w:rsidRPr="007B1930">
        <w:rPr>
          <w:rFonts w:ascii="Georgia" w:hAnsi="Georgia"/>
          <w:szCs w:val="20"/>
        </w:rPr>
        <w:t xml:space="preserve">significant political and social change in Burma. </w:t>
      </w:r>
      <w:r w:rsidR="00986C0E" w:rsidRPr="007B1930">
        <w:rPr>
          <w:rFonts w:ascii="Georgia" w:hAnsi="Georgia"/>
          <w:szCs w:val="20"/>
        </w:rPr>
        <w:t>AusAID is well-positioned to support reform</w:t>
      </w:r>
      <w:r w:rsidR="00CB692C" w:rsidRPr="007B1930">
        <w:rPr>
          <w:rFonts w:ascii="Georgia" w:hAnsi="Georgia"/>
          <w:szCs w:val="20"/>
        </w:rPr>
        <w:t xml:space="preserve"> in a dynamic political environment, and also to</w:t>
      </w:r>
      <w:r w:rsidR="00986C0E" w:rsidRPr="007B1930">
        <w:rPr>
          <w:rFonts w:ascii="Georgia" w:hAnsi="Georgia"/>
          <w:szCs w:val="20"/>
        </w:rPr>
        <w:t xml:space="preserve"> </w:t>
      </w:r>
      <w:r w:rsidR="00CB692C" w:rsidRPr="007B1930">
        <w:rPr>
          <w:rFonts w:ascii="Georgia" w:hAnsi="Georgia"/>
          <w:szCs w:val="20"/>
        </w:rPr>
        <w:t xml:space="preserve">provide a long-term program of service delivery in health, education and livelihoods to secure sustainable outcomes for the poorest in Burma. The program </w:t>
      </w:r>
      <w:r w:rsidR="00AF40FF" w:rsidRPr="007B1930">
        <w:rPr>
          <w:rFonts w:ascii="Georgia" w:hAnsi="Georgia"/>
          <w:szCs w:val="20"/>
        </w:rPr>
        <w:t>will continue to transition</w:t>
      </w:r>
      <w:r w:rsidR="00AF40FF" w:rsidRPr="00AF40FF">
        <w:rPr>
          <w:rFonts w:ascii="Georgia" w:hAnsi="Georgia"/>
          <w:szCs w:val="20"/>
        </w:rPr>
        <w:t xml:space="preserve"> from a primarily humanitarian approach to a significantly inc</w:t>
      </w:r>
      <w:r w:rsidR="008214A7">
        <w:rPr>
          <w:rFonts w:ascii="Georgia" w:hAnsi="Georgia"/>
          <w:szCs w:val="20"/>
        </w:rPr>
        <w:t xml:space="preserve">reased program with </w:t>
      </w:r>
      <w:r w:rsidR="009F49CF">
        <w:rPr>
          <w:rFonts w:ascii="Georgia" w:hAnsi="Georgia"/>
          <w:szCs w:val="20"/>
        </w:rPr>
        <w:t xml:space="preserve">a </w:t>
      </w:r>
      <w:r w:rsidR="00AF40FF" w:rsidRPr="00AF40FF">
        <w:rPr>
          <w:rFonts w:ascii="Georgia" w:hAnsi="Georgia"/>
          <w:szCs w:val="20"/>
        </w:rPr>
        <w:t xml:space="preserve">focus on long-term development outcomes. </w:t>
      </w:r>
      <w:r w:rsidR="009F49CF">
        <w:rPr>
          <w:rFonts w:ascii="Georgia" w:hAnsi="Georgia"/>
          <w:szCs w:val="20"/>
        </w:rPr>
        <w:t xml:space="preserve">Education will be the flagship program of our bilateral assistance. </w:t>
      </w:r>
    </w:p>
    <w:p w:rsidR="00B17C44" w:rsidRPr="007B1930" w:rsidRDefault="00B17C44" w:rsidP="007B1930">
      <w:pPr>
        <w:spacing w:before="120" w:after="120" w:line="240" w:lineRule="exact"/>
        <w:ind w:right="-340"/>
        <w:rPr>
          <w:rFonts w:ascii="Georgia" w:hAnsi="Georgia"/>
          <w:szCs w:val="20"/>
        </w:rPr>
      </w:pPr>
      <w:r w:rsidRPr="007B1930">
        <w:rPr>
          <w:rFonts w:ascii="Georgia" w:hAnsi="Georgia"/>
          <w:szCs w:val="20"/>
        </w:rPr>
        <w:t xml:space="preserve">At the Agency level, AusAID is re-positioning itself to deliver the Australian Government’s response to the Independent Review of </w:t>
      </w:r>
      <w:r w:rsidR="002D2A8F" w:rsidRPr="007B1930">
        <w:rPr>
          <w:rFonts w:ascii="Georgia" w:hAnsi="Georgia"/>
          <w:szCs w:val="20"/>
        </w:rPr>
        <w:t xml:space="preserve">Aid </w:t>
      </w:r>
      <w:r w:rsidRPr="007B1930">
        <w:rPr>
          <w:rFonts w:ascii="Georgia" w:hAnsi="Georgia"/>
          <w:szCs w:val="20"/>
        </w:rPr>
        <w:t xml:space="preserve">Effectiveness. The Burma Program is part of this and is developing clear strategic directions and results-based performance frameworks. </w:t>
      </w:r>
      <w:r w:rsidR="008214A7" w:rsidRPr="007B1930">
        <w:rPr>
          <w:rFonts w:ascii="Georgia" w:hAnsi="Georgia"/>
          <w:szCs w:val="20"/>
        </w:rPr>
        <w:t xml:space="preserve">We will implement fewer, bigger programs that will focus on the </w:t>
      </w:r>
      <w:r w:rsidR="007B1930" w:rsidRPr="007B1930">
        <w:rPr>
          <w:rFonts w:ascii="Georgia" w:hAnsi="Georgia"/>
          <w:szCs w:val="20"/>
        </w:rPr>
        <w:t>three</w:t>
      </w:r>
      <w:r w:rsidR="008214A7" w:rsidRPr="007B1930">
        <w:rPr>
          <w:rFonts w:ascii="Georgia" w:hAnsi="Georgia"/>
          <w:szCs w:val="20"/>
        </w:rPr>
        <w:t xml:space="preserve"> </w:t>
      </w:r>
      <w:r w:rsidRPr="007B1930">
        <w:rPr>
          <w:rFonts w:ascii="Georgia" w:hAnsi="Georgia"/>
          <w:szCs w:val="20"/>
        </w:rPr>
        <w:t>priority sectors in Burma— basic education, maternal and child health, and sustainable economic development. The program as a whole will also be designed t</w:t>
      </w:r>
      <w:r w:rsidR="00986C0E" w:rsidRPr="007B1930">
        <w:rPr>
          <w:rFonts w:ascii="Georgia" w:hAnsi="Georgia"/>
          <w:szCs w:val="20"/>
        </w:rPr>
        <w:t>o support the reform process</w:t>
      </w:r>
      <w:r w:rsidR="006B5608" w:rsidRPr="007B1930">
        <w:rPr>
          <w:rFonts w:ascii="Georgia" w:hAnsi="Georgia"/>
          <w:szCs w:val="20"/>
        </w:rPr>
        <w:t xml:space="preserve"> as it unfolds in Burma</w:t>
      </w:r>
      <w:r w:rsidR="00026EC0" w:rsidRPr="007B1930">
        <w:rPr>
          <w:rFonts w:ascii="Georgia" w:hAnsi="Georgia"/>
          <w:szCs w:val="20"/>
        </w:rPr>
        <w:t>, through assistance</w:t>
      </w:r>
      <w:r w:rsidR="006B5608" w:rsidRPr="007B1930">
        <w:rPr>
          <w:rFonts w:ascii="Georgia" w:hAnsi="Georgia"/>
          <w:szCs w:val="20"/>
        </w:rPr>
        <w:t xml:space="preserve"> to both civil society and to emerging democratic institutions. </w:t>
      </w:r>
    </w:p>
    <w:p w:rsidR="003E774C" w:rsidRPr="007B1930" w:rsidRDefault="00A16392" w:rsidP="007B1930">
      <w:pPr>
        <w:spacing w:before="120" w:after="120" w:line="240" w:lineRule="exact"/>
        <w:ind w:right="-340"/>
        <w:rPr>
          <w:rFonts w:ascii="Georgia" w:hAnsi="Georgia"/>
          <w:szCs w:val="20"/>
        </w:rPr>
      </w:pPr>
      <w:r w:rsidRPr="007B1930">
        <w:rPr>
          <w:rFonts w:ascii="Georgia" w:hAnsi="Georgia"/>
          <w:szCs w:val="20"/>
        </w:rPr>
        <w:t xml:space="preserve">We will continue to support humanitarian relief, in particular on the Thai-Burma border; and will work with UNICEF to protect children through reform of child welfare laws, through rights training for government officials, and through providing a safe, inclusive environment in the schools we support. AusAID will </w:t>
      </w:r>
      <w:r w:rsidR="00AC47DF" w:rsidRPr="007B1930">
        <w:rPr>
          <w:rFonts w:ascii="Georgia" w:hAnsi="Georgia"/>
          <w:szCs w:val="20"/>
        </w:rPr>
        <w:t xml:space="preserve">undertake a gender stocktake to ensure </w:t>
      </w:r>
      <w:r w:rsidR="00D17D58" w:rsidRPr="007B1930">
        <w:rPr>
          <w:rFonts w:ascii="Georgia" w:hAnsi="Georgia"/>
          <w:szCs w:val="20"/>
        </w:rPr>
        <w:t xml:space="preserve">the program </w:t>
      </w:r>
      <w:r w:rsidR="00D17D58" w:rsidRPr="007B1930">
        <w:rPr>
          <w:rFonts w:ascii="Georgia" w:hAnsi="Georgia"/>
          <w:szCs w:val="20"/>
        </w:rPr>
        <w:lastRenderedPageBreak/>
        <w:t>has a measurable impact on equality and women’s empowerment</w:t>
      </w:r>
      <w:r w:rsidRPr="007B1930">
        <w:rPr>
          <w:rFonts w:ascii="Georgia" w:hAnsi="Georgia"/>
          <w:szCs w:val="20"/>
        </w:rPr>
        <w:t>.</w:t>
      </w:r>
      <w:r w:rsidR="00EB27EF" w:rsidRPr="007B1930">
        <w:rPr>
          <w:rFonts w:ascii="Georgia" w:hAnsi="Georgia"/>
          <w:szCs w:val="20"/>
        </w:rPr>
        <w:t xml:space="preserve"> Mothers will directly benefit from our program in </w:t>
      </w:r>
      <w:r w:rsidR="00D17D58" w:rsidRPr="007B1930">
        <w:rPr>
          <w:rFonts w:ascii="Georgia" w:hAnsi="Georgia"/>
          <w:szCs w:val="20"/>
        </w:rPr>
        <w:t>m</w:t>
      </w:r>
      <w:r w:rsidR="00EB27EF" w:rsidRPr="007B1930">
        <w:rPr>
          <w:rFonts w:ascii="Georgia" w:hAnsi="Georgia"/>
          <w:szCs w:val="20"/>
        </w:rPr>
        <w:t xml:space="preserve">aternal and child health, and more girls will be encouraged to attend school though our basic education program. Women will also </w:t>
      </w:r>
      <w:r w:rsidR="00AE77AD" w:rsidRPr="007B1930">
        <w:rPr>
          <w:rFonts w:ascii="Georgia" w:hAnsi="Georgia"/>
          <w:szCs w:val="20"/>
        </w:rPr>
        <w:t>be key</w:t>
      </w:r>
      <w:r w:rsidR="00AC47DF" w:rsidRPr="007B1930">
        <w:rPr>
          <w:rFonts w:ascii="Georgia" w:hAnsi="Georgia"/>
          <w:szCs w:val="20"/>
        </w:rPr>
        <w:t xml:space="preserve"> beneficiaries of our</w:t>
      </w:r>
      <w:r w:rsidR="00EB27EF" w:rsidRPr="007B1930">
        <w:rPr>
          <w:rFonts w:ascii="Georgia" w:hAnsi="Georgia"/>
          <w:szCs w:val="20"/>
        </w:rPr>
        <w:t xml:space="preserve"> liveliho</w:t>
      </w:r>
      <w:r w:rsidR="00D17D58" w:rsidRPr="007B1930">
        <w:rPr>
          <w:rFonts w:ascii="Georgia" w:hAnsi="Georgia"/>
          <w:szCs w:val="20"/>
        </w:rPr>
        <w:t>o</w:t>
      </w:r>
      <w:r w:rsidR="00EB27EF" w:rsidRPr="007B1930">
        <w:rPr>
          <w:rFonts w:ascii="Georgia" w:hAnsi="Georgia"/>
          <w:szCs w:val="20"/>
        </w:rPr>
        <w:t xml:space="preserve">ds program, in particular through targeted microfinance loans. </w:t>
      </w:r>
    </w:p>
    <w:sectPr w:rsidR="003E774C" w:rsidRPr="007B1930" w:rsidSect="00E77D0C">
      <w:headerReference w:type="even" r:id="rId12"/>
      <w:footerReference w:type="even" r:id="rId13"/>
      <w:footerReference w:type="default" r:id="rId14"/>
      <w:footerReference w:type="first" r:id="rId15"/>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DB" w:rsidRDefault="00424ADB">
      <w:r>
        <w:separator/>
      </w:r>
    </w:p>
    <w:p w:rsidR="00424ADB" w:rsidRDefault="00424ADB"/>
  </w:endnote>
  <w:endnote w:type="continuationSeparator" w:id="0">
    <w:p w:rsidR="00424ADB" w:rsidRDefault="00424ADB">
      <w:r>
        <w:continuationSeparator/>
      </w:r>
    </w:p>
    <w:p w:rsidR="00424ADB" w:rsidRDefault="00424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font440">
    <w:altName w:val="Times New Roman"/>
    <w:panose1 w:val="00000000000000000000"/>
    <w:charset w:val="00"/>
    <w:family w:val="auto"/>
    <w:notTrueType/>
    <w:pitch w:val="default"/>
  </w:font>
  <w:font w:name="Franklin Gothic Demi">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02" w:rsidRPr="00AD612A" w:rsidRDefault="00932594">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1" name="Picture 1"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502" w:rsidRPr="007C1ECE">
      <w:tab/>
    </w:r>
    <w:r w:rsidR="001F5502">
      <w:tab/>
    </w:r>
    <w:r w:rsidR="001F5502">
      <w:tab/>
    </w:r>
    <w:r w:rsidR="001F5502">
      <w:rPr>
        <w:rStyle w:val="PageNumber"/>
      </w:rPr>
      <w:fldChar w:fldCharType="begin"/>
    </w:r>
    <w:r w:rsidR="001F5502">
      <w:rPr>
        <w:rStyle w:val="PageNumber"/>
      </w:rPr>
      <w:instrText xml:space="preserve"> PAGE </w:instrText>
    </w:r>
    <w:r w:rsidR="001F5502">
      <w:rPr>
        <w:rStyle w:val="PageNumber"/>
      </w:rPr>
      <w:fldChar w:fldCharType="separate"/>
    </w:r>
    <w:r w:rsidR="001F5502">
      <w:rPr>
        <w:rStyle w:val="PageNumber"/>
        <w:noProof/>
      </w:rPr>
      <w:t>13</w:t>
    </w:r>
    <w:r w:rsidR="001F550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02" w:rsidRPr="004A4B6B" w:rsidRDefault="00932594"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3" name="Picture 3"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502">
      <w:tab/>
    </w:r>
    <w:r w:rsidR="001F5502">
      <w:fldChar w:fldCharType="begin"/>
    </w:r>
    <w:r w:rsidR="001F5502">
      <w:instrText xml:space="preserve"> STYLEREF  Title </w:instrText>
    </w:r>
    <w:r w:rsidR="001F5502">
      <w:fldChar w:fldCharType="separate"/>
    </w:r>
    <w:r w:rsidR="00144FAA">
      <w:rPr>
        <w:noProof/>
      </w:rPr>
      <w:t>Burma Development Cooperation Report 2010</w:t>
    </w:r>
    <w:r w:rsidR="001F5502">
      <w:fldChar w:fldCharType="end"/>
    </w:r>
    <w:r w:rsidR="001F5502">
      <w:rPr>
        <w:rStyle w:val="PageNumber"/>
      </w:rPr>
      <w:tab/>
    </w:r>
    <w:r w:rsidR="001F5502">
      <w:rPr>
        <w:rStyle w:val="PageNumber"/>
      </w:rPr>
      <w:tab/>
    </w:r>
    <w:r w:rsidR="001F5502" w:rsidRPr="004A26C9">
      <w:rPr>
        <w:rStyle w:val="PageNumber"/>
      </w:rPr>
      <w:fldChar w:fldCharType="begin"/>
    </w:r>
    <w:r w:rsidR="001F5502" w:rsidRPr="004A26C9">
      <w:rPr>
        <w:rStyle w:val="PageNumber"/>
      </w:rPr>
      <w:instrText xml:space="preserve"> PAGE </w:instrText>
    </w:r>
    <w:r w:rsidR="001F5502" w:rsidRPr="004A26C9">
      <w:rPr>
        <w:rStyle w:val="PageNumber"/>
      </w:rPr>
      <w:fldChar w:fldCharType="separate"/>
    </w:r>
    <w:r w:rsidR="00144FAA">
      <w:rPr>
        <w:rStyle w:val="PageNumber"/>
        <w:noProof/>
      </w:rPr>
      <w:t>13</w:t>
    </w:r>
    <w:r w:rsidR="001F5502"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02" w:rsidRDefault="001F5502">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144FA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DB" w:rsidRDefault="00424ADB" w:rsidP="00D62AA4">
      <w:pPr>
        <w:spacing w:before="60" w:after="40" w:line="180" w:lineRule="exact"/>
      </w:pPr>
      <w:r>
        <w:continuationSeparator/>
      </w:r>
    </w:p>
  </w:footnote>
  <w:footnote w:type="continuationSeparator" w:id="0">
    <w:p w:rsidR="00424ADB" w:rsidRDefault="00424ADB">
      <w:r>
        <w:continuationSeparator/>
      </w:r>
    </w:p>
    <w:p w:rsidR="00424ADB" w:rsidRDefault="00424ADB"/>
  </w:footnote>
  <w:footnote w:type="continuationNotice" w:id="1">
    <w:p w:rsidR="00424ADB" w:rsidRDefault="00424ADB"/>
    <w:p w:rsidR="00424ADB" w:rsidRDefault="00424ADB"/>
  </w:footnote>
  <w:footnote w:id="2">
    <w:p w:rsidR="001F5502" w:rsidRPr="000744FD" w:rsidRDefault="001F5502" w:rsidP="000744FD">
      <w:pPr>
        <w:pStyle w:val="FootnoteText"/>
        <w:rPr>
          <w:rFonts w:ascii="Arial" w:hAnsi="Arial" w:cs="Arial"/>
          <w:b/>
          <w:bCs/>
          <w:color w:val="662927"/>
          <w:sz w:val="16"/>
          <w:szCs w:val="16"/>
        </w:rPr>
      </w:pPr>
      <w:r w:rsidRPr="000744FD">
        <w:rPr>
          <w:rStyle w:val="FootnoteReference"/>
          <w:sz w:val="16"/>
          <w:szCs w:val="16"/>
        </w:rPr>
        <w:footnoteRef/>
      </w:r>
      <w:r w:rsidRPr="000744FD">
        <w:rPr>
          <w:sz w:val="16"/>
          <w:szCs w:val="16"/>
        </w:rPr>
        <w:t xml:space="preserve"> </w:t>
      </w:r>
      <w:r w:rsidRPr="00FE791B">
        <w:t>Stephen Smith, Minister for Foreign Affairs. Ministerial Statement on Burma (2010)</w:t>
      </w:r>
      <w:r w:rsidRPr="000744FD">
        <w:rPr>
          <w:rFonts w:ascii="Arial" w:hAnsi="Arial" w:cs="Arial"/>
          <w:b/>
          <w:bCs/>
          <w:color w:val="662927"/>
          <w:sz w:val="16"/>
          <w:szCs w:val="16"/>
        </w:rPr>
        <w:t xml:space="preserve"> </w:t>
      </w:r>
    </w:p>
    <w:p w:rsidR="001F5502" w:rsidRDefault="001F5502">
      <w:pPr>
        <w:pStyle w:val="FootnoteText"/>
      </w:pPr>
      <w:r w:rsidRPr="000744FD">
        <w:t>http://www.ausaid.gov.au/media/release.cfm?BC=Speech&amp;ID=4023_7267_6332_1366_4075</w:t>
      </w:r>
    </w:p>
  </w:footnote>
  <w:footnote w:id="3">
    <w:p w:rsidR="001F5502" w:rsidRDefault="001F5502" w:rsidP="001B0EE1">
      <w:pPr>
        <w:pStyle w:val="FootnoteText"/>
      </w:pPr>
      <w:r>
        <w:rPr>
          <w:rStyle w:val="FootnoteReference"/>
        </w:rPr>
        <w:footnoteRef/>
      </w:r>
      <w:r>
        <w:t xml:space="preserve"> Based on estimates from the Burma Partnership Group on Aid Effectiveness (September 2010) which estimated that in 2010 aid flows would be US$270 million.</w:t>
      </w:r>
    </w:p>
  </w:footnote>
  <w:footnote w:id="4">
    <w:p w:rsidR="001F5502" w:rsidRDefault="001F5502" w:rsidP="001B0EE1">
      <w:pPr>
        <w:pStyle w:val="FootnoteText"/>
      </w:pPr>
      <w:r w:rsidRPr="00FE791B">
        <w:rPr>
          <w:rStyle w:val="FootnoteReference"/>
        </w:rPr>
        <w:footnoteRef/>
      </w:r>
      <w:r w:rsidRPr="00FE791B">
        <w:rPr>
          <w:rStyle w:val="FootnoteReference"/>
        </w:rPr>
        <w:t xml:space="preserve"> </w:t>
      </w:r>
      <w:r w:rsidRPr="00FE791B">
        <w:t>Organisation for Economic Co-operation and Development (2011) Geographical Distribution of Financial Flows to developing</w:t>
      </w:r>
      <w:r w:rsidRPr="008219FF">
        <w:t xml:space="preserve"> Countries</w:t>
      </w:r>
    </w:p>
  </w:footnote>
  <w:footnote w:id="5">
    <w:p w:rsidR="001F5502" w:rsidRDefault="001F5502" w:rsidP="001B0EE1">
      <w:pPr>
        <w:pStyle w:val="FootnoteText"/>
      </w:pPr>
      <w:r>
        <w:rPr>
          <w:rStyle w:val="FootnoteReference"/>
        </w:rPr>
        <w:footnoteRef/>
      </w:r>
      <w:r>
        <w:t xml:space="preserve"> China provides substantial support to Burma through partial debt relief, concessional loans and technical assistance, with a strong emphasis on economic cooperation and infrastructure. </w:t>
      </w:r>
    </w:p>
  </w:footnote>
  <w:footnote w:id="6">
    <w:p w:rsidR="001F5502" w:rsidRDefault="001F5502" w:rsidP="00DF4B0D">
      <w:r>
        <w:rPr>
          <w:rStyle w:val="FootnoteReference"/>
        </w:rPr>
        <w:footnoteRef/>
      </w:r>
      <w:r>
        <w:t xml:space="preserve"> </w:t>
      </w:r>
      <w:r w:rsidRPr="00DF4B0D">
        <w:rPr>
          <w:rFonts w:ascii="Franklin Gothic Book" w:hAnsi="Franklin Gothic Book"/>
          <w:sz w:val="14"/>
          <w:szCs w:val="14"/>
        </w:rPr>
        <w:t xml:space="preserve">A </w:t>
      </w:r>
      <w:hyperlink r:id="rId1" w:history="1">
        <w:r w:rsidRPr="00DF4B0D">
          <w:rPr>
            <w:rFonts w:ascii="Franklin Gothic Book" w:hAnsi="Franklin Gothic Book"/>
            <w:sz w:val="14"/>
            <w:szCs w:val="14"/>
          </w:rPr>
          <w:t>communicable disease</w:t>
        </w:r>
      </w:hyperlink>
      <w:r w:rsidRPr="00DF4B0D">
        <w:rPr>
          <w:rFonts w:ascii="Franklin Gothic Book" w:hAnsi="Franklin Gothic Book"/>
          <w:sz w:val="14"/>
          <w:szCs w:val="14"/>
        </w:rPr>
        <w:t xml:space="preserve"> is an </w:t>
      </w:r>
      <w:hyperlink r:id="rId2" w:history="1">
        <w:r w:rsidRPr="00DF4B0D">
          <w:rPr>
            <w:rFonts w:ascii="Franklin Gothic Book" w:hAnsi="Franklin Gothic Book"/>
            <w:sz w:val="14"/>
            <w:szCs w:val="14"/>
          </w:rPr>
          <w:t>infectious disease</w:t>
        </w:r>
      </w:hyperlink>
      <w:r w:rsidRPr="00DF4B0D">
        <w:rPr>
          <w:rFonts w:ascii="Franklin Gothic Book" w:hAnsi="Franklin Gothic Book"/>
          <w:sz w:val="14"/>
          <w:szCs w:val="14"/>
        </w:rPr>
        <w:t xml:space="preserve"> transmissible (as from person to person) by direct contact with an affected individual or the individual's discharges or by indirect means (as by a vector</w:t>
      </w:r>
      <w:r w:rsidRPr="006B6E3A">
        <w:rPr>
          <w:rFonts w:ascii="Franklin Gothic Book" w:hAnsi="Franklin Gothic Book"/>
          <w:sz w:val="14"/>
          <w:szCs w:val="14"/>
        </w:rPr>
        <w:t>)</w:t>
      </w:r>
    </w:p>
  </w:footnote>
  <w:footnote w:id="7">
    <w:p w:rsidR="001F5502" w:rsidRDefault="001F5502" w:rsidP="006B6E3A">
      <w:pPr>
        <w:pStyle w:val="FootnoteText"/>
        <w:ind w:left="0" w:firstLine="0"/>
      </w:pPr>
      <w:r>
        <w:rPr>
          <w:rStyle w:val="FootnoteReference"/>
        </w:rPr>
        <w:footnoteRef/>
      </w:r>
      <w:r>
        <w:t xml:space="preserve"> Burma has the highest malaria burden of south-east Asian countries. The </w:t>
      </w:r>
      <w:r w:rsidRPr="004851F2">
        <w:t>World Health Organization</w:t>
      </w:r>
      <w:r>
        <w:t xml:space="preserve"> conservatively estimates 4.2 million cases a year. TB prevalence is higher than in other countries in the region, with a prevalence rate of 604 per 100 000 people. </w:t>
      </w:r>
    </w:p>
  </w:footnote>
  <w:footnote w:id="8">
    <w:p w:rsidR="001F5502" w:rsidRDefault="001F5502" w:rsidP="006B6E3A">
      <w:pPr>
        <w:pStyle w:val="FootnoteText"/>
        <w:ind w:left="0" w:firstLine="0"/>
      </w:pPr>
      <w:r>
        <w:rPr>
          <w:rStyle w:val="FootnoteReference"/>
        </w:rPr>
        <w:footnoteRef/>
      </w:r>
      <w:r>
        <w:t xml:space="preserve"> In 2000, the </w:t>
      </w:r>
      <w:r w:rsidRPr="004851F2">
        <w:t xml:space="preserve">World Health Organization </w:t>
      </w:r>
      <w:r>
        <w:t xml:space="preserve">ranked Burma’s health care system as the second worst among developing countries. </w:t>
      </w:r>
    </w:p>
  </w:footnote>
  <w:footnote w:id="9">
    <w:p w:rsidR="001F5502" w:rsidRPr="00DF4B0D" w:rsidRDefault="001F5502" w:rsidP="006B6E3A">
      <w:pPr>
        <w:rPr>
          <w:rFonts w:ascii="Arial" w:hAnsi="Arial" w:cs="Arial"/>
          <w:color w:val="000000"/>
          <w:szCs w:val="20"/>
        </w:rPr>
      </w:pPr>
      <w:r>
        <w:rPr>
          <w:rStyle w:val="FootnoteReference"/>
        </w:rPr>
        <w:footnoteRef/>
      </w:r>
      <w:r>
        <w:t xml:space="preserve"> </w:t>
      </w:r>
      <w:r w:rsidRPr="00DF4B0D">
        <w:rPr>
          <w:rFonts w:ascii="Franklin Gothic Book" w:hAnsi="Franklin Gothic Book"/>
          <w:sz w:val="14"/>
          <w:szCs w:val="14"/>
        </w:rPr>
        <w:t>An infectious disease is caused by the entrance, growth, and multiplication of microorganisms in the body; a germ disease. It may not be contagious</w:t>
      </w:r>
      <w:r>
        <w:rPr>
          <w:rFonts w:ascii="Franklin Gothic Book" w:hAnsi="Franklin Gothic Book"/>
          <w:sz w:val="14"/>
          <w:szCs w:val="14"/>
        </w:rPr>
        <w:t>.</w:t>
      </w:r>
      <w:r w:rsidRPr="00DF4B0D">
        <w:rPr>
          <w:rFonts w:ascii="Arial" w:hAnsi="Arial" w:cs="Arial"/>
          <w:color w:val="000000"/>
          <w:szCs w:val="20"/>
        </w:rPr>
        <w:t xml:space="preserve"> </w:t>
      </w:r>
    </w:p>
    <w:p w:rsidR="001F5502" w:rsidRDefault="001F5502">
      <w:pPr>
        <w:pStyle w:val="FootnoteText"/>
      </w:pPr>
    </w:p>
  </w:footnote>
  <w:footnote w:id="10">
    <w:p w:rsidR="001F5502" w:rsidRDefault="001F5502">
      <w:pPr>
        <w:pStyle w:val="FootnoteText"/>
      </w:pPr>
      <w:r>
        <w:rPr>
          <w:rStyle w:val="FootnoteReference"/>
        </w:rPr>
        <w:footnoteRef/>
      </w:r>
      <w:r>
        <w:t xml:space="preserve"> </w:t>
      </w:r>
      <w:r>
        <w:rPr>
          <w:lang w:val="en"/>
        </w:rPr>
        <w:t xml:space="preserve">A common position, once agreed, is binding on all EU states </w:t>
      </w:r>
      <w:proofErr w:type="gramStart"/>
      <w:r>
        <w:rPr>
          <w:lang w:val="en"/>
        </w:rPr>
        <w:t>who</w:t>
      </w:r>
      <w:proofErr w:type="gramEnd"/>
      <w:r>
        <w:rPr>
          <w:lang w:val="en"/>
        </w:rPr>
        <w:t xml:space="preserve"> must follow and defend the policy.</w:t>
      </w:r>
    </w:p>
  </w:footnote>
  <w:footnote w:id="11">
    <w:p w:rsidR="001F5502" w:rsidRDefault="001F5502" w:rsidP="003074C9">
      <w:pPr>
        <w:pStyle w:val="FootnoteText"/>
      </w:pPr>
      <w:r>
        <w:rPr>
          <w:rStyle w:val="FootnoteReference"/>
        </w:rPr>
        <w:footnoteRef/>
      </w:r>
      <w:r>
        <w:t xml:space="preserve"> Centre for Peace and Conflict Studies (n.d.) </w:t>
      </w:r>
      <w:r w:rsidRPr="00E315AE">
        <w:rPr>
          <w:i/>
        </w:rPr>
        <w:t xml:space="preserve">Listening to </w:t>
      </w:r>
      <w:r>
        <w:rPr>
          <w:i/>
        </w:rPr>
        <w:t>V</w:t>
      </w:r>
      <w:r w:rsidRPr="00E315AE">
        <w:rPr>
          <w:i/>
        </w:rPr>
        <w:t>oice</w:t>
      </w:r>
      <w:r>
        <w:rPr>
          <w:i/>
        </w:rPr>
        <w:t>s</w:t>
      </w:r>
      <w:r w:rsidRPr="00E315AE">
        <w:rPr>
          <w:i/>
        </w:rPr>
        <w:t xml:space="preserve"> from inside Myanmar</w:t>
      </w:r>
      <w:r>
        <w:t>, Centre for Peace and Conflict Studies, Phnom Penh, p. 39.</w:t>
      </w:r>
    </w:p>
  </w:footnote>
  <w:footnote w:id="12">
    <w:p w:rsidR="001F5502" w:rsidRDefault="001F5502" w:rsidP="003074C9">
      <w:pPr>
        <w:pStyle w:val="FootnoteText"/>
      </w:pPr>
      <w:r>
        <w:rPr>
          <w:rStyle w:val="FootnoteReference"/>
        </w:rPr>
        <w:footnoteRef/>
      </w:r>
      <w:r>
        <w:t xml:space="preserve"> Human Rights Watch (2010), </w:t>
      </w:r>
      <w:r w:rsidRPr="00E315AE">
        <w:rPr>
          <w:i/>
        </w:rPr>
        <w:t>I want to help my own people: State control and civil society in Burma after cyclone Nargis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02" w:rsidRDefault="00932594"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 name="Picture 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mber" style="width:7.8pt;height:7.8pt" o:bullet="t">
        <v:imagedata r:id="rId1" o:title="ambeer"/>
      </v:shape>
    </w:pict>
  </w:numPicBullet>
  <w:abstractNum w:abstractNumId="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4">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nsid w:val="2DB81796"/>
    <w:multiLevelType w:val="hybridMultilevel"/>
    <w:tmpl w:val="070A8A14"/>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F264CF"/>
    <w:multiLevelType w:val="multilevel"/>
    <w:tmpl w:val="DD5A44F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7308AE"/>
    <w:multiLevelType w:val="hybridMultilevel"/>
    <w:tmpl w:val="7ABE5B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BB0693A"/>
    <w:multiLevelType w:val="hybridMultilevel"/>
    <w:tmpl w:val="25BC16DC"/>
    <w:lvl w:ilvl="0" w:tplc="DB6678E8">
      <w:start w:val="1"/>
      <w:numFmt w:val="bullet"/>
      <w:lvlText w:val="&gt;"/>
      <w:lvlJc w:val="left"/>
      <w:pPr>
        <w:tabs>
          <w:tab w:val="num" w:pos="360"/>
        </w:tabs>
        <w:ind w:left="360" w:hanging="360"/>
      </w:pPr>
      <w:rPr>
        <w:rFonts w:ascii="font440" w:hAnsi="font440" w:hint="default"/>
        <w:color w:val="0000FF"/>
        <w:position w:val="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7"/>
  </w:num>
  <w:num w:numId="4">
    <w:abstractNumId w:val="10"/>
  </w:num>
  <w:num w:numId="5">
    <w:abstractNumId w:val="8"/>
  </w:num>
  <w:num w:numId="6">
    <w:abstractNumId w:val="6"/>
  </w:num>
  <w:num w:numId="7">
    <w:abstractNumId w:val="13"/>
  </w:num>
  <w:num w:numId="8">
    <w:abstractNumId w:val="14"/>
  </w:num>
  <w:num w:numId="9">
    <w:abstractNumId w:val="0"/>
  </w:num>
  <w:num w:numId="10">
    <w:abstractNumId w:val="9"/>
  </w:num>
  <w:num w:numId="11">
    <w:abstractNumId w:val="16"/>
  </w:num>
  <w:num w:numId="12">
    <w:abstractNumId w:val="3"/>
  </w:num>
  <w:num w:numId="13">
    <w:abstractNumId w:val="2"/>
  </w:num>
  <w:num w:numId="14">
    <w:abstractNumId w:val="18"/>
  </w:num>
  <w:num w:numId="15">
    <w:abstractNumId w:val="20"/>
  </w:num>
  <w:num w:numId="16">
    <w:abstractNumId w:val="15"/>
  </w:num>
  <w:num w:numId="17">
    <w:abstractNumId w:val="12"/>
  </w:num>
  <w:num w:numId="18">
    <w:abstractNumId w:val="4"/>
  </w:num>
  <w:num w:numId="19">
    <w:abstractNumId w:val="19"/>
  </w:num>
  <w:num w:numId="20">
    <w:abstractNumId w:val="17"/>
  </w:num>
  <w:num w:numId="21">
    <w:abstractNumId w:val="20"/>
  </w:num>
  <w:num w:numId="22">
    <w:abstractNumId w:val="20"/>
  </w:num>
  <w:num w:numId="23">
    <w:abstractNumId w:val="20"/>
  </w:num>
  <w:num w:numId="24">
    <w:abstractNumId w:val="13"/>
  </w:num>
  <w:num w:numId="25">
    <w:abstractNumId w:val="13"/>
  </w:num>
  <w:num w:numId="26">
    <w:abstractNumId w:val="5"/>
  </w:num>
  <w:num w:numId="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2D"/>
    <w:rsid w:val="000025B4"/>
    <w:rsid w:val="00002939"/>
    <w:rsid w:val="00004368"/>
    <w:rsid w:val="00011550"/>
    <w:rsid w:val="0001170C"/>
    <w:rsid w:val="000129D7"/>
    <w:rsid w:val="00012E5E"/>
    <w:rsid w:val="0001356A"/>
    <w:rsid w:val="00014038"/>
    <w:rsid w:val="0001508D"/>
    <w:rsid w:val="00015DBC"/>
    <w:rsid w:val="00016771"/>
    <w:rsid w:val="00016CBA"/>
    <w:rsid w:val="00017D33"/>
    <w:rsid w:val="00017E33"/>
    <w:rsid w:val="000211DA"/>
    <w:rsid w:val="0002235F"/>
    <w:rsid w:val="00022D41"/>
    <w:rsid w:val="00025336"/>
    <w:rsid w:val="000257E7"/>
    <w:rsid w:val="0002582F"/>
    <w:rsid w:val="00026EC0"/>
    <w:rsid w:val="00030588"/>
    <w:rsid w:val="00031CB9"/>
    <w:rsid w:val="0003385B"/>
    <w:rsid w:val="00034B41"/>
    <w:rsid w:val="00034E45"/>
    <w:rsid w:val="00035E2A"/>
    <w:rsid w:val="000375F3"/>
    <w:rsid w:val="00037673"/>
    <w:rsid w:val="00041628"/>
    <w:rsid w:val="00041ED5"/>
    <w:rsid w:val="000433AB"/>
    <w:rsid w:val="000440BB"/>
    <w:rsid w:val="00044EDD"/>
    <w:rsid w:val="000452A6"/>
    <w:rsid w:val="0004636D"/>
    <w:rsid w:val="00046974"/>
    <w:rsid w:val="000513B2"/>
    <w:rsid w:val="00053BB3"/>
    <w:rsid w:val="00053D8A"/>
    <w:rsid w:val="00057B06"/>
    <w:rsid w:val="00060A32"/>
    <w:rsid w:val="00061389"/>
    <w:rsid w:val="000623A0"/>
    <w:rsid w:val="00063C90"/>
    <w:rsid w:val="000655EB"/>
    <w:rsid w:val="000658B6"/>
    <w:rsid w:val="00065C12"/>
    <w:rsid w:val="00067F6E"/>
    <w:rsid w:val="00070BAE"/>
    <w:rsid w:val="00070F05"/>
    <w:rsid w:val="000722A1"/>
    <w:rsid w:val="00072CF3"/>
    <w:rsid w:val="000744FD"/>
    <w:rsid w:val="0007481E"/>
    <w:rsid w:val="00074C9B"/>
    <w:rsid w:val="00075676"/>
    <w:rsid w:val="00075C1B"/>
    <w:rsid w:val="00075E37"/>
    <w:rsid w:val="00075F52"/>
    <w:rsid w:val="000765D3"/>
    <w:rsid w:val="000766F0"/>
    <w:rsid w:val="00076703"/>
    <w:rsid w:val="000805B2"/>
    <w:rsid w:val="00082E97"/>
    <w:rsid w:val="000833A0"/>
    <w:rsid w:val="00085585"/>
    <w:rsid w:val="00085594"/>
    <w:rsid w:val="00085E50"/>
    <w:rsid w:val="00086164"/>
    <w:rsid w:val="000863C3"/>
    <w:rsid w:val="000874A4"/>
    <w:rsid w:val="00090C8C"/>
    <w:rsid w:val="00092F37"/>
    <w:rsid w:val="00093A55"/>
    <w:rsid w:val="00095ABC"/>
    <w:rsid w:val="00097A76"/>
    <w:rsid w:val="000A0794"/>
    <w:rsid w:val="000A3437"/>
    <w:rsid w:val="000A4433"/>
    <w:rsid w:val="000A5BCC"/>
    <w:rsid w:val="000A7400"/>
    <w:rsid w:val="000A7708"/>
    <w:rsid w:val="000A7ABD"/>
    <w:rsid w:val="000A7AD4"/>
    <w:rsid w:val="000B0232"/>
    <w:rsid w:val="000B108C"/>
    <w:rsid w:val="000B13AB"/>
    <w:rsid w:val="000B146D"/>
    <w:rsid w:val="000B3686"/>
    <w:rsid w:val="000B4054"/>
    <w:rsid w:val="000B44C0"/>
    <w:rsid w:val="000B56CF"/>
    <w:rsid w:val="000B5B55"/>
    <w:rsid w:val="000B6330"/>
    <w:rsid w:val="000B7FF7"/>
    <w:rsid w:val="000C0125"/>
    <w:rsid w:val="000C0807"/>
    <w:rsid w:val="000C0C2C"/>
    <w:rsid w:val="000C0D83"/>
    <w:rsid w:val="000C3490"/>
    <w:rsid w:val="000C45A2"/>
    <w:rsid w:val="000C6046"/>
    <w:rsid w:val="000D074E"/>
    <w:rsid w:val="000D32D5"/>
    <w:rsid w:val="000D444F"/>
    <w:rsid w:val="000D47A5"/>
    <w:rsid w:val="000D50E0"/>
    <w:rsid w:val="000D732A"/>
    <w:rsid w:val="000E0333"/>
    <w:rsid w:val="000E2E8A"/>
    <w:rsid w:val="000E3B29"/>
    <w:rsid w:val="000E3C14"/>
    <w:rsid w:val="000E55ED"/>
    <w:rsid w:val="000E595E"/>
    <w:rsid w:val="000E5C21"/>
    <w:rsid w:val="000E7B7B"/>
    <w:rsid w:val="000E7D3C"/>
    <w:rsid w:val="000F2309"/>
    <w:rsid w:val="000F706A"/>
    <w:rsid w:val="000F7DB9"/>
    <w:rsid w:val="000F7EBB"/>
    <w:rsid w:val="0010001A"/>
    <w:rsid w:val="001020A5"/>
    <w:rsid w:val="00103972"/>
    <w:rsid w:val="0010401F"/>
    <w:rsid w:val="00104729"/>
    <w:rsid w:val="00104CCC"/>
    <w:rsid w:val="001104EF"/>
    <w:rsid w:val="00114EE3"/>
    <w:rsid w:val="00115A8C"/>
    <w:rsid w:val="00115D91"/>
    <w:rsid w:val="001204E2"/>
    <w:rsid w:val="001250BF"/>
    <w:rsid w:val="001260C2"/>
    <w:rsid w:val="00127B7F"/>
    <w:rsid w:val="00132E41"/>
    <w:rsid w:val="00135A4C"/>
    <w:rsid w:val="001360A4"/>
    <w:rsid w:val="00136E47"/>
    <w:rsid w:val="00136FF9"/>
    <w:rsid w:val="00137BA1"/>
    <w:rsid w:val="0014049B"/>
    <w:rsid w:val="00141818"/>
    <w:rsid w:val="0014252B"/>
    <w:rsid w:val="0014282B"/>
    <w:rsid w:val="00142A4D"/>
    <w:rsid w:val="00142E47"/>
    <w:rsid w:val="00143525"/>
    <w:rsid w:val="001436A7"/>
    <w:rsid w:val="00144611"/>
    <w:rsid w:val="00144B1B"/>
    <w:rsid w:val="00144FAA"/>
    <w:rsid w:val="00146566"/>
    <w:rsid w:val="0014787F"/>
    <w:rsid w:val="00152D98"/>
    <w:rsid w:val="0015512B"/>
    <w:rsid w:val="001564B4"/>
    <w:rsid w:val="00156521"/>
    <w:rsid w:val="00156A18"/>
    <w:rsid w:val="00156C2D"/>
    <w:rsid w:val="00160C77"/>
    <w:rsid w:val="0016217F"/>
    <w:rsid w:val="001644AA"/>
    <w:rsid w:val="00165B59"/>
    <w:rsid w:val="00165C4D"/>
    <w:rsid w:val="00166BE1"/>
    <w:rsid w:val="00166C70"/>
    <w:rsid w:val="001671AC"/>
    <w:rsid w:val="001701FC"/>
    <w:rsid w:val="001702D7"/>
    <w:rsid w:val="001707ED"/>
    <w:rsid w:val="00170B04"/>
    <w:rsid w:val="00172093"/>
    <w:rsid w:val="0017313D"/>
    <w:rsid w:val="001756DD"/>
    <w:rsid w:val="00175CFE"/>
    <w:rsid w:val="00176846"/>
    <w:rsid w:val="00176F1C"/>
    <w:rsid w:val="001772C7"/>
    <w:rsid w:val="00177AE1"/>
    <w:rsid w:val="00180E63"/>
    <w:rsid w:val="00180EC6"/>
    <w:rsid w:val="00181B24"/>
    <w:rsid w:val="00182E7D"/>
    <w:rsid w:val="00183D2C"/>
    <w:rsid w:val="001840DC"/>
    <w:rsid w:val="00184C6E"/>
    <w:rsid w:val="00185A8C"/>
    <w:rsid w:val="00187D56"/>
    <w:rsid w:val="00190697"/>
    <w:rsid w:val="00190A25"/>
    <w:rsid w:val="001930B2"/>
    <w:rsid w:val="0019312D"/>
    <w:rsid w:val="00193384"/>
    <w:rsid w:val="001957F2"/>
    <w:rsid w:val="0019627A"/>
    <w:rsid w:val="00197485"/>
    <w:rsid w:val="00197936"/>
    <w:rsid w:val="001A0653"/>
    <w:rsid w:val="001A157D"/>
    <w:rsid w:val="001A4314"/>
    <w:rsid w:val="001A4CB0"/>
    <w:rsid w:val="001A4F3D"/>
    <w:rsid w:val="001A5A81"/>
    <w:rsid w:val="001A64D6"/>
    <w:rsid w:val="001A676A"/>
    <w:rsid w:val="001A76CD"/>
    <w:rsid w:val="001A7A00"/>
    <w:rsid w:val="001B0BC3"/>
    <w:rsid w:val="001B0EE1"/>
    <w:rsid w:val="001B11EB"/>
    <w:rsid w:val="001B1559"/>
    <w:rsid w:val="001B1F46"/>
    <w:rsid w:val="001B3A25"/>
    <w:rsid w:val="001B40B6"/>
    <w:rsid w:val="001B6BE6"/>
    <w:rsid w:val="001B7441"/>
    <w:rsid w:val="001B7D36"/>
    <w:rsid w:val="001C0139"/>
    <w:rsid w:val="001C1650"/>
    <w:rsid w:val="001C18A5"/>
    <w:rsid w:val="001C27DD"/>
    <w:rsid w:val="001C54D5"/>
    <w:rsid w:val="001C557B"/>
    <w:rsid w:val="001C68A6"/>
    <w:rsid w:val="001C6E03"/>
    <w:rsid w:val="001C6E25"/>
    <w:rsid w:val="001C7FAB"/>
    <w:rsid w:val="001D0D54"/>
    <w:rsid w:val="001D0D75"/>
    <w:rsid w:val="001D1FB5"/>
    <w:rsid w:val="001D21D0"/>
    <w:rsid w:val="001D24B1"/>
    <w:rsid w:val="001D2D04"/>
    <w:rsid w:val="001D5233"/>
    <w:rsid w:val="001D5B24"/>
    <w:rsid w:val="001D65A4"/>
    <w:rsid w:val="001E1B02"/>
    <w:rsid w:val="001E34A5"/>
    <w:rsid w:val="001E521E"/>
    <w:rsid w:val="001E5458"/>
    <w:rsid w:val="001E5DA2"/>
    <w:rsid w:val="001E61C0"/>
    <w:rsid w:val="001E77A7"/>
    <w:rsid w:val="001E7C2A"/>
    <w:rsid w:val="001F0E53"/>
    <w:rsid w:val="001F0E62"/>
    <w:rsid w:val="001F1365"/>
    <w:rsid w:val="001F353B"/>
    <w:rsid w:val="001F39C9"/>
    <w:rsid w:val="001F3C50"/>
    <w:rsid w:val="001F4CD3"/>
    <w:rsid w:val="001F4E51"/>
    <w:rsid w:val="001F5502"/>
    <w:rsid w:val="001F585A"/>
    <w:rsid w:val="001F5AA9"/>
    <w:rsid w:val="0020245F"/>
    <w:rsid w:val="002028B6"/>
    <w:rsid w:val="00203160"/>
    <w:rsid w:val="0020410B"/>
    <w:rsid w:val="00204A28"/>
    <w:rsid w:val="00205AA6"/>
    <w:rsid w:val="0021017E"/>
    <w:rsid w:val="00212975"/>
    <w:rsid w:val="00213176"/>
    <w:rsid w:val="0021420A"/>
    <w:rsid w:val="00214C9D"/>
    <w:rsid w:val="002176DB"/>
    <w:rsid w:val="002178C9"/>
    <w:rsid w:val="00217BB8"/>
    <w:rsid w:val="00222F3B"/>
    <w:rsid w:val="00224541"/>
    <w:rsid w:val="00224939"/>
    <w:rsid w:val="00226029"/>
    <w:rsid w:val="00226880"/>
    <w:rsid w:val="0022688E"/>
    <w:rsid w:val="002274D0"/>
    <w:rsid w:val="00227783"/>
    <w:rsid w:val="00227D6B"/>
    <w:rsid w:val="00230BD1"/>
    <w:rsid w:val="00230F10"/>
    <w:rsid w:val="00231CB6"/>
    <w:rsid w:val="00232097"/>
    <w:rsid w:val="00233570"/>
    <w:rsid w:val="00233D7A"/>
    <w:rsid w:val="00233DF7"/>
    <w:rsid w:val="00234583"/>
    <w:rsid w:val="00234D37"/>
    <w:rsid w:val="00235423"/>
    <w:rsid w:val="00236B45"/>
    <w:rsid w:val="00236C53"/>
    <w:rsid w:val="00237451"/>
    <w:rsid w:val="0024071E"/>
    <w:rsid w:val="00240A07"/>
    <w:rsid w:val="00243468"/>
    <w:rsid w:val="0024348E"/>
    <w:rsid w:val="00243F24"/>
    <w:rsid w:val="00244B3C"/>
    <w:rsid w:val="00244F96"/>
    <w:rsid w:val="002452D0"/>
    <w:rsid w:val="0024542D"/>
    <w:rsid w:val="0024630C"/>
    <w:rsid w:val="00247D70"/>
    <w:rsid w:val="00247F6A"/>
    <w:rsid w:val="002505BE"/>
    <w:rsid w:val="00250D70"/>
    <w:rsid w:val="002515F6"/>
    <w:rsid w:val="0025173D"/>
    <w:rsid w:val="00253146"/>
    <w:rsid w:val="00253B3E"/>
    <w:rsid w:val="00254243"/>
    <w:rsid w:val="00254E43"/>
    <w:rsid w:val="00254E51"/>
    <w:rsid w:val="00257199"/>
    <w:rsid w:val="002600C7"/>
    <w:rsid w:val="00260CE2"/>
    <w:rsid w:val="0026344A"/>
    <w:rsid w:val="0026347A"/>
    <w:rsid w:val="00263B78"/>
    <w:rsid w:val="00265229"/>
    <w:rsid w:val="00266A89"/>
    <w:rsid w:val="00266B56"/>
    <w:rsid w:val="00266C05"/>
    <w:rsid w:val="002702DD"/>
    <w:rsid w:val="002710D0"/>
    <w:rsid w:val="00272699"/>
    <w:rsid w:val="00272D7B"/>
    <w:rsid w:val="0027351E"/>
    <w:rsid w:val="0027441E"/>
    <w:rsid w:val="0027483C"/>
    <w:rsid w:val="0027551E"/>
    <w:rsid w:val="00280882"/>
    <w:rsid w:val="00281D52"/>
    <w:rsid w:val="002820D7"/>
    <w:rsid w:val="00282C32"/>
    <w:rsid w:val="00286E03"/>
    <w:rsid w:val="00287F57"/>
    <w:rsid w:val="0029088B"/>
    <w:rsid w:val="00291B3A"/>
    <w:rsid w:val="00292656"/>
    <w:rsid w:val="00292C3C"/>
    <w:rsid w:val="00294AA6"/>
    <w:rsid w:val="00294D4C"/>
    <w:rsid w:val="00295501"/>
    <w:rsid w:val="00296270"/>
    <w:rsid w:val="00297DF9"/>
    <w:rsid w:val="002A1D2F"/>
    <w:rsid w:val="002A1DE3"/>
    <w:rsid w:val="002A2305"/>
    <w:rsid w:val="002A31AC"/>
    <w:rsid w:val="002A477C"/>
    <w:rsid w:val="002A4BB1"/>
    <w:rsid w:val="002A561C"/>
    <w:rsid w:val="002A6CE4"/>
    <w:rsid w:val="002B02EA"/>
    <w:rsid w:val="002B1624"/>
    <w:rsid w:val="002B1A19"/>
    <w:rsid w:val="002B1C3F"/>
    <w:rsid w:val="002B1D0E"/>
    <w:rsid w:val="002B2514"/>
    <w:rsid w:val="002B3053"/>
    <w:rsid w:val="002B33AD"/>
    <w:rsid w:val="002B3E15"/>
    <w:rsid w:val="002B4651"/>
    <w:rsid w:val="002B7D4C"/>
    <w:rsid w:val="002C018F"/>
    <w:rsid w:val="002C0F44"/>
    <w:rsid w:val="002C159E"/>
    <w:rsid w:val="002C23D1"/>
    <w:rsid w:val="002C257C"/>
    <w:rsid w:val="002C3A23"/>
    <w:rsid w:val="002C4D78"/>
    <w:rsid w:val="002C4E00"/>
    <w:rsid w:val="002C5AF0"/>
    <w:rsid w:val="002C7822"/>
    <w:rsid w:val="002C79C8"/>
    <w:rsid w:val="002C79E4"/>
    <w:rsid w:val="002D2A8F"/>
    <w:rsid w:val="002D3003"/>
    <w:rsid w:val="002D32D1"/>
    <w:rsid w:val="002D468F"/>
    <w:rsid w:val="002D5954"/>
    <w:rsid w:val="002D5DED"/>
    <w:rsid w:val="002D657C"/>
    <w:rsid w:val="002D6E19"/>
    <w:rsid w:val="002D7A0A"/>
    <w:rsid w:val="002E000E"/>
    <w:rsid w:val="002E0115"/>
    <w:rsid w:val="002E1AC2"/>
    <w:rsid w:val="002E2CDD"/>
    <w:rsid w:val="002E3E10"/>
    <w:rsid w:val="002E499B"/>
    <w:rsid w:val="002E5B22"/>
    <w:rsid w:val="002E626C"/>
    <w:rsid w:val="002E7CB4"/>
    <w:rsid w:val="002E7F6A"/>
    <w:rsid w:val="002F056E"/>
    <w:rsid w:val="002F104A"/>
    <w:rsid w:val="002F1AB4"/>
    <w:rsid w:val="002F3393"/>
    <w:rsid w:val="002F36D2"/>
    <w:rsid w:val="002F3C1A"/>
    <w:rsid w:val="002F3E97"/>
    <w:rsid w:val="002F4300"/>
    <w:rsid w:val="002F489A"/>
    <w:rsid w:val="002F718D"/>
    <w:rsid w:val="0030109E"/>
    <w:rsid w:val="00302232"/>
    <w:rsid w:val="003023FD"/>
    <w:rsid w:val="0030414F"/>
    <w:rsid w:val="00305213"/>
    <w:rsid w:val="00305565"/>
    <w:rsid w:val="003074C9"/>
    <w:rsid w:val="00310C02"/>
    <w:rsid w:val="0031131B"/>
    <w:rsid w:val="00312B95"/>
    <w:rsid w:val="00312E50"/>
    <w:rsid w:val="003147DD"/>
    <w:rsid w:val="00315D84"/>
    <w:rsid w:val="00316AAC"/>
    <w:rsid w:val="00321C81"/>
    <w:rsid w:val="00322444"/>
    <w:rsid w:val="003225AB"/>
    <w:rsid w:val="00323639"/>
    <w:rsid w:val="00323965"/>
    <w:rsid w:val="00323A63"/>
    <w:rsid w:val="003256F9"/>
    <w:rsid w:val="00325F64"/>
    <w:rsid w:val="00330A76"/>
    <w:rsid w:val="00330D74"/>
    <w:rsid w:val="0033211A"/>
    <w:rsid w:val="00332945"/>
    <w:rsid w:val="00332C10"/>
    <w:rsid w:val="00333127"/>
    <w:rsid w:val="003341A9"/>
    <w:rsid w:val="00334B60"/>
    <w:rsid w:val="003355A0"/>
    <w:rsid w:val="003360B5"/>
    <w:rsid w:val="0033673E"/>
    <w:rsid w:val="003368B5"/>
    <w:rsid w:val="003369D5"/>
    <w:rsid w:val="00336FAC"/>
    <w:rsid w:val="003379F3"/>
    <w:rsid w:val="00337AAE"/>
    <w:rsid w:val="003405D1"/>
    <w:rsid w:val="00341566"/>
    <w:rsid w:val="00342A5A"/>
    <w:rsid w:val="00344063"/>
    <w:rsid w:val="00345C2F"/>
    <w:rsid w:val="00346320"/>
    <w:rsid w:val="0034794C"/>
    <w:rsid w:val="00347D10"/>
    <w:rsid w:val="00347E04"/>
    <w:rsid w:val="0035098F"/>
    <w:rsid w:val="003522B0"/>
    <w:rsid w:val="00352A66"/>
    <w:rsid w:val="00353747"/>
    <w:rsid w:val="00354CF6"/>
    <w:rsid w:val="003557A9"/>
    <w:rsid w:val="0035655A"/>
    <w:rsid w:val="00357879"/>
    <w:rsid w:val="00360C27"/>
    <w:rsid w:val="0036152B"/>
    <w:rsid w:val="003616A1"/>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76630"/>
    <w:rsid w:val="003813B0"/>
    <w:rsid w:val="00381894"/>
    <w:rsid w:val="00382BC2"/>
    <w:rsid w:val="003852FD"/>
    <w:rsid w:val="00385E4A"/>
    <w:rsid w:val="003864C0"/>
    <w:rsid w:val="00386714"/>
    <w:rsid w:val="00386A82"/>
    <w:rsid w:val="00386BBA"/>
    <w:rsid w:val="00386BD4"/>
    <w:rsid w:val="00386D59"/>
    <w:rsid w:val="003870E2"/>
    <w:rsid w:val="003872FC"/>
    <w:rsid w:val="00387F0B"/>
    <w:rsid w:val="003908F2"/>
    <w:rsid w:val="00390D11"/>
    <w:rsid w:val="0039171C"/>
    <w:rsid w:val="00393C49"/>
    <w:rsid w:val="00395037"/>
    <w:rsid w:val="003950F3"/>
    <w:rsid w:val="003951B4"/>
    <w:rsid w:val="00396AAB"/>
    <w:rsid w:val="00396E51"/>
    <w:rsid w:val="00396FEE"/>
    <w:rsid w:val="00397842"/>
    <w:rsid w:val="003A12E4"/>
    <w:rsid w:val="003A1A4E"/>
    <w:rsid w:val="003A2AFB"/>
    <w:rsid w:val="003A3E3B"/>
    <w:rsid w:val="003A437D"/>
    <w:rsid w:val="003A5F6E"/>
    <w:rsid w:val="003A70D1"/>
    <w:rsid w:val="003B01D4"/>
    <w:rsid w:val="003B0602"/>
    <w:rsid w:val="003B249D"/>
    <w:rsid w:val="003B34FE"/>
    <w:rsid w:val="003B3833"/>
    <w:rsid w:val="003B5B3A"/>
    <w:rsid w:val="003B669E"/>
    <w:rsid w:val="003B6AF8"/>
    <w:rsid w:val="003B7BFE"/>
    <w:rsid w:val="003C17C0"/>
    <w:rsid w:val="003C33CE"/>
    <w:rsid w:val="003C4418"/>
    <w:rsid w:val="003D277A"/>
    <w:rsid w:val="003D3401"/>
    <w:rsid w:val="003D41D9"/>
    <w:rsid w:val="003D503C"/>
    <w:rsid w:val="003D5602"/>
    <w:rsid w:val="003D7C66"/>
    <w:rsid w:val="003E15BE"/>
    <w:rsid w:val="003E4703"/>
    <w:rsid w:val="003E4C57"/>
    <w:rsid w:val="003E4E42"/>
    <w:rsid w:val="003E6A24"/>
    <w:rsid w:val="003E6BD8"/>
    <w:rsid w:val="003E74A4"/>
    <w:rsid w:val="003E774C"/>
    <w:rsid w:val="003F0648"/>
    <w:rsid w:val="003F159A"/>
    <w:rsid w:val="003F23B0"/>
    <w:rsid w:val="003F291D"/>
    <w:rsid w:val="003F2F80"/>
    <w:rsid w:val="003F4406"/>
    <w:rsid w:val="003F4998"/>
    <w:rsid w:val="003F6535"/>
    <w:rsid w:val="003F7DFD"/>
    <w:rsid w:val="00403EC1"/>
    <w:rsid w:val="00404981"/>
    <w:rsid w:val="00404EA8"/>
    <w:rsid w:val="004060BE"/>
    <w:rsid w:val="004069E3"/>
    <w:rsid w:val="00407CFC"/>
    <w:rsid w:val="00410D4E"/>
    <w:rsid w:val="0041118E"/>
    <w:rsid w:val="00411191"/>
    <w:rsid w:val="004114BC"/>
    <w:rsid w:val="00412989"/>
    <w:rsid w:val="004131F2"/>
    <w:rsid w:val="004143CB"/>
    <w:rsid w:val="00414418"/>
    <w:rsid w:val="004146C9"/>
    <w:rsid w:val="00416765"/>
    <w:rsid w:val="004174E5"/>
    <w:rsid w:val="00420072"/>
    <w:rsid w:val="004202ED"/>
    <w:rsid w:val="0042107B"/>
    <w:rsid w:val="0042222F"/>
    <w:rsid w:val="00422524"/>
    <w:rsid w:val="00422662"/>
    <w:rsid w:val="004226D0"/>
    <w:rsid w:val="004229B0"/>
    <w:rsid w:val="00424ADB"/>
    <w:rsid w:val="00425388"/>
    <w:rsid w:val="00426ACE"/>
    <w:rsid w:val="00427DB3"/>
    <w:rsid w:val="0043018B"/>
    <w:rsid w:val="004336AF"/>
    <w:rsid w:val="00433FEB"/>
    <w:rsid w:val="0043622D"/>
    <w:rsid w:val="00437AEC"/>
    <w:rsid w:val="004416A9"/>
    <w:rsid w:val="00442BE6"/>
    <w:rsid w:val="0044452B"/>
    <w:rsid w:val="00445908"/>
    <w:rsid w:val="00446BFE"/>
    <w:rsid w:val="00447F42"/>
    <w:rsid w:val="0045116A"/>
    <w:rsid w:val="00451E60"/>
    <w:rsid w:val="00452C48"/>
    <w:rsid w:val="00452E9D"/>
    <w:rsid w:val="0045304C"/>
    <w:rsid w:val="004530AC"/>
    <w:rsid w:val="00453EB3"/>
    <w:rsid w:val="00454368"/>
    <w:rsid w:val="004547C0"/>
    <w:rsid w:val="00454AE8"/>
    <w:rsid w:val="004559D3"/>
    <w:rsid w:val="004563BF"/>
    <w:rsid w:val="00456D32"/>
    <w:rsid w:val="0045720E"/>
    <w:rsid w:val="00457706"/>
    <w:rsid w:val="00457853"/>
    <w:rsid w:val="00457902"/>
    <w:rsid w:val="00460B25"/>
    <w:rsid w:val="00461AD2"/>
    <w:rsid w:val="00462797"/>
    <w:rsid w:val="00464228"/>
    <w:rsid w:val="00466DC3"/>
    <w:rsid w:val="00467537"/>
    <w:rsid w:val="0047058E"/>
    <w:rsid w:val="00471026"/>
    <w:rsid w:val="004732C0"/>
    <w:rsid w:val="00473A93"/>
    <w:rsid w:val="00474394"/>
    <w:rsid w:val="004744D3"/>
    <w:rsid w:val="004750AB"/>
    <w:rsid w:val="00475EFF"/>
    <w:rsid w:val="00476144"/>
    <w:rsid w:val="0047786B"/>
    <w:rsid w:val="004822A1"/>
    <w:rsid w:val="00482EF4"/>
    <w:rsid w:val="004831B7"/>
    <w:rsid w:val="0048343C"/>
    <w:rsid w:val="00483A17"/>
    <w:rsid w:val="00483DD5"/>
    <w:rsid w:val="004845F1"/>
    <w:rsid w:val="00484BC2"/>
    <w:rsid w:val="00484D6C"/>
    <w:rsid w:val="004851F2"/>
    <w:rsid w:val="00485FD7"/>
    <w:rsid w:val="00486E8C"/>
    <w:rsid w:val="004872E3"/>
    <w:rsid w:val="00487630"/>
    <w:rsid w:val="004900C1"/>
    <w:rsid w:val="00490743"/>
    <w:rsid w:val="00491178"/>
    <w:rsid w:val="004914D1"/>
    <w:rsid w:val="00492FC4"/>
    <w:rsid w:val="00493037"/>
    <w:rsid w:val="00494CD3"/>
    <w:rsid w:val="00494D44"/>
    <w:rsid w:val="00494FB3"/>
    <w:rsid w:val="004955A5"/>
    <w:rsid w:val="00495EF4"/>
    <w:rsid w:val="00496D19"/>
    <w:rsid w:val="00496DF9"/>
    <w:rsid w:val="00497240"/>
    <w:rsid w:val="004A154E"/>
    <w:rsid w:val="004A15DE"/>
    <w:rsid w:val="004A2EFC"/>
    <w:rsid w:val="004A472E"/>
    <w:rsid w:val="004A4B6B"/>
    <w:rsid w:val="004A77E0"/>
    <w:rsid w:val="004B0361"/>
    <w:rsid w:val="004B3904"/>
    <w:rsid w:val="004B42F1"/>
    <w:rsid w:val="004B6157"/>
    <w:rsid w:val="004B7492"/>
    <w:rsid w:val="004B7C61"/>
    <w:rsid w:val="004C0E63"/>
    <w:rsid w:val="004C25A8"/>
    <w:rsid w:val="004C3546"/>
    <w:rsid w:val="004C3568"/>
    <w:rsid w:val="004C4638"/>
    <w:rsid w:val="004C4BB4"/>
    <w:rsid w:val="004C60B8"/>
    <w:rsid w:val="004C7DD7"/>
    <w:rsid w:val="004D11E4"/>
    <w:rsid w:val="004D18D0"/>
    <w:rsid w:val="004D27D6"/>
    <w:rsid w:val="004D2F5D"/>
    <w:rsid w:val="004D55A2"/>
    <w:rsid w:val="004D5771"/>
    <w:rsid w:val="004D5F49"/>
    <w:rsid w:val="004D79AD"/>
    <w:rsid w:val="004E08C0"/>
    <w:rsid w:val="004E0DC3"/>
    <w:rsid w:val="004E493E"/>
    <w:rsid w:val="004E55B7"/>
    <w:rsid w:val="004E6274"/>
    <w:rsid w:val="004E63B7"/>
    <w:rsid w:val="004E63CC"/>
    <w:rsid w:val="004F096E"/>
    <w:rsid w:val="004F0BE2"/>
    <w:rsid w:val="004F256B"/>
    <w:rsid w:val="004F722F"/>
    <w:rsid w:val="004F72C7"/>
    <w:rsid w:val="004F75A1"/>
    <w:rsid w:val="004F79BD"/>
    <w:rsid w:val="0050141F"/>
    <w:rsid w:val="00502123"/>
    <w:rsid w:val="00502E98"/>
    <w:rsid w:val="005031B6"/>
    <w:rsid w:val="00505FEE"/>
    <w:rsid w:val="00506BC4"/>
    <w:rsid w:val="00507A63"/>
    <w:rsid w:val="00507D05"/>
    <w:rsid w:val="00510FCB"/>
    <w:rsid w:val="00512DB8"/>
    <w:rsid w:val="00513602"/>
    <w:rsid w:val="00513B97"/>
    <w:rsid w:val="005157A6"/>
    <w:rsid w:val="00517034"/>
    <w:rsid w:val="0052067C"/>
    <w:rsid w:val="0052201D"/>
    <w:rsid w:val="00522F30"/>
    <w:rsid w:val="00531479"/>
    <w:rsid w:val="005335EE"/>
    <w:rsid w:val="005343DE"/>
    <w:rsid w:val="005348EF"/>
    <w:rsid w:val="005351E9"/>
    <w:rsid w:val="005353FE"/>
    <w:rsid w:val="005363D4"/>
    <w:rsid w:val="005374AC"/>
    <w:rsid w:val="005445D6"/>
    <w:rsid w:val="00545090"/>
    <w:rsid w:val="00545547"/>
    <w:rsid w:val="00546C44"/>
    <w:rsid w:val="005510FE"/>
    <w:rsid w:val="00552154"/>
    <w:rsid w:val="00552548"/>
    <w:rsid w:val="00555C4B"/>
    <w:rsid w:val="00556B35"/>
    <w:rsid w:val="00561EE2"/>
    <w:rsid w:val="005631AD"/>
    <w:rsid w:val="005639EA"/>
    <w:rsid w:val="00564BCE"/>
    <w:rsid w:val="005667D5"/>
    <w:rsid w:val="00572222"/>
    <w:rsid w:val="005722A1"/>
    <w:rsid w:val="00572319"/>
    <w:rsid w:val="00572841"/>
    <w:rsid w:val="0057370B"/>
    <w:rsid w:val="00573B43"/>
    <w:rsid w:val="00575350"/>
    <w:rsid w:val="005755E5"/>
    <w:rsid w:val="00580DC4"/>
    <w:rsid w:val="00582796"/>
    <w:rsid w:val="00583E4E"/>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978C7"/>
    <w:rsid w:val="005A1052"/>
    <w:rsid w:val="005A207B"/>
    <w:rsid w:val="005A22CA"/>
    <w:rsid w:val="005A24A9"/>
    <w:rsid w:val="005A341D"/>
    <w:rsid w:val="005A3AA3"/>
    <w:rsid w:val="005A3FE0"/>
    <w:rsid w:val="005B01B3"/>
    <w:rsid w:val="005B122B"/>
    <w:rsid w:val="005B2981"/>
    <w:rsid w:val="005B522F"/>
    <w:rsid w:val="005B7710"/>
    <w:rsid w:val="005C10C7"/>
    <w:rsid w:val="005C206D"/>
    <w:rsid w:val="005C26EB"/>
    <w:rsid w:val="005C2C17"/>
    <w:rsid w:val="005C349D"/>
    <w:rsid w:val="005C4005"/>
    <w:rsid w:val="005C4BD3"/>
    <w:rsid w:val="005C6FD6"/>
    <w:rsid w:val="005C7A9F"/>
    <w:rsid w:val="005D0AF9"/>
    <w:rsid w:val="005D1903"/>
    <w:rsid w:val="005D1E18"/>
    <w:rsid w:val="005D244B"/>
    <w:rsid w:val="005D2B37"/>
    <w:rsid w:val="005D4715"/>
    <w:rsid w:val="005D6CB9"/>
    <w:rsid w:val="005D6F2C"/>
    <w:rsid w:val="005E0A0B"/>
    <w:rsid w:val="005E1812"/>
    <w:rsid w:val="005E1AF2"/>
    <w:rsid w:val="005E1D7A"/>
    <w:rsid w:val="005E2411"/>
    <w:rsid w:val="005E344F"/>
    <w:rsid w:val="005E3CEF"/>
    <w:rsid w:val="005E3FDA"/>
    <w:rsid w:val="005E51D2"/>
    <w:rsid w:val="005E5E0B"/>
    <w:rsid w:val="005E6A91"/>
    <w:rsid w:val="005E725C"/>
    <w:rsid w:val="005F168A"/>
    <w:rsid w:val="005F177B"/>
    <w:rsid w:val="005F1840"/>
    <w:rsid w:val="005F218A"/>
    <w:rsid w:val="005F2846"/>
    <w:rsid w:val="005F2F06"/>
    <w:rsid w:val="005F355C"/>
    <w:rsid w:val="005F356A"/>
    <w:rsid w:val="005F4B65"/>
    <w:rsid w:val="005F5193"/>
    <w:rsid w:val="005F5C10"/>
    <w:rsid w:val="005F5C2F"/>
    <w:rsid w:val="005F710E"/>
    <w:rsid w:val="005F7879"/>
    <w:rsid w:val="006007F6"/>
    <w:rsid w:val="00600A18"/>
    <w:rsid w:val="00600B0F"/>
    <w:rsid w:val="00601D94"/>
    <w:rsid w:val="006025E7"/>
    <w:rsid w:val="00602D21"/>
    <w:rsid w:val="00604147"/>
    <w:rsid w:val="00605815"/>
    <w:rsid w:val="00605C82"/>
    <w:rsid w:val="0060617B"/>
    <w:rsid w:val="00607070"/>
    <w:rsid w:val="0060710A"/>
    <w:rsid w:val="00607E92"/>
    <w:rsid w:val="00614A27"/>
    <w:rsid w:val="00615247"/>
    <w:rsid w:val="006155FC"/>
    <w:rsid w:val="00615695"/>
    <w:rsid w:val="0061714E"/>
    <w:rsid w:val="006203BD"/>
    <w:rsid w:val="0062059B"/>
    <w:rsid w:val="006247BA"/>
    <w:rsid w:val="00624C5C"/>
    <w:rsid w:val="00627E76"/>
    <w:rsid w:val="00630F7D"/>
    <w:rsid w:val="006323A6"/>
    <w:rsid w:val="00632B1F"/>
    <w:rsid w:val="00634E09"/>
    <w:rsid w:val="00635A99"/>
    <w:rsid w:val="00636A86"/>
    <w:rsid w:val="0063707D"/>
    <w:rsid w:val="00637630"/>
    <w:rsid w:val="00645987"/>
    <w:rsid w:val="0065046E"/>
    <w:rsid w:val="006504EE"/>
    <w:rsid w:val="00650B00"/>
    <w:rsid w:val="0065259E"/>
    <w:rsid w:val="0065282A"/>
    <w:rsid w:val="00652F48"/>
    <w:rsid w:val="006536A9"/>
    <w:rsid w:val="0065413C"/>
    <w:rsid w:val="00657C61"/>
    <w:rsid w:val="00657CB6"/>
    <w:rsid w:val="00657E00"/>
    <w:rsid w:val="006613A9"/>
    <w:rsid w:val="006625B4"/>
    <w:rsid w:val="0066376C"/>
    <w:rsid w:val="006640FE"/>
    <w:rsid w:val="00671255"/>
    <w:rsid w:val="0067202D"/>
    <w:rsid w:val="006725D1"/>
    <w:rsid w:val="00672BEE"/>
    <w:rsid w:val="00674467"/>
    <w:rsid w:val="0067448D"/>
    <w:rsid w:val="006762E5"/>
    <w:rsid w:val="006764C8"/>
    <w:rsid w:val="00676FD8"/>
    <w:rsid w:val="006777A0"/>
    <w:rsid w:val="006813C8"/>
    <w:rsid w:val="00681A3E"/>
    <w:rsid w:val="00682A07"/>
    <w:rsid w:val="00683B97"/>
    <w:rsid w:val="00683CCF"/>
    <w:rsid w:val="00683DC7"/>
    <w:rsid w:val="00683E06"/>
    <w:rsid w:val="006846ED"/>
    <w:rsid w:val="0068568E"/>
    <w:rsid w:val="00685B51"/>
    <w:rsid w:val="00685E07"/>
    <w:rsid w:val="00686575"/>
    <w:rsid w:val="0069068B"/>
    <w:rsid w:val="006931D5"/>
    <w:rsid w:val="00694103"/>
    <w:rsid w:val="006974FC"/>
    <w:rsid w:val="006A0482"/>
    <w:rsid w:val="006A13BF"/>
    <w:rsid w:val="006A32E8"/>
    <w:rsid w:val="006A3664"/>
    <w:rsid w:val="006A4046"/>
    <w:rsid w:val="006A53F6"/>
    <w:rsid w:val="006A5E32"/>
    <w:rsid w:val="006A62D4"/>
    <w:rsid w:val="006A7166"/>
    <w:rsid w:val="006B432F"/>
    <w:rsid w:val="006B5608"/>
    <w:rsid w:val="006B6E3A"/>
    <w:rsid w:val="006B7C1A"/>
    <w:rsid w:val="006B7C24"/>
    <w:rsid w:val="006B7CF9"/>
    <w:rsid w:val="006B7D8E"/>
    <w:rsid w:val="006C0139"/>
    <w:rsid w:val="006C111C"/>
    <w:rsid w:val="006C1AEE"/>
    <w:rsid w:val="006C27E2"/>
    <w:rsid w:val="006C3927"/>
    <w:rsid w:val="006C51F7"/>
    <w:rsid w:val="006C6452"/>
    <w:rsid w:val="006C6761"/>
    <w:rsid w:val="006D0368"/>
    <w:rsid w:val="006D1A65"/>
    <w:rsid w:val="006D2333"/>
    <w:rsid w:val="006D2DEC"/>
    <w:rsid w:val="006D3DBE"/>
    <w:rsid w:val="006D571E"/>
    <w:rsid w:val="006D60D2"/>
    <w:rsid w:val="006D6A45"/>
    <w:rsid w:val="006D6CC7"/>
    <w:rsid w:val="006D6DCD"/>
    <w:rsid w:val="006D70CD"/>
    <w:rsid w:val="006D7C85"/>
    <w:rsid w:val="006E13D4"/>
    <w:rsid w:val="006E1CA2"/>
    <w:rsid w:val="006E2C81"/>
    <w:rsid w:val="006E343F"/>
    <w:rsid w:val="006E3B1A"/>
    <w:rsid w:val="006E42F5"/>
    <w:rsid w:val="006E4AA9"/>
    <w:rsid w:val="006E53D1"/>
    <w:rsid w:val="006E6DB3"/>
    <w:rsid w:val="006E7CC1"/>
    <w:rsid w:val="006F0B6B"/>
    <w:rsid w:val="006F1E01"/>
    <w:rsid w:val="006F47C8"/>
    <w:rsid w:val="006F4AF5"/>
    <w:rsid w:val="006F51F9"/>
    <w:rsid w:val="006F5820"/>
    <w:rsid w:val="006F5A97"/>
    <w:rsid w:val="006F5D39"/>
    <w:rsid w:val="006F715C"/>
    <w:rsid w:val="006F7A23"/>
    <w:rsid w:val="006F7AB0"/>
    <w:rsid w:val="0070010D"/>
    <w:rsid w:val="007004DA"/>
    <w:rsid w:val="00701726"/>
    <w:rsid w:val="007031E2"/>
    <w:rsid w:val="00703733"/>
    <w:rsid w:val="00711698"/>
    <w:rsid w:val="00711B43"/>
    <w:rsid w:val="007122CC"/>
    <w:rsid w:val="0071325E"/>
    <w:rsid w:val="00716799"/>
    <w:rsid w:val="00720E04"/>
    <w:rsid w:val="0072229D"/>
    <w:rsid w:val="00723D17"/>
    <w:rsid w:val="00724235"/>
    <w:rsid w:val="007245F8"/>
    <w:rsid w:val="00727ACA"/>
    <w:rsid w:val="007339FC"/>
    <w:rsid w:val="00733A81"/>
    <w:rsid w:val="0073548A"/>
    <w:rsid w:val="007375CF"/>
    <w:rsid w:val="00737F14"/>
    <w:rsid w:val="00740BD4"/>
    <w:rsid w:val="00742F5B"/>
    <w:rsid w:val="0074328B"/>
    <w:rsid w:val="00743781"/>
    <w:rsid w:val="007500A2"/>
    <w:rsid w:val="007516D3"/>
    <w:rsid w:val="00751A18"/>
    <w:rsid w:val="00752D7E"/>
    <w:rsid w:val="0075426C"/>
    <w:rsid w:val="00754B6C"/>
    <w:rsid w:val="007609DE"/>
    <w:rsid w:val="00760D7B"/>
    <w:rsid w:val="00762176"/>
    <w:rsid w:val="00763574"/>
    <w:rsid w:val="0076664B"/>
    <w:rsid w:val="00766D48"/>
    <w:rsid w:val="0077382F"/>
    <w:rsid w:val="00773ADD"/>
    <w:rsid w:val="00774FA0"/>
    <w:rsid w:val="00776A69"/>
    <w:rsid w:val="00777A11"/>
    <w:rsid w:val="0078013B"/>
    <w:rsid w:val="00780E9B"/>
    <w:rsid w:val="00784027"/>
    <w:rsid w:val="007848F3"/>
    <w:rsid w:val="00784C7B"/>
    <w:rsid w:val="007857B4"/>
    <w:rsid w:val="00785B74"/>
    <w:rsid w:val="007864C1"/>
    <w:rsid w:val="00786718"/>
    <w:rsid w:val="00787F36"/>
    <w:rsid w:val="00791CE4"/>
    <w:rsid w:val="00792B93"/>
    <w:rsid w:val="00794312"/>
    <w:rsid w:val="0079518B"/>
    <w:rsid w:val="00797D46"/>
    <w:rsid w:val="007A01CC"/>
    <w:rsid w:val="007A0524"/>
    <w:rsid w:val="007A0E7A"/>
    <w:rsid w:val="007A2597"/>
    <w:rsid w:val="007A25C9"/>
    <w:rsid w:val="007A2D4A"/>
    <w:rsid w:val="007A32BB"/>
    <w:rsid w:val="007A4679"/>
    <w:rsid w:val="007A4C9D"/>
    <w:rsid w:val="007A5DFF"/>
    <w:rsid w:val="007B149E"/>
    <w:rsid w:val="007B1930"/>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C6C31"/>
    <w:rsid w:val="007D1A32"/>
    <w:rsid w:val="007D1F33"/>
    <w:rsid w:val="007D3FA4"/>
    <w:rsid w:val="007D5153"/>
    <w:rsid w:val="007D620F"/>
    <w:rsid w:val="007E14BD"/>
    <w:rsid w:val="007E2102"/>
    <w:rsid w:val="007E31EA"/>
    <w:rsid w:val="007E3B25"/>
    <w:rsid w:val="007E3B7D"/>
    <w:rsid w:val="007E5A22"/>
    <w:rsid w:val="007E6CD8"/>
    <w:rsid w:val="007E7710"/>
    <w:rsid w:val="007F2008"/>
    <w:rsid w:val="007F22AC"/>
    <w:rsid w:val="007F29E1"/>
    <w:rsid w:val="007F31A0"/>
    <w:rsid w:val="007F33BF"/>
    <w:rsid w:val="007F42E3"/>
    <w:rsid w:val="007F4388"/>
    <w:rsid w:val="007F4788"/>
    <w:rsid w:val="007F5B33"/>
    <w:rsid w:val="007F618A"/>
    <w:rsid w:val="008010FD"/>
    <w:rsid w:val="00801104"/>
    <w:rsid w:val="00801432"/>
    <w:rsid w:val="008017F9"/>
    <w:rsid w:val="00802290"/>
    <w:rsid w:val="00803305"/>
    <w:rsid w:val="0080375B"/>
    <w:rsid w:val="00803FCC"/>
    <w:rsid w:val="008041F5"/>
    <w:rsid w:val="00804BF0"/>
    <w:rsid w:val="00804F53"/>
    <w:rsid w:val="0081042F"/>
    <w:rsid w:val="0081173B"/>
    <w:rsid w:val="008120AF"/>
    <w:rsid w:val="008125B6"/>
    <w:rsid w:val="00812625"/>
    <w:rsid w:val="00814DBF"/>
    <w:rsid w:val="00817759"/>
    <w:rsid w:val="00817C8F"/>
    <w:rsid w:val="00820888"/>
    <w:rsid w:val="00820982"/>
    <w:rsid w:val="008213C2"/>
    <w:rsid w:val="008214A7"/>
    <w:rsid w:val="0082170D"/>
    <w:rsid w:val="0082187A"/>
    <w:rsid w:val="008219FF"/>
    <w:rsid w:val="00822223"/>
    <w:rsid w:val="00822802"/>
    <w:rsid w:val="008231B8"/>
    <w:rsid w:val="00825521"/>
    <w:rsid w:val="00831989"/>
    <w:rsid w:val="00831EBD"/>
    <w:rsid w:val="00835CD7"/>
    <w:rsid w:val="00836BE4"/>
    <w:rsid w:val="008378B4"/>
    <w:rsid w:val="00840A1A"/>
    <w:rsid w:val="00840D02"/>
    <w:rsid w:val="008412F4"/>
    <w:rsid w:val="00841331"/>
    <w:rsid w:val="008431E0"/>
    <w:rsid w:val="0084379A"/>
    <w:rsid w:val="00843A16"/>
    <w:rsid w:val="00844665"/>
    <w:rsid w:val="00845827"/>
    <w:rsid w:val="00845E4B"/>
    <w:rsid w:val="00846735"/>
    <w:rsid w:val="00846837"/>
    <w:rsid w:val="00846A62"/>
    <w:rsid w:val="00846E42"/>
    <w:rsid w:val="008505A4"/>
    <w:rsid w:val="00850601"/>
    <w:rsid w:val="00851E50"/>
    <w:rsid w:val="00852698"/>
    <w:rsid w:val="008527C1"/>
    <w:rsid w:val="00852948"/>
    <w:rsid w:val="00853065"/>
    <w:rsid w:val="00854598"/>
    <w:rsid w:val="00856BDC"/>
    <w:rsid w:val="00857CBA"/>
    <w:rsid w:val="00861C4F"/>
    <w:rsid w:val="00862D0B"/>
    <w:rsid w:val="00863D30"/>
    <w:rsid w:val="008642DF"/>
    <w:rsid w:val="0086434F"/>
    <w:rsid w:val="008649E3"/>
    <w:rsid w:val="00864FC3"/>
    <w:rsid w:val="00865AD8"/>
    <w:rsid w:val="00866CE0"/>
    <w:rsid w:val="008721CC"/>
    <w:rsid w:val="00872226"/>
    <w:rsid w:val="0087239F"/>
    <w:rsid w:val="00872695"/>
    <w:rsid w:val="00872B47"/>
    <w:rsid w:val="00873620"/>
    <w:rsid w:val="00874730"/>
    <w:rsid w:val="008751CE"/>
    <w:rsid w:val="00875F84"/>
    <w:rsid w:val="008773C3"/>
    <w:rsid w:val="00877623"/>
    <w:rsid w:val="008824EE"/>
    <w:rsid w:val="00882B7E"/>
    <w:rsid w:val="00882D96"/>
    <w:rsid w:val="00883EFA"/>
    <w:rsid w:val="00885A80"/>
    <w:rsid w:val="008867F6"/>
    <w:rsid w:val="008875F5"/>
    <w:rsid w:val="00887818"/>
    <w:rsid w:val="00892C54"/>
    <w:rsid w:val="00893260"/>
    <w:rsid w:val="008952E6"/>
    <w:rsid w:val="0089533A"/>
    <w:rsid w:val="00896227"/>
    <w:rsid w:val="00897DE2"/>
    <w:rsid w:val="008A063A"/>
    <w:rsid w:val="008A0CAF"/>
    <w:rsid w:val="008A0E63"/>
    <w:rsid w:val="008A146D"/>
    <w:rsid w:val="008A1E18"/>
    <w:rsid w:val="008A354B"/>
    <w:rsid w:val="008A37E3"/>
    <w:rsid w:val="008A5294"/>
    <w:rsid w:val="008A5BF8"/>
    <w:rsid w:val="008A6398"/>
    <w:rsid w:val="008A73CB"/>
    <w:rsid w:val="008A79AF"/>
    <w:rsid w:val="008A7FE6"/>
    <w:rsid w:val="008B02D1"/>
    <w:rsid w:val="008B0B5E"/>
    <w:rsid w:val="008B14A2"/>
    <w:rsid w:val="008B1A8D"/>
    <w:rsid w:val="008B1C28"/>
    <w:rsid w:val="008B31F8"/>
    <w:rsid w:val="008B7A52"/>
    <w:rsid w:val="008B7F12"/>
    <w:rsid w:val="008C00EC"/>
    <w:rsid w:val="008C0773"/>
    <w:rsid w:val="008C0CE5"/>
    <w:rsid w:val="008C14F1"/>
    <w:rsid w:val="008C1F78"/>
    <w:rsid w:val="008C5ABC"/>
    <w:rsid w:val="008C5C88"/>
    <w:rsid w:val="008C695B"/>
    <w:rsid w:val="008D095A"/>
    <w:rsid w:val="008D1FCD"/>
    <w:rsid w:val="008D75EB"/>
    <w:rsid w:val="008E0A3D"/>
    <w:rsid w:val="008E0A75"/>
    <w:rsid w:val="008E0EAF"/>
    <w:rsid w:val="008E1805"/>
    <w:rsid w:val="008E309B"/>
    <w:rsid w:val="008E5656"/>
    <w:rsid w:val="008E6453"/>
    <w:rsid w:val="008E6A21"/>
    <w:rsid w:val="009027ED"/>
    <w:rsid w:val="00902B78"/>
    <w:rsid w:val="00903409"/>
    <w:rsid w:val="00903846"/>
    <w:rsid w:val="0090525F"/>
    <w:rsid w:val="009069E7"/>
    <w:rsid w:val="00911B9C"/>
    <w:rsid w:val="00914D64"/>
    <w:rsid w:val="00915D0C"/>
    <w:rsid w:val="00917927"/>
    <w:rsid w:val="009201BE"/>
    <w:rsid w:val="00920B05"/>
    <w:rsid w:val="00921BF9"/>
    <w:rsid w:val="00924453"/>
    <w:rsid w:val="009254FA"/>
    <w:rsid w:val="00925BAC"/>
    <w:rsid w:val="00926F8D"/>
    <w:rsid w:val="00927A4E"/>
    <w:rsid w:val="00932594"/>
    <w:rsid w:val="00932EB4"/>
    <w:rsid w:val="009340B2"/>
    <w:rsid w:val="00934C7F"/>
    <w:rsid w:val="009369AB"/>
    <w:rsid w:val="00936BC3"/>
    <w:rsid w:val="009374CE"/>
    <w:rsid w:val="00940371"/>
    <w:rsid w:val="00940671"/>
    <w:rsid w:val="0094076F"/>
    <w:rsid w:val="00940ECD"/>
    <w:rsid w:val="00941A6A"/>
    <w:rsid w:val="00941C25"/>
    <w:rsid w:val="00941DB5"/>
    <w:rsid w:val="00942B42"/>
    <w:rsid w:val="0094326B"/>
    <w:rsid w:val="0094415E"/>
    <w:rsid w:val="0094416B"/>
    <w:rsid w:val="00945532"/>
    <w:rsid w:val="00946625"/>
    <w:rsid w:val="00951733"/>
    <w:rsid w:val="009519FC"/>
    <w:rsid w:val="00952317"/>
    <w:rsid w:val="00953A8D"/>
    <w:rsid w:val="00953AB0"/>
    <w:rsid w:val="0095484B"/>
    <w:rsid w:val="0095692A"/>
    <w:rsid w:val="00957D8E"/>
    <w:rsid w:val="0096040D"/>
    <w:rsid w:val="009606C6"/>
    <w:rsid w:val="00960AA9"/>
    <w:rsid w:val="00960D9D"/>
    <w:rsid w:val="00961B25"/>
    <w:rsid w:val="009622C7"/>
    <w:rsid w:val="009663D4"/>
    <w:rsid w:val="00970F6A"/>
    <w:rsid w:val="009712C8"/>
    <w:rsid w:val="0097190C"/>
    <w:rsid w:val="00971EA7"/>
    <w:rsid w:val="009765DD"/>
    <w:rsid w:val="009775E7"/>
    <w:rsid w:val="00977EB8"/>
    <w:rsid w:val="0098097B"/>
    <w:rsid w:val="00981906"/>
    <w:rsid w:val="00982E10"/>
    <w:rsid w:val="009842CA"/>
    <w:rsid w:val="00985129"/>
    <w:rsid w:val="00985B28"/>
    <w:rsid w:val="00985BC6"/>
    <w:rsid w:val="009864F0"/>
    <w:rsid w:val="00986C0E"/>
    <w:rsid w:val="00990CCF"/>
    <w:rsid w:val="009912B2"/>
    <w:rsid w:val="009918D7"/>
    <w:rsid w:val="009919C7"/>
    <w:rsid w:val="009932CC"/>
    <w:rsid w:val="0099432E"/>
    <w:rsid w:val="009944A4"/>
    <w:rsid w:val="0099453D"/>
    <w:rsid w:val="009951C5"/>
    <w:rsid w:val="0099524C"/>
    <w:rsid w:val="00996D23"/>
    <w:rsid w:val="00997A92"/>
    <w:rsid w:val="009A0A11"/>
    <w:rsid w:val="009A1504"/>
    <w:rsid w:val="009A1864"/>
    <w:rsid w:val="009A1C69"/>
    <w:rsid w:val="009A241C"/>
    <w:rsid w:val="009A25ED"/>
    <w:rsid w:val="009A28D5"/>
    <w:rsid w:val="009A2F26"/>
    <w:rsid w:val="009A3393"/>
    <w:rsid w:val="009A43A3"/>
    <w:rsid w:val="009A5514"/>
    <w:rsid w:val="009A5FEB"/>
    <w:rsid w:val="009A7A34"/>
    <w:rsid w:val="009B0288"/>
    <w:rsid w:val="009B077D"/>
    <w:rsid w:val="009B0FA0"/>
    <w:rsid w:val="009B1D2E"/>
    <w:rsid w:val="009B5599"/>
    <w:rsid w:val="009B5BD8"/>
    <w:rsid w:val="009B702A"/>
    <w:rsid w:val="009C0FD7"/>
    <w:rsid w:val="009C3C8C"/>
    <w:rsid w:val="009C4B4C"/>
    <w:rsid w:val="009C4C54"/>
    <w:rsid w:val="009C4FD2"/>
    <w:rsid w:val="009C7161"/>
    <w:rsid w:val="009C76C1"/>
    <w:rsid w:val="009D05EC"/>
    <w:rsid w:val="009D11D6"/>
    <w:rsid w:val="009D126C"/>
    <w:rsid w:val="009D3AF6"/>
    <w:rsid w:val="009D4019"/>
    <w:rsid w:val="009D628C"/>
    <w:rsid w:val="009E0A7A"/>
    <w:rsid w:val="009E11BA"/>
    <w:rsid w:val="009E141B"/>
    <w:rsid w:val="009E1F86"/>
    <w:rsid w:val="009E2D6C"/>
    <w:rsid w:val="009E660D"/>
    <w:rsid w:val="009F49CF"/>
    <w:rsid w:val="009F50D8"/>
    <w:rsid w:val="009F79FA"/>
    <w:rsid w:val="009F7E80"/>
    <w:rsid w:val="00A03535"/>
    <w:rsid w:val="00A045A2"/>
    <w:rsid w:val="00A04B6D"/>
    <w:rsid w:val="00A04ECE"/>
    <w:rsid w:val="00A05A2B"/>
    <w:rsid w:val="00A06DD7"/>
    <w:rsid w:val="00A11C8F"/>
    <w:rsid w:val="00A12BCC"/>
    <w:rsid w:val="00A130FA"/>
    <w:rsid w:val="00A14318"/>
    <w:rsid w:val="00A14C87"/>
    <w:rsid w:val="00A14F4E"/>
    <w:rsid w:val="00A16392"/>
    <w:rsid w:val="00A167FB"/>
    <w:rsid w:val="00A174F5"/>
    <w:rsid w:val="00A20E02"/>
    <w:rsid w:val="00A20E1D"/>
    <w:rsid w:val="00A23B8F"/>
    <w:rsid w:val="00A241E3"/>
    <w:rsid w:val="00A25CC6"/>
    <w:rsid w:val="00A32095"/>
    <w:rsid w:val="00A32C7A"/>
    <w:rsid w:val="00A32E70"/>
    <w:rsid w:val="00A33E33"/>
    <w:rsid w:val="00A344A4"/>
    <w:rsid w:val="00A34D08"/>
    <w:rsid w:val="00A351EB"/>
    <w:rsid w:val="00A37A6F"/>
    <w:rsid w:val="00A43557"/>
    <w:rsid w:val="00A44D85"/>
    <w:rsid w:val="00A45025"/>
    <w:rsid w:val="00A45844"/>
    <w:rsid w:val="00A51077"/>
    <w:rsid w:val="00A51224"/>
    <w:rsid w:val="00A53A6B"/>
    <w:rsid w:val="00A5433B"/>
    <w:rsid w:val="00A54C60"/>
    <w:rsid w:val="00A54E1A"/>
    <w:rsid w:val="00A55441"/>
    <w:rsid w:val="00A56A48"/>
    <w:rsid w:val="00A56DEC"/>
    <w:rsid w:val="00A57732"/>
    <w:rsid w:val="00A60B48"/>
    <w:rsid w:val="00A612FF"/>
    <w:rsid w:val="00A614D0"/>
    <w:rsid w:val="00A62BFB"/>
    <w:rsid w:val="00A6462A"/>
    <w:rsid w:val="00A65FDE"/>
    <w:rsid w:val="00A6602B"/>
    <w:rsid w:val="00A66045"/>
    <w:rsid w:val="00A66E8A"/>
    <w:rsid w:val="00A71943"/>
    <w:rsid w:val="00A730EF"/>
    <w:rsid w:val="00A7361D"/>
    <w:rsid w:val="00A7456C"/>
    <w:rsid w:val="00A75588"/>
    <w:rsid w:val="00A772B5"/>
    <w:rsid w:val="00A778FF"/>
    <w:rsid w:val="00A77D5D"/>
    <w:rsid w:val="00A80635"/>
    <w:rsid w:val="00A82118"/>
    <w:rsid w:val="00A82EA9"/>
    <w:rsid w:val="00A87BD4"/>
    <w:rsid w:val="00A91E7F"/>
    <w:rsid w:val="00A92D99"/>
    <w:rsid w:val="00A95C14"/>
    <w:rsid w:val="00A95FAA"/>
    <w:rsid w:val="00A9666F"/>
    <w:rsid w:val="00A97BA6"/>
    <w:rsid w:val="00A97C92"/>
    <w:rsid w:val="00AA0797"/>
    <w:rsid w:val="00AA2621"/>
    <w:rsid w:val="00AA2F4F"/>
    <w:rsid w:val="00AA4BFF"/>
    <w:rsid w:val="00AA658F"/>
    <w:rsid w:val="00AB0069"/>
    <w:rsid w:val="00AB18A3"/>
    <w:rsid w:val="00AB24E1"/>
    <w:rsid w:val="00AB2AB3"/>
    <w:rsid w:val="00AB3D71"/>
    <w:rsid w:val="00AB49E2"/>
    <w:rsid w:val="00AB6EAC"/>
    <w:rsid w:val="00AC07A4"/>
    <w:rsid w:val="00AC1A65"/>
    <w:rsid w:val="00AC271E"/>
    <w:rsid w:val="00AC288F"/>
    <w:rsid w:val="00AC3A9D"/>
    <w:rsid w:val="00AC47DF"/>
    <w:rsid w:val="00AC5069"/>
    <w:rsid w:val="00AC5859"/>
    <w:rsid w:val="00AC67A5"/>
    <w:rsid w:val="00AC7D80"/>
    <w:rsid w:val="00AD0EF9"/>
    <w:rsid w:val="00AD1F3F"/>
    <w:rsid w:val="00AD2944"/>
    <w:rsid w:val="00AD35EF"/>
    <w:rsid w:val="00AD4A4D"/>
    <w:rsid w:val="00AD57B1"/>
    <w:rsid w:val="00AD612A"/>
    <w:rsid w:val="00AD7A2D"/>
    <w:rsid w:val="00AE2F42"/>
    <w:rsid w:val="00AE33A9"/>
    <w:rsid w:val="00AE4666"/>
    <w:rsid w:val="00AE5255"/>
    <w:rsid w:val="00AE77AD"/>
    <w:rsid w:val="00AF140A"/>
    <w:rsid w:val="00AF1F7E"/>
    <w:rsid w:val="00AF2CDB"/>
    <w:rsid w:val="00AF368F"/>
    <w:rsid w:val="00AF40FF"/>
    <w:rsid w:val="00AF4251"/>
    <w:rsid w:val="00AF4AEB"/>
    <w:rsid w:val="00AF539D"/>
    <w:rsid w:val="00AF59B9"/>
    <w:rsid w:val="00AF5A5E"/>
    <w:rsid w:val="00AF6CA9"/>
    <w:rsid w:val="00AF7241"/>
    <w:rsid w:val="00B001E4"/>
    <w:rsid w:val="00B00784"/>
    <w:rsid w:val="00B0153A"/>
    <w:rsid w:val="00B03CE1"/>
    <w:rsid w:val="00B045F0"/>
    <w:rsid w:val="00B04889"/>
    <w:rsid w:val="00B04DC4"/>
    <w:rsid w:val="00B05CA8"/>
    <w:rsid w:val="00B06013"/>
    <w:rsid w:val="00B061A2"/>
    <w:rsid w:val="00B06CAC"/>
    <w:rsid w:val="00B07049"/>
    <w:rsid w:val="00B1380A"/>
    <w:rsid w:val="00B13902"/>
    <w:rsid w:val="00B13FA7"/>
    <w:rsid w:val="00B14244"/>
    <w:rsid w:val="00B1506B"/>
    <w:rsid w:val="00B17C44"/>
    <w:rsid w:val="00B238AA"/>
    <w:rsid w:val="00B24B2E"/>
    <w:rsid w:val="00B24DB2"/>
    <w:rsid w:val="00B251E2"/>
    <w:rsid w:val="00B25570"/>
    <w:rsid w:val="00B2579E"/>
    <w:rsid w:val="00B25DA5"/>
    <w:rsid w:val="00B260DF"/>
    <w:rsid w:val="00B26D86"/>
    <w:rsid w:val="00B27996"/>
    <w:rsid w:val="00B31660"/>
    <w:rsid w:val="00B3394C"/>
    <w:rsid w:val="00B33AC0"/>
    <w:rsid w:val="00B34081"/>
    <w:rsid w:val="00B35386"/>
    <w:rsid w:val="00B356C3"/>
    <w:rsid w:val="00B35BF4"/>
    <w:rsid w:val="00B362C6"/>
    <w:rsid w:val="00B363E5"/>
    <w:rsid w:val="00B37E3B"/>
    <w:rsid w:val="00B40BE8"/>
    <w:rsid w:val="00B41994"/>
    <w:rsid w:val="00B42655"/>
    <w:rsid w:val="00B42E92"/>
    <w:rsid w:val="00B4444E"/>
    <w:rsid w:val="00B44BDA"/>
    <w:rsid w:val="00B4503B"/>
    <w:rsid w:val="00B453F2"/>
    <w:rsid w:val="00B462E6"/>
    <w:rsid w:val="00B46EBD"/>
    <w:rsid w:val="00B51489"/>
    <w:rsid w:val="00B5163B"/>
    <w:rsid w:val="00B51651"/>
    <w:rsid w:val="00B525EE"/>
    <w:rsid w:val="00B55021"/>
    <w:rsid w:val="00B562C4"/>
    <w:rsid w:val="00B571D5"/>
    <w:rsid w:val="00B57273"/>
    <w:rsid w:val="00B5786D"/>
    <w:rsid w:val="00B6012E"/>
    <w:rsid w:val="00B6112C"/>
    <w:rsid w:val="00B61C6C"/>
    <w:rsid w:val="00B622E7"/>
    <w:rsid w:val="00B62C96"/>
    <w:rsid w:val="00B62E99"/>
    <w:rsid w:val="00B6380C"/>
    <w:rsid w:val="00B63F64"/>
    <w:rsid w:val="00B641A3"/>
    <w:rsid w:val="00B6468D"/>
    <w:rsid w:val="00B6545B"/>
    <w:rsid w:val="00B6556C"/>
    <w:rsid w:val="00B671D8"/>
    <w:rsid w:val="00B6734D"/>
    <w:rsid w:val="00B67AA9"/>
    <w:rsid w:val="00B72B76"/>
    <w:rsid w:val="00B72F4B"/>
    <w:rsid w:val="00B73A34"/>
    <w:rsid w:val="00B73DAC"/>
    <w:rsid w:val="00B744B2"/>
    <w:rsid w:val="00B7597A"/>
    <w:rsid w:val="00B75E8C"/>
    <w:rsid w:val="00B7603F"/>
    <w:rsid w:val="00B76E5E"/>
    <w:rsid w:val="00B77EF4"/>
    <w:rsid w:val="00B809D1"/>
    <w:rsid w:val="00B815E2"/>
    <w:rsid w:val="00B82E8C"/>
    <w:rsid w:val="00B846D4"/>
    <w:rsid w:val="00B84A71"/>
    <w:rsid w:val="00B8544D"/>
    <w:rsid w:val="00B871A9"/>
    <w:rsid w:val="00B878CE"/>
    <w:rsid w:val="00B87B22"/>
    <w:rsid w:val="00B87F9C"/>
    <w:rsid w:val="00B906FF"/>
    <w:rsid w:val="00B91925"/>
    <w:rsid w:val="00B9211C"/>
    <w:rsid w:val="00B92EEC"/>
    <w:rsid w:val="00B94281"/>
    <w:rsid w:val="00B950A5"/>
    <w:rsid w:val="00B968CC"/>
    <w:rsid w:val="00B97541"/>
    <w:rsid w:val="00BA1CA0"/>
    <w:rsid w:val="00BA455A"/>
    <w:rsid w:val="00BA5528"/>
    <w:rsid w:val="00BA688E"/>
    <w:rsid w:val="00BB0742"/>
    <w:rsid w:val="00BB1B0D"/>
    <w:rsid w:val="00BB4DD6"/>
    <w:rsid w:val="00BB508C"/>
    <w:rsid w:val="00BB6818"/>
    <w:rsid w:val="00BC013C"/>
    <w:rsid w:val="00BC0541"/>
    <w:rsid w:val="00BC0C96"/>
    <w:rsid w:val="00BC328D"/>
    <w:rsid w:val="00BC395B"/>
    <w:rsid w:val="00BC3F67"/>
    <w:rsid w:val="00BC45BA"/>
    <w:rsid w:val="00BC5F4E"/>
    <w:rsid w:val="00BC5FDE"/>
    <w:rsid w:val="00BC7297"/>
    <w:rsid w:val="00BC72EA"/>
    <w:rsid w:val="00BD0240"/>
    <w:rsid w:val="00BD0822"/>
    <w:rsid w:val="00BD0FB1"/>
    <w:rsid w:val="00BD1E79"/>
    <w:rsid w:val="00BD2C19"/>
    <w:rsid w:val="00BD5E01"/>
    <w:rsid w:val="00BD7939"/>
    <w:rsid w:val="00BD799F"/>
    <w:rsid w:val="00BE0125"/>
    <w:rsid w:val="00BE0A98"/>
    <w:rsid w:val="00BE1867"/>
    <w:rsid w:val="00BE4AA9"/>
    <w:rsid w:val="00BE5FB6"/>
    <w:rsid w:val="00BE6D6C"/>
    <w:rsid w:val="00BE7250"/>
    <w:rsid w:val="00BE79DB"/>
    <w:rsid w:val="00BF11D7"/>
    <w:rsid w:val="00BF1DD8"/>
    <w:rsid w:val="00BF467C"/>
    <w:rsid w:val="00BF59B0"/>
    <w:rsid w:val="00BF678E"/>
    <w:rsid w:val="00BF74C4"/>
    <w:rsid w:val="00BF7D62"/>
    <w:rsid w:val="00C0130E"/>
    <w:rsid w:val="00C0272E"/>
    <w:rsid w:val="00C02B41"/>
    <w:rsid w:val="00C02C8A"/>
    <w:rsid w:val="00C04A07"/>
    <w:rsid w:val="00C04D36"/>
    <w:rsid w:val="00C04DB4"/>
    <w:rsid w:val="00C05EB3"/>
    <w:rsid w:val="00C06FCE"/>
    <w:rsid w:val="00C07C03"/>
    <w:rsid w:val="00C10747"/>
    <w:rsid w:val="00C10EB5"/>
    <w:rsid w:val="00C12025"/>
    <w:rsid w:val="00C133C8"/>
    <w:rsid w:val="00C1447E"/>
    <w:rsid w:val="00C15F7E"/>
    <w:rsid w:val="00C2034B"/>
    <w:rsid w:val="00C21159"/>
    <w:rsid w:val="00C21650"/>
    <w:rsid w:val="00C2199D"/>
    <w:rsid w:val="00C22127"/>
    <w:rsid w:val="00C265C0"/>
    <w:rsid w:val="00C27482"/>
    <w:rsid w:val="00C27872"/>
    <w:rsid w:val="00C30595"/>
    <w:rsid w:val="00C30AAD"/>
    <w:rsid w:val="00C311B3"/>
    <w:rsid w:val="00C32084"/>
    <w:rsid w:val="00C33D9D"/>
    <w:rsid w:val="00C35637"/>
    <w:rsid w:val="00C36AC4"/>
    <w:rsid w:val="00C36F3A"/>
    <w:rsid w:val="00C37CF3"/>
    <w:rsid w:val="00C418FA"/>
    <w:rsid w:val="00C44424"/>
    <w:rsid w:val="00C44FA7"/>
    <w:rsid w:val="00C472A4"/>
    <w:rsid w:val="00C537EB"/>
    <w:rsid w:val="00C57519"/>
    <w:rsid w:val="00C61A21"/>
    <w:rsid w:val="00C62EDF"/>
    <w:rsid w:val="00C630B4"/>
    <w:rsid w:val="00C633C1"/>
    <w:rsid w:val="00C654F4"/>
    <w:rsid w:val="00C66654"/>
    <w:rsid w:val="00C706EC"/>
    <w:rsid w:val="00C71F95"/>
    <w:rsid w:val="00C723F4"/>
    <w:rsid w:val="00C72C64"/>
    <w:rsid w:val="00C7319A"/>
    <w:rsid w:val="00C73585"/>
    <w:rsid w:val="00C73C0D"/>
    <w:rsid w:val="00C7436B"/>
    <w:rsid w:val="00C7586A"/>
    <w:rsid w:val="00C76480"/>
    <w:rsid w:val="00C76580"/>
    <w:rsid w:val="00C77547"/>
    <w:rsid w:val="00C778E6"/>
    <w:rsid w:val="00C81E07"/>
    <w:rsid w:val="00C8388D"/>
    <w:rsid w:val="00C839A9"/>
    <w:rsid w:val="00C83FB4"/>
    <w:rsid w:val="00C849C6"/>
    <w:rsid w:val="00C85D6A"/>
    <w:rsid w:val="00C85F33"/>
    <w:rsid w:val="00C874E9"/>
    <w:rsid w:val="00C9040A"/>
    <w:rsid w:val="00C90AFC"/>
    <w:rsid w:val="00C94040"/>
    <w:rsid w:val="00C94693"/>
    <w:rsid w:val="00C94898"/>
    <w:rsid w:val="00C97EDF"/>
    <w:rsid w:val="00CA2D32"/>
    <w:rsid w:val="00CA3FE6"/>
    <w:rsid w:val="00CA6414"/>
    <w:rsid w:val="00CA74DC"/>
    <w:rsid w:val="00CB04BA"/>
    <w:rsid w:val="00CB2AB7"/>
    <w:rsid w:val="00CB4868"/>
    <w:rsid w:val="00CB5A1B"/>
    <w:rsid w:val="00CB692C"/>
    <w:rsid w:val="00CC0083"/>
    <w:rsid w:val="00CC0E1D"/>
    <w:rsid w:val="00CC27F3"/>
    <w:rsid w:val="00CC3194"/>
    <w:rsid w:val="00CC3562"/>
    <w:rsid w:val="00CC4D63"/>
    <w:rsid w:val="00CC5E5B"/>
    <w:rsid w:val="00CC61A5"/>
    <w:rsid w:val="00CC772A"/>
    <w:rsid w:val="00CC7B32"/>
    <w:rsid w:val="00CC7E08"/>
    <w:rsid w:val="00CD0E31"/>
    <w:rsid w:val="00CD108B"/>
    <w:rsid w:val="00CD14DB"/>
    <w:rsid w:val="00CD426A"/>
    <w:rsid w:val="00CD4ACC"/>
    <w:rsid w:val="00CD6D72"/>
    <w:rsid w:val="00CD7A13"/>
    <w:rsid w:val="00CD7B93"/>
    <w:rsid w:val="00CE0348"/>
    <w:rsid w:val="00CE0700"/>
    <w:rsid w:val="00CE2E0F"/>
    <w:rsid w:val="00CE3498"/>
    <w:rsid w:val="00CE5FE4"/>
    <w:rsid w:val="00CE6283"/>
    <w:rsid w:val="00CE67AA"/>
    <w:rsid w:val="00CE6F33"/>
    <w:rsid w:val="00CE73B5"/>
    <w:rsid w:val="00CE791D"/>
    <w:rsid w:val="00CE79D7"/>
    <w:rsid w:val="00CE7CE3"/>
    <w:rsid w:val="00CF058D"/>
    <w:rsid w:val="00CF2071"/>
    <w:rsid w:val="00CF244E"/>
    <w:rsid w:val="00CF278D"/>
    <w:rsid w:val="00CF2FE9"/>
    <w:rsid w:val="00CF37C7"/>
    <w:rsid w:val="00CF3CF8"/>
    <w:rsid w:val="00CF474D"/>
    <w:rsid w:val="00CF5A64"/>
    <w:rsid w:val="00CF6622"/>
    <w:rsid w:val="00CF749A"/>
    <w:rsid w:val="00D0089A"/>
    <w:rsid w:val="00D014C7"/>
    <w:rsid w:val="00D01548"/>
    <w:rsid w:val="00D04D5F"/>
    <w:rsid w:val="00D04DD6"/>
    <w:rsid w:val="00D04DFA"/>
    <w:rsid w:val="00D0597F"/>
    <w:rsid w:val="00D05F35"/>
    <w:rsid w:val="00D060E2"/>
    <w:rsid w:val="00D06393"/>
    <w:rsid w:val="00D06E5E"/>
    <w:rsid w:val="00D06F79"/>
    <w:rsid w:val="00D10597"/>
    <w:rsid w:val="00D120A3"/>
    <w:rsid w:val="00D13288"/>
    <w:rsid w:val="00D13AF8"/>
    <w:rsid w:val="00D1584B"/>
    <w:rsid w:val="00D1611F"/>
    <w:rsid w:val="00D17D58"/>
    <w:rsid w:val="00D20601"/>
    <w:rsid w:val="00D219E9"/>
    <w:rsid w:val="00D2205B"/>
    <w:rsid w:val="00D23418"/>
    <w:rsid w:val="00D24606"/>
    <w:rsid w:val="00D2620A"/>
    <w:rsid w:val="00D274B1"/>
    <w:rsid w:val="00D3056A"/>
    <w:rsid w:val="00D3064D"/>
    <w:rsid w:val="00D30AED"/>
    <w:rsid w:val="00D30F84"/>
    <w:rsid w:val="00D31091"/>
    <w:rsid w:val="00D3226A"/>
    <w:rsid w:val="00D33CFE"/>
    <w:rsid w:val="00D33DDE"/>
    <w:rsid w:val="00D34A7C"/>
    <w:rsid w:val="00D34DA4"/>
    <w:rsid w:val="00D35C1D"/>
    <w:rsid w:val="00D3752F"/>
    <w:rsid w:val="00D40DDE"/>
    <w:rsid w:val="00D42D78"/>
    <w:rsid w:val="00D43970"/>
    <w:rsid w:val="00D43CA5"/>
    <w:rsid w:val="00D44CA5"/>
    <w:rsid w:val="00D46E12"/>
    <w:rsid w:val="00D50734"/>
    <w:rsid w:val="00D507C0"/>
    <w:rsid w:val="00D513CC"/>
    <w:rsid w:val="00D5172A"/>
    <w:rsid w:val="00D5596F"/>
    <w:rsid w:val="00D56435"/>
    <w:rsid w:val="00D56E39"/>
    <w:rsid w:val="00D62755"/>
    <w:rsid w:val="00D62AA4"/>
    <w:rsid w:val="00D6318F"/>
    <w:rsid w:val="00D63D29"/>
    <w:rsid w:val="00D650BB"/>
    <w:rsid w:val="00D6540A"/>
    <w:rsid w:val="00D674AF"/>
    <w:rsid w:val="00D70107"/>
    <w:rsid w:val="00D701BC"/>
    <w:rsid w:val="00D70438"/>
    <w:rsid w:val="00D717AD"/>
    <w:rsid w:val="00D71F1D"/>
    <w:rsid w:val="00D720AD"/>
    <w:rsid w:val="00D72D1D"/>
    <w:rsid w:val="00D74A18"/>
    <w:rsid w:val="00D74D3E"/>
    <w:rsid w:val="00D750C9"/>
    <w:rsid w:val="00D757C6"/>
    <w:rsid w:val="00D75C41"/>
    <w:rsid w:val="00D80529"/>
    <w:rsid w:val="00D80F78"/>
    <w:rsid w:val="00D81585"/>
    <w:rsid w:val="00D81AC3"/>
    <w:rsid w:val="00D81C59"/>
    <w:rsid w:val="00D82A5B"/>
    <w:rsid w:val="00D84637"/>
    <w:rsid w:val="00D8473B"/>
    <w:rsid w:val="00D85780"/>
    <w:rsid w:val="00D925AA"/>
    <w:rsid w:val="00D9283D"/>
    <w:rsid w:val="00D930DD"/>
    <w:rsid w:val="00D9341C"/>
    <w:rsid w:val="00D94B7D"/>
    <w:rsid w:val="00D952F5"/>
    <w:rsid w:val="00D96141"/>
    <w:rsid w:val="00D96D98"/>
    <w:rsid w:val="00DA0B1A"/>
    <w:rsid w:val="00DA1560"/>
    <w:rsid w:val="00DA3176"/>
    <w:rsid w:val="00DA4C44"/>
    <w:rsid w:val="00DA4C48"/>
    <w:rsid w:val="00DA4E21"/>
    <w:rsid w:val="00DA71EF"/>
    <w:rsid w:val="00DA7A18"/>
    <w:rsid w:val="00DB1347"/>
    <w:rsid w:val="00DB28CE"/>
    <w:rsid w:val="00DB29BC"/>
    <w:rsid w:val="00DB2A2A"/>
    <w:rsid w:val="00DB367A"/>
    <w:rsid w:val="00DB479F"/>
    <w:rsid w:val="00DB55B6"/>
    <w:rsid w:val="00DB5E28"/>
    <w:rsid w:val="00DB5EA7"/>
    <w:rsid w:val="00DB5F21"/>
    <w:rsid w:val="00DB6D7C"/>
    <w:rsid w:val="00DB7183"/>
    <w:rsid w:val="00DC090A"/>
    <w:rsid w:val="00DC0E7E"/>
    <w:rsid w:val="00DC2251"/>
    <w:rsid w:val="00DC2D72"/>
    <w:rsid w:val="00DC30EA"/>
    <w:rsid w:val="00DC4FE9"/>
    <w:rsid w:val="00DC5918"/>
    <w:rsid w:val="00DC6C8D"/>
    <w:rsid w:val="00DC73A5"/>
    <w:rsid w:val="00DD0236"/>
    <w:rsid w:val="00DD185C"/>
    <w:rsid w:val="00DD4100"/>
    <w:rsid w:val="00DD76A4"/>
    <w:rsid w:val="00DD7C65"/>
    <w:rsid w:val="00DE03E4"/>
    <w:rsid w:val="00DE1134"/>
    <w:rsid w:val="00DE1AEB"/>
    <w:rsid w:val="00DE222C"/>
    <w:rsid w:val="00DE2247"/>
    <w:rsid w:val="00DE2A34"/>
    <w:rsid w:val="00DE37AE"/>
    <w:rsid w:val="00DE4732"/>
    <w:rsid w:val="00DE6668"/>
    <w:rsid w:val="00DE6987"/>
    <w:rsid w:val="00DE7339"/>
    <w:rsid w:val="00DF0DA2"/>
    <w:rsid w:val="00DF0F5F"/>
    <w:rsid w:val="00DF1246"/>
    <w:rsid w:val="00DF30C0"/>
    <w:rsid w:val="00DF4B0D"/>
    <w:rsid w:val="00E0080A"/>
    <w:rsid w:val="00E00F31"/>
    <w:rsid w:val="00E02242"/>
    <w:rsid w:val="00E0300E"/>
    <w:rsid w:val="00E04AE0"/>
    <w:rsid w:val="00E070D0"/>
    <w:rsid w:val="00E07155"/>
    <w:rsid w:val="00E10290"/>
    <w:rsid w:val="00E11517"/>
    <w:rsid w:val="00E12834"/>
    <w:rsid w:val="00E13727"/>
    <w:rsid w:val="00E15571"/>
    <w:rsid w:val="00E15630"/>
    <w:rsid w:val="00E17AB3"/>
    <w:rsid w:val="00E20254"/>
    <w:rsid w:val="00E209F0"/>
    <w:rsid w:val="00E219EB"/>
    <w:rsid w:val="00E22C13"/>
    <w:rsid w:val="00E23129"/>
    <w:rsid w:val="00E25045"/>
    <w:rsid w:val="00E25F2B"/>
    <w:rsid w:val="00E2677C"/>
    <w:rsid w:val="00E26D83"/>
    <w:rsid w:val="00E26EFC"/>
    <w:rsid w:val="00E271CD"/>
    <w:rsid w:val="00E27A1E"/>
    <w:rsid w:val="00E306E9"/>
    <w:rsid w:val="00E307DC"/>
    <w:rsid w:val="00E323CF"/>
    <w:rsid w:val="00E32BC4"/>
    <w:rsid w:val="00E334B9"/>
    <w:rsid w:val="00E33905"/>
    <w:rsid w:val="00E342D1"/>
    <w:rsid w:val="00E34B96"/>
    <w:rsid w:val="00E37502"/>
    <w:rsid w:val="00E3787F"/>
    <w:rsid w:val="00E40127"/>
    <w:rsid w:val="00E43074"/>
    <w:rsid w:val="00E431C8"/>
    <w:rsid w:val="00E44926"/>
    <w:rsid w:val="00E44E09"/>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2234"/>
    <w:rsid w:val="00E6570E"/>
    <w:rsid w:val="00E66638"/>
    <w:rsid w:val="00E6706E"/>
    <w:rsid w:val="00E71192"/>
    <w:rsid w:val="00E71483"/>
    <w:rsid w:val="00E7211D"/>
    <w:rsid w:val="00E754C2"/>
    <w:rsid w:val="00E757CA"/>
    <w:rsid w:val="00E75D48"/>
    <w:rsid w:val="00E760FA"/>
    <w:rsid w:val="00E76750"/>
    <w:rsid w:val="00E773CD"/>
    <w:rsid w:val="00E774C9"/>
    <w:rsid w:val="00E77D0C"/>
    <w:rsid w:val="00E80195"/>
    <w:rsid w:val="00E80964"/>
    <w:rsid w:val="00E83D43"/>
    <w:rsid w:val="00E841A6"/>
    <w:rsid w:val="00E84BCB"/>
    <w:rsid w:val="00E85905"/>
    <w:rsid w:val="00E85D20"/>
    <w:rsid w:val="00E87C0D"/>
    <w:rsid w:val="00E90DC4"/>
    <w:rsid w:val="00E9163F"/>
    <w:rsid w:val="00E91CB7"/>
    <w:rsid w:val="00E922B1"/>
    <w:rsid w:val="00E94540"/>
    <w:rsid w:val="00E950B2"/>
    <w:rsid w:val="00E955B0"/>
    <w:rsid w:val="00E956E8"/>
    <w:rsid w:val="00E971AE"/>
    <w:rsid w:val="00EA022D"/>
    <w:rsid w:val="00EA0D10"/>
    <w:rsid w:val="00EA0F2C"/>
    <w:rsid w:val="00EA19CB"/>
    <w:rsid w:val="00EA2AE1"/>
    <w:rsid w:val="00EA2C8F"/>
    <w:rsid w:val="00EA5045"/>
    <w:rsid w:val="00EA5D64"/>
    <w:rsid w:val="00EA613A"/>
    <w:rsid w:val="00EA6A8C"/>
    <w:rsid w:val="00EB27EF"/>
    <w:rsid w:val="00EB2AD1"/>
    <w:rsid w:val="00EB2F9F"/>
    <w:rsid w:val="00EB3067"/>
    <w:rsid w:val="00EB353E"/>
    <w:rsid w:val="00EB3AA1"/>
    <w:rsid w:val="00EB56E0"/>
    <w:rsid w:val="00EB5DDF"/>
    <w:rsid w:val="00EB692F"/>
    <w:rsid w:val="00EB6E66"/>
    <w:rsid w:val="00EC0129"/>
    <w:rsid w:val="00EC0F65"/>
    <w:rsid w:val="00EC3CEC"/>
    <w:rsid w:val="00EC4625"/>
    <w:rsid w:val="00EC4CA7"/>
    <w:rsid w:val="00ED139E"/>
    <w:rsid w:val="00ED1759"/>
    <w:rsid w:val="00ED27A5"/>
    <w:rsid w:val="00ED3ECB"/>
    <w:rsid w:val="00ED445D"/>
    <w:rsid w:val="00ED461C"/>
    <w:rsid w:val="00ED5E2B"/>
    <w:rsid w:val="00EE01C2"/>
    <w:rsid w:val="00EE2710"/>
    <w:rsid w:val="00EE2FEA"/>
    <w:rsid w:val="00EE37A2"/>
    <w:rsid w:val="00EE3B12"/>
    <w:rsid w:val="00EE5AF3"/>
    <w:rsid w:val="00EE5E91"/>
    <w:rsid w:val="00EE5F8C"/>
    <w:rsid w:val="00EE73BC"/>
    <w:rsid w:val="00EE7AC8"/>
    <w:rsid w:val="00EF00AA"/>
    <w:rsid w:val="00EF1537"/>
    <w:rsid w:val="00EF3996"/>
    <w:rsid w:val="00EF4D38"/>
    <w:rsid w:val="00F0026A"/>
    <w:rsid w:val="00F014A4"/>
    <w:rsid w:val="00F021E7"/>
    <w:rsid w:val="00F026C1"/>
    <w:rsid w:val="00F039D1"/>
    <w:rsid w:val="00F05BEC"/>
    <w:rsid w:val="00F05D0F"/>
    <w:rsid w:val="00F05DB4"/>
    <w:rsid w:val="00F07318"/>
    <w:rsid w:val="00F11221"/>
    <w:rsid w:val="00F11692"/>
    <w:rsid w:val="00F13358"/>
    <w:rsid w:val="00F1456D"/>
    <w:rsid w:val="00F14DA0"/>
    <w:rsid w:val="00F15387"/>
    <w:rsid w:val="00F15D8B"/>
    <w:rsid w:val="00F15F46"/>
    <w:rsid w:val="00F17D58"/>
    <w:rsid w:val="00F228F5"/>
    <w:rsid w:val="00F23FD4"/>
    <w:rsid w:val="00F24143"/>
    <w:rsid w:val="00F241BE"/>
    <w:rsid w:val="00F24962"/>
    <w:rsid w:val="00F25038"/>
    <w:rsid w:val="00F26702"/>
    <w:rsid w:val="00F2735C"/>
    <w:rsid w:val="00F3124A"/>
    <w:rsid w:val="00F31D41"/>
    <w:rsid w:val="00F34539"/>
    <w:rsid w:val="00F35005"/>
    <w:rsid w:val="00F359FB"/>
    <w:rsid w:val="00F364CB"/>
    <w:rsid w:val="00F36E13"/>
    <w:rsid w:val="00F37601"/>
    <w:rsid w:val="00F4058E"/>
    <w:rsid w:val="00F40BAD"/>
    <w:rsid w:val="00F42197"/>
    <w:rsid w:val="00F4220F"/>
    <w:rsid w:val="00F423B8"/>
    <w:rsid w:val="00F43F58"/>
    <w:rsid w:val="00F45507"/>
    <w:rsid w:val="00F46014"/>
    <w:rsid w:val="00F47670"/>
    <w:rsid w:val="00F51371"/>
    <w:rsid w:val="00F51AF6"/>
    <w:rsid w:val="00F51E98"/>
    <w:rsid w:val="00F5511D"/>
    <w:rsid w:val="00F551E9"/>
    <w:rsid w:val="00F55A95"/>
    <w:rsid w:val="00F56113"/>
    <w:rsid w:val="00F5640F"/>
    <w:rsid w:val="00F56735"/>
    <w:rsid w:val="00F56B3A"/>
    <w:rsid w:val="00F60F94"/>
    <w:rsid w:val="00F615F9"/>
    <w:rsid w:val="00F62055"/>
    <w:rsid w:val="00F620BE"/>
    <w:rsid w:val="00F63A0F"/>
    <w:rsid w:val="00F63C7F"/>
    <w:rsid w:val="00F64DC5"/>
    <w:rsid w:val="00F73160"/>
    <w:rsid w:val="00F73938"/>
    <w:rsid w:val="00F73E36"/>
    <w:rsid w:val="00F73E87"/>
    <w:rsid w:val="00F74224"/>
    <w:rsid w:val="00F747A9"/>
    <w:rsid w:val="00F76696"/>
    <w:rsid w:val="00F77295"/>
    <w:rsid w:val="00F77A84"/>
    <w:rsid w:val="00F80438"/>
    <w:rsid w:val="00F87905"/>
    <w:rsid w:val="00F91A0D"/>
    <w:rsid w:val="00F9229E"/>
    <w:rsid w:val="00F92724"/>
    <w:rsid w:val="00F92A12"/>
    <w:rsid w:val="00F936B7"/>
    <w:rsid w:val="00F942E2"/>
    <w:rsid w:val="00F94B8B"/>
    <w:rsid w:val="00F9523B"/>
    <w:rsid w:val="00F9546E"/>
    <w:rsid w:val="00F9560B"/>
    <w:rsid w:val="00F95755"/>
    <w:rsid w:val="00F9637C"/>
    <w:rsid w:val="00F96E67"/>
    <w:rsid w:val="00F96E92"/>
    <w:rsid w:val="00FA0700"/>
    <w:rsid w:val="00FA13CB"/>
    <w:rsid w:val="00FA2BE9"/>
    <w:rsid w:val="00FA30F5"/>
    <w:rsid w:val="00FA31AE"/>
    <w:rsid w:val="00FA4FCD"/>
    <w:rsid w:val="00FA6129"/>
    <w:rsid w:val="00FA6242"/>
    <w:rsid w:val="00FA6F23"/>
    <w:rsid w:val="00FB1DA4"/>
    <w:rsid w:val="00FB2973"/>
    <w:rsid w:val="00FB42CF"/>
    <w:rsid w:val="00FB511E"/>
    <w:rsid w:val="00FB5D4B"/>
    <w:rsid w:val="00FB7B5E"/>
    <w:rsid w:val="00FC07DD"/>
    <w:rsid w:val="00FC2770"/>
    <w:rsid w:val="00FC2B86"/>
    <w:rsid w:val="00FC48B5"/>
    <w:rsid w:val="00FC4CA2"/>
    <w:rsid w:val="00FC6FF3"/>
    <w:rsid w:val="00FC7629"/>
    <w:rsid w:val="00FC7878"/>
    <w:rsid w:val="00FC7B2A"/>
    <w:rsid w:val="00FD3A8D"/>
    <w:rsid w:val="00FD3D67"/>
    <w:rsid w:val="00FD496F"/>
    <w:rsid w:val="00FD536A"/>
    <w:rsid w:val="00FD74FF"/>
    <w:rsid w:val="00FD7A69"/>
    <w:rsid w:val="00FE096E"/>
    <w:rsid w:val="00FE3CEC"/>
    <w:rsid w:val="00FE4145"/>
    <w:rsid w:val="00FE461F"/>
    <w:rsid w:val="00FE5F2D"/>
    <w:rsid w:val="00FE607C"/>
    <w:rsid w:val="00FE6A1F"/>
    <w:rsid w:val="00FE743E"/>
    <w:rsid w:val="00FE791B"/>
    <w:rsid w:val="00FF006C"/>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
    <w:qFormat/>
    <w:rsid w:val="00A612FF"/>
    <w:pPr>
      <w:keepNext/>
      <w:numPr>
        <w:numId w:val="7"/>
      </w:numPr>
      <w:spacing w:before="460" w:after="100" w:line="320" w:lineRule="atLeast"/>
      <w:outlineLvl w:val="0"/>
    </w:pPr>
    <w:rPr>
      <w:rFonts w:ascii="Franklin Gothic Demi" w:hAnsi="Franklin Gothic Demi"/>
      <w:color w:val="AD495D"/>
      <w:kern w:val="28"/>
      <w:sz w:val="28"/>
      <w:szCs w:val="28"/>
      <w:lang w:val="x-none" w:eastAsia="x-none"/>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link w:val="ListBulletChar"/>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basedOn w:val="Normal"/>
    <w:rsid w:val="0067202D"/>
    <w:pPr>
      <w:numPr>
        <w:numId w:val="18"/>
      </w:numPr>
      <w:spacing w:after="240" w:line="320" w:lineRule="exact"/>
    </w:pPr>
    <w:rPr>
      <w:rFonts w:ascii="Palatino" w:hAnsi="Palatino"/>
      <w:color w:val="000000"/>
      <w:sz w:val="22"/>
      <w:szCs w:val="22"/>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ash">
    <w:name w:val="Dash"/>
    <w:basedOn w:val="Normal"/>
    <w:rsid w:val="0067202D"/>
    <w:pPr>
      <w:numPr>
        <w:ilvl w:val="1"/>
        <w:numId w:val="18"/>
      </w:numPr>
      <w:spacing w:after="240" w:line="320" w:lineRule="exact"/>
    </w:pPr>
    <w:rPr>
      <w:rFonts w:ascii="Palatino" w:hAnsi="Palatino"/>
      <w:color w:val="000000"/>
      <w:sz w:val="22"/>
      <w:szCs w:val="22"/>
    </w:rPr>
  </w:style>
  <w:style w:type="paragraph" w:customStyle="1" w:styleId="DoubleDot">
    <w:name w:val="Double Dot"/>
    <w:basedOn w:val="Normal"/>
    <w:rsid w:val="0067202D"/>
    <w:pPr>
      <w:numPr>
        <w:ilvl w:val="2"/>
        <w:numId w:val="18"/>
      </w:numPr>
      <w:spacing w:after="240" w:line="320" w:lineRule="exact"/>
    </w:pPr>
    <w:rPr>
      <w:rFonts w:ascii="Palatino" w:hAnsi="Palatino"/>
      <w:color w:val="000000"/>
      <w:sz w:val="22"/>
      <w:szCs w:val="22"/>
    </w:rPr>
  </w:style>
  <w:style w:type="paragraph" w:styleId="NormalWeb">
    <w:name w:val="Normal (Web)"/>
    <w:basedOn w:val="Normal"/>
    <w:rsid w:val="0067202D"/>
    <w:pPr>
      <w:spacing w:before="120" w:after="135"/>
    </w:pPr>
    <w:rPr>
      <w:sz w:val="24"/>
    </w:rPr>
  </w:style>
  <w:style w:type="character" w:customStyle="1" w:styleId="ListBulletChar">
    <w:name w:val="List Bullet Char"/>
    <w:basedOn w:val="BodyTextChar"/>
    <w:link w:val="ListBullet"/>
    <w:rsid w:val="00D5596F"/>
    <w:rPr>
      <w:rFonts w:ascii="Georgia" w:hAnsi="Georgia"/>
      <w:sz w:val="19"/>
      <w:szCs w:val="19"/>
      <w:lang w:val="en-AU" w:eastAsia="en-AU" w:bidi="ar-SA"/>
    </w:rPr>
  </w:style>
  <w:style w:type="paragraph" w:styleId="EndnoteText">
    <w:name w:val="endnote text"/>
    <w:basedOn w:val="Normal"/>
    <w:semiHidden/>
    <w:rsid w:val="004D5F49"/>
    <w:rPr>
      <w:szCs w:val="20"/>
    </w:rPr>
  </w:style>
  <w:style w:type="character" w:styleId="EndnoteReference">
    <w:name w:val="endnote reference"/>
    <w:semiHidden/>
    <w:rsid w:val="004D5F49"/>
    <w:rPr>
      <w:vertAlign w:val="superscript"/>
    </w:rPr>
  </w:style>
  <w:style w:type="paragraph" w:styleId="Revision">
    <w:name w:val="Revision"/>
    <w:hidden/>
    <w:uiPriority w:val="99"/>
    <w:semiHidden/>
    <w:rsid w:val="00E80195"/>
    <w:rPr>
      <w:szCs w:val="24"/>
      <w:lang w:val="en-AU" w:eastAsia="en-AU"/>
    </w:rPr>
  </w:style>
  <w:style w:type="character" w:customStyle="1" w:styleId="Heading1Char">
    <w:name w:val="Heading 1 Char"/>
    <w:link w:val="Heading1"/>
    <w:rsid w:val="008E5656"/>
    <w:rPr>
      <w:rFonts w:ascii="Franklin Gothic Demi" w:hAnsi="Franklin Gothic Demi"/>
      <w:color w:val="AD495D"/>
      <w:kern w:val="28"/>
      <w:sz w:val="28"/>
      <w:szCs w:val="28"/>
    </w:rPr>
  </w:style>
  <w:style w:type="paragraph" w:customStyle="1" w:styleId="H1">
    <w:name w:val="H1"/>
    <w:basedOn w:val="Normal"/>
    <w:qFormat/>
    <w:rsid w:val="005F4B65"/>
    <w:pPr>
      <w:keepNext/>
      <w:spacing w:after="100" w:line="320" w:lineRule="atLeast"/>
      <w:outlineLvl w:val="0"/>
    </w:pPr>
    <w:rPr>
      <w:rFonts w:ascii="Franklin Gothic Demi" w:hAnsi="Franklin Gothic Demi"/>
      <w:color w:val="AD495D"/>
      <w:kern w:val="28"/>
      <w:sz w:val="28"/>
      <w:szCs w:val="28"/>
    </w:rPr>
  </w:style>
  <w:style w:type="paragraph" w:customStyle="1" w:styleId="H3">
    <w:name w:val="H3"/>
    <w:basedOn w:val="BodyText"/>
    <w:qFormat/>
    <w:rsid w:val="005F4B65"/>
    <w:rPr>
      <w:b/>
    </w:rPr>
  </w:style>
  <w:style w:type="paragraph" w:styleId="TOCHeading">
    <w:name w:val="TOC Heading"/>
    <w:basedOn w:val="Heading1"/>
    <w:next w:val="Normal"/>
    <w:uiPriority w:val="39"/>
    <w:semiHidden/>
    <w:unhideWhenUsed/>
    <w:qFormat/>
    <w:rsid w:val="004F722F"/>
    <w:pPr>
      <w:keepLines/>
      <w:numPr>
        <w:numId w:val="0"/>
      </w:numPr>
      <w:spacing w:before="480" w:after="0" w:line="276" w:lineRule="auto"/>
      <w:outlineLvl w:val="9"/>
    </w:pPr>
    <w:rPr>
      <w:rFonts w:ascii="Cambria" w:hAnsi="Cambria"/>
      <w:b/>
      <w:bCs/>
      <w:color w:val="365F91"/>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
    <w:qFormat/>
    <w:rsid w:val="00A612FF"/>
    <w:pPr>
      <w:keepNext/>
      <w:numPr>
        <w:numId w:val="7"/>
      </w:numPr>
      <w:spacing w:before="460" w:after="100" w:line="320" w:lineRule="atLeast"/>
      <w:outlineLvl w:val="0"/>
    </w:pPr>
    <w:rPr>
      <w:rFonts w:ascii="Franklin Gothic Demi" w:hAnsi="Franklin Gothic Demi"/>
      <w:color w:val="AD495D"/>
      <w:kern w:val="28"/>
      <w:sz w:val="28"/>
      <w:szCs w:val="28"/>
      <w:lang w:val="x-none" w:eastAsia="x-none"/>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link w:val="ListBulletChar"/>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Bullet">
    <w:name w:val="Bullet"/>
    <w:basedOn w:val="Normal"/>
    <w:rsid w:val="0067202D"/>
    <w:pPr>
      <w:numPr>
        <w:numId w:val="18"/>
      </w:numPr>
      <w:spacing w:after="240" w:line="320" w:lineRule="exact"/>
    </w:pPr>
    <w:rPr>
      <w:rFonts w:ascii="Palatino" w:hAnsi="Palatino"/>
      <w:color w:val="000000"/>
      <w:sz w:val="22"/>
      <w:szCs w:val="22"/>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Dash">
    <w:name w:val="Dash"/>
    <w:basedOn w:val="Normal"/>
    <w:rsid w:val="0067202D"/>
    <w:pPr>
      <w:numPr>
        <w:ilvl w:val="1"/>
        <w:numId w:val="18"/>
      </w:numPr>
      <w:spacing w:after="240" w:line="320" w:lineRule="exact"/>
    </w:pPr>
    <w:rPr>
      <w:rFonts w:ascii="Palatino" w:hAnsi="Palatino"/>
      <w:color w:val="000000"/>
      <w:sz w:val="22"/>
      <w:szCs w:val="22"/>
    </w:rPr>
  </w:style>
  <w:style w:type="paragraph" w:customStyle="1" w:styleId="DoubleDot">
    <w:name w:val="Double Dot"/>
    <w:basedOn w:val="Normal"/>
    <w:rsid w:val="0067202D"/>
    <w:pPr>
      <w:numPr>
        <w:ilvl w:val="2"/>
        <w:numId w:val="18"/>
      </w:numPr>
      <w:spacing w:after="240" w:line="320" w:lineRule="exact"/>
    </w:pPr>
    <w:rPr>
      <w:rFonts w:ascii="Palatino" w:hAnsi="Palatino"/>
      <w:color w:val="000000"/>
      <w:sz w:val="22"/>
      <w:szCs w:val="22"/>
    </w:rPr>
  </w:style>
  <w:style w:type="paragraph" w:styleId="NormalWeb">
    <w:name w:val="Normal (Web)"/>
    <w:basedOn w:val="Normal"/>
    <w:rsid w:val="0067202D"/>
    <w:pPr>
      <w:spacing w:before="120" w:after="135"/>
    </w:pPr>
    <w:rPr>
      <w:sz w:val="24"/>
    </w:rPr>
  </w:style>
  <w:style w:type="character" w:customStyle="1" w:styleId="ListBulletChar">
    <w:name w:val="List Bullet Char"/>
    <w:basedOn w:val="BodyTextChar"/>
    <w:link w:val="ListBullet"/>
    <w:rsid w:val="00D5596F"/>
    <w:rPr>
      <w:rFonts w:ascii="Georgia" w:hAnsi="Georgia"/>
      <w:sz w:val="19"/>
      <w:szCs w:val="19"/>
      <w:lang w:val="en-AU" w:eastAsia="en-AU" w:bidi="ar-SA"/>
    </w:rPr>
  </w:style>
  <w:style w:type="paragraph" w:styleId="EndnoteText">
    <w:name w:val="endnote text"/>
    <w:basedOn w:val="Normal"/>
    <w:semiHidden/>
    <w:rsid w:val="004D5F49"/>
    <w:rPr>
      <w:szCs w:val="20"/>
    </w:rPr>
  </w:style>
  <w:style w:type="character" w:styleId="EndnoteReference">
    <w:name w:val="endnote reference"/>
    <w:semiHidden/>
    <w:rsid w:val="004D5F49"/>
    <w:rPr>
      <w:vertAlign w:val="superscript"/>
    </w:rPr>
  </w:style>
  <w:style w:type="paragraph" w:styleId="Revision">
    <w:name w:val="Revision"/>
    <w:hidden/>
    <w:uiPriority w:val="99"/>
    <w:semiHidden/>
    <w:rsid w:val="00E80195"/>
    <w:rPr>
      <w:szCs w:val="24"/>
      <w:lang w:val="en-AU" w:eastAsia="en-AU"/>
    </w:rPr>
  </w:style>
  <w:style w:type="character" w:customStyle="1" w:styleId="Heading1Char">
    <w:name w:val="Heading 1 Char"/>
    <w:link w:val="Heading1"/>
    <w:rsid w:val="008E5656"/>
    <w:rPr>
      <w:rFonts w:ascii="Franklin Gothic Demi" w:hAnsi="Franklin Gothic Demi"/>
      <w:color w:val="AD495D"/>
      <w:kern w:val="28"/>
      <w:sz w:val="28"/>
      <w:szCs w:val="28"/>
    </w:rPr>
  </w:style>
  <w:style w:type="paragraph" w:customStyle="1" w:styleId="H1">
    <w:name w:val="H1"/>
    <w:basedOn w:val="Normal"/>
    <w:qFormat/>
    <w:rsid w:val="005F4B65"/>
    <w:pPr>
      <w:keepNext/>
      <w:spacing w:after="100" w:line="320" w:lineRule="atLeast"/>
      <w:outlineLvl w:val="0"/>
    </w:pPr>
    <w:rPr>
      <w:rFonts w:ascii="Franklin Gothic Demi" w:hAnsi="Franklin Gothic Demi"/>
      <w:color w:val="AD495D"/>
      <w:kern w:val="28"/>
      <w:sz w:val="28"/>
      <w:szCs w:val="28"/>
    </w:rPr>
  </w:style>
  <w:style w:type="paragraph" w:customStyle="1" w:styleId="H3">
    <w:name w:val="H3"/>
    <w:basedOn w:val="BodyText"/>
    <w:qFormat/>
    <w:rsid w:val="005F4B65"/>
    <w:rPr>
      <w:b/>
    </w:rPr>
  </w:style>
  <w:style w:type="paragraph" w:styleId="TOCHeading">
    <w:name w:val="TOC Heading"/>
    <w:basedOn w:val="Heading1"/>
    <w:next w:val="Normal"/>
    <w:uiPriority w:val="39"/>
    <w:semiHidden/>
    <w:unhideWhenUsed/>
    <w:qFormat/>
    <w:rsid w:val="004F722F"/>
    <w:pPr>
      <w:keepLines/>
      <w:numPr>
        <w:numId w:val="0"/>
      </w:numPr>
      <w:spacing w:before="480" w:after="0" w:line="276" w:lineRule="auto"/>
      <w:outlineLvl w:val="9"/>
    </w:pPr>
    <w:rPr>
      <w:rFonts w:ascii="Cambria" w:hAnsi="Cambria"/>
      <w:b/>
      <w:bCs/>
      <w:color w:val="365F91"/>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3159">
      <w:bodyDiv w:val="1"/>
      <w:marLeft w:val="0"/>
      <w:marRight w:val="0"/>
      <w:marTop w:val="0"/>
      <w:marBottom w:val="0"/>
      <w:divBdr>
        <w:top w:val="none" w:sz="0" w:space="0" w:color="auto"/>
        <w:left w:val="none" w:sz="0" w:space="0" w:color="auto"/>
        <w:bottom w:val="none" w:sz="0" w:space="0" w:color="auto"/>
        <w:right w:val="none" w:sz="0" w:space="0" w:color="auto"/>
      </w:divBdr>
    </w:div>
    <w:div w:id="632174180">
      <w:bodyDiv w:val="1"/>
      <w:marLeft w:val="0"/>
      <w:marRight w:val="0"/>
      <w:marTop w:val="0"/>
      <w:marBottom w:val="0"/>
      <w:divBdr>
        <w:top w:val="none" w:sz="0" w:space="0" w:color="auto"/>
        <w:left w:val="none" w:sz="0" w:space="0" w:color="auto"/>
        <w:bottom w:val="none" w:sz="0" w:space="0" w:color="auto"/>
        <w:right w:val="none" w:sz="0" w:space="0" w:color="auto"/>
      </w:divBdr>
    </w:div>
    <w:div w:id="1032220500">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2065985106">
      <w:bodyDiv w:val="1"/>
      <w:marLeft w:val="0"/>
      <w:marRight w:val="0"/>
      <w:marTop w:val="0"/>
      <w:marBottom w:val="0"/>
      <w:divBdr>
        <w:top w:val="none" w:sz="0" w:space="0" w:color="auto"/>
        <w:left w:val="none" w:sz="0" w:space="0" w:color="auto"/>
        <w:bottom w:val="none" w:sz="0" w:space="0" w:color="auto"/>
        <w:right w:val="none" w:sz="0" w:space="0" w:color="auto"/>
      </w:divBdr>
      <w:divsChild>
        <w:div w:id="192499090">
          <w:marLeft w:val="0"/>
          <w:marRight w:val="0"/>
          <w:marTop w:val="0"/>
          <w:marBottom w:val="0"/>
          <w:divBdr>
            <w:top w:val="none" w:sz="0" w:space="0" w:color="auto"/>
            <w:left w:val="none" w:sz="0" w:space="0" w:color="auto"/>
            <w:bottom w:val="none" w:sz="0" w:space="0" w:color="auto"/>
            <w:right w:val="none" w:sz="0" w:space="0" w:color="auto"/>
          </w:divBdr>
          <w:divsChild>
            <w:div w:id="737019284">
              <w:marLeft w:val="0"/>
              <w:marRight w:val="0"/>
              <w:marTop w:val="0"/>
              <w:marBottom w:val="0"/>
              <w:divBdr>
                <w:top w:val="none" w:sz="0" w:space="0" w:color="auto"/>
                <w:left w:val="none" w:sz="0" w:space="0" w:color="auto"/>
                <w:bottom w:val="none" w:sz="0" w:space="0" w:color="auto"/>
                <w:right w:val="none" w:sz="0" w:space="0" w:color="auto"/>
              </w:divBdr>
              <w:divsChild>
                <w:div w:id="1969507848">
                  <w:marLeft w:val="0"/>
                  <w:marRight w:val="0"/>
                  <w:marTop w:val="0"/>
                  <w:marBottom w:val="0"/>
                  <w:divBdr>
                    <w:top w:val="none" w:sz="0" w:space="0" w:color="auto"/>
                    <w:left w:val="none" w:sz="0" w:space="0" w:color="auto"/>
                    <w:bottom w:val="none" w:sz="0" w:space="0" w:color="auto"/>
                    <w:right w:val="none" w:sz="0" w:space="0" w:color="auto"/>
                  </w:divBdr>
                  <w:divsChild>
                    <w:div w:id="1086924783">
                      <w:marLeft w:val="0"/>
                      <w:marRight w:val="0"/>
                      <w:marTop w:val="0"/>
                      <w:marBottom w:val="0"/>
                      <w:divBdr>
                        <w:top w:val="none" w:sz="0" w:space="0" w:color="auto"/>
                        <w:left w:val="none" w:sz="0" w:space="0" w:color="auto"/>
                        <w:bottom w:val="none" w:sz="0" w:space="0" w:color="auto"/>
                        <w:right w:val="none" w:sz="0" w:space="0" w:color="auto"/>
                      </w:divBdr>
                      <w:divsChild>
                        <w:div w:id="20759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7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browse/infectious+disease" TargetMode="External"/><Relationship Id="rId1" Type="http://schemas.openxmlformats.org/officeDocument/2006/relationships/hyperlink" Target="http://www.thefreedictionary.com/communicable+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SIA\MPBR\PBS\Burma%20Team\Performance%20and%20Quality\APPR%202010\T-AnnualProgramPerformance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E867A-EB67-47BF-8CA6-C3979E34857A}"/>
</file>

<file path=customXml/itemProps2.xml><?xml version="1.0" encoding="utf-8"?>
<ds:datastoreItem xmlns:ds="http://schemas.openxmlformats.org/officeDocument/2006/customXml" ds:itemID="{46ACAE3A-04E7-4900-908C-D379E214450E}"/>
</file>

<file path=customXml/itemProps3.xml><?xml version="1.0" encoding="utf-8"?>
<ds:datastoreItem xmlns:ds="http://schemas.openxmlformats.org/officeDocument/2006/customXml" ds:itemID="{FE5CB56D-6BA4-4C62-8859-2E26915E5E78}"/>
</file>

<file path=docProps/app.xml><?xml version="1.0" encoding="utf-8"?>
<Properties xmlns="http://schemas.openxmlformats.org/officeDocument/2006/extended-properties" xmlns:vt="http://schemas.openxmlformats.org/officeDocument/2006/docPropsVTypes">
  <Template>T-AnnualProgramPerformanceTemplate-123</Template>
  <TotalTime>0</TotalTime>
  <Pages>13</Pages>
  <Words>5800</Words>
  <Characters>33065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38788</CharactersWithSpaces>
  <SharedDoc>false</SharedDoc>
  <HLinks>
    <vt:vector size="102" baseType="variant">
      <vt:variant>
        <vt:i4>1114174</vt:i4>
      </vt:variant>
      <vt:variant>
        <vt:i4>86</vt:i4>
      </vt:variant>
      <vt:variant>
        <vt:i4>0</vt:i4>
      </vt:variant>
      <vt:variant>
        <vt:i4>5</vt:i4>
      </vt:variant>
      <vt:variant>
        <vt:lpwstr/>
      </vt:variant>
      <vt:variant>
        <vt:lpwstr>_Toc360980592</vt:lpwstr>
      </vt:variant>
      <vt:variant>
        <vt:i4>1114174</vt:i4>
      </vt:variant>
      <vt:variant>
        <vt:i4>80</vt:i4>
      </vt:variant>
      <vt:variant>
        <vt:i4>0</vt:i4>
      </vt:variant>
      <vt:variant>
        <vt:i4>5</vt:i4>
      </vt:variant>
      <vt:variant>
        <vt:lpwstr/>
      </vt:variant>
      <vt:variant>
        <vt:lpwstr>_Toc360980591</vt:lpwstr>
      </vt:variant>
      <vt:variant>
        <vt:i4>1114174</vt:i4>
      </vt:variant>
      <vt:variant>
        <vt:i4>74</vt:i4>
      </vt:variant>
      <vt:variant>
        <vt:i4>0</vt:i4>
      </vt:variant>
      <vt:variant>
        <vt:i4>5</vt:i4>
      </vt:variant>
      <vt:variant>
        <vt:lpwstr/>
      </vt:variant>
      <vt:variant>
        <vt:lpwstr>_Toc360980590</vt:lpwstr>
      </vt:variant>
      <vt:variant>
        <vt:i4>1048638</vt:i4>
      </vt:variant>
      <vt:variant>
        <vt:i4>68</vt:i4>
      </vt:variant>
      <vt:variant>
        <vt:i4>0</vt:i4>
      </vt:variant>
      <vt:variant>
        <vt:i4>5</vt:i4>
      </vt:variant>
      <vt:variant>
        <vt:lpwstr/>
      </vt:variant>
      <vt:variant>
        <vt:lpwstr>_Toc360980589</vt:lpwstr>
      </vt:variant>
      <vt:variant>
        <vt:i4>1048638</vt:i4>
      </vt:variant>
      <vt:variant>
        <vt:i4>62</vt:i4>
      </vt:variant>
      <vt:variant>
        <vt:i4>0</vt:i4>
      </vt:variant>
      <vt:variant>
        <vt:i4>5</vt:i4>
      </vt:variant>
      <vt:variant>
        <vt:lpwstr/>
      </vt:variant>
      <vt:variant>
        <vt:lpwstr>_Toc360980588</vt:lpwstr>
      </vt:variant>
      <vt:variant>
        <vt:i4>1048638</vt:i4>
      </vt:variant>
      <vt:variant>
        <vt:i4>56</vt:i4>
      </vt:variant>
      <vt:variant>
        <vt:i4>0</vt:i4>
      </vt:variant>
      <vt:variant>
        <vt:i4>5</vt:i4>
      </vt:variant>
      <vt:variant>
        <vt:lpwstr/>
      </vt:variant>
      <vt:variant>
        <vt:lpwstr>_Toc360980587</vt:lpwstr>
      </vt:variant>
      <vt:variant>
        <vt:i4>1048638</vt:i4>
      </vt:variant>
      <vt:variant>
        <vt:i4>50</vt:i4>
      </vt:variant>
      <vt:variant>
        <vt:i4>0</vt:i4>
      </vt:variant>
      <vt:variant>
        <vt:i4>5</vt:i4>
      </vt:variant>
      <vt:variant>
        <vt:lpwstr/>
      </vt:variant>
      <vt:variant>
        <vt:lpwstr>_Toc360980586</vt:lpwstr>
      </vt:variant>
      <vt:variant>
        <vt:i4>1048638</vt:i4>
      </vt:variant>
      <vt:variant>
        <vt:i4>44</vt:i4>
      </vt:variant>
      <vt:variant>
        <vt:i4>0</vt:i4>
      </vt:variant>
      <vt:variant>
        <vt:i4>5</vt:i4>
      </vt:variant>
      <vt:variant>
        <vt:lpwstr/>
      </vt:variant>
      <vt:variant>
        <vt:lpwstr>_Toc360980585</vt:lpwstr>
      </vt:variant>
      <vt:variant>
        <vt:i4>1048638</vt:i4>
      </vt:variant>
      <vt:variant>
        <vt:i4>38</vt:i4>
      </vt:variant>
      <vt:variant>
        <vt:i4>0</vt:i4>
      </vt:variant>
      <vt:variant>
        <vt:i4>5</vt:i4>
      </vt:variant>
      <vt:variant>
        <vt:lpwstr/>
      </vt:variant>
      <vt:variant>
        <vt:lpwstr>_Toc360980584</vt:lpwstr>
      </vt:variant>
      <vt:variant>
        <vt:i4>1048638</vt:i4>
      </vt:variant>
      <vt:variant>
        <vt:i4>32</vt:i4>
      </vt:variant>
      <vt:variant>
        <vt:i4>0</vt:i4>
      </vt:variant>
      <vt:variant>
        <vt:i4>5</vt:i4>
      </vt:variant>
      <vt:variant>
        <vt:lpwstr/>
      </vt:variant>
      <vt:variant>
        <vt:lpwstr>_Toc360980583</vt:lpwstr>
      </vt:variant>
      <vt:variant>
        <vt:i4>1048638</vt:i4>
      </vt:variant>
      <vt:variant>
        <vt:i4>26</vt:i4>
      </vt:variant>
      <vt:variant>
        <vt:i4>0</vt:i4>
      </vt:variant>
      <vt:variant>
        <vt:i4>5</vt:i4>
      </vt:variant>
      <vt:variant>
        <vt:lpwstr/>
      </vt:variant>
      <vt:variant>
        <vt:lpwstr>_Toc360980582</vt:lpwstr>
      </vt:variant>
      <vt:variant>
        <vt:i4>1048638</vt:i4>
      </vt:variant>
      <vt:variant>
        <vt:i4>20</vt:i4>
      </vt:variant>
      <vt:variant>
        <vt:i4>0</vt:i4>
      </vt:variant>
      <vt:variant>
        <vt:i4>5</vt:i4>
      </vt:variant>
      <vt:variant>
        <vt:lpwstr/>
      </vt:variant>
      <vt:variant>
        <vt:lpwstr>_Toc360980581</vt:lpwstr>
      </vt:variant>
      <vt:variant>
        <vt:i4>1048638</vt:i4>
      </vt:variant>
      <vt:variant>
        <vt:i4>14</vt:i4>
      </vt:variant>
      <vt:variant>
        <vt:i4>0</vt:i4>
      </vt:variant>
      <vt:variant>
        <vt:i4>5</vt:i4>
      </vt:variant>
      <vt:variant>
        <vt:lpwstr/>
      </vt:variant>
      <vt:variant>
        <vt:lpwstr>_Toc360980580</vt:lpwstr>
      </vt:variant>
      <vt:variant>
        <vt:i4>2031678</vt:i4>
      </vt:variant>
      <vt:variant>
        <vt:i4>8</vt:i4>
      </vt:variant>
      <vt:variant>
        <vt:i4>0</vt:i4>
      </vt:variant>
      <vt:variant>
        <vt:i4>5</vt:i4>
      </vt:variant>
      <vt:variant>
        <vt:lpwstr/>
      </vt:variant>
      <vt:variant>
        <vt:lpwstr>_Toc360980579</vt:lpwstr>
      </vt:variant>
      <vt:variant>
        <vt:i4>2031678</vt:i4>
      </vt:variant>
      <vt:variant>
        <vt:i4>2</vt:i4>
      </vt:variant>
      <vt:variant>
        <vt:i4>0</vt:i4>
      </vt:variant>
      <vt:variant>
        <vt:i4>5</vt:i4>
      </vt:variant>
      <vt:variant>
        <vt:lpwstr/>
      </vt:variant>
      <vt:variant>
        <vt:lpwstr>_Toc360980578</vt:lpwstr>
      </vt:variant>
      <vt:variant>
        <vt:i4>5963844</vt:i4>
      </vt:variant>
      <vt:variant>
        <vt:i4>3</vt:i4>
      </vt:variant>
      <vt:variant>
        <vt:i4>0</vt:i4>
      </vt:variant>
      <vt:variant>
        <vt:i4>5</vt:i4>
      </vt:variant>
      <vt:variant>
        <vt:lpwstr>http://dictionary.reference.com/browse/infectious+disease</vt:lpwstr>
      </vt:variant>
      <vt:variant>
        <vt:lpwstr/>
      </vt:variant>
      <vt:variant>
        <vt:i4>131161</vt:i4>
      </vt:variant>
      <vt:variant>
        <vt:i4>0</vt:i4>
      </vt:variant>
      <vt:variant>
        <vt:i4>0</vt:i4>
      </vt:variant>
      <vt:variant>
        <vt:i4>5</vt:i4>
      </vt:variant>
      <vt:variant>
        <vt:lpwstr>http://www.thefreedictionary.com/communicable+disease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Julie Elliott</dc:creator>
  <cp:keywords>APPR</cp:keywords>
  <cp:lastModifiedBy>MKhattab</cp:lastModifiedBy>
  <cp:revision>3</cp:revision>
  <cp:lastPrinted>2011-12-01T13:18:00Z</cp:lastPrinted>
  <dcterms:created xsi:type="dcterms:W3CDTF">2013-07-09T13:01:00Z</dcterms:created>
  <dcterms:modified xsi:type="dcterms:W3CDTF">2013-07-09T13:01:00Z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http://www.ausaid.gov.au/publications/pdf/burma-dcr-2010.doc</vt:lpwstr>
  </property>
  <property fmtid="{D5CDD505-2E9C-101B-9397-08002B2CF9AE}" pid="3" name="PublishingContact">
    <vt:lpwstr/>
  </property>
  <property fmtid="{D5CDD505-2E9C-101B-9397-08002B2CF9AE}" pid="4" name="AusAIDPageExpires">
    <vt:lpwstr/>
  </property>
  <property fmtid="{D5CDD505-2E9C-101B-9397-08002B2CF9AE}" pid="5" name="WCMSPublicationSubCategory">
    <vt:lpwstr/>
  </property>
  <property fmtid="{D5CDD505-2E9C-101B-9397-08002B2CF9AE}" pid="6" name="Order">
    <vt:r8>124600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1" name="AusAIDModifiedDateMetadata">
    <vt:lpwstr/>
  </property>
  <property fmtid="{D5CDD505-2E9C-101B-9397-08002B2CF9AE}" pid="12" name="PublishingContactEmail">
    <vt:lpwstr/>
  </property>
  <property fmtid="{D5CDD505-2E9C-101B-9397-08002B2CF9AE}" pid="13" name="WCMSPrintedMedia">
    <vt:lpwstr/>
  </property>
  <property fmtid="{D5CDD505-2E9C-101B-9397-08002B2CF9AE}" pid="14" name="AusAIDPageDescriptionMetadata">
    <vt:lpwstr/>
  </property>
  <property fmtid="{D5CDD505-2E9C-101B-9397-08002B2CF9AE}" pid="15" name="WCMSTheme">
    <vt:lpwstr/>
  </property>
  <property fmtid="{D5CDD505-2E9C-101B-9397-08002B2CF9AE}" pid="16" name="WCMSISBNISSN">
    <vt:lpwstr/>
  </property>
  <property fmtid="{D5CDD505-2E9C-101B-9397-08002B2CF9AE}" pid="17" name="xd_Signature">
    <vt:lpwstr/>
  </property>
  <property fmtid="{D5CDD505-2E9C-101B-9397-08002B2CF9AE}" pid="18" name="WCMSIPSCategory">
    <vt:lpwstr/>
  </property>
  <property fmtid="{D5CDD505-2E9C-101B-9397-08002B2CF9AE}" pid="19" name="AusAIDCreatedDateMetadata">
    <vt:lpwstr/>
  </property>
  <property fmtid="{D5CDD505-2E9C-101B-9397-08002B2CF9AE}" pid="20" name="xd_ProgID">
    <vt:lpwstr/>
  </property>
  <property fmtid="{D5CDD505-2E9C-101B-9397-08002B2CF9AE}" pid="21" name="PublishingStartDate">
    <vt:lpwstr/>
  </property>
  <property fmtid="{D5CDD505-2E9C-101B-9397-08002B2CF9AE}" pid="22" name="RSS Feed Link">
    <vt:lpwstr/>
  </property>
  <property fmtid="{D5CDD505-2E9C-101B-9397-08002B2CF9AE}" pid="23" name="WCMSDocumentLink">
    <vt:lpwstr/>
  </property>
  <property fmtid="{D5CDD505-2E9C-101B-9397-08002B2CF9AE}" pid="24" name="PublishingExpirationDate">
    <vt:lpwstr/>
  </property>
  <property fmtid="{D5CDD505-2E9C-101B-9397-08002B2CF9AE}" pid="25" name="PublishingContactPicture">
    <vt:lpwstr/>
  </property>
  <property fmtid="{D5CDD505-2E9C-101B-9397-08002B2CF9AE}" pid="26" name="PublishingVariationGroupID">
    <vt:lpwstr/>
  </property>
  <property fmtid="{D5CDD505-2E9C-101B-9397-08002B2CF9AE}" pid="27" name="AusAIDIdentifierMetadata">
    <vt:lpwstr/>
  </property>
  <property fmtid="{D5CDD505-2E9C-101B-9397-08002B2CF9AE}" pid="28" name="display_urn:schemas-microsoft-com:office:office#Author">
    <vt:lpwstr>System Account</vt:lpwstr>
  </property>
  <property fmtid="{D5CDD505-2E9C-101B-9397-08002B2CF9AE}" pid="29" name="PublishingVariationRelationshipLinkFieldID">
    <vt:lpwstr/>
  </property>
  <property fmtid="{D5CDD505-2E9C-101B-9397-08002B2CF9AE}" pid="30" name="WCMSPublicationCategory">
    <vt:lpwstr/>
  </property>
  <property fmtid="{D5CDD505-2E9C-101B-9397-08002B2CF9AE}" pid="31" name="WCMSElectronicMedia">
    <vt:lpwstr/>
  </property>
  <property fmtid="{D5CDD505-2E9C-101B-9397-08002B2CF9AE}" pid="32" name="WCMSReportDisclaimer">
    <vt:lpwstr/>
  </property>
  <property fmtid="{D5CDD505-2E9C-101B-9397-08002B2CF9AE}" pid="33" name="WCMSPublicationAuthor">
    <vt:lpwstr/>
  </property>
  <property fmtid="{D5CDD505-2E9C-101B-9397-08002B2CF9AE}" pid="34" name="PublishingContactName">
    <vt:lpwstr/>
  </property>
  <property fmtid="{D5CDD505-2E9C-101B-9397-08002B2CF9AE}" pid="35" name="WCMSRegion">
    <vt:lpwstr/>
  </property>
  <property fmtid="{D5CDD505-2E9C-101B-9397-08002B2CF9AE}" pid="36" name="_SourceUrl">
    <vt:lpwstr/>
  </property>
  <property fmtid="{D5CDD505-2E9C-101B-9397-08002B2CF9AE}" pid="37" name="_SharedFileIndex">
    <vt:lpwstr/>
  </property>
  <property fmtid="{D5CDD505-2E9C-101B-9397-08002B2CF9AE}" pid="38" name="Comments">
    <vt:lpwstr/>
  </property>
  <property fmtid="{D5CDD505-2E9C-101B-9397-08002B2CF9AE}" pid="39" name="PublishingPageLayout">
    <vt:lpwstr/>
  </property>
  <property fmtid="{D5CDD505-2E9C-101B-9397-08002B2CF9AE}" pid="40" name="WCMSCountry">
    <vt:lpwstr/>
  </property>
  <property fmtid="{D5CDD505-2E9C-101B-9397-08002B2CF9AE}" pid="41" name="WCMSSourceId">
    <vt:lpwstr/>
  </property>
  <property fmtid="{D5CDD505-2E9C-101B-9397-08002B2CF9AE}" pid="42" name="WCMSLatest">
    <vt:lpwstr/>
  </property>
  <property fmtid="{D5CDD505-2E9C-101B-9397-08002B2CF9AE}" pid="43" name="WCMSPublicationFormat">
    <vt:lpwstr/>
  </property>
  <property fmtid="{D5CDD505-2E9C-101B-9397-08002B2CF9AE}" pid="44" name="AusAIDPageSubjectMetadata">
    <vt:lpwstr/>
  </property>
  <property fmtid="{D5CDD505-2E9C-101B-9397-08002B2CF9AE}" pid="45" name="AusAIDCategoryMetadata">
    <vt:lpwstr/>
  </property>
  <property fmtid="{D5CDD505-2E9C-101B-9397-08002B2CF9AE}" pid="46" name="AusAIDDocumentTypeMetaData">
    <vt:lpwstr/>
  </property>
  <property fmtid="{D5CDD505-2E9C-101B-9397-08002B2CF9AE}" pid="47" name="WCMSLanguage">
    <vt:lpwstr/>
  </property>
  <property fmtid="{D5CDD505-2E9C-101B-9397-08002B2CF9AE}" pid="48" name="display_urn:schemas-microsoft-com:office:office#Editor">
    <vt:lpwstr>System Account</vt:lpwstr>
  </property>
  <property fmtid="{D5CDD505-2E9C-101B-9397-08002B2CF9AE}" pid="49" name="TemplateUrl">
    <vt:lpwstr/>
  </property>
  <property fmtid="{D5CDD505-2E9C-101B-9397-08002B2CF9AE}" pid="50" name="Audience">
    <vt:lpwstr/>
  </property>
  <property fmtid="{D5CDD505-2E9C-101B-9397-08002B2CF9AE}" pid="51" name="WCMSDescription">
    <vt:lpwstr/>
  </property>
  <property fmtid="{D5CDD505-2E9C-101B-9397-08002B2CF9AE}" pid="52" name="WCMSPublicationDate">
    <vt:lpwstr/>
  </property>
  <property fmtid="{D5CDD505-2E9C-101B-9397-08002B2CF9AE}" pid="53" name="WCMSOtherCategory">
    <vt:lpwstr/>
  </property>
  <property fmtid="{D5CDD505-2E9C-101B-9397-08002B2CF9AE}" pid="54" name="ContentTypeId">
    <vt:lpwstr>0x01010050F19AC2165D2E47A5E6B7F563E4CF00</vt:lpwstr>
  </property>
  <property fmtid="{D5CDD505-2E9C-101B-9397-08002B2CF9AE}" pid="55" name="display_urn">
    <vt:lpwstr>System Account</vt:lpwstr>
  </property>
</Properties>
</file>